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31" w:rsidRPr="00EF17FD" w:rsidRDefault="006B0731" w:rsidP="006B0731">
      <w:pPr>
        <w:tabs>
          <w:tab w:val="left" w:pos="567"/>
        </w:tabs>
        <w:snapToGrid w:val="0"/>
        <w:spacing w:after="0" w:line="260" w:lineRule="exact"/>
        <w:jc w:val="center"/>
        <w:rPr>
          <w:rFonts w:ascii="Times New Roman" w:hAnsi="Times New Roman"/>
          <w:b/>
        </w:rPr>
      </w:pPr>
      <w:r w:rsidRPr="00EF17FD">
        <w:rPr>
          <w:rFonts w:ascii="Times New Roman" w:hAnsi="Times New Roman"/>
          <w:b/>
        </w:rPr>
        <w:t>Pakuotės lapelis: informacija vartotojui</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jc w:val="center"/>
        <w:rPr>
          <w:rFonts w:ascii="Times New Roman" w:hAnsi="Times New Roman"/>
          <w:b/>
        </w:rPr>
      </w:pPr>
      <w:r w:rsidRPr="00EF17FD">
        <w:rPr>
          <w:rFonts w:ascii="Times New Roman" w:hAnsi="Times New Roman"/>
          <w:b/>
        </w:rPr>
        <w:t>CoCodamol 30 mg/500 mg plėvele dengtos tabletės</w:t>
      </w:r>
    </w:p>
    <w:p w:rsidR="006B0731" w:rsidRPr="00EF17FD" w:rsidRDefault="006B0731" w:rsidP="006B0731">
      <w:pPr>
        <w:tabs>
          <w:tab w:val="left" w:pos="567"/>
        </w:tabs>
        <w:snapToGrid w:val="0"/>
        <w:spacing w:after="0" w:line="260" w:lineRule="exact"/>
        <w:jc w:val="center"/>
        <w:rPr>
          <w:rFonts w:ascii="Times New Roman" w:hAnsi="Times New Roman"/>
        </w:rPr>
      </w:pPr>
      <w:r w:rsidRPr="00EF17FD">
        <w:rPr>
          <w:rFonts w:ascii="Times New Roman" w:hAnsi="Times New Roman"/>
        </w:rPr>
        <w:t>Kodeino fosfatas hemihidratas/paracetamolis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b/>
        </w:rPr>
        <w:t>Atidžiai perskaitykite visą šį lapelį, prieš pradėdami vartoti vaistą, nes jame pateikiama Jums svarbi informacija.</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Neišmeskite šio lapelio, nes vėl gali prireikti jį perskaityti.</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kiltų daugiau klausimų, kreipkitės į gydytoją arba vaistininką.</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Šis vaistas skirtas tik Jums, todėl kitiems žmonėms jo duoti negalima. Vaistas gali jiems pakenkti (net tiems, kurių ligos požymiai yra tokie patys kaip Jūsų).</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pasireiškė šalutinis poveikis (net jeigu jis šiame lapelyje nenurodytas), kreipkitės į gydytoją arba vaistininką. Žr.</w:t>
      </w:r>
      <w:r>
        <w:rPr>
          <w:rFonts w:ascii="Times New Roman" w:hAnsi="Times New Roman"/>
        </w:rPr>
        <w:t> </w:t>
      </w:r>
      <w:r w:rsidRPr="00EF17FD">
        <w:rPr>
          <w:rFonts w:ascii="Times New Roman" w:hAnsi="Times New Roman"/>
        </w:rPr>
        <w:t>4</w:t>
      </w:r>
      <w:r>
        <w:rPr>
          <w:rFonts w:ascii="Times New Roman" w:hAnsi="Times New Roman"/>
        </w:rPr>
        <w:t> </w:t>
      </w:r>
      <w:r w:rsidRPr="00EF17FD">
        <w:rPr>
          <w:rFonts w:ascii="Times New Roman" w:hAnsi="Times New Roman"/>
        </w:rPr>
        <w:t>skyrių.</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Apie ką rašoma šiame lapelyje?</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1.</w:t>
      </w:r>
      <w:r w:rsidRPr="00EF17FD">
        <w:rPr>
          <w:rFonts w:ascii="Times New Roman" w:hAnsi="Times New Roman"/>
        </w:rPr>
        <w:tab/>
        <w:t>Kas yra CoCodamol ir kam jis vartojamas</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2.</w:t>
      </w:r>
      <w:r w:rsidRPr="00EF17FD">
        <w:rPr>
          <w:rFonts w:ascii="Times New Roman" w:hAnsi="Times New Roman"/>
        </w:rPr>
        <w:tab/>
        <w:t>Kas žinotina prieš vartojant CoCodamol</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3.</w:t>
      </w:r>
      <w:r w:rsidRPr="00EF17FD">
        <w:rPr>
          <w:rFonts w:ascii="Times New Roman" w:hAnsi="Times New Roman"/>
        </w:rPr>
        <w:tab/>
        <w:t>Kaip vartoti CoCodamol</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4.</w:t>
      </w:r>
      <w:r w:rsidRPr="00EF17FD">
        <w:rPr>
          <w:rFonts w:ascii="Times New Roman" w:hAnsi="Times New Roman"/>
        </w:rPr>
        <w:tab/>
        <w:t>Galimas šalutinis poveikis</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5.</w:t>
      </w:r>
      <w:r w:rsidRPr="00EF17FD">
        <w:rPr>
          <w:rFonts w:ascii="Times New Roman" w:hAnsi="Times New Roman"/>
        </w:rPr>
        <w:tab/>
        <w:t>Kaip laikyti CoCodamol</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6.</w:t>
      </w:r>
      <w:r w:rsidRPr="00EF17FD">
        <w:rPr>
          <w:rFonts w:ascii="Times New Roman" w:hAnsi="Times New Roman"/>
        </w:rPr>
        <w:tab/>
        <w:t>Pakuotės turinys ir kita informacija</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1.</w:t>
      </w:r>
      <w:r w:rsidRPr="00EF17FD">
        <w:rPr>
          <w:rFonts w:ascii="Times New Roman" w:hAnsi="Times New Roman"/>
          <w:b/>
        </w:rPr>
        <w:tab/>
        <w:t>Kas yra CoCodamol ir kam jis vartojamas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Jūsų vaisto pavadinimas yra CoCodamol.</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CoCodamol sudėtyje yra du skirtingi analgetikai (skausmą malšinantys vaistai), vadinami paracetamoliu ir kodeinu (kodeino fosfato hemihidratu). Kodeinas priklauso grupei vaistų, vadinamų opioidiniais analgetikais, kurie malšina skausmą.</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CoCodamol galima trumpai vartoti vyresniems negu 12</w:t>
      </w:r>
      <w:r>
        <w:rPr>
          <w:rFonts w:ascii="Times New Roman" w:hAnsi="Times New Roman"/>
        </w:rPr>
        <w:t> </w:t>
      </w:r>
      <w:r w:rsidRPr="00EF17FD">
        <w:rPr>
          <w:rFonts w:ascii="Times New Roman" w:hAnsi="Times New Roman"/>
        </w:rPr>
        <w:t>metų asmenims vidutinio stiprumo arba stipriam skausmui, kurio nesumažina kiti skausmą malšinantys vaistai, pvz., vienas paracetamolis ar ibuprofenas, malšinti.</w:t>
      </w:r>
    </w:p>
    <w:p w:rsidR="006B0731" w:rsidRPr="00EF17FD" w:rsidRDefault="006B0731" w:rsidP="006B0731">
      <w:pPr>
        <w:tabs>
          <w:tab w:val="left" w:pos="567"/>
        </w:tabs>
        <w:snapToGrid w:val="0"/>
        <w:spacing w:after="0" w:line="240" w:lineRule="auto"/>
        <w:rPr>
          <w:rFonts w:ascii="Times New Roman" w:hAnsi="Times New Roman"/>
        </w:rPr>
      </w:pPr>
    </w:p>
    <w:p w:rsidR="006B0731" w:rsidRPr="00EF17FD" w:rsidRDefault="006B0731" w:rsidP="006B0731">
      <w:pPr>
        <w:tabs>
          <w:tab w:val="left" w:pos="567"/>
        </w:tabs>
        <w:snapToGrid w:val="0"/>
        <w:spacing w:after="0" w:line="240" w:lineRule="auto"/>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2.</w:t>
      </w:r>
      <w:r w:rsidRPr="00EF17FD">
        <w:rPr>
          <w:rFonts w:ascii="Times New Roman" w:hAnsi="Times New Roman"/>
          <w:b/>
        </w:rPr>
        <w:tab/>
        <w:t>Kas žinotina prieš vartojant CoCodamol</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 xml:space="preserve">CoCodamol vartoti </w:t>
      </w:r>
      <w:r w:rsidRPr="003D523D">
        <w:rPr>
          <w:rFonts w:ascii="Times New Roman" w:hAnsi="Times New Roman"/>
          <w:b/>
        </w:rPr>
        <w:t>draudžiama</w:t>
      </w:r>
      <w:r w:rsidRPr="00EF17FD">
        <w:rPr>
          <w:rFonts w:ascii="Times New Roman" w:hAnsi="Times New Roman"/>
          <w:b/>
        </w:rPr>
        <w:t>:</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yra alergija kodeinui, paracetamoliui arba bet kuriai pagalbinei šio vaisto medžiagai (jos išvardytos 6</w:t>
      </w:r>
      <w:r>
        <w:rPr>
          <w:rFonts w:ascii="Times New Roman" w:hAnsi="Times New Roman"/>
        </w:rPr>
        <w:t> </w:t>
      </w:r>
      <w:r w:rsidRPr="00EF17FD">
        <w:rPr>
          <w:rFonts w:ascii="Times New Roman" w:hAnsi="Times New Roman"/>
        </w:rPr>
        <w:t>skyriuje). Alerginės reakcijos požymiai yra išbėrimas ir kvėpavimo sutrikimai. Be to, gali sutinti kojos, rankos, veidas, ryklė arba liežuvis;</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Jums būna sunkių astmos priepuolių arba turite sunkių kvėpavimo sutrikimų;</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neseniai patyrėte galvos traumą;</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turite sunkių kepenų sutrikimų;</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Jūsų gydytojas yra sakęs, kad yra padidėjęs Jūsų vidinis galvos spaudimas. Šio sutrikimo simptomai yra galvos skausmas, vėmimas ir neryškus daiktų matymas;</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neseniai Jums buvo atlikta kepenų, tulžies pūslės ar latakų operacija;</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nuo depresijos vartojate vaistų, vadinamų monoaminooksidazės (MAO) inhibitoriais, arba jeigu jų vartojote paskutiniųjų 2</w:t>
      </w:r>
      <w:r>
        <w:rPr>
          <w:rFonts w:ascii="Times New Roman" w:hAnsi="Times New Roman"/>
        </w:rPr>
        <w:t> </w:t>
      </w:r>
      <w:r w:rsidRPr="00EF17FD">
        <w:rPr>
          <w:rFonts w:ascii="Times New Roman" w:hAnsi="Times New Roman"/>
        </w:rPr>
        <w:t>savaičių laikotarpiu. MAO inhibitoriai yra, pvz</w:t>
      </w:r>
      <w:r>
        <w:rPr>
          <w:rFonts w:ascii="Times New Roman" w:hAnsi="Times New Roman"/>
        </w:rPr>
        <w:t>.</w:t>
      </w:r>
      <w:r w:rsidRPr="00EF17FD">
        <w:rPr>
          <w:rFonts w:ascii="Times New Roman" w:hAnsi="Times New Roman"/>
        </w:rPr>
        <w:t>, moklobemidas, fenelzinas, tranilciprominas (žr. poskyrį „Kiti vaistai ir CoCodamol“);</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yra ūminė intoksikacija alkoholiu;</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maitinate krūtimi;</w:t>
      </w:r>
    </w:p>
    <w:p w:rsidR="006B0731" w:rsidRPr="00EF17FD" w:rsidRDefault="006B0731" w:rsidP="006B0731">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žinote, kad Jūs kodeiną labai greitai metabolizuojate į morfiną.</w:t>
      </w:r>
    </w:p>
    <w:p w:rsidR="006B0731" w:rsidRPr="00EF17FD" w:rsidRDefault="006B0731" w:rsidP="006B0731">
      <w:pPr>
        <w:tabs>
          <w:tab w:val="left" w:pos="567"/>
        </w:tabs>
        <w:snapToGrid w:val="0"/>
        <w:spacing w:after="0" w:line="260" w:lineRule="exact"/>
        <w:ind w:left="567" w:hanging="567"/>
        <w:rPr>
          <w:rFonts w:ascii="Times New Roman" w:hAnsi="Times New Roman"/>
        </w:rPr>
      </w:pPr>
    </w:p>
    <w:p w:rsidR="006B0731" w:rsidRPr="00EF17FD" w:rsidRDefault="006B0731" w:rsidP="006B0731">
      <w:pPr>
        <w:tabs>
          <w:tab w:val="left" w:pos="0"/>
        </w:tabs>
        <w:snapToGrid w:val="0"/>
        <w:spacing w:after="0" w:line="260" w:lineRule="exact"/>
        <w:rPr>
          <w:rFonts w:ascii="Times New Roman" w:hAnsi="Times New Roman"/>
        </w:rPr>
      </w:pPr>
      <w:r w:rsidRPr="00B15FF0">
        <w:rPr>
          <w:rFonts w:ascii="Times New Roman" w:hAnsi="Times New Roman"/>
        </w:rPr>
        <w:t>Nevartokite CoCodamol ilgiau, nei nurodė gydytojas.</w:t>
      </w:r>
    </w:p>
    <w:p w:rsidR="006B0731" w:rsidRPr="00EF17FD" w:rsidRDefault="006B0731" w:rsidP="006B0731">
      <w:pPr>
        <w:tabs>
          <w:tab w:val="left" w:pos="567"/>
        </w:tabs>
        <w:snapToGrid w:val="0"/>
        <w:spacing w:after="0" w:line="260" w:lineRule="exact"/>
        <w:ind w:left="567" w:hanging="567"/>
        <w:rPr>
          <w:rFonts w:ascii="Times New Roman" w:hAnsi="Times New Roman"/>
        </w:rPr>
      </w:pPr>
    </w:p>
    <w:p w:rsidR="006B0731" w:rsidRPr="00EF17FD" w:rsidRDefault="006B0731" w:rsidP="006B0731">
      <w:pPr>
        <w:snapToGrid w:val="0"/>
        <w:spacing w:after="0" w:line="260" w:lineRule="exact"/>
        <w:rPr>
          <w:rFonts w:ascii="Times New Roman" w:hAnsi="Times New Roman"/>
        </w:rPr>
      </w:pPr>
      <w:r w:rsidRPr="00EF17FD">
        <w:rPr>
          <w:rFonts w:ascii="Times New Roman" w:hAnsi="Times New Roman"/>
        </w:rPr>
        <w:t>Vaikams ir paaugliams (0–18</w:t>
      </w:r>
      <w:r>
        <w:rPr>
          <w:rFonts w:ascii="Times New Roman" w:hAnsi="Times New Roman"/>
        </w:rPr>
        <w:t> </w:t>
      </w:r>
      <w:r w:rsidRPr="00EF17FD">
        <w:rPr>
          <w:rFonts w:ascii="Times New Roman" w:hAnsi="Times New Roman"/>
        </w:rPr>
        <w:t>metų) po dėl obstrukcinio miego apnėjos sindromo atlikto chirurginio tonzilių ar adenoidų pašalinimo skausmą šiuo vaistu malšinti negalima.</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Įspėjimai ir atsargumo priemonės</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Pasitarkite su gydytoju arba vaistininku, prieš pradėdami vartoti CoCodamol:</w:t>
      </w:r>
    </w:p>
    <w:p w:rsidR="006B0731" w:rsidRPr="00627E25" w:rsidRDefault="006B0731" w:rsidP="006B0731">
      <w:pPr>
        <w:pStyle w:val="Sraopastraipa"/>
        <w:numPr>
          <w:ilvl w:val="0"/>
          <w:numId w:val="2"/>
        </w:numPr>
        <w:ind w:left="567" w:hanging="567"/>
        <w:rPr>
          <w:lang w:val="lt-LT"/>
        </w:rPr>
      </w:pPr>
      <w:r w:rsidRPr="00B20F83">
        <w:rPr>
          <w:lang w:val="lt-LT"/>
        </w:rPr>
        <w:t>jeigu turite sunkių inkstų sutrikimų;</w:t>
      </w:r>
    </w:p>
    <w:p w:rsidR="006B0731" w:rsidRPr="00D922F0" w:rsidRDefault="006B0731" w:rsidP="006B0731">
      <w:pPr>
        <w:pStyle w:val="Sraopastraipa"/>
        <w:numPr>
          <w:ilvl w:val="0"/>
          <w:numId w:val="2"/>
        </w:numPr>
        <w:ind w:left="567" w:hanging="567"/>
      </w:pPr>
      <w:r w:rsidRPr="00D922F0">
        <w:t>jeigu turite kepenų sutrikimų;</w:t>
      </w:r>
    </w:p>
    <w:p w:rsidR="006B0731" w:rsidRPr="00B20F83" w:rsidRDefault="006B0731" w:rsidP="006B0731">
      <w:pPr>
        <w:pStyle w:val="Sraopastraipa"/>
        <w:numPr>
          <w:ilvl w:val="0"/>
          <w:numId w:val="2"/>
        </w:numPr>
        <w:ind w:left="567" w:hanging="567"/>
        <w:rPr>
          <w:lang w:val="lt-LT"/>
        </w:rPr>
      </w:pPr>
      <w:r w:rsidRPr="00B20F83">
        <w:rPr>
          <w:lang w:val="lt-LT"/>
        </w:rPr>
        <w:t>jeigu turite šlapinimosi ar prostatos sutrikimų;</w:t>
      </w:r>
    </w:p>
    <w:p w:rsidR="006B0731" w:rsidRPr="00B20F83" w:rsidRDefault="006B0731" w:rsidP="006B0731">
      <w:pPr>
        <w:pStyle w:val="Sraopastraipa"/>
        <w:numPr>
          <w:ilvl w:val="0"/>
          <w:numId w:val="2"/>
        </w:numPr>
        <w:ind w:left="567" w:hanging="567"/>
        <w:rPr>
          <w:lang w:val="lt-LT"/>
        </w:rPr>
      </w:pPr>
      <w:r w:rsidRPr="00B20F83">
        <w:rPr>
          <w:lang w:val="lt-LT"/>
        </w:rPr>
        <w:t>jeigu skydliaukės aktyvumas nepakankamas;</w:t>
      </w:r>
    </w:p>
    <w:p w:rsidR="006B0731" w:rsidRPr="00D922F0" w:rsidRDefault="006B0731" w:rsidP="006B0731">
      <w:pPr>
        <w:pStyle w:val="Sraopastraipa"/>
        <w:numPr>
          <w:ilvl w:val="0"/>
          <w:numId w:val="2"/>
        </w:numPr>
        <w:ind w:left="567" w:hanging="567"/>
      </w:pPr>
      <w:r w:rsidRPr="00D922F0">
        <w:t>jeigu turite potraukį opioidams;</w:t>
      </w:r>
    </w:p>
    <w:p w:rsidR="006B0731" w:rsidRPr="00D922F0" w:rsidRDefault="006B0731" w:rsidP="006B0731">
      <w:pPr>
        <w:pStyle w:val="Sraopastraipa"/>
        <w:numPr>
          <w:ilvl w:val="0"/>
          <w:numId w:val="2"/>
        </w:numPr>
        <w:ind w:left="567" w:hanging="567"/>
      </w:pPr>
      <w:r w:rsidRPr="00D922F0">
        <w:t>jeigu turite antinksčių sutrikimų;</w:t>
      </w:r>
    </w:p>
    <w:p w:rsidR="006B0731" w:rsidRPr="00D922F0" w:rsidRDefault="006B0731" w:rsidP="006B0731">
      <w:pPr>
        <w:pStyle w:val="Sraopastraipa"/>
        <w:numPr>
          <w:ilvl w:val="0"/>
          <w:numId w:val="2"/>
        </w:numPr>
        <w:ind w:left="567" w:hanging="567"/>
      </w:pPr>
      <w:r w:rsidRPr="00D922F0">
        <w:t>jeigu patiriate žarnų sutrikimą, pvz., kolitą, Krono ligą ar žarnų blokadą;</w:t>
      </w:r>
    </w:p>
    <w:p w:rsidR="006B0731" w:rsidRPr="00D922F0" w:rsidRDefault="006B0731" w:rsidP="006B0731">
      <w:pPr>
        <w:pStyle w:val="Sraopastraipa"/>
        <w:numPr>
          <w:ilvl w:val="0"/>
          <w:numId w:val="2"/>
        </w:numPr>
        <w:ind w:left="567" w:hanging="567"/>
      </w:pPr>
      <w:r w:rsidRPr="00D922F0">
        <w:t>jeigu esate senyvas;</w:t>
      </w:r>
    </w:p>
    <w:p w:rsidR="006B0731" w:rsidRPr="00D922F0" w:rsidRDefault="006B0731" w:rsidP="006B0731">
      <w:pPr>
        <w:pStyle w:val="Sraopastraipa"/>
        <w:numPr>
          <w:ilvl w:val="0"/>
          <w:numId w:val="2"/>
        </w:numPr>
        <w:ind w:left="567" w:hanging="567"/>
      </w:pPr>
      <w:r w:rsidRPr="00D922F0">
        <w:t>jeigu sergate anemija (sumažėjęs raudonųjų kraujo ląstelių kiekis);</w:t>
      </w:r>
    </w:p>
    <w:p w:rsidR="006B0731" w:rsidRPr="00B20F83" w:rsidRDefault="006B0731" w:rsidP="006B0731">
      <w:pPr>
        <w:pStyle w:val="Sraopastraipa"/>
        <w:numPr>
          <w:ilvl w:val="0"/>
          <w:numId w:val="2"/>
        </w:numPr>
        <w:ind w:left="567" w:hanging="567"/>
        <w:rPr>
          <w:lang w:val="lt-LT"/>
        </w:rPr>
      </w:pPr>
      <w:r w:rsidRPr="00B20F83">
        <w:rPr>
          <w:lang w:val="lt-LT"/>
        </w:rPr>
        <w:t>jeigu prastai maitinatės arba esate dehidruotas;</w:t>
      </w:r>
    </w:p>
    <w:p w:rsidR="006B0731" w:rsidRPr="00B20F83" w:rsidRDefault="006B0731" w:rsidP="006B0731">
      <w:pPr>
        <w:pStyle w:val="Sraopastraipa"/>
        <w:numPr>
          <w:ilvl w:val="0"/>
          <w:numId w:val="2"/>
        </w:numPr>
        <w:ind w:left="567" w:hanging="567"/>
        <w:rPr>
          <w:lang w:val="lt-LT"/>
        </w:rPr>
      </w:pPr>
      <w:r w:rsidRPr="00B20F83">
        <w:rPr>
          <w:lang w:val="lt-LT"/>
        </w:rPr>
        <w:t>jeigu esate jaunesnis negu 18 metų ir turite kvėpavimo sutrikimų.</w:t>
      </w:r>
    </w:p>
    <w:p w:rsidR="006B0731" w:rsidRDefault="006B0731" w:rsidP="006B0731">
      <w:pPr>
        <w:tabs>
          <w:tab w:val="left" w:pos="567"/>
        </w:tabs>
        <w:snapToGrid w:val="0"/>
        <w:spacing w:after="0" w:line="260" w:lineRule="exact"/>
        <w:ind w:left="357" w:hanging="357"/>
        <w:rPr>
          <w:rFonts w:ascii="Times New Roman" w:hAnsi="Times New Roman"/>
        </w:rPr>
      </w:pPr>
    </w:p>
    <w:p w:rsidR="006B0731" w:rsidRPr="00F9387F" w:rsidRDefault="006B0731" w:rsidP="006B0731">
      <w:pPr>
        <w:tabs>
          <w:tab w:val="left" w:pos="567"/>
        </w:tabs>
        <w:autoSpaceDE w:val="0"/>
        <w:autoSpaceDN w:val="0"/>
        <w:adjustRightInd w:val="0"/>
        <w:spacing w:after="0" w:line="240" w:lineRule="auto"/>
        <w:rPr>
          <w:rFonts w:ascii="Times New Roman" w:hAnsi="Times New Roman" w:cs="Times New Roman"/>
        </w:rPr>
      </w:pPr>
      <w:r w:rsidRPr="00F9387F">
        <w:rPr>
          <w:rFonts w:ascii="Times New Roman" w:hAnsi="Times New Roman" w:cs="Times New Roman"/>
        </w:rPr>
        <w:t xml:space="preserve">Gydymo </w:t>
      </w:r>
      <w:r w:rsidRPr="00D003DC">
        <w:rPr>
          <w:rFonts w:ascii="Times New Roman" w:hAnsi="Times New Roman" w:cs="Times New Roman"/>
        </w:rPr>
        <w:t>CoCodamol</w:t>
      </w:r>
      <w:r w:rsidRPr="00F9387F">
        <w:rPr>
          <w:rFonts w:ascii="Times New Roman" w:hAnsi="Times New Roman" w:cs="Times New Roman"/>
        </w:rPr>
        <w:t xml:space="preserve"> laikotarpiu nedelsdami pasakykite gydytojui</w:t>
      </w:r>
      <w:r>
        <w:rPr>
          <w:rFonts w:ascii="Times New Roman" w:hAnsi="Times New Roman" w:cs="Times New Roman"/>
        </w:rPr>
        <w:t>, jeigu</w:t>
      </w:r>
      <w:r w:rsidRPr="00F9387F">
        <w:rPr>
          <w:rFonts w:ascii="Times New Roman" w:hAnsi="Times New Roman" w:cs="Times New Roman"/>
        </w:rPr>
        <w:t>:</w:t>
      </w:r>
    </w:p>
    <w:p w:rsidR="006B0731" w:rsidRPr="00F9387F" w:rsidRDefault="006B0731" w:rsidP="006B0731">
      <w:pPr>
        <w:pStyle w:val="Sraopastraipa"/>
        <w:numPr>
          <w:ilvl w:val="0"/>
          <w:numId w:val="4"/>
        </w:numPr>
        <w:ind w:left="567" w:hanging="567"/>
        <w:rPr>
          <w:lang w:val="lt-LT"/>
        </w:rPr>
      </w:pPr>
      <w:r w:rsidRPr="00F9387F">
        <w:rPr>
          <w:lang w:val="lt-LT"/>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6B0731"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Ilgalaikis reguliarus kodeino vartojimas gali sąlygoti potraukį, dėl kurio galite jaustis neramūs ir dirglūs, kai tablečių vartojimą nutrauksite.</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Galvos skausmas, analgetikais malšinamas per dažnai arba per ilgai, gali sustiprėti.</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CoCodamol niekada nevartokite daugiau negu rekomenduojama. Didesnės dozės skausmo stipriau nemalšina, tačiau gali sukelti sunkų kepenų pažeidimą. Kepenų pažeidimo simptomų pirmą kartą atsiranda po kelių dienų. Taigi labai svarbu, kad kuo greičiau susisiektumėte su savo gydytoju, jeigu CoCodamol pavartojote daugiau negu rekomenduojama šiame lapelyje.</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Kepenyse fermentai kodeiną verčia morfinu. Morfinas yra skausmą lengvinanti medžiaga. Kai kurių pacientų šis fermentas yra pakitęs, todėl gali skirtingai veikti. Kai kurių žmonių organizme morfinas iš kodeino negaminamas arba jo gaminama mažai, todėl jis pakankamai skausmo nemalšins. Kitiems žmonėms labiau tikėtinas sunkus šalutinis poveikis, kadangi jų organizme morfino iš kodeino gaminama labai daug. Šio vaisto vartojimą turite nedelsdami nutraukti ir kreiptis į gydytoją, jeigu atsiranda bet kuris iš šio šalutinio poveikio: paviršutiniškas kvėpavimas, sumišimas, mieguistumas, maži vyzdžiai, pykinimas arba vėmimas, vidurių užkietėjimas, apetito praradimas.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Vaikams ir paaugliams</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CoCodamol negalima vartoti jaunesniems kaip 12</w:t>
      </w:r>
      <w:r>
        <w:rPr>
          <w:rFonts w:ascii="Times New Roman" w:hAnsi="Times New Roman"/>
        </w:rPr>
        <w:t> </w:t>
      </w:r>
      <w:r w:rsidRPr="00EF17FD">
        <w:rPr>
          <w:rFonts w:ascii="Times New Roman" w:hAnsi="Times New Roman"/>
        </w:rPr>
        <w:t>metų vaikams.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i/>
        </w:rPr>
      </w:pPr>
      <w:r w:rsidRPr="00EF17FD">
        <w:rPr>
          <w:rFonts w:ascii="Times New Roman" w:hAnsi="Times New Roman"/>
          <w:i/>
        </w:rPr>
        <w:t>Vaikams ir paaugliams po chirurginės operacijos</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Vaikams ir paaugliams po dėl obstrukcinės miego apnėjos sindromo atlikto chirurginio tonzilių arba adenoidų pašalinimo, skausmui malšinti kodeino vartoti negalima.</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i/>
        </w:rPr>
      </w:pPr>
      <w:r w:rsidRPr="00EF17FD">
        <w:rPr>
          <w:rFonts w:ascii="Times New Roman" w:hAnsi="Times New Roman"/>
          <w:i/>
        </w:rPr>
        <w:t>Vaikams ir paaugliams, turintiems kvėpavimo sutrikimų</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lastRenderedPageBreak/>
        <w:t>Kvėpavimo sutrikimų turintiems vaikams ir paaugliams kodeino vartoti nerekomenduojama, kadangi jiems morfino toksinio poveikio simptomai gali būti sunkesni.</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Kiti vaistai ir CoCodamol</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Jeigu vartojate ar neseniai vartojote kitų vaistų arba dėl to nesate tikri, apie tai pasakykite gydytojui arba vaistininkui. Tai ypač svarbu, jeigu vartojate:</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vaistų depresijai gydyti;</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vaistų, nuo kurių tampate apsnūdęs arba mieguistas (CNS slopinantys preparatai), pvz., migdomųjų tablečių, vaistų nuo nerimo arba anestetikų;</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vaistų, vartojamų kraujui skystinti, pvz., varfarino;</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vaistų nuo nereguliaraus širdies plakimo, pvz., chinidino;</w:t>
      </w:r>
    </w:p>
    <w:p w:rsidR="006B0731" w:rsidRPr="00782397"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antibiotikų, vartojamų infekcinėms ligoms gydyti (pvz., chloramfenikolio, rifampicino);</w:t>
      </w:r>
    </w:p>
    <w:p w:rsidR="006B0731" w:rsidRPr="00F9387F" w:rsidRDefault="006B0731" w:rsidP="006B0731">
      <w:pPr>
        <w:pStyle w:val="Sraopastraipa"/>
        <w:numPr>
          <w:ilvl w:val="0"/>
          <w:numId w:val="1"/>
        </w:numPr>
        <w:ind w:left="567" w:hanging="567"/>
        <w:rPr>
          <w:lang w:val="lt-LT"/>
        </w:rPr>
      </w:pPr>
      <w:r w:rsidRPr="00D003DC">
        <w:rPr>
          <w:lang w:val="lt-LT"/>
        </w:rPr>
        <w:t>flukloksaciliną (antibiotiką) dėl didelės kraujo ir skysčių tyrimų nenormalių rodiklių (vadinamos metabolinės acidozės) rizikos (žr. 2 skyrių), kurią reikia skubiai gydyti</w:t>
      </w:r>
      <w:r>
        <w:rPr>
          <w:lang w:val="lt-LT"/>
        </w:rPr>
        <w:t>;</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metoklopramido arba domperidono (vaistai, vartojami pykinimui arba vėmimui stabdyti);</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kolestiramino (vaistas, vartojamas cholesterolio kiekiui kraujyje mažinti);</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probenecido (vaistas podagrai gydyti);</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paprastųjų jonažolių preparatų;</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cimetidino (vaistas, vartojamas rėmeniui ir peptinėms opoms gydyti);</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kitų analgetikų;</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barbitūratų (pvz., fenobarbitalio);</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vaistų nuo epilepsijos (pvz., fenitoino, karbamazepino);</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geriamųjų kontraceptinių tablečių.</w:t>
      </w:r>
    </w:p>
    <w:p w:rsidR="006B0731" w:rsidRDefault="006B0731" w:rsidP="006B0731">
      <w:pPr>
        <w:tabs>
          <w:tab w:val="left" w:pos="567"/>
        </w:tabs>
        <w:snapToGrid w:val="0"/>
        <w:spacing w:after="0" w:line="260" w:lineRule="exact"/>
        <w:rPr>
          <w:rFonts w:ascii="Times New Roman" w:hAnsi="Times New Roman"/>
        </w:rPr>
      </w:pPr>
    </w:p>
    <w:p w:rsidR="006B0731" w:rsidRPr="002522C3" w:rsidRDefault="006B0731" w:rsidP="006B0731">
      <w:pPr>
        <w:tabs>
          <w:tab w:val="left" w:pos="567"/>
        </w:tabs>
        <w:snapToGrid w:val="0"/>
        <w:spacing w:after="0" w:line="260" w:lineRule="exact"/>
        <w:rPr>
          <w:rFonts w:ascii="Times New Roman" w:hAnsi="Times New Roman"/>
        </w:rPr>
      </w:pPr>
      <w:r>
        <w:rPr>
          <w:rFonts w:ascii="Times New Roman" w:hAnsi="Times New Roman"/>
        </w:rPr>
        <w:t xml:space="preserve">CoCodamol </w:t>
      </w:r>
      <w:r w:rsidRPr="006E385F">
        <w:rPr>
          <w:rFonts w:ascii="Times New Roman" w:hAnsi="Times New Roman"/>
        </w:rPr>
        <w:t xml:space="preserve">vartojimas kartu su raminamaisiais vaistais, pvz., benzodiazepinais ar </w:t>
      </w:r>
      <w:r>
        <w:rPr>
          <w:rFonts w:ascii="Times New Roman" w:hAnsi="Times New Roman"/>
        </w:rPr>
        <w:t>į juos panašiais</w:t>
      </w:r>
      <w:r w:rsidRPr="006E385F">
        <w:rPr>
          <w:rFonts w:ascii="Times New Roman" w:hAnsi="Times New Roman"/>
        </w:rPr>
        <w:t xml:space="preserve"> vaistais, didina mieguistumo, pasunkėjusio kvėpavimo (kvėpavimo slopinimo), komos riziką ir gali būti pavojingas gyvybei. Dėl to šių vaistų skyrimą kartu reikia svarstyti tik, kai negalima taikyti kitų gydymo variantų.</w:t>
      </w:r>
    </w:p>
    <w:p w:rsidR="006B0731" w:rsidRPr="002522C3" w:rsidRDefault="006B0731" w:rsidP="006B0731">
      <w:pPr>
        <w:tabs>
          <w:tab w:val="left" w:pos="567"/>
        </w:tabs>
        <w:snapToGrid w:val="0"/>
        <w:spacing w:after="0" w:line="260" w:lineRule="exact"/>
        <w:rPr>
          <w:rFonts w:ascii="Times New Roman" w:hAnsi="Times New Roman"/>
        </w:rPr>
      </w:pPr>
      <w:r w:rsidRPr="006E385F">
        <w:rPr>
          <w:rFonts w:ascii="Times New Roman" w:hAnsi="Times New Roman"/>
        </w:rPr>
        <w:t xml:space="preserve">Tačiau jeigu gydytojas skiria </w:t>
      </w:r>
      <w:r>
        <w:rPr>
          <w:rFonts w:ascii="Times New Roman" w:hAnsi="Times New Roman"/>
        </w:rPr>
        <w:t>CoCodamol</w:t>
      </w:r>
      <w:r w:rsidRPr="006E385F">
        <w:rPr>
          <w:rFonts w:ascii="Times New Roman" w:hAnsi="Times New Roman"/>
        </w:rPr>
        <w:t xml:space="preserve"> kartu su raminamaisiais vaistais, gydytojas </w:t>
      </w:r>
      <w:r>
        <w:rPr>
          <w:rFonts w:ascii="Times New Roman" w:hAnsi="Times New Roman"/>
        </w:rPr>
        <w:t>turi parinkti mažiausią veiksmingą dozę</w:t>
      </w:r>
      <w:r w:rsidRPr="006E385F">
        <w:rPr>
          <w:rFonts w:ascii="Times New Roman" w:hAnsi="Times New Roman"/>
        </w:rPr>
        <w:t xml:space="preserve"> ir mažiausią vartojimo kartu trukmę.</w:t>
      </w:r>
    </w:p>
    <w:p w:rsidR="006B0731" w:rsidRDefault="006B0731" w:rsidP="006B0731">
      <w:pPr>
        <w:tabs>
          <w:tab w:val="left" w:pos="567"/>
        </w:tabs>
        <w:snapToGrid w:val="0"/>
        <w:spacing w:after="0" w:line="260" w:lineRule="exact"/>
        <w:rPr>
          <w:rFonts w:ascii="Times New Roman" w:hAnsi="Times New Roman"/>
        </w:rPr>
      </w:pPr>
      <w:r w:rsidRPr="006E385F">
        <w:rPr>
          <w:rFonts w:ascii="Times New Roman" w:hAnsi="Times New Roman"/>
        </w:rPr>
        <w:t xml:space="preserve">Pasakykite gydytojui apie visus Jūsų vartojamus raminamuosius vaistus ir atidžiai laikykitės gydytojo rekomenduojamų dozių. Gali būti naudinga informuoti draugus arba giminaičius apie </w:t>
      </w:r>
      <w:r>
        <w:rPr>
          <w:rFonts w:ascii="Times New Roman" w:hAnsi="Times New Roman"/>
        </w:rPr>
        <w:t>aukščiau</w:t>
      </w:r>
      <w:r w:rsidRPr="006E385F">
        <w:rPr>
          <w:rFonts w:ascii="Times New Roman" w:hAnsi="Times New Roman"/>
        </w:rPr>
        <w:t xml:space="preserve"> nurodytus požymius bei simptomus. Jeigu pasireiškė tokių simptomų, kreipkitės į gydytoją.</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Vartodami CoCodamol, kitų preparatų, kuriuose yra paracetamolio, turite nevartoti.</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Tai kai kurie vaistai nuo skausmo, kosulio ar peršalimo, taip pat daug kitų vaistų, kurių išrašo gydytojas arba kurių įsigyjama vaistinėse.</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CoCodamol vartojimas su maistu, gėrimais ir alkoholiu</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Vartodami šių tablečių, alkoholio turite negerti. Tai todėl, kad alkoholis gali didinti sunkaus šalutinio poveikio riziką.</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Nėštumas ir žindymo laikotarpis</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Jeigu esate nėščia, žindote kūdikį, manote, kad galbūt esate nėščia, arba planuojate pastoti, tai prieš vartodama šį vaistą, pasitarkite su gydytoju arba vaistininku.</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Nėštumo metu CoCodamol vartoti negalima, nebent tik gydytojui patarus. Reguliarus vartojimas nėštumo metu naujagimiui gali sąlygoti abstinencijos simptomus. Jeigu nėštumo metu vartojate, tai turite gerti mažiausią galimą dozę, kuri mažina Jūsų skausmą ir (arba) karščiavimą, ir ją vartoti kuo trumpiau.</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Žindymo laikotarpiu CoCodamol nevartokite, kadangi veikliųjų jo medžiagų išsiskiria į motinos pieną.</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Vairavimas ir mechanizmų valdymas</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lastRenderedPageBreak/>
        <w:t>Vartodami CoCodamol, galite justi svaigulį ir mieguistumą. Jeigu taip atsitinka, nevairuokite ir nevaldykite mechanizmų.</w:t>
      </w:r>
    </w:p>
    <w:p w:rsidR="006B0731" w:rsidRPr="00EF17FD" w:rsidRDefault="006B0731" w:rsidP="006B0731">
      <w:pPr>
        <w:tabs>
          <w:tab w:val="left" w:pos="567"/>
        </w:tabs>
        <w:snapToGrid w:val="0"/>
        <w:spacing w:after="0" w:line="260" w:lineRule="exact"/>
        <w:rPr>
          <w:rFonts w:ascii="Times New Roman" w:hAnsi="Times New Roman"/>
        </w:rPr>
      </w:pPr>
    </w:p>
    <w:p w:rsidR="006B0731" w:rsidRPr="006E385F" w:rsidRDefault="006B0731" w:rsidP="006B0731">
      <w:pPr>
        <w:tabs>
          <w:tab w:val="left" w:pos="567"/>
        </w:tabs>
        <w:snapToGrid w:val="0"/>
        <w:spacing w:after="0" w:line="260" w:lineRule="exact"/>
        <w:rPr>
          <w:rFonts w:ascii="Times New Roman" w:hAnsi="Times New Roman"/>
          <w:b/>
        </w:rPr>
      </w:pPr>
      <w:r w:rsidRPr="006E385F">
        <w:rPr>
          <w:rFonts w:ascii="Times New Roman" w:hAnsi="Times New Roman"/>
          <w:b/>
        </w:rPr>
        <w:t>CoCodamol sudėtyje yra natrio</w:t>
      </w:r>
    </w:p>
    <w:p w:rsidR="006B0731" w:rsidRDefault="006B0731" w:rsidP="006B0731">
      <w:pPr>
        <w:tabs>
          <w:tab w:val="left" w:pos="567"/>
        </w:tabs>
        <w:snapToGrid w:val="0"/>
        <w:spacing w:after="0" w:line="260" w:lineRule="exact"/>
        <w:rPr>
          <w:rFonts w:ascii="Times New Roman" w:hAnsi="Times New Roman"/>
        </w:rPr>
      </w:pPr>
      <w:r w:rsidRPr="006E385F">
        <w:rPr>
          <w:rFonts w:ascii="Times New Roman" w:hAnsi="Times New Roman"/>
        </w:rPr>
        <w:t>Šio vaisto plėvele dengtoje tabletėje yra mažiau kaip 1 mmol (23 mg) natrio, t. y. jis beveik neturi reikšmės.</w:t>
      </w:r>
    </w:p>
    <w:p w:rsidR="006B0731" w:rsidRDefault="006B0731" w:rsidP="006B0731">
      <w:pPr>
        <w:tabs>
          <w:tab w:val="left" w:pos="567"/>
        </w:tabs>
        <w:snapToGrid w:val="0"/>
        <w:spacing w:after="0" w:line="240" w:lineRule="auto"/>
        <w:rPr>
          <w:rFonts w:ascii="Times New Roman" w:hAnsi="Times New Roman"/>
        </w:rPr>
      </w:pPr>
    </w:p>
    <w:p w:rsidR="006B0731" w:rsidRPr="00EF17FD" w:rsidRDefault="006B0731" w:rsidP="006B0731">
      <w:pPr>
        <w:tabs>
          <w:tab w:val="left" w:pos="567"/>
        </w:tabs>
        <w:snapToGrid w:val="0"/>
        <w:spacing w:after="0" w:line="240" w:lineRule="auto"/>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3.</w:t>
      </w:r>
      <w:r w:rsidRPr="00EF17FD">
        <w:rPr>
          <w:rFonts w:ascii="Times New Roman" w:hAnsi="Times New Roman"/>
          <w:b/>
        </w:rPr>
        <w:tab/>
        <w:t>Kaip vartoti CoCodamol</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Visada vartokite šį vaistą tiksliai kaip nurodė gydytojas arba vaistininkas. Jeigu abejojate, kreipkitės į gydytoją arba vaistininką.</w:t>
      </w:r>
    </w:p>
    <w:p w:rsidR="006B0731" w:rsidRPr="00EF17FD" w:rsidRDefault="006B0731" w:rsidP="006B0731">
      <w:pPr>
        <w:tabs>
          <w:tab w:val="left" w:pos="567"/>
        </w:tabs>
        <w:snapToGrid w:val="0"/>
        <w:spacing w:after="0" w:line="260" w:lineRule="exact"/>
        <w:rPr>
          <w:rFonts w:ascii="Times New Roman" w:hAnsi="Times New Roman"/>
        </w:rPr>
      </w:pPr>
    </w:p>
    <w:p w:rsidR="006B0731" w:rsidRPr="00B20F83" w:rsidRDefault="006B0731" w:rsidP="006B0731">
      <w:pPr>
        <w:numPr>
          <w:ilvl w:val="0"/>
          <w:numId w:val="3"/>
        </w:numPr>
        <w:tabs>
          <w:tab w:val="left" w:pos="0"/>
          <w:tab w:val="left" w:pos="567"/>
        </w:tabs>
        <w:snapToGrid w:val="0"/>
        <w:spacing w:after="0" w:line="260" w:lineRule="exact"/>
        <w:ind w:left="567" w:hanging="567"/>
        <w:contextualSpacing/>
        <w:rPr>
          <w:b/>
        </w:rPr>
      </w:pPr>
      <w:r w:rsidRPr="00EF17FD">
        <w:rPr>
          <w:rFonts w:ascii="Times New Roman" w:hAnsi="Times New Roman"/>
          <w:b/>
        </w:rPr>
        <w:t>Didesnės negu rekomenduojama dozės nevartokite.</w:t>
      </w:r>
    </w:p>
    <w:p w:rsidR="006B0731" w:rsidRPr="00B20F83" w:rsidRDefault="006B0731" w:rsidP="006B0731">
      <w:pPr>
        <w:numPr>
          <w:ilvl w:val="0"/>
          <w:numId w:val="3"/>
        </w:numPr>
        <w:tabs>
          <w:tab w:val="left" w:pos="0"/>
          <w:tab w:val="left" w:pos="567"/>
        </w:tabs>
        <w:snapToGrid w:val="0"/>
        <w:spacing w:after="0" w:line="260" w:lineRule="exact"/>
        <w:ind w:left="567" w:hanging="567"/>
        <w:contextualSpacing/>
      </w:pPr>
      <w:r w:rsidRPr="00EF17FD">
        <w:rPr>
          <w:rFonts w:ascii="Times New Roman" w:hAnsi="Times New Roman"/>
          <w:b/>
        </w:rPr>
        <w:t>Ilgiau negu 3</w:t>
      </w:r>
      <w:r>
        <w:rPr>
          <w:rFonts w:ascii="Times New Roman" w:hAnsi="Times New Roman"/>
          <w:b/>
        </w:rPr>
        <w:t> </w:t>
      </w:r>
      <w:r w:rsidRPr="00EF17FD">
        <w:rPr>
          <w:rFonts w:ascii="Times New Roman" w:hAnsi="Times New Roman"/>
          <w:b/>
        </w:rPr>
        <w:t>dienas šio vaisto vartoti negalima. Jeigu per 3</w:t>
      </w:r>
      <w:r>
        <w:rPr>
          <w:rFonts w:ascii="Times New Roman" w:hAnsi="Times New Roman"/>
          <w:b/>
        </w:rPr>
        <w:t> </w:t>
      </w:r>
      <w:r w:rsidRPr="00EF17FD">
        <w:rPr>
          <w:rFonts w:ascii="Times New Roman" w:hAnsi="Times New Roman"/>
          <w:b/>
        </w:rPr>
        <w:t>dienas skausmas nepalengvėjo, kreipkitės į gydytoją.</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Šį vaistą vartokite per burną.</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Nurykite visą tabletę, užgerdami vandeniu. Jei reikia, tabletę galima perlaužti pusiau, kad būtų lengviau nuryti.</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u w:val="single"/>
        </w:rPr>
      </w:pPr>
      <w:r w:rsidRPr="00EF17FD">
        <w:rPr>
          <w:rFonts w:ascii="Times New Roman" w:hAnsi="Times New Roman"/>
          <w:u w:val="single"/>
        </w:rPr>
        <w:t>Suaugusiems žmonėms</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Rekomenduojama dozė CoCodamol dozė yra 1</w:t>
      </w:r>
      <w:r>
        <w:rPr>
          <w:rFonts w:ascii="Times New Roman" w:hAnsi="Times New Roman"/>
        </w:rPr>
        <w:t> </w:t>
      </w:r>
      <w:r w:rsidRPr="00EF17FD">
        <w:rPr>
          <w:rFonts w:ascii="Times New Roman" w:hAnsi="Times New Roman"/>
        </w:rPr>
        <w:t>arba 2</w:t>
      </w:r>
      <w:r>
        <w:rPr>
          <w:rFonts w:ascii="Times New Roman" w:hAnsi="Times New Roman"/>
        </w:rPr>
        <w:t> </w:t>
      </w:r>
      <w:r w:rsidRPr="00EF17FD">
        <w:rPr>
          <w:rFonts w:ascii="Times New Roman" w:hAnsi="Times New Roman"/>
        </w:rPr>
        <w:t>tabletės.</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Kitą dozę gerkite ne anksčiau kaip po 4 valandų.</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Daugiau negu 8</w:t>
      </w:r>
      <w:r>
        <w:rPr>
          <w:rFonts w:ascii="Times New Roman" w:hAnsi="Times New Roman"/>
        </w:rPr>
        <w:t> </w:t>
      </w:r>
      <w:r w:rsidRPr="00EF17FD">
        <w:rPr>
          <w:rFonts w:ascii="Times New Roman" w:hAnsi="Times New Roman"/>
        </w:rPr>
        <w:t>tablečių 24 valandų laikotarpiu negerkite.</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Senyviems pacientams gali būti išrašyta mažesnė dozė.</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Pacientams, kurių inkstų funkcija sutrikusi, gali reikėti ilginti intervalą tarp dozių vartojimo.</w:t>
      </w:r>
    </w:p>
    <w:p w:rsidR="006B0731" w:rsidRPr="00EF17FD" w:rsidRDefault="006B0731" w:rsidP="006B0731">
      <w:pPr>
        <w:tabs>
          <w:tab w:val="left" w:pos="567"/>
        </w:tabs>
        <w:snapToGrid w:val="0"/>
        <w:spacing w:after="0" w:line="260" w:lineRule="exact"/>
        <w:ind w:left="357" w:hanging="357"/>
        <w:rPr>
          <w:rFonts w:ascii="Times New Roman" w:hAnsi="Times New Roman"/>
          <w:u w:val="single"/>
        </w:rPr>
      </w:pPr>
    </w:p>
    <w:p w:rsidR="006B0731" w:rsidRPr="00EF17FD" w:rsidRDefault="006B0731" w:rsidP="006B0731">
      <w:pPr>
        <w:tabs>
          <w:tab w:val="left" w:pos="567"/>
        </w:tabs>
        <w:snapToGrid w:val="0"/>
        <w:spacing w:after="0" w:line="260" w:lineRule="exact"/>
        <w:ind w:left="357" w:hanging="357"/>
        <w:rPr>
          <w:rFonts w:ascii="Times New Roman" w:hAnsi="Times New Roman"/>
          <w:u w:val="single"/>
        </w:rPr>
      </w:pPr>
      <w:r w:rsidRPr="00EF17FD">
        <w:rPr>
          <w:rFonts w:ascii="Times New Roman" w:hAnsi="Times New Roman"/>
          <w:u w:val="single"/>
        </w:rPr>
        <w:t>16</w:t>
      </w:r>
      <w:r>
        <w:rPr>
          <w:rFonts w:ascii="Times New Roman" w:hAnsi="Times New Roman"/>
          <w:u w:val="single"/>
        </w:rPr>
        <w:t> </w:t>
      </w:r>
      <w:r w:rsidRPr="00EF17FD">
        <w:rPr>
          <w:rFonts w:ascii="Times New Roman" w:hAnsi="Times New Roman"/>
          <w:u w:val="single"/>
        </w:rPr>
        <w:t>metų ir vyresniems paaugliams, sveriantiems daugiau kaip 50 </w:t>
      </w:r>
      <w:r>
        <w:rPr>
          <w:rFonts w:ascii="Times New Roman" w:hAnsi="Times New Roman"/>
          <w:u w:val="single"/>
        </w:rPr>
        <w:t>k</w:t>
      </w:r>
      <w:r w:rsidRPr="00EF17FD">
        <w:rPr>
          <w:rFonts w:ascii="Times New Roman" w:hAnsi="Times New Roman"/>
          <w:u w:val="single"/>
        </w:rPr>
        <w:t>g</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Rekomenduojama CoCodamol dozė yra 1</w:t>
      </w:r>
      <w:r>
        <w:rPr>
          <w:rFonts w:ascii="Times New Roman" w:hAnsi="Times New Roman"/>
        </w:rPr>
        <w:t> </w:t>
      </w:r>
      <w:r w:rsidRPr="00EF17FD">
        <w:rPr>
          <w:rFonts w:ascii="Times New Roman" w:hAnsi="Times New Roman"/>
        </w:rPr>
        <w:t>arba 2</w:t>
      </w:r>
      <w:r>
        <w:rPr>
          <w:rFonts w:ascii="Times New Roman" w:hAnsi="Times New Roman"/>
        </w:rPr>
        <w:t> </w:t>
      </w:r>
      <w:r w:rsidRPr="00EF17FD">
        <w:rPr>
          <w:rFonts w:ascii="Times New Roman" w:hAnsi="Times New Roman"/>
        </w:rPr>
        <w:t>tabletės.</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Kitą dozę gerkite ne anksčiau kaip po 6 valandų.</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Daugiau negu 8</w:t>
      </w:r>
      <w:r>
        <w:rPr>
          <w:rFonts w:ascii="Times New Roman" w:hAnsi="Times New Roman"/>
        </w:rPr>
        <w:t> </w:t>
      </w:r>
      <w:r w:rsidRPr="00EF17FD">
        <w:rPr>
          <w:rFonts w:ascii="Times New Roman" w:hAnsi="Times New Roman"/>
        </w:rPr>
        <w:t>tablečių 24 valandų laikotarpiu negerkite.</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u w:val="single"/>
        </w:rPr>
      </w:pPr>
      <w:r w:rsidRPr="00EF17FD">
        <w:rPr>
          <w:rFonts w:ascii="Times New Roman" w:hAnsi="Times New Roman"/>
          <w:u w:val="single"/>
        </w:rPr>
        <w:t>12–15</w:t>
      </w:r>
      <w:r>
        <w:rPr>
          <w:rFonts w:ascii="Times New Roman" w:hAnsi="Times New Roman"/>
          <w:u w:val="single"/>
        </w:rPr>
        <w:t> </w:t>
      </w:r>
      <w:r w:rsidRPr="00EF17FD">
        <w:rPr>
          <w:rFonts w:ascii="Times New Roman" w:hAnsi="Times New Roman"/>
          <w:u w:val="single"/>
        </w:rPr>
        <w:t>metų vaikams paaugliams</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Rekomenduojama CoCodamol dozė yra 1</w:t>
      </w:r>
      <w:r>
        <w:rPr>
          <w:rFonts w:ascii="Times New Roman" w:hAnsi="Times New Roman"/>
        </w:rPr>
        <w:t> </w:t>
      </w:r>
      <w:r w:rsidRPr="00EF17FD">
        <w:rPr>
          <w:rFonts w:ascii="Times New Roman" w:hAnsi="Times New Roman"/>
        </w:rPr>
        <w:t>tabletė.</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Kitą dozę gerkite ne anksčiau kaip po 6 valandų.</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Daugiau negu 4</w:t>
      </w:r>
      <w:r>
        <w:rPr>
          <w:rFonts w:ascii="Times New Roman" w:hAnsi="Times New Roman"/>
        </w:rPr>
        <w:t> </w:t>
      </w:r>
      <w:r w:rsidRPr="00EF17FD">
        <w:rPr>
          <w:rFonts w:ascii="Times New Roman" w:hAnsi="Times New Roman"/>
        </w:rPr>
        <w:t>tablečių 24 valandų laikotarpiu negerkite.</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u w:val="single"/>
        </w:rPr>
      </w:pPr>
      <w:r w:rsidRPr="00EF17FD">
        <w:rPr>
          <w:rFonts w:ascii="Times New Roman" w:hAnsi="Times New Roman"/>
          <w:u w:val="single"/>
        </w:rPr>
        <w:t>Jaunesniems nei 12</w:t>
      </w:r>
      <w:r>
        <w:rPr>
          <w:rFonts w:ascii="Times New Roman" w:hAnsi="Times New Roman"/>
          <w:u w:val="single"/>
        </w:rPr>
        <w:t> </w:t>
      </w:r>
      <w:r w:rsidRPr="00EF17FD">
        <w:rPr>
          <w:rFonts w:ascii="Times New Roman" w:hAnsi="Times New Roman"/>
          <w:u w:val="single"/>
        </w:rPr>
        <w:t>metų vaikams</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Jaunesniems nei 12</w:t>
      </w:r>
      <w:r>
        <w:rPr>
          <w:rFonts w:ascii="Times New Roman" w:hAnsi="Times New Roman"/>
        </w:rPr>
        <w:t> </w:t>
      </w:r>
      <w:r w:rsidRPr="00EF17FD">
        <w:rPr>
          <w:rFonts w:ascii="Times New Roman" w:hAnsi="Times New Roman"/>
        </w:rPr>
        <w:t>metų vaikams CoCodamol 30 mg/500 mg plėvele dengtų tablečių vartoti negalima.</w:t>
      </w:r>
    </w:p>
    <w:p w:rsidR="006B0731" w:rsidRPr="00EF17FD" w:rsidRDefault="006B0731" w:rsidP="006B0731">
      <w:pPr>
        <w:tabs>
          <w:tab w:val="left" w:pos="567"/>
        </w:tabs>
        <w:snapToGrid w:val="0"/>
        <w:spacing w:after="0" w:line="260" w:lineRule="exact"/>
        <w:rPr>
          <w:rFonts w:ascii="Times New Roman" w:hAnsi="Times New Roman"/>
        </w:rPr>
      </w:pPr>
    </w:p>
    <w:p w:rsidR="006B0731" w:rsidRPr="00D11FBA" w:rsidRDefault="006B0731" w:rsidP="006B0731">
      <w:pPr>
        <w:spacing w:after="0" w:line="240" w:lineRule="auto"/>
        <w:rPr>
          <w:rFonts w:ascii="Times New Roman" w:eastAsia="Times New Roman" w:hAnsi="Times New Roman" w:cs="Times New Roman"/>
          <w:szCs w:val="20"/>
        </w:rPr>
      </w:pPr>
      <w:r w:rsidRPr="00D11FBA">
        <w:rPr>
          <w:rFonts w:ascii="Times New Roman" w:eastAsia="Times New Roman" w:hAnsi="Times New Roman" w:cs="Times New Roman"/>
          <w:i/>
          <w:szCs w:val="20"/>
          <w:highlight w:val="lightGray"/>
        </w:rPr>
        <w:t>[</w:t>
      </w:r>
      <w:r w:rsidRPr="0089396E">
        <w:rPr>
          <w:rFonts w:ascii="Times New Roman" w:eastAsia="Times New Roman" w:hAnsi="Times New Roman" w:cs="Times New Roman"/>
          <w:i/>
          <w:szCs w:val="20"/>
          <w:highlight w:val="lightGray"/>
        </w:rPr>
        <w:t>Tik vaikų sunkiai atidaromoms lizdinių plokštelių pakuotėms</w:t>
      </w:r>
      <w:r w:rsidRPr="00D11FBA">
        <w:rPr>
          <w:rFonts w:ascii="Times New Roman" w:eastAsia="Times New Roman" w:hAnsi="Times New Roman" w:cs="Times New Roman"/>
          <w:i/>
          <w:szCs w:val="20"/>
          <w:highlight w:val="lightGray"/>
        </w:rPr>
        <w:t>:]</w:t>
      </w:r>
    </w:p>
    <w:p w:rsidR="006B0731" w:rsidRPr="009A14FA" w:rsidRDefault="006B0731" w:rsidP="006B0731">
      <w:pPr>
        <w:tabs>
          <w:tab w:val="left" w:pos="567"/>
        </w:tabs>
        <w:spacing w:after="0" w:line="240" w:lineRule="auto"/>
        <w:rPr>
          <w:rFonts w:ascii="Times New Roman" w:eastAsia="TimesNewRoman" w:hAnsi="Times New Roman" w:cs="Times New Roman"/>
          <w:i/>
          <w:szCs w:val="20"/>
          <w:highlight w:val="lightGray"/>
          <w:lang w:val="is-IS" w:eastAsia="is-IS"/>
        </w:rPr>
      </w:pPr>
    </w:p>
    <w:p w:rsidR="006B0731" w:rsidRPr="0089396E" w:rsidRDefault="006B0731" w:rsidP="006B0731">
      <w:pPr>
        <w:tabs>
          <w:tab w:val="left" w:pos="567"/>
        </w:tabs>
        <w:spacing w:after="0" w:line="240" w:lineRule="auto"/>
        <w:rPr>
          <w:rFonts w:ascii="Times New Roman" w:eastAsia="TimesNewRoman" w:hAnsi="Times New Roman" w:cs="Times New Roman"/>
          <w:i/>
          <w:szCs w:val="20"/>
          <w:highlight w:val="lightGray"/>
          <w:lang w:val="is-IS" w:eastAsia="is-IS"/>
        </w:rPr>
      </w:pPr>
      <w:r w:rsidRPr="0089396E">
        <w:rPr>
          <w:rFonts w:ascii="Times New Roman" w:eastAsia="TimesNewRoman" w:hAnsi="Times New Roman" w:cs="Times New Roman"/>
          <w:i/>
          <w:szCs w:val="20"/>
          <w:highlight w:val="lightGray"/>
          <w:lang w:val="is-IS" w:eastAsia="is-IS"/>
        </w:rPr>
        <w:t>Vaikų sunkiai atidaromos lizdin</w:t>
      </w:r>
      <w:r w:rsidRPr="0089396E">
        <w:rPr>
          <w:rFonts w:ascii="Times New Roman" w:eastAsia="TimesNewRoman" w:hAnsi="Times New Roman" w:cs="Times New Roman"/>
          <w:i/>
          <w:szCs w:val="20"/>
          <w:highlight w:val="lightGray"/>
          <w:lang w:eastAsia="is-IS"/>
        </w:rPr>
        <w:t>ės plokštelės</w:t>
      </w:r>
      <w:r w:rsidRPr="0089396E">
        <w:rPr>
          <w:rFonts w:ascii="Times New Roman" w:eastAsia="TimesNewRoman" w:hAnsi="Times New Roman" w:cs="Times New Roman"/>
          <w:i/>
          <w:szCs w:val="20"/>
          <w:highlight w:val="lightGray"/>
          <w:lang w:val="is-IS" w:eastAsia="is-IS"/>
        </w:rPr>
        <w:t xml:space="preserve"> atidarymo instrukcija:</w:t>
      </w:r>
    </w:p>
    <w:p w:rsidR="006B0731" w:rsidRPr="00B20F83" w:rsidRDefault="006B0731" w:rsidP="006B0731">
      <w:pPr>
        <w:tabs>
          <w:tab w:val="left" w:pos="567"/>
        </w:tabs>
        <w:spacing w:after="0" w:line="260" w:lineRule="exact"/>
        <w:rPr>
          <w:rFonts w:ascii="Times New Roman" w:eastAsia="Times New Roman" w:hAnsi="Times New Roman" w:cs="Times New Roman"/>
          <w:noProof/>
          <w:szCs w:val="20"/>
          <w:highlight w:val="lightGray"/>
          <w:lang w:val="is-IS"/>
        </w:rPr>
      </w:pPr>
      <w:r w:rsidRPr="00B20F83">
        <w:rPr>
          <w:rFonts w:ascii="Times New Roman" w:eastAsia="Times New Roman" w:hAnsi="Times New Roman" w:cs="Times New Roman"/>
          <w:noProof/>
          <w:szCs w:val="20"/>
          <w:highlight w:val="lightGray"/>
          <w:lang w:val="is-IS"/>
        </w:rPr>
        <w:t>1. Nebandykite tabletės išstumti per plokštelės lizdą. Tabletės per apsauginę plokštelės foliją stumti negalima. Apsauginę foliją reikia nuplėšti.</w:t>
      </w:r>
    </w:p>
    <w:p w:rsidR="006B0731" w:rsidRPr="00B20F83" w:rsidRDefault="006B0731" w:rsidP="006B0731">
      <w:pPr>
        <w:tabs>
          <w:tab w:val="left" w:pos="567"/>
        </w:tabs>
        <w:spacing w:after="0" w:line="260" w:lineRule="exact"/>
        <w:rPr>
          <w:rFonts w:ascii="Times New Roman" w:eastAsia="Times New Roman" w:hAnsi="Times New Roman" w:cs="Times New Roman"/>
          <w:noProof/>
          <w:szCs w:val="20"/>
          <w:lang w:val="is-IS"/>
        </w:rPr>
      </w:pPr>
    </w:p>
    <w:p w:rsidR="006B0731" w:rsidRPr="00B20F83" w:rsidRDefault="006B0731" w:rsidP="006B0731">
      <w:pPr>
        <w:tabs>
          <w:tab w:val="left" w:pos="567"/>
        </w:tabs>
        <w:spacing w:after="0" w:line="260" w:lineRule="exact"/>
        <w:rPr>
          <w:rFonts w:ascii="Times New Roman" w:eastAsia="Times New Roman" w:hAnsi="Times New Roman" w:cs="Times New Roman"/>
          <w:noProof/>
          <w:szCs w:val="20"/>
          <w:highlight w:val="lightGray"/>
          <w:lang w:val="is-IS"/>
        </w:rPr>
      </w:pPr>
      <w:r w:rsidRPr="00B20F83">
        <w:rPr>
          <w:rFonts w:ascii="Times New Roman" w:eastAsia="Times New Roman" w:hAnsi="Times New Roman" w:cs="Times New Roman"/>
          <w:noProof/>
          <w:szCs w:val="20"/>
          <w:highlight w:val="lightGray"/>
          <w:lang w:val="is-IS"/>
        </w:rPr>
        <w:t xml:space="preserve">2. </w:t>
      </w:r>
      <w:r>
        <w:rPr>
          <w:rFonts w:ascii="Times New Roman" w:hAnsi="Times New Roman" w:cs="Times New Roman"/>
          <w:highlight w:val="lightGray"/>
        </w:rPr>
        <w:t>A</w:t>
      </w:r>
      <w:r w:rsidRPr="00B20F83">
        <w:rPr>
          <w:rFonts w:ascii="Times New Roman" w:eastAsia="Times New Roman" w:hAnsi="Times New Roman" w:cs="Times New Roman"/>
          <w:noProof/>
          <w:szCs w:val="20"/>
          <w:highlight w:val="lightGray"/>
          <w:lang w:val="is-IS"/>
        </w:rPr>
        <w:t>tskirkite vieną lizdą nuo plokštelės plėšdami per perforacijas.</w:t>
      </w:r>
    </w:p>
    <w:p w:rsidR="006B0731" w:rsidRPr="00B20F83" w:rsidRDefault="006B0731" w:rsidP="006B0731">
      <w:pPr>
        <w:tabs>
          <w:tab w:val="left" w:pos="567"/>
        </w:tabs>
        <w:spacing w:after="0" w:line="260" w:lineRule="exact"/>
        <w:rPr>
          <w:rFonts w:ascii="Times New Roman" w:eastAsia="Times New Roman" w:hAnsi="Times New Roman" w:cs="Times New Roman"/>
          <w:noProof/>
          <w:szCs w:val="20"/>
          <w:highlight w:val="lightGray"/>
          <w:lang w:val="is-IS"/>
        </w:rPr>
      </w:pPr>
    </w:p>
    <w:p w:rsidR="006B0731" w:rsidRPr="009A14FA" w:rsidRDefault="006B0731" w:rsidP="006B0731">
      <w:pPr>
        <w:spacing w:after="0" w:line="240" w:lineRule="auto"/>
        <w:rPr>
          <w:rFonts w:ascii="Times New Roman" w:eastAsia="Times New Roman" w:hAnsi="Times New Roman" w:cs="Times New Roman"/>
          <w:szCs w:val="20"/>
          <w:highlight w:val="lightGray"/>
          <w:lang w:val="en-GB"/>
        </w:rPr>
      </w:pPr>
      <w:r w:rsidRPr="009A14FA">
        <w:rPr>
          <w:rFonts w:ascii="Times New Roman" w:eastAsia="Times New Roman" w:hAnsi="Times New Roman" w:cs="Times New Roman"/>
          <w:noProof/>
          <w:szCs w:val="20"/>
          <w:lang w:eastAsia="lt-LT"/>
        </w:rPr>
        <w:lastRenderedPageBreak/>
        <w:drawing>
          <wp:inline distT="0" distB="0" distL="0" distR="0" wp14:anchorId="73598F35" wp14:editId="4DD7E3DB">
            <wp:extent cx="91440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p w:rsidR="006B0731" w:rsidRPr="00F9387F" w:rsidRDefault="006B0731" w:rsidP="006B0731">
      <w:pPr>
        <w:spacing w:after="0" w:line="240" w:lineRule="auto"/>
        <w:rPr>
          <w:rFonts w:ascii="Times New Roman" w:hAnsi="Times New Roman"/>
          <w:highlight w:val="lightGray"/>
          <w:lang w:val="pt-PT"/>
        </w:rPr>
      </w:pPr>
      <w:r w:rsidRPr="00F9387F" w:rsidDel="00190161">
        <w:rPr>
          <w:rFonts w:ascii="Times New Roman" w:hAnsi="Times New Roman"/>
          <w:highlight w:val="lightGray"/>
          <w:lang w:val="pt-PT"/>
        </w:rPr>
        <w:t xml:space="preserve"> </w:t>
      </w:r>
    </w:p>
    <w:p w:rsidR="006B0731" w:rsidRPr="00F9387F" w:rsidRDefault="006B0731" w:rsidP="006B0731">
      <w:pPr>
        <w:tabs>
          <w:tab w:val="left" w:pos="567"/>
        </w:tabs>
        <w:spacing w:after="0" w:line="260" w:lineRule="exact"/>
        <w:rPr>
          <w:rFonts w:ascii="Times New Roman" w:hAnsi="Times New Roman"/>
          <w:highlight w:val="lightGray"/>
          <w:lang w:val="pt-PT"/>
        </w:rPr>
      </w:pPr>
      <w:r w:rsidRPr="00F9387F">
        <w:rPr>
          <w:rFonts w:ascii="Times New Roman" w:hAnsi="Times New Roman"/>
          <w:highlight w:val="lightGray"/>
          <w:lang w:val="pt-PT"/>
        </w:rPr>
        <w:t>3. Atsargiai nuplėškite apsauginę lizdo foliją.</w:t>
      </w:r>
    </w:p>
    <w:p w:rsidR="006B0731" w:rsidRPr="00F9387F" w:rsidRDefault="006B0731" w:rsidP="006B0731">
      <w:pPr>
        <w:tabs>
          <w:tab w:val="left" w:pos="567"/>
        </w:tabs>
        <w:spacing w:after="0" w:line="260" w:lineRule="exact"/>
        <w:rPr>
          <w:rFonts w:ascii="Times New Roman" w:hAnsi="Times New Roman"/>
          <w:highlight w:val="lightGray"/>
          <w:lang w:val="pt-PT"/>
        </w:rPr>
      </w:pPr>
    </w:p>
    <w:p w:rsidR="006B0731" w:rsidRPr="00F9387F" w:rsidRDefault="006B0731" w:rsidP="006B0731">
      <w:pPr>
        <w:numPr>
          <w:ilvl w:val="12"/>
          <w:numId w:val="0"/>
        </w:numPr>
        <w:spacing w:after="0" w:line="240" w:lineRule="auto"/>
        <w:ind w:right="-2"/>
        <w:rPr>
          <w:rFonts w:ascii="Times New Roman" w:hAnsi="Times New Roman"/>
          <w:lang w:val="pt-PT"/>
        </w:rPr>
      </w:pPr>
      <w:r w:rsidRPr="009A14FA">
        <w:rPr>
          <w:rFonts w:ascii="Times New Roman" w:eastAsia="Times New Roman" w:hAnsi="Times New Roman" w:cs="Times New Roman"/>
          <w:noProof/>
          <w:szCs w:val="20"/>
          <w:lang w:eastAsia="lt-LT"/>
        </w:rPr>
        <w:drawing>
          <wp:anchor distT="0" distB="0" distL="114300" distR="114300" simplePos="0" relativeHeight="251659264" behindDoc="0" locked="0" layoutInCell="1" allowOverlap="1" wp14:anchorId="6E4D2F48" wp14:editId="221BDE7C">
            <wp:simplePos x="0" y="0"/>
            <wp:positionH relativeFrom="column">
              <wp:posOffset>6985</wp:posOffset>
            </wp:positionH>
            <wp:positionV relativeFrom="paragraph">
              <wp:posOffset>46990</wp:posOffset>
            </wp:positionV>
            <wp:extent cx="1087120" cy="9486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712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4FA">
        <w:rPr>
          <w:rFonts w:ascii="Times New Roman" w:eastAsia="Times New Roman" w:hAnsi="Times New Roman" w:cs="Times New Roman"/>
          <w:noProof/>
          <w:szCs w:val="20"/>
          <w:lang w:eastAsia="lt-LT"/>
        </w:rPr>
        <w:drawing>
          <wp:anchor distT="0" distB="0" distL="114300" distR="114300" simplePos="0" relativeHeight="251660288" behindDoc="0" locked="0" layoutInCell="1" allowOverlap="1" wp14:anchorId="2233024E" wp14:editId="19EC3A36">
            <wp:simplePos x="0" y="0"/>
            <wp:positionH relativeFrom="column">
              <wp:posOffset>1094105</wp:posOffset>
            </wp:positionH>
            <wp:positionV relativeFrom="paragraph">
              <wp:posOffset>46990</wp:posOffset>
            </wp:positionV>
            <wp:extent cx="1052195" cy="94869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2195"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731" w:rsidRPr="00F9387F" w:rsidRDefault="006B0731" w:rsidP="006B0731">
      <w:pPr>
        <w:numPr>
          <w:ilvl w:val="12"/>
          <w:numId w:val="0"/>
        </w:numPr>
        <w:spacing w:after="0" w:line="240" w:lineRule="auto"/>
        <w:ind w:right="-2"/>
        <w:rPr>
          <w:rFonts w:ascii="Times New Roman" w:hAnsi="Times New Roman"/>
          <w:lang w:val="pt-PT"/>
        </w:rPr>
      </w:pPr>
      <w:r w:rsidRPr="00F9387F">
        <w:rPr>
          <w:rFonts w:ascii="Times New Roman" w:hAnsi="Times New Roman"/>
          <w:highlight w:val="lightGray"/>
          <w:lang w:val="pt-PT"/>
        </w:rPr>
        <w:t>4. Išimkite tabletę iš lizdo.</w:t>
      </w:r>
    </w:p>
    <w:p w:rsidR="006B0731" w:rsidRPr="003825BC" w:rsidRDefault="006B0731" w:rsidP="006B0731">
      <w:pPr>
        <w:tabs>
          <w:tab w:val="left" w:pos="567"/>
        </w:tabs>
        <w:snapToGrid w:val="0"/>
        <w:spacing w:after="0" w:line="260" w:lineRule="exact"/>
        <w:rPr>
          <w:rFonts w:ascii="Times New Roman" w:eastAsia="Times New Roman" w:hAnsi="Times New Roman" w:cs="Times New Roman"/>
          <w:szCs w:val="20"/>
        </w:rPr>
      </w:pPr>
    </w:p>
    <w:p w:rsidR="006B0731" w:rsidRPr="00EF17FD" w:rsidRDefault="006B0731" w:rsidP="006B0731">
      <w:pPr>
        <w:tabs>
          <w:tab w:val="left" w:pos="567"/>
        </w:tabs>
        <w:snapToGrid w:val="0"/>
        <w:spacing w:after="0" w:line="260" w:lineRule="exact"/>
        <w:rPr>
          <w:rFonts w:ascii="Times New Roman" w:hAnsi="Times New Roman"/>
          <w:i/>
          <w:highlight w:val="lightGray"/>
        </w:rPr>
      </w:pPr>
      <w:r w:rsidRPr="00EF17FD">
        <w:rPr>
          <w:rFonts w:ascii="Times New Roman" w:hAnsi="Times New Roman"/>
          <w:i/>
          <w:highlight w:val="lightGray"/>
        </w:rPr>
        <w:t>Vaikų sunkiai atidaromos tablečių talpyklės atidarymo instrukcija</w:t>
      </w:r>
    </w:p>
    <w:p w:rsidR="006B0731" w:rsidRPr="00EF17FD" w:rsidRDefault="006B0731" w:rsidP="006B0731">
      <w:pPr>
        <w:tabs>
          <w:tab w:val="left" w:pos="567"/>
        </w:tabs>
        <w:snapToGrid w:val="0"/>
        <w:spacing w:after="0" w:line="260" w:lineRule="exact"/>
        <w:rPr>
          <w:rFonts w:ascii="Times New Roman" w:hAnsi="Times New Roman"/>
          <w:highlight w:val="lightGray"/>
        </w:rPr>
      </w:pPr>
      <w:r w:rsidRPr="00EF17FD">
        <w:rPr>
          <w:rFonts w:ascii="Times New Roman" w:hAnsi="Times New Roman"/>
          <w:highlight w:val="lightGray"/>
        </w:rPr>
        <w:t>Kad talpyklė atsidarytų, dangtelį paspauskite žemyn ir pasukite.</w:t>
      </w:r>
    </w:p>
    <w:p w:rsidR="006B0731" w:rsidRPr="00EF17FD" w:rsidRDefault="006B0731" w:rsidP="006B0731">
      <w:pPr>
        <w:tabs>
          <w:tab w:val="left" w:pos="567"/>
        </w:tabs>
        <w:snapToGrid w:val="0"/>
        <w:spacing w:after="0" w:line="240" w:lineRule="auto"/>
        <w:rPr>
          <w:rFonts w:ascii="Times New Roman" w:hAnsi="Times New Roman"/>
          <w:highlight w:val="lightGray"/>
        </w:rPr>
      </w:pPr>
    </w:p>
    <w:p w:rsidR="006B0731" w:rsidRPr="00EF17FD" w:rsidRDefault="006B0731" w:rsidP="006B0731">
      <w:pPr>
        <w:numPr>
          <w:ilvl w:val="12"/>
          <w:numId w:val="0"/>
        </w:numPr>
        <w:tabs>
          <w:tab w:val="left" w:pos="567"/>
        </w:tabs>
        <w:snapToGrid w:val="0"/>
        <w:spacing w:after="0" w:line="240" w:lineRule="auto"/>
        <w:ind w:right="-2"/>
        <w:rPr>
          <w:rFonts w:ascii="Times New Roman" w:hAnsi="Times New Roman"/>
        </w:rPr>
      </w:pPr>
      <w:r w:rsidRPr="00EF17FD">
        <w:rPr>
          <w:rFonts w:ascii="Times New Roman" w:hAnsi="Times New Roman"/>
          <w:noProof/>
          <w:color w:val="1F497D"/>
          <w:highlight w:val="lightGray"/>
          <w:lang w:eastAsia="lt-LT"/>
        </w:rPr>
        <w:drawing>
          <wp:inline distT="0" distB="0" distL="0" distR="0" wp14:anchorId="1681F539" wp14:editId="12A949C0">
            <wp:extent cx="2143125" cy="2238375"/>
            <wp:effectExtent l="0" t="0" r="9525" b="9525"/>
            <wp:docPr id="1" name="Picture 1" descr="cid:image003.jpg@01CF9567.153C0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F9567.153C09A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43125" cy="2238375"/>
                    </a:xfrm>
                    <a:prstGeom prst="rect">
                      <a:avLst/>
                    </a:prstGeom>
                    <a:noFill/>
                    <a:ln>
                      <a:noFill/>
                    </a:ln>
                  </pic:spPr>
                </pic:pic>
              </a:graphicData>
            </a:graphic>
          </wp:inline>
        </w:drawing>
      </w:r>
    </w:p>
    <w:p w:rsidR="006B0731" w:rsidRPr="00EF17FD" w:rsidRDefault="006B0731" w:rsidP="006B0731">
      <w:pPr>
        <w:tabs>
          <w:tab w:val="left" w:pos="567"/>
        </w:tabs>
        <w:autoSpaceDE w:val="0"/>
        <w:autoSpaceDN w:val="0"/>
        <w:adjustRightInd w:val="0"/>
        <w:snapToGrid w:val="0"/>
        <w:spacing w:after="0" w:line="240" w:lineRule="auto"/>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Ką daryti pavartojus per didelę CoCodamol dozę?</w:t>
      </w:r>
    </w:p>
    <w:p w:rsidR="006B0731" w:rsidRPr="00B20F83" w:rsidRDefault="006B0731" w:rsidP="006B0731">
      <w:pPr>
        <w:numPr>
          <w:ilvl w:val="0"/>
          <w:numId w:val="1"/>
        </w:numPr>
        <w:tabs>
          <w:tab w:val="left" w:pos="567"/>
        </w:tabs>
        <w:snapToGrid w:val="0"/>
        <w:spacing w:after="0" w:line="260" w:lineRule="exact"/>
        <w:ind w:left="357" w:hanging="357"/>
        <w:contextualSpacing/>
      </w:pPr>
      <w:r w:rsidRPr="00EF17FD">
        <w:rPr>
          <w:rFonts w:ascii="Times New Roman" w:hAnsi="Times New Roman"/>
        </w:rPr>
        <w:t>Tuoj pat susisiekite su savo gydytoju arba vykite į artimiausios ligoninės skubiosios medicinos pagalbos skyrių, net ir jausdamiesi gerai.</w:t>
      </w:r>
    </w:p>
    <w:p w:rsidR="006B0731" w:rsidRPr="00B20F83" w:rsidRDefault="006B0731" w:rsidP="006B0731">
      <w:pPr>
        <w:numPr>
          <w:ilvl w:val="0"/>
          <w:numId w:val="1"/>
        </w:numPr>
        <w:tabs>
          <w:tab w:val="left" w:pos="567"/>
        </w:tabs>
        <w:snapToGrid w:val="0"/>
        <w:spacing w:after="0" w:line="260" w:lineRule="exact"/>
        <w:ind w:left="357" w:hanging="357"/>
        <w:contextualSpacing/>
      </w:pPr>
      <w:r w:rsidRPr="00EF17FD">
        <w:rPr>
          <w:rFonts w:ascii="Times New Roman" w:hAnsi="Times New Roman"/>
        </w:rPr>
        <w:t>Nepamirškite su savimi pasiimti likusių tablečių ir jų pakuotės, kad gydytojas žinotų, ko Jūs pavartojote.</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Pamiršus pavartoti CoCodamol</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Jeigu reikiamu laiku dozę išgerti pamiršote, gerkite ją tuoj pat, kai tik prisiminsite.</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Vis dėlto, jeigu jau bus beveik atėjęs laikas vartoti kitą dozę, pamirštąją dozę praleiskite.</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 xml:space="preserve">Negalima vartoti dvigubos dozės norint kompensuoti praleistą dozę. Prisiminkite, kad suaugusiems žmonėms tarp dozių vartojimo reikia daryti bent 4 valandų pertrauką, </w:t>
      </w:r>
      <w:r>
        <w:rPr>
          <w:rFonts w:ascii="Times New Roman" w:hAnsi="Times New Roman"/>
        </w:rPr>
        <w:t>vaikams ir</w:t>
      </w:r>
      <w:r w:rsidRPr="00EF17FD">
        <w:rPr>
          <w:rFonts w:ascii="Times New Roman" w:hAnsi="Times New Roman"/>
        </w:rPr>
        <w:t xml:space="preserve"> paaugliams </w:t>
      </w:r>
      <w:r w:rsidRPr="00EF17FD">
        <w:rPr>
          <w:rFonts w:ascii="Times New Roman" w:hAnsi="Times New Roman"/>
        </w:rPr>
        <w:sym w:font="Symbol" w:char="F02D"/>
      </w:r>
      <w:r w:rsidRPr="00EF17FD">
        <w:rPr>
          <w:rFonts w:ascii="Times New Roman" w:hAnsi="Times New Roman"/>
        </w:rPr>
        <w:t xml:space="preserve"> be</w:t>
      </w:r>
      <w:r>
        <w:rPr>
          <w:rFonts w:ascii="Times New Roman" w:hAnsi="Times New Roman"/>
        </w:rPr>
        <w:t>n</w:t>
      </w:r>
      <w:r w:rsidRPr="00EF17FD">
        <w:rPr>
          <w:rFonts w:ascii="Times New Roman" w:hAnsi="Times New Roman"/>
        </w:rPr>
        <w:t>t 6 valandų pertrauką.</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Nustojus vartoti CoCodamol</w:t>
      </w:r>
    </w:p>
    <w:p w:rsidR="006B0731" w:rsidRPr="00EF17FD" w:rsidRDefault="006B0731" w:rsidP="006B0731">
      <w:pPr>
        <w:tabs>
          <w:tab w:val="left" w:pos="567"/>
        </w:tabs>
        <w:snapToGrid w:val="0"/>
        <w:spacing w:after="0" w:line="260" w:lineRule="exact"/>
        <w:rPr>
          <w:rFonts w:ascii="Times New Roman" w:hAnsi="Times New Roman"/>
          <w:b/>
          <w:i/>
        </w:rPr>
      </w:pPr>
      <w:r w:rsidRPr="00EF17FD">
        <w:rPr>
          <w:rFonts w:ascii="Times New Roman" w:hAnsi="Times New Roman"/>
          <w:b/>
          <w:i/>
        </w:rPr>
        <w:t>Gydymo keitimas arba sustabdymas</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Ilgalaikis CoCodamol vartojimas gali lemti pripratimą ir priklausomybę. Jeigu CoCodamol paros dozes reguliariai vartosite ilgai, Jums gali atsirasti abstinencijos simptomų, jeigu vartojimą nutrauksite staigiai. Kreipkitės į gydytoją patarimo, kaip palaipsniui nutraukti tablečių vartojimą, kad neatsirastų abstinencijos simptomų.</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Jeigu kiltų daugiau klausimų dėl šio vaisto vartojimo, kreipkitės į gydytoją, vaistininką arba slaugytoją.</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4.</w:t>
      </w:r>
      <w:r w:rsidRPr="00EF17FD">
        <w:rPr>
          <w:rFonts w:ascii="Times New Roman" w:hAnsi="Times New Roman"/>
          <w:b/>
        </w:rPr>
        <w:tab/>
        <w:t>Galimas šalutinis poveikis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Šis vaistas, kaip ir visi kiti, gali sukelti šalutinį poveikį, nors jis pasireiškia ne visiems žmonėms.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u w:val="single"/>
        </w:rPr>
      </w:pPr>
      <w:r w:rsidRPr="00EF17FD">
        <w:rPr>
          <w:rFonts w:ascii="Times New Roman" w:hAnsi="Times New Roman"/>
          <w:u w:val="single"/>
        </w:rPr>
        <w:t>Svarbus šalutinis poveikis, apie kurį turite žinoti</w:t>
      </w:r>
    </w:p>
    <w:p w:rsidR="006B0731" w:rsidRPr="00B20F83" w:rsidRDefault="006B0731" w:rsidP="006B0731">
      <w:pPr>
        <w:numPr>
          <w:ilvl w:val="0"/>
          <w:numId w:val="1"/>
        </w:numPr>
        <w:tabs>
          <w:tab w:val="left" w:pos="567"/>
        </w:tabs>
        <w:snapToGrid w:val="0"/>
        <w:spacing w:after="0" w:line="260" w:lineRule="exact"/>
        <w:ind w:left="567" w:hanging="567"/>
        <w:contextualSpacing/>
      </w:pPr>
      <w:r>
        <w:rPr>
          <w:rFonts w:ascii="Times New Roman" w:hAnsi="Times New Roman"/>
        </w:rPr>
        <w:t>a</w:t>
      </w:r>
      <w:r w:rsidRPr="00EF17FD">
        <w:rPr>
          <w:rFonts w:ascii="Times New Roman" w:hAnsi="Times New Roman"/>
        </w:rPr>
        <w:t>nalgetikais per dažnai arba per ilgai malšinamas galvos skausmas gali sustiprėti</w:t>
      </w:r>
      <w:r>
        <w:rPr>
          <w:rFonts w:ascii="Times New Roman" w:hAnsi="Times New Roman"/>
        </w:rPr>
        <w:t>;</w:t>
      </w:r>
    </w:p>
    <w:p w:rsidR="006B0731" w:rsidRPr="00B20F83" w:rsidRDefault="006B0731" w:rsidP="006B0731">
      <w:pPr>
        <w:numPr>
          <w:ilvl w:val="0"/>
          <w:numId w:val="1"/>
        </w:numPr>
        <w:tabs>
          <w:tab w:val="left" w:pos="567"/>
        </w:tabs>
        <w:snapToGrid w:val="0"/>
        <w:spacing w:after="0" w:line="260" w:lineRule="exact"/>
        <w:ind w:left="567" w:hanging="567"/>
        <w:contextualSpacing/>
      </w:pPr>
      <w:r>
        <w:rPr>
          <w:rFonts w:ascii="Times New Roman" w:hAnsi="Times New Roman"/>
        </w:rPr>
        <w:t>r</w:t>
      </w:r>
      <w:r w:rsidRPr="00EF17FD">
        <w:rPr>
          <w:rFonts w:ascii="Times New Roman" w:hAnsi="Times New Roman"/>
        </w:rPr>
        <w:t>eguliarus ilgalaikis kodeino vartojimas gali sąlygoti potraukį, dėl kurio, tablečių vartojimą sustabdę, galite jaustis neramūs ir dirglūs.</w:t>
      </w:r>
    </w:p>
    <w:p w:rsidR="006B0731" w:rsidRPr="00EF17FD" w:rsidRDefault="006B0731" w:rsidP="006B0731">
      <w:pPr>
        <w:tabs>
          <w:tab w:val="left" w:pos="567"/>
        </w:tabs>
        <w:snapToGrid w:val="0"/>
        <w:spacing w:after="0" w:line="260" w:lineRule="exact"/>
        <w:ind w:left="357" w:hanging="357"/>
        <w:rPr>
          <w:rFonts w:ascii="Times New Roman" w:hAnsi="Times New Roman"/>
        </w:rPr>
      </w:pPr>
    </w:p>
    <w:p w:rsidR="006B0731" w:rsidRPr="00EF17FD" w:rsidRDefault="006B0731" w:rsidP="006B0731">
      <w:pPr>
        <w:tabs>
          <w:tab w:val="left" w:pos="567"/>
        </w:tabs>
        <w:snapToGrid w:val="0"/>
        <w:spacing w:after="0" w:line="260" w:lineRule="exact"/>
        <w:ind w:left="357" w:hanging="357"/>
        <w:rPr>
          <w:rFonts w:ascii="Times New Roman" w:hAnsi="Times New Roman"/>
        </w:rPr>
      </w:pPr>
      <w:r w:rsidRPr="00EF17FD">
        <w:rPr>
          <w:rFonts w:ascii="Times New Roman" w:hAnsi="Times New Roman"/>
          <w:u w:val="single"/>
        </w:rPr>
        <w:t>Tuoj pat nustokite CoCodamol vartoti ir kreipkitės į gydytoją arba vykite į ligoninę, jeigu:</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pasunkėjo kvėpavimas arba juntate svaigulį;</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 xml:space="preserve">atsirado rankų, kojų, kulkšnių, veido, lūpų ar ryklės sutinimas, galintis pasunkinti rijimą ar kvėpavimą. Jums taip pat gali pasireikšti niežtintis kauburiuotas išbėrimas arba dilgėlinė. Tai gali reikšti, kad CoCodamol sukėlė </w:t>
      </w:r>
      <w:r w:rsidRPr="00EF17FD">
        <w:rPr>
          <w:rFonts w:ascii="Times New Roman" w:hAnsi="Times New Roman"/>
          <w:b/>
        </w:rPr>
        <w:t>alerginę reakciją</w:t>
      </w:r>
      <w:r w:rsidRPr="00E0673B">
        <w:rPr>
          <w:rFonts w:ascii="Times New Roman" w:hAnsi="Times New Roman"/>
          <w:b/>
        </w:rPr>
        <w:t>;</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pasireiškė sunki odos reakcija; ji pasitaikė labai retai.</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u w:val="single"/>
        </w:rPr>
      </w:pPr>
      <w:r w:rsidRPr="00EF17FD">
        <w:rPr>
          <w:rFonts w:ascii="Times New Roman" w:hAnsi="Times New Roman"/>
          <w:u w:val="single"/>
        </w:rPr>
        <w:t>Tuoj pat kreipkitės į savo gydytoją, jeigu pasireiškė šis sunkus šalutinis poveikis:</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stiprus skrandžio skausmas, kuris gali plisti į nugarą. Tai gali būti kasos uždegimo (pankreatito) požymis. Tai labai retas šalutinis poveikis.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i/>
        </w:rPr>
      </w:pPr>
      <w:r w:rsidRPr="00EF17FD">
        <w:rPr>
          <w:rFonts w:ascii="Times New Roman" w:hAnsi="Times New Roman"/>
          <w:i/>
        </w:rPr>
        <w:t>Kit</w:t>
      </w:r>
      <w:r>
        <w:rPr>
          <w:rFonts w:ascii="Times New Roman" w:hAnsi="Times New Roman"/>
          <w:i/>
        </w:rPr>
        <w:t>a</w:t>
      </w:r>
      <w:r w:rsidRPr="00EF17FD">
        <w:rPr>
          <w:rFonts w:ascii="Times New Roman" w:hAnsi="Times New Roman"/>
          <w:i/>
        </w:rPr>
        <w:t>s šalutinis poveikis</w:t>
      </w:r>
    </w:p>
    <w:p w:rsidR="006B0731" w:rsidRPr="00EF17FD" w:rsidRDefault="006B0731" w:rsidP="006B0731">
      <w:pPr>
        <w:tabs>
          <w:tab w:val="left" w:pos="567"/>
        </w:tabs>
        <w:snapToGrid w:val="0"/>
        <w:spacing w:after="0" w:line="260" w:lineRule="exact"/>
        <w:rPr>
          <w:rFonts w:ascii="Times New Roman" w:hAnsi="Times New Roman"/>
          <w:b/>
        </w:rPr>
      </w:pPr>
    </w:p>
    <w:p w:rsidR="006B0731" w:rsidRPr="00EF17FD" w:rsidRDefault="006B0731" w:rsidP="006B0731">
      <w:pPr>
        <w:tabs>
          <w:tab w:val="left" w:pos="567"/>
        </w:tabs>
        <w:snapToGrid w:val="0"/>
        <w:spacing w:after="0" w:line="260" w:lineRule="exact"/>
        <w:rPr>
          <w:rFonts w:ascii="Times New Roman" w:hAnsi="Times New Roman"/>
          <w:u w:val="single"/>
        </w:rPr>
      </w:pPr>
      <w:r w:rsidRPr="003D523D">
        <w:rPr>
          <w:rFonts w:ascii="Times New Roman" w:hAnsi="Times New Roman"/>
          <w:u w:val="single"/>
        </w:rPr>
        <w:t>Dažni šalutinio poveikio reiškiniai (gali pasireikšti rečiau kaip 1 iš 10 asmenų)</w:t>
      </w:r>
      <w:r>
        <w:rPr>
          <w:rFonts w:ascii="Times New Roman" w:hAnsi="Times New Roman"/>
          <w:u w:val="single"/>
        </w:rPr>
        <w:t>:</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Apsnūdimas, galvos skausmas, nenormalus prakaitavimas, pykinimas, vėmimas, vidurių užkietėjimas, nuovargis.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u w:val="single"/>
        </w:rPr>
      </w:pPr>
      <w:r w:rsidRPr="003D523D">
        <w:rPr>
          <w:rFonts w:ascii="Times New Roman" w:hAnsi="Times New Roman"/>
          <w:u w:val="single"/>
        </w:rPr>
        <w:t>Nedažni šalutinio poveikio reiškiniai (gali pasireikšti rečiau kaip 1 iš 100 asmenų):</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Svaigulys, regos sutrikimas, burnos džiūvimas.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u w:val="single"/>
        </w:rPr>
      </w:pPr>
      <w:r w:rsidRPr="003D523D">
        <w:rPr>
          <w:rFonts w:ascii="Times New Roman" w:hAnsi="Times New Roman"/>
          <w:u w:val="single"/>
        </w:rPr>
        <w:t>Reti šalutinio poveikio reiškiniai (gali pasireikšti rečiau kaip 1 iš 1 000 asmenų):</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Lengviau negu paprastai atsirandanti infekcija arba mėlynės. To priežastis gali būti kraujo pokyčiai (pvz., agranulocitozė, neutropenija, pancitopenija, anemija, trombocitopenija). Miego sutrikimas, dusulys, odos ir akių baltymo pageltimas (tai kepenų pažeidimo simptomai), odos išbėrimas.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u w:val="single"/>
        </w:rPr>
      </w:pPr>
      <w:r w:rsidRPr="003D523D">
        <w:rPr>
          <w:rFonts w:ascii="Times New Roman" w:hAnsi="Times New Roman"/>
          <w:u w:val="single"/>
        </w:rPr>
        <w:t>Labai reti šalutinio poveikio reiškiniai (gali pasireikšti rečiau kaip 1 iš 10 000 asmenų</w:t>
      </w:r>
      <w:r>
        <w:rPr>
          <w:rFonts w:ascii="Times New Roman" w:hAnsi="Times New Roman"/>
          <w:u w:val="single"/>
        </w:rPr>
        <w:t>):</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Inkstų pažeidimas. Jis labai retai pasireiškė pacientams, kurie CoCodamol buvo gydomi ilgai.</w:t>
      </w:r>
    </w:p>
    <w:p w:rsidR="006B0731" w:rsidRDefault="006B0731" w:rsidP="006B0731">
      <w:pPr>
        <w:tabs>
          <w:tab w:val="left" w:pos="567"/>
        </w:tabs>
        <w:snapToGrid w:val="0"/>
        <w:spacing w:after="0" w:line="260" w:lineRule="exact"/>
        <w:rPr>
          <w:rFonts w:ascii="Times New Roman" w:hAnsi="Times New Roman"/>
        </w:rPr>
      </w:pPr>
    </w:p>
    <w:p w:rsidR="006B0731" w:rsidRDefault="006B0731" w:rsidP="006B0731">
      <w:pPr>
        <w:autoSpaceDE w:val="0"/>
        <w:autoSpaceDN w:val="0"/>
        <w:adjustRightInd w:val="0"/>
        <w:spacing w:after="0" w:line="240" w:lineRule="auto"/>
        <w:rPr>
          <w:rFonts w:ascii="Times New Roman" w:hAnsi="Times New Roman" w:cs="Times New Roman"/>
        </w:rPr>
      </w:pPr>
      <w:r>
        <w:rPr>
          <w:rFonts w:ascii="Times New Roman" w:hAnsi="Times New Roman" w:cs="Times New Roman"/>
          <w:u w:val="single"/>
          <w:lang w:val="fr-FR"/>
        </w:rPr>
        <w:t>D</w:t>
      </w:r>
      <w:r w:rsidRPr="00345505">
        <w:rPr>
          <w:rFonts w:ascii="Times New Roman" w:hAnsi="Times New Roman" w:cs="Times New Roman"/>
          <w:u w:val="single"/>
          <w:lang w:val="fr-FR"/>
        </w:rPr>
        <w:t>ažnis nežinomas (negali būti apskaičiuotas pagal turimus duomenis)</w:t>
      </w:r>
      <w:r>
        <w:rPr>
          <w:rFonts w:ascii="Times New Roman" w:hAnsi="Times New Roman" w:cs="Times New Roman"/>
        </w:rPr>
        <w:t xml:space="preserve">: </w:t>
      </w:r>
    </w:p>
    <w:p w:rsidR="006B0731" w:rsidRPr="00F9387F" w:rsidRDefault="006B0731" w:rsidP="006B0731">
      <w:pPr>
        <w:autoSpaceDE w:val="0"/>
        <w:autoSpaceDN w:val="0"/>
        <w:adjustRightInd w:val="0"/>
        <w:spacing w:after="0" w:line="240" w:lineRule="auto"/>
        <w:rPr>
          <w:rFonts w:ascii="Times New Roman" w:hAnsi="Times New Roman" w:cs="Times New Roman"/>
        </w:rPr>
      </w:pPr>
      <w:r w:rsidRPr="00D003DC">
        <w:rPr>
          <w:rFonts w:ascii="Times New Roman" w:hAnsi="Times New Roman" w:cs="Times New Roman"/>
        </w:rPr>
        <w:t>Sunkus sutrikimas, dėl kurio gali padidėti kraujo rūgštingumas (vadinamas metaboline acidoze) sunkia liga sergantiems pacientams, vartojantiems paracetamolį (žr. 2 skyrių).</w:t>
      </w:r>
    </w:p>
    <w:p w:rsidR="006B0731" w:rsidRPr="00F9387F" w:rsidRDefault="006B0731" w:rsidP="006B0731">
      <w:pPr>
        <w:tabs>
          <w:tab w:val="left" w:pos="567"/>
        </w:tabs>
        <w:snapToGrid w:val="0"/>
        <w:spacing w:after="0" w:line="260" w:lineRule="exact"/>
        <w:rPr>
          <w:rFonts w:ascii="Times New Roman" w:hAnsi="Times New Roman"/>
          <w:b/>
          <w:bCs/>
        </w:rPr>
      </w:pPr>
    </w:p>
    <w:p w:rsidR="006B0731" w:rsidRPr="00EF17FD" w:rsidRDefault="006B0731" w:rsidP="006B0731">
      <w:pPr>
        <w:tabs>
          <w:tab w:val="left" w:pos="567"/>
        </w:tabs>
        <w:snapToGrid w:val="0"/>
        <w:spacing w:after="0" w:line="260" w:lineRule="exact"/>
        <w:rPr>
          <w:rFonts w:ascii="Times New Roman" w:hAnsi="Times New Roman"/>
          <w:u w:val="single"/>
        </w:rPr>
      </w:pPr>
      <w:r w:rsidRPr="00EF17FD">
        <w:rPr>
          <w:rFonts w:ascii="Times New Roman" w:hAnsi="Times New Roman"/>
          <w:u w:val="single"/>
        </w:rPr>
        <w:t>Pranešimas apie šalutinį poveikį</w:t>
      </w:r>
    </w:p>
    <w:p w:rsidR="006B0731" w:rsidRPr="00EF17FD" w:rsidRDefault="006B0731" w:rsidP="006B0731">
      <w:pPr>
        <w:tabs>
          <w:tab w:val="left" w:pos="567"/>
        </w:tabs>
        <w:snapToGrid w:val="0"/>
        <w:spacing w:after="0" w:line="260" w:lineRule="exact"/>
        <w:ind w:right="-449"/>
        <w:rPr>
          <w:rFonts w:ascii="Times New Roman" w:hAnsi="Times New Roman"/>
        </w:rPr>
      </w:pPr>
      <w:r w:rsidRPr="003D523D">
        <w:rPr>
          <w:rFonts w:ascii="Times New Roman" w:hAnsi="Times New Roman"/>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5.</w:t>
      </w:r>
      <w:r w:rsidRPr="00EF17FD">
        <w:rPr>
          <w:rFonts w:ascii="Times New Roman" w:hAnsi="Times New Roman"/>
          <w:b/>
        </w:rPr>
        <w:tab/>
        <w:t>Kaip laikyti CoCodamol</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Šį vaistą laikykite vaikams nepastebimoje ir nepasiekiamoje vietoje.</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 xml:space="preserve">Ant </w:t>
      </w:r>
      <w:r w:rsidRPr="00A11624">
        <w:rPr>
          <w:rFonts w:ascii="Times New Roman" w:eastAsia="Calibri" w:hAnsi="Times New Roman" w:cs="Times New Roman"/>
        </w:rPr>
        <w:t xml:space="preserve">kartono </w:t>
      </w:r>
      <w:r w:rsidRPr="00EF17FD">
        <w:rPr>
          <w:rFonts w:ascii="Times New Roman" w:hAnsi="Times New Roman"/>
        </w:rPr>
        <w:t>dėžutės</w:t>
      </w:r>
      <w:r w:rsidRPr="00A11624">
        <w:rPr>
          <w:rFonts w:ascii="Times New Roman" w:eastAsia="Calibri" w:hAnsi="Times New Roman" w:cs="Times New Roman"/>
        </w:rPr>
        <w:t xml:space="preserve"> </w:t>
      </w:r>
      <w:r>
        <w:rPr>
          <w:rFonts w:ascii="Times New Roman" w:eastAsia="Calibri" w:hAnsi="Times New Roman" w:cs="Times New Roman"/>
        </w:rPr>
        <w:t>ar</w:t>
      </w:r>
      <w:r w:rsidRPr="00EF17FD">
        <w:rPr>
          <w:rFonts w:ascii="Times New Roman" w:hAnsi="Times New Roman"/>
        </w:rPr>
        <w:t xml:space="preserve"> tablečių talpyklės </w:t>
      </w:r>
      <w:r w:rsidRPr="00A11624">
        <w:rPr>
          <w:rFonts w:ascii="Times New Roman" w:eastAsia="Calibri" w:hAnsi="Times New Roman" w:cs="Times New Roman"/>
        </w:rPr>
        <w:t>po „EXP/</w:t>
      </w:r>
      <w:r w:rsidRPr="00A11624">
        <w:rPr>
          <w:rFonts w:ascii="Times New Roman" w:eastAsia="Calibri" w:hAnsi="Times New Roman" w:cs="Times New Roman"/>
          <w:highlight w:val="lightGray"/>
        </w:rPr>
        <w:t>Tinka iki</w:t>
      </w:r>
      <w:r w:rsidRPr="00A11624">
        <w:rPr>
          <w:rFonts w:ascii="Times New Roman" w:eastAsia="Calibri" w:hAnsi="Times New Roman" w:cs="Times New Roman"/>
        </w:rPr>
        <w:t xml:space="preserve">“ ir ant </w:t>
      </w:r>
      <w:r w:rsidRPr="00EF17FD">
        <w:rPr>
          <w:rFonts w:ascii="Times New Roman" w:hAnsi="Times New Roman"/>
        </w:rPr>
        <w:t>lizdinės plokštelės nurodytam tinkamumo laikui pasibaigus, šio vaisto vartoti negalima. Vaistas tinkamas vartoti iki paskutinės nurodyto mėnesio dienos.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Šiam vaistiniam preparatui specialių laikymo sąlygų nereikia.</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i/>
        </w:rPr>
      </w:pPr>
      <w:r w:rsidRPr="00EF17FD">
        <w:rPr>
          <w:rFonts w:ascii="Times New Roman" w:hAnsi="Times New Roman"/>
        </w:rPr>
        <w:t>Vaistų negalima išmesti į kanalizaciją arba su buitinėmis atliekomis. Kaip išmesti nereikalingus vaistus, klauskite vaistininko. Šios priemonės padės apsaugoti aplinką.</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6.</w:t>
      </w:r>
      <w:r w:rsidRPr="00EF17FD">
        <w:rPr>
          <w:rFonts w:ascii="Times New Roman" w:hAnsi="Times New Roman"/>
          <w:b/>
        </w:rPr>
        <w:tab/>
        <w:t>Pakuotės turinys ir kita informacija</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CoCodamol sudėtis</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Veikliosios medžiagos yra kodeino fosfatas hemihidratas ir paracetamolis. Kiekvienoje plėvele dengtoje tabletėje yra 30 mg kodeino fosfato hemihidrato ir 500 mg paracetamolio.</w:t>
      </w:r>
    </w:p>
    <w:p w:rsidR="006B0731" w:rsidRPr="00B20F83" w:rsidRDefault="006B0731" w:rsidP="006B0731">
      <w:pPr>
        <w:numPr>
          <w:ilvl w:val="0"/>
          <w:numId w:val="1"/>
        </w:numPr>
        <w:tabs>
          <w:tab w:val="left" w:pos="567"/>
        </w:tabs>
        <w:snapToGrid w:val="0"/>
        <w:spacing w:after="0" w:line="260" w:lineRule="exact"/>
        <w:ind w:left="567" w:hanging="567"/>
        <w:contextualSpacing/>
      </w:pPr>
      <w:r w:rsidRPr="00EF17FD">
        <w:rPr>
          <w:rFonts w:ascii="Times New Roman" w:hAnsi="Times New Roman"/>
        </w:rPr>
        <w:t>Pagalbinės medžiagos yra povidonas (K</w:t>
      </w:r>
      <w:r>
        <w:rPr>
          <w:rFonts w:ascii="Times New Roman" w:hAnsi="Times New Roman"/>
        </w:rPr>
        <w:t> </w:t>
      </w:r>
      <w:r w:rsidRPr="00EF17FD">
        <w:rPr>
          <w:rFonts w:ascii="Times New Roman" w:hAnsi="Times New Roman"/>
        </w:rPr>
        <w:t>29/</w:t>
      </w:r>
      <w:r>
        <w:rPr>
          <w:rFonts w:ascii="Times New Roman" w:hAnsi="Times New Roman"/>
        </w:rPr>
        <w:t>K </w:t>
      </w:r>
      <w:r w:rsidRPr="00EF17FD">
        <w:rPr>
          <w:rFonts w:ascii="Times New Roman" w:hAnsi="Times New Roman"/>
        </w:rPr>
        <w:t>32), magnio stearatas, koloidinis bevandenis silicio dioksidas, talkas</w:t>
      </w:r>
      <w:r>
        <w:rPr>
          <w:rFonts w:ascii="Times New Roman" w:hAnsi="Times New Roman"/>
        </w:rPr>
        <w:t xml:space="preserve"> </w:t>
      </w:r>
      <w:r w:rsidRPr="00CC4B09">
        <w:rPr>
          <w:rFonts w:ascii="Times New Roman" w:hAnsi="Times New Roman"/>
        </w:rPr>
        <w:t>(E553b)</w:t>
      </w:r>
      <w:r w:rsidRPr="00EF17FD">
        <w:rPr>
          <w:rFonts w:ascii="Times New Roman" w:hAnsi="Times New Roman"/>
        </w:rPr>
        <w:t xml:space="preserve">, kroskarmeliozės natrio druska, kopovidonas (25,2-30,8), mikrokristalinė celiuliozė, </w:t>
      </w:r>
      <w:r>
        <w:rPr>
          <w:rFonts w:ascii="Times New Roman" w:hAnsi="Times New Roman"/>
        </w:rPr>
        <w:t>hipromeliozė (E464), makrogolis (E1521)</w:t>
      </w:r>
      <w:r w:rsidRPr="00EF17FD">
        <w:rPr>
          <w:rFonts w:ascii="Times New Roman" w:hAnsi="Times New Roman"/>
        </w:rPr>
        <w:t xml:space="preserve"> ir titano dioksidas (E171).</w:t>
      </w:r>
    </w:p>
    <w:p w:rsidR="006B0731" w:rsidRDefault="006B0731" w:rsidP="006B0731">
      <w:pPr>
        <w:tabs>
          <w:tab w:val="left" w:pos="567"/>
        </w:tabs>
        <w:snapToGrid w:val="0"/>
        <w:spacing w:after="0" w:line="260" w:lineRule="exact"/>
        <w:rPr>
          <w:rFonts w:ascii="Times New Roman" w:hAnsi="Times New Roman"/>
        </w:rPr>
      </w:pPr>
    </w:p>
    <w:p w:rsidR="006B0731" w:rsidRDefault="006B0731" w:rsidP="006B0731">
      <w:pPr>
        <w:tabs>
          <w:tab w:val="left" w:pos="567"/>
        </w:tabs>
        <w:snapToGrid w:val="0"/>
        <w:spacing w:after="0" w:line="260" w:lineRule="exact"/>
        <w:rPr>
          <w:rFonts w:ascii="Times New Roman" w:hAnsi="Times New Roman"/>
        </w:rPr>
      </w:pPr>
      <w:r>
        <w:rPr>
          <w:rFonts w:ascii="Times New Roman" w:hAnsi="Times New Roman"/>
        </w:rPr>
        <w:t>CoCodamol sudėtyje yra natrio</w:t>
      </w:r>
      <w:r w:rsidRPr="002522C3">
        <w:rPr>
          <w:rFonts w:ascii="Times New Roman" w:hAnsi="Times New Roman"/>
        </w:rPr>
        <w:t xml:space="preserve">. </w:t>
      </w:r>
      <w:r>
        <w:rPr>
          <w:rFonts w:ascii="Times New Roman" w:hAnsi="Times New Roman"/>
        </w:rPr>
        <w:t>Žr.</w:t>
      </w:r>
      <w:r w:rsidRPr="002522C3">
        <w:rPr>
          <w:rFonts w:ascii="Times New Roman" w:hAnsi="Times New Roman"/>
        </w:rPr>
        <w:t xml:space="preserve"> 2</w:t>
      </w:r>
      <w:r>
        <w:rPr>
          <w:rFonts w:ascii="Times New Roman" w:hAnsi="Times New Roman"/>
        </w:rPr>
        <w:t xml:space="preserve"> skyrių</w:t>
      </w:r>
      <w:r w:rsidRPr="002522C3">
        <w:rPr>
          <w:rFonts w:ascii="Times New Roman" w:hAnsi="Times New Roman"/>
        </w:rPr>
        <w:t>.</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CoCodamol išvaizda ir kiekis pakuotėje</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CoCodamol 30 mg/500 mg plėvele dengtos tabletės yra baltos, ovalios, abipusiai išgaubtos, 8,5 mm pločio ir 17 mm ilgio tabletės, ženklintos skaitmeniu „53“ ir vagele vienoje pusėje.</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i/>
        </w:rPr>
      </w:pPr>
      <w:r w:rsidRPr="00EF17FD">
        <w:rPr>
          <w:rFonts w:ascii="Times New Roman" w:hAnsi="Times New Roman"/>
          <w:i/>
        </w:rPr>
        <w:t>Pakuočių dydžiai</w:t>
      </w:r>
    </w:p>
    <w:p w:rsidR="006B0731" w:rsidRPr="00EF17FD" w:rsidRDefault="006B0731" w:rsidP="006B0731">
      <w:pPr>
        <w:tabs>
          <w:tab w:val="left" w:pos="567"/>
        </w:tabs>
        <w:snapToGrid w:val="0"/>
        <w:spacing w:after="0" w:line="260" w:lineRule="exact"/>
        <w:rPr>
          <w:rFonts w:ascii="Times New Roman" w:hAnsi="Times New Roman"/>
          <w:i/>
        </w:rPr>
      </w:pPr>
      <w:r w:rsidRPr="00EF17FD">
        <w:rPr>
          <w:rFonts w:ascii="Times New Roman" w:hAnsi="Times New Roman"/>
        </w:rPr>
        <w:t>Baltų PVC/aliuminio lizdinių plokštelių pakuotė</w:t>
      </w:r>
      <w:r w:rsidRPr="00B20F83">
        <w:t xml:space="preserve"> </w:t>
      </w:r>
      <w:r>
        <w:rPr>
          <w:rFonts w:ascii="Times New Roman" w:eastAsia="Times New Roman" w:hAnsi="Times New Roman" w:cs="Times New Roman"/>
          <w:szCs w:val="20"/>
        </w:rPr>
        <w:t>arba baltų</w:t>
      </w:r>
      <w:r w:rsidRPr="00E355FF">
        <w:rPr>
          <w:rFonts w:ascii="Times New Roman" w:eastAsia="Times New Roman" w:hAnsi="Times New Roman" w:cs="Times New Roman"/>
          <w:szCs w:val="20"/>
        </w:rPr>
        <w:t xml:space="preserve"> PVC/aliuminio/PE</w:t>
      </w:r>
      <w:r>
        <w:rPr>
          <w:rFonts w:ascii="Times New Roman" w:eastAsia="Times New Roman" w:hAnsi="Times New Roman" w:cs="Times New Roman"/>
          <w:szCs w:val="20"/>
        </w:rPr>
        <w:t>T</w:t>
      </w:r>
      <w:r w:rsidRPr="00E355FF">
        <w:rPr>
          <w:rFonts w:ascii="Times New Roman" w:eastAsia="Times New Roman" w:hAnsi="Times New Roman" w:cs="Times New Roman"/>
          <w:szCs w:val="20"/>
        </w:rPr>
        <w:t>/pop</w:t>
      </w:r>
      <w:r>
        <w:rPr>
          <w:rFonts w:ascii="Times New Roman" w:eastAsia="Times New Roman" w:hAnsi="Times New Roman" w:cs="Times New Roman"/>
          <w:szCs w:val="20"/>
        </w:rPr>
        <w:t>ieriaus vaikų sunkiai atidaromų lizdinių</w:t>
      </w:r>
      <w:r w:rsidRPr="00E355FF">
        <w:rPr>
          <w:rFonts w:ascii="Times New Roman" w:eastAsia="Times New Roman" w:hAnsi="Times New Roman" w:cs="Times New Roman"/>
          <w:szCs w:val="20"/>
        </w:rPr>
        <w:t xml:space="preserve"> plokštel</w:t>
      </w:r>
      <w:r>
        <w:rPr>
          <w:rFonts w:ascii="Times New Roman" w:eastAsia="Times New Roman" w:hAnsi="Times New Roman" w:cs="Times New Roman"/>
          <w:szCs w:val="20"/>
        </w:rPr>
        <w:t>ių pakuotė</w:t>
      </w:r>
      <w:r w:rsidRPr="00EF17FD">
        <w:rPr>
          <w:rFonts w:ascii="Times New Roman" w:hAnsi="Times New Roman"/>
        </w:rPr>
        <w:t>: 8, 10, 16, 20, 24, 30, 40, 50</w:t>
      </w:r>
      <w:r>
        <w:rPr>
          <w:rFonts w:ascii="Times New Roman" w:hAnsi="Times New Roman"/>
        </w:rPr>
        <w:t>, 90 </w:t>
      </w:r>
      <w:r w:rsidRPr="00EF17FD">
        <w:rPr>
          <w:rFonts w:ascii="Times New Roman" w:hAnsi="Times New Roman"/>
        </w:rPr>
        <w:t>arba 100</w:t>
      </w:r>
      <w:r>
        <w:rPr>
          <w:rFonts w:ascii="Times New Roman" w:hAnsi="Times New Roman"/>
        </w:rPr>
        <w:t> </w:t>
      </w:r>
      <w:r w:rsidRPr="00EF17FD">
        <w:rPr>
          <w:rFonts w:ascii="Times New Roman" w:hAnsi="Times New Roman"/>
        </w:rPr>
        <w:t>plėvele dengtų tablečių.</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Balta plastikinė tablečių talpyklė</w:t>
      </w:r>
      <w:r w:rsidRPr="0052180B">
        <w:t xml:space="preserve"> </w:t>
      </w:r>
      <w:r w:rsidRPr="0052180B">
        <w:rPr>
          <w:rFonts w:ascii="Times New Roman" w:hAnsi="Times New Roman"/>
        </w:rPr>
        <w:t>su baltos spalvos vaikų neatidaromu užsukamu dangteliu</w:t>
      </w:r>
      <w:r w:rsidRPr="00EF17FD">
        <w:rPr>
          <w:rFonts w:ascii="Times New Roman" w:hAnsi="Times New Roman"/>
        </w:rPr>
        <w:t>: 50</w:t>
      </w:r>
      <w:r>
        <w:rPr>
          <w:rFonts w:ascii="Times New Roman" w:hAnsi="Times New Roman"/>
        </w:rPr>
        <w:t>, 100 </w:t>
      </w:r>
      <w:r w:rsidRPr="00EF17FD">
        <w:rPr>
          <w:rFonts w:ascii="Times New Roman" w:hAnsi="Times New Roman"/>
        </w:rPr>
        <w:t xml:space="preserve">arba </w:t>
      </w:r>
      <w:r>
        <w:rPr>
          <w:rFonts w:ascii="Times New Roman" w:hAnsi="Times New Roman"/>
        </w:rPr>
        <w:t>2</w:t>
      </w:r>
      <w:r w:rsidRPr="00EF17FD">
        <w:rPr>
          <w:rFonts w:ascii="Times New Roman" w:hAnsi="Times New Roman"/>
        </w:rPr>
        <w:t>00</w:t>
      </w:r>
      <w:r>
        <w:rPr>
          <w:rFonts w:ascii="Times New Roman" w:hAnsi="Times New Roman"/>
        </w:rPr>
        <w:t> </w:t>
      </w:r>
      <w:r w:rsidRPr="00EF17FD">
        <w:rPr>
          <w:rFonts w:ascii="Times New Roman" w:hAnsi="Times New Roman"/>
        </w:rPr>
        <w:t>plėvele dengtų tablečių.</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Gali būti tiekiamos ne visų dydžių pakuotės.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Registruotojas ir gamintojas</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i/>
        </w:rPr>
      </w:pPr>
      <w:r w:rsidRPr="00EF17FD">
        <w:rPr>
          <w:rFonts w:ascii="Times New Roman" w:hAnsi="Times New Roman"/>
          <w:i/>
        </w:rPr>
        <w:t>Registruotojas</w:t>
      </w:r>
    </w:p>
    <w:p w:rsidR="006B0731" w:rsidRPr="00A7063D" w:rsidRDefault="006B0731" w:rsidP="006B0731">
      <w:pPr>
        <w:tabs>
          <w:tab w:val="left" w:pos="567"/>
        </w:tabs>
        <w:snapToGrid w:val="0"/>
        <w:spacing w:after="0" w:line="260" w:lineRule="exact"/>
        <w:rPr>
          <w:rFonts w:ascii="Times New Roman" w:hAnsi="Times New Roman"/>
        </w:rPr>
      </w:pPr>
      <w:r w:rsidRPr="00A7063D">
        <w:rPr>
          <w:rFonts w:ascii="Times New Roman" w:hAnsi="Times New Roman"/>
        </w:rPr>
        <w:t>Teva B.V.</w:t>
      </w:r>
    </w:p>
    <w:p w:rsidR="006B0731" w:rsidRPr="00A7063D" w:rsidRDefault="006B0731" w:rsidP="006B0731">
      <w:pPr>
        <w:tabs>
          <w:tab w:val="left" w:pos="567"/>
        </w:tabs>
        <w:snapToGrid w:val="0"/>
        <w:spacing w:after="0" w:line="260" w:lineRule="exact"/>
        <w:rPr>
          <w:rFonts w:ascii="Times New Roman" w:hAnsi="Times New Roman"/>
        </w:rPr>
      </w:pPr>
      <w:r w:rsidRPr="00A7063D">
        <w:rPr>
          <w:rFonts w:ascii="Times New Roman" w:hAnsi="Times New Roman"/>
        </w:rPr>
        <w:t>Swensweg 5</w:t>
      </w:r>
    </w:p>
    <w:p w:rsidR="006B0731" w:rsidRPr="00A7063D" w:rsidRDefault="006B0731" w:rsidP="006B0731">
      <w:pPr>
        <w:tabs>
          <w:tab w:val="left" w:pos="567"/>
        </w:tabs>
        <w:snapToGrid w:val="0"/>
        <w:spacing w:after="0" w:line="260" w:lineRule="exact"/>
        <w:rPr>
          <w:rFonts w:ascii="Times New Roman" w:hAnsi="Times New Roman"/>
        </w:rPr>
      </w:pPr>
      <w:r w:rsidRPr="00A7063D">
        <w:rPr>
          <w:rFonts w:ascii="Times New Roman" w:hAnsi="Times New Roman"/>
        </w:rPr>
        <w:t>2031 GA Haarlem</w:t>
      </w:r>
    </w:p>
    <w:p w:rsidR="006B0731" w:rsidRDefault="006B0731" w:rsidP="006B0731">
      <w:pPr>
        <w:tabs>
          <w:tab w:val="left" w:pos="567"/>
        </w:tabs>
        <w:snapToGrid w:val="0"/>
        <w:spacing w:after="0" w:line="260" w:lineRule="exact"/>
        <w:rPr>
          <w:rFonts w:ascii="Times New Roman" w:hAnsi="Times New Roman"/>
        </w:rPr>
      </w:pPr>
      <w:r w:rsidRPr="00A7063D">
        <w:rPr>
          <w:rFonts w:ascii="Times New Roman" w:hAnsi="Times New Roman"/>
        </w:rPr>
        <w:t>Nyderlandai</w:t>
      </w:r>
    </w:p>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i/>
        </w:rPr>
      </w:pPr>
      <w:r w:rsidRPr="00EF17FD">
        <w:rPr>
          <w:rFonts w:ascii="Times New Roman" w:hAnsi="Times New Roman"/>
          <w:i/>
        </w:rPr>
        <w:t>Gamintoja</w:t>
      </w:r>
      <w:r>
        <w:rPr>
          <w:rFonts w:ascii="Times New Roman" w:hAnsi="Times New Roman"/>
          <w:i/>
        </w:rPr>
        <w:t>s</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Balkanpharma- Dupnitsa AD</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3</w:t>
      </w:r>
      <w:r>
        <w:rPr>
          <w:rFonts w:ascii="Times New Roman" w:hAnsi="Times New Roman"/>
        </w:rPr>
        <w:t> </w:t>
      </w:r>
      <w:r w:rsidRPr="00EF17FD">
        <w:rPr>
          <w:rFonts w:ascii="Times New Roman" w:hAnsi="Times New Roman"/>
        </w:rPr>
        <w:t>Samokovsko Shosse Str.</w:t>
      </w: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Dupnitsa 2600</w:t>
      </w:r>
    </w:p>
    <w:p w:rsidR="006B0731"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Bulgarija</w:t>
      </w:r>
    </w:p>
    <w:p w:rsidR="006B0731" w:rsidRDefault="006B0731" w:rsidP="006B0731">
      <w:pPr>
        <w:tabs>
          <w:tab w:val="left" w:pos="567"/>
        </w:tabs>
        <w:snapToGrid w:val="0"/>
        <w:spacing w:after="0" w:line="260" w:lineRule="exact"/>
        <w:rPr>
          <w:rFonts w:ascii="Times New Roman" w:hAnsi="Times New Roman"/>
        </w:rPr>
      </w:pPr>
    </w:p>
    <w:p w:rsidR="006B0731" w:rsidRPr="00124885" w:rsidRDefault="006B0731" w:rsidP="006B0731">
      <w:pPr>
        <w:tabs>
          <w:tab w:val="left" w:pos="567"/>
        </w:tabs>
        <w:snapToGrid w:val="0"/>
        <w:spacing w:after="0" w:line="260" w:lineRule="exact"/>
        <w:rPr>
          <w:rFonts w:ascii="Times New Roman" w:hAnsi="Times New Roman"/>
        </w:rPr>
      </w:pPr>
      <w:r w:rsidRPr="00124885">
        <w:rPr>
          <w:rFonts w:ascii="Times New Roman" w:hAnsi="Times New Roman"/>
        </w:rPr>
        <w:lastRenderedPageBreak/>
        <w:t>Jeigu apie šį vaistą norite sužinoti daugiau, kreipkitės į vietinį registruotojo atstovą:</w:t>
      </w:r>
    </w:p>
    <w:p w:rsidR="006B0731" w:rsidRPr="006C53C9" w:rsidRDefault="006B0731" w:rsidP="006B0731">
      <w:pPr>
        <w:tabs>
          <w:tab w:val="left" w:pos="567"/>
        </w:tabs>
        <w:snapToGrid w:val="0"/>
        <w:spacing w:after="0" w:line="260" w:lineRule="exact"/>
        <w:rPr>
          <w:rFonts w:ascii="Times New Roman" w:hAnsi="Times New Roman"/>
        </w:rPr>
      </w:pPr>
      <w:r w:rsidRPr="006C53C9">
        <w:rPr>
          <w:rFonts w:ascii="Times New Roman" w:hAnsi="Times New Roman"/>
        </w:rPr>
        <w:t xml:space="preserve">UAB </w:t>
      </w:r>
      <w:r>
        <w:rPr>
          <w:rFonts w:ascii="Times New Roman" w:hAnsi="Times New Roman"/>
        </w:rPr>
        <w:t>Teva Baltics</w:t>
      </w:r>
    </w:p>
    <w:p w:rsidR="006B0731" w:rsidRPr="006C53C9" w:rsidRDefault="006B0731" w:rsidP="006B0731">
      <w:pPr>
        <w:tabs>
          <w:tab w:val="left" w:pos="567"/>
        </w:tabs>
        <w:snapToGrid w:val="0"/>
        <w:spacing w:after="0" w:line="260" w:lineRule="exact"/>
        <w:rPr>
          <w:rFonts w:ascii="Times New Roman" w:hAnsi="Times New Roman"/>
        </w:rPr>
      </w:pPr>
      <w:r>
        <w:rPr>
          <w:rFonts w:ascii="Times New Roman" w:hAnsi="Times New Roman"/>
        </w:rPr>
        <w:t>Molėtų pl. 5</w:t>
      </w:r>
    </w:p>
    <w:p w:rsidR="006B0731" w:rsidRPr="006C53C9" w:rsidRDefault="006B0731" w:rsidP="006B0731">
      <w:pPr>
        <w:tabs>
          <w:tab w:val="left" w:pos="567"/>
        </w:tabs>
        <w:snapToGrid w:val="0"/>
        <w:spacing w:after="0" w:line="260" w:lineRule="exact"/>
        <w:rPr>
          <w:rFonts w:ascii="Times New Roman" w:hAnsi="Times New Roman"/>
        </w:rPr>
      </w:pPr>
      <w:r>
        <w:rPr>
          <w:rFonts w:ascii="Times New Roman" w:hAnsi="Times New Roman"/>
        </w:rPr>
        <w:t>LT-08409 Vilnius</w:t>
      </w:r>
    </w:p>
    <w:p w:rsidR="006B0731" w:rsidRDefault="006B0731" w:rsidP="006B0731">
      <w:pPr>
        <w:tabs>
          <w:tab w:val="left" w:pos="567"/>
        </w:tabs>
        <w:snapToGrid w:val="0"/>
        <w:spacing w:after="0" w:line="260" w:lineRule="exact"/>
        <w:rPr>
          <w:rFonts w:ascii="Times New Roman" w:hAnsi="Times New Roman"/>
        </w:rPr>
      </w:pPr>
      <w:r w:rsidRPr="006C53C9">
        <w:rPr>
          <w:rFonts w:ascii="Times New Roman" w:hAnsi="Times New Roman"/>
        </w:rPr>
        <w:t>Tel.</w:t>
      </w:r>
      <w:r>
        <w:rPr>
          <w:rFonts w:ascii="Times New Roman" w:hAnsi="Times New Roman"/>
        </w:rPr>
        <w:t>: +370 5 266 02 </w:t>
      </w:r>
      <w:r w:rsidRPr="006C53C9">
        <w:rPr>
          <w:rFonts w:ascii="Times New Roman" w:hAnsi="Times New Roman"/>
        </w:rPr>
        <w:t>03</w:t>
      </w:r>
    </w:p>
    <w:p w:rsidR="006B0731" w:rsidRDefault="006B0731" w:rsidP="006B0731">
      <w:pPr>
        <w:tabs>
          <w:tab w:val="left" w:pos="567"/>
        </w:tabs>
        <w:snapToGrid w:val="0"/>
        <w:spacing w:after="0" w:line="260" w:lineRule="exact"/>
        <w:rPr>
          <w:rFonts w:ascii="Times New Roman" w:hAnsi="Times New Roman"/>
        </w:rPr>
      </w:pPr>
    </w:p>
    <w:p w:rsidR="006B0731" w:rsidRPr="0070289A" w:rsidRDefault="006B0731" w:rsidP="006B0731">
      <w:pPr>
        <w:tabs>
          <w:tab w:val="left" w:pos="567"/>
        </w:tabs>
        <w:snapToGrid w:val="0"/>
        <w:spacing w:after="0" w:line="260" w:lineRule="exact"/>
        <w:rPr>
          <w:rFonts w:ascii="Times New Roman" w:hAnsi="Times New Roman"/>
        </w:rPr>
      </w:pPr>
      <w:r w:rsidRPr="0070289A">
        <w:rPr>
          <w:rFonts w:ascii="Times New Roman" w:hAnsi="Times New Roman"/>
          <w:b/>
        </w:rPr>
        <w:t xml:space="preserve">Šis vaistas </w:t>
      </w:r>
      <w:r w:rsidRPr="003D523D">
        <w:rPr>
          <w:rFonts w:ascii="Times New Roman" w:hAnsi="Times New Roman"/>
          <w:b/>
        </w:rPr>
        <w:t>Europos ekonominės erdvės</w:t>
      </w:r>
      <w:r w:rsidRPr="0070289A">
        <w:rPr>
          <w:rFonts w:ascii="Times New Roman" w:hAnsi="Times New Roman"/>
          <w:b/>
        </w:rPr>
        <w:t xml:space="preserve"> valstybėse narėse registruotas tokiais pavadinimais</w:t>
      </w:r>
      <w:r w:rsidRPr="00E0673B">
        <w:rPr>
          <w:rFonts w:ascii="Times New Roman" w:hAnsi="Times New Roman"/>
          <w:b/>
        </w:rPr>
        <w:t>:</w:t>
      </w:r>
    </w:p>
    <w:p w:rsidR="006B0731" w:rsidRPr="00EF17FD" w:rsidRDefault="006B0731" w:rsidP="006B0731">
      <w:pPr>
        <w:tabs>
          <w:tab w:val="left" w:pos="567"/>
        </w:tabs>
        <w:snapToGrid w:val="0"/>
        <w:spacing w:after="0" w:line="260" w:lineRule="exact"/>
        <w:rPr>
          <w:rFonts w:ascii="Times New Roman" w:hAnsi="Times New Roman"/>
        </w:rPr>
      </w:pPr>
    </w:p>
    <w:tbl>
      <w:tblPr>
        <w:tblStyle w:val="Lentelstinklelis"/>
        <w:tblpPr w:leftFromText="180" w:rightFromText="180" w:vertAnchor="text" w:horzAnchor="margin" w:tblpY="-4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6946"/>
      </w:tblGrid>
      <w:tr w:rsidR="006B0731" w:rsidRPr="00FA4D35" w:rsidTr="00696B1E">
        <w:tc>
          <w:tcPr>
            <w:tcW w:w="1951" w:type="dxa"/>
          </w:tcPr>
          <w:p w:rsidR="006B0731" w:rsidRPr="00B20F83" w:rsidRDefault="006B0731" w:rsidP="006B0731">
            <w:pPr>
              <w:tabs>
                <w:tab w:val="left" w:pos="567"/>
              </w:tabs>
              <w:snapToGrid w:val="0"/>
              <w:spacing w:after="0" w:line="260" w:lineRule="exact"/>
              <w:rPr>
                <w:rFonts w:ascii="Times New Roman" w:hAnsi="Times New Roman"/>
                <w:lang w:val="lt-LT"/>
              </w:rPr>
            </w:pPr>
            <w:r>
              <w:rPr>
                <w:rFonts w:ascii="Times New Roman" w:hAnsi="Times New Roman"/>
              </w:rPr>
              <w:t>Belgija</w:t>
            </w:r>
          </w:p>
        </w:tc>
        <w:tc>
          <w:tcPr>
            <w:tcW w:w="6946" w:type="dxa"/>
          </w:tcPr>
          <w:p w:rsidR="006B0731" w:rsidRPr="00501EA8" w:rsidRDefault="006B0731" w:rsidP="006B0731">
            <w:pPr>
              <w:tabs>
                <w:tab w:val="left" w:pos="567"/>
              </w:tabs>
              <w:snapToGrid w:val="0"/>
              <w:spacing w:after="0" w:line="260" w:lineRule="exact"/>
              <w:rPr>
                <w:rFonts w:ascii="Times New Roman" w:hAnsi="Times New Roman"/>
                <w:lang w:val="fr-FR"/>
              </w:rPr>
            </w:pPr>
            <w:r w:rsidRPr="00166A53">
              <w:rPr>
                <w:rFonts w:ascii="Times New Roman" w:hAnsi="Times New Roman"/>
                <w:lang w:val="fr-FR"/>
              </w:rPr>
              <w:t>Paracetamol/Codeine Teva 500mg/30mg filmomhulde tabletten/comprimés pelliculés/Filmtabletten</w:t>
            </w:r>
          </w:p>
        </w:tc>
      </w:tr>
      <w:tr w:rsidR="006B0731" w:rsidRPr="00FA4D35" w:rsidTr="00696B1E">
        <w:tc>
          <w:tcPr>
            <w:tcW w:w="1951" w:type="dxa"/>
          </w:tcPr>
          <w:p w:rsidR="006B0731" w:rsidRPr="00AB5D02" w:rsidRDefault="006B0731" w:rsidP="006B0731">
            <w:pPr>
              <w:tabs>
                <w:tab w:val="left" w:pos="567"/>
              </w:tabs>
              <w:snapToGrid w:val="0"/>
              <w:spacing w:after="0" w:line="260" w:lineRule="exact"/>
              <w:rPr>
                <w:rFonts w:ascii="Times New Roman" w:hAnsi="Times New Roman"/>
                <w:lang w:val="lt-LT"/>
              </w:rPr>
            </w:pPr>
            <w:r w:rsidRPr="00FA4D35">
              <w:rPr>
                <w:rFonts w:ascii="Times New Roman" w:hAnsi="Times New Roman"/>
              </w:rPr>
              <w:t>Danija</w:t>
            </w:r>
          </w:p>
        </w:tc>
        <w:tc>
          <w:tcPr>
            <w:tcW w:w="6946" w:type="dxa"/>
          </w:tcPr>
          <w:p w:rsidR="006B0731" w:rsidRPr="00AB5D02" w:rsidRDefault="006B0731" w:rsidP="006B0731">
            <w:pPr>
              <w:tabs>
                <w:tab w:val="left" w:pos="567"/>
              </w:tabs>
              <w:snapToGrid w:val="0"/>
              <w:spacing w:after="0" w:line="260" w:lineRule="exact"/>
              <w:rPr>
                <w:rFonts w:ascii="Times New Roman" w:hAnsi="Times New Roman"/>
                <w:lang w:val="lt-LT"/>
              </w:rPr>
            </w:pPr>
            <w:r w:rsidRPr="00AB5D02">
              <w:rPr>
                <w:rFonts w:ascii="Times New Roman" w:hAnsi="Times New Roman"/>
                <w:lang w:val="fr-FR"/>
              </w:rPr>
              <w:t xml:space="preserve">Pinex Comp </w:t>
            </w:r>
            <w:r w:rsidRPr="00B20F83">
              <w:rPr>
                <w:rFonts w:ascii="Times New Roman" w:hAnsi="Times New Roman"/>
                <w:lang w:val="fr-FR"/>
              </w:rPr>
              <w:t>500 mg/30 mg</w:t>
            </w:r>
          </w:p>
        </w:tc>
      </w:tr>
      <w:tr w:rsidR="006B0731" w:rsidRPr="00FA4D35" w:rsidTr="00696B1E">
        <w:tc>
          <w:tcPr>
            <w:tcW w:w="1951" w:type="dxa"/>
          </w:tcPr>
          <w:p w:rsidR="006B0731" w:rsidRPr="00166A53" w:rsidRDefault="006B0731" w:rsidP="006B0731">
            <w:pPr>
              <w:tabs>
                <w:tab w:val="left" w:pos="567"/>
              </w:tabs>
              <w:snapToGrid w:val="0"/>
              <w:spacing w:after="0" w:line="260" w:lineRule="exact"/>
              <w:rPr>
                <w:rFonts w:ascii="Times New Roman" w:hAnsi="Times New Roman"/>
                <w:lang w:val="lt-LT"/>
              </w:rPr>
            </w:pPr>
            <w:r>
              <w:rPr>
                <w:rFonts w:ascii="Times New Roman" w:hAnsi="Times New Roman"/>
              </w:rPr>
              <w:t>Pranc</w:t>
            </w:r>
            <w:r>
              <w:rPr>
                <w:rFonts w:ascii="Times New Roman" w:hAnsi="Times New Roman"/>
                <w:lang w:val="lt-LT"/>
              </w:rPr>
              <w:t>ūzija</w:t>
            </w:r>
          </w:p>
        </w:tc>
        <w:tc>
          <w:tcPr>
            <w:tcW w:w="6946" w:type="dxa"/>
          </w:tcPr>
          <w:p w:rsidR="006B0731" w:rsidRPr="00501EA8" w:rsidRDefault="006B0731" w:rsidP="006B0731">
            <w:pPr>
              <w:tabs>
                <w:tab w:val="left" w:pos="567"/>
              </w:tabs>
              <w:snapToGrid w:val="0"/>
              <w:spacing w:after="0" w:line="260" w:lineRule="exact"/>
              <w:rPr>
                <w:rFonts w:ascii="Times New Roman" w:hAnsi="Times New Roman"/>
                <w:lang w:val="fr-FR"/>
              </w:rPr>
            </w:pPr>
            <w:r w:rsidRPr="00166A53">
              <w:rPr>
                <w:rFonts w:ascii="Times New Roman" w:hAnsi="Times New Roman"/>
                <w:lang w:val="fr-FR"/>
              </w:rPr>
              <w:t>Paracétamol codéine Teva</w:t>
            </w:r>
            <w:r w:rsidRPr="00501EA8">
              <w:rPr>
                <w:rFonts w:ascii="Times New Roman" w:hAnsi="Times New Roman"/>
                <w:lang w:val="fr-FR"/>
              </w:rPr>
              <w:t xml:space="preserve"> 500</w:t>
            </w:r>
            <w:r w:rsidRPr="00166A53">
              <w:rPr>
                <w:rFonts w:ascii="Times New Roman" w:hAnsi="Times New Roman"/>
                <w:lang w:val="fr-FR"/>
              </w:rPr>
              <w:t xml:space="preserve"> </w:t>
            </w:r>
            <w:r w:rsidRPr="00501EA8">
              <w:rPr>
                <w:rFonts w:ascii="Times New Roman" w:hAnsi="Times New Roman"/>
                <w:lang w:val="fr-FR"/>
              </w:rPr>
              <w:t>mg</w:t>
            </w:r>
            <w:r w:rsidRPr="00166A53">
              <w:rPr>
                <w:rFonts w:ascii="Times New Roman" w:hAnsi="Times New Roman"/>
                <w:lang w:val="fr-FR"/>
              </w:rPr>
              <w:t>/</w:t>
            </w:r>
            <w:r w:rsidRPr="00501EA8">
              <w:rPr>
                <w:rFonts w:ascii="Times New Roman" w:hAnsi="Times New Roman"/>
                <w:lang w:val="fr-FR"/>
              </w:rPr>
              <w:t>30</w:t>
            </w:r>
            <w:r w:rsidRPr="00166A53">
              <w:rPr>
                <w:rFonts w:ascii="Times New Roman" w:hAnsi="Times New Roman"/>
                <w:lang w:val="fr-FR"/>
              </w:rPr>
              <w:t xml:space="preserve"> </w:t>
            </w:r>
            <w:r w:rsidRPr="00501EA8">
              <w:rPr>
                <w:rFonts w:ascii="Times New Roman" w:hAnsi="Times New Roman"/>
                <w:lang w:val="fr-FR"/>
              </w:rPr>
              <w:t>mg</w:t>
            </w:r>
            <w:r w:rsidRPr="00166A53">
              <w:rPr>
                <w:rFonts w:ascii="Times New Roman" w:hAnsi="Times New Roman"/>
                <w:lang w:val="fr-FR"/>
              </w:rPr>
              <w:t>, comprimé pelliculé</w:t>
            </w:r>
          </w:p>
        </w:tc>
      </w:tr>
      <w:tr w:rsidR="006B0731" w:rsidRPr="00FA4D35" w:rsidTr="00696B1E">
        <w:tc>
          <w:tcPr>
            <w:tcW w:w="1951" w:type="dxa"/>
          </w:tcPr>
          <w:p w:rsidR="006B0731" w:rsidRPr="00AB5D02" w:rsidRDefault="006B0731" w:rsidP="006B0731">
            <w:pPr>
              <w:tabs>
                <w:tab w:val="left" w:pos="567"/>
              </w:tabs>
              <w:snapToGrid w:val="0"/>
              <w:spacing w:after="0" w:line="260" w:lineRule="exact"/>
              <w:rPr>
                <w:rFonts w:ascii="Times New Roman" w:hAnsi="Times New Roman"/>
                <w:lang w:val="lt-LT"/>
              </w:rPr>
            </w:pPr>
            <w:r w:rsidRPr="00AB5D02">
              <w:rPr>
                <w:rFonts w:ascii="Times New Roman" w:hAnsi="Times New Roman"/>
                <w:lang w:val="lt-LT"/>
              </w:rPr>
              <w:t>Islandija</w:t>
            </w:r>
          </w:p>
        </w:tc>
        <w:tc>
          <w:tcPr>
            <w:tcW w:w="6946" w:type="dxa"/>
          </w:tcPr>
          <w:p w:rsidR="006B0731" w:rsidRPr="00AB5D02" w:rsidRDefault="006B0731" w:rsidP="006B0731">
            <w:pPr>
              <w:tabs>
                <w:tab w:val="left" w:pos="567"/>
              </w:tabs>
              <w:snapToGrid w:val="0"/>
              <w:spacing w:after="0" w:line="260" w:lineRule="exact"/>
              <w:rPr>
                <w:rFonts w:ascii="Times New Roman" w:hAnsi="Times New Roman"/>
                <w:lang w:val="lt-LT"/>
              </w:rPr>
            </w:pPr>
            <w:r w:rsidRPr="00AB5D02">
              <w:rPr>
                <w:rFonts w:ascii="Times New Roman" w:hAnsi="Times New Roman"/>
                <w:lang w:val="lt-LT"/>
              </w:rPr>
              <w:t xml:space="preserve">Parkódín </w:t>
            </w:r>
            <w:r>
              <w:rPr>
                <w:rFonts w:ascii="Times New Roman" w:hAnsi="Times New Roman"/>
                <w:lang w:val="lt-LT"/>
              </w:rPr>
              <w:t>f</w:t>
            </w:r>
            <w:r w:rsidRPr="00123044">
              <w:rPr>
                <w:rFonts w:ascii="Times New Roman" w:hAnsi="Times New Roman"/>
                <w:lang w:val="lt-LT"/>
              </w:rPr>
              <w:t>orte 500 mg/30 mg filmuhúðuð tafla</w:t>
            </w:r>
          </w:p>
        </w:tc>
      </w:tr>
      <w:tr w:rsidR="006B0731" w:rsidRPr="00FA4D35" w:rsidTr="00696B1E">
        <w:tc>
          <w:tcPr>
            <w:tcW w:w="1951" w:type="dxa"/>
          </w:tcPr>
          <w:p w:rsidR="006B0731" w:rsidRPr="00AB5D02" w:rsidRDefault="006B0731" w:rsidP="006B0731">
            <w:pPr>
              <w:tabs>
                <w:tab w:val="left" w:pos="567"/>
              </w:tabs>
              <w:snapToGrid w:val="0"/>
              <w:spacing w:after="0" w:line="260" w:lineRule="exact"/>
              <w:rPr>
                <w:rFonts w:ascii="Times New Roman" w:hAnsi="Times New Roman"/>
              </w:rPr>
            </w:pPr>
            <w:r>
              <w:rPr>
                <w:rFonts w:ascii="Times New Roman" w:hAnsi="Times New Roman"/>
              </w:rPr>
              <w:t>Italija</w:t>
            </w:r>
          </w:p>
        </w:tc>
        <w:tc>
          <w:tcPr>
            <w:tcW w:w="6946" w:type="dxa"/>
          </w:tcPr>
          <w:p w:rsidR="006B0731" w:rsidRPr="00AB5D02" w:rsidRDefault="006B0731" w:rsidP="006B0731">
            <w:pPr>
              <w:tabs>
                <w:tab w:val="left" w:pos="567"/>
              </w:tabs>
              <w:snapToGrid w:val="0"/>
              <w:spacing w:after="0" w:line="260" w:lineRule="exact"/>
              <w:rPr>
                <w:rFonts w:ascii="Times New Roman" w:hAnsi="Times New Roman"/>
              </w:rPr>
            </w:pPr>
            <w:r w:rsidRPr="00166A53">
              <w:rPr>
                <w:rFonts w:ascii="Times New Roman" w:hAnsi="Times New Roman"/>
              </w:rPr>
              <w:t>Paracetamolo e codeina Teva</w:t>
            </w:r>
          </w:p>
        </w:tc>
      </w:tr>
      <w:tr w:rsidR="006B0731" w:rsidRPr="00FA4D35" w:rsidTr="00696B1E">
        <w:tc>
          <w:tcPr>
            <w:tcW w:w="1951" w:type="dxa"/>
          </w:tcPr>
          <w:p w:rsidR="006B0731" w:rsidRPr="00AB5D02" w:rsidRDefault="006B0731" w:rsidP="006B0731">
            <w:pPr>
              <w:tabs>
                <w:tab w:val="left" w:pos="567"/>
              </w:tabs>
              <w:snapToGrid w:val="0"/>
              <w:spacing w:after="0" w:line="260" w:lineRule="exact"/>
              <w:rPr>
                <w:rFonts w:ascii="Times New Roman" w:hAnsi="Times New Roman"/>
                <w:lang w:val="lt-LT"/>
              </w:rPr>
            </w:pPr>
            <w:r w:rsidRPr="00AB5D02">
              <w:rPr>
                <w:rFonts w:ascii="Times New Roman" w:hAnsi="Times New Roman"/>
                <w:lang w:val="lt-LT"/>
              </w:rPr>
              <w:t>Lietuva</w:t>
            </w:r>
          </w:p>
        </w:tc>
        <w:tc>
          <w:tcPr>
            <w:tcW w:w="6946" w:type="dxa"/>
          </w:tcPr>
          <w:p w:rsidR="006B0731" w:rsidRPr="00AB5D02" w:rsidRDefault="006B0731" w:rsidP="006B0731">
            <w:pPr>
              <w:tabs>
                <w:tab w:val="left" w:pos="567"/>
              </w:tabs>
              <w:snapToGrid w:val="0"/>
              <w:spacing w:after="0" w:line="260" w:lineRule="exact"/>
              <w:rPr>
                <w:rFonts w:ascii="Times New Roman" w:hAnsi="Times New Roman"/>
                <w:lang w:val="lt-LT"/>
              </w:rPr>
            </w:pPr>
            <w:r w:rsidRPr="00FA4D35">
              <w:rPr>
                <w:rFonts w:ascii="Times New Roman" w:hAnsi="Times New Roman"/>
              </w:rPr>
              <w:t>CoCodamol 500</w:t>
            </w:r>
            <w:r>
              <w:rPr>
                <w:rFonts w:ascii="Times New Roman" w:hAnsi="Times New Roman"/>
              </w:rPr>
              <w:t> </w:t>
            </w:r>
            <w:r w:rsidRPr="00FA4D35">
              <w:rPr>
                <w:rFonts w:ascii="Times New Roman" w:hAnsi="Times New Roman"/>
              </w:rPr>
              <w:t>mg/30</w:t>
            </w:r>
            <w:r>
              <w:rPr>
                <w:rFonts w:ascii="Times New Roman" w:hAnsi="Times New Roman"/>
              </w:rPr>
              <w:t> </w:t>
            </w:r>
            <w:r w:rsidRPr="00FA4D35">
              <w:rPr>
                <w:rFonts w:ascii="Times New Roman" w:hAnsi="Times New Roman"/>
              </w:rPr>
              <w:t>mg plėvele dengtos tabletės</w:t>
            </w:r>
          </w:p>
        </w:tc>
      </w:tr>
      <w:tr w:rsidR="006B0731" w:rsidRPr="00FA4D35" w:rsidTr="00696B1E">
        <w:tc>
          <w:tcPr>
            <w:tcW w:w="1951" w:type="dxa"/>
          </w:tcPr>
          <w:p w:rsidR="006B0731" w:rsidRPr="00AB5D02" w:rsidRDefault="006B0731" w:rsidP="006B0731">
            <w:pPr>
              <w:tabs>
                <w:tab w:val="left" w:pos="567"/>
              </w:tabs>
              <w:snapToGrid w:val="0"/>
              <w:spacing w:after="0" w:line="260" w:lineRule="exact"/>
              <w:rPr>
                <w:rFonts w:ascii="Times New Roman" w:hAnsi="Times New Roman"/>
                <w:lang w:val="lt-LT"/>
              </w:rPr>
            </w:pPr>
            <w:r w:rsidRPr="00FA4D35">
              <w:rPr>
                <w:rFonts w:ascii="Times New Roman" w:hAnsi="Times New Roman"/>
              </w:rPr>
              <w:t>Latvija</w:t>
            </w:r>
          </w:p>
        </w:tc>
        <w:tc>
          <w:tcPr>
            <w:tcW w:w="6946" w:type="dxa"/>
          </w:tcPr>
          <w:p w:rsidR="006B0731" w:rsidRPr="00AB5D02" w:rsidRDefault="006B0731" w:rsidP="006B0731">
            <w:pPr>
              <w:tabs>
                <w:tab w:val="left" w:pos="567"/>
              </w:tabs>
              <w:snapToGrid w:val="0"/>
              <w:spacing w:after="0" w:line="260" w:lineRule="exact"/>
              <w:rPr>
                <w:rFonts w:ascii="Times New Roman" w:hAnsi="Times New Roman"/>
                <w:lang w:val="lt-LT"/>
              </w:rPr>
            </w:pPr>
            <w:r w:rsidRPr="00FA4D35">
              <w:rPr>
                <w:rFonts w:ascii="Times New Roman" w:hAnsi="Times New Roman"/>
              </w:rPr>
              <w:t>Co-Codamol 500</w:t>
            </w:r>
            <w:r>
              <w:rPr>
                <w:rFonts w:ascii="Times New Roman" w:hAnsi="Times New Roman"/>
              </w:rPr>
              <w:t> </w:t>
            </w:r>
            <w:r w:rsidRPr="00FA4D35">
              <w:rPr>
                <w:rFonts w:ascii="Times New Roman" w:hAnsi="Times New Roman"/>
              </w:rPr>
              <w:t>mg/30</w:t>
            </w:r>
            <w:r>
              <w:rPr>
                <w:rFonts w:ascii="Times New Roman" w:hAnsi="Times New Roman"/>
              </w:rPr>
              <w:t> </w:t>
            </w:r>
            <w:r w:rsidRPr="00FA4D35">
              <w:rPr>
                <w:rFonts w:ascii="Times New Roman" w:hAnsi="Times New Roman"/>
              </w:rPr>
              <w:t>mg apvalkotās tablets</w:t>
            </w:r>
          </w:p>
        </w:tc>
      </w:tr>
      <w:tr w:rsidR="006B0731" w:rsidRPr="00FA4D35" w:rsidTr="00696B1E">
        <w:tc>
          <w:tcPr>
            <w:tcW w:w="1951" w:type="dxa"/>
          </w:tcPr>
          <w:p w:rsidR="006B0731" w:rsidRPr="00B20F83" w:rsidRDefault="006B0731" w:rsidP="006B0731">
            <w:pPr>
              <w:tabs>
                <w:tab w:val="left" w:pos="567"/>
              </w:tabs>
              <w:snapToGrid w:val="0"/>
              <w:spacing w:after="0" w:line="260" w:lineRule="exact"/>
              <w:rPr>
                <w:rFonts w:ascii="Times New Roman" w:hAnsi="Times New Roman"/>
                <w:lang w:val="lt-LT"/>
              </w:rPr>
            </w:pPr>
            <w:r w:rsidRPr="00FA4D35">
              <w:rPr>
                <w:rFonts w:ascii="Times New Roman" w:hAnsi="Times New Roman"/>
              </w:rPr>
              <w:t>Norvegija</w:t>
            </w:r>
          </w:p>
        </w:tc>
        <w:tc>
          <w:tcPr>
            <w:tcW w:w="6946" w:type="dxa"/>
          </w:tcPr>
          <w:p w:rsidR="006B0731" w:rsidRPr="00B20F83" w:rsidRDefault="006B0731" w:rsidP="006B0731">
            <w:pPr>
              <w:tabs>
                <w:tab w:val="left" w:pos="567"/>
              </w:tabs>
              <w:snapToGrid w:val="0"/>
              <w:spacing w:after="0" w:line="260" w:lineRule="exact"/>
              <w:rPr>
                <w:rFonts w:ascii="Times New Roman" w:hAnsi="Times New Roman"/>
                <w:lang w:val="lt-LT"/>
              </w:rPr>
            </w:pPr>
            <w:r w:rsidRPr="00B20F83">
              <w:rPr>
                <w:rFonts w:ascii="Times New Roman" w:hAnsi="Times New Roman"/>
                <w:lang w:val="fr-FR"/>
              </w:rPr>
              <w:t>500/30 mg Pinex Forte</w:t>
            </w:r>
          </w:p>
        </w:tc>
      </w:tr>
      <w:tr w:rsidR="006B0731" w:rsidRPr="00FA4D35" w:rsidTr="00696B1E">
        <w:tc>
          <w:tcPr>
            <w:tcW w:w="1951" w:type="dxa"/>
          </w:tcPr>
          <w:p w:rsidR="006B0731" w:rsidRPr="00AB5D02" w:rsidRDefault="006B0731" w:rsidP="006B0731">
            <w:pPr>
              <w:tabs>
                <w:tab w:val="left" w:pos="567"/>
              </w:tabs>
              <w:snapToGrid w:val="0"/>
              <w:spacing w:after="0" w:line="260" w:lineRule="exact"/>
              <w:rPr>
                <w:rFonts w:ascii="Times New Roman" w:hAnsi="Times New Roman"/>
                <w:lang w:val="lt-LT"/>
              </w:rPr>
            </w:pPr>
            <w:r w:rsidRPr="00FA4D35">
              <w:rPr>
                <w:rFonts w:ascii="Times New Roman" w:hAnsi="Times New Roman"/>
              </w:rPr>
              <w:t>Slovakija</w:t>
            </w:r>
          </w:p>
        </w:tc>
        <w:tc>
          <w:tcPr>
            <w:tcW w:w="6946" w:type="dxa"/>
          </w:tcPr>
          <w:p w:rsidR="006B0731" w:rsidRPr="00AB5D02" w:rsidRDefault="006B0731" w:rsidP="006B0731">
            <w:pPr>
              <w:tabs>
                <w:tab w:val="left" w:pos="567"/>
              </w:tabs>
              <w:snapToGrid w:val="0"/>
              <w:spacing w:after="0" w:line="260" w:lineRule="exact"/>
              <w:rPr>
                <w:rFonts w:ascii="Times New Roman" w:hAnsi="Times New Roman"/>
                <w:lang w:val="lt-LT"/>
              </w:rPr>
            </w:pPr>
            <w:r w:rsidRPr="00FA4D35">
              <w:rPr>
                <w:rFonts w:ascii="Times New Roman" w:hAnsi="Times New Roman"/>
              </w:rPr>
              <w:t>Codamol 500/30</w:t>
            </w:r>
            <w:r>
              <w:rPr>
                <w:rFonts w:ascii="Times New Roman" w:hAnsi="Times New Roman"/>
              </w:rPr>
              <w:t> </w:t>
            </w:r>
            <w:r w:rsidRPr="00FA4D35">
              <w:rPr>
                <w:rFonts w:ascii="Times New Roman" w:hAnsi="Times New Roman"/>
              </w:rPr>
              <w:t>mg</w:t>
            </w:r>
          </w:p>
        </w:tc>
      </w:tr>
    </w:tbl>
    <w:p w:rsidR="006B0731" w:rsidRPr="00EF17FD" w:rsidRDefault="006B0731" w:rsidP="006B0731">
      <w:pPr>
        <w:tabs>
          <w:tab w:val="left" w:pos="567"/>
        </w:tabs>
        <w:snapToGrid w:val="0"/>
        <w:spacing w:after="0" w:line="260" w:lineRule="exact"/>
        <w:rPr>
          <w:rFonts w:ascii="Times New Roman" w:hAnsi="Times New Roman"/>
        </w:rPr>
      </w:pPr>
    </w:p>
    <w:p w:rsidR="006B0731" w:rsidRPr="00EF17FD" w:rsidRDefault="006B0731" w:rsidP="006B0731">
      <w:pPr>
        <w:tabs>
          <w:tab w:val="left" w:pos="567"/>
        </w:tabs>
        <w:snapToGrid w:val="0"/>
        <w:spacing w:after="0" w:line="260" w:lineRule="exact"/>
        <w:rPr>
          <w:rFonts w:ascii="Times New Roman" w:hAnsi="Times New Roman"/>
          <w:b/>
        </w:rPr>
      </w:pPr>
      <w:r w:rsidRPr="00EF17FD">
        <w:rPr>
          <w:rFonts w:ascii="Times New Roman" w:hAnsi="Times New Roman"/>
          <w:b/>
        </w:rPr>
        <w:t>Šis pakuotės lapelis paskutinį kartą peržiūrėtas</w:t>
      </w:r>
      <w:r>
        <w:rPr>
          <w:rFonts w:ascii="Times New Roman" w:hAnsi="Times New Roman"/>
          <w:b/>
        </w:rPr>
        <w:t xml:space="preserve"> 2025-01-19.</w:t>
      </w:r>
    </w:p>
    <w:p w:rsidR="006B0731" w:rsidRPr="00EF17FD" w:rsidRDefault="006B0731" w:rsidP="006B0731">
      <w:pPr>
        <w:tabs>
          <w:tab w:val="left" w:pos="567"/>
        </w:tabs>
        <w:snapToGrid w:val="0"/>
        <w:spacing w:after="0" w:line="260" w:lineRule="exact"/>
        <w:rPr>
          <w:rFonts w:ascii="Times New Roman" w:hAnsi="Times New Roman"/>
          <w:i/>
        </w:rPr>
      </w:pPr>
    </w:p>
    <w:p w:rsidR="006B0731" w:rsidRPr="00EF17FD" w:rsidRDefault="006B0731" w:rsidP="006B0731">
      <w:pPr>
        <w:tabs>
          <w:tab w:val="left" w:pos="567"/>
        </w:tabs>
        <w:snapToGrid w:val="0"/>
        <w:spacing w:after="0" w:line="260" w:lineRule="exact"/>
        <w:rPr>
          <w:rFonts w:ascii="Times New Roman" w:hAnsi="Times New Roman"/>
          <w:i/>
        </w:rPr>
      </w:pPr>
    </w:p>
    <w:p w:rsidR="006B0731" w:rsidRPr="00EF17FD" w:rsidRDefault="006B0731" w:rsidP="006B0731">
      <w:pPr>
        <w:tabs>
          <w:tab w:val="left" w:pos="567"/>
        </w:tabs>
        <w:snapToGrid w:val="0"/>
        <w:spacing w:after="0" w:line="260" w:lineRule="exact"/>
        <w:rPr>
          <w:rFonts w:ascii="Times New Roman" w:hAnsi="Times New Roman"/>
        </w:rPr>
      </w:pPr>
      <w:r w:rsidRPr="00EF17FD">
        <w:rPr>
          <w:rFonts w:ascii="Times New Roman" w:hAnsi="Times New Roman"/>
        </w:rPr>
        <w:t>Išsami informacija apie šį vaistą pateikiama Valstybinės vaistų kontrolės tarnybos prie Lietuvos Respublikos sveikatos apsaugos ministerijos tinklalapyje</w:t>
      </w:r>
      <w:r w:rsidRPr="00EF17FD">
        <w:rPr>
          <w:rFonts w:ascii="Times New Roman" w:hAnsi="Times New Roman"/>
          <w:i/>
        </w:rPr>
        <w:t xml:space="preserve"> </w:t>
      </w:r>
      <w:hyperlink r:id="rId10" w:history="1">
        <w:r w:rsidRPr="00F9387F">
          <w:rPr>
            <w:rStyle w:val="Hipersaitas"/>
            <w:rFonts w:ascii="Times New Roman" w:hAnsi="Times New Roman" w:cs="Times New Roman"/>
          </w:rPr>
          <w:t>http://www.vvkt.lt/</w:t>
        </w:r>
      </w:hyperlink>
      <w:r w:rsidRPr="00234C61">
        <w:rPr>
          <w:rFonts w:ascii="Times New Roman" w:hAnsi="Times New Roman" w:cs="Times New Roman"/>
        </w:rPr>
        <w:t>.</w:t>
      </w:r>
    </w:p>
    <w:p w:rsidR="006B0731" w:rsidRPr="00EF17FD" w:rsidRDefault="006B0731" w:rsidP="006B0731">
      <w:pPr>
        <w:tabs>
          <w:tab w:val="left" w:pos="567"/>
        </w:tabs>
        <w:snapToGrid w:val="0"/>
        <w:spacing w:after="0" w:line="260" w:lineRule="exact"/>
        <w:rPr>
          <w:rFonts w:ascii="Times New Roman" w:hAnsi="Times New Roman"/>
        </w:rPr>
      </w:pPr>
    </w:p>
    <w:p w:rsidR="006B0731" w:rsidRPr="00001F86" w:rsidRDefault="006B0731" w:rsidP="006B0731">
      <w:bookmarkStart w:id="0" w:name="_GoBack"/>
      <w:bookmarkEnd w:id="0"/>
    </w:p>
    <w:p w:rsidR="00BA6577" w:rsidRDefault="00BA6577"/>
    <w:sectPr w:rsidR="00BA6577" w:rsidSect="008E3598">
      <w:headerReference w:type="default" r:id="rId11"/>
      <w:footerReference w:type="defaul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397292387"/>
      <w:docPartObj>
        <w:docPartGallery w:val="Page Numbers (Bottom of Page)"/>
        <w:docPartUnique/>
      </w:docPartObj>
    </w:sdtPr>
    <w:sdtEndPr>
      <w:rPr>
        <w:noProof/>
        <w:sz w:val="20"/>
        <w:szCs w:val="16"/>
      </w:rPr>
    </w:sdtEndPr>
    <w:sdtContent>
      <w:p w:rsidR="007A4695" w:rsidRPr="00BE1E37" w:rsidRDefault="006B0731">
        <w:pPr>
          <w:pStyle w:val="Porat"/>
          <w:jc w:val="center"/>
          <w:rPr>
            <w:sz w:val="20"/>
            <w:szCs w:val="16"/>
          </w:rPr>
        </w:pPr>
        <w:r w:rsidRPr="00BE1E37">
          <w:rPr>
            <w:sz w:val="20"/>
            <w:szCs w:val="16"/>
          </w:rPr>
          <w:fldChar w:fldCharType="begin"/>
        </w:r>
        <w:r w:rsidRPr="00BE1E37">
          <w:rPr>
            <w:sz w:val="20"/>
            <w:szCs w:val="16"/>
          </w:rPr>
          <w:instrText xml:space="preserve"> PAGE   \* MERGEFORMAT </w:instrText>
        </w:r>
        <w:r w:rsidRPr="00BE1E37">
          <w:rPr>
            <w:sz w:val="20"/>
            <w:szCs w:val="16"/>
          </w:rPr>
          <w:fldChar w:fldCharType="separate"/>
        </w:r>
        <w:r>
          <w:rPr>
            <w:noProof/>
            <w:sz w:val="20"/>
            <w:szCs w:val="16"/>
          </w:rPr>
          <w:t>8</w:t>
        </w:r>
        <w:r w:rsidRPr="00BE1E37">
          <w:rPr>
            <w:noProof/>
            <w:sz w:val="20"/>
            <w:szCs w:val="16"/>
          </w:rPr>
          <w:fldChar w:fldCharType="end"/>
        </w:r>
      </w:p>
    </w:sdtContent>
  </w:sdt>
  <w:p w:rsidR="007A4695" w:rsidRDefault="006B073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695" w:rsidRDefault="006B0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7417"/>
    <w:multiLevelType w:val="hybridMultilevel"/>
    <w:tmpl w:val="C6600CB4"/>
    <w:lvl w:ilvl="0" w:tplc="7610BFD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0D1963"/>
    <w:multiLevelType w:val="hybridMultilevel"/>
    <w:tmpl w:val="390498AA"/>
    <w:lvl w:ilvl="0" w:tplc="7610BFD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2E5F43"/>
    <w:multiLevelType w:val="hybridMultilevel"/>
    <w:tmpl w:val="955425F0"/>
    <w:lvl w:ilvl="0" w:tplc="7610BFD2">
      <w:start w:val="4"/>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77599"/>
    <w:multiLevelType w:val="hybridMultilevel"/>
    <w:tmpl w:val="8758BE08"/>
    <w:lvl w:ilvl="0" w:tplc="7610BF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31"/>
    <w:rsid w:val="00070BFA"/>
    <w:rsid w:val="00072F85"/>
    <w:rsid w:val="000A5E72"/>
    <w:rsid w:val="000A7B60"/>
    <w:rsid w:val="00181364"/>
    <w:rsid w:val="002945D9"/>
    <w:rsid w:val="00305C48"/>
    <w:rsid w:val="003362C6"/>
    <w:rsid w:val="00497D4D"/>
    <w:rsid w:val="005F6F06"/>
    <w:rsid w:val="00677BFD"/>
    <w:rsid w:val="006B0731"/>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0FC24-CA91-48F8-97D6-31A26E04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731"/>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uiPriority w:val="99"/>
    <w:rsid w:val="006B0731"/>
    <w:rPr>
      <w:color w:val="0000FF"/>
      <w:u w:val="single"/>
    </w:rPr>
  </w:style>
  <w:style w:type="paragraph" w:styleId="Sraopastraipa">
    <w:name w:val="List Paragraph"/>
    <w:basedOn w:val="prastasis"/>
    <w:uiPriority w:val="34"/>
    <w:qFormat/>
    <w:rsid w:val="006B0731"/>
    <w:pPr>
      <w:tabs>
        <w:tab w:val="left" w:pos="567"/>
      </w:tabs>
      <w:snapToGrid w:val="0"/>
      <w:spacing w:after="0" w:line="260" w:lineRule="exact"/>
      <w:ind w:left="720"/>
      <w:contextualSpacing/>
    </w:pPr>
    <w:rPr>
      <w:rFonts w:ascii="Times New Roman" w:eastAsia="Times New Roman" w:hAnsi="Times New Roman" w:cs="Times New Roman"/>
      <w:szCs w:val="20"/>
      <w:lang w:val="en-GB"/>
    </w:rPr>
  </w:style>
  <w:style w:type="table" w:styleId="Lentelstinklelis">
    <w:name w:val="Table Grid"/>
    <w:basedOn w:val="prastojilentel"/>
    <w:uiPriority w:val="39"/>
    <w:rsid w:val="006B0731"/>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B0731"/>
    <w:pPr>
      <w:tabs>
        <w:tab w:val="center" w:pos="4680"/>
        <w:tab w:val="right" w:pos="9360"/>
      </w:tabs>
      <w:snapToGrid w:val="0"/>
      <w:spacing w:after="0" w:line="240" w:lineRule="auto"/>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6B0731"/>
    <w:rPr>
      <w:rFonts w:ascii="Times New Roman" w:hAnsi="Times New Roman" w:cs="Times New Roman"/>
      <w:szCs w:val="20"/>
      <w:lang w:val="en-GB"/>
    </w:rPr>
  </w:style>
  <w:style w:type="paragraph" w:styleId="Porat">
    <w:name w:val="footer"/>
    <w:basedOn w:val="prastasis"/>
    <w:link w:val="PoratDiagrama"/>
    <w:uiPriority w:val="99"/>
    <w:unhideWhenUsed/>
    <w:rsid w:val="006B0731"/>
    <w:pPr>
      <w:tabs>
        <w:tab w:val="center" w:pos="4680"/>
        <w:tab w:val="right" w:pos="9360"/>
      </w:tabs>
      <w:snapToGrid w:val="0"/>
      <w:spacing w:after="0" w:line="240" w:lineRule="auto"/>
    </w:pPr>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6B0731"/>
    <w:rPr>
      <w:rFonts w:ascii="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cid:image003.jpg@01CF9567.153C09A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11631</Words>
  <Characters>6631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2025-05-13T11:19:00Z</dcterms:created>
  <dcterms:modified xsi:type="dcterms:W3CDTF">2025-05-13T11:20:00Z</dcterms:modified>
</cp:coreProperties>
</file>