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Pakuotės lapelis: informacija pacientui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  <w:r w:rsidRPr="00A94525">
        <w:rPr>
          <w:rFonts w:ascii="Times New Roman" w:hAnsi="Times New Roman"/>
          <w:b/>
          <w:lang w:val="lt-LT"/>
        </w:rPr>
        <w:t xml:space="preserve"> 600 TV milteliai ir tirpiklis injekciniam tirpalui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Veiklioji medžiaga: žmogaus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kompleksas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Default="002443B5" w:rsidP="002443B5">
      <w:pPr>
        <w:suppressAutoHyphens/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Atidžiai perskaitykite visą šį lapelį, prieš Jums skiriant vaistą, nes jame pateikiama Jums svarbi informacija.</w:t>
      </w:r>
    </w:p>
    <w:p w:rsidR="002443B5" w:rsidRPr="00A94525" w:rsidRDefault="002443B5" w:rsidP="002443B5">
      <w:pPr>
        <w:suppressAutoHyphens/>
        <w:spacing w:after="0" w:line="240" w:lineRule="auto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spacing w:after="0" w:line="240" w:lineRule="auto"/>
        <w:ind w:left="567" w:right="-2" w:hanging="567"/>
        <w:rPr>
          <w:rFonts w:ascii="Times New Roman" w:hAnsi="Times New Roman"/>
          <w:snapToGrid w:val="0"/>
          <w:lang w:val="lt-LT"/>
        </w:rPr>
      </w:pPr>
      <w:r w:rsidRPr="00A94525">
        <w:rPr>
          <w:rFonts w:ascii="Times New Roman" w:hAnsi="Times New Roman"/>
          <w:snapToGrid w:val="0"/>
          <w:lang w:val="lt-LT"/>
        </w:rPr>
        <w:t>-</w:t>
      </w:r>
      <w:r w:rsidRPr="00A94525">
        <w:rPr>
          <w:rFonts w:ascii="Times New Roman" w:hAnsi="Times New Roman"/>
          <w:snapToGrid w:val="0"/>
          <w:lang w:val="lt-LT"/>
        </w:rPr>
        <w:tab/>
        <w:t>Neišmeskite šio lapelio, nes vėl gali prireikti jį perskaityti.</w:t>
      </w:r>
    </w:p>
    <w:p w:rsidR="002443B5" w:rsidRPr="00A94525" w:rsidRDefault="002443B5" w:rsidP="002443B5">
      <w:pPr>
        <w:spacing w:after="0" w:line="240" w:lineRule="auto"/>
        <w:ind w:left="567" w:right="-2" w:hanging="567"/>
        <w:rPr>
          <w:rFonts w:ascii="Times New Roman" w:hAnsi="Times New Roman"/>
          <w:snapToGrid w:val="0"/>
          <w:lang w:val="lt-LT"/>
        </w:rPr>
      </w:pPr>
      <w:r w:rsidRPr="00A94525">
        <w:rPr>
          <w:rFonts w:ascii="Times New Roman" w:hAnsi="Times New Roman"/>
          <w:snapToGrid w:val="0"/>
          <w:lang w:val="lt-LT"/>
        </w:rPr>
        <w:t>-</w:t>
      </w:r>
      <w:r w:rsidRPr="00A94525">
        <w:rPr>
          <w:rFonts w:ascii="Times New Roman" w:hAnsi="Times New Roman"/>
          <w:snapToGrid w:val="0"/>
          <w:lang w:val="lt-LT"/>
        </w:rPr>
        <w:tab/>
        <w:t>Jeigu kiltų daugiau klausimų, kreipkitės į gydytoją.</w:t>
      </w:r>
    </w:p>
    <w:p w:rsidR="002443B5" w:rsidRPr="00A94525" w:rsidRDefault="002443B5" w:rsidP="002443B5">
      <w:p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snapToGrid w:val="0"/>
          <w:lang w:val="lt-LT"/>
        </w:rPr>
        <w:t>-</w:t>
      </w:r>
      <w:r w:rsidRPr="00A94525">
        <w:rPr>
          <w:rFonts w:ascii="Times New Roman" w:hAnsi="Times New Roman"/>
          <w:snapToGrid w:val="0"/>
          <w:lang w:val="lt-LT"/>
        </w:rPr>
        <w:tab/>
        <w:t>Jeigu pasireiškė šalutinis poveikis (net jeigu jis šiame lapelyje nenurodytas), kreipkitės į gydytoją arba vaistininką. Žr. 4 skyrių.</w:t>
      </w:r>
    </w:p>
    <w:p w:rsidR="002443B5" w:rsidRPr="00A94525" w:rsidRDefault="002443B5" w:rsidP="002443B5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Apie ką rašoma šiame lapelyje?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1.</w:t>
      </w:r>
      <w:r w:rsidRPr="00A94525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ir kam jis vartojamas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2.</w:t>
      </w:r>
      <w:r w:rsidRPr="00A94525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3.</w:t>
      </w:r>
      <w:r w:rsidRPr="00A94525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4.</w:t>
      </w:r>
      <w:r w:rsidRPr="00A94525">
        <w:rPr>
          <w:rFonts w:ascii="Times New Roman" w:hAnsi="Times New Roman"/>
          <w:lang w:val="lt-LT"/>
        </w:rPr>
        <w:tab/>
        <w:t>Galimas šalutinis poveikis</w:t>
      </w:r>
    </w:p>
    <w:p w:rsidR="002443B5" w:rsidRPr="00A94525" w:rsidRDefault="002443B5" w:rsidP="002443B5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284"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5.</w:t>
      </w:r>
      <w:r w:rsidRPr="00A94525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6.</w:t>
      </w:r>
      <w:r w:rsidRPr="00A94525">
        <w:rPr>
          <w:rFonts w:ascii="Times New Roman" w:hAnsi="Times New Roman"/>
          <w:lang w:val="lt-LT"/>
        </w:rPr>
        <w:tab/>
        <w:t>Pakuotės turinys ir kita informacija</w:t>
      </w:r>
    </w:p>
    <w:p w:rsidR="002443B5" w:rsidRPr="00A94525" w:rsidRDefault="002443B5" w:rsidP="002443B5">
      <w:pPr>
        <w:numPr>
          <w:ilvl w:val="12"/>
          <w:numId w:val="0"/>
        </w:numPr>
        <w:tabs>
          <w:tab w:val="left" w:pos="7530"/>
        </w:tabs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1.</w:t>
      </w:r>
      <w:r w:rsidRPr="00A94525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  <w:r w:rsidRPr="00A94525">
        <w:rPr>
          <w:rFonts w:ascii="Times New Roman" w:hAnsi="Times New Roman"/>
          <w:b/>
          <w:lang w:val="lt-LT"/>
        </w:rPr>
        <w:t xml:space="preserve"> ir kam jis vartojamas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yra vaistas, pagamintas iš žmogaus plazmos (skystosios kraujo dalies). Jo sudėtyje yra II, VII, IX ir X kraujo krešėjimo faktorių (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krešėjimo faktorių), taip pat baltymo C.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Šie krešėjimo faktoriai yra priklausomi nuo vitamino K, todėl kaip ir vitaminas K vaidina svarbų vaidmenį kraujo krešėjimo procese. Esant vieno iš šių faktorių trūkumui, kraujas </w:t>
      </w:r>
      <w:proofErr w:type="spellStart"/>
      <w:r w:rsidRPr="00A94525">
        <w:rPr>
          <w:rFonts w:ascii="Times New Roman" w:hAnsi="Times New Roman"/>
          <w:lang w:val="lt-LT"/>
        </w:rPr>
        <w:t>nekreša</w:t>
      </w:r>
      <w:proofErr w:type="spellEnd"/>
      <w:r w:rsidRPr="00A94525">
        <w:rPr>
          <w:rFonts w:ascii="Times New Roman" w:hAnsi="Times New Roman"/>
          <w:lang w:val="lt-LT"/>
        </w:rPr>
        <w:t xml:space="preserve"> taip greitai kaip įprastai, todėl padidėja polinkis kraujuoti.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vartojamas:</w:t>
      </w:r>
    </w:p>
    <w:p w:rsidR="002443B5" w:rsidRPr="00A94525" w:rsidRDefault="002443B5" w:rsidP="002443B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kraujavimui gydyti;</w:t>
      </w:r>
    </w:p>
    <w:p w:rsidR="002443B5" w:rsidRPr="00A94525" w:rsidRDefault="002443B5" w:rsidP="002443B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apsaugoti nuo kraujavimo prieš pat operaciją arba po jos;</w:t>
      </w:r>
    </w:p>
    <w:p w:rsidR="002443B5" w:rsidRPr="00A94525" w:rsidRDefault="002443B5" w:rsidP="002443B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esant įgytam ir įgimtam </w:t>
      </w:r>
      <w:proofErr w:type="spellStart"/>
      <w:r w:rsidRPr="00A94525">
        <w:rPr>
          <w:rFonts w:ascii="Times New Roman" w:hAnsi="Times New Roman"/>
          <w:lang w:val="lt-LT"/>
        </w:rPr>
        <w:t>koaguliacijos</w:t>
      </w:r>
      <w:proofErr w:type="spellEnd"/>
      <w:r w:rsidRPr="00A94525">
        <w:rPr>
          <w:rFonts w:ascii="Times New Roman" w:hAnsi="Times New Roman"/>
          <w:lang w:val="lt-LT"/>
        </w:rPr>
        <w:t xml:space="preserve"> faktorių deficitui.</w:t>
      </w:r>
    </w:p>
    <w:p w:rsidR="002443B5" w:rsidRPr="00A94525" w:rsidRDefault="002443B5" w:rsidP="002443B5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ind w:right="-2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Įgytas deficitas</w:t>
      </w:r>
    </w:p>
    <w:p w:rsidR="002443B5" w:rsidRPr="00A94525" w:rsidRDefault="002443B5" w:rsidP="002443B5">
      <w:p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Jums gali pasireikšti nuo vitamino K priklausomų krešėjimo faktorių trūkumas (įgytas deficitas). Jis gali pasireikšti, jei, pvz., buvote gydomi vaistais, kurie mažina vitamino K poveikį (tokie vaistai vadinami vitamino K antagonistais), arba tokių vaistų perdozavote.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Įgimtas deficitas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 šis trūkumas jums pasireiškia nuo gimimo (įgimtas deficitas), šis vaistas jums gali būti skiriamas prieš pat operaciją arba po jos, jei nėra galimybės skirti atskiro faktoriaus koncentrato.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2.</w:t>
      </w:r>
      <w:r w:rsidRPr="00A94525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</w:p>
    <w:p w:rsidR="002443B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  <w:r w:rsidRPr="00A94525">
        <w:rPr>
          <w:rFonts w:ascii="Times New Roman" w:hAnsi="Times New Roman"/>
          <w:b/>
          <w:lang w:val="lt-LT"/>
        </w:rPr>
        <w:t xml:space="preserve"> vartoti </w:t>
      </w:r>
      <w:r>
        <w:rPr>
          <w:rFonts w:ascii="Times New Roman" w:hAnsi="Times New Roman"/>
          <w:b/>
          <w:lang w:val="lt-LT"/>
        </w:rPr>
        <w:t>draudžiama</w:t>
      </w: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–</w:t>
      </w:r>
      <w:r w:rsidRPr="00A94525">
        <w:rPr>
          <w:rFonts w:ascii="Times New Roman" w:hAnsi="Times New Roman"/>
          <w:lang w:val="lt-LT"/>
        </w:rPr>
        <w:tab/>
        <w:t>jeigu yra alergija krešėjimo faktoriams arba bet kuriai pagalbinei šio vaisto medžiagai (jos išvardytos 6 skyriuje);</w:t>
      </w:r>
    </w:p>
    <w:p w:rsidR="002443B5" w:rsidRPr="00A94525" w:rsidRDefault="002443B5" w:rsidP="002443B5">
      <w:pPr>
        <w:spacing w:after="0" w:line="240" w:lineRule="auto"/>
        <w:ind w:left="567" w:hanging="567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–</w:t>
      </w:r>
      <w:r w:rsidRPr="00A94525">
        <w:rPr>
          <w:rFonts w:ascii="Times New Roman" w:hAnsi="Times New Roman"/>
          <w:lang w:val="lt-LT"/>
        </w:rPr>
        <w:tab/>
        <w:t xml:space="preserve">jeigu pasireiškia arba įtariama, kad pasireiškia, heparino sukeltas trombocitų (kūnelių, kurie reikalingi, kad kraujas krešėtų) kiekio kraujyje mažėjimas (heparino sukelta </w:t>
      </w:r>
      <w:proofErr w:type="spellStart"/>
      <w:r w:rsidRPr="00A94525">
        <w:rPr>
          <w:rFonts w:ascii="Times New Roman" w:hAnsi="Times New Roman"/>
          <w:lang w:val="lt-LT"/>
        </w:rPr>
        <w:t>trombocitopenija</w:t>
      </w:r>
      <w:proofErr w:type="spellEnd"/>
      <w:r w:rsidRPr="00A94525">
        <w:rPr>
          <w:rFonts w:ascii="Times New Roman" w:hAnsi="Times New Roman"/>
          <w:lang w:val="lt-LT"/>
        </w:rPr>
        <w:t>).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Įspėjimai ir atsargumo priemonės</w:t>
      </w: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</w:p>
    <w:p w:rsidR="002443B5" w:rsidRPr="000A0EC5" w:rsidRDefault="002443B5" w:rsidP="002443B5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13B6">
        <w:rPr>
          <w:rFonts w:ascii="TimesNewRomanPSMT" w:hAnsi="TimesNewRomanPSMT" w:cs="TimesNewRomanPSMT"/>
          <w:u w:val="single"/>
          <w:lang w:val="lt-LT" w:eastAsia="en-GB"/>
        </w:rPr>
        <w:t>Atsekamumas</w:t>
      </w:r>
    </w:p>
    <w:p w:rsidR="002443B5" w:rsidRPr="004D3A43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BA13B6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BA13B6">
        <w:rPr>
          <w:rFonts w:ascii="Times New Roman" w:hAnsi="Times New Roman"/>
          <w:lang w:val="lt-LT"/>
        </w:rPr>
        <w:t xml:space="preserve">Kaskart suvartojus </w:t>
      </w:r>
      <w:proofErr w:type="spellStart"/>
      <w:r w:rsidRPr="00BA13B6">
        <w:rPr>
          <w:rFonts w:ascii="Times New Roman" w:hAnsi="Times New Roman"/>
          <w:lang w:val="lt-LT"/>
        </w:rPr>
        <w:t>Prothromplex</w:t>
      </w:r>
      <w:proofErr w:type="spellEnd"/>
      <w:r w:rsidRPr="00BA13B6">
        <w:rPr>
          <w:rFonts w:ascii="Times New Roman" w:hAnsi="Times New Roman"/>
          <w:lang w:val="lt-LT"/>
        </w:rPr>
        <w:t xml:space="preserve"> dozę, </w:t>
      </w:r>
      <w:r w:rsidRPr="00F048A3">
        <w:rPr>
          <w:rFonts w:ascii="Times New Roman" w:hAnsi="Times New Roman"/>
          <w:lang w:val="lt-LT"/>
        </w:rPr>
        <w:t>primygtinai</w:t>
      </w:r>
      <w:r w:rsidRPr="00BA13B6">
        <w:rPr>
          <w:rFonts w:ascii="Times New Roman" w:hAnsi="Times New Roman"/>
          <w:lang w:val="lt-LT"/>
        </w:rPr>
        <w:t xml:space="preserve"> rekomenduojama užsirašyti vaist</w:t>
      </w:r>
      <w:r>
        <w:rPr>
          <w:rFonts w:ascii="Times New Roman" w:hAnsi="Times New Roman"/>
          <w:lang w:val="lt-LT"/>
        </w:rPr>
        <w:t xml:space="preserve">o </w:t>
      </w:r>
      <w:r w:rsidRPr="00BA13B6">
        <w:rPr>
          <w:rFonts w:ascii="Times New Roman" w:hAnsi="Times New Roman"/>
          <w:lang w:val="lt-LT"/>
        </w:rPr>
        <w:t>pavadinimą ir serijos numerį, siekiant turėti vartotų serijų numerių informaciją.</w:t>
      </w:r>
    </w:p>
    <w:p w:rsidR="002443B5" w:rsidRPr="006F374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Pasitarkite su gydytoju, prieš pradėdami vartoti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>.</w:t>
      </w:r>
    </w:p>
    <w:p w:rsidR="002443B5" w:rsidRPr="00A94525" w:rsidRDefault="002443B5" w:rsidP="002443B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Retais atvejais gali pasireikšti sunki, staigi alerginė reakcija (anafilaksinė reakcija) į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, nes gauta duomenų apie tokias alerginio tipo reakcijas pavartojus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>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ab/>
        <w:t>Išsamesnės informacijos apie ankstyvuosius tokių alerginių reakcijų požymius galite rasti 4 skyriuje „Galimas šalutinis poveikis“.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 yra įgytas nuo vitamino K priklausomų krešėjimo faktorių deficitas.</w:t>
      </w:r>
    </w:p>
    <w:p w:rsidR="002443B5" w:rsidRPr="00A94525" w:rsidRDefault="002443B5" w:rsidP="002443B5">
      <w:pPr>
        <w:pStyle w:val="Sraopastraipa"/>
        <w:tabs>
          <w:tab w:val="left" w:pos="567"/>
        </w:tabs>
        <w:spacing w:after="0" w:line="240" w:lineRule="auto"/>
        <w:ind w:left="567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Šį įgytą deficitą gali sukelti gydymas vaistais, kurie slopina vitaminą K ir stabdo kraujo krešėjimą. Tokiu atveju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turi būti vartojamas tik tuomet, kai būtina greitai pakoreguoti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krešėjimo faktorių koncentraciją, pvz., stipriai kraujuojant arba prireikus neatidėliotinos chirurginės operacijos. Visais kitais atvejais pakanka sumažinti vitamino K antagonistų dozę arba vartoti vitamino K.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Jei vartojate vaistus kraujo krešėjimui slopinti (vitamino K antagonistus). Gali būti padidėjęs polinkis į kraujo krešėjimą, kuris padidėja dėl žmogaus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koncentrato infuzijos.</w:t>
      </w:r>
    </w:p>
    <w:p w:rsidR="002443B5" w:rsidRPr="00A94525" w:rsidRDefault="002443B5" w:rsidP="002443B5">
      <w:pPr>
        <w:pStyle w:val="Sraopastraipa"/>
        <w:tabs>
          <w:tab w:val="left" w:pos="567"/>
        </w:tabs>
        <w:spacing w:after="0" w:line="240" w:lineRule="auto"/>
        <w:ind w:left="567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 yra įgimtas nuo vitamino K priklausomo krešėjimo faktoriaus deficitas, gydytojas paskirs specifinį atskiro faktoriaus koncentratą (jei bus galimybė).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Jei esate gydomi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koncentratu, ypač tuo atveju, jei jo vartojote pakartotinai, nes gali susidaryti kraujo krešulių (trombozė), kurie gali patekti į kraują (embolija).</w:t>
      </w:r>
    </w:p>
    <w:p w:rsidR="002443B5" w:rsidRPr="00A94525" w:rsidRDefault="002443B5" w:rsidP="002443B5">
      <w:pPr>
        <w:pStyle w:val="Sraopastraipa"/>
        <w:tabs>
          <w:tab w:val="left" w:pos="567"/>
        </w:tabs>
        <w:spacing w:after="0" w:line="240" w:lineRule="auto"/>
        <w:ind w:left="567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Gali susidaryti kraujo krešulių, jei priklausote vienai iš šių pacientų grupių:</w:t>
      </w:r>
    </w:p>
    <w:p w:rsidR="002443B5" w:rsidRPr="00A94525" w:rsidRDefault="002443B5" w:rsidP="002443B5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pacientai, kurie serga vainikinių kraujagyslių ligomis arba patyrė širdies infarktą;</w:t>
      </w:r>
    </w:p>
    <w:p w:rsidR="002443B5" w:rsidRPr="00A94525" w:rsidRDefault="002443B5" w:rsidP="002443B5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pacientai, sergantys kepenų ligomis;</w:t>
      </w:r>
    </w:p>
    <w:p w:rsidR="002443B5" w:rsidRPr="00A94525" w:rsidRDefault="002443B5" w:rsidP="002443B5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pacientai, kuriems bus arba buvo atlikta chirurginė operacija;</w:t>
      </w:r>
    </w:p>
    <w:p w:rsidR="002443B5" w:rsidRPr="00A94525" w:rsidRDefault="002443B5" w:rsidP="002443B5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naujagimiai;</w:t>
      </w:r>
    </w:p>
    <w:p w:rsidR="002443B5" w:rsidRPr="00A94525" w:rsidRDefault="002443B5" w:rsidP="002443B5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pacientai, kuriems yra </w:t>
      </w:r>
      <w:proofErr w:type="spellStart"/>
      <w:r w:rsidRPr="00A94525">
        <w:rPr>
          <w:rFonts w:ascii="Times New Roman" w:hAnsi="Times New Roman"/>
          <w:lang w:val="lt-LT"/>
        </w:rPr>
        <w:t>tromboembolinių</w:t>
      </w:r>
      <w:proofErr w:type="spellEnd"/>
      <w:r w:rsidRPr="00A94525">
        <w:rPr>
          <w:rFonts w:ascii="Times New Roman" w:hAnsi="Times New Roman"/>
          <w:lang w:val="lt-LT"/>
        </w:rPr>
        <w:t xml:space="preserve"> komplikacijų arba </w:t>
      </w:r>
      <w:proofErr w:type="spellStart"/>
      <w:r w:rsidRPr="00A94525">
        <w:rPr>
          <w:rFonts w:ascii="Times New Roman" w:hAnsi="Times New Roman"/>
          <w:lang w:val="lt-LT"/>
        </w:rPr>
        <w:t>diseminuoto</w:t>
      </w:r>
      <w:proofErr w:type="spellEnd"/>
      <w:r w:rsidRPr="00A94525">
        <w:rPr>
          <w:rFonts w:ascii="Times New Roman" w:hAnsi="Times New Roman"/>
          <w:lang w:val="lt-LT"/>
        </w:rPr>
        <w:t xml:space="preserve"> </w:t>
      </w:r>
      <w:proofErr w:type="spellStart"/>
      <w:r w:rsidRPr="00A94525">
        <w:rPr>
          <w:rFonts w:ascii="Times New Roman" w:hAnsi="Times New Roman"/>
          <w:lang w:val="lt-LT"/>
        </w:rPr>
        <w:t>intravaskulinio</w:t>
      </w:r>
      <w:proofErr w:type="spellEnd"/>
      <w:r w:rsidRPr="00A94525">
        <w:rPr>
          <w:rFonts w:ascii="Times New Roman" w:hAnsi="Times New Roman"/>
          <w:lang w:val="lt-LT"/>
        </w:rPr>
        <w:t xml:space="preserve"> kraujo krešėjimo (DIK) sindromo rizika.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Visais šiais atvejais gydytojas atidžiai įvertins gydymo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naudos ir galimos šių komplikacijų keliamos rizikos santykį.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BA13B6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iCs/>
          <w:u w:val="single"/>
          <w:lang w:val="lt-LT"/>
        </w:rPr>
      </w:pPr>
      <w:r w:rsidRPr="00BA13B6">
        <w:rPr>
          <w:rFonts w:ascii="Times New Roman" w:hAnsi="Times New Roman"/>
          <w:iCs/>
          <w:u w:val="single"/>
          <w:lang w:val="lt-LT"/>
        </w:rPr>
        <w:t>Apsauga nuo virusų</w:t>
      </w:r>
    </w:p>
    <w:p w:rsidR="002443B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 vaistai pagaminti iš žmogaus kraujo ar plazmos, imamasi tam tikrų priemonių, kad pacientams nebūtų perduodamos infekcijos. Tai yra:</w:t>
      </w:r>
    </w:p>
    <w:p w:rsidR="002443B5" w:rsidRPr="00A94525" w:rsidRDefault="002443B5" w:rsidP="002443B5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siekiant išvengti infekcijos pernešimo galimybės, kraujo ir plazmos donorai kruopščiai atrenkami;</w:t>
      </w:r>
    </w:p>
    <w:p w:rsidR="002443B5" w:rsidRPr="00A94525" w:rsidRDefault="002443B5" w:rsidP="002443B5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tiriamas kiekvieno donoro kraujas ir plazma siekiant nustatyti, ar nėra virusų arba infekcijų požymių;</w:t>
      </w:r>
    </w:p>
    <w:p w:rsidR="002443B5" w:rsidRPr="00A94525" w:rsidRDefault="002443B5" w:rsidP="002443B5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contextualSpacing w:val="0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tokių kraujo ir plazmos apdorojimo etapų įtraukimas, kuriais virusus būtų galima </w:t>
      </w:r>
      <w:proofErr w:type="spellStart"/>
      <w:r w:rsidRPr="00A94525">
        <w:rPr>
          <w:rFonts w:ascii="Times New Roman" w:hAnsi="Times New Roman"/>
          <w:lang w:val="lt-LT"/>
        </w:rPr>
        <w:t>inaktyvuoti</w:t>
      </w:r>
      <w:proofErr w:type="spellEnd"/>
      <w:r w:rsidRPr="00A94525">
        <w:rPr>
          <w:rFonts w:ascii="Times New Roman" w:hAnsi="Times New Roman"/>
          <w:lang w:val="lt-LT"/>
        </w:rPr>
        <w:t xml:space="preserve"> arba pašalinti.</w:t>
      </w:r>
    </w:p>
    <w:p w:rsidR="002443B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Nepaisant šių priemonių, vartojant vaistus, pagamintus iš žmogaus kraujo arba plazmos, infekcijos pernešimo galimybė visada išlieka. Tai taip pat taikoma visiems nežinomiems ar naujiems virusams arba kitų rūšių infekcijoms.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Minėtos priemonės laikomos veiksmingomis nuo tokių apvalkalą turinčių virusų kaip žmogaus imunodeficito virusas (ŽIV), hepatito B ir hepatito C virusai, ir nuo apvalkalo neturinčio hepatito A viruso.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Šios priemonės gali daryti ribotą poveikį tokiems apvalkalo neturintiems virusams kaip </w:t>
      </w:r>
      <w:proofErr w:type="spellStart"/>
      <w:r w:rsidRPr="00A94525">
        <w:rPr>
          <w:rFonts w:ascii="Times New Roman" w:hAnsi="Times New Roman"/>
          <w:lang w:val="lt-LT"/>
        </w:rPr>
        <w:t>parvovirusas</w:t>
      </w:r>
      <w:proofErr w:type="spellEnd"/>
      <w:r w:rsidRPr="00A94525">
        <w:rPr>
          <w:rFonts w:ascii="Times New Roman" w:hAnsi="Times New Roman"/>
          <w:lang w:val="lt-LT"/>
        </w:rPr>
        <w:t xml:space="preserve"> B19. </w:t>
      </w:r>
      <w:proofErr w:type="spellStart"/>
      <w:r w:rsidRPr="00A94525">
        <w:rPr>
          <w:rFonts w:ascii="Times New Roman" w:hAnsi="Times New Roman"/>
          <w:lang w:val="lt-LT"/>
        </w:rPr>
        <w:t>Parvoviruso</w:t>
      </w:r>
      <w:proofErr w:type="spellEnd"/>
      <w:r w:rsidRPr="00A94525">
        <w:rPr>
          <w:rFonts w:ascii="Times New Roman" w:hAnsi="Times New Roman"/>
          <w:lang w:val="lt-LT"/>
        </w:rPr>
        <w:t xml:space="preserve"> B19 infekcija gali kelti grėsmę nėščioms moterims (gali sukelti negimusio kūdikio infekciją) ir asmenims, kurių imuninė sistema susilpnėjusi ar kuriems pasireiškia kurio nors tipo anemija (pvz., </w:t>
      </w:r>
      <w:proofErr w:type="spellStart"/>
      <w:r w:rsidRPr="00A94525">
        <w:rPr>
          <w:rFonts w:ascii="Times New Roman" w:hAnsi="Times New Roman"/>
          <w:lang w:val="lt-LT"/>
        </w:rPr>
        <w:t>pjautuvinė</w:t>
      </w:r>
      <w:proofErr w:type="spellEnd"/>
      <w:r w:rsidRPr="00A94525">
        <w:rPr>
          <w:rFonts w:ascii="Times New Roman" w:hAnsi="Times New Roman"/>
          <w:lang w:val="lt-LT"/>
        </w:rPr>
        <w:t xml:space="preserve"> anemija ar hemolizinė anemija).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Jei reguliariai ar pakartotinai vartojate iš žmogaus plazmos pagamintus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koncentrato vaistus, gydytojas gali rekomenduoti pasiskiepyti nuo hepatitų A ir B.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Primygtinai rekomenduojama kiekvieną kartą pavartojus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dozę užrašyti vaisto pavadinimą ir serijos numerį, kad prireikus būtų žinoma, kurios serijos vaistą vartojote.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Vaikams ir paaugliams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vartojimo jaunesniems nei 18 metų pacientams saugumas ir veiksmingumas nebuvo nustatyti atliekant klinikinius tyrimus.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Jei vartojate vaistų kraujo krešėjimui slopinti (vitamino K antagonistų), informuokite gydytoją. Gali būti padidėjęs polinkis į kraujo krešėjimą, kuris padidėja dėl žmogaus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koncentrato infuzijos.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Trukdžiai biologiniams tyrimams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Kai pacientams, vartojantiems žmogaus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kompleksą didelėmis dozėmis, atliekami krešėjimo tyrimai, kurių rezultatams įtakos gali turėti heparinas, į hepariną būtina atsižvelgti kaip į vartojamo vaisto sudedamąją dalį.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Nėštumas, žindymo laikotarpis ir vaisingumas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Nėščiosios ir žindyvės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turėtų vartoti tik būtinais atvejais.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Nėra duomenų apie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poveikį vaisingumui.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Vairavimas ir mechanizmų valdymas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Poveikio gebėjimui vairuoti ar valdyti mechanizmus tyrimų neatlikta.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lang w:val="lt-LT"/>
        </w:rPr>
      </w:pP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  <w:r w:rsidRPr="00A94525">
        <w:rPr>
          <w:rFonts w:ascii="Times New Roman" w:hAnsi="Times New Roman"/>
          <w:b/>
          <w:lang w:val="lt-LT"/>
        </w:rPr>
        <w:t xml:space="preserve"> sudėtyje yra natrio ir heparino</w:t>
      </w:r>
    </w:p>
    <w:p w:rsidR="002443B5" w:rsidRPr="00C87D40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Kiekviename š</w:t>
      </w:r>
      <w:r w:rsidRPr="000D02CE">
        <w:rPr>
          <w:rFonts w:ascii="Times New Roman" w:hAnsi="Times New Roman"/>
          <w:lang w:val="lt-LT"/>
        </w:rPr>
        <w:t>io vaist</w:t>
      </w:r>
      <w:r>
        <w:rPr>
          <w:rFonts w:ascii="Times New Roman" w:hAnsi="Times New Roman"/>
          <w:lang w:val="lt-LT"/>
        </w:rPr>
        <w:t xml:space="preserve">o </w:t>
      </w:r>
      <w:r w:rsidRPr="000D02CE">
        <w:rPr>
          <w:rFonts w:ascii="Times New Roman" w:hAnsi="Times New Roman"/>
          <w:lang w:val="lt-LT"/>
        </w:rPr>
        <w:t xml:space="preserve">flakone yra </w:t>
      </w:r>
      <w:r w:rsidRPr="007B71FC">
        <w:rPr>
          <w:rFonts w:ascii="Times New Roman" w:hAnsi="Times New Roman"/>
          <w:lang w:val="lt-LT"/>
        </w:rPr>
        <w:t xml:space="preserve">81,7 mg natrio arba 0,14 mg </w:t>
      </w:r>
      <w:r w:rsidRPr="00C87D40">
        <w:rPr>
          <w:rFonts w:ascii="Times New Roman" w:hAnsi="Times New Roman"/>
          <w:lang w:val="lt-LT"/>
        </w:rPr>
        <w:t xml:space="preserve">natrio </w:t>
      </w:r>
      <w:r w:rsidRPr="00BA13B6">
        <w:rPr>
          <w:rFonts w:ascii="Times New Roman" w:hAnsi="Times New Roman"/>
          <w:color w:val="000000"/>
          <w:lang w:val="lt-LT"/>
        </w:rPr>
        <w:t>(valgomosios druskos sudedamo</w:t>
      </w:r>
      <w:r>
        <w:rPr>
          <w:rFonts w:ascii="Times New Roman" w:hAnsi="Times New Roman"/>
          <w:color w:val="000000"/>
          <w:lang w:val="lt-LT"/>
        </w:rPr>
        <w:t xml:space="preserve">sios </w:t>
      </w:r>
      <w:r w:rsidRPr="00BA13B6">
        <w:rPr>
          <w:rFonts w:ascii="Times New Roman" w:hAnsi="Times New Roman"/>
          <w:color w:val="000000"/>
          <w:lang w:val="lt-LT"/>
        </w:rPr>
        <w:t>dali</w:t>
      </w:r>
      <w:r>
        <w:rPr>
          <w:rFonts w:ascii="Times New Roman" w:hAnsi="Times New Roman"/>
          <w:color w:val="000000"/>
          <w:lang w:val="lt-LT"/>
        </w:rPr>
        <w:t>e</w:t>
      </w:r>
      <w:r w:rsidRPr="00BA13B6">
        <w:rPr>
          <w:rFonts w:ascii="Times New Roman" w:hAnsi="Times New Roman"/>
          <w:color w:val="000000"/>
          <w:lang w:val="lt-LT"/>
        </w:rPr>
        <w:t xml:space="preserve">s) </w:t>
      </w:r>
      <w:r w:rsidRPr="00C87D40">
        <w:rPr>
          <w:rFonts w:ascii="Times New Roman" w:hAnsi="Times New Roman"/>
          <w:lang w:val="lt-LT"/>
        </w:rPr>
        <w:t>viename tarptautiniame vienete</w:t>
      </w:r>
      <w:r w:rsidRPr="000D02CE">
        <w:rPr>
          <w:rFonts w:ascii="Times New Roman" w:hAnsi="Times New Roman"/>
          <w:lang w:val="lt-LT"/>
        </w:rPr>
        <w:t xml:space="preserve">. Tai atitinka </w:t>
      </w:r>
      <w:r w:rsidRPr="00BA13B6">
        <w:rPr>
          <w:rFonts w:ascii="Times New Roman" w:hAnsi="Times New Roman"/>
          <w:lang w:val="lt-LT"/>
        </w:rPr>
        <w:t xml:space="preserve">4,1 % </w:t>
      </w:r>
      <w:r w:rsidRPr="00F048A3">
        <w:rPr>
          <w:rFonts w:ascii="Times New Roman" w:hAnsi="Times New Roman"/>
          <w:lang w:val="lt-LT"/>
        </w:rPr>
        <w:t>didžiausios rekomenduojamos</w:t>
      </w:r>
      <w:r>
        <w:rPr>
          <w:rFonts w:ascii="Times New Roman" w:hAnsi="Times New Roman"/>
          <w:lang w:val="lt-LT"/>
        </w:rPr>
        <w:t xml:space="preserve"> </w:t>
      </w:r>
      <w:r w:rsidRPr="00F048A3">
        <w:rPr>
          <w:rFonts w:ascii="Times New Roman" w:hAnsi="Times New Roman"/>
          <w:lang w:val="lt-LT"/>
        </w:rPr>
        <w:t>natrio paros normos suaugusiesiems.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Heparinas gali sukelti alerginių reakcijų ir kraujo ląstelių kiekio sumažėjimą bei dėl to sutrikdyti kraujo krešėjimą. Jei yra buvę heparino sukeltų alerginių reakcijų, negalima vartoti vaistų, kurių sudėtyje jo yra.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3.</w:t>
      </w:r>
      <w:r w:rsidRPr="00A94525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</w:p>
    <w:p w:rsidR="002443B5" w:rsidRPr="00A94525" w:rsidRDefault="002443B5" w:rsidP="002443B5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Jūsų gydymą pradėti, administruoti ir stebėti turi gydytojas, turintis patirties gydant kraujo krešėjimo sutrikimus.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Reikalingas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kiekis bei gydymo trukmė priklauso nuo įvairių veiksnių, pvz., kūno svorio, ligos sunkumo laipsnio, kraujavimo vietos ir gausumo arba nuo būtinybės sustabdyti kraujavimą atliekant chirurgines operacijas.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Gydytojas nustatys Jums tinkamą dozę ir nuolat stebės, kaip </w:t>
      </w:r>
      <w:proofErr w:type="spellStart"/>
      <w:r w:rsidRPr="00A94525">
        <w:rPr>
          <w:rFonts w:ascii="Times New Roman" w:hAnsi="Times New Roman"/>
          <w:lang w:val="lt-LT"/>
        </w:rPr>
        <w:t>kreša</w:t>
      </w:r>
      <w:proofErr w:type="spellEnd"/>
      <w:r w:rsidRPr="00A94525">
        <w:rPr>
          <w:rFonts w:ascii="Times New Roman" w:hAnsi="Times New Roman"/>
          <w:lang w:val="lt-LT"/>
        </w:rPr>
        <w:t xml:space="preserve"> kraujas, bei Jūsų klinikinę būklę (žr. skyrių „Toliau pateikta informacija skirta tik sveikatos priežiūros specialistams“).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Vartojimo metodas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Leisti į veną.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Gydytojas stebi, kaip vartojamas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>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Ištirpinus pridėtame steriliame injekciniame vandenyje,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lėtai leidžiamas į veną (intraveninis vartojimas). Leidimo greitis priklauso nuo Jūsų savijautos ir neturi būti didesnis nei 2 ml per minutę (60 TV/min).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Vartojimas vaikams ir paaugliams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Nebuvo atlikta jokių klinikinių tyrimų, todėl nėra vaisto vartojimo rekomendacijų pacientams iki 18 metų.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b/>
          <w:lang w:val="lt-LT"/>
        </w:rPr>
        <w:t xml:space="preserve">Ką daryti pavartojus per didelę </w:t>
      </w: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  <w:r w:rsidRPr="00A94525">
        <w:rPr>
          <w:rFonts w:ascii="Times New Roman" w:hAnsi="Times New Roman"/>
          <w:b/>
          <w:lang w:val="lt-LT"/>
        </w:rPr>
        <w:t xml:space="preserve"> dozę?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Perdozavus atsiranda </w:t>
      </w:r>
      <w:proofErr w:type="spellStart"/>
      <w:r w:rsidRPr="00A94525">
        <w:rPr>
          <w:rFonts w:ascii="Times New Roman" w:hAnsi="Times New Roman"/>
          <w:lang w:val="lt-LT"/>
        </w:rPr>
        <w:t>tromboembolinių</w:t>
      </w:r>
      <w:proofErr w:type="spellEnd"/>
      <w:r w:rsidRPr="00A94525">
        <w:rPr>
          <w:rFonts w:ascii="Times New Roman" w:hAnsi="Times New Roman"/>
          <w:lang w:val="lt-LT"/>
        </w:rPr>
        <w:t xml:space="preserve"> komplikacijų arba suvartojimo </w:t>
      </w:r>
      <w:proofErr w:type="spellStart"/>
      <w:r w:rsidRPr="00A94525">
        <w:rPr>
          <w:rFonts w:ascii="Times New Roman" w:hAnsi="Times New Roman"/>
          <w:lang w:val="lt-LT"/>
        </w:rPr>
        <w:t>koaguliopatijos</w:t>
      </w:r>
      <w:proofErr w:type="spellEnd"/>
      <w:r w:rsidRPr="00A94525">
        <w:rPr>
          <w:rFonts w:ascii="Times New Roman" w:hAnsi="Times New Roman"/>
          <w:lang w:val="lt-LT"/>
        </w:rPr>
        <w:t xml:space="preserve"> rizika.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Suleidus didelę žmogaus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koncentrato dozę, buvo pastebėti šie reiškiniai: širdies smūgis, padidėjęs trombocitų ir krešėjimo faktorių suvartojimas bei pastebimų krešulių susidarymas kraujagyslėse (DIK, </w:t>
      </w:r>
      <w:proofErr w:type="spellStart"/>
      <w:r w:rsidRPr="00A94525">
        <w:rPr>
          <w:rFonts w:ascii="Times New Roman" w:hAnsi="Times New Roman"/>
          <w:lang w:val="lt-LT"/>
        </w:rPr>
        <w:t>diseminuoto</w:t>
      </w:r>
      <w:proofErr w:type="spellEnd"/>
      <w:r w:rsidRPr="00A94525">
        <w:rPr>
          <w:rFonts w:ascii="Times New Roman" w:hAnsi="Times New Roman"/>
          <w:lang w:val="lt-LT"/>
        </w:rPr>
        <w:t xml:space="preserve"> </w:t>
      </w:r>
      <w:proofErr w:type="spellStart"/>
      <w:r w:rsidRPr="00A94525">
        <w:rPr>
          <w:rFonts w:ascii="Times New Roman" w:hAnsi="Times New Roman"/>
          <w:lang w:val="lt-LT"/>
        </w:rPr>
        <w:t>intravaskulinio</w:t>
      </w:r>
      <w:proofErr w:type="spellEnd"/>
      <w:r w:rsidRPr="00A94525">
        <w:rPr>
          <w:rFonts w:ascii="Times New Roman" w:hAnsi="Times New Roman"/>
          <w:lang w:val="lt-LT"/>
        </w:rPr>
        <w:t xml:space="preserve"> kraujo krešėjimo sindromas, suvartojimo </w:t>
      </w:r>
      <w:proofErr w:type="spellStart"/>
      <w:r w:rsidRPr="00A94525">
        <w:rPr>
          <w:rFonts w:ascii="Times New Roman" w:hAnsi="Times New Roman"/>
          <w:lang w:val="lt-LT"/>
        </w:rPr>
        <w:t>koaguliopatija</w:t>
      </w:r>
      <w:proofErr w:type="spellEnd"/>
      <w:r w:rsidRPr="00A94525">
        <w:rPr>
          <w:rFonts w:ascii="Times New Roman" w:hAnsi="Times New Roman"/>
          <w:lang w:val="lt-LT"/>
        </w:rPr>
        <w:t>), venų trombozė ir plaučių embolija.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Jeigu kiltų daugiau klausimų dėl šio vaisto vartojimo, kreipkitės į gydytoją.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4.</w:t>
      </w:r>
      <w:r w:rsidRPr="00A94525">
        <w:rPr>
          <w:rFonts w:ascii="Times New Roman" w:hAnsi="Times New Roman"/>
          <w:b/>
          <w:lang w:val="lt-LT"/>
        </w:rPr>
        <w:tab/>
        <w:t>Galimas šalutinis poveikis</w:t>
      </w:r>
    </w:p>
    <w:p w:rsidR="002443B5" w:rsidRPr="00A94525" w:rsidRDefault="002443B5" w:rsidP="002443B5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Kaip ir visais atvejais, kai gydoma iš plazmos pagamintais vaistais, yra tikimybė, kad gali pasireikšti staigi alerginė reakcija (anafilaksinė reakcija). Atskirais atvejais gali pasireikšti sunki padidėjusio jautrumo reakcija, įskaitant šoką.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Todėl atkreipkite dėmesį į šiuos galimus ankstyvus alerginės reakcijos požymius: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eritema</w:t>
      </w:r>
      <w:proofErr w:type="spellEnd"/>
      <w:r w:rsidRPr="00A94525">
        <w:rPr>
          <w:rFonts w:ascii="Times New Roman" w:hAnsi="Times New Roman"/>
          <w:lang w:val="lt-LT"/>
        </w:rPr>
        <w:t xml:space="preserve"> (odos paraudimas);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odos išbėrimas;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ant odos atsiradusi dilgėlinė;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bet kurios kūno vietos niežulys;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lūpų ir liežuvio pabrinkimas;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sunkumas kvėpuoti ar dusulys;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spaudimas krūtinėje;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bendras negalavimas;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svaigulys;</w:t>
      </w:r>
    </w:p>
    <w:p w:rsidR="002443B5" w:rsidRPr="00A94525" w:rsidRDefault="002443B5" w:rsidP="002443B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kraujospūdžio sumažėjimas.</w:t>
      </w:r>
    </w:p>
    <w:p w:rsidR="002443B5" w:rsidRDefault="002443B5" w:rsidP="002443B5">
      <w:pPr>
        <w:spacing w:after="0" w:line="240" w:lineRule="auto"/>
        <w:ind w:right="-29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ind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Pastebėję vieną ar keletą iš šių išvardytų simptomų, iš karto nutraukite infuziją. Nedelsdami kreipkitės į gydytoją. Jeigu simptomai sunkūs, būtina gydyti skubiosios pagalbos priemonėmis.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Pacientams, vartojantiems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koncentratus (įskaitant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), gali išsivystyti atsparumas (inhibitoriai) vienam ar keliems krešėjimo faktoriams, dėl kurio paskui </w:t>
      </w:r>
      <w:proofErr w:type="spellStart"/>
      <w:r w:rsidRPr="00A94525">
        <w:rPr>
          <w:rFonts w:ascii="Times New Roman" w:hAnsi="Times New Roman"/>
          <w:lang w:val="lt-LT"/>
        </w:rPr>
        <w:t>inaktyvuojami</w:t>
      </w:r>
      <w:proofErr w:type="spellEnd"/>
      <w:r w:rsidRPr="00A94525">
        <w:rPr>
          <w:rFonts w:ascii="Times New Roman" w:hAnsi="Times New Roman"/>
          <w:lang w:val="lt-LT"/>
        </w:rPr>
        <w:t xml:space="preserve"> kraujo krešėjimo faktoriai. Atsiradus šių inhibitorių, atsakas į gydymą gali būti nepakankamas.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Gydant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koncentratais, gali susidaryti kraujo krešulių (trombozė), kurie gali patekti į kraują (embolija). Todėl gali kilti įvairių komplikacijų, pvz., širdies infarktas, padidėjęs trombocitų ir krešėjimo faktorių suvartojimas bei pastebimų krešulių susidarymas kraujagyslėse (suvartojimo </w:t>
      </w:r>
      <w:proofErr w:type="spellStart"/>
      <w:r w:rsidRPr="00A94525">
        <w:rPr>
          <w:rFonts w:ascii="Times New Roman" w:hAnsi="Times New Roman"/>
          <w:lang w:val="lt-LT"/>
        </w:rPr>
        <w:t>koaguliopatija</w:t>
      </w:r>
      <w:proofErr w:type="spellEnd"/>
      <w:r w:rsidRPr="00A94525">
        <w:rPr>
          <w:rFonts w:ascii="Times New Roman" w:hAnsi="Times New Roman"/>
          <w:lang w:val="lt-LT"/>
        </w:rPr>
        <w:t>), venų obstrukcija kraujo krešuliais (venų trombozė) bei plaučių kraujagyslių obstrukcija kraujo krešuliais (plaučių infarktas).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u w:val="single"/>
          <w:lang w:val="lt-LT"/>
        </w:rPr>
      </w:pPr>
      <w:r w:rsidRPr="00A94525">
        <w:rPr>
          <w:rFonts w:ascii="Times New Roman" w:hAnsi="Times New Roman"/>
          <w:u w:val="single"/>
          <w:lang w:val="lt-LT"/>
        </w:rPr>
        <w:t xml:space="preserve">Toliau nurodytas šalutinis poveikis vartojant </w:t>
      </w:r>
      <w:proofErr w:type="spellStart"/>
      <w:r w:rsidRPr="00A94525">
        <w:rPr>
          <w:rFonts w:ascii="Times New Roman" w:hAnsi="Times New Roman"/>
          <w:u w:val="single"/>
          <w:lang w:val="lt-LT"/>
        </w:rPr>
        <w:t>Prothromplex</w:t>
      </w:r>
      <w:proofErr w:type="spellEnd"/>
      <w:r w:rsidRPr="00A94525">
        <w:rPr>
          <w:rFonts w:ascii="Times New Roman" w:hAnsi="Times New Roman"/>
          <w:u w:val="single"/>
          <w:lang w:val="lt-LT"/>
        </w:rPr>
        <w:t xml:space="preserve"> gali pasireikšti ne dažniau nei 1 iš 10 pacientų</w:t>
      </w:r>
      <w:r w:rsidRPr="00A94525">
        <w:rPr>
          <w:rFonts w:ascii="Times New Roman" w:hAnsi="Times New Roman"/>
          <w:lang w:val="lt-LT"/>
        </w:rPr>
        <w:t>:</w:t>
      </w:r>
    </w:p>
    <w:p w:rsidR="002443B5" w:rsidRPr="00A94525" w:rsidRDefault="002443B5" w:rsidP="002443B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kraujo krešulių susidarymas visame kūne (</w:t>
      </w:r>
      <w:proofErr w:type="spellStart"/>
      <w:r w:rsidRPr="00A94525">
        <w:rPr>
          <w:rFonts w:ascii="Times New Roman" w:hAnsi="Times New Roman"/>
          <w:lang w:val="lt-LT"/>
        </w:rPr>
        <w:t>diseminuoto</w:t>
      </w:r>
      <w:proofErr w:type="spellEnd"/>
      <w:r w:rsidRPr="00A94525">
        <w:rPr>
          <w:rFonts w:ascii="Times New Roman" w:hAnsi="Times New Roman"/>
          <w:lang w:val="lt-LT"/>
        </w:rPr>
        <w:t xml:space="preserve"> </w:t>
      </w:r>
      <w:proofErr w:type="spellStart"/>
      <w:r w:rsidRPr="00A94525">
        <w:rPr>
          <w:rFonts w:ascii="Times New Roman" w:hAnsi="Times New Roman"/>
          <w:lang w:val="lt-LT"/>
        </w:rPr>
        <w:t>intravaskulinio</w:t>
      </w:r>
      <w:proofErr w:type="spellEnd"/>
      <w:r w:rsidRPr="00A94525">
        <w:rPr>
          <w:rFonts w:ascii="Times New Roman" w:hAnsi="Times New Roman"/>
          <w:lang w:val="lt-LT"/>
        </w:rPr>
        <w:t xml:space="preserve"> kraujo krešėjimo sindromas), atsparumas (inhibitoriai) vienam ar daugiau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faktorių (II, VII, IX, X faktoriams);</w:t>
      </w:r>
    </w:p>
    <w:p w:rsidR="002443B5" w:rsidRPr="00A94525" w:rsidRDefault="002443B5" w:rsidP="002443B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sunki, staigi alerginė reakcija (anafilaksinis šokas), anafilaksinė reakcija, padidėjęs jautrumas;</w:t>
      </w:r>
    </w:p>
    <w:p w:rsidR="002443B5" w:rsidRPr="00A94525" w:rsidRDefault="002443B5" w:rsidP="002443B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lang w:val="lt-LT"/>
        </w:rPr>
        <w:t>insultas, galvos skausmas;</w:t>
      </w:r>
    </w:p>
    <w:p w:rsidR="002443B5" w:rsidRPr="00A94525" w:rsidRDefault="002443B5" w:rsidP="002443B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širdies smūgis (ūminis miokardo infarktas), stiprus bei greitas širdies plakimas (</w:t>
      </w:r>
      <w:proofErr w:type="spellStart"/>
      <w:r w:rsidRPr="00A94525">
        <w:rPr>
          <w:rFonts w:ascii="Times New Roman" w:hAnsi="Times New Roman"/>
          <w:lang w:val="lt-LT"/>
        </w:rPr>
        <w:t>tachikardija</w:t>
      </w:r>
      <w:proofErr w:type="spellEnd"/>
      <w:r w:rsidRPr="00A94525">
        <w:rPr>
          <w:rFonts w:ascii="Times New Roman" w:hAnsi="Times New Roman"/>
          <w:lang w:val="lt-LT"/>
        </w:rPr>
        <w:t>);</w:t>
      </w:r>
    </w:p>
    <w:p w:rsidR="002443B5" w:rsidRPr="00A94525" w:rsidRDefault="002443B5" w:rsidP="002443B5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arterijų trombozė, venų trombozė, kraujospūdžio sumažėjimas (</w:t>
      </w:r>
      <w:proofErr w:type="spellStart"/>
      <w:r w:rsidRPr="00A94525">
        <w:rPr>
          <w:rFonts w:ascii="Times New Roman" w:hAnsi="Times New Roman"/>
          <w:lang w:val="lt-LT"/>
        </w:rPr>
        <w:t>hipotenzija</w:t>
      </w:r>
      <w:proofErr w:type="spellEnd"/>
      <w:r w:rsidRPr="00A94525">
        <w:rPr>
          <w:rFonts w:ascii="Times New Roman" w:hAnsi="Times New Roman"/>
          <w:lang w:val="lt-LT"/>
        </w:rPr>
        <w:t>), paraudusi oda (paraudimas);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plaučių kraujagyslių užakimas susidarius kraujo krešulių (plaučių embolija), kvėpavimo sutrikimai, dusulys (</w:t>
      </w:r>
      <w:proofErr w:type="spellStart"/>
      <w:r w:rsidRPr="00A94525">
        <w:rPr>
          <w:rFonts w:ascii="Times New Roman" w:hAnsi="Times New Roman"/>
          <w:lang w:val="lt-LT"/>
        </w:rPr>
        <w:t>dispnėja</w:t>
      </w:r>
      <w:proofErr w:type="spellEnd"/>
      <w:r w:rsidRPr="00A94525">
        <w:rPr>
          <w:rFonts w:ascii="Times New Roman" w:hAnsi="Times New Roman"/>
          <w:lang w:val="lt-LT"/>
        </w:rPr>
        <w:t>), gargimas (švokštimas);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vėmimas, pykinimas;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viso kūno dilgėlinė, odos išbėrimas (</w:t>
      </w:r>
      <w:proofErr w:type="spellStart"/>
      <w:r w:rsidRPr="00A94525">
        <w:rPr>
          <w:rFonts w:ascii="Times New Roman" w:hAnsi="Times New Roman"/>
          <w:lang w:val="lt-LT"/>
        </w:rPr>
        <w:t>eriteminis</w:t>
      </w:r>
      <w:proofErr w:type="spellEnd"/>
      <w:r w:rsidRPr="00A94525">
        <w:rPr>
          <w:rFonts w:ascii="Times New Roman" w:hAnsi="Times New Roman"/>
          <w:lang w:val="lt-LT"/>
        </w:rPr>
        <w:t xml:space="preserve"> išbėrimas), niežėjimas;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inkstų funkcijos sutrikimas ir pasireiškiantys simptomai, pvz., vokų, veido ir blauzdų pabrinkimas, svorio padidėjimas bei baltymų netekimas su šlapimu (</w:t>
      </w:r>
      <w:proofErr w:type="spellStart"/>
      <w:r w:rsidRPr="00A94525">
        <w:rPr>
          <w:rFonts w:ascii="Times New Roman" w:hAnsi="Times New Roman"/>
          <w:lang w:val="lt-LT"/>
        </w:rPr>
        <w:t>nefrozinis</w:t>
      </w:r>
      <w:proofErr w:type="spellEnd"/>
      <w:r w:rsidRPr="00A94525">
        <w:rPr>
          <w:rFonts w:ascii="Times New Roman" w:hAnsi="Times New Roman"/>
          <w:lang w:val="lt-LT"/>
        </w:rPr>
        <w:t xml:space="preserve"> sindromas);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karščiavimas.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u w:val="single"/>
          <w:lang w:val="lt-LT"/>
        </w:rPr>
      </w:pPr>
      <w:r w:rsidRPr="00A94525">
        <w:rPr>
          <w:rFonts w:ascii="Times New Roman" w:hAnsi="Times New Roman"/>
          <w:u w:val="single"/>
          <w:lang w:val="lt-LT"/>
        </w:rPr>
        <w:t xml:space="preserve">Vartojant kitus </w:t>
      </w:r>
      <w:proofErr w:type="spellStart"/>
      <w:r w:rsidRPr="00A94525">
        <w:rPr>
          <w:rFonts w:ascii="Times New Roman" w:hAnsi="Times New Roman"/>
          <w:u w:val="single"/>
          <w:lang w:val="lt-LT"/>
        </w:rPr>
        <w:t>protrombino</w:t>
      </w:r>
      <w:proofErr w:type="spellEnd"/>
      <w:r w:rsidRPr="00A94525">
        <w:rPr>
          <w:rFonts w:ascii="Times New Roman" w:hAnsi="Times New Roman"/>
          <w:u w:val="single"/>
          <w:lang w:val="lt-LT"/>
        </w:rPr>
        <w:t xml:space="preserve"> komplekso koncentratus, pastebėtas šis šalutinis poveikis: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veido, liežuvio ir lūpų pabrinkimas (</w:t>
      </w:r>
      <w:proofErr w:type="spellStart"/>
      <w:r w:rsidRPr="00A94525">
        <w:rPr>
          <w:rFonts w:ascii="Times New Roman" w:hAnsi="Times New Roman"/>
          <w:lang w:val="lt-LT"/>
        </w:rPr>
        <w:t>angioneurozinė</w:t>
      </w:r>
      <w:proofErr w:type="spellEnd"/>
      <w:r w:rsidRPr="00A94525">
        <w:rPr>
          <w:rFonts w:ascii="Times New Roman" w:hAnsi="Times New Roman"/>
          <w:lang w:val="lt-LT"/>
        </w:rPr>
        <w:t xml:space="preserve"> edema), odos deginimo, perštėjimo, niežėjimo ar dilgčiojimo pojūčiai (</w:t>
      </w:r>
      <w:proofErr w:type="spellStart"/>
      <w:r w:rsidRPr="00A94525">
        <w:rPr>
          <w:rFonts w:ascii="Times New Roman" w:hAnsi="Times New Roman"/>
          <w:lang w:val="lt-LT"/>
        </w:rPr>
        <w:t>parestezija</w:t>
      </w:r>
      <w:proofErr w:type="spellEnd"/>
      <w:r w:rsidRPr="00A94525">
        <w:rPr>
          <w:rFonts w:ascii="Times New Roman" w:hAnsi="Times New Roman"/>
          <w:lang w:val="lt-LT"/>
        </w:rPr>
        <w:t>);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reakcija infuzijos vietoje;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letargija;</w:t>
      </w:r>
    </w:p>
    <w:p w:rsidR="002443B5" w:rsidRPr="00A94525" w:rsidRDefault="002443B5" w:rsidP="002443B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9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neramumas.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Pranešimas apie šalutinį poveikį</w:t>
      </w:r>
    </w:p>
    <w:p w:rsidR="002443B5" w:rsidRPr="00E61151" w:rsidRDefault="002443B5" w:rsidP="002443B5">
      <w:pPr>
        <w:tabs>
          <w:tab w:val="left" w:pos="567"/>
        </w:tabs>
        <w:spacing w:after="0" w:line="260" w:lineRule="exact"/>
        <w:ind w:right="-1"/>
        <w:rPr>
          <w:rFonts w:ascii="Times New Roman" w:hAnsi="Times New Roman"/>
          <w:szCs w:val="20"/>
          <w:lang w:val="lt-LT"/>
        </w:rPr>
      </w:pPr>
      <w:r w:rsidRPr="00E61151">
        <w:rPr>
          <w:rFonts w:ascii="Times New Roman" w:hAnsi="Times New Roman"/>
          <w:lang w:val="lt-LT" w:eastAsia="lt-LT"/>
        </w:rPr>
        <w:t>Jeigu pasireiškė šalutinis poveikis, įskaitant šiame lapelyje nenurodytą, pasakykite gydytojui</w:t>
      </w:r>
      <w:r>
        <w:rPr>
          <w:rFonts w:ascii="Times New Roman" w:hAnsi="Times New Roman"/>
          <w:lang w:val="lt-LT" w:eastAsia="lt-LT"/>
        </w:rPr>
        <w:t>,</w:t>
      </w:r>
      <w:r w:rsidRPr="00E61151">
        <w:rPr>
          <w:rFonts w:ascii="Times New Roman" w:hAnsi="Times New Roman"/>
          <w:lang w:val="lt-LT" w:eastAsia="lt-LT"/>
        </w:rPr>
        <w:t xml:space="preserve"> vaistininkui</w:t>
      </w:r>
      <w:r>
        <w:rPr>
          <w:rFonts w:ascii="Times New Roman" w:hAnsi="Times New Roman"/>
          <w:lang w:val="lt-LT" w:eastAsia="lt-LT"/>
        </w:rPr>
        <w:t xml:space="preserve"> </w:t>
      </w:r>
      <w:r w:rsidRPr="00E61151">
        <w:rPr>
          <w:rFonts w:ascii="Times New Roman" w:hAnsi="Times New Roman"/>
          <w:lang w:val="lt-LT" w:eastAsia="lt-LT"/>
        </w:rPr>
        <w:t xml:space="preserve">arba slaugytojui. Pranešimą apie šalutinį poveikį galite užpildyti ir pateikti Valstybinės vaistų kontrolės tarnybos prie Lietuvos Respublikos sveikatos apsaugos ministerijos tinklalapyje </w:t>
      </w:r>
      <w:r w:rsidRPr="00E61151">
        <w:rPr>
          <w:rFonts w:ascii="Times New Roman" w:hAnsi="Times New Roman"/>
          <w:color w:val="0000EE"/>
          <w:u w:val="single"/>
          <w:lang w:val="lt-LT" w:eastAsia="lt-LT"/>
        </w:rPr>
        <w:t>https://vvkt.lrv.lt/lt/</w:t>
      </w:r>
      <w:r w:rsidRPr="00E61151">
        <w:rPr>
          <w:rFonts w:ascii="Times New Roman" w:hAnsi="Times New Roman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E61151">
        <w:rPr>
          <w:rFonts w:ascii="Times New Roman" w:hAnsi="Times New Roman"/>
          <w:szCs w:val="20"/>
          <w:lang w:val="lt-LT"/>
        </w:rPr>
        <w:t>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5.</w:t>
      </w:r>
      <w:r w:rsidRPr="00A94525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A94525">
        <w:rPr>
          <w:rFonts w:ascii="Times New Roman" w:hAnsi="Times New Roman"/>
          <w:b/>
          <w:lang w:val="lt-LT"/>
        </w:rPr>
        <w:t>Prothromplex</w:t>
      </w:r>
      <w:proofErr w:type="spellEnd"/>
    </w:p>
    <w:p w:rsidR="002443B5" w:rsidRPr="00A94525" w:rsidRDefault="002443B5" w:rsidP="002443B5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Laikyti šaldytuve (2 °C – 8 °C). Negalima užšaldyti.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Laikyti gamintojo pakuotėje, kad vaistas būtų apsaugotas nuo šviesos.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Šį vaistą laikykite vaikams nepastebimoje ir nepasiekiamoje vietoje.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Ant etiketės ir kartono dėžutės po „Tinka iki“ nurodytam tinkamumo laikui pasibaigus, šio vaisto vartoti negalima. Vaistas tinkamas vartoti iki paskutinės nurodyto mėnesio dienos.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lang w:val="lt-LT"/>
        </w:rPr>
        <w:t xml:space="preserve">Per visą tinkamumo laikotarpį vaistą vieną kartą galima išimti ir iki šešių mėnesių laikyti kambario temperatūroje (ne aukštesnėje kaip 25 °C). Ant pakuotės reikia užsirašyti vaisto laikymo kambario temperatūroje pradžios ir pabaigos datas. Palaikius kambario temperatūroje,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negalima dėti atgal į šaldytuvą (2 ºC – 8 ºC). Jį reikia suvartoti per šešis mėnesius arba išmesti.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Paruoštas vartoti tirpalas turi būti suvartotas nedelsiant.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6.</w:t>
      </w:r>
      <w:r w:rsidRPr="00A94525">
        <w:rPr>
          <w:rFonts w:ascii="Times New Roman" w:hAnsi="Times New Roman"/>
          <w:lang w:val="lt-LT"/>
        </w:rPr>
        <w:tab/>
      </w:r>
      <w:r w:rsidRPr="00A94525">
        <w:rPr>
          <w:rFonts w:ascii="Times New Roman" w:hAnsi="Times New Roman"/>
          <w:b/>
          <w:lang w:val="lt-LT"/>
        </w:rPr>
        <w:t>Pakuotės turinys ir kita informacija</w:t>
      </w:r>
    </w:p>
    <w:p w:rsidR="002443B5" w:rsidRPr="00A94525" w:rsidRDefault="002443B5" w:rsidP="002443B5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A94525">
        <w:rPr>
          <w:rFonts w:ascii="Times New Roman" w:hAnsi="Times New Roman"/>
          <w:b/>
          <w:color w:val="000000"/>
          <w:lang w:val="lt-LT"/>
        </w:rPr>
        <w:t>Prothromplex</w:t>
      </w:r>
      <w:proofErr w:type="spellEnd"/>
      <w:r w:rsidRPr="00A94525">
        <w:rPr>
          <w:rFonts w:ascii="Times New Roman" w:hAnsi="Times New Roman"/>
          <w:b/>
          <w:color w:val="000000"/>
          <w:lang w:val="lt-LT"/>
        </w:rPr>
        <w:t xml:space="preserve"> sudėtis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i/>
          <w:color w:val="000000"/>
          <w:lang w:val="lt-LT"/>
        </w:rPr>
        <w:t>Milteliai: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Veiklioji medžiaga yra žmogaus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kompleksas, kurio sudėtyje yra II, VII, IX ir X </w:t>
      </w:r>
      <w:proofErr w:type="spellStart"/>
      <w:r w:rsidRPr="00A94525">
        <w:rPr>
          <w:rFonts w:ascii="Times New Roman" w:hAnsi="Times New Roman"/>
          <w:lang w:val="lt-LT"/>
        </w:rPr>
        <w:t>koaguliacijos</w:t>
      </w:r>
      <w:proofErr w:type="spellEnd"/>
      <w:r w:rsidRPr="00A94525">
        <w:rPr>
          <w:rFonts w:ascii="Times New Roman" w:hAnsi="Times New Roman"/>
          <w:lang w:val="lt-LT"/>
        </w:rPr>
        <w:t xml:space="preserve"> faktorių bei baltymo C.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2686"/>
        <w:gridCol w:w="2977"/>
      </w:tblGrid>
      <w:tr w:rsidR="002443B5" w:rsidRPr="005C2812" w:rsidTr="001F2C32">
        <w:tc>
          <w:tcPr>
            <w:tcW w:w="3121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686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Flakone</w:t>
            </w:r>
          </w:p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(TV)</w:t>
            </w:r>
          </w:p>
        </w:tc>
        <w:tc>
          <w:tcPr>
            <w:tcW w:w="2977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Ištirpinus 20 ml sterilaus injekcinio vandens</w:t>
            </w:r>
          </w:p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(TV/ml)</w:t>
            </w:r>
          </w:p>
        </w:tc>
      </w:tr>
      <w:tr w:rsidR="002443B5" w:rsidRPr="00A94525" w:rsidTr="001F2C32">
        <w:tc>
          <w:tcPr>
            <w:tcW w:w="3121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 xml:space="preserve">Žmogaus II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koaguliacijos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faktorius</w:t>
            </w:r>
          </w:p>
        </w:tc>
        <w:tc>
          <w:tcPr>
            <w:tcW w:w="2686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4</w:t>
            </w:r>
            <w:r>
              <w:rPr>
                <w:rFonts w:ascii="Times New Roman" w:hAnsi="Times New Roman"/>
                <w:lang w:val="lt-LT"/>
              </w:rPr>
              <w:t>5</w:t>
            </w:r>
            <w:r w:rsidRPr="00A94525">
              <w:rPr>
                <w:rFonts w:ascii="Times New Roman" w:hAnsi="Times New Roman"/>
                <w:lang w:val="lt-LT"/>
              </w:rPr>
              <w:t>0</w:t>
            </w:r>
            <w:r w:rsidRPr="00A94525">
              <w:rPr>
                <w:rFonts w:ascii="Times New Roman" w:hAnsi="Times New Roman"/>
                <w:lang w:val="lt-LT"/>
              </w:rPr>
              <w:noBreakHyphen/>
            </w:r>
            <w:r>
              <w:rPr>
                <w:rFonts w:ascii="Times New Roman" w:hAnsi="Times New Roman"/>
                <w:lang w:val="lt-LT"/>
              </w:rPr>
              <w:t>85</w:t>
            </w:r>
            <w:r w:rsidRPr="00A94525">
              <w:rPr>
                <w:rFonts w:ascii="Times New Roman" w:hAnsi="Times New Roman"/>
                <w:lang w:val="lt-LT"/>
              </w:rPr>
              <w:t>0</w:t>
            </w:r>
          </w:p>
        </w:tc>
        <w:tc>
          <w:tcPr>
            <w:tcW w:w="2977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2</w:t>
            </w:r>
            <w:r>
              <w:rPr>
                <w:rFonts w:ascii="Times New Roman" w:hAnsi="Times New Roman"/>
                <w:lang w:val="lt-LT"/>
              </w:rPr>
              <w:t>2,5</w:t>
            </w:r>
            <w:r w:rsidRPr="00A94525">
              <w:rPr>
                <w:rFonts w:ascii="Times New Roman" w:hAnsi="Times New Roman"/>
                <w:lang w:val="lt-LT"/>
              </w:rPr>
              <w:noBreakHyphen/>
              <w:t>4</w:t>
            </w:r>
            <w:r>
              <w:rPr>
                <w:rFonts w:ascii="Times New Roman" w:hAnsi="Times New Roman"/>
                <w:lang w:val="lt-LT"/>
              </w:rPr>
              <w:t>2,5</w:t>
            </w:r>
          </w:p>
        </w:tc>
      </w:tr>
      <w:tr w:rsidR="002443B5" w:rsidRPr="00A94525" w:rsidTr="001F2C32">
        <w:tc>
          <w:tcPr>
            <w:tcW w:w="3121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 xml:space="preserve">Žmogaus VII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koaguliacijos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faktorius</w:t>
            </w:r>
          </w:p>
        </w:tc>
        <w:tc>
          <w:tcPr>
            <w:tcW w:w="2686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500</w:t>
            </w:r>
          </w:p>
        </w:tc>
        <w:tc>
          <w:tcPr>
            <w:tcW w:w="2977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25</w:t>
            </w:r>
          </w:p>
        </w:tc>
      </w:tr>
      <w:tr w:rsidR="002443B5" w:rsidRPr="00A94525" w:rsidTr="001F2C32">
        <w:tc>
          <w:tcPr>
            <w:tcW w:w="3121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 xml:space="preserve">Žmogaus IX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koaguliacijos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faktorius</w:t>
            </w:r>
          </w:p>
        </w:tc>
        <w:tc>
          <w:tcPr>
            <w:tcW w:w="2686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600</w:t>
            </w:r>
          </w:p>
        </w:tc>
        <w:tc>
          <w:tcPr>
            <w:tcW w:w="2977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30</w:t>
            </w:r>
          </w:p>
        </w:tc>
      </w:tr>
      <w:tr w:rsidR="002443B5" w:rsidRPr="00A94525" w:rsidTr="001F2C32">
        <w:tc>
          <w:tcPr>
            <w:tcW w:w="3121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 xml:space="preserve">Žmogaus X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koaguliacijos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faktorius</w:t>
            </w:r>
          </w:p>
        </w:tc>
        <w:tc>
          <w:tcPr>
            <w:tcW w:w="2686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600</w:t>
            </w:r>
          </w:p>
        </w:tc>
        <w:tc>
          <w:tcPr>
            <w:tcW w:w="2977" w:type="dxa"/>
          </w:tcPr>
          <w:p w:rsidR="002443B5" w:rsidRPr="00A94525" w:rsidRDefault="002443B5" w:rsidP="001F2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30</w:t>
            </w:r>
          </w:p>
        </w:tc>
      </w:tr>
    </w:tbl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Viename flakone yra mažiausiai 400 TV baltymo C, kuris išgryninamas kartu su </w:t>
      </w:r>
      <w:proofErr w:type="spellStart"/>
      <w:r w:rsidRPr="00A94525">
        <w:rPr>
          <w:rFonts w:ascii="Times New Roman" w:hAnsi="Times New Roman"/>
          <w:lang w:val="lt-LT"/>
        </w:rPr>
        <w:t>koaguliacijos</w:t>
      </w:r>
      <w:proofErr w:type="spellEnd"/>
      <w:r w:rsidRPr="00A94525">
        <w:rPr>
          <w:rFonts w:ascii="Times New Roman" w:hAnsi="Times New Roman"/>
          <w:lang w:val="lt-LT"/>
        </w:rPr>
        <w:t xml:space="preserve"> faktoriais.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lang w:val="lt-LT"/>
        </w:rPr>
        <w:t>Pagalbinės medžiagos yra</w:t>
      </w:r>
      <w:r w:rsidRPr="00A94525">
        <w:rPr>
          <w:rFonts w:ascii="Times New Roman" w:hAnsi="Times New Roman"/>
          <w:i/>
          <w:color w:val="008000"/>
          <w:lang w:val="lt-LT"/>
        </w:rPr>
        <w:t xml:space="preserve"> </w:t>
      </w:r>
      <w:r w:rsidRPr="00A94525">
        <w:rPr>
          <w:rFonts w:ascii="Times New Roman" w:hAnsi="Times New Roman"/>
          <w:color w:val="000000"/>
          <w:lang w:val="lt-LT"/>
        </w:rPr>
        <w:t xml:space="preserve">natrio chloridas; natrio citratas 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dihidratas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>; heparino natrio druska (0,2</w:t>
      </w:r>
      <w:r w:rsidRPr="00A94525">
        <w:rPr>
          <w:rFonts w:ascii="Times New Roman" w:hAnsi="Times New Roman"/>
          <w:color w:val="000000"/>
          <w:lang w:val="lt-LT"/>
        </w:rPr>
        <w:noBreakHyphen/>
        <w:t xml:space="preserve">0,5 TV/TV IX faktoriaus) ir 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antitrombinas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> III, 15</w:t>
      </w:r>
      <w:r w:rsidRPr="00A94525">
        <w:rPr>
          <w:rFonts w:ascii="Times New Roman" w:hAnsi="Times New Roman"/>
          <w:color w:val="000000"/>
          <w:lang w:val="lt-LT"/>
        </w:rPr>
        <w:noBreakHyphen/>
        <w:t>30 TV flakone (0,75</w:t>
      </w:r>
      <w:r w:rsidRPr="00A94525">
        <w:rPr>
          <w:rFonts w:ascii="Times New Roman" w:hAnsi="Times New Roman"/>
          <w:color w:val="000000"/>
          <w:lang w:val="lt-LT"/>
        </w:rPr>
        <w:noBreakHyphen/>
        <w:t>1,5 TV/ml).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i/>
          <w:color w:val="000000"/>
          <w:lang w:val="lt-LT"/>
        </w:rPr>
        <w:t>Tirpiklis:</w:t>
      </w:r>
      <w:r w:rsidRPr="00A94525">
        <w:rPr>
          <w:rFonts w:ascii="Times New Roman" w:hAnsi="Times New Roman"/>
          <w:color w:val="000000"/>
          <w:lang w:val="lt-LT"/>
        </w:rPr>
        <w:tab/>
        <w:t>sterilus injekcinis vanduo.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443B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val="lt-LT"/>
        </w:rPr>
      </w:pPr>
      <w:proofErr w:type="spellStart"/>
      <w:r w:rsidRPr="00A94525">
        <w:rPr>
          <w:rFonts w:ascii="Times New Roman" w:hAnsi="Times New Roman"/>
          <w:b/>
          <w:color w:val="000000"/>
          <w:lang w:val="lt-LT"/>
        </w:rPr>
        <w:t>Prothromplex</w:t>
      </w:r>
      <w:proofErr w:type="spellEnd"/>
      <w:r w:rsidRPr="00A94525">
        <w:rPr>
          <w:rFonts w:ascii="Times New Roman" w:hAnsi="Times New Roman"/>
          <w:b/>
          <w:color w:val="000000"/>
          <w:lang w:val="lt-LT"/>
        </w:rPr>
        <w:t xml:space="preserve"> išvaizda ir kiekis pakuotėje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color w:val="000000"/>
          <w:lang w:val="lt-LT"/>
        </w:rPr>
        <w:t>Milteliai ir tirpiklis injekciniam tirpalui.</w:t>
      </w:r>
    </w:p>
    <w:p w:rsidR="002443B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yra baltos arba šviesiai geltonos spalvos </w:t>
      </w:r>
      <w:proofErr w:type="spellStart"/>
      <w:r w:rsidRPr="00A94525">
        <w:rPr>
          <w:rFonts w:ascii="Times New Roman" w:hAnsi="Times New Roman"/>
          <w:lang w:val="lt-LT"/>
        </w:rPr>
        <w:t>liofilizuoti</w:t>
      </w:r>
      <w:proofErr w:type="spellEnd"/>
      <w:r w:rsidRPr="00A94525">
        <w:rPr>
          <w:rFonts w:ascii="Times New Roman" w:hAnsi="Times New Roman"/>
          <w:lang w:val="lt-LT"/>
        </w:rPr>
        <w:t xml:space="preserve"> milteliai arba suspausta sausa medžiaga.</w:t>
      </w:r>
    </w:p>
    <w:p w:rsidR="002443B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color w:val="000000"/>
          <w:lang w:val="lt-LT"/>
        </w:rPr>
        <w:t xml:space="preserve">Paruošto tirpalo pH svyruoja nuo 6,5 iki 7,5, jo 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osmoliališkumas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 xml:space="preserve"> yra ne mažesnis kaip 240 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mOsmol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>/kg. Tirpalas yra skaidrus arba šiek tiek matinis (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opalescencinis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>).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lt-LT"/>
        </w:rPr>
      </w:pPr>
      <w:r w:rsidRPr="00A94525">
        <w:rPr>
          <w:rFonts w:ascii="Times New Roman" w:hAnsi="Times New Roman"/>
          <w:color w:val="000000"/>
          <w:lang w:val="lt-LT"/>
        </w:rPr>
        <w:t xml:space="preserve">Milteliai ir tirpiklis tiekiami stikliniuose (I ir atitinkamai II 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hidrolitinės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 xml:space="preserve"> klasės stiklo) 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vienadoziuose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 xml:space="preserve"> flakonuose. Flakonai užkimšti butilo gumos kamščiais.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lang w:val="lt-LT"/>
        </w:rPr>
      </w:pPr>
    </w:p>
    <w:p w:rsidR="002443B5" w:rsidRPr="00A94525" w:rsidRDefault="002443B5" w:rsidP="002443B5">
      <w:pPr>
        <w:pStyle w:val="Sraopastraipa"/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color w:val="000000"/>
          <w:lang w:val="lt-LT"/>
        </w:rPr>
      </w:pPr>
      <w:r w:rsidRPr="00A94525">
        <w:rPr>
          <w:rFonts w:ascii="Times New Roman" w:hAnsi="Times New Roman"/>
          <w:i/>
          <w:color w:val="000000"/>
          <w:lang w:val="lt-LT"/>
        </w:rPr>
        <w:t>Pakuotės turinys</w:t>
      </w:r>
    </w:p>
    <w:p w:rsidR="002443B5" w:rsidRPr="00A94525" w:rsidRDefault="002443B5" w:rsidP="002443B5">
      <w:pPr>
        <w:pStyle w:val="Sraopastraipa"/>
        <w:keepNext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color w:val="000000"/>
          <w:lang w:val="lt-LT"/>
        </w:rPr>
        <w:t xml:space="preserve">1 flakonas su </w:t>
      </w:r>
      <w:proofErr w:type="spellStart"/>
      <w:r w:rsidRPr="00A94525">
        <w:rPr>
          <w:rFonts w:ascii="Times New Roman" w:hAnsi="Times New Roman"/>
          <w:color w:val="000000"/>
          <w:lang w:val="lt-LT"/>
        </w:rPr>
        <w:t>Prothromplex</w:t>
      </w:r>
      <w:proofErr w:type="spellEnd"/>
      <w:r w:rsidRPr="00A94525">
        <w:rPr>
          <w:rFonts w:ascii="Times New Roman" w:hAnsi="Times New Roman"/>
          <w:color w:val="000000"/>
          <w:lang w:val="lt-LT"/>
        </w:rPr>
        <w:t xml:space="preserve"> milteliais injekciniam tirpalui;</w:t>
      </w:r>
    </w:p>
    <w:p w:rsidR="002443B5" w:rsidRDefault="002443B5" w:rsidP="002443B5">
      <w:pPr>
        <w:pStyle w:val="Sraopastraipa"/>
        <w:keepNext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color w:val="000000"/>
          <w:lang w:val="lt-LT"/>
        </w:rPr>
        <w:t>1 flakonas su 20 ml sterilaus injekcinio vandens</w:t>
      </w:r>
    </w:p>
    <w:p w:rsidR="002443B5" w:rsidRPr="00A94525" w:rsidRDefault="002443B5" w:rsidP="002443B5">
      <w:pPr>
        <w:pStyle w:val="Sraopastraipa"/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color w:val="000000"/>
          <w:lang w:val="lt-LT"/>
        </w:rPr>
      </w:pPr>
    </w:p>
    <w:p w:rsidR="002443B5" w:rsidRPr="005C2812" w:rsidRDefault="002443B5" w:rsidP="002443B5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  <w:lang w:val="lt-LT"/>
        </w:rPr>
      </w:pPr>
      <w:r>
        <w:rPr>
          <w:rFonts w:ascii="Times New Roman" w:hAnsi="Times New Roman"/>
          <w:color w:val="000000"/>
          <w:lang w:val="lt-LT"/>
        </w:rPr>
        <w:t>[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aeracijos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filtravimo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perpylimo adata</w:t>
      </w:r>
      <w:r>
        <w:rPr>
          <w:rFonts w:ascii="Times New Roman" w:hAnsi="Times New Roman"/>
          <w:color w:val="000000"/>
          <w:highlight w:val="lightGray"/>
          <w:lang w:val="lt-LT"/>
        </w:rPr>
        <w:t>]</w:t>
      </w:r>
    </w:p>
    <w:p w:rsidR="002443B5" w:rsidRPr="005C2812" w:rsidRDefault="002443B5" w:rsidP="002443B5">
      <w:pPr>
        <w:pStyle w:val="Sraopastraipa"/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highlight w:val="lightGray"/>
          <w:lang w:val="lt-LT"/>
        </w:rPr>
      </w:pPr>
    </w:p>
    <w:p w:rsidR="002443B5" w:rsidRPr="005C2812" w:rsidRDefault="002443B5" w:rsidP="002443B5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  <w:lang w:val="lt-LT"/>
        </w:rPr>
      </w:pPr>
      <w:r>
        <w:rPr>
          <w:rFonts w:ascii="Times New Roman" w:hAnsi="Times New Roman"/>
          <w:color w:val="000000"/>
          <w:highlight w:val="lightGray"/>
          <w:lang w:val="lt-LT"/>
        </w:rPr>
        <w:t>[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vienkartinis švirkštas, 1 rinkinys iš trijų komponentų (aeracijos adata, „peteliškės“ tipo adata ir vienkartinė adata),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filtravimo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perpylimo adata</w:t>
      </w:r>
      <w:r>
        <w:rPr>
          <w:rFonts w:ascii="Times New Roman" w:hAnsi="Times New Roman"/>
          <w:color w:val="000000"/>
          <w:highlight w:val="lightGray"/>
          <w:lang w:val="lt-LT"/>
        </w:rPr>
        <w:t>]</w:t>
      </w:r>
    </w:p>
    <w:p w:rsidR="002443B5" w:rsidRPr="00676CB8" w:rsidRDefault="002443B5" w:rsidP="002443B5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</w:p>
    <w:p w:rsidR="002443B5" w:rsidRPr="00676CB8" w:rsidRDefault="002443B5" w:rsidP="002443B5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676CB8">
        <w:rPr>
          <w:rFonts w:ascii="Times New Roman" w:hAnsi="Times New Roman"/>
          <w:highlight w:val="lightGray"/>
          <w:lang w:val="lt-LT"/>
        </w:rPr>
        <w:t>[1 vienkartinis švirkštas, 1 aeracijos adata, 1 „peteliškės“ tipo adata, 1 vienkartinė adata, 1 filtravimo adata, 1 perpylimo adata];</w:t>
      </w:r>
    </w:p>
    <w:p w:rsidR="002443B5" w:rsidRPr="005C2812" w:rsidRDefault="002443B5" w:rsidP="002443B5">
      <w:pPr>
        <w:pStyle w:val="Sraopastraipa"/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highlight w:val="lightGray"/>
          <w:lang w:val="lt-LT"/>
        </w:rPr>
      </w:pPr>
    </w:p>
    <w:p w:rsidR="002443B5" w:rsidRPr="005C2812" w:rsidRDefault="002443B5" w:rsidP="002443B5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  <w:lang w:val="lt-LT"/>
        </w:rPr>
      </w:pPr>
      <w:r>
        <w:rPr>
          <w:rFonts w:ascii="Times New Roman" w:hAnsi="Times New Roman"/>
          <w:color w:val="000000"/>
          <w:highlight w:val="lightGray"/>
          <w:lang w:val="lt-LT"/>
        </w:rPr>
        <w:t>[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1 rinkinys iš trijų komponentų (aeracijos adata, „peteliškės“ tipo adata ir vienkartinė adata), 1 filtravimo adata, 1 perpylimo adata</w:t>
      </w:r>
      <w:r>
        <w:rPr>
          <w:rFonts w:ascii="Times New Roman" w:hAnsi="Times New Roman"/>
          <w:color w:val="000000"/>
          <w:highlight w:val="lightGray"/>
          <w:lang w:val="lt-LT"/>
        </w:rPr>
        <w:t>]</w:t>
      </w:r>
    </w:p>
    <w:p w:rsidR="002443B5" w:rsidRPr="005C2812" w:rsidRDefault="002443B5" w:rsidP="002443B5">
      <w:pPr>
        <w:pStyle w:val="Sraopastraipa"/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highlight w:val="lightGray"/>
          <w:lang w:val="lt-LT"/>
        </w:rPr>
      </w:pPr>
    </w:p>
    <w:p w:rsidR="002443B5" w:rsidRPr="005C2812" w:rsidRDefault="002443B5" w:rsidP="002443B5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  <w:lang w:val="lt-LT"/>
        </w:rPr>
      </w:pPr>
      <w:r>
        <w:rPr>
          <w:rFonts w:ascii="Times New Roman" w:hAnsi="Times New Roman"/>
          <w:color w:val="000000"/>
          <w:highlight w:val="lightGray"/>
          <w:lang w:val="lt-LT"/>
        </w:rPr>
        <w:t>[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perpylimo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filtravimo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aeracijos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„peteliškės“ tipo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vienkartinė adata</w:t>
      </w:r>
      <w:r>
        <w:rPr>
          <w:rFonts w:ascii="Times New Roman" w:hAnsi="Times New Roman"/>
          <w:color w:val="000000"/>
          <w:highlight w:val="lightGray"/>
          <w:lang w:val="lt-LT"/>
        </w:rPr>
        <w:t>]</w:t>
      </w:r>
    </w:p>
    <w:p w:rsidR="002443B5" w:rsidRPr="005C2812" w:rsidRDefault="002443B5" w:rsidP="002443B5">
      <w:pPr>
        <w:pStyle w:val="Sraopastraipa"/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highlight w:val="lightGray"/>
          <w:lang w:val="lt-LT"/>
        </w:rPr>
      </w:pPr>
    </w:p>
    <w:p w:rsidR="002443B5" w:rsidRPr="005C2812" w:rsidRDefault="002443B5" w:rsidP="002443B5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highlight w:val="lightGray"/>
          <w:lang w:val="lt-LT"/>
        </w:rPr>
        <w:t>[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perpylimo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filtravimo adata,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vienkartinis švirkštas, 1</w:t>
      </w:r>
      <w:r>
        <w:rPr>
          <w:rFonts w:ascii="Times New Roman" w:hAnsi="Times New Roman"/>
          <w:color w:val="000000"/>
          <w:highlight w:val="lightGray"/>
          <w:lang w:val="lt-LT"/>
        </w:rPr>
        <w:t> </w:t>
      </w:r>
      <w:r w:rsidRPr="005C2812">
        <w:rPr>
          <w:rFonts w:ascii="Times New Roman" w:hAnsi="Times New Roman"/>
          <w:color w:val="000000"/>
          <w:highlight w:val="lightGray"/>
          <w:lang w:val="lt-LT"/>
        </w:rPr>
        <w:t>aeracijos adata, 1 rinkinys iš dviejų komponentų („peteliškės“ tipo adata ir vienkartinė adata)</w:t>
      </w:r>
      <w:r>
        <w:rPr>
          <w:rFonts w:ascii="Times New Roman" w:hAnsi="Times New Roman"/>
          <w:color w:val="000000"/>
          <w:highlight w:val="lightGray"/>
          <w:lang w:val="lt-LT"/>
        </w:rPr>
        <w:t>]</w:t>
      </w:r>
    </w:p>
    <w:p w:rsidR="002443B5" w:rsidRPr="00A94525" w:rsidRDefault="002443B5" w:rsidP="002443B5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lt-LT"/>
        </w:rPr>
      </w:pPr>
      <w:r w:rsidRPr="00A94525">
        <w:rPr>
          <w:rFonts w:ascii="Times New Roman" w:hAnsi="Times New Roman"/>
          <w:i/>
          <w:color w:val="000000"/>
          <w:lang w:val="lt-LT"/>
        </w:rPr>
        <w:t>Pakuotės dydis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color w:val="000000"/>
          <w:lang w:val="lt-LT"/>
        </w:rPr>
        <w:t>1 x 600 TV</w:t>
      </w:r>
    </w:p>
    <w:p w:rsidR="002443B5" w:rsidRPr="00A94525" w:rsidRDefault="002443B5" w:rsidP="002443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Registruotojas ir gamintojas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Cs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Cs/>
          <w:i/>
          <w:lang w:val="lt-LT"/>
        </w:rPr>
      </w:pPr>
      <w:r w:rsidRPr="00A94525">
        <w:rPr>
          <w:rFonts w:ascii="Times New Roman" w:hAnsi="Times New Roman"/>
          <w:bCs/>
          <w:i/>
          <w:lang w:val="lt-LT"/>
        </w:rPr>
        <w:t>Registruotojas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Cs/>
          <w:lang w:val="lt-LT"/>
        </w:rPr>
      </w:pPr>
      <w:proofErr w:type="spellStart"/>
      <w:r w:rsidRPr="00A94525">
        <w:rPr>
          <w:rFonts w:ascii="Times New Roman" w:hAnsi="Times New Roman"/>
          <w:bCs/>
          <w:lang w:val="lt-LT"/>
        </w:rPr>
        <w:t>Baxalta</w:t>
      </w:r>
      <w:proofErr w:type="spellEnd"/>
      <w:r w:rsidRPr="00A94525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A94525">
        <w:rPr>
          <w:rFonts w:ascii="Times New Roman" w:hAnsi="Times New Roman"/>
          <w:bCs/>
          <w:lang w:val="lt-LT"/>
        </w:rPr>
        <w:t>Innovations</w:t>
      </w:r>
      <w:proofErr w:type="spellEnd"/>
      <w:r w:rsidRPr="00A94525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A94525">
        <w:rPr>
          <w:rFonts w:ascii="Times New Roman" w:hAnsi="Times New Roman"/>
          <w:bCs/>
          <w:lang w:val="lt-LT"/>
        </w:rPr>
        <w:t>GmbH</w:t>
      </w:r>
      <w:proofErr w:type="spellEnd"/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Cs/>
          <w:lang w:val="lt-LT"/>
        </w:rPr>
      </w:pPr>
      <w:proofErr w:type="spellStart"/>
      <w:r w:rsidRPr="00A94525">
        <w:rPr>
          <w:rFonts w:ascii="Times New Roman" w:hAnsi="Times New Roman"/>
          <w:bCs/>
          <w:lang w:val="lt-LT"/>
        </w:rPr>
        <w:t>Industriestrasse</w:t>
      </w:r>
      <w:proofErr w:type="spellEnd"/>
      <w:r w:rsidRPr="00A94525">
        <w:rPr>
          <w:rFonts w:ascii="Times New Roman" w:hAnsi="Times New Roman"/>
          <w:bCs/>
          <w:lang w:val="lt-LT"/>
        </w:rPr>
        <w:t> 67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</w:t>
      </w:r>
      <w:r w:rsidRPr="00A94525">
        <w:rPr>
          <w:rFonts w:ascii="Times New Roman" w:hAnsi="Times New Roman"/>
          <w:lang w:val="lt-LT"/>
        </w:rPr>
        <w:noBreakHyphen/>
        <w:t>1221 </w:t>
      </w:r>
      <w:proofErr w:type="spellStart"/>
      <w:r w:rsidRPr="00A94525">
        <w:rPr>
          <w:rFonts w:ascii="Times New Roman" w:hAnsi="Times New Roman"/>
          <w:lang w:val="lt-LT"/>
        </w:rPr>
        <w:t>Vienna</w:t>
      </w:r>
      <w:proofErr w:type="spellEnd"/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Austrija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Gamintojas</w:t>
      </w:r>
    </w:p>
    <w:p w:rsidR="002443B5" w:rsidRPr="005C2812" w:rsidRDefault="002443B5" w:rsidP="002443B5">
      <w:pPr>
        <w:keepNext/>
        <w:tabs>
          <w:tab w:val="left" w:pos="567"/>
        </w:tabs>
        <w:spacing w:after="0" w:line="240" w:lineRule="auto"/>
        <w:jc w:val="both"/>
        <w:outlineLvl w:val="3"/>
        <w:rPr>
          <w:lang w:val="pt-PT"/>
        </w:rPr>
      </w:pPr>
      <w:r w:rsidRPr="005C2812">
        <w:rPr>
          <w:rFonts w:ascii="Times New Roman" w:hAnsi="Times New Roman"/>
          <w:lang w:val="pt-PT"/>
        </w:rPr>
        <w:t>Takeda Manufacturing Austria AG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Industriestrasse</w:t>
      </w:r>
      <w:proofErr w:type="spellEnd"/>
      <w:r w:rsidRPr="00A94525">
        <w:rPr>
          <w:rFonts w:ascii="Times New Roman" w:hAnsi="Times New Roman"/>
          <w:lang w:val="lt-LT"/>
        </w:rPr>
        <w:t> 67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1221 </w:t>
      </w:r>
      <w:proofErr w:type="spellStart"/>
      <w:r w:rsidRPr="00A94525">
        <w:rPr>
          <w:rFonts w:ascii="Times New Roman" w:hAnsi="Times New Roman"/>
          <w:lang w:val="lt-LT"/>
        </w:rPr>
        <w:t>Vienna</w:t>
      </w:r>
      <w:proofErr w:type="spellEnd"/>
    </w:p>
    <w:p w:rsidR="002443B5" w:rsidRPr="000A6493" w:rsidRDefault="002443B5" w:rsidP="002443B5">
      <w:pPr>
        <w:spacing w:after="0" w:line="240" w:lineRule="auto"/>
        <w:rPr>
          <w:lang w:val="lt-LT"/>
        </w:rPr>
      </w:pPr>
      <w:r w:rsidRPr="000A6493">
        <w:rPr>
          <w:rFonts w:ascii="Times New Roman" w:hAnsi="Times New Roman"/>
          <w:lang w:val="lt-LT"/>
        </w:rPr>
        <w:t>Austrija</w:t>
      </w:r>
    </w:p>
    <w:p w:rsidR="002443B5" w:rsidRPr="00821CE9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 xml:space="preserve">Šis vaistas </w:t>
      </w:r>
      <w:r w:rsidRPr="00271019">
        <w:rPr>
          <w:rFonts w:ascii="Times New Roman" w:hAnsi="Times New Roman"/>
          <w:b/>
          <w:bCs/>
          <w:lang w:val="lt-LT" w:eastAsia="lt-LT"/>
        </w:rPr>
        <w:t>Europos ekonominės erdvės</w:t>
      </w:r>
      <w:r w:rsidRPr="00A94525" w:rsidDel="00271019">
        <w:rPr>
          <w:rFonts w:ascii="Times New Roman" w:hAnsi="Times New Roman"/>
          <w:b/>
          <w:lang w:val="lt-LT"/>
        </w:rPr>
        <w:t xml:space="preserve"> </w:t>
      </w:r>
      <w:r w:rsidRPr="00A94525">
        <w:rPr>
          <w:rFonts w:ascii="Times New Roman" w:hAnsi="Times New Roman"/>
          <w:b/>
          <w:lang w:val="lt-LT"/>
        </w:rPr>
        <w:t>valstybėse narėse registruotas tokiais pavadinimais: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snapToGrid w:val="0"/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6803"/>
      </w:tblGrid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Austrija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TOTAL 600 I.E.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Pulver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und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Lösungsmittel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zur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Herstellung</w:t>
            </w:r>
            <w:proofErr w:type="spellEnd"/>
          </w:p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einer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Injektionslösung</w:t>
            </w:r>
            <w:proofErr w:type="spellEnd"/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Belgija</w:t>
            </w:r>
            <w:r>
              <w:rPr>
                <w:rFonts w:ascii="Times New Roman" w:hAnsi="Times New Roman"/>
                <w:lang w:val="lt-LT"/>
              </w:rPr>
              <w:t xml:space="preserve">, </w:t>
            </w:r>
            <w:r w:rsidRPr="00A94525">
              <w:rPr>
                <w:rFonts w:ascii="Times New Roman" w:hAnsi="Times New Roman"/>
                <w:lang w:val="lt-LT"/>
              </w:rPr>
              <w:t>Liuksemburgas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600 UI,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poudre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et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solvant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pour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solution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injectable</w:t>
            </w:r>
            <w:proofErr w:type="spellEnd"/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Bulgarija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Total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NF 600 IU</w:t>
            </w:r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Čekija</w:t>
            </w:r>
            <w:r>
              <w:rPr>
                <w:rFonts w:ascii="Times New Roman" w:hAnsi="Times New Roman"/>
                <w:lang w:val="lt-LT"/>
              </w:rPr>
              <w:t>, Lenkija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Total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NF</w:t>
            </w:r>
          </w:p>
        </w:tc>
      </w:tr>
      <w:tr w:rsidR="002443B5" w:rsidRPr="00A94525" w:rsidTr="001F2C32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Danija</w:t>
            </w:r>
            <w:r>
              <w:rPr>
                <w:rFonts w:ascii="Times New Roman" w:hAnsi="Times New Roman"/>
                <w:lang w:val="lt-LT"/>
              </w:rPr>
              <w:t>, Norvegija, Portugalija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Estija</w:t>
            </w:r>
            <w:r>
              <w:rPr>
                <w:rFonts w:ascii="Times New Roman" w:hAnsi="Times New Roman"/>
                <w:lang w:val="lt-LT"/>
              </w:rPr>
              <w:t>, Graikija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TOTAL</w:t>
            </w:r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Vokietija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> NF 600</w:t>
            </w:r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Vengrija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TOTAL 600 </w:t>
            </w:r>
            <w:r>
              <w:rPr>
                <w:rFonts w:ascii="Times New Roman" w:hAnsi="Times New Roman"/>
                <w:lang w:val="lt-LT"/>
              </w:rPr>
              <w:t>NE</w:t>
            </w:r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Airija</w:t>
            </w:r>
            <w:r>
              <w:rPr>
                <w:rFonts w:ascii="Times New Roman" w:hAnsi="Times New Roman"/>
                <w:lang w:val="lt-LT"/>
              </w:rPr>
              <w:t xml:space="preserve">, Malta, </w:t>
            </w:r>
            <w:r w:rsidRPr="00A94525">
              <w:rPr>
                <w:rFonts w:ascii="Times New Roman" w:hAnsi="Times New Roman"/>
                <w:lang w:val="lt-LT"/>
              </w:rPr>
              <w:t>Jungtinė Karalystė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TOTAL 600 IU</w:t>
            </w:r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Italija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PROPLEX</w:t>
            </w:r>
          </w:p>
        </w:tc>
      </w:tr>
      <w:tr w:rsidR="002443B5" w:rsidRPr="005C2812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Lietuva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600 TV milteliai ir tirpiklis injekciniam tirpalui</w:t>
            </w:r>
          </w:p>
        </w:tc>
      </w:tr>
      <w:tr w:rsidR="002443B5" w:rsidRPr="005C2812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Latvija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 xml:space="preserve">TOTAL </w:t>
            </w:r>
            <w:r w:rsidRPr="00A94525">
              <w:rPr>
                <w:rFonts w:ascii="Times New Roman" w:hAnsi="Times New Roman"/>
                <w:lang w:val="lt-LT"/>
              </w:rPr>
              <w:t xml:space="preserve">600 SV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pulveris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un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šķīdinātājs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injekciju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šķīduma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pagatavošanai</w:t>
            </w:r>
            <w:proofErr w:type="spellEnd"/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Nyderlandai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600 IE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poeder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en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oplosmiddel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voor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oplossing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voor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injection</w:t>
            </w:r>
            <w:proofErr w:type="spellEnd"/>
          </w:p>
        </w:tc>
      </w:tr>
      <w:tr w:rsidR="002443B5" w:rsidRPr="00C1716E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C1716E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22259">
              <w:rPr>
                <w:rFonts w:ascii="Times New Roman" w:hAnsi="Times New Roman"/>
                <w:lang w:val="lt-LT"/>
              </w:rPr>
              <w:t>Rumunija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C1716E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821CE9">
              <w:rPr>
                <w:rFonts w:ascii="Times New Roman" w:hAnsi="Times New Roman"/>
              </w:rPr>
              <w:t>Prothromplex</w:t>
            </w:r>
            <w:proofErr w:type="spellEnd"/>
            <w:r w:rsidRPr="00821CE9">
              <w:rPr>
                <w:rFonts w:ascii="Times New Roman" w:hAnsi="Times New Roman"/>
              </w:rPr>
              <w:t xml:space="preserve"> TOTAL 600</w:t>
            </w:r>
            <w:r w:rsidRPr="00F3494C">
              <w:rPr>
                <w:rFonts w:ascii="Times New Roman" w:hAnsi="Times New Roman"/>
                <w:noProof/>
              </w:rPr>
              <w:t xml:space="preserve"> IU pulbere şi solvent pentru soluţie injectabilă</w:t>
            </w:r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Slovakija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NF 600 IU</w:t>
            </w:r>
          </w:p>
        </w:tc>
      </w:tr>
      <w:tr w:rsidR="002443B5" w:rsidRPr="005C2812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Slovėnija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PROPLEX 600 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i.e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. </w:t>
            </w:r>
            <w:proofErr w:type="spellStart"/>
            <w:r w:rsidRPr="00A94525">
              <w:rPr>
                <w:rFonts w:ascii="Times New Roman" w:hAnsi="Times New Roman"/>
                <w:bCs/>
                <w:iCs/>
                <w:lang w:val="lt-LT"/>
              </w:rPr>
              <w:t>prašek</w:t>
            </w:r>
            <w:proofErr w:type="spellEnd"/>
            <w:r w:rsidRPr="00A94525">
              <w:rPr>
                <w:rFonts w:ascii="Times New Roman" w:hAnsi="Times New Roman"/>
                <w:bCs/>
                <w:iCs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bCs/>
                <w:iCs/>
                <w:lang w:val="lt-LT"/>
              </w:rPr>
              <w:t>in</w:t>
            </w:r>
            <w:proofErr w:type="spellEnd"/>
            <w:r w:rsidRPr="00A94525">
              <w:rPr>
                <w:rFonts w:ascii="Times New Roman" w:hAnsi="Times New Roman"/>
                <w:bCs/>
                <w:iCs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bCs/>
                <w:iCs/>
                <w:lang w:val="lt-LT"/>
              </w:rPr>
              <w:t>vehikel</w:t>
            </w:r>
            <w:proofErr w:type="spellEnd"/>
            <w:r w:rsidRPr="00A94525">
              <w:rPr>
                <w:rFonts w:ascii="Times New Roman" w:hAnsi="Times New Roman"/>
                <w:bCs/>
                <w:iCs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bCs/>
                <w:iCs/>
                <w:lang w:val="lt-LT"/>
              </w:rPr>
              <w:t>za</w:t>
            </w:r>
            <w:proofErr w:type="spellEnd"/>
            <w:r w:rsidRPr="00A94525">
              <w:rPr>
                <w:rFonts w:ascii="Times New Roman" w:hAnsi="Times New Roman"/>
                <w:bCs/>
                <w:iCs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bCs/>
                <w:iCs/>
                <w:lang w:val="lt-LT"/>
              </w:rPr>
              <w:t>raztopino</w:t>
            </w:r>
            <w:proofErr w:type="spellEnd"/>
            <w:r w:rsidRPr="00A94525">
              <w:rPr>
                <w:rFonts w:ascii="Times New Roman" w:hAnsi="Times New Roman"/>
                <w:bCs/>
                <w:iCs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bCs/>
                <w:iCs/>
                <w:lang w:val="lt-LT"/>
              </w:rPr>
              <w:t>za</w:t>
            </w:r>
            <w:proofErr w:type="spellEnd"/>
            <w:r w:rsidRPr="00A94525">
              <w:rPr>
                <w:rFonts w:ascii="Times New Roman" w:hAnsi="Times New Roman"/>
                <w:bCs/>
                <w:iCs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bCs/>
                <w:iCs/>
                <w:lang w:val="lt-LT"/>
              </w:rPr>
              <w:t>injiciranje</w:t>
            </w:r>
            <w:proofErr w:type="spellEnd"/>
          </w:p>
        </w:tc>
      </w:tr>
      <w:tr w:rsidR="002443B5" w:rsidRPr="00A94525" w:rsidTr="001F2C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Ispanija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94525">
              <w:rPr>
                <w:rFonts w:ascii="Times New Roman" w:hAnsi="Times New Roman"/>
                <w:lang w:val="lt-LT"/>
              </w:rPr>
              <w:t>Total</w:t>
            </w:r>
            <w:proofErr w:type="spellEnd"/>
            <w:r w:rsidRPr="00A94525">
              <w:rPr>
                <w:rFonts w:ascii="Times New Roman" w:hAnsi="Times New Roman"/>
                <w:lang w:val="lt-LT"/>
              </w:rPr>
              <w:t xml:space="preserve"> 600 UI</w:t>
            </w:r>
          </w:p>
        </w:tc>
      </w:tr>
    </w:tbl>
    <w:p w:rsidR="002443B5" w:rsidRPr="00A94525" w:rsidRDefault="002443B5" w:rsidP="002443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b/>
          <w:lang w:val="lt-LT"/>
        </w:rPr>
        <w:t>Šis pakuotės lapelis paskutinį kartą peržiūrėtas</w:t>
      </w:r>
      <w:r>
        <w:rPr>
          <w:rFonts w:ascii="Times New Roman" w:hAnsi="Times New Roman"/>
          <w:b/>
          <w:lang w:val="lt-LT"/>
        </w:rPr>
        <w:t xml:space="preserve"> 2024-10-03.</w:t>
      </w:r>
    </w:p>
    <w:p w:rsidR="002443B5" w:rsidRPr="00A94525" w:rsidRDefault="002443B5" w:rsidP="002443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A94525">
        <w:rPr>
          <w:rFonts w:ascii="Times New Roman" w:hAnsi="Times New Roman"/>
          <w:i/>
          <w:lang w:val="lt-LT"/>
        </w:rPr>
        <w:t xml:space="preserve"> </w:t>
      </w:r>
      <w:r w:rsidRPr="00271019">
        <w:rPr>
          <w:rFonts w:ascii="Times New Roman" w:hAnsi="Times New Roman"/>
          <w:color w:val="0000EE"/>
          <w:u w:val="single"/>
          <w:lang w:val="lt-LT" w:eastAsia="lt-LT"/>
        </w:rPr>
        <w:t>https://vvkt.lrv.lt/lt/</w:t>
      </w:r>
      <w:r w:rsidRPr="00A94525">
        <w:rPr>
          <w:rFonts w:ascii="Times New Roman" w:hAnsi="Times New Roman"/>
          <w:lang w:val="lt-LT"/>
        </w:rPr>
        <w:t>.</w:t>
      </w:r>
    </w:p>
    <w:p w:rsidR="002443B5" w:rsidRPr="00A94525" w:rsidRDefault="002443B5" w:rsidP="002443B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---------------------------------------------------------------------------------------------------------------------------</w:t>
      </w:r>
    </w:p>
    <w:p w:rsidR="002443B5" w:rsidRPr="00A94525" w:rsidRDefault="002443B5" w:rsidP="002443B5">
      <w:pPr>
        <w:numPr>
          <w:ilvl w:val="12"/>
          <w:numId w:val="0"/>
        </w:numPr>
        <w:tabs>
          <w:tab w:val="left" w:pos="567"/>
          <w:tab w:val="left" w:pos="2657"/>
        </w:tabs>
        <w:spacing w:after="0" w:line="240" w:lineRule="auto"/>
        <w:ind w:right="-28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94525">
        <w:rPr>
          <w:rFonts w:ascii="Times New Roman" w:hAnsi="Times New Roman"/>
          <w:color w:val="000000"/>
          <w:lang w:val="lt-LT"/>
        </w:rPr>
        <w:t>Toliau pateikta informacija skirta tik sveikatos priežiūros specialistams.</w:t>
      </w:r>
    </w:p>
    <w:p w:rsidR="002443B5" w:rsidRPr="00A94525" w:rsidRDefault="002443B5" w:rsidP="002443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val="lt-LT"/>
        </w:rPr>
      </w:pPr>
    </w:p>
    <w:p w:rsidR="002443B5" w:rsidRDefault="002443B5" w:rsidP="002443B5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A94525">
        <w:rPr>
          <w:rFonts w:ascii="Times New Roman" w:hAnsi="Times New Roman"/>
          <w:u w:val="single"/>
          <w:lang w:val="lt-LT"/>
        </w:rPr>
        <w:t>Dozavimas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Išskyrus kraujavimo gydymą ir kraujavimo per operacijas profilaktiką, kai gydoma vitamino K antagonistais, toliau pateiktos tik bendrosios dozavimo rekomendacijos.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Gydymą turėtų pradėti gydytojas, turintis patirties gydant kraujo krešėjimo sutrikimus.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Dozė ir pakaitinio gydymo trukmė priklauso nuo kraujo krešėjimo sutrikimo sunkumo, kraujavimo vietos ir gausumo bei paciento klinikinės būklės.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Dozė ir vartojimo dažnis turi būti apskaičiuojami individualiai kiekvienam pacientui. Dozės intervalai turi būti koreguojami atsižvelgiant į skirtingus įvairių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krešėjimo faktorių cirkuliacijos pusinės eliminacijos laikus.</w:t>
      </w:r>
    </w:p>
    <w:p w:rsidR="002443B5" w:rsidRPr="00A94525" w:rsidRDefault="002443B5" w:rsidP="002443B5">
      <w:pPr>
        <w:spacing w:after="0" w:line="240" w:lineRule="auto"/>
        <w:outlineLvl w:val="0"/>
        <w:rPr>
          <w:rFonts w:ascii="Times New Roman" w:hAnsi="Times New Roman"/>
          <w:kern w:val="32"/>
          <w:lang w:val="lt-LT"/>
        </w:rPr>
      </w:pPr>
      <w:r w:rsidRPr="00A94525">
        <w:rPr>
          <w:rFonts w:ascii="Times New Roman" w:hAnsi="Times New Roman"/>
          <w:kern w:val="32"/>
          <w:lang w:val="lt-LT"/>
        </w:rPr>
        <w:t xml:space="preserve">Reikalingą individualią dozę galima nustatyti remiantis įprastu būdu nustatomu atskirų krešėjimo faktorių aktyvumu plazmoje arba atlikus bendrąjį </w:t>
      </w:r>
      <w:proofErr w:type="spellStart"/>
      <w:r w:rsidRPr="00A94525">
        <w:rPr>
          <w:rFonts w:ascii="Times New Roman" w:hAnsi="Times New Roman"/>
          <w:kern w:val="32"/>
          <w:lang w:val="lt-LT"/>
        </w:rPr>
        <w:t>protrombino</w:t>
      </w:r>
      <w:proofErr w:type="spellEnd"/>
      <w:r w:rsidRPr="00A94525">
        <w:rPr>
          <w:rFonts w:ascii="Times New Roman" w:hAnsi="Times New Roman"/>
          <w:kern w:val="32"/>
          <w:lang w:val="lt-LT"/>
        </w:rPr>
        <w:t xml:space="preserve"> komplekso aktyvumo tyrimą (pvz., </w:t>
      </w:r>
      <w:proofErr w:type="spellStart"/>
      <w:r w:rsidRPr="00A94525">
        <w:rPr>
          <w:rFonts w:ascii="Times New Roman" w:hAnsi="Times New Roman"/>
          <w:i/>
          <w:kern w:val="32"/>
          <w:lang w:val="lt-LT"/>
        </w:rPr>
        <w:t>Quick</w:t>
      </w:r>
      <w:proofErr w:type="spellEnd"/>
      <w:r w:rsidRPr="00A94525">
        <w:rPr>
          <w:rFonts w:ascii="Times New Roman" w:hAnsi="Times New Roman"/>
          <w:kern w:val="32"/>
          <w:lang w:val="lt-LT"/>
        </w:rPr>
        <w:t xml:space="preserve"> laiko reikšmės, TNS, </w:t>
      </w:r>
      <w:proofErr w:type="spellStart"/>
      <w:r w:rsidRPr="00A94525">
        <w:rPr>
          <w:rFonts w:ascii="Times New Roman" w:hAnsi="Times New Roman"/>
          <w:kern w:val="32"/>
          <w:lang w:val="lt-LT"/>
        </w:rPr>
        <w:t>protrombino</w:t>
      </w:r>
      <w:proofErr w:type="spellEnd"/>
      <w:r w:rsidRPr="00A94525">
        <w:rPr>
          <w:rFonts w:ascii="Times New Roman" w:hAnsi="Times New Roman"/>
          <w:kern w:val="32"/>
          <w:lang w:val="lt-LT"/>
        </w:rPr>
        <w:t xml:space="preserve"> laiko tyrimą) ir nuolat stebint paciento klinikinę būklę.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Atliekant sudėtingą chirurginę intervenciją būtina atidžiai stebėti pakaitinio gydymo procesą ir atlikti krešėjimo tyrimus (specialūs krešėjimo faktoriaus tyrimai ir (arba) bendrieji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komplekso aktyvumo tyrimai).</w:t>
      </w:r>
    </w:p>
    <w:p w:rsidR="002443B5" w:rsidRPr="00A94525" w:rsidRDefault="002443B5" w:rsidP="002443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Kraujavimo ir kraujavimo per operaciją profilaktika, kai pacientas gydomas vitamino K antagonistais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Esant stipriam kraujavimui arba prieš operacijas, per kurias galima didelė kraujavimo rizika, turi būti siekiama normalių reikšmių (</w:t>
      </w:r>
      <w:proofErr w:type="spellStart"/>
      <w:r w:rsidRPr="00A94525">
        <w:rPr>
          <w:rFonts w:ascii="Times New Roman" w:hAnsi="Times New Roman"/>
          <w:i/>
          <w:lang w:val="lt-LT"/>
        </w:rPr>
        <w:t>Quick</w:t>
      </w:r>
      <w:proofErr w:type="spellEnd"/>
      <w:r w:rsidRPr="00A94525">
        <w:rPr>
          <w:rFonts w:ascii="Times New Roman" w:hAnsi="Times New Roman"/>
          <w:lang w:val="lt-LT"/>
        </w:rPr>
        <w:t xml:space="preserve"> laiko reikšmė – 100 %, TNS – 1,0).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Taikomas šis praktinis metodas: 1 TV IX faktoriaus/kg kūno svorio padidina </w:t>
      </w:r>
      <w:proofErr w:type="spellStart"/>
      <w:r w:rsidRPr="00A94525">
        <w:rPr>
          <w:rFonts w:ascii="Times New Roman" w:hAnsi="Times New Roman"/>
          <w:i/>
          <w:lang w:val="lt-LT"/>
        </w:rPr>
        <w:t>Quick</w:t>
      </w:r>
      <w:proofErr w:type="spellEnd"/>
      <w:r w:rsidRPr="00A94525">
        <w:rPr>
          <w:rFonts w:ascii="Times New Roman" w:hAnsi="Times New Roman"/>
          <w:lang w:val="lt-LT"/>
        </w:rPr>
        <w:t xml:space="preserve"> laiko reikšmę apytiksliai 1 %.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Jei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vartojimas grindžiamas TNS matavimu, dozė priklausys nuo TNS rodiklių prieš gydymą ir tikslinio TNS.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Nustatant dozę reikia remtis toliau lentelėje pateiktomis rekomendacijomis pagal </w:t>
      </w:r>
      <w:proofErr w:type="spellStart"/>
      <w:r w:rsidRPr="00A94525">
        <w:rPr>
          <w:rFonts w:ascii="Times New Roman" w:hAnsi="Times New Roman"/>
          <w:lang w:val="lt-LT"/>
        </w:rPr>
        <w:t>Makris</w:t>
      </w:r>
      <w:proofErr w:type="spellEnd"/>
      <w:r w:rsidRPr="00A94525">
        <w:rPr>
          <w:rFonts w:ascii="Times New Roman" w:hAnsi="Times New Roman"/>
          <w:lang w:val="lt-LT"/>
        </w:rPr>
        <w:t xml:space="preserve"> 2001 m.</w:t>
      </w:r>
      <w:r w:rsidRPr="00A94525">
        <w:rPr>
          <w:rStyle w:val="Puslapioinaosnuoroda"/>
          <w:rFonts w:ascii="Times New Roman" w:hAnsi="Times New Roman"/>
          <w:lang w:val="lt-LT"/>
        </w:rPr>
        <w:footnoteReference w:id="1"/>
      </w:r>
      <w:r w:rsidRPr="00A94525">
        <w:rPr>
          <w:rFonts w:ascii="Times New Roman" w:hAnsi="Times New Roman"/>
          <w:vertAlign w:val="superscript"/>
          <w:lang w:val="lt-LT"/>
        </w:rPr>
        <w:t xml:space="preserve"> </w:t>
      </w:r>
      <w:r w:rsidRPr="00A94525">
        <w:rPr>
          <w:rFonts w:ascii="Times New Roman" w:hAnsi="Times New Roman"/>
          <w:lang w:val="lt-LT"/>
        </w:rPr>
        <w:t>publikaciją.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="002443B5" w:rsidRPr="005C2812" w:rsidTr="001F2C3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A94525">
              <w:rPr>
                <w:rFonts w:ascii="Times New Roman" w:hAnsi="Times New Roman"/>
                <w:b/>
                <w:lang w:val="lt-LT"/>
              </w:rPr>
              <w:t>Prothromplex</w:t>
            </w:r>
            <w:proofErr w:type="spellEnd"/>
            <w:r w:rsidRPr="00A94525">
              <w:rPr>
                <w:rFonts w:ascii="Times New Roman" w:hAnsi="Times New Roman"/>
                <w:b/>
                <w:lang w:val="lt-LT"/>
              </w:rPr>
              <w:t xml:space="preserve"> dozavimas pagal pradinį TNS matavimą</w:t>
            </w:r>
          </w:p>
        </w:tc>
      </w:tr>
      <w:tr w:rsidR="002443B5" w:rsidRPr="00A94525" w:rsidTr="001F2C3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A94525">
              <w:rPr>
                <w:rFonts w:ascii="Times New Roman" w:hAnsi="Times New Roman"/>
                <w:b/>
                <w:lang w:val="lt-LT"/>
              </w:rPr>
              <w:t>TNS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A94525">
              <w:rPr>
                <w:rFonts w:ascii="Times New Roman" w:hAnsi="Times New Roman"/>
                <w:b/>
                <w:lang w:val="lt-LT"/>
              </w:rPr>
              <w:t>Dozė</w:t>
            </w:r>
          </w:p>
          <w:p w:rsidR="002443B5" w:rsidRPr="00A94525" w:rsidRDefault="002443B5" w:rsidP="001F2C3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A94525">
              <w:rPr>
                <w:rFonts w:ascii="Times New Roman" w:hAnsi="Times New Roman"/>
                <w:b/>
                <w:lang w:val="lt-LT"/>
              </w:rPr>
              <w:t>TV/kg (TV nurodo IX faktoriaus kiekį)</w:t>
            </w:r>
          </w:p>
        </w:tc>
      </w:tr>
      <w:tr w:rsidR="002443B5" w:rsidRPr="00A94525" w:rsidTr="001F2C3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2,0</w:t>
            </w:r>
            <w:r w:rsidRPr="00A94525">
              <w:rPr>
                <w:rFonts w:ascii="Times New Roman" w:hAnsi="Times New Roman"/>
                <w:lang w:val="lt-LT"/>
              </w:rPr>
              <w:noBreakHyphen/>
              <w:t>3,9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25</w:t>
            </w:r>
          </w:p>
        </w:tc>
      </w:tr>
      <w:tr w:rsidR="002443B5" w:rsidRPr="00A94525" w:rsidTr="001F2C3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4,0</w:t>
            </w:r>
            <w:r w:rsidRPr="00A94525">
              <w:rPr>
                <w:rFonts w:ascii="Times New Roman" w:hAnsi="Times New Roman"/>
                <w:lang w:val="lt-LT"/>
              </w:rPr>
              <w:noBreakHyphen/>
              <w:t>6,0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35</w:t>
            </w:r>
          </w:p>
        </w:tc>
      </w:tr>
      <w:tr w:rsidR="002443B5" w:rsidRPr="00A94525" w:rsidTr="001F2C3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&gt; 6,0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B5" w:rsidRPr="00A94525" w:rsidRDefault="002443B5" w:rsidP="001F2C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A94525">
              <w:rPr>
                <w:rFonts w:ascii="Times New Roman" w:hAnsi="Times New Roman"/>
                <w:lang w:val="lt-LT"/>
              </w:rPr>
              <w:t>50</w:t>
            </w:r>
          </w:p>
        </w:tc>
      </w:tr>
    </w:tbl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Vitamino K antagonisto sukelto hemostazės sutrikimo korekcija trunka apytiksliai 6</w:t>
      </w:r>
      <w:r w:rsidRPr="00A94525">
        <w:rPr>
          <w:rFonts w:ascii="Times New Roman" w:hAnsi="Times New Roman"/>
          <w:lang w:val="lt-LT"/>
        </w:rPr>
        <w:noBreakHyphen/>
        <w:t>8 valandas. Vis dėlto vitamino K poveikis, jei skiriama kartu, paprastai pasiekiamas per 4</w:t>
      </w:r>
      <w:r w:rsidRPr="00A94525">
        <w:rPr>
          <w:rFonts w:ascii="Times New Roman" w:hAnsi="Times New Roman"/>
          <w:lang w:val="lt-LT"/>
        </w:rPr>
        <w:noBreakHyphen/>
        <w:t>6 valandas.</w:t>
      </w:r>
      <w:r w:rsidRPr="00A94525">
        <w:rPr>
          <w:lang w:val="lt-LT"/>
        </w:rPr>
        <w:t xml:space="preserve"> </w:t>
      </w:r>
      <w:r w:rsidRPr="00A94525">
        <w:rPr>
          <w:rFonts w:ascii="Times New Roman" w:hAnsi="Times New Roman"/>
          <w:lang w:val="lt-LT"/>
        </w:rPr>
        <w:t xml:space="preserve">Taigi, pakartotinis gydymas žmogaus </w:t>
      </w:r>
      <w:proofErr w:type="spellStart"/>
      <w:r w:rsidRPr="00A94525">
        <w:rPr>
          <w:rFonts w:ascii="Times New Roman" w:hAnsi="Times New Roman"/>
          <w:lang w:val="lt-LT"/>
        </w:rPr>
        <w:t>protrombino</w:t>
      </w:r>
      <w:proofErr w:type="spellEnd"/>
      <w:r w:rsidRPr="00A94525">
        <w:rPr>
          <w:rFonts w:ascii="Times New Roman" w:hAnsi="Times New Roman"/>
          <w:lang w:val="lt-LT"/>
        </w:rPr>
        <w:t xml:space="preserve"> kompleksu paprastai nėra būtinas, kai vartojama vitamino K.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Kadangi šios rekomendacijos yra empirinės, o išgijimo ir poveikio trukmė gali skirtis, gydymo metu būtina stebėti TNS.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i/>
          <w:lang w:val="lt-LT"/>
        </w:rPr>
        <w:t>Kraujavimo ir kraujavimo per operaciją profilaktika, esant įgimtam bet kurio nuo vitamino K priklausomo krešėjimo faktoriaus deficitui, kai nėra specifinio krešėjimo faktoriaus vaistinio preparato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Apskaičiuotos reikalingos gydymo dozės skaičiavimas pagrįstas empiriniais duomenimis, pagal kuriuos apytiksliai 1 TV IX faktoriaus vienam kg kūno svorio padidina IX faktoriaus plazmos aktyvumą apytiksliai 0,015 TV/ml ir 1 TV VII faktoriaus vienam kg kūno svorio padidina VII faktoriaus plazmos aktyvumą apytiksliai 0,024 TV/ml. 1 TV II arba X faktoriaus vienam kg kūno svorio, padidina II arba X faktoriaus plazmos aktyvumą 0,021 TV/ml</w:t>
      </w:r>
      <w:r w:rsidRPr="00A94525">
        <w:rPr>
          <w:rStyle w:val="Puslapioinaosnuoroda"/>
          <w:rFonts w:ascii="Times New Roman" w:hAnsi="Times New Roman"/>
          <w:lang w:val="lt-LT"/>
        </w:rPr>
        <w:footnoteReference w:id="2"/>
      </w:r>
      <w:r w:rsidRPr="00A94525">
        <w:rPr>
          <w:rFonts w:ascii="Times New Roman" w:hAnsi="Times New Roman"/>
          <w:lang w:val="lt-LT"/>
        </w:rPr>
        <w:t>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Konkretaus faktoriaus vartojimo dozė nurodyta tarptautiniais vienetais (TV), susijusiais su kiekvieno faktoriaus dabartiniu PSO standartu. Konkretaus </w:t>
      </w:r>
      <w:proofErr w:type="spellStart"/>
      <w:r w:rsidRPr="00A94525">
        <w:rPr>
          <w:rFonts w:ascii="Times New Roman" w:hAnsi="Times New Roman"/>
          <w:lang w:val="lt-LT"/>
        </w:rPr>
        <w:t>koaguliacijos</w:t>
      </w:r>
      <w:proofErr w:type="spellEnd"/>
      <w:r w:rsidRPr="00A94525">
        <w:rPr>
          <w:rFonts w:ascii="Times New Roman" w:hAnsi="Times New Roman"/>
          <w:lang w:val="lt-LT"/>
        </w:rPr>
        <w:t xml:space="preserve"> faktoriaus plazmos aktyvumas išreikštas arba procentais (palyginti su normalia žmogaus plazma), arba tarptautiniais vienetais (palyginti su tarptautiniu konkretaus faktoriaus koncentrato standartu).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Vieno tarptautinio vieneto (TV) </w:t>
      </w:r>
      <w:proofErr w:type="spellStart"/>
      <w:r w:rsidRPr="00A94525">
        <w:rPr>
          <w:rFonts w:ascii="Times New Roman" w:hAnsi="Times New Roman"/>
          <w:lang w:val="lt-LT"/>
        </w:rPr>
        <w:t>koaguliacijos</w:t>
      </w:r>
      <w:proofErr w:type="spellEnd"/>
      <w:r w:rsidRPr="00A94525">
        <w:rPr>
          <w:rFonts w:ascii="Times New Roman" w:hAnsi="Times New Roman"/>
          <w:lang w:val="lt-LT"/>
        </w:rPr>
        <w:t xml:space="preserve"> faktoriaus aktyvumas atitinka kiekį, esantį viename normalios žmogaus plazmos ml.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Pvz., apskaičiuota reikalinga X faktoriaus dozė pagrįsta empiriniais duomenimis, pagal kuriuos 1 TV X faktoriaus vienam kg kūno svorio padidina X faktoriaus plazmos aktyvumą apytiksliai 0,017 TV/ml. Reikalinga dozė apskaičiuojama taikant šią formulę: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Reikiamas vienetų kiekis = kūno svoris (kg) x norimas X faktoriaus padidėjimas (TV/ml) x 60</w:t>
      </w: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lang w:val="lt-LT"/>
        </w:rPr>
        <w:t>Kai 60 (ml/kg) yra atvirkštinis apskaičiuoto išgijimo dydis.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Jeigu žinomas individualus išgijimo dydis, jis ir turi būti naudojamas dozei apskaičiuoti.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Didžiausia vienkartinė dozė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Tam, kad būtų pakoreguotas TNS, nebūtina viršyti 50 TV/kg dozės. Jeigu kraujavimas yra sunkus ir todėl reikalinga didesnė dozė, gydantis gydytojas turi įvertinti rizikos ir naudos santykį.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u w:val="single"/>
          <w:lang w:val="lt-LT"/>
        </w:rPr>
      </w:pPr>
      <w:r w:rsidRPr="00A94525">
        <w:rPr>
          <w:rFonts w:ascii="Times New Roman" w:hAnsi="Times New Roman"/>
          <w:u w:val="single"/>
          <w:lang w:val="lt-LT"/>
        </w:rPr>
        <w:t>Vaikų populiacija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vartojimo vaikams saugumas ir veiksmingumas nebuvo nustatytas atliekant </w:t>
      </w:r>
      <w:proofErr w:type="spellStart"/>
      <w:r w:rsidRPr="00A94525">
        <w:rPr>
          <w:rFonts w:ascii="Times New Roman" w:hAnsi="Times New Roman"/>
          <w:lang w:val="lt-LT"/>
        </w:rPr>
        <w:t>Baxter</w:t>
      </w:r>
      <w:proofErr w:type="spellEnd"/>
      <w:r w:rsidRPr="00A94525">
        <w:rPr>
          <w:rFonts w:ascii="Times New Roman" w:hAnsi="Times New Roman"/>
          <w:lang w:val="lt-LT"/>
        </w:rPr>
        <w:t xml:space="preserve"> klinikinius tyrimus.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keepLines/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Sąveika su kitais vaistiniais preparatais ir kitokia sąveika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Jei taikomos didelės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dozės, atliekant krešėjimo analizę, kurios rezultatams įtakos gali turėti heparinas, į jį būtina atsižvelgti, nes jo yra vaistinio preparato sudėtyje.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Nesuderinamumas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Šio vaistinio preparato negalima maišyti su kitais, išskyrus pridėtą tirpiklį.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Sumaišius su kitais vaistiniais preparatais gali būti pakenkta šio vaistinio preparato (kaip ir visų </w:t>
      </w:r>
      <w:proofErr w:type="spellStart"/>
      <w:r w:rsidRPr="00A94525">
        <w:rPr>
          <w:rFonts w:ascii="Times New Roman" w:hAnsi="Times New Roman"/>
          <w:lang w:val="lt-LT"/>
        </w:rPr>
        <w:t>koaguliacijos</w:t>
      </w:r>
      <w:proofErr w:type="spellEnd"/>
      <w:r w:rsidRPr="00A94525">
        <w:rPr>
          <w:rFonts w:ascii="Times New Roman" w:hAnsi="Times New Roman"/>
          <w:lang w:val="lt-LT"/>
        </w:rPr>
        <w:t xml:space="preserve"> faktorių vaistinių preparatų) veiksmingumui ir toleravimui. Prieš leidžiant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ir jo suleidus, rekomenduojama praplauti bendrą leidimo į veną vietą </w:t>
      </w:r>
      <w:proofErr w:type="spellStart"/>
      <w:r w:rsidRPr="00A94525">
        <w:rPr>
          <w:rFonts w:ascii="Times New Roman" w:hAnsi="Times New Roman"/>
          <w:lang w:val="lt-LT"/>
        </w:rPr>
        <w:t>izotoniniu</w:t>
      </w:r>
      <w:proofErr w:type="spellEnd"/>
      <w:r w:rsidRPr="00A94525">
        <w:rPr>
          <w:rFonts w:ascii="Times New Roman" w:hAnsi="Times New Roman"/>
          <w:lang w:val="lt-LT"/>
        </w:rPr>
        <w:t xml:space="preserve"> natrio chlorido tirpalu.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b/>
          <w:lang w:val="lt-LT"/>
        </w:rPr>
        <w:t>Specialūs reikalavimai atliekoms tvarkyti ir vaistiniam preparatui ruošti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Norėdami ištirpinti naudokite tik pridėtą tirpinimo rinkinį.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tirpinkite tik prieš pat leisdami. Tada tirpalą reikia panaudoti nedelsiant. (Tirpalo sudėtyje nėra jokių konservantų.)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Tirpalas yra skaidrus arba šiek tiek </w:t>
      </w:r>
      <w:proofErr w:type="spellStart"/>
      <w:r w:rsidRPr="00A94525">
        <w:rPr>
          <w:rFonts w:ascii="Times New Roman" w:hAnsi="Times New Roman"/>
          <w:lang w:val="lt-LT"/>
        </w:rPr>
        <w:t>opalescuojantis</w:t>
      </w:r>
      <w:proofErr w:type="spellEnd"/>
      <w:r w:rsidRPr="00A94525">
        <w:rPr>
          <w:rFonts w:ascii="Times New Roman" w:hAnsi="Times New Roman"/>
          <w:lang w:val="lt-LT"/>
        </w:rPr>
        <w:t>. Prieš leisdami visada patikrinkite, ar paruoštame tirpale nėra suspenduotų kietųjų dalelių ir ar nepakitusi jo spalva. Drumzlinus tirpalus arba tirpalus, kuriuose yra nuosėdų, reikia išmesti.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Miltelių injekciniam tirpalui tirpinimas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  <w:r w:rsidRPr="00A94525">
        <w:rPr>
          <w:rFonts w:ascii="Times New Roman" w:hAnsi="Times New Roman"/>
          <w:lang w:val="lt-LT"/>
        </w:rPr>
        <w:t xml:space="preserve">Laikykitės </w:t>
      </w:r>
      <w:proofErr w:type="spellStart"/>
      <w:r w:rsidRPr="00A94525">
        <w:rPr>
          <w:rFonts w:ascii="Times New Roman" w:hAnsi="Times New Roman"/>
          <w:lang w:val="lt-LT"/>
        </w:rPr>
        <w:t>aseptikos</w:t>
      </w:r>
      <w:proofErr w:type="spellEnd"/>
      <w:r w:rsidRPr="00A94525">
        <w:rPr>
          <w:rFonts w:ascii="Times New Roman" w:hAnsi="Times New Roman"/>
          <w:lang w:val="lt-LT"/>
        </w:rPr>
        <w:t xml:space="preserve"> reikalavimų!</w:t>
      </w:r>
    </w:p>
    <w:p w:rsidR="002443B5" w:rsidRPr="00A94525" w:rsidRDefault="002443B5" w:rsidP="002443B5">
      <w:pPr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Neatidarytą flakoną, kuriame yra tirpiklis (sterilus injekcinis vanduo), sušildykite iki kambario arba kūno temperatūros (ne aukštesnės kaip 37 °C).</w:t>
      </w:r>
    </w:p>
    <w:p w:rsidR="002443B5" w:rsidRPr="00A94525" w:rsidRDefault="002443B5" w:rsidP="002443B5">
      <w:pPr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Nuo flakonų su milteliais ir tirpikliu nuimkite apsauginius dangtelius (A pav.) ir nuvalykite abiejų flakonų guminius kamščius.</w:t>
      </w:r>
    </w:p>
    <w:p w:rsidR="002443B5" w:rsidRPr="00A94525" w:rsidRDefault="002443B5" w:rsidP="002443B5">
      <w:pPr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Pasukdami nuimkite apsauginį dangtelį nuo vieno pridėtos perpylimo adatos galo, išimkite adatą ir perdurkite guminį tirpiklio flakono kamštį (B ir C pav.).</w:t>
      </w:r>
    </w:p>
    <w:p w:rsidR="002443B5" w:rsidRPr="00A94525" w:rsidRDefault="002443B5" w:rsidP="002443B5">
      <w:pPr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Nuimkite apsauginį dangtelį nuo kito perpylimo adatos galo ir saugokitės, kad neprisiliestumėte prie atidengto galo!</w:t>
      </w:r>
    </w:p>
    <w:p w:rsidR="002443B5" w:rsidRPr="00A94525" w:rsidRDefault="002443B5" w:rsidP="002443B5">
      <w:pPr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Apverskite tirpiklio flakoną virš flakono su milteliais ir perpylimo adatos galu pradurkite guminį miltelių flakono kamštį (D pav.). Tirpiklis dėl susidariusio vakuumo bus įsiurbtas į miltelių flakoną.</w:t>
      </w:r>
    </w:p>
    <w:p w:rsidR="002443B5" w:rsidRPr="00A94525" w:rsidRDefault="002443B5" w:rsidP="002443B5">
      <w:pPr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Ištraukite perpylimo adatą kartu su tirpiklio flakonu iš miltelių flakono ir atskirkite abu flakonus (E pav.). Švelniai pakratykite miltelių flakoną, kad milteliai greičiau ištirptų.</w:t>
      </w:r>
    </w:p>
    <w:p w:rsidR="002443B5" w:rsidRPr="00A94525" w:rsidRDefault="002443B5" w:rsidP="002443B5">
      <w:pPr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Milteliams visiškai ištirpus, įveskite pridėtą aeracijos adatą (F pav.), kad išnyktų visos putos. Ištraukite aeracijos adatą.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keepNext/>
        <w:spacing w:after="0" w:line="240" w:lineRule="auto"/>
        <w:rPr>
          <w:rFonts w:ascii="Times New Roman" w:hAnsi="Times New Roman"/>
          <w:i/>
          <w:lang w:val="lt-LT"/>
        </w:rPr>
      </w:pPr>
      <w:r w:rsidRPr="00A94525">
        <w:rPr>
          <w:rFonts w:ascii="Times New Roman" w:hAnsi="Times New Roman"/>
          <w:i/>
          <w:lang w:val="lt-LT"/>
        </w:rPr>
        <w:t>Injekcija ar infuzija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Prieš leisdami, visada patikrinkite, ar paruoštame tirpale nėra plaukiojančių kietųjų dalelių ir ar nepakitusi jo spalva.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Laikykitės </w:t>
      </w:r>
      <w:proofErr w:type="spellStart"/>
      <w:r w:rsidRPr="00A94525">
        <w:rPr>
          <w:rFonts w:ascii="Times New Roman" w:hAnsi="Times New Roman"/>
          <w:lang w:val="lt-LT"/>
        </w:rPr>
        <w:t>aseptikos</w:t>
      </w:r>
      <w:proofErr w:type="spellEnd"/>
      <w:r w:rsidRPr="00A94525">
        <w:rPr>
          <w:rFonts w:ascii="Times New Roman" w:hAnsi="Times New Roman"/>
          <w:lang w:val="lt-LT"/>
        </w:rPr>
        <w:t xml:space="preserve"> reikalavimų!</w:t>
      </w:r>
    </w:p>
    <w:p w:rsidR="002443B5" w:rsidRPr="00A94525" w:rsidRDefault="002443B5" w:rsidP="002443B5">
      <w:pPr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Pasukdami nuimkite apsauginį dangtelį nuo vieno pridėtos filtravimo adatos galo ir uždėkite adatą ant sterilaus vienkartinio švirkšto. Įtraukite tirpalą į švirkštą (G pav.).</w:t>
      </w:r>
    </w:p>
    <w:p w:rsidR="002443B5" w:rsidRPr="00A94525" w:rsidRDefault="002443B5" w:rsidP="002443B5">
      <w:pPr>
        <w:numPr>
          <w:ilvl w:val="0"/>
          <w:numId w:val="8"/>
        </w:numPr>
        <w:tabs>
          <w:tab w:val="left" w:pos="0"/>
          <w:tab w:val="left" w:pos="567"/>
          <w:tab w:val="left" w:pos="12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</w:tabs>
        <w:suppressAutoHyphens/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Nuimkite filtravimo adatą nuo švirkšto ir lėtai suleiskite tirpalą į veną (didžiausias infuzijos ar injekcijos greitis: 2 ml per minutę).</w:t>
      </w:r>
    </w:p>
    <w:p w:rsidR="002443B5" w:rsidRPr="00A94525" w:rsidRDefault="002443B5" w:rsidP="002443B5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ind w:left="2160"/>
        <w:jc w:val="both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70152E6C" wp14:editId="77A2DFE4">
            <wp:extent cx="3781425" cy="13716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3B5" w:rsidRPr="00A94525" w:rsidRDefault="002443B5" w:rsidP="002443B5">
      <w:pPr>
        <w:tabs>
          <w:tab w:val="left" w:pos="2268"/>
          <w:tab w:val="left" w:pos="3686"/>
          <w:tab w:val="left" w:pos="4678"/>
          <w:tab w:val="left" w:pos="5387"/>
          <w:tab w:val="left" w:pos="6237"/>
          <w:tab w:val="left" w:pos="6946"/>
          <w:tab w:val="left" w:pos="7655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ab/>
        <w:t>A pav.</w:t>
      </w:r>
      <w:r w:rsidRPr="00A94525">
        <w:rPr>
          <w:rFonts w:ascii="Times New Roman" w:hAnsi="Times New Roman"/>
          <w:lang w:val="lt-LT"/>
        </w:rPr>
        <w:tab/>
        <w:t>B pav.</w:t>
      </w:r>
      <w:r w:rsidRPr="00A94525">
        <w:rPr>
          <w:rFonts w:ascii="Times New Roman" w:hAnsi="Times New Roman"/>
          <w:lang w:val="lt-LT"/>
        </w:rPr>
        <w:tab/>
        <w:t>C pav.</w:t>
      </w:r>
      <w:r w:rsidRPr="00A94525">
        <w:rPr>
          <w:rFonts w:ascii="Times New Roman" w:hAnsi="Times New Roman"/>
          <w:lang w:val="lt-LT"/>
        </w:rPr>
        <w:tab/>
        <w:t>D pav.</w:t>
      </w:r>
      <w:r w:rsidRPr="00A94525">
        <w:rPr>
          <w:rFonts w:ascii="Times New Roman" w:hAnsi="Times New Roman"/>
          <w:lang w:val="lt-LT"/>
        </w:rPr>
        <w:tab/>
        <w:t>E pav.</w:t>
      </w:r>
      <w:r w:rsidRPr="00A94525">
        <w:rPr>
          <w:rFonts w:ascii="Times New Roman" w:hAnsi="Times New Roman"/>
          <w:lang w:val="lt-LT"/>
        </w:rPr>
        <w:tab/>
        <w:t>F pav.</w:t>
      </w:r>
      <w:r w:rsidRPr="00A94525">
        <w:rPr>
          <w:rFonts w:ascii="Times New Roman" w:hAnsi="Times New Roman"/>
          <w:lang w:val="lt-LT"/>
        </w:rPr>
        <w:tab/>
        <w:t>G pav.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Suleidę išmeskite visas neuždengtas adatas, švirkštą ir (arba) infuzijos rinkinį, įdėtus į vaistinio preparato dėžutę, kad nesukeltumėte pavojaus kitiems asmenims.</w:t>
      </w: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 w:line="240" w:lineRule="auto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>Nesuvartotą vaistinį preparatą ar atliekas reikia tvarkyti laikantis vietinių reikalavimų.</w:t>
      </w:r>
    </w:p>
    <w:p w:rsidR="002443B5" w:rsidRPr="00A94525" w:rsidRDefault="002443B5" w:rsidP="002443B5">
      <w:pPr>
        <w:spacing w:after="0"/>
        <w:rPr>
          <w:rFonts w:ascii="Times New Roman" w:hAnsi="Times New Roman"/>
          <w:lang w:val="lt-LT"/>
        </w:rPr>
      </w:pPr>
    </w:p>
    <w:p w:rsidR="002443B5" w:rsidRPr="00A94525" w:rsidRDefault="002443B5" w:rsidP="002443B5">
      <w:pPr>
        <w:spacing w:after="0"/>
        <w:rPr>
          <w:rFonts w:ascii="Times New Roman" w:hAnsi="Times New Roman"/>
          <w:lang w:val="lt-LT"/>
        </w:rPr>
      </w:pPr>
      <w:r w:rsidRPr="00A94525">
        <w:rPr>
          <w:rFonts w:ascii="Times New Roman" w:hAnsi="Times New Roman"/>
          <w:lang w:val="lt-LT"/>
        </w:rPr>
        <w:t xml:space="preserve">Informaciją apie kiekvieną suleistą </w:t>
      </w:r>
      <w:proofErr w:type="spellStart"/>
      <w:r w:rsidRPr="00A94525">
        <w:rPr>
          <w:rFonts w:ascii="Times New Roman" w:hAnsi="Times New Roman"/>
          <w:lang w:val="lt-LT"/>
        </w:rPr>
        <w:t>Prothromplex</w:t>
      </w:r>
      <w:proofErr w:type="spellEnd"/>
      <w:r w:rsidRPr="00A94525">
        <w:rPr>
          <w:rFonts w:ascii="Times New Roman" w:hAnsi="Times New Roman"/>
          <w:lang w:val="lt-LT"/>
        </w:rPr>
        <w:t xml:space="preserve"> dozę įrašykite į ligos istoriją, naudodami pridėtą lipnią etiketę.</w:t>
      </w:r>
    </w:p>
    <w:p w:rsidR="002443B5" w:rsidRPr="00821CE9" w:rsidRDefault="002443B5" w:rsidP="002443B5">
      <w:pPr>
        <w:spacing w:after="0"/>
        <w:rPr>
          <w:lang w:val="lt-LT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B5" w:rsidRDefault="002443B5" w:rsidP="002443B5">
      <w:pPr>
        <w:spacing w:after="0" w:line="240" w:lineRule="auto"/>
      </w:pPr>
      <w:r>
        <w:separator/>
      </w:r>
    </w:p>
  </w:endnote>
  <w:endnote w:type="continuationSeparator" w:id="0">
    <w:p w:rsidR="002443B5" w:rsidRDefault="002443B5" w:rsidP="0024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B5" w:rsidRDefault="002443B5" w:rsidP="002443B5">
      <w:pPr>
        <w:spacing w:after="0" w:line="240" w:lineRule="auto"/>
      </w:pPr>
      <w:r>
        <w:separator/>
      </w:r>
    </w:p>
  </w:footnote>
  <w:footnote w:type="continuationSeparator" w:id="0">
    <w:p w:rsidR="002443B5" w:rsidRDefault="002443B5" w:rsidP="002443B5">
      <w:pPr>
        <w:spacing w:after="0" w:line="240" w:lineRule="auto"/>
      </w:pPr>
      <w:r>
        <w:continuationSeparator/>
      </w:r>
    </w:p>
  </w:footnote>
  <w:footnote w:id="1">
    <w:p w:rsidR="002443B5" w:rsidRPr="00E46426" w:rsidRDefault="002443B5" w:rsidP="002443B5">
      <w:pPr>
        <w:pStyle w:val="Puslapioinaostekstas"/>
        <w:spacing w:after="0"/>
        <w:rPr>
          <w:lang w:val="lt-LT"/>
        </w:rPr>
      </w:pPr>
      <w:r>
        <w:rPr>
          <w:rStyle w:val="Puslapioinaosnuoroda"/>
        </w:rPr>
        <w:footnoteRef/>
      </w:r>
      <w:r w:rsidRPr="00E46426">
        <w:rPr>
          <w:lang w:val="lt-LT"/>
        </w:rPr>
        <w:t xml:space="preserve"> </w:t>
      </w:r>
      <w:proofErr w:type="spellStart"/>
      <w:r w:rsidRPr="00BA13B6">
        <w:rPr>
          <w:rFonts w:ascii="Times New Roman" w:hAnsi="Times New Roman"/>
          <w:sz w:val="18"/>
          <w:szCs w:val="18"/>
          <w:lang w:val="lt-LT"/>
        </w:rPr>
        <w:t>Makris</w:t>
      </w:r>
      <w:proofErr w:type="spellEnd"/>
      <w:r w:rsidRPr="00BA13B6">
        <w:rPr>
          <w:rFonts w:ascii="Times New Roman" w:hAnsi="Times New Roman"/>
          <w:sz w:val="18"/>
          <w:szCs w:val="18"/>
          <w:lang w:val="lt-LT"/>
        </w:rPr>
        <w:t xml:space="preserve"> M, </w:t>
      </w:r>
      <w:proofErr w:type="spellStart"/>
      <w:r w:rsidRPr="00BA13B6">
        <w:rPr>
          <w:rFonts w:ascii="Times New Roman" w:hAnsi="Times New Roman"/>
          <w:sz w:val="18"/>
          <w:szCs w:val="18"/>
          <w:lang w:val="lt-LT"/>
        </w:rPr>
        <w:t>Watson</w:t>
      </w:r>
      <w:proofErr w:type="spellEnd"/>
      <w:r w:rsidRPr="00BA13B6">
        <w:rPr>
          <w:rFonts w:ascii="Times New Roman" w:hAnsi="Times New Roman"/>
          <w:sz w:val="18"/>
          <w:szCs w:val="18"/>
          <w:lang w:val="lt-LT"/>
        </w:rPr>
        <w:t xml:space="preserve"> HG. </w:t>
      </w:r>
      <w:proofErr w:type="spellStart"/>
      <w:r w:rsidRPr="00BA13B6">
        <w:rPr>
          <w:rFonts w:ascii="Times New Roman" w:hAnsi="Times New Roman"/>
          <w:i/>
          <w:sz w:val="18"/>
          <w:szCs w:val="18"/>
          <w:lang w:val="lt-LT"/>
        </w:rPr>
        <w:t>The</w:t>
      </w:r>
      <w:proofErr w:type="spellEnd"/>
      <w:r w:rsidRPr="00BA13B6">
        <w:rPr>
          <w:rFonts w:ascii="Times New Roman" w:hAnsi="Times New Roman"/>
          <w:i/>
          <w:sz w:val="18"/>
          <w:szCs w:val="18"/>
          <w:lang w:val="lt-LT"/>
        </w:rPr>
        <w:t xml:space="preserve"> </w:t>
      </w:r>
      <w:proofErr w:type="spellStart"/>
      <w:r w:rsidRPr="00BA13B6">
        <w:rPr>
          <w:rFonts w:ascii="Times New Roman" w:hAnsi="Times New Roman"/>
          <w:i/>
          <w:sz w:val="18"/>
          <w:szCs w:val="18"/>
          <w:lang w:val="lt-LT"/>
        </w:rPr>
        <w:t>Management</w:t>
      </w:r>
      <w:proofErr w:type="spellEnd"/>
      <w:r w:rsidRPr="00BA13B6">
        <w:rPr>
          <w:rFonts w:ascii="Times New Roman" w:hAnsi="Times New Roman"/>
          <w:i/>
          <w:sz w:val="18"/>
          <w:szCs w:val="18"/>
          <w:lang w:val="lt-LT"/>
        </w:rPr>
        <w:t xml:space="preserve"> </w:t>
      </w:r>
      <w:proofErr w:type="spellStart"/>
      <w:r w:rsidRPr="00BA13B6">
        <w:rPr>
          <w:rFonts w:ascii="Times New Roman" w:hAnsi="Times New Roman"/>
          <w:i/>
          <w:sz w:val="18"/>
          <w:szCs w:val="18"/>
          <w:lang w:val="lt-LT"/>
        </w:rPr>
        <w:t>of</w:t>
      </w:r>
      <w:proofErr w:type="spellEnd"/>
      <w:r w:rsidRPr="00BA13B6">
        <w:rPr>
          <w:rFonts w:ascii="Times New Roman" w:hAnsi="Times New Roman"/>
          <w:i/>
          <w:sz w:val="18"/>
          <w:szCs w:val="18"/>
          <w:lang w:val="lt-LT"/>
        </w:rPr>
        <w:t xml:space="preserve"> </w:t>
      </w:r>
      <w:proofErr w:type="spellStart"/>
      <w:r w:rsidRPr="00BA13B6">
        <w:rPr>
          <w:rFonts w:ascii="Times New Roman" w:hAnsi="Times New Roman"/>
          <w:i/>
          <w:sz w:val="18"/>
          <w:szCs w:val="18"/>
          <w:lang w:val="lt-LT"/>
        </w:rPr>
        <w:t>Coumarin</w:t>
      </w:r>
      <w:r w:rsidRPr="00BA13B6">
        <w:rPr>
          <w:rFonts w:ascii="Times New Roman" w:hAnsi="Times New Roman"/>
          <w:i/>
          <w:sz w:val="18"/>
          <w:szCs w:val="18"/>
          <w:lang w:val="lt-LT"/>
        </w:rPr>
        <w:noBreakHyphen/>
        <w:t>Induced</w:t>
      </w:r>
      <w:proofErr w:type="spellEnd"/>
      <w:r w:rsidRPr="00BA13B6">
        <w:rPr>
          <w:rFonts w:ascii="Times New Roman" w:hAnsi="Times New Roman"/>
          <w:i/>
          <w:sz w:val="18"/>
          <w:szCs w:val="18"/>
          <w:lang w:val="lt-LT"/>
        </w:rPr>
        <w:t xml:space="preserve"> </w:t>
      </w:r>
      <w:proofErr w:type="spellStart"/>
      <w:r w:rsidRPr="00BA13B6">
        <w:rPr>
          <w:rFonts w:ascii="Times New Roman" w:hAnsi="Times New Roman"/>
          <w:i/>
          <w:sz w:val="18"/>
          <w:szCs w:val="18"/>
          <w:lang w:val="lt-LT"/>
        </w:rPr>
        <w:t>Over</w:t>
      </w:r>
      <w:r w:rsidRPr="00BA13B6">
        <w:rPr>
          <w:rFonts w:ascii="Times New Roman" w:hAnsi="Times New Roman"/>
          <w:i/>
          <w:sz w:val="18"/>
          <w:szCs w:val="18"/>
          <w:lang w:val="lt-LT"/>
        </w:rPr>
        <w:noBreakHyphen/>
        <w:t>Anticoagulation</w:t>
      </w:r>
      <w:proofErr w:type="spellEnd"/>
      <w:r w:rsidRPr="00BA13B6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BA13B6">
        <w:rPr>
          <w:rFonts w:ascii="Times New Roman" w:hAnsi="Times New Roman"/>
          <w:sz w:val="18"/>
          <w:szCs w:val="18"/>
          <w:lang w:val="lt-LT"/>
        </w:rPr>
        <w:t>Br.J.Haematol</w:t>
      </w:r>
      <w:proofErr w:type="spellEnd"/>
      <w:r w:rsidRPr="00BA13B6">
        <w:rPr>
          <w:rFonts w:ascii="Times New Roman" w:hAnsi="Times New Roman"/>
          <w:sz w:val="18"/>
          <w:szCs w:val="18"/>
          <w:lang w:val="lt-LT"/>
        </w:rPr>
        <w:t>. 2001; 114:271</w:t>
      </w:r>
      <w:r w:rsidRPr="00BA13B6">
        <w:rPr>
          <w:rFonts w:ascii="Times New Roman" w:hAnsi="Times New Roman"/>
          <w:sz w:val="18"/>
          <w:szCs w:val="18"/>
          <w:lang w:val="lt-LT"/>
        </w:rPr>
        <w:noBreakHyphen/>
        <w:t>280.</w:t>
      </w:r>
    </w:p>
  </w:footnote>
  <w:footnote w:id="2">
    <w:p w:rsidR="002443B5" w:rsidRPr="003F76CF" w:rsidRDefault="002443B5" w:rsidP="002443B5">
      <w:pPr>
        <w:pStyle w:val="Puslapioinaostekstas"/>
        <w:rPr>
          <w:rFonts w:ascii="Times New Roman" w:hAnsi="Times New Roman"/>
          <w:lang w:val="lt-LT"/>
        </w:rPr>
      </w:pPr>
      <w:r w:rsidRPr="003F76CF">
        <w:rPr>
          <w:rStyle w:val="Puslapioinaosnuoroda"/>
          <w:rFonts w:ascii="Times New Roman" w:hAnsi="Times New Roman"/>
        </w:rPr>
        <w:footnoteRef/>
      </w:r>
      <w:r w:rsidRPr="00E46426">
        <w:rPr>
          <w:rFonts w:ascii="Times New Roman" w:hAnsi="Times New Roman"/>
          <w:lang w:val="lt-LT"/>
        </w:rPr>
        <w:t xml:space="preserve"> </w:t>
      </w:r>
      <w:proofErr w:type="spellStart"/>
      <w:r w:rsidRPr="00E46426">
        <w:rPr>
          <w:rFonts w:ascii="Times New Roman" w:hAnsi="Times New Roman"/>
          <w:lang w:val="lt-LT"/>
        </w:rPr>
        <w:t>Ostermann</w:t>
      </w:r>
      <w:proofErr w:type="spellEnd"/>
      <w:r>
        <w:rPr>
          <w:rFonts w:ascii="Times New Roman" w:hAnsi="Times New Roman"/>
          <w:lang w:val="lt-LT"/>
        </w:rPr>
        <w:t> </w:t>
      </w:r>
      <w:r w:rsidRPr="00E46426">
        <w:rPr>
          <w:rFonts w:ascii="Times New Roman" w:hAnsi="Times New Roman"/>
          <w:lang w:val="lt-LT"/>
        </w:rPr>
        <w:t xml:space="preserve">H, </w:t>
      </w:r>
      <w:proofErr w:type="spellStart"/>
      <w:r w:rsidRPr="00E46426">
        <w:rPr>
          <w:rFonts w:ascii="Times New Roman" w:hAnsi="Times New Roman"/>
          <w:lang w:val="lt-LT"/>
        </w:rPr>
        <w:t>Haertel</w:t>
      </w:r>
      <w:proofErr w:type="spellEnd"/>
      <w:r>
        <w:rPr>
          <w:rFonts w:ascii="Times New Roman" w:hAnsi="Times New Roman"/>
          <w:lang w:val="lt-LT"/>
        </w:rPr>
        <w:t> </w:t>
      </w:r>
      <w:r w:rsidRPr="00E46426">
        <w:rPr>
          <w:rFonts w:ascii="Times New Roman" w:hAnsi="Times New Roman"/>
          <w:lang w:val="lt-LT"/>
        </w:rPr>
        <w:t xml:space="preserve">S, </w:t>
      </w:r>
      <w:proofErr w:type="spellStart"/>
      <w:r w:rsidRPr="00E46426">
        <w:rPr>
          <w:rFonts w:ascii="Times New Roman" w:hAnsi="Times New Roman"/>
          <w:lang w:val="lt-LT"/>
        </w:rPr>
        <w:t>Knaub</w:t>
      </w:r>
      <w:proofErr w:type="spellEnd"/>
      <w:r>
        <w:rPr>
          <w:rFonts w:ascii="Times New Roman" w:hAnsi="Times New Roman"/>
          <w:lang w:val="lt-LT"/>
        </w:rPr>
        <w:t> </w:t>
      </w:r>
      <w:r w:rsidRPr="00E46426">
        <w:rPr>
          <w:rFonts w:ascii="Times New Roman" w:hAnsi="Times New Roman"/>
          <w:lang w:val="lt-LT"/>
        </w:rPr>
        <w:t>S, Kalina</w:t>
      </w:r>
      <w:r>
        <w:rPr>
          <w:rFonts w:ascii="Times New Roman" w:hAnsi="Times New Roman"/>
          <w:lang w:val="lt-LT"/>
        </w:rPr>
        <w:t> </w:t>
      </w:r>
      <w:r w:rsidRPr="00E46426">
        <w:rPr>
          <w:rFonts w:ascii="Times New Roman" w:hAnsi="Times New Roman"/>
          <w:lang w:val="lt-LT"/>
        </w:rPr>
        <w:t xml:space="preserve">U, </w:t>
      </w:r>
      <w:proofErr w:type="spellStart"/>
      <w:r w:rsidRPr="00E46426">
        <w:rPr>
          <w:rFonts w:ascii="Times New Roman" w:hAnsi="Times New Roman"/>
          <w:lang w:val="lt-LT"/>
        </w:rPr>
        <w:t>Jung</w:t>
      </w:r>
      <w:proofErr w:type="spellEnd"/>
      <w:r>
        <w:rPr>
          <w:rFonts w:ascii="Times New Roman" w:hAnsi="Times New Roman"/>
          <w:lang w:val="lt-LT"/>
        </w:rPr>
        <w:t> </w:t>
      </w:r>
      <w:r w:rsidRPr="00E46426">
        <w:rPr>
          <w:rFonts w:ascii="Times New Roman" w:hAnsi="Times New Roman"/>
          <w:lang w:val="lt-LT"/>
        </w:rPr>
        <w:t xml:space="preserve">K, </w:t>
      </w:r>
      <w:proofErr w:type="spellStart"/>
      <w:r w:rsidRPr="00E46426">
        <w:rPr>
          <w:rFonts w:ascii="Times New Roman" w:hAnsi="Times New Roman"/>
          <w:lang w:val="lt-LT"/>
        </w:rPr>
        <w:t>Pabinger</w:t>
      </w:r>
      <w:proofErr w:type="spellEnd"/>
      <w:r>
        <w:rPr>
          <w:rFonts w:ascii="Times New Roman" w:hAnsi="Times New Roman"/>
          <w:lang w:val="lt-LT"/>
        </w:rPr>
        <w:t> </w:t>
      </w:r>
      <w:r w:rsidRPr="00E46426">
        <w:rPr>
          <w:rFonts w:ascii="Times New Roman" w:hAnsi="Times New Roman"/>
          <w:lang w:val="lt-LT"/>
        </w:rPr>
        <w:t xml:space="preserve">I. </w:t>
      </w:r>
      <w:proofErr w:type="spellStart"/>
      <w:r w:rsidRPr="00E46426">
        <w:rPr>
          <w:rFonts w:ascii="Times New Roman" w:hAnsi="Times New Roman"/>
          <w:i/>
          <w:lang w:val="lt-LT"/>
        </w:rPr>
        <w:t>Pharmacokinetics</w:t>
      </w:r>
      <w:proofErr w:type="spellEnd"/>
      <w:r w:rsidRPr="00E46426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E46426">
        <w:rPr>
          <w:rFonts w:ascii="Times New Roman" w:hAnsi="Times New Roman"/>
          <w:i/>
          <w:lang w:val="lt-LT"/>
        </w:rPr>
        <w:t>of</w:t>
      </w:r>
      <w:proofErr w:type="spellEnd"/>
      <w:r w:rsidRPr="00E46426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E46426">
        <w:rPr>
          <w:rFonts w:ascii="Times New Roman" w:hAnsi="Times New Roman"/>
          <w:i/>
          <w:lang w:val="lt-LT"/>
        </w:rPr>
        <w:t>Beriplex</w:t>
      </w:r>
      <w:proofErr w:type="spellEnd"/>
      <w:r w:rsidRPr="00E46426">
        <w:rPr>
          <w:rFonts w:ascii="Times New Roman" w:hAnsi="Times New Roman"/>
          <w:i/>
          <w:lang w:val="lt-LT"/>
        </w:rPr>
        <w:t xml:space="preserve"> P/N </w:t>
      </w:r>
      <w:proofErr w:type="spellStart"/>
      <w:r w:rsidRPr="00172B5E">
        <w:rPr>
          <w:rFonts w:ascii="Times New Roman" w:hAnsi="Times New Roman"/>
          <w:i/>
          <w:lang w:val="lt-LT"/>
        </w:rPr>
        <w:t>P</w:t>
      </w:r>
      <w:r w:rsidRPr="00E46426">
        <w:rPr>
          <w:rFonts w:ascii="Times New Roman" w:hAnsi="Times New Roman"/>
          <w:i/>
          <w:lang w:val="lt-LT"/>
        </w:rPr>
        <w:t>rothrombin</w:t>
      </w:r>
      <w:proofErr w:type="spellEnd"/>
      <w:r w:rsidRPr="00E46426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72B5E">
        <w:rPr>
          <w:rFonts w:ascii="Times New Roman" w:hAnsi="Times New Roman"/>
          <w:i/>
          <w:lang w:val="lt-LT"/>
        </w:rPr>
        <w:t>C</w:t>
      </w:r>
      <w:r w:rsidRPr="00E46426">
        <w:rPr>
          <w:rFonts w:ascii="Times New Roman" w:hAnsi="Times New Roman"/>
          <w:i/>
          <w:lang w:val="lt-LT"/>
        </w:rPr>
        <w:t>omplex</w:t>
      </w:r>
      <w:proofErr w:type="spellEnd"/>
      <w:r w:rsidRPr="00E46426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72B5E">
        <w:rPr>
          <w:rFonts w:ascii="Times New Roman" w:hAnsi="Times New Roman"/>
          <w:i/>
          <w:lang w:val="lt-LT"/>
        </w:rPr>
        <w:t>C</w:t>
      </w:r>
      <w:r w:rsidRPr="00E46426">
        <w:rPr>
          <w:rFonts w:ascii="Times New Roman" w:hAnsi="Times New Roman"/>
          <w:i/>
          <w:lang w:val="lt-LT"/>
        </w:rPr>
        <w:t>oncentr</w:t>
      </w:r>
      <w:proofErr w:type="spellEnd"/>
      <w:r w:rsidRPr="00E46426">
        <w:rPr>
          <w:rFonts w:ascii="Times New Roman" w:hAnsi="Times New Roman"/>
          <w:i/>
        </w:rPr>
        <w:t xml:space="preserve">ate in </w:t>
      </w:r>
      <w:r w:rsidRPr="00172B5E">
        <w:rPr>
          <w:rFonts w:ascii="Times New Roman" w:hAnsi="Times New Roman"/>
          <w:i/>
        </w:rPr>
        <w:t>H</w:t>
      </w:r>
      <w:r w:rsidRPr="00E46426">
        <w:rPr>
          <w:rFonts w:ascii="Times New Roman" w:hAnsi="Times New Roman"/>
          <w:i/>
        </w:rPr>
        <w:t xml:space="preserve">ealthy </w:t>
      </w:r>
      <w:r w:rsidRPr="00172B5E">
        <w:rPr>
          <w:rFonts w:ascii="Times New Roman" w:hAnsi="Times New Roman"/>
          <w:i/>
        </w:rPr>
        <w:t>V</w:t>
      </w:r>
      <w:r w:rsidRPr="00E46426">
        <w:rPr>
          <w:rFonts w:ascii="Times New Roman" w:hAnsi="Times New Roman"/>
          <w:i/>
        </w:rPr>
        <w:t>olunteers</w:t>
      </w:r>
      <w:r w:rsidRPr="003F76CF">
        <w:rPr>
          <w:rFonts w:ascii="Times New Roman" w:hAnsi="Times New Roman"/>
        </w:rPr>
        <w:t xml:space="preserve">. </w:t>
      </w:r>
      <w:proofErr w:type="spellStart"/>
      <w:r w:rsidRPr="003F76CF">
        <w:rPr>
          <w:rFonts w:ascii="Times New Roman" w:hAnsi="Times New Roman"/>
        </w:rPr>
        <w:t>Thromb</w:t>
      </w:r>
      <w:proofErr w:type="spellEnd"/>
      <w:r w:rsidRPr="003F76CF">
        <w:rPr>
          <w:rFonts w:ascii="Times New Roman" w:hAnsi="Times New Roman"/>
        </w:rPr>
        <w:t xml:space="preserve"> </w:t>
      </w:r>
      <w:proofErr w:type="spellStart"/>
      <w:r w:rsidRPr="003F76CF">
        <w:rPr>
          <w:rFonts w:ascii="Times New Roman" w:hAnsi="Times New Roman"/>
        </w:rPr>
        <w:t>Haemost</w:t>
      </w:r>
      <w:proofErr w:type="spellEnd"/>
      <w:r w:rsidRPr="003F76CF">
        <w:rPr>
          <w:rFonts w:ascii="Times New Roman" w:hAnsi="Times New Roman"/>
        </w:rPr>
        <w:t xml:space="preserve">. </w:t>
      </w:r>
      <w:proofErr w:type="gramStart"/>
      <w:r w:rsidRPr="003F76CF">
        <w:rPr>
          <w:rFonts w:ascii="Times New Roman" w:hAnsi="Times New Roman"/>
        </w:rPr>
        <w:t>2007</w:t>
      </w:r>
      <w:proofErr w:type="gramEnd"/>
      <w:r w:rsidRPr="003F76CF">
        <w:rPr>
          <w:rFonts w:ascii="Times New Roman" w:hAnsi="Times New Roman"/>
        </w:rPr>
        <w:t>; 98(4):790</w:t>
      </w:r>
      <w:r>
        <w:rPr>
          <w:rFonts w:ascii="Times New Roman" w:hAnsi="Times New Roman"/>
        </w:rPr>
        <w:noBreakHyphen/>
      </w:r>
      <w:r w:rsidRPr="003F76CF">
        <w:rPr>
          <w:rFonts w:ascii="Times New Roman" w:hAnsi="Times New Roman"/>
        </w:rPr>
        <w:t>797.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B5826"/>
    <w:multiLevelType w:val="hybridMultilevel"/>
    <w:tmpl w:val="CD166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BAF"/>
    <w:multiLevelType w:val="hybridMultilevel"/>
    <w:tmpl w:val="BD72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8F5"/>
    <w:multiLevelType w:val="hybridMultilevel"/>
    <w:tmpl w:val="21F62C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C4568"/>
    <w:multiLevelType w:val="hybridMultilevel"/>
    <w:tmpl w:val="E84EB2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465E6"/>
    <w:multiLevelType w:val="hybridMultilevel"/>
    <w:tmpl w:val="D0864B82"/>
    <w:lvl w:ilvl="0" w:tplc="FFFFFFFF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5652"/>
    <w:multiLevelType w:val="hybridMultilevel"/>
    <w:tmpl w:val="27EAA2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436EE"/>
    <w:multiLevelType w:val="hybridMultilevel"/>
    <w:tmpl w:val="9C62F3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14233"/>
    <w:multiLevelType w:val="singleLevel"/>
    <w:tmpl w:val="97342D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52DE4C1A"/>
    <w:multiLevelType w:val="singleLevel"/>
    <w:tmpl w:val="97342D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624A6FE6"/>
    <w:multiLevelType w:val="hybridMultilevel"/>
    <w:tmpl w:val="ED58EA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A1D1C"/>
    <w:multiLevelType w:val="hybridMultilevel"/>
    <w:tmpl w:val="D83643B0"/>
    <w:lvl w:ilvl="0" w:tplc="6ABE72E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A353C"/>
    <w:multiLevelType w:val="hybridMultilevel"/>
    <w:tmpl w:val="DC72A29C"/>
    <w:lvl w:ilvl="0" w:tplc="68B8E6C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5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B5"/>
    <w:rsid w:val="00072F85"/>
    <w:rsid w:val="000A5E72"/>
    <w:rsid w:val="000A7B60"/>
    <w:rsid w:val="00181364"/>
    <w:rsid w:val="002443B5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16392-A5CF-4518-94D0-C89AB1A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43B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443B5"/>
    <w:pPr>
      <w:ind w:left="720"/>
      <w:contextualSpacing/>
    </w:pPr>
  </w:style>
  <w:style w:type="character" w:styleId="Puslapioinaosnuoroda">
    <w:name w:val="footnote reference"/>
    <w:semiHidden/>
    <w:rsid w:val="002443B5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2443B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443B5"/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16194</Words>
  <Characters>9232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Pakuotės lapelis: informacija pacientui</vt:lpstr>
      <vt:lpstr>        3.	Kaip vartoti Prothromplex</vt:lpstr>
      <vt:lpstr>        4.	Galimas šalutinis poveikis</vt:lpstr>
      <vt:lpstr>        5.	Kaip laikyti Prothromplex</vt:lpstr>
      <vt:lpstr>        6.	Pakuotės turinys ir kita informacija</vt:lpstr>
      <vt:lpstr>Reikalingą individualią dozę galima nustatyti remiantis įprastu būdu nustatomu a</vt:lpstr>
    </vt:vector>
  </TitlesOfParts>
  <Company/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2024-10-18T10:39:00Z</dcterms:created>
  <dcterms:modified xsi:type="dcterms:W3CDTF">2024-10-18T10:39:00Z</dcterms:modified>
</cp:coreProperties>
</file>