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EFA5B" w14:textId="77777777" w:rsidR="00CA08B3" w:rsidRDefault="00CA08B3" w:rsidP="00CA08B3">
      <w:pPr>
        <w:rPr>
          <w:sz w:val="22"/>
          <w:szCs w:val="22"/>
        </w:rPr>
      </w:pPr>
    </w:p>
    <w:p w14:paraId="2A973460" w14:textId="77777777" w:rsidR="00CA08B3" w:rsidRDefault="00CA08B3" w:rsidP="00CA08B3">
      <w:pPr>
        <w:rPr>
          <w:sz w:val="22"/>
          <w:szCs w:val="22"/>
        </w:rPr>
      </w:pPr>
    </w:p>
    <w:p w14:paraId="05C10D03" w14:textId="77777777" w:rsidR="00CA08B3" w:rsidRDefault="00CA08B3" w:rsidP="00CA08B3">
      <w:pPr>
        <w:rPr>
          <w:sz w:val="22"/>
          <w:szCs w:val="22"/>
        </w:rPr>
      </w:pPr>
    </w:p>
    <w:p w14:paraId="5A1CE02A" w14:textId="77777777" w:rsidR="00CA08B3" w:rsidRDefault="00CA08B3" w:rsidP="00CA08B3">
      <w:pPr>
        <w:rPr>
          <w:sz w:val="22"/>
          <w:szCs w:val="22"/>
        </w:rPr>
      </w:pPr>
    </w:p>
    <w:p w14:paraId="20D08E51" w14:textId="77777777" w:rsidR="00CA08B3" w:rsidRDefault="00CA08B3" w:rsidP="00CA08B3">
      <w:pPr>
        <w:rPr>
          <w:sz w:val="22"/>
          <w:szCs w:val="22"/>
        </w:rPr>
      </w:pPr>
    </w:p>
    <w:p w14:paraId="7BF071D8" w14:textId="77777777" w:rsidR="00CA08B3" w:rsidRDefault="00CA08B3" w:rsidP="00CA08B3">
      <w:pPr>
        <w:rPr>
          <w:sz w:val="22"/>
          <w:szCs w:val="22"/>
        </w:rPr>
      </w:pPr>
    </w:p>
    <w:p w14:paraId="524C630E" w14:textId="77777777" w:rsidR="00CA08B3" w:rsidRDefault="00CA08B3" w:rsidP="00CA08B3">
      <w:pPr>
        <w:rPr>
          <w:sz w:val="22"/>
          <w:szCs w:val="22"/>
        </w:rPr>
      </w:pPr>
    </w:p>
    <w:p w14:paraId="5780E607" w14:textId="77777777" w:rsidR="00CA08B3" w:rsidRDefault="00CA08B3" w:rsidP="00CA08B3">
      <w:pPr>
        <w:rPr>
          <w:sz w:val="22"/>
          <w:szCs w:val="22"/>
        </w:rPr>
      </w:pPr>
    </w:p>
    <w:p w14:paraId="07058180" w14:textId="77777777" w:rsidR="00CA08B3" w:rsidRDefault="00CA08B3" w:rsidP="00CA08B3">
      <w:pPr>
        <w:rPr>
          <w:sz w:val="22"/>
          <w:szCs w:val="22"/>
        </w:rPr>
      </w:pPr>
    </w:p>
    <w:p w14:paraId="7945AEA3" w14:textId="77777777" w:rsidR="00CA08B3" w:rsidRDefault="00CA08B3" w:rsidP="00CA08B3">
      <w:pPr>
        <w:rPr>
          <w:sz w:val="22"/>
          <w:szCs w:val="22"/>
        </w:rPr>
      </w:pPr>
    </w:p>
    <w:p w14:paraId="0149AAB0" w14:textId="77777777" w:rsidR="00CA08B3" w:rsidRDefault="00CA08B3" w:rsidP="00CA08B3">
      <w:pPr>
        <w:rPr>
          <w:sz w:val="22"/>
          <w:szCs w:val="22"/>
        </w:rPr>
      </w:pPr>
    </w:p>
    <w:p w14:paraId="0225E501" w14:textId="77777777" w:rsidR="00CA08B3" w:rsidRDefault="00CA08B3" w:rsidP="00CA08B3">
      <w:pPr>
        <w:rPr>
          <w:sz w:val="22"/>
          <w:szCs w:val="22"/>
        </w:rPr>
      </w:pPr>
    </w:p>
    <w:p w14:paraId="02CEFA49" w14:textId="77777777" w:rsidR="00CA08B3" w:rsidRDefault="00CA08B3" w:rsidP="00CA08B3">
      <w:pPr>
        <w:rPr>
          <w:sz w:val="22"/>
          <w:szCs w:val="22"/>
        </w:rPr>
      </w:pPr>
    </w:p>
    <w:p w14:paraId="596473DB" w14:textId="77777777" w:rsidR="00CA08B3" w:rsidRDefault="00CA08B3" w:rsidP="00CA08B3">
      <w:pPr>
        <w:rPr>
          <w:sz w:val="22"/>
          <w:szCs w:val="22"/>
        </w:rPr>
      </w:pPr>
    </w:p>
    <w:p w14:paraId="7DBD85FF" w14:textId="77777777" w:rsidR="00CA08B3" w:rsidRDefault="00CA08B3" w:rsidP="00CA08B3">
      <w:pPr>
        <w:rPr>
          <w:sz w:val="22"/>
          <w:szCs w:val="22"/>
        </w:rPr>
      </w:pPr>
    </w:p>
    <w:p w14:paraId="6ACA8EE1" w14:textId="77777777" w:rsidR="00CA08B3" w:rsidRDefault="00CA08B3" w:rsidP="00CA08B3">
      <w:pPr>
        <w:rPr>
          <w:sz w:val="22"/>
          <w:szCs w:val="22"/>
        </w:rPr>
      </w:pPr>
    </w:p>
    <w:p w14:paraId="77D848B1" w14:textId="77777777" w:rsidR="00CA08B3" w:rsidRDefault="00CA08B3" w:rsidP="00CA08B3">
      <w:pPr>
        <w:rPr>
          <w:sz w:val="22"/>
          <w:szCs w:val="22"/>
        </w:rPr>
      </w:pPr>
    </w:p>
    <w:p w14:paraId="3F69B15A" w14:textId="77777777" w:rsidR="00CA08B3" w:rsidRDefault="00CA08B3" w:rsidP="00CA08B3">
      <w:pPr>
        <w:rPr>
          <w:sz w:val="22"/>
          <w:szCs w:val="22"/>
        </w:rPr>
      </w:pPr>
    </w:p>
    <w:p w14:paraId="54C597B2" w14:textId="77777777" w:rsidR="00CA08B3" w:rsidRDefault="00CA08B3" w:rsidP="00CA08B3">
      <w:pPr>
        <w:rPr>
          <w:sz w:val="22"/>
          <w:szCs w:val="22"/>
        </w:rPr>
      </w:pPr>
    </w:p>
    <w:p w14:paraId="3B5964E0" w14:textId="77777777" w:rsidR="00CA08B3" w:rsidRDefault="00CA08B3" w:rsidP="00CA08B3">
      <w:pPr>
        <w:rPr>
          <w:sz w:val="22"/>
          <w:szCs w:val="22"/>
        </w:rPr>
      </w:pPr>
    </w:p>
    <w:p w14:paraId="6F7FBDB6" w14:textId="77777777" w:rsidR="00CA08B3" w:rsidRDefault="00CA08B3" w:rsidP="00CA08B3">
      <w:pPr>
        <w:rPr>
          <w:sz w:val="22"/>
          <w:szCs w:val="22"/>
        </w:rPr>
      </w:pPr>
    </w:p>
    <w:p w14:paraId="129DF53E" w14:textId="77777777" w:rsidR="00CA08B3" w:rsidRDefault="00CA08B3" w:rsidP="00CA08B3">
      <w:pPr>
        <w:rPr>
          <w:sz w:val="22"/>
          <w:szCs w:val="22"/>
        </w:rPr>
      </w:pPr>
    </w:p>
    <w:p w14:paraId="50D60465" w14:textId="77777777" w:rsidR="00CA08B3" w:rsidRDefault="00CA08B3" w:rsidP="00CA08B3">
      <w:pPr>
        <w:jc w:val="center"/>
        <w:rPr>
          <w:b/>
          <w:sz w:val="22"/>
          <w:szCs w:val="22"/>
        </w:rPr>
      </w:pPr>
      <w:bookmarkStart w:id="0" w:name="_Toc129243221"/>
      <w:bookmarkStart w:id="1" w:name="_Toc129243096"/>
    </w:p>
    <w:p w14:paraId="3D736B5C" w14:textId="3482BE04" w:rsidR="00CA08B3" w:rsidRPr="00FB2719" w:rsidRDefault="00CA08B3" w:rsidP="00CA08B3">
      <w:pPr>
        <w:jc w:val="center"/>
        <w:rPr>
          <w:b/>
          <w:sz w:val="22"/>
          <w:szCs w:val="22"/>
        </w:rPr>
      </w:pPr>
      <w:r w:rsidRPr="00FB2719">
        <w:rPr>
          <w:b/>
          <w:sz w:val="22"/>
          <w:szCs w:val="22"/>
        </w:rPr>
        <w:t>I PRIEDA</w:t>
      </w:r>
      <w:r w:rsidR="00765A36" w:rsidRPr="00FB2719">
        <w:rPr>
          <w:b/>
          <w:sz w:val="22"/>
          <w:szCs w:val="22"/>
        </w:rPr>
        <w:t>S</w:t>
      </w:r>
      <w:bookmarkEnd w:id="0"/>
      <w:bookmarkEnd w:id="1"/>
    </w:p>
    <w:p w14:paraId="0FEA8C01" w14:textId="77777777" w:rsidR="00CA08B3" w:rsidRPr="00FB2719" w:rsidRDefault="00CA08B3" w:rsidP="00CA08B3">
      <w:pPr>
        <w:jc w:val="center"/>
        <w:rPr>
          <w:b/>
          <w:sz w:val="22"/>
          <w:szCs w:val="22"/>
        </w:rPr>
      </w:pPr>
    </w:p>
    <w:p w14:paraId="3409C533" w14:textId="77777777" w:rsidR="00CA08B3" w:rsidRPr="00FB2719" w:rsidRDefault="00CA08B3" w:rsidP="00CA08B3">
      <w:pPr>
        <w:jc w:val="center"/>
        <w:rPr>
          <w:b/>
          <w:sz w:val="22"/>
          <w:szCs w:val="22"/>
        </w:rPr>
      </w:pPr>
      <w:bookmarkStart w:id="2" w:name="_Toc129243222"/>
      <w:bookmarkStart w:id="3" w:name="_Toc129243097"/>
      <w:r w:rsidRPr="00FB2719">
        <w:rPr>
          <w:b/>
          <w:sz w:val="22"/>
          <w:szCs w:val="22"/>
        </w:rPr>
        <w:t>PREPARATO CHARAKTERISTIKŲ SANTRAUKA</w:t>
      </w:r>
      <w:bookmarkEnd w:id="2"/>
      <w:bookmarkEnd w:id="3"/>
    </w:p>
    <w:p w14:paraId="75DF1043" w14:textId="77777777" w:rsidR="00CA08B3" w:rsidRPr="00FB2719" w:rsidRDefault="00CA08B3" w:rsidP="00CA08B3">
      <w:pPr>
        <w:ind w:left="540" w:hanging="540"/>
        <w:rPr>
          <w:b/>
          <w:sz w:val="22"/>
          <w:szCs w:val="22"/>
        </w:rPr>
      </w:pPr>
      <w:r w:rsidRPr="00FB2719">
        <w:rPr>
          <w:bCs/>
          <w:iCs/>
          <w:sz w:val="22"/>
          <w:szCs w:val="22"/>
        </w:rPr>
        <w:br w:type="page"/>
      </w:r>
      <w:bookmarkStart w:id="4" w:name="_Toc129243223"/>
      <w:bookmarkStart w:id="5" w:name="_Toc129243098"/>
      <w:r w:rsidRPr="00FB2719">
        <w:rPr>
          <w:b/>
          <w:sz w:val="22"/>
          <w:szCs w:val="22"/>
        </w:rPr>
        <w:lastRenderedPageBreak/>
        <w:t>1.</w:t>
      </w:r>
      <w:r w:rsidRPr="00FB2719">
        <w:rPr>
          <w:b/>
          <w:sz w:val="22"/>
          <w:szCs w:val="22"/>
        </w:rPr>
        <w:tab/>
        <w:t>VAISTINIO PREPARATO PAVADINIMAS</w:t>
      </w:r>
    </w:p>
    <w:p w14:paraId="097FD946" w14:textId="77777777" w:rsidR="00CA08B3" w:rsidRPr="00FB2719" w:rsidRDefault="00CA08B3" w:rsidP="00CA08B3">
      <w:pPr>
        <w:rPr>
          <w:sz w:val="22"/>
          <w:szCs w:val="22"/>
        </w:rPr>
      </w:pPr>
    </w:p>
    <w:p w14:paraId="08BEFA85" w14:textId="77777777" w:rsidR="00CA08B3" w:rsidRPr="00FB2719" w:rsidRDefault="00CA08B3" w:rsidP="00CA08B3">
      <w:pPr>
        <w:rPr>
          <w:sz w:val="22"/>
          <w:szCs w:val="22"/>
        </w:rPr>
      </w:pPr>
      <w:r w:rsidRPr="00FB2719">
        <w:rPr>
          <w:sz w:val="22"/>
          <w:szCs w:val="22"/>
        </w:rPr>
        <w:t>Lopinavir/Ritonavir Sandoz 200 mg/50 mg plėvele dengtos tabletės</w:t>
      </w:r>
    </w:p>
    <w:p w14:paraId="219D7A9D" w14:textId="77777777" w:rsidR="00CA08B3" w:rsidRPr="00FB2719" w:rsidRDefault="00CA08B3" w:rsidP="00CA08B3">
      <w:pPr>
        <w:rPr>
          <w:sz w:val="22"/>
          <w:szCs w:val="22"/>
        </w:rPr>
      </w:pPr>
    </w:p>
    <w:p w14:paraId="317598A7" w14:textId="77777777" w:rsidR="00CA08B3" w:rsidRPr="00FB2719" w:rsidRDefault="00CA08B3" w:rsidP="00CA08B3">
      <w:pPr>
        <w:rPr>
          <w:sz w:val="22"/>
          <w:szCs w:val="22"/>
        </w:rPr>
      </w:pPr>
    </w:p>
    <w:p w14:paraId="076DFA51" w14:textId="77777777" w:rsidR="00CA08B3" w:rsidRPr="00FB2719" w:rsidRDefault="00CA08B3" w:rsidP="00CA08B3">
      <w:pPr>
        <w:ind w:left="540" w:hanging="540"/>
        <w:rPr>
          <w:b/>
          <w:sz w:val="22"/>
          <w:szCs w:val="22"/>
        </w:rPr>
      </w:pPr>
      <w:r w:rsidRPr="00FB2719">
        <w:rPr>
          <w:b/>
          <w:sz w:val="22"/>
          <w:szCs w:val="22"/>
        </w:rPr>
        <w:t>2.</w:t>
      </w:r>
      <w:r w:rsidRPr="00FB2719">
        <w:rPr>
          <w:b/>
          <w:sz w:val="22"/>
          <w:szCs w:val="22"/>
        </w:rPr>
        <w:tab/>
        <w:t>KOKYBINĖ IR KIEKYBINĖ SUDĖTIS</w:t>
      </w:r>
    </w:p>
    <w:p w14:paraId="21289905" w14:textId="77777777" w:rsidR="00CA08B3" w:rsidRPr="00FB2719" w:rsidRDefault="00CA08B3" w:rsidP="00CA08B3">
      <w:pPr>
        <w:rPr>
          <w:sz w:val="22"/>
          <w:szCs w:val="22"/>
        </w:rPr>
      </w:pPr>
    </w:p>
    <w:p w14:paraId="2D831302" w14:textId="77777777" w:rsidR="00CA08B3" w:rsidRPr="00FB2719" w:rsidRDefault="00CA08B3" w:rsidP="00CA08B3">
      <w:pPr>
        <w:rPr>
          <w:sz w:val="22"/>
          <w:szCs w:val="22"/>
        </w:rPr>
      </w:pPr>
      <w:r w:rsidRPr="00FB2719">
        <w:rPr>
          <w:sz w:val="22"/>
          <w:szCs w:val="22"/>
        </w:rPr>
        <w:t>Kiekvienoje plėvele dengtoje tabletėje yra 200 mg lopinaviro ir 50 mg ritonaviro.</w:t>
      </w:r>
    </w:p>
    <w:p w14:paraId="187D046D" w14:textId="77777777" w:rsidR="00CA08B3" w:rsidRPr="00FB2719" w:rsidRDefault="00CA08B3" w:rsidP="00CA08B3">
      <w:pPr>
        <w:rPr>
          <w:sz w:val="22"/>
          <w:szCs w:val="22"/>
        </w:rPr>
      </w:pPr>
    </w:p>
    <w:p w14:paraId="0F1F9521" w14:textId="77777777" w:rsidR="00CA08B3" w:rsidRPr="00FB2719" w:rsidRDefault="00CA08B3" w:rsidP="00CA08B3">
      <w:pPr>
        <w:rPr>
          <w:sz w:val="22"/>
          <w:szCs w:val="22"/>
        </w:rPr>
      </w:pPr>
      <w:r w:rsidRPr="00FB2719">
        <w:rPr>
          <w:sz w:val="22"/>
          <w:szCs w:val="22"/>
        </w:rPr>
        <w:t>Visos pagalbinės medžiagos išvardytos 6.1 skyriuje.</w:t>
      </w:r>
    </w:p>
    <w:p w14:paraId="49A8CA0F" w14:textId="77777777" w:rsidR="00CA08B3" w:rsidRPr="00FB2719" w:rsidRDefault="00CA08B3" w:rsidP="00CA08B3">
      <w:pPr>
        <w:rPr>
          <w:sz w:val="22"/>
          <w:szCs w:val="22"/>
        </w:rPr>
      </w:pPr>
    </w:p>
    <w:p w14:paraId="6B5C8EB1" w14:textId="77777777" w:rsidR="00CA08B3" w:rsidRPr="00FB2719" w:rsidRDefault="00CA08B3" w:rsidP="00CA08B3">
      <w:pPr>
        <w:rPr>
          <w:sz w:val="22"/>
          <w:szCs w:val="22"/>
        </w:rPr>
      </w:pPr>
    </w:p>
    <w:p w14:paraId="58DB160F" w14:textId="77777777" w:rsidR="00CA08B3" w:rsidRPr="00FB2719" w:rsidRDefault="00CA08B3" w:rsidP="00CA08B3">
      <w:pPr>
        <w:ind w:left="540" w:hanging="540"/>
        <w:rPr>
          <w:b/>
          <w:sz w:val="22"/>
          <w:szCs w:val="22"/>
        </w:rPr>
      </w:pPr>
      <w:r w:rsidRPr="00FB2719">
        <w:rPr>
          <w:b/>
          <w:sz w:val="22"/>
          <w:szCs w:val="22"/>
        </w:rPr>
        <w:t>3.</w:t>
      </w:r>
      <w:r w:rsidRPr="00FB2719">
        <w:rPr>
          <w:b/>
          <w:sz w:val="22"/>
          <w:szCs w:val="22"/>
        </w:rPr>
        <w:tab/>
        <w:t>FARMACINĖ FORMA</w:t>
      </w:r>
    </w:p>
    <w:p w14:paraId="67EA1DBB" w14:textId="77777777" w:rsidR="00CA08B3" w:rsidRPr="00FB2719" w:rsidRDefault="00CA08B3" w:rsidP="00CA08B3">
      <w:pPr>
        <w:rPr>
          <w:sz w:val="22"/>
          <w:szCs w:val="22"/>
        </w:rPr>
      </w:pPr>
    </w:p>
    <w:p w14:paraId="1B83786F" w14:textId="77777777" w:rsidR="00CA08B3" w:rsidRPr="00FB2719" w:rsidRDefault="00CA08B3" w:rsidP="00CA08B3">
      <w:pPr>
        <w:rPr>
          <w:sz w:val="22"/>
          <w:szCs w:val="22"/>
        </w:rPr>
      </w:pPr>
      <w:r w:rsidRPr="00FB2719">
        <w:rPr>
          <w:sz w:val="22"/>
          <w:szCs w:val="22"/>
        </w:rPr>
        <w:t>Plėvele dengta tabletė (tabletė).</w:t>
      </w:r>
    </w:p>
    <w:p w14:paraId="1DB00A93" w14:textId="77777777" w:rsidR="00CA08B3" w:rsidRPr="00FB2719" w:rsidRDefault="00CA08B3" w:rsidP="00CA08B3">
      <w:pPr>
        <w:rPr>
          <w:sz w:val="22"/>
          <w:szCs w:val="22"/>
        </w:rPr>
      </w:pPr>
    </w:p>
    <w:p w14:paraId="0592717D" w14:textId="77777777" w:rsidR="00CA08B3" w:rsidRPr="00FB2719" w:rsidRDefault="00CA08B3" w:rsidP="00CA08B3">
      <w:pPr>
        <w:rPr>
          <w:sz w:val="22"/>
          <w:szCs w:val="22"/>
        </w:rPr>
      </w:pPr>
      <w:r w:rsidRPr="00FB2719">
        <w:rPr>
          <w:sz w:val="22"/>
          <w:szCs w:val="22"/>
        </w:rPr>
        <w:t>Lopinavir/Ritonavir Sandoz tabletės yra geltonos, ovalios, abipus išgaubtos plėvele dengtos tabletės (19,00</w:t>
      </w:r>
      <w:r w:rsidR="00BB3B4D" w:rsidRPr="00FB2719">
        <w:rPr>
          <w:sz w:val="22"/>
          <w:szCs w:val="22"/>
        </w:rPr>
        <w:t> </w:t>
      </w:r>
      <w:r w:rsidRPr="00FB2719">
        <w:rPr>
          <w:sz w:val="22"/>
          <w:szCs w:val="22"/>
        </w:rPr>
        <w:t>x</w:t>
      </w:r>
      <w:r w:rsidR="00BB3B4D" w:rsidRPr="00FB2719">
        <w:rPr>
          <w:sz w:val="22"/>
          <w:szCs w:val="22"/>
        </w:rPr>
        <w:t> </w:t>
      </w:r>
      <w:r w:rsidRPr="00FB2719">
        <w:rPr>
          <w:sz w:val="22"/>
          <w:szCs w:val="22"/>
        </w:rPr>
        <w:t>10,20 mm) su įspaudu „H“ vienoje pusėje ir „L3“ kitoje pusėje.</w:t>
      </w:r>
    </w:p>
    <w:p w14:paraId="5E1871D8" w14:textId="77777777" w:rsidR="00CA08B3" w:rsidRPr="00FB2719" w:rsidRDefault="00CA08B3" w:rsidP="00CA08B3">
      <w:pPr>
        <w:rPr>
          <w:sz w:val="22"/>
          <w:szCs w:val="22"/>
        </w:rPr>
      </w:pPr>
    </w:p>
    <w:p w14:paraId="6AD45677" w14:textId="77777777" w:rsidR="00CA08B3" w:rsidRPr="00FB2719" w:rsidRDefault="00CA08B3" w:rsidP="00CA08B3">
      <w:pPr>
        <w:rPr>
          <w:sz w:val="22"/>
          <w:szCs w:val="22"/>
        </w:rPr>
      </w:pPr>
    </w:p>
    <w:p w14:paraId="6F05FBC1" w14:textId="77777777" w:rsidR="00CA08B3" w:rsidRPr="00FB2719" w:rsidRDefault="00CA08B3" w:rsidP="00CA08B3">
      <w:pPr>
        <w:ind w:left="540" w:hanging="540"/>
        <w:rPr>
          <w:b/>
          <w:sz w:val="22"/>
          <w:szCs w:val="22"/>
        </w:rPr>
      </w:pPr>
      <w:r w:rsidRPr="00FB2719">
        <w:rPr>
          <w:b/>
          <w:sz w:val="22"/>
          <w:szCs w:val="22"/>
        </w:rPr>
        <w:t>4.</w:t>
      </w:r>
      <w:r w:rsidRPr="00FB2719">
        <w:rPr>
          <w:b/>
          <w:sz w:val="22"/>
          <w:szCs w:val="22"/>
        </w:rPr>
        <w:tab/>
        <w:t>KLINIKINĖ INFORMACIJA</w:t>
      </w:r>
    </w:p>
    <w:p w14:paraId="539803F0" w14:textId="77777777" w:rsidR="00CA08B3" w:rsidRPr="00FB2719" w:rsidRDefault="00CA08B3" w:rsidP="00CA08B3">
      <w:pPr>
        <w:rPr>
          <w:sz w:val="22"/>
          <w:szCs w:val="22"/>
        </w:rPr>
      </w:pPr>
    </w:p>
    <w:p w14:paraId="09DBEC87" w14:textId="77777777" w:rsidR="00CA08B3" w:rsidRPr="00FB2719" w:rsidRDefault="00CA08B3" w:rsidP="00CA08B3">
      <w:pPr>
        <w:ind w:left="540" w:hanging="540"/>
        <w:rPr>
          <w:b/>
          <w:sz w:val="22"/>
          <w:szCs w:val="22"/>
        </w:rPr>
      </w:pPr>
      <w:r w:rsidRPr="00FB2719">
        <w:rPr>
          <w:b/>
          <w:sz w:val="22"/>
          <w:szCs w:val="22"/>
        </w:rPr>
        <w:t>4.1</w:t>
      </w:r>
      <w:r w:rsidRPr="00FB2719">
        <w:rPr>
          <w:b/>
          <w:sz w:val="22"/>
          <w:szCs w:val="22"/>
        </w:rPr>
        <w:tab/>
        <w:t>Terapinės indikacijos</w:t>
      </w:r>
    </w:p>
    <w:p w14:paraId="550D9E74" w14:textId="77777777" w:rsidR="00CA08B3" w:rsidRPr="00FB2719" w:rsidRDefault="00CA08B3" w:rsidP="00CA08B3">
      <w:pPr>
        <w:rPr>
          <w:sz w:val="22"/>
          <w:szCs w:val="22"/>
        </w:rPr>
      </w:pPr>
    </w:p>
    <w:p w14:paraId="0684B6D0" w14:textId="77777777" w:rsidR="00CA08B3" w:rsidRPr="00FB2719" w:rsidRDefault="00CA08B3" w:rsidP="00CA08B3">
      <w:pPr>
        <w:autoSpaceDE w:val="0"/>
        <w:autoSpaceDN w:val="0"/>
        <w:adjustRightInd w:val="0"/>
        <w:rPr>
          <w:color w:val="000000"/>
          <w:sz w:val="22"/>
          <w:szCs w:val="22"/>
        </w:rPr>
      </w:pPr>
      <w:r w:rsidRPr="00FB2719">
        <w:rPr>
          <w:sz w:val="22"/>
          <w:szCs w:val="22"/>
        </w:rPr>
        <w:t>Lopinavir/Ritonavir Sandoz yra skirtas derinyje</w:t>
      </w:r>
      <w:r w:rsidRPr="00FB2719">
        <w:rPr>
          <w:color w:val="000000"/>
          <w:sz w:val="22"/>
          <w:szCs w:val="22"/>
        </w:rPr>
        <w:t xml:space="preserve"> su kitais antiretrovirusiniais vaistiniais preparatais žmogaus imunodeficito virusu (ŽIV-1) infekuotiems suaugusiesiems, paaugliams ir vyresniems kaip 2</w:t>
      </w:r>
      <w:r w:rsidR="00BB3B4D" w:rsidRPr="00FB2719">
        <w:rPr>
          <w:color w:val="000000"/>
          <w:sz w:val="22"/>
          <w:szCs w:val="22"/>
        </w:rPr>
        <w:t> </w:t>
      </w:r>
      <w:r w:rsidRPr="00FB2719">
        <w:rPr>
          <w:color w:val="000000"/>
          <w:sz w:val="22"/>
          <w:szCs w:val="22"/>
        </w:rPr>
        <w:t xml:space="preserve">metų vaikams gydyti. </w:t>
      </w:r>
    </w:p>
    <w:p w14:paraId="2C6607E8" w14:textId="77777777" w:rsidR="00637FEB" w:rsidRPr="00FB2719" w:rsidRDefault="00637FEB" w:rsidP="00CA08B3">
      <w:pPr>
        <w:autoSpaceDE w:val="0"/>
        <w:autoSpaceDN w:val="0"/>
        <w:adjustRightInd w:val="0"/>
        <w:rPr>
          <w:color w:val="000000"/>
          <w:sz w:val="22"/>
          <w:szCs w:val="22"/>
        </w:rPr>
      </w:pPr>
    </w:p>
    <w:p w14:paraId="614A078D" w14:textId="77777777" w:rsidR="00CA08B3" w:rsidRPr="00FB2719" w:rsidRDefault="00CA08B3" w:rsidP="00CA08B3">
      <w:pPr>
        <w:autoSpaceDE w:val="0"/>
        <w:autoSpaceDN w:val="0"/>
        <w:adjustRightInd w:val="0"/>
        <w:rPr>
          <w:color w:val="000000"/>
          <w:sz w:val="22"/>
          <w:szCs w:val="22"/>
        </w:rPr>
      </w:pPr>
      <w:r w:rsidRPr="00FB2719">
        <w:rPr>
          <w:sz w:val="22"/>
          <w:szCs w:val="22"/>
        </w:rPr>
        <w:t xml:space="preserve">Pasirinkimas gydyti Lopinavir/Ritonavir Sandoz </w:t>
      </w:r>
      <w:r w:rsidRPr="00FB2719">
        <w:rPr>
          <w:color w:val="000000"/>
          <w:sz w:val="22"/>
          <w:szCs w:val="22"/>
        </w:rPr>
        <w:t>ŽIV-1 infekuotus ir proteazės inhibitoriais gydytus pacientus turi būti pagrįstas individualiu viruso atsparumo tyrimu ir paciento gydymo anamneze (žr. 4.4 ir 5.1) skyrius.</w:t>
      </w:r>
    </w:p>
    <w:p w14:paraId="701095DE" w14:textId="77777777" w:rsidR="00CA08B3" w:rsidRPr="00FB2719" w:rsidRDefault="00CA08B3" w:rsidP="00CA08B3">
      <w:pPr>
        <w:autoSpaceDE w:val="0"/>
        <w:autoSpaceDN w:val="0"/>
        <w:adjustRightInd w:val="0"/>
        <w:rPr>
          <w:sz w:val="22"/>
          <w:szCs w:val="22"/>
          <w:lang w:eastAsia="lt-LT"/>
        </w:rPr>
      </w:pPr>
    </w:p>
    <w:p w14:paraId="47526A32" w14:textId="77777777" w:rsidR="00CA08B3" w:rsidRPr="00FB2719" w:rsidRDefault="00CA08B3" w:rsidP="00CA08B3">
      <w:pPr>
        <w:ind w:left="540" w:hanging="540"/>
        <w:rPr>
          <w:b/>
          <w:sz w:val="22"/>
          <w:szCs w:val="22"/>
        </w:rPr>
      </w:pPr>
      <w:r w:rsidRPr="00FB2719">
        <w:rPr>
          <w:b/>
          <w:sz w:val="22"/>
          <w:szCs w:val="22"/>
        </w:rPr>
        <w:t>4.2</w:t>
      </w:r>
      <w:r w:rsidRPr="00FB2719">
        <w:rPr>
          <w:b/>
          <w:sz w:val="22"/>
          <w:szCs w:val="22"/>
        </w:rPr>
        <w:tab/>
        <w:t>Dozavimas ir vartojimo metodas</w:t>
      </w:r>
    </w:p>
    <w:p w14:paraId="3FC0E671" w14:textId="77777777" w:rsidR="00CA08B3" w:rsidRPr="00FB2719" w:rsidRDefault="00CA08B3" w:rsidP="00CA08B3">
      <w:pPr>
        <w:rPr>
          <w:sz w:val="22"/>
          <w:szCs w:val="22"/>
        </w:rPr>
      </w:pPr>
    </w:p>
    <w:p w14:paraId="66555491" w14:textId="77777777" w:rsidR="00CA08B3" w:rsidRPr="00FB2719" w:rsidRDefault="00CA08B3" w:rsidP="00CA08B3">
      <w:pPr>
        <w:pStyle w:val="Default"/>
        <w:rPr>
          <w:sz w:val="22"/>
          <w:szCs w:val="22"/>
          <w:lang w:val="lt-LT"/>
        </w:rPr>
      </w:pPr>
      <w:r w:rsidRPr="00FB2719">
        <w:rPr>
          <w:sz w:val="22"/>
          <w:szCs w:val="22"/>
          <w:lang w:val="lt-LT"/>
        </w:rPr>
        <w:t xml:space="preserve">Lopinavir/Ritonavir Sandoz turi skirti gydytojas, </w:t>
      </w:r>
      <w:r w:rsidRPr="00FB2719">
        <w:rPr>
          <w:sz w:val="22"/>
          <w:szCs w:val="22"/>
          <w:lang w:val="lt-LT" w:eastAsia="lt-LT"/>
        </w:rPr>
        <w:t xml:space="preserve">turintis </w:t>
      </w:r>
      <w:r w:rsidRPr="00FB2719">
        <w:rPr>
          <w:rFonts w:eastAsia="Times New Roman"/>
          <w:sz w:val="22"/>
          <w:szCs w:val="22"/>
          <w:lang w:val="lt-LT" w:eastAsia="en-US"/>
        </w:rPr>
        <w:t xml:space="preserve">ŽIV infekcijos gydymo patirties. </w:t>
      </w:r>
      <w:r w:rsidRPr="00FB2719">
        <w:rPr>
          <w:sz w:val="22"/>
          <w:szCs w:val="22"/>
          <w:lang w:val="lt-LT"/>
        </w:rPr>
        <w:t xml:space="preserve">Lopinavir/Ritonavir Sandoz </w:t>
      </w:r>
      <w:r w:rsidR="00637FEB" w:rsidRPr="00FB2719">
        <w:rPr>
          <w:sz w:val="22"/>
          <w:szCs w:val="22"/>
          <w:lang w:val="lt-LT"/>
        </w:rPr>
        <w:t xml:space="preserve">plėvele dengtas </w:t>
      </w:r>
      <w:r w:rsidRPr="00FB2719">
        <w:rPr>
          <w:rFonts w:eastAsia="Times New Roman"/>
          <w:sz w:val="22"/>
          <w:szCs w:val="22"/>
          <w:lang w:val="lt-LT"/>
        </w:rPr>
        <w:t>tabletes reikia nuryti sveikas, jų negalima kramtyti, laužyti ar traiškyti</w:t>
      </w:r>
      <w:r w:rsidRPr="00FB2719">
        <w:rPr>
          <w:sz w:val="22"/>
          <w:szCs w:val="22"/>
          <w:lang w:val="lt-LT"/>
        </w:rPr>
        <w:t>.</w:t>
      </w:r>
    </w:p>
    <w:p w14:paraId="729A1E82" w14:textId="77777777" w:rsidR="00CA08B3" w:rsidRPr="00FB2719" w:rsidRDefault="00CA08B3" w:rsidP="00CA08B3">
      <w:pPr>
        <w:rPr>
          <w:sz w:val="22"/>
          <w:szCs w:val="22"/>
        </w:rPr>
      </w:pPr>
    </w:p>
    <w:p w14:paraId="1D914748" w14:textId="77777777" w:rsidR="00CA08B3" w:rsidRPr="00FB2719" w:rsidRDefault="00CA08B3" w:rsidP="00CA08B3">
      <w:pPr>
        <w:autoSpaceDE w:val="0"/>
        <w:autoSpaceDN w:val="0"/>
        <w:adjustRightInd w:val="0"/>
        <w:rPr>
          <w:sz w:val="22"/>
          <w:szCs w:val="22"/>
          <w:u w:val="single"/>
        </w:rPr>
      </w:pPr>
      <w:r w:rsidRPr="00FB2719">
        <w:rPr>
          <w:sz w:val="22"/>
          <w:szCs w:val="22"/>
          <w:u w:val="single"/>
        </w:rPr>
        <w:t>Dozavimas</w:t>
      </w:r>
    </w:p>
    <w:p w14:paraId="696857EA" w14:textId="77777777" w:rsidR="00637FEB" w:rsidRPr="00FB2719" w:rsidRDefault="00CA08B3" w:rsidP="00CA08B3">
      <w:pPr>
        <w:tabs>
          <w:tab w:val="left" w:pos="567"/>
        </w:tabs>
        <w:rPr>
          <w:sz w:val="22"/>
          <w:szCs w:val="22"/>
        </w:rPr>
      </w:pPr>
      <w:r w:rsidRPr="00FB2719">
        <w:rPr>
          <w:i/>
          <w:iCs/>
          <w:sz w:val="22"/>
          <w:szCs w:val="22"/>
        </w:rPr>
        <w:t>Suaugusiesiems ir paaugliams</w:t>
      </w:r>
      <w:r w:rsidRPr="00FB2719">
        <w:rPr>
          <w:sz w:val="22"/>
          <w:szCs w:val="22"/>
        </w:rPr>
        <w:t xml:space="preserve"> </w:t>
      </w:r>
    </w:p>
    <w:p w14:paraId="6301A624" w14:textId="23CFED4F" w:rsidR="00CA08B3" w:rsidRPr="00FB2719" w:rsidRDefault="00B57725" w:rsidP="00637FEB">
      <w:pPr>
        <w:tabs>
          <w:tab w:val="left" w:pos="567"/>
        </w:tabs>
        <w:rPr>
          <w:sz w:val="22"/>
          <w:szCs w:val="22"/>
        </w:rPr>
      </w:pPr>
      <w:r w:rsidRPr="00FB2719">
        <w:rPr>
          <w:sz w:val="22"/>
          <w:szCs w:val="22"/>
        </w:rPr>
        <w:t xml:space="preserve">Rekomenduojamas standartinis </w:t>
      </w:r>
      <w:r w:rsidR="00CA08B3" w:rsidRPr="00FB2719">
        <w:rPr>
          <w:sz w:val="22"/>
          <w:szCs w:val="22"/>
        </w:rPr>
        <w:t>Lopinavir/Ritonavir Sandoz doz</w:t>
      </w:r>
      <w:r w:rsidRPr="00FB2719">
        <w:rPr>
          <w:sz w:val="22"/>
          <w:szCs w:val="22"/>
        </w:rPr>
        <w:t>avimas</w:t>
      </w:r>
      <w:r w:rsidR="00CA08B3" w:rsidRPr="00FB2719">
        <w:rPr>
          <w:sz w:val="22"/>
          <w:szCs w:val="22"/>
        </w:rPr>
        <w:t xml:space="preserve"> yra 400/100</w:t>
      </w:r>
      <w:r w:rsidR="00BB3B4D" w:rsidRPr="00FB2719">
        <w:rPr>
          <w:sz w:val="22"/>
          <w:szCs w:val="22"/>
        </w:rPr>
        <w:t> </w:t>
      </w:r>
      <w:r w:rsidR="00CA08B3" w:rsidRPr="00FB2719">
        <w:rPr>
          <w:sz w:val="22"/>
          <w:szCs w:val="22"/>
        </w:rPr>
        <w:t>mg (dvi 200/50</w:t>
      </w:r>
      <w:r w:rsidR="00BB3B4D" w:rsidRPr="00FB2719">
        <w:rPr>
          <w:sz w:val="22"/>
          <w:szCs w:val="22"/>
        </w:rPr>
        <w:t> </w:t>
      </w:r>
      <w:r w:rsidR="00CA08B3" w:rsidRPr="00FB2719">
        <w:rPr>
          <w:sz w:val="22"/>
          <w:szCs w:val="22"/>
        </w:rPr>
        <w:t xml:space="preserve">mg </w:t>
      </w:r>
      <w:r w:rsidR="00637FEB" w:rsidRPr="00FB2719">
        <w:rPr>
          <w:sz w:val="22"/>
          <w:szCs w:val="22"/>
        </w:rPr>
        <w:t xml:space="preserve">plėvele dengtos </w:t>
      </w:r>
      <w:r w:rsidR="00CA08B3" w:rsidRPr="00FB2719">
        <w:rPr>
          <w:sz w:val="22"/>
          <w:szCs w:val="22"/>
        </w:rPr>
        <w:t>tabletės) du kartus per parą valgant arba ne valgio metu. Suaugusiems pacientams, tais atvejais, kur laikoma, kad pacientui gydyti reikalinga vaistinio preparato vartoti kartą per parą, galima skirti Lopinavir/Ritonavir Sandoz 800/200</w:t>
      </w:r>
      <w:r w:rsidR="00BB3B4D" w:rsidRPr="00FB2719">
        <w:rPr>
          <w:sz w:val="22"/>
          <w:szCs w:val="22"/>
        </w:rPr>
        <w:t> </w:t>
      </w:r>
      <w:r w:rsidR="00CA08B3" w:rsidRPr="00FB2719">
        <w:rPr>
          <w:sz w:val="22"/>
          <w:szCs w:val="22"/>
        </w:rPr>
        <w:t>mg (keturias 200/50</w:t>
      </w:r>
      <w:r w:rsidR="00BB3B4D" w:rsidRPr="00FB2719">
        <w:rPr>
          <w:sz w:val="22"/>
          <w:szCs w:val="22"/>
        </w:rPr>
        <w:t> </w:t>
      </w:r>
      <w:r w:rsidR="00CA08B3" w:rsidRPr="00FB2719">
        <w:rPr>
          <w:sz w:val="22"/>
          <w:szCs w:val="22"/>
        </w:rPr>
        <w:t xml:space="preserve">mg </w:t>
      </w:r>
      <w:r w:rsidR="00637FEB" w:rsidRPr="00FB2719">
        <w:rPr>
          <w:sz w:val="22"/>
          <w:szCs w:val="22"/>
        </w:rPr>
        <w:t xml:space="preserve">plėvele dengtas </w:t>
      </w:r>
      <w:r w:rsidR="00CA08B3" w:rsidRPr="00FB2719">
        <w:rPr>
          <w:sz w:val="22"/>
          <w:szCs w:val="22"/>
        </w:rPr>
        <w:t xml:space="preserve">tabletes) kartą per parą valgant ar ne valgio metu. Vieną kartą per parą vartojama dozė turi būti skiriama tik tiems suaugusiems pacientams, kuriems yra labai mažai su proteazės inhibitoriais (PI) susijusių mutacijų (t.y. mažiau kaip 3 mutacijos iš eilės klinikinio tyrimo metu, informacija apie populiaciją pilnai pateikiama 5.1 skyriuje). Taip pat visada reikia atsižvelgti į virusologinio slopinimo mažesnio išlaikymo (žr. 5.1 skyrių) ir didesnės viduriavimo tikimybės (žr. 4.8 skyrių) riziką, lyginant su rekomenduojamu standartiniu dozavimu du kartus per parą. Pacientams, kuriems sunku ryti, </w:t>
      </w:r>
      <w:r w:rsidR="00637FEB" w:rsidRPr="00FB2719">
        <w:rPr>
          <w:sz w:val="22"/>
          <w:szCs w:val="22"/>
        </w:rPr>
        <w:t xml:space="preserve">galima skirti geriamojo tirpalo. </w:t>
      </w:r>
    </w:p>
    <w:p w14:paraId="514F8FC4" w14:textId="77777777" w:rsidR="00CA08B3" w:rsidRPr="00FB2719" w:rsidRDefault="00CA08B3" w:rsidP="00CA08B3">
      <w:pPr>
        <w:tabs>
          <w:tab w:val="left" w:pos="567"/>
        </w:tabs>
        <w:rPr>
          <w:sz w:val="22"/>
          <w:szCs w:val="22"/>
          <w:lang w:eastAsia="lt-LT"/>
        </w:rPr>
      </w:pPr>
    </w:p>
    <w:p w14:paraId="744B2020" w14:textId="77777777" w:rsidR="00AA707B" w:rsidRPr="00FB2719" w:rsidRDefault="00CA08B3" w:rsidP="00CA08B3">
      <w:pPr>
        <w:autoSpaceDE w:val="0"/>
        <w:autoSpaceDN w:val="0"/>
        <w:adjustRightInd w:val="0"/>
        <w:rPr>
          <w:color w:val="000000"/>
          <w:sz w:val="22"/>
          <w:szCs w:val="22"/>
        </w:rPr>
      </w:pPr>
      <w:r w:rsidRPr="00FB2719">
        <w:rPr>
          <w:i/>
          <w:iCs/>
          <w:color w:val="000000"/>
          <w:sz w:val="22"/>
          <w:szCs w:val="22"/>
        </w:rPr>
        <w:t>Vaik</w:t>
      </w:r>
      <w:r w:rsidR="00E74916" w:rsidRPr="00FB2719">
        <w:rPr>
          <w:i/>
          <w:iCs/>
          <w:color w:val="000000"/>
          <w:sz w:val="22"/>
          <w:szCs w:val="22"/>
        </w:rPr>
        <w:t>ų populiacija</w:t>
      </w:r>
      <w:r w:rsidRPr="00FB2719">
        <w:rPr>
          <w:i/>
          <w:iCs/>
          <w:color w:val="000000"/>
          <w:sz w:val="22"/>
          <w:szCs w:val="22"/>
        </w:rPr>
        <w:t xml:space="preserve"> (2</w:t>
      </w:r>
      <w:r w:rsidR="00BB3B4D" w:rsidRPr="00FB2719">
        <w:rPr>
          <w:i/>
          <w:iCs/>
          <w:color w:val="000000"/>
          <w:sz w:val="22"/>
          <w:szCs w:val="22"/>
        </w:rPr>
        <w:t> </w:t>
      </w:r>
      <w:r w:rsidRPr="00FB2719">
        <w:rPr>
          <w:i/>
          <w:iCs/>
          <w:color w:val="000000"/>
          <w:sz w:val="22"/>
          <w:szCs w:val="22"/>
        </w:rPr>
        <w:t>metų amžiaus ir vyresniems)</w:t>
      </w:r>
    </w:p>
    <w:p w14:paraId="011C683C" w14:textId="77777777" w:rsidR="00CA08B3" w:rsidRPr="00FB2719" w:rsidRDefault="00AA707B" w:rsidP="00CA08B3">
      <w:pPr>
        <w:autoSpaceDE w:val="0"/>
        <w:autoSpaceDN w:val="0"/>
        <w:adjustRightInd w:val="0"/>
        <w:rPr>
          <w:color w:val="000000"/>
          <w:sz w:val="22"/>
          <w:szCs w:val="22"/>
        </w:rPr>
      </w:pPr>
      <w:r w:rsidRPr="00FB2719">
        <w:rPr>
          <w:color w:val="000000"/>
          <w:sz w:val="22"/>
          <w:szCs w:val="22"/>
        </w:rPr>
        <w:t>S</w:t>
      </w:r>
      <w:r w:rsidR="00CA08B3" w:rsidRPr="00FB2719">
        <w:rPr>
          <w:color w:val="000000"/>
          <w:sz w:val="22"/>
          <w:szCs w:val="22"/>
        </w:rPr>
        <w:t xml:space="preserve">uaugusiesiems skirtą </w:t>
      </w:r>
      <w:r w:rsidR="00CA08B3" w:rsidRPr="00FB2719">
        <w:rPr>
          <w:sz w:val="22"/>
          <w:szCs w:val="22"/>
        </w:rPr>
        <w:t xml:space="preserve">Lopinavir/Ritonavir Sandoz </w:t>
      </w:r>
      <w:r w:rsidRPr="00FB2719">
        <w:rPr>
          <w:sz w:val="22"/>
          <w:szCs w:val="22"/>
        </w:rPr>
        <w:t xml:space="preserve">plėvele dengtų </w:t>
      </w:r>
      <w:r w:rsidR="00CA08B3" w:rsidRPr="00FB2719">
        <w:rPr>
          <w:color w:val="000000"/>
          <w:sz w:val="22"/>
          <w:szCs w:val="22"/>
        </w:rPr>
        <w:t>tablečių dozę (400/100</w:t>
      </w:r>
      <w:r w:rsidR="00BB3B4D" w:rsidRPr="00FB2719">
        <w:rPr>
          <w:color w:val="000000"/>
          <w:sz w:val="22"/>
          <w:szCs w:val="22"/>
        </w:rPr>
        <w:t> </w:t>
      </w:r>
      <w:r w:rsidR="00CA08B3" w:rsidRPr="00FB2719">
        <w:rPr>
          <w:color w:val="000000"/>
          <w:sz w:val="22"/>
          <w:szCs w:val="22"/>
        </w:rPr>
        <w:t>mg du kartus per parą) gali vartoti vaikai, sveriantys 40</w:t>
      </w:r>
      <w:r w:rsidR="00BB3B4D" w:rsidRPr="00FB2719">
        <w:rPr>
          <w:color w:val="000000"/>
          <w:sz w:val="22"/>
          <w:szCs w:val="22"/>
        </w:rPr>
        <w:t> </w:t>
      </w:r>
      <w:r w:rsidR="00CA08B3" w:rsidRPr="00FB2719">
        <w:rPr>
          <w:color w:val="000000"/>
          <w:sz w:val="22"/>
          <w:szCs w:val="22"/>
        </w:rPr>
        <w:t xml:space="preserve">kg ir daugiau arba vaikai, kurių kūno paviršiaus </w:t>
      </w:r>
      <w:r w:rsidR="00CA08B3" w:rsidRPr="00FB2719">
        <w:rPr>
          <w:color w:val="000000"/>
          <w:sz w:val="22"/>
          <w:szCs w:val="22"/>
        </w:rPr>
        <w:lastRenderedPageBreak/>
        <w:t>plotas (KPP)* yra didesnis už 1,4</w:t>
      </w:r>
      <w:r w:rsidR="00BB3B4D" w:rsidRPr="00FB2719">
        <w:rPr>
          <w:color w:val="000000"/>
          <w:sz w:val="22"/>
          <w:szCs w:val="22"/>
        </w:rPr>
        <w:t> </w:t>
      </w:r>
      <w:r w:rsidR="00CA08B3" w:rsidRPr="00FB2719">
        <w:rPr>
          <w:color w:val="000000"/>
          <w:sz w:val="22"/>
          <w:szCs w:val="22"/>
        </w:rPr>
        <w:t>m</w:t>
      </w:r>
      <w:r w:rsidR="00CA08B3" w:rsidRPr="00FB2719">
        <w:rPr>
          <w:color w:val="000000"/>
          <w:sz w:val="22"/>
          <w:szCs w:val="22"/>
          <w:vertAlign w:val="superscript"/>
        </w:rPr>
        <w:t>2</w:t>
      </w:r>
      <w:r w:rsidR="00CA08B3" w:rsidRPr="00FB2719">
        <w:rPr>
          <w:color w:val="000000"/>
          <w:sz w:val="22"/>
          <w:szCs w:val="22"/>
        </w:rPr>
        <w:t>. Apie dozavimą vaikams, kurie sveria mažiau, kaip 40</w:t>
      </w:r>
      <w:r w:rsidR="00BB3B4D" w:rsidRPr="00FB2719">
        <w:rPr>
          <w:color w:val="000000"/>
          <w:sz w:val="22"/>
          <w:szCs w:val="22"/>
        </w:rPr>
        <w:t> </w:t>
      </w:r>
      <w:r w:rsidR="00CA08B3" w:rsidRPr="00FB2719">
        <w:rPr>
          <w:color w:val="000000"/>
          <w:sz w:val="22"/>
          <w:szCs w:val="22"/>
        </w:rPr>
        <w:t>kg arba kurių KPP yra 0,5-1,4</w:t>
      </w:r>
      <w:r w:rsidR="00BB3B4D" w:rsidRPr="00FB2719">
        <w:rPr>
          <w:color w:val="000000"/>
          <w:sz w:val="22"/>
          <w:szCs w:val="22"/>
        </w:rPr>
        <w:t> </w:t>
      </w:r>
      <w:r w:rsidR="00CA08B3" w:rsidRPr="00FB2719">
        <w:rPr>
          <w:color w:val="000000"/>
          <w:sz w:val="22"/>
          <w:szCs w:val="22"/>
        </w:rPr>
        <w:t>m</w:t>
      </w:r>
      <w:r w:rsidR="00CA08B3" w:rsidRPr="00FB2719">
        <w:rPr>
          <w:color w:val="000000"/>
          <w:sz w:val="22"/>
          <w:szCs w:val="22"/>
          <w:vertAlign w:val="superscript"/>
        </w:rPr>
        <w:t>2</w:t>
      </w:r>
      <w:r w:rsidR="00CA08B3" w:rsidRPr="00FB2719">
        <w:rPr>
          <w:color w:val="000000"/>
          <w:sz w:val="22"/>
          <w:szCs w:val="22"/>
        </w:rPr>
        <w:t>, bet kurie pajėgia nuryti</w:t>
      </w:r>
      <w:r w:rsidRPr="00FB2719">
        <w:rPr>
          <w:color w:val="000000"/>
          <w:sz w:val="22"/>
          <w:szCs w:val="22"/>
        </w:rPr>
        <w:t xml:space="preserve"> plėvele dengtas</w:t>
      </w:r>
      <w:r w:rsidR="00CA08B3" w:rsidRPr="00FB2719">
        <w:rPr>
          <w:color w:val="000000"/>
          <w:sz w:val="22"/>
          <w:szCs w:val="22"/>
        </w:rPr>
        <w:t xml:space="preserve"> tabletes, žiūrėkite žemiau esančias dozavimo rekomendacijų lenteles. Vaikams, kurie nepajėgia nuryti </w:t>
      </w:r>
      <w:r w:rsidRPr="00FB2719">
        <w:rPr>
          <w:color w:val="000000"/>
          <w:sz w:val="22"/>
          <w:szCs w:val="22"/>
        </w:rPr>
        <w:t xml:space="preserve">plėvele dengtų </w:t>
      </w:r>
      <w:r w:rsidR="00CA08B3" w:rsidRPr="00FB2719">
        <w:rPr>
          <w:color w:val="000000"/>
          <w:sz w:val="22"/>
          <w:szCs w:val="22"/>
        </w:rPr>
        <w:t xml:space="preserve">tablečių, tinka kitos dozavimo formos. </w:t>
      </w:r>
      <w:r w:rsidR="00CA08B3" w:rsidRPr="00FB2719">
        <w:rPr>
          <w:sz w:val="22"/>
          <w:szCs w:val="22"/>
        </w:rPr>
        <w:t xml:space="preserve">Lopinavir/Ritonavir Sandoz </w:t>
      </w:r>
      <w:r w:rsidR="00CA08B3" w:rsidRPr="00FB2719">
        <w:rPr>
          <w:color w:val="000000"/>
          <w:sz w:val="22"/>
          <w:szCs w:val="22"/>
        </w:rPr>
        <w:t xml:space="preserve">skyrimas kartą per parą vaikų populiacijos pacientams netirtas. </w:t>
      </w:r>
    </w:p>
    <w:p w14:paraId="39D77BF9" w14:textId="77777777" w:rsidR="00CA08B3" w:rsidRPr="00FB2719" w:rsidRDefault="00CA08B3" w:rsidP="00CA08B3">
      <w:pPr>
        <w:autoSpaceDE w:val="0"/>
        <w:autoSpaceDN w:val="0"/>
        <w:adjustRightInd w:val="0"/>
        <w:rPr>
          <w:color w:val="000000"/>
          <w:sz w:val="22"/>
          <w:szCs w:val="22"/>
        </w:rPr>
      </w:pPr>
    </w:p>
    <w:p w14:paraId="1ABBBF73" w14:textId="77777777" w:rsidR="00CA08B3" w:rsidRPr="00FB2719" w:rsidRDefault="00CA08B3" w:rsidP="00CA08B3">
      <w:pPr>
        <w:autoSpaceDE w:val="0"/>
        <w:autoSpaceDN w:val="0"/>
        <w:adjustRightInd w:val="0"/>
        <w:rPr>
          <w:color w:val="000000"/>
          <w:sz w:val="22"/>
          <w:szCs w:val="22"/>
        </w:rPr>
      </w:pPr>
      <w:r w:rsidRPr="00FB2719">
        <w:rPr>
          <w:color w:val="000000"/>
          <w:sz w:val="22"/>
          <w:szCs w:val="22"/>
        </w:rPr>
        <w:t xml:space="preserve">*Kūno paviršiaus plotą galima apskaičiuoti pagal šią formulę: </w:t>
      </w:r>
    </w:p>
    <w:p w14:paraId="2FAC625D" w14:textId="77777777" w:rsidR="00CA08B3" w:rsidRPr="00FB2719" w:rsidRDefault="00CA08B3" w:rsidP="00CA08B3">
      <w:pPr>
        <w:autoSpaceDE w:val="0"/>
        <w:autoSpaceDN w:val="0"/>
        <w:adjustRightInd w:val="0"/>
        <w:rPr>
          <w:color w:val="000000"/>
          <w:sz w:val="22"/>
          <w:szCs w:val="22"/>
        </w:rPr>
      </w:pPr>
      <w:r w:rsidRPr="00FB2719">
        <w:rPr>
          <w:color w:val="000000"/>
          <w:sz w:val="22"/>
          <w:szCs w:val="22"/>
        </w:rPr>
        <w:t>KPP (m</w:t>
      </w:r>
      <w:r w:rsidRPr="00FB2719">
        <w:rPr>
          <w:color w:val="000000"/>
          <w:sz w:val="22"/>
          <w:szCs w:val="22"/>
          <w:vertAlign w:val="superscript"/>
        </w:rPr>
        <w:t>2</w:t>
      </w:r>
      <w:r w:rsidRPr="00FB2719">
        <w:rPr>
          <w:color w:val="000000"/>
          <w:sz w:val="22"/>
          <w:szCs w:val="22"/>
        </w:rPr>
        <w:t xml:space="preserve">) = √ (ūgis (cm) × kūno svoris (kg) / 3600) </w:t>
      </w:r>
    </w:p>
    <w:p w14:paraId="03465D7C" w14:textId="77777777" w:rsidR="00CA08B3" w:rsidRPr="00FB2719" w:rsidRDefault="00CA08B3" w:rsidP="00CA08B3">
      <w:pPr>
        <w:autoSpaceDE w:val="0"/>
        <w:autoSpaceDN w:val="0"/>
        <w:adjustRightInd w:val="0"/>
        <w:rPr>
          <w:i/>
          <w:iCs/>
          <w:color w:val="000000"/>
          <w:sz w:val="22"/>
          <w:szCs w:val="22"/>
        </w:rPr>
      </w:pPr>
    </w:p>
    <w:p w14:paraId="3D7D0D67" w14:textId="77777777" w:rsidR="00AA707B" w:rsidRPr="00FB2719" w:rsidRDefault="00CA08B3" w:rsidP="00CA08B3">
      <w:pPr>
        <w:autoSpaceDE w:val="0"/>
        <w:autoSpaceDN w:val="0"/>
        <w:adjustRightInd w:val="0"/>
        <w:rPr>
          <w:color w:val="000000"/>
          <w:sz w:val="22"/>
          <w:szCs w:val="22"/>
        </w:rPr>
      </w:pPr>
      <w:r w:rsidRPr="00FB2719">
        <w:rPr>
          <w:i/>
          <w:iCs/>
          <w:color w:val="000000"/>
          <w:sz w:val="22"/>
          <w:szCs w:val="22"/>
        </w:rPr>
        <w:t>Jaunesniems kaip 2</w:t>
      </w:r>
      <w:r w:rsidR="00BB3B4D" w:rsidRPr="00FB2719">
        <w:rPr>
          <w:i/>
          <w:iCs/>
          <w:color w:val="000000"/>
          <w:sz w:val="22"/>
          <w:szCs w:val="22"/>
        </w:rPr>
        <w:t> </w:t>
      </w:r>
      <w:r w:rsidRPr="00FB2719">
        <w:rPr>
          <w:i/>
          <w:iCs/>
          <w:color w:val="000000"/>
          <w:sz w:val="22"/>
          <w:szCs w:val="22"/>
        </w:rPr>
        <w:t>metų vaikams</w:t>
      </w:r>
    </w:p>
    <w:p w14:paraId="0177FA79" w14:textId="77777777" w:rsidR="00CA08B3" w:rsidRPr="00FB2719" w:rsidRDefault="00CA08B3" w:rsidP="00CA08B3">
      <w:pPr>
        <w:autoSpaceDE w:val="0"/>
        <w:autoSpaceDN w:val="0"/>
        <w:adjustRightInd w:val="0"/>
        <w:rPr>
          <w:color w:val="000000"/>
          <w:sz w:val="22"/>
          <w:szCs w:val="22"/>
        </w:rPr>
      </w:pPr>
      <w:r w:rsidRPr="00FB2719">
        <w:rPr>
          <w:color w:val="000000"/>
          <w:sz w:val="22"/>
          <w:szCs w:val="22"/>
        </w:rPr>
        <w:t>Lopinavir/Ritonavir Sandoz saugumas ir veiksmingumas jaunesniems kaip 2</w:t>
      </w:r>
      <w:r w:rsidR="00BB3B4D" w:rsidRPr="00FB2719">
        <w:rPr>
          <w:color w:val="000000"/>
          <w:sz w:val="22"/>
          <w:szCs w:val="22"/>
        </w:rPr>
        <w:t> </w:t>
      </w:r>
      <w:r w:rsidRPr="00FB2719">
        <w:rPr>
          <w:color w:val="000000"/>
          <w:sz w:val="22"/>
          <w:szCs w:val="22"/>
        </w:rPr>
        <w:t xml:space="preserve">metų vaikams dar neištirti. </w:t>
      </w:r>
      <w:r w:rsidRPr="00FB2719">
        <w:rPr>
          <w:sz w:val="22"/>
          <w:szCs w:val="22"/>
        </w:rPr>
        <w:t>Turimi duomenys pateikiami 5.2 skyriuje, tačiau dozavimo rekomendacijų pateikti negalima</w:t>
      </w:r>
      <w:r w:rsidRPr="00FB2719">
        <w:rPr>
          <w:color w:val="000000"/>
          <w:sz w:val="22"/>
          <w:szCs w:val="22"/>
        </w:rPr>
        <w:t xml:space="preserve">. </w:t>
      </w:r>
    </w:p>
    <w:p w14:paraId="72D09419" w14:textId="77777777" w:rsidR="00CA08B3" w:rsidRPr="00FB2719" w:rsidRDefault="00CA08B3" w:rsidP="00CA08B3">
      <w:pPr>
        <w:autoSpaceDE w:val="0"/>
        <w:autoSpaceDN w:val="0"/>
        <w:adjustRightInd w:val="0"/>
        <w:rPr>
          <w:i/>
          <w:iCs/>
          <w:color w:val="000000"/>
          <w:sz w:val="22"/>
          <w:szCs w:val="22"/>
        </w:rPr>
      </w:pPr>
    </w:p>
    <w:p w14:paraId="46CE805D" w14:textId="7ACFB860" w:rsidR="00CA08B3" w:rsidRPr="00FB2719" w:rsidRDefault="00CA08B3" w:rsidP="00CA08B3">
      <w:pPr>
        <w:autoSpaceDE w:val="0"/>
        <w:autoSpaceDN w:val="0"/>
        <w:adjustRightInd w:val="0"/>
        <w:rPr>
          <w:i/>
          <w:iCs/>
          <w:color w:val="000000"/>
          <w:sz w:val="22"/>
          <w:szCs w:val="22"/>
        </w:rPr>
      </w:pPr>
      <w:r w:rsidRPr="00FB2719">
        <w:rPr>
          <w:i/>
          <w:iCs/>
          <w:color w:val="000000"/>
          <w:sz w:val="22"/>
          <w:szCs w:val="22"/>
        </w:rPr>
        <w:t xml:space="preserve">Kartu </w:t>
      </w:r>
      <w:r w:rsidR="00F31B5C" w:rsidRPr="00FB2719">
        <w:rPr>
          <w:i/>
          <w:iCs/>
          <w:color w:val="000000"/>
          <w:sz w:val="22"/>
          <w:szCs w:val="22"/>
        </w:rPr>
        <w:t>taikomas gydymas</w:t>
      </w:r>
      <w:r w:rsidRPr="00FB2719">
        <w:rPr>
          <w:i/>
          <w:iCs/>
          <w:color w:val="000000"/>
          <w:sz w:val="22"/>
          <w:szCs w:val="22"/>
        </w:rPr>
        <w:t xml:space="preserve">: efavirenzas ar nevirapinas </w:t>
      </w:r>
    </w:p>
    <w:p w14:paraId="7B1F49C5" w14:textId="77777777" w:rsidR="00AA707B" w:rsidRPr="00FB2719" w:rsidRDefault="00AA707B" w:rsidP="00CA08B3">
      <w:pPr>
        <w:autoSpaceDE w:val="0"/>
        <w:autoSpaceDN w:val="0"/>
        <w:adjustRightInd w:val="0"/>
        <w:rPr>
          <w:color w:val="000000"/>
          <w:sz w:val="22"/>
          <w:szCs w:val="22"/>
        </w:rPr>
      </w:pPr>
    </w:p>
    <w:p w14:paraId="7A5E1089" w14:textId="15BDF357" w:rsidR="00CA08B3" w:rsidRPr="00FB2719" w:rsidRDefault="00CA08B3" w:rsidP="00CA08B3">
      <w:pPr>
        <w:autoSpaceDE w:val="0"/>
        <w:autoSpaceDN w:val="0"/>
        <w:adjustRightInd w:val="0"/>
        <w:rPr>
          <w:color w:val="000000"/>
          <w:sz w:val="22"/>
          <w:szCs w:val="22"/>
        </w:rPr>
      </w:pPr>
      <w:r w:rsidRPr="00FB2719">
        <w:rPr>
          <w:color w:val="000000"/>
          <w:sz w:val="22"/>
          <w:szCs w:val="22"/>
        </w:rPr>
        <w:t xml:space="preserve">Žemiau lentelėje pateiktos lopinaviro / ritonaviro derinio </w:t>
      </w:r>
      <w:r w:rsidR="00AA707B" w:rsidRPr="00FB2719">
        <w:rPr>
          <w:color w:val="000000"/>
          <w:sz w:val="22"/>
          <w:szCs w:val="22"/>
        </w:rPr>
        <w:t xml:space="preserve">plėvele dengtų </w:t>
      </w:r>
      <w:r w:rsidRPr="00FB2719">
        <w:rPr>
          <w:color w:val="000000"/>
          <w:sz w:val="22"/>
          <w:szCs w:val="22"/>
        </w:rPr>
        <w:t>tablečių dozavimo rekomendacijos pagal KPP vaikams</w:t>
      </w:r>
      <w:r w:rsidR="00AA707B" w:rsidRPr="00FB2719">
        <w:rPr>
          <w:color w:val="000000"/>
          <w:sz w:val="22"/>
          <w:szCs w:val="22"/>
        </w:rPr>
        <w:t xml:space="preserve"> </w:t>
      </w:r>
      <w:r w:rsidRPr="00FB2719">
        <w:rPr>
          <w:color w:val="000000"/>
          <w:sz w:val="22"/>
          <w:szCs w:val="22"/>
        </w:rPr>
        <w:t>jeigu minėtų tablečių vartojama kartu su efavirenzu ar nevirapinu</w:t>
      </w:r>
      <w:r w:rsidR="00AA707B" w:rsidRPr="00FB2719">
        <w:rPr>
          <w:color w:val="000000"/>
          <w:sz w:val="22"/>
          <w:szCs w:val="22"/>
        </w:rPr>
        <w:t>.</w:t>
      </w:r>
    </w:p>
    <w:tbl>
      <w:tblPr>
        <w:tblW w:w="7513" w:type="dxa"/>
        <w:tblInd w:w="856" w:type="dxa"/>
        <w:tblLayout w:type="fixed"/>
        <w:tblCellMar>
          <w:top w:w="28" w:type="dxa"/>
          <w:left w:w="0" w:type="dxa"/>
          <w:bottom w:w="28" w:type="dxa"/>
          <w:right w:w="28" w:type="dxa"/>
        </w:tblCellMar>
        <w:tblLook w:val="04A0" w:firstRow="1" w:lastRow="0" w:firstColumn="1" w:lastColumn="0" w:noHBand="0" w:noVBand="1"/>
      </w:tblPr>
      <w:tblGrid>
        <w:gridCol w:w="3074"/>
        <w:gridCol w:w="4439"/>
      </w:tblGrid>
      <w:tr w:rsidR="00CA08B3" w:rsidRPr="00FB2719" w14:paraId="57490962" w14:textId="77777777" w:rsidTr="00FB2719">
        <w:trPr>
          <w:trHeight w:val="968"/>
        </w:trPr>
        <w:tc>
          <w:tcPr>
            <w:tcW w:w="7513" w:type="dxa"/>
            <w:gridSpan w:val="2"/>
            <w:tcBorders>
              <w:top w:val="single" w:sz="4" w:space="0" w:color="000000"/>
              <w:left w:val="single" w:sz="4" w:space="0" w:color="000000"/>
              <w:bottom w:val="single" w:sz="4" w:space="0" w:color="000000"/>
              <w:right w:val="single" w:sz="4" w:space="0" w:color="000000"/>
            </w:tcBorders>
          </w:tcPr>
          <w:p w14:paraId="05AD4F49" w14:textId="77777777" w:rsidR="00CA08B3" w:rsidRPr="00FB2719" w:rsidRDefault="00CA08B3">
            <w:pPr>
              <w:autoSpaceDE w:val="0"/>
              <w:autoSpaceDN w:val="0"/>
              <w:adjustRightInd w:val="0"/>
              <w:spacing w:before="9" w:line="110" w:lineRule="exact"/>
              <w:ind w:left="8"/>
              <w:rPr>
                <w:sz w:val="22"/>
                <w:szCs w:val="22"/>
              </w:rPr>
            </w:pPr>
          </w:p>
          <w:tbl>
            <w:tblPr>
              <w:tblW w:w="0" w:type="auto"/>
              <w:tblLayout w:type="fixed"/>
              <w:tblLook w:val="04A0" w:firstRow="1" w:lastRow="0" w:firstColumn="1" w:lastColumn="0" w:noHBand="0" w:noVBand="1"/>
            </w:tblPr>
            <w:tblGrid>
              <w:gridCol w:w="7352"/>
            </w:tblGrid>
            <w:tr w:rsidR="00CA08B3" w:rsidRPr="00FB2719" w14:paraId="4CC358EE" w14:textId="77777777" w:rsidTr="00FB2719">
              <w:trPr>
                <w:trHeight w:hRule="exact" w:val="642"/>
              </w:trPr>
              <w:tc>
                <w:tcPr>
                  <w:tcW w:w="7352" w:type="dxa"/>
                  <w:hideMark/>
                </w:tcPr>
                <w:p w14:paraId="64C74C34" w14:textId="77777777" w:rsidR="00CA08B3" w:rsidRPr="00FB2719" w:rsidRDefault="00CA08B3">
                  <w:pPr>
                    <w:autoSpaceDE w:val="0"/>
                    <w:autoSpaceDN w:val="0"/>
                    <w:adjustRightInd w:val="0"/>
                    <w:spacing w:line="276" w:lineRule="auto"/>
                    <w:ind w:right="376"/>
                    <w:jc w:val="center"/>
                    <w:rPr>
                      <w:color w:val="000000"/>
                      <w:sz w:val="22"/>
                      <w:szCs w:val="22"/>
                    </w:rPr>
                  </w:pPr>
                  <w:r w:rsidRPr="00FB2719">
                    <w:rPr>
                      <w:b/>
                      <w:bCs/>
                      <w:color w:val="000000"/>
                      <w:sz w:val="22"/>
                      <w:szCs w:val="22"/>
                    </w:rPr>
                    <w:t>Dozavimo rekomendacijos vaikams, kartu vartojantiems efavirenzo ar nevirapino</w:t>
                  </w:r>
                </w:p>
              </w:tc>
            </w:tr>
          </w:tbl>
          <w:p w14:paraId="7D378DD4" w14:textId="77777777" w:rsidR="00CA08B3" w:rsidRPr="00FB2719" w:rsidRDefault="00CA08B3">
            <w:pPr>
              <w:autoSpaceDE w:val="0"/>
              <w:autoSpaceDN w:val="0"/>
              <w:adjustRightInd w:val="0"/>
              <w:spacing w:line="276" w:lineRule="auto"/>
              <w:ind w:left="8" w:right="1701"/>
              <w:jc w:val="center"/>
              <w:rPr>
                <w:sz w:val="22"/>
                <w:szCs w:val="22"/>
              </w:rPr>
            </w:pPr>
          </w:p>
        </w:tc>
      </w:tr>
      <w:tr w:rsidR="00CA08B3" w:rsidRPr="00FB2719" w14:paraId="56AD32BA" w14:textId="77777777" w:rsidTr="00FB2719">
        <w:trPr>
          <w:trHeight w:hRule="exact" w:val="739"/>
        </w:trPr>
        <w:tc>
          <w:tcPr>
            <w:tcW w:w="3074" w:type="dxa"/>
            <w:tcBorders>
              <w:top w:val="single" w:sz="4" w:space="0" w:color="000000"/>
              <w:left w:val="single" w:sz="4" w:space="0" w:color="000000"/>
              <w:bottom w:val="single" w:sz="4" w:space="0" w:color="000000"/>
              <w:right w:val="single" w:sz="4" w:space="0" w:color="000000"/>
            </w:tcBorders>
            <w:hideMark/>
          </w:tcPr>
          <w:p w14:paraId="27F9C8BF" w14:textId="77777777" w:rsidR="00CA08B3" w:rsidRPr="00FB2719" w:rsidRDefault="00CA08B3">
            <w:pPr>
              <w:autoSpaceDE w:val="0"/>
              <w:autoSpaceDN w:val="0"/>
              <w:adjustRightInd w:val="0"/>
              <w:spacing w:before="92" w:line="276" w:lineRule="auto"/>
              <w:ind w:left="8" w:right="-20"/>
              <w:rPr>
                <w:sz w:val="22"/>
                <w:szCs w:val="22"/>
                <w:lang w:val="en-US"/>
              </w:rPr>
            </w:pPr>
            <w:r w:rsidRPr="00FB2719">
              <w:rPr>
                <w:sz w:val="22"/>
                <w:szCs w:val="22"/>
                <w:lang w:val="en-US"/>
              </w:rPr>
              <w:t>Kūno paviršiaus plotas (m</w:t>
            </w:r>
            <w:r w:rsidRPr="00FB2719">
              <w:rPr>
                <w:sz w:val="22"/>
                <w:szCs w:val="22"/>
                <w:vertAlign w:val="superscript"/>
                <w:lang w:val="en-US"/>
              </w:rPr>
              <w:t>2</w:t>
            </w:r>
            <w:r w:rsidRPr="00FB2719">
              <w:rPr>
                <w:sz w:val="22"/>
                <w:szCs w:val="22"/>
                <w:lang w:val="en-US"/>
              </w:rPr>
              <w:t>)</w:t>
            </w:r>
          </w:p>
        </w:tc>
        <w:tc>
          <w:tcPr>
            <w:tcW w:w="4439" w:type="dxa"/>
            <w:tcBorders>
              <w:top w:val="single" w:sz="4" w:space="0" w:color="000000"/>
              <w:left w:val="single" w:sz="4" w:space="0" w:color="000000"/>
              <w:bottom w:val="single" w:sz="4" w:space="0" w:color="000000"/>
              <w:right w:val="single" w:sz="4" w:space="0" w:color="000000"/>
            </w:tcBorders>
          </w:tcPr>
          <w:p w14:paraId="3497208D" w14:textId="77777777" w:rsidR="00CA08B3" w:rsidRPr="00FB2719" w:rsidRDefault="00CA08B3">
            <w:pPr>
              <w:autoSpaceDE w:val="0"/>
              <w:autoSpaceDN w:val="0"/>
              <w:adjustRightInd w:val="0"/>
              <w:spacing w:before="8" w:line="110" w:lineRule="exact"/>
              <w:ind w:left="8"/>
              <w:rPr>
                <w:sz w:val="22"/>
                <w:szCs w:val="22"/>
                <w:lang w:val="en-US"/>
              </w:rPr>
            </w:pPr>
          </w:p>
          <w:p w14:paraId="24C8A0E8" w14:textId="77777777" w:rsidR="00CA08B3" w:rsidRPr="00FB2719" w:rsidRDefault="00CA08B3">
            <w:pPr>
              <w:tabs>
                <w:tab w:val="left" w:pos="4155"/>
              </w:tabs>
              <w:autoSpaceDE w:val="0"/>
              <w:autoSpaceDN w:val="0"/>
              <w:adjustRightInd w:val="0"/>
              <w:spacing w:line="276" w:lineRule="auto"/>
              <w:ind w:left="8" w:right="29"/>
              <w:jc w:val="center"/>
              <w:rPr>
                <w:sz w:val="22"/>
                <w:szCs w:val="22"/>
                <w:lang w:val="en-US"/>
              </w:rPr>
            </w:pPr>
            <w:r w:rsidRPr="00FB2719">
              <w:rPr>
                <w:sz w:val="22"/>
                <w:szCs w:val="22"/>
                <w:lang w:val="en-US"/>
              </w:rPr>
              <w:t>Rekomenduojama lopinaviro/ritonaviro dozė (mg) du kartus per parą.*</w:t>
            </w:r>
          </w:p>
          <w:p w14:paraId="3FD1BC66" w14:textId="77777777" w:rsidR="00CA08B3" w:rsidRPr="00FB2719" w:rsidRDefault="00CA08B3">
            <w:pPr>
              <w:autoSpaceDE w:val="0"/>
              <w:autoSpaceDN w:val="0"/>
              <w:adjustRightInd w:val="0"/>
              <w:spacing w:line="276" w:lineRule="auto"/>
              <w:ind w:left="8" w:right="29"/>
              <w:jc w:val="center"/>
              <w:rPr>
                <w:sz w:val="22"/>
                <w:szCs w:val="22"/>
                <w:lang w:val="en-US"/>
              </w:rPr>
            </w:pPr>
          </w:p>
          <w:p w14:paraId="6C355FE8" w14:textId="77777777" w:rsidR="00CA08B3" w:rsidRPr="00FB2719" w:rsidRDefault="00CA08B3">
            <w:pPr>
              <w:autoSpaceDE w:val="0"/>
              <w:autoSpaceDN w:val="0"/>
              <w:adjustRightInd w:val="0"/>
              <w:spacing w:line="276" w:lineRule="auto"/>
              <w:ind w:left="8" w:right="29"/>
              <w:jc w:val="center"/>
              <w:rPr>
                <w:sz w:val="22"/>
                <w:szCs w:val="22"/>
                <w:lang w:val="en-US"/>
              </w:rPr>
            </w:pPr>
          </w:p>
        </w:tc>
      </w:tr>
      <w:tr w:rsidR="00CA08B3" w:rsidRPr="00FB2719" w14:paraId="6D968CA2" w14:textId="77777777" w:rsidTr="00FB2719">
        <w:trPr>
          <w:trHeight w:hRule="exact" w:val="280"/>
        </w:trPr>
        <w:tc>
          <w:tcPr>
            <w:tcW w:w="3074" w:type="dxa"/>
            <w:tcBorders>
              <w:top w:val="single" w:sz="4" w:space="0" w:color="000000"/>
              <w:left w:val="single" w:sz="4" w:space="0" w:color="000000"/>
              <w:bottom w:val="single" w:sz="4" w:space="0" w:color="000000"/>
              <w:right w:val="single" w:sz="4" w:space="0" w:color="000000"/>
            </w:tcBorders>
            <w:hideMark/>
          </w:tcPr>
          <w:p w14:paraId="4D7FF5B1" w14:textId="77777777" w:rsidR="00CA08B3" w:rsidRPr="00FB2719" w:rsidRDefault="00CA08B3" w:rsidP="00BB3B4D">
            <w:pPr>
              <w:tabs>
                <w:tab w:val="left" w:pos="4155"/>
              </w:tabs>
              <w:autoSpaceDE w:val="0"/>
              <w:autoSpaceDN w:val="0"/>
              <w:adjustRightInd w:val="0"/>
              <w:spacing w:line="276" w:lineRule="auto"/>
              <w:ind w:left="8" w:right="29"/>
              <w:jc w:val="center"/>
              <w:rPr>
                <w:sz w:val="22"/>
                <w:szCs w:val="22"/>
                <w:lang w:val="en-US"/>
              </w:rPr>
            </w:pPr>
            <w:r w:rsidRPr="00FB2719">
              <w:rPr>
                <w:sz w:val="22"/>
                <w:szCs w:val="22"/>
                <w:lang w:val="en-US"/>
              </w:rPr>
              <w:t>nuo ≥</w:t>
            </w:r>
            <w:r w:rsidR="00BB3B4D" w:rsidRPr="00FB2719">
              <w:rPr>
                <w:sz w:val="22"/>
                <w:szCs w:val="22"/>
                <w:lang w:val="en-US"/>
              </w:rPr>
              <w:t> </w:t>
            </w:r>
            <w:r w:rsidRPr="00FB2719">
              <w:rPr>
                <w:sz w:val="22"/>
                <w:szCs w:val="22"/>
                <w:lang w:val="en-US"/>
              </w:rPr>
              <w:t>0,5 iki &lt;</w:t>
            </w:r>
            <w:r w:rsidR="00BB3B4D" w:rsidRPr="00FB2719">
              <w:rPr>
                <w:sz w:val="22"/>
                <w:szCs w:val="22"/>
                <w:lang w:val="en-US"/>
              </w:rPr>
              <w:t> </w:t>
            </w:r>
            <w:r w:rsidRPr="00FB2719">
              <w:rPr>
                <w:sz w:val="22"/>
                <w:szCs w:val="22"/>
                <w:lang w:val="en-US"/>
              </w:rPr>
              <w:t>0,8</w:t>
            </w:r>
          </w:p>
        </w:tc>
        <w:tc>
          <w:tcPr>
            <w:tcW w:w="4439" w:type="dxa"/>
            <w:tcBorders>
              <w:top w:val="single" w:sz="4" w:space="0" w:color="000000"/>
              <w:left w:val="single" w:sz="4" w:space="0" w:color="000000"/>
              <w:bottom w:val="single" w:sz="4" w:space="0" w:color="000000"/>
              <w:right w:val="single" w:sz="4" w:space="0" w:color="000000"/>
            </w:tcBorders>
            <w:hideMark/>
          </w:tcPr>
          <w:p w14:paraId="41016543" w14:textId="77777777" w:rsidR="00CA08B3" w:rsidRPr="00FB2719" w:rsidRDefault="00CA08B3" w:rsidP="00BB3B4D">
            <w:pPr>
              <w:tabs>
                <w:tab w:val="left" w:pos="4155"/>
              </w:tabs>
              <w:autoSpaceDE w:val="0"/>
              <w:autoSpaceDN w:val="0"/>
              <w:adjustRightInd w:val="0"/>
              <w:spacing w:line="249" w:lineRule="exact"/>
              <w:ind w:left="8" w:right="29"/>
              <w:jc w:val="center"/>
              <w:rPr>
                <w:sz w:val="22"/>
                <w:szCs w:val="22"/>
                <w:lang w:val="en-US"/>
              </w:rPr>
            </w:pPr>
            <w:r w:rsidRPr="00FB2719">
              <w:rPr>
                <w:sz w:val="22"/>
                <w:szCs w:val="22"/>
                <w:lang w:val="en-US"/>
              </w:rPr>
              <w:t>200/50</w:t>
            </w:r>
            <w:r w:rsidR="00BB3B4D" w:rsidRPr="00FB2719">
              <w:rPr>
                <w:sz w:val="22"/>
                <w:szCs w:val="22"/>
                <w:lang w:val="en-US"/>
              </w:rPr>
              <w:t> </w:t>
            </w:r>
            <w:r w:rsidRPr="00FB2719">
              <w:rPr>
                <w:sz w:val="22"/>
                <w:szCs w:val="22"/>
                <w:lang w:val="en-US"/>
              </w:rPr>
              <w:t>mg</w:t>
            </w:r>
          </w:p>
        </w:tc>
      </w:tr>
      <w:tr w:rsidR="00CA08B3" w:rsidRPr="00FB2719" w14:paraId="43985E62" w14:textId="77777777" w:rsidTr="00FB2719">
        <w:trPr>
          <w:trHeight w:hRule="exact" w:val="280"/>
        </w:trPr>
        <w:tc>
          <w:tcPr>
            <w:tcW w:w="3074" w:type="dxa"/>
            <w:tcBorders>
              <w:top w:val="single" w:sz="4" w:space="0" w:color="000000"/>
              <w:left w:val="single" w:sz="4" w:space="0" w:color="000000"/>
              <w:bottom w:val="single" w:sz="4" w:space="0" w:color="000000"/>
              <w:right w:val="single" w:sz="4" w:space="0" w:color="000000"/>
            </w:tcBorders>
            <w:hideMark/>
          </w:tcPr>
          <w:p w14:paraId="439E2620" w14:textId="77777777" w:rsidR="00CA08B3" w:rsidRPr="00FB2719" w:rsidRDefault="00CA08B3" w:rsidP="00BB3B4D">
            <w:pPr>
              <w:tabs>
                <w:tab w:val="left" w:pos="4155"/>
              </w:tabs>
              <w:autoSpaceDE w:val="0"/>
              <w:autoSpaceDN w:val="0"/>
              <w:adjustRightInd w:val="0"/>
              <w:spacing w:line="276" w:lineRule="auto"/>
              <w:ind w:left="8" w:right="29"/>
              <w:jc w:val="center"/>
              <w:rPr>
                <w:sz w:val="22"/>
                <w:szCs w:val="22"/>
                <w:lang w:val="en-US"/>
              </w:rPr>
            </w:pPr>
            <w:r w:rsidRPr="00FB2719">
              <w:rPr>
                <w:sz w:val="22"/>
                <w:szCs w:val="22"/>
                <w:lang w:val="en-US"/>
              </w:rPr>
              <w:t>nuo ≥</w:t>
            </w:r>
            <w:r w:rsidR="00BB3B4D" w:rsidRPr="00FB2719">
              <w:rPr>
                <w:sz w:val="22"/>
                <w:szCs w:val="22"/>
                <w:lang w:val="en-US"/>
              </w:rPr>
              <w:t> </w:t>
            </w:r>
            <w:r w:rsidRPr="00FB2719">
              <w:rPr>
                <w:sz w:val="22"/>
                <w:szCs w:val="22"/>
                <w:lang w:val="en-US"/>
              </w:rPr>
              <w:t>0,8 iki &lt;</w:t>
            </w:r>
            <w:r w:rsidR="00BB3B4D" w:rsidRPr="00FB2719">
              <w:rPr>
                <w:sz w:val="22"/>
                <w:szCs w:val="22"/>
                <w:lang w:val="en-US"/>
              </w:rPr>
              <w:t> </w:t>
            </w:r>
            <w:r w:rsidRPr="00FB2719">
              <w:rPr>
                <w:sz w:val="22"/>
                <w:szCs w:val="22"/>
                <w:lang w:val="en-US"/>
              </w:rPr>
              <w:t>1,2</w:t>
            </w:r>
          </w:p>
        </w:tc>
        <w:tc>
          <w:tcPr>
            <w:tcW w:w="4439" w:type="dxa"/>
            <w:tcBorders>
              <w:top w:val="single" w:sz="4" w:space="0" w:color="000000"/>
              <w:left w:val="single" w:sz="4" w:space="0" w:color="000000"/>
              <w:bottom w:val="single" w:sz="4" w:space="0" w:color="000000"/>
              <w:right w:val="single" w:sz="4" w:space="0" w:color="000000"/>
            </w:tcBorders>
            <w:hideMark/>
          </w:tcPr>
          <w:p w14:paraId="25297C75" w14:textId="77777777" w:rsidR="00CA08B3" w:rsidRPr="00FB2719" w:rsidRDefault="00CA08B3" w:rsidP="00BB3B4D">
            <w:pPr>
              <w:tabs>
                <w:tab w:val="left" w:pos="4155"/>
              </w:tabs>
              <w:autoSpaceDE w:val="0"/>
              <w:autoSpaceDN w:val="0"/>
              <w:adjustRightInd w:val="0"/>
              <w:spacing w:line="249" w:lineRule="exact"/>
              <w:ind w:left="8" w:right="29"/>
              <w:jc w:val="center"/>
              <w:rPr>
                <w:sz w:val="22"/>
                <w:szCs w:val="22"/>
                <w:lang w:val="en-US"/>
              </w:rPr>
            </w:pPr>
            <w:r w:rsidRPr="00FB2719">
              <w:rPr>
                <w:sz w:val="22"/>
                <w:szCs w:val="22"/>
                <w:lang w:val="en-US"/>
              </w:rPr>
              <w:t>300/75</w:t>
            </w:r>
            <w:r w:rsidR="00BB3B4D" w:rsidRPr="00FB2719">
              <w:rPr>
                <w:sz w:val="22"/>
                <w:szCs w:val="22"/>
                <w:lang w:val="en-US"/>
              </w:rPr>
              <w:t> </w:t>
            </w:r>
            <w:r w:rsidRPr="00FB2719">
              <w:rPr>
                <w:sz w:val="22"/>
                <w:szCs w:val="22"/>
                <w:lang w:val="en-US"/>
              </w:rPr>
              <w:t>mg</w:t>
            </w:r>
            <w:r w:rsidRPr="00FB2719">
              <w:rPr>
                <w:sz w:val="22"/>
                <w:szCs w:val="22"/>
                <w:vertAlign w:val="superscript"/>
                <w:lang w:val="en-US"/>
              </w:rPr>
              <w:t>†</w:t>
            </w:r>
          </w:p>
        </w:tc>
      </w:tr>
      <w:tr w:rsidR="00CA08B3" w:rsidRPr="00FB2719" w14:paraId="12656822" w14:textId="77777777" w:rsidTr="00FB2719">
        <w:trPr>
          <w:trHeight w:hRule="exact" w:val="280"/>
        </w:trPr>
        <w:tc>
          <w:tcPr>
            <w:tcW w:w="3074" w:type="dxa"/>
            <w:tcBorders>
              <w:top w:val="single" w:sz="4" w:space="0" w:color="000000"/>
              <w:left w:val="single" w:sz="4" w:space="0" w:color="000000"/>
              <w:bottom w:val="single" w:sz="4" w:space="0" w:color="000000"/>
              <w:right w:val="single" w:sz="4" w:space="0" w:color="000000"/>
            </w:tcBorders>
            <w:hideMark/>
          </w:tcPr>
          <w:p w14:paraId="4769B330" w14:textId="77777777" w:rsidR="00CA08B3" w:rsidRPr="00FB2719" w:rsidRDefault="00CA08B3" w:rsidP="00BB3B4D">
            <w:pPr>
              <w:tabs>
                <w:tab w:val="left" w:pos="4155"/>
              </w:tabs>
              <w:autoSpaceDE w:val="0"/>
              <w:autoSpaceDN w:val="0"/>
              <w:adjustRightInd w:val="0"/>
              <w:spacing w:line="276" w:lineRule="auto"/>
              <w:ind w:left="8" w:right="29"/>
              <w:jc w:val="center"/>
              <w:rPr>
                <w:sz w:val="22"/>
                <w:szCs w:val="22"/>
                <w:lang w:val="en-US"/>
              </w:rPr>
            </w:pPr>
            <w:r w:rsidRPr="00FB2719">
              <w:rPr>
                <w:sz w:val="22"/>
                <w:szCs w:val="22"/>
                <w:lang w:val="en-US"/>
              </w:rPr>
              <w:t>nuo ≥</w:t>
            </w:r>
            <w:r w:rsidR="00BB3B4D" w:rsidRPr="00FB2719">
              <w:rPr>
                <w:sz w:val="22"/>
                <w:szCs w:val="22"/>
                <w:lang w:val="en-US"/>
              </w:rPr>
              <w:t> </w:t>
            </w:r>
            <w:r w:rsidRPr="00FB2719">
              <w:rPr>
                <w:sz w:val="22"/>
                <w:szCs w:val="22"/>
                <w:lang w:val="en-US"/>
              </w:rPr>
              <w:t>1,2 iki &lt;</w:t>
            </w:r>
            <w:r w:rsidR="00BB3B4D" w:rsidRPr="00FB2719">
              <w:rPr>
                <w:sz w:val="22"/>
                <w:szCs w:val="22"/>
                <w:lang w:val="en-US"/>
              </w:rPr>
              <w:t> </w:t>
            </w:r>
            <w:r w:rsidRPr="00FB2719">
              <w:rPr>
                <w:sz w:val="22"/>
                <w:szCs w:val="22"/>
                <w:lang w:val="en-US"/>
              </w:rPr>
              <w:t>1,4</w:t>
            </w:r>
          </w:p>
        </w:tc>
        <w:tc>
          <w:tcPr>
            <w:tcW w:w="4439" w:type="dxa"/>
            <w:tcBorders>
              <w:top w:val="single" w:sz="4" w:space="0" w:color="000000"/>
              <w:left w:val="single" w:sz="4" w:space="0" w:color="000000"/>
              <w:bottom w:val="single" w:sz="4" w:space="0" w:color="000000"/>
              <w:right w:val="single" w:sz="4" w:space="0" w:color="000000"/>
            </w:tcBorders>
            <w:hideMark/>
          </w:tcPr>
          <w:p w14:paraId="3D0C0D42" w14:textId="77777777" w:rsidR="00CA08B3" w:rsidRPr="00FB2719" w:rsidRDefault="00CA08B3" w:rsidP="00BB3B4D">
            <w:pPr>
              <w:tabs>
                <w:tab w:val="left" w:pos="4155"/>
              </w:tabs>
              <w:autoSpaceDE w:val="0"/>
              <w:autoSpaceDN w:val="0"/>
              <w:adjustRightInd w:val="0"/>
              <w:spacing w:line="249" w:lineRule="exact"/>
              <w:ind w:left="8" w:right="29"/>
              <w:jc w:val="center"/>
              <w:rPr>
                <w:sz w:val="22"/>
                <w:szCs w:val="22"/>
                <w:lang w:val="en-US"/>
              </w:rPr>
            </w:pPr>
            <w:r w:rsidRPr="00FB2719">
              <w:rPr>
                <w:sz w:val="22"/>
                <w:szCs w:val="22"/>
                <w:lang w:val="en-US"/>
              </w:rPr>
              <w:t>400/100</w:t>
            </w:r>
            <w:r w:rsidR="00BB3B4D" w:rsidRPr="00FB2719">
              <w:rPr>
                <w:sz w:val="22"/>
                <w:szCs w:val="22"/>
                <w:lang w:val="en-US"/>
              </w:rPr>
              <w:t> </w:t>
            </w:r>
            <w:r w:rsidRPr="00FB2719">
              <w:rPr>
                <w:sz w:val="22"/>
                <w:szCs w:val="22"/>
                <w:lang w:val="en-US"/>
              </w:rPr>
              <w:t>mg</w:t>
            </w:r>
          </w:p>
        </w:tc>
      </w:tr>
      <w:tr w:rsidR="00CA08B3" w:rsidRPr="00FB2719" w14:paraId="2AD16DF1" w14:textId="77777777" w:rsidTr="00FB2719">
        <w:trPr>
          <w:trHeight w:hRule="exact" w:val="280"/>
        </w:trPr>
        <w:tc>
          <w:tcPr>
            <w:tcW w:w="3074" w:type="dxa"/>
            <w:tcBorders>
              <w:top w:val="single" w:sz="4" w:space="0" w:color="000000"/>
              <w:left w:val="single" w:sz="4" w:space="0" w:color="000000"/>
              <w:bottom w:val="single" w:sz="4" w:space="0" w:color="000000"/>
              <w:right w:val="single" w:sz="4" w:space="0" w:color="000000"/>
            </w:tcBorders>
            <w:hideMark/>
          </w:tcPr>
          <w:p w14:paraId="57589AF2" w14:textId="77777777" w:rsidR="00CA08B3" w:rsidRPr="00FB2719" w:rsidRDefault="00CA08B3" w:rsidP="00BB3B4D">
            <w:pPr>
              <w:tabs>
                <w:tab w:val="left" w:pos="4155"/>
              </w:tabs>
              <w:autoSpaceDE w:val="0"/>
              <w:autoSpaceDN w:val="0"/>
              <w:adjustRightInd w:val="0"/>
              <w:spacing w:line="276" w:lineRule="auto"/>
              <w:ind w:left="8" w:right="29"/>
              <w:jc w:val="center"/>
              <w:rPr>
                <w:sz w:val="22"/>
                <w:szCs w:val="22"/>
                <w:lang w:val="en-US"/>
              </w:rPr>
            </w:pPr>
            <w:r w:rsidRPr="00FB2719">
              <w:rPr>
                <w:sz w:val="22"/>
                <w:szCs w:val="22"/>
                <w:lang w:val="en-US"/>
              </w:rPr>
              <w:t>≥</w:t>
            </w:r>
            <w:r w:rsidR="00BB3B4D" w:rsidRPr="00FB2719">
              <w:rPr>
                <w:sz w:val="22"/>
                <w:szCs w:val="22"/>
                <w:lang w:val="en-US"/>
              </w:rPr>
              <w:t> </w:t>
            </w:r>
            <w:r w:rsidRPr="00FB2719">
              <w:rPr>
                <w:sz w:val="22"/>
                <w:szCs w:val="22"/>
                <w:lang w:val="en-US"/>
              </w:rPr>
              <w:t>1,4</w:t>
            </w:r>
          </w:p>
        </w:tc>
        <w:tc>
          <w:tcPr>
            <w:tcW w:w="4439" w:type="dxa"/>
            <w:tcBorders>
              <w:top w:val="single" w:sz="4" w:space="0" w:color="000000"/>
              <w:left w:val="single" w:sz="4" w:space="0" w:color="000000"/>
              <w:bottom w:val="single" w:sz="4" w:space="0" w:color="000000"/>
              <w:right w:val="single" w:sz="4" w:space="0" w:color="000000"/>
            </w:tcBorders>
            <w:hideMark/>
          </w:tcPr>
          <w:p w14:paraId="7D3D1166" w14:textId="77777777" w:rsidR="00CA08B3" w:rsidRPr="00FB2719" w:rsidRDefault="00CA08B3" w:rsidP="00BB3B4D">
            <w:pPr>
              <w:tabs>
                <w:tab w:val="left" w:pos="4155"/>
              </w:tabs>
              <w:autoSpaceDE w:val="0"/>
              <w:autoSpaceDN w:val="0"/>
              <w:adjustRightInd w:val="0"/>
              <w:spacing w:line="249" w:lineRule="exact"/>
              <w:ind w:left="8" w:right="29"/>
              <w:jc w:val="center"/>
              <w:rPr>
                <w:sz w:val="22"/>
                <w:szCs w:val="22"/>
                <w:lang w:val="en-US"/>
              </w:rPr>
            </w:pPr>
            <w:r w:rsidRPr="00FB2719">
              <w:rPr>
                <w:sz w:val="22"/>
                <w:szCs w:val="22"/>
                <w:lang w:val="en-US"/>
              </w:rPr>
              <w:t>500/125</w:t>
            </w:r>
            <w:r w:rsidR="00BB3B4D" w:rsidRPr="00FB2719">
              <w:rPr>
                <w:sz w:val="22"/>
                <w:szCs w:val="22"/>
                <w:lang w:val="en-US"/>
              </w:rPr>
              <w:t> </w:t>
            </w:r>
            <w:r w:rsidRPr="00FB2719">
              <w:rPr>
                <w:sz w:val="22"/>
                <w:szCs w:val="22"/>
                <w:lang w:val="en-US"/>
              </w:rPr>
              <w:t>mg</w:t>
            </w:r>
            <w:r w:rsidRPr="00FB2719">
              <w:rPr>
                <w:sz w:val="22"/>
                <w:szCs w:val="22"/>
                <w:vertAlign w:val="superscript"/>
                <w:lang w:val="en-US"/>
              </w:rPr>
              <w:t>†</w:t>
            </w:r>
          </w:p>
        </w:tc>
      </w:tr>
    </w:tbl>
    <w:p w14:paraId="3F738201" w14:textId="77777777" w:rsidR="00CA08B3" w:rsidRPr="00FB2719" w:rsidRDefault="00CA08B3" w:rsidP="00CA08B3">
      <w:pPr>
        <w:autoSpaceDE w:val="0"/>
        <w:autoSpaceDN w:val="0"/>
        <w:adjustRightInd w:val="0"/>
        <w:rPr>
          <w:sz w:val="22"/>
          <w:szCs w:val="22"/>
          <w:lang w:eastAsia="lt-LT"/>
        </w:rPr>
      </w:pPr>
      <w:r w:rsidRPr="00FB2719">
        <w:rPr>
          <w:sz w:val="22"/>
          <w:szCs w:val="22"/>
          <w:lang w:eastAsia="lt-LT"/>
        </w:rPr>
        <w:t xml:space="preserve">* </w:t>
      </w:r>
      <w:r w:rsidRPr="00FB2719">
        <w:rPr>
          <w:color w:val="000000"/>
          <w:sz w:val="22"/>
          <w:szCs w:val="22"/>
        </w:rPr>
        <w:t>Lopinavir/Ritonavir Sandoz</w:t>
      </w:r>
      <w:r w:rsidR="00AA707B" w:rsidRPr="00FB2719">
        <w:rPr>
          <w:color w:val="000000"/>
          <w:sz w:val="22"/>
          <w:szCs w:val="22"/>
        </w:rPr>
        <w:t xml:space="preserve"> plėvele dengtų</w:t>
      </w:r>
      <w:r w:rsidRPr="00FB2719">
        <w:rPr>
          <w:color w:val="000000"/>
          <w:sz w:val="22"/>
          <w:szCs w:val="22"/>
        </w:rPr>
        <w:t xml:space="preserve"> </w:t>
      </w:r>
      <w:r w:rsidRPr="00FB2719">
        <w:rPr>
          <w:sz w:val="22"/>
          <w:szCs w:val="22"/>
          <w:lang w:eastAsia="lt-LT"/>
        </w:rPr>
        <w:t>tablečių negalima kramtyti, laužyti ir traiškyti.</w:t>
      </w:r>
    </w:p>
    <w:p w14:paraId="4D4F36D4" w14:textId="77777777" w:rsidR="00CA08B3" w:rsidRPr="00FB2719" w:rsidRDefault="00CA08B3" w:rsidP="00CA08B3">
      <w:pPr>
        <w:autoSpaceDE w:val="0"/>
        <w:autoSpaceDN w:val="0"/>
        <w:adjustRightInd w:val="0"/>
        <w:rPr>
          <w:sz w:val="22"/>
          <w:szCs w:val="22"/>
          <w:lang w:eastAsia="lt-LT"/>
        </w:rPr>
      </w:pPr>
      <w:r w:rsidRPr="00FB2719">
        <w:rPr>
          <w:sz w:val="22"/>
          <w:szCs w:val="22"/>
          <w:vertAlign w:val="superscript"/>
        </w:rPr>
        <w:t>†</w:t>
      </w:r>
      <w:r w:rsidRPr="00FB2719">
        <w:rPr>
          <w:sz w:val="22"/>
          <w:szCs w:val="22"/>
        </w:rPr>
        <w:t xml:space="preserve"> Kadangi </w:t>
      </w:r>
      <w:r w:rsidRPr="00FB2719">
        <w:rPr>
          <w:color w:val="000000"/>
          <w:sz w:val="22"/>
          <w:szCs w:val="22"/>
        </w:rPr>
        <w:t xml:space="preserve">Lopinavir/Ritonavir Sandoz </w:t>
      </w:r>
      <w:r w:rsidR="00AA707B" w:rsidRPr="00FB2719">
        <w:rPr>
          <w:color w:val="000000"/>
          <w:sz w:val="22"/>
          <w:szCs w:val="22"/>
        </w:rPr>
        <w:t xml:space="preserve">plėvele dengtų </w:t>
      </w:r>
      <w:r w:rsidRPr="00FB2719">
        <w:rPr>
          <w:color w:val="000000"/>
          <w:sz w:val="22"/>
          <w:szCs w:val="22"/>
        </w:rPr>
        <w:t>tablečių laužyti negalima, tokią dozę pasiekti šiuo vaistiniu preparatu neįmanoma.</w:t>
      </w:r>
    </w:p>
    <w:p w14:paraId="72F75461" w14:textId="77777777" w:rsidR="00CA08B3" w:rsidRPr="00FB2719" w:rsidRDefault="00CA08B3" w:rsidP="00CA08B3">
      <w:pPr>
        <w:autoSpaceDE w:val="0"/>
        <w:autoSpaceDN w:val="0"/>
        <w:adjustRightInd w:val="0"/>
        <w:rPr>
          <w:i/>
          <w:sz w:val="22"/>
          <w:szCs w:val="22"/>
          <w:lang w:eastAsia="lt-LT"/>
        </w:rPr>
      </w:pPr>
    </w:p>
    <w:p w14:paraId="156D06A0" w14:textId="77777777" w:rsidR="00CA08B3" w:rsidRPr="00FB2719" w:rsidRDefault="00CA08B3" w:rsidP="00CA08B3">
      <w:pPr>
        <w:autoSpaceDE w:val="0"/>
        <w:autoSpaceDN w:val="0"/>
        <w:adjustRightInd w:val="0"/>
        <w:rPr>
          <w:i/>
          <w:sz w:val="22"/>
          <w:szCs w:val="22"/>
          <w:lang w:eastAsia="lt-LT"/>
        </w:rPr>
      </w:pPr>
      <w:r w:rsidRPr="00FB2719">
        <w:rPr>
          <w:i/>
          <w:iCs/>
          <w:color w:val="000000"/>
          <w:sz w:val="22"/>
          <w:szCs w:val="22"/>
        </w:rPr>
        <w:t>Pacientams, kurių kepenų funkcija sutrikusi</w:t>
      </w:r>
    </w:p>
    <w:p w14:paraId="12A3E57F" w14:textId="77777777" w:rsidR="00CA08B3" w:rsidRPr="00FB2719" w:rsidRDefault="00CA08B3" w:rsidP="00CA08B3">
      <w:pPr>
        <w:autoSpaceDE w:val="0"/>
        <w:autoSpaceDN w:val="0"/>
        <w:adjustRightInd w:val="0"/>
        <w:rPr>
          <w:color w:val="000000"/>
          <w:sz w:val="22"/>
          <w:szCs w:val="22"/>
        </w:rPr>
      </w:pPr>
      <w:r w:rsidRPr="00FB2719">
        <w:rPr>
          <w:color w:val="000000"/>
          <w:sz w:val="22"/>
          <w:szCs w:val="22"/>
        </w:rPr>
        <w:t xml:space="preserve">ŽIV – infekuotiems pacientams, kuriems yra lengvas ar vidutinio sunkumo kepenų funkcijos sutrikimas, buvo pastebėta apytikriai 30 % didesnė lopinaviro ekspozicija, kuri, tikėtina, nėra kliniškai reikšminga (žr. 5.2 skyrių). Nėra duomenų apie pacientus, kuriems yra sunkus kepenų funkcijos sutrikimas. Lopinavir/Ritonavir Sandoz šiems pacientams turi būti neskiriamas (žr. 4.3 skyrių). </w:t>
      </w:r>
    </w:p>
    <w:p w14:paraId="34A7E38C" w14:textId="77777777" w:rsidR="00CA08B3" w:rsidRPr="00FB2719" w:rsidRDefault="00CA08B3" w:rsidP="00CA08B3">
      <w:pPr>
        <w:autoSpaceDE w:val="0"/>
        <w:autoSpaceDN w:val="0"/>
        <w:adjustRightInd w:val="0"/>
        <w:rPr>
          <w:i/>
          <w:iCs/>
          <w:color w:val="000000"/>
          <w:sz w:val="22"/>
          <w:szCs w:val="22"/>
        </w:rPr>
      </w:pPr>
    </w:p>
    <w:p w14:paraId="27D1445B" w14:textId="77777777" w:rsidR="00CA08B3" w:rsidRPr="00FB2719" w:rsidRDefault="00CA08B3" w:rsidP="00CA08B3">
      <w:pPr>
        <w:autoSpaceDE w:val="0"/>
        <w:autoSpaceDN w:val="0"/>
        <w:adjustRightInd w:val="0"/>
        <w:rPr>
          <w:i/>
          <w:sz w:val="22"/>
          <w:szCs w:val="22"/>
          <w:lang w:eastAsia="lt-LT"/>
        </w:rPr>
      </w:pPr>
      <w:r w:rsidRPr="00FB2719">
        <w:rPr>
          <w:i/>
          <w:iCs/>
          <w:color w:val="000000"/>
          <w:sz w:val="22"/>
          <w:szCs w:val="22"/>
        </w:rPr>
        <w:t>Pacientams, kurių inkstų funkcija sutrikusi</w:t>
      </w:r>
    </w:p>
    <w:p w14:paraId="22383060" w14:textId="77777777" w:rsidR="00CA08B3" w:rsidRPr="00FB2719" w:rsidRDefault="00CA08B3" w:rsidP="00CA08B3">
      <w:pPr>
        <w:autoSpaceDE w:val="0"/>
        <w:autoSpaceDN w:val="0"/>
        <w:adjustRightInd w:val="0"/>
        <w:rPr>
          <w:color w:val="000000"/>
          <w:sz w:val="22"/>
          <w:szCs w:val="22"/>
        </w:rPr>
      </w:pPr>
      <w:r w:rsidRPr="00FB2719">
        <w:rPr>
          <w:color w:val="000000"/>
          <w:sz w:val="22"/>
          <w:szCs w:val="22"/>
        </w:rPr>
        <w:t xml:space="preserve">Kadangi lopinaviro ir ritonaviro inkstų klirensas yra nereikšmingas, jų koncentracijos padidėjimo pacientų, kurių inkstų funkcija sutrikusi, kraujo plazmoje nesitikima. Kadangi lopinaviras ir ritonaviras yra labai surišti su baltymu, jų reikšmingas pašalinimas peritonine ar hemodialize yra neįtikėtinas. </w:t>
      </w:r>
    </w:p>
    <w:p w14:paraId="60A49A21" w14:textId="77777777" w:rsidR="00CA08B3" w:rsidRPr="00FB2719" w:rsidRDefault="00CA08B3" w:rsidP="00CA08B3">
      <w:pPr>
        <w:autoSpaceDE w:val="0"/>
        <w:autoSpaceDN w:val="0"/>
        <w:adjustRightInd w:val="0"/>
        <w:rPr>
          <w:i/>
          <w:iCs/>
          <w:color w:val="000000"/>
          <w:sz w:val="22"/>
          <w:szCs w:val="22"/>
        </w:rPr>
      </w:pPr>
    </w:p>
    <w:p w14:paraId="25B9DA3A" w14:textId="77777777" w:rsidR="00CA08B3" w:rsidRPr="00FB2719" w:rsidRDefault="00CA08B3" w:rsidP="00CA08B3">
      <w:pPr>
        <w:autoSpaceDE w:val="0"/>
        <w:autoSpaceDN w:val="0"/>
        <w:adjustRightInd w:val="0"/>
        <w:rPr>
          <w:color w:val="000000"/>
          <w:sz w:val="22"/>
          <w:szCs w:val="22"/>
        </w:rPr>
      </w:pPr>
      <w:r w:rsidRPr="00FB2719">
        <w:rPr>
          <w:i/>
          <w:iCs/>
          <w:color w:val="000000"/>
          <w:sz w:val="22"/>
          <w:szCs w:val="22"/>
        </w:rPr>
        <w:t xml:space="preserve">Nėštumas ir pogimdyminis laikotarpis </w:t>
      </w:r>
    </w:p>
    <w:p w14:paraId="65F5AEAC" w14:textId="77777777" w:rsidR="00CA08B3" w:rsidRPr="00FB2719" w:rsidRDefault="00CA08B3" w:rsidP="00CA08B3">
      <w:pPr>
        <w:pStyle w:val="Sraopastraipa"/>
        <w:numPr>
          <w:ilvl w:val="0"/>
          <w:numId w:val="2"/>
        </w:numPr>
        <w:autoSpaceDE w:val="0"/>
        <w:autoSpaceDN w:val="0"/>
        <w:adjustRightInd w:val="0"/>
        <w:ind w:left="284" w:hanging="284"/>
        <w:rPr>
          <w:color w:val="000000"/>
          <w:sz w:val="22"/>
          <w:szCs w:val="22"/>
        </w:rPr>
      </w:pPr>
      <w:r w:rsidRPr="00FB2719">
        <w:rPr>
          <w:color w:val="000000"/>
          <w:sz w:val="22"/>
          <w:szCs w:val="22"/>
        </w:rPr>
        <w:t>Nėštumo ir pogimdyminiu laikotarpiu lopinaviro / ritonaviro derinio dozės koregavimas nereikalingas.</w:t>
      </w:r>
    </w:p>
    <w:p w14:paraId="1D3AE0E4" w14:textId="77777777" w:rsidR="00CA08B3" w:rsidRPr="00FB2719" w:rsidRDefault="00CA08B3" w:rsidP="00CA08B3">
      <w:pPr>
        <w:pStyle w:val="Sraopastraipa"/>
        <w:numPr>
          <w:ilvl w:val="0"/>
          <w:numId w:val="2"/>
        </w:numPr>
        <w:ind w:left="284" w:hanging="284"/>
        <w:rPr>
          <w:sz w:val="22"/>
          <w:szCs w:val="22"/>
        </w:rPr>
      </w:pPr>
      <w:r w:rsidRPr="00FB2719">
        <w:rPr>
          <w:sz w:val="22"/>
          <w:szCs w:val="22"/>
        </w:rPr>
        <w:t xml:space="preserve">Kadangi trūksta farmakokinetikos ir klinikinių duomenų, nėščioms moterims lopinaviro / ritonaviro derinio vartoti kartą per parą nerekomenduojama. </w:t>
      </w:r>
    </w:p>
    <w:p w14:paraId="76D24D96" w14:textId="77777777" w:rsidR="00CA08B3" w:rsidRPr="00FB2719" w:rsidRDefault="00CA08B3" w:rsidP="00CA08B3">
      <w:pPr>
        <w:rPr>
          <w:sz w:val="22"/>
          <w:szCs w:val="22"/>
        </w:rPr>
      </w:pPr>
    </w:p>
    <w:p w14:paraId="5BC28057" w14:textId="77777777" w:rsidR="008465CF" w:rsidRPr="00FB2719" w:rsidRDefault="008465CF" w:rsidP="00CA08B3">
      <w:pPr>
        <w:rPr>
          <w:sz w:val="22"/>
          <w:szCs w:val="22"/>
        </w:rPr>
      </w:pPr>
    </w:p>
    <w:p w14:paraId="4FC26E15" w14:textId="77777777" w:rsidR="008465CF" w:rsidRPr="00FB2719" w:rsidRDefault="008465CF" w:rsidP="00CA08B3">
      <w:pPr>
        <w:rPr>
          <w:sz w:val="22"/>
          <w:szCs w:val="22"/>
        </w:rPr>
      </w:pPr>
    </w:p>
    <w:p w14:paraId="71060BB8" w14:textId="77777777" w:rsidR="008465CF" w:rsidRPr="00FB2719" w:rsidRDefault="008465CF" w:rsidP="00CA08B3">
      <w:pPr>
        <w:rPr>
          <w:sz w:val="22"/>
          <w:szCs w:val="22"/>
        </w:rPr>
      </w:pPr>
    </w:p>
    <w:p w14:paraId="7CF76D9F" w14:textId="77777777" w:rsidR="00CA08B3" w:rsidRPr="00FB2719" w:rsidRDefault="00CA08B3" w:rsidP="00CA08B3">
      <w:pPr>
        <w:autoSpaceDE w:val="0"/>
        <w:autoSpaceDN w:val="0"/>
        <w:adjustRightInd w:val="0"/>
        <w:rPr>
          <w:color w:val="000000"/>
          <w:sz w:val="22"/>
          <w:szCs w:val="22"/>
          <w:u w:val="single"/>
        </w:rPr>
      </w:pPr>
      <w:r w:rsidRPr="00FB2719">
        <w:rPr>
          <w:color w:val="000000"/>
          <w:sz w:val="22"/>
          <w:szCs w:val="22"/>
          <w:u w:val="single"/>
        </w:rPr>
        <w:lastRenderedPageBreak/>
        <w:t xml:space="preserve">Vartojimo metodas </w:t>
      </w:r>
    </w:p>
    <w:p w14:paraId="3B356FF6" w14:textId="77777777" w:rsidR="00CA08B3" w:rsidRPr="00FB2719" w:rsidRDefault="00CA08B3" w:rsidP="00CA08B3">
      <w:pPr>
        <w:autoSpaceDE w:val="0"/>
        <w:autoSpaceDN w:val="0"/>
        <w:adjustRightInd w:val="0"/>
        <w:rPr>
          <w:i/>
          <w:sz w:val="22"/>
          <w:szCs w:val="22"/>
          <w:lang w:eastAsia="lt-LT"/>
        </w:rPr>
      </w:pPr>
      <w:r w:rsidRPr="00FB2719">
        <w:rPr>
          <w:color w:val="000000"/>
          <w:sz w:val="22"/>
          <w:szCs w:val="22"/>
        </w:rPr>
        <w:t xml:space="preserve">Lopinavir/Ritonavir Sandoz </w:t>
      </w:r>
      <w:r w:rsidR="00AA707B" w:rsidRPr="00FB2719">
        <w:rPr>
          <w:color w:val="000000"/>
          <w:sz w:val="22"/>
          <w:szCs w:val="22"/>
        </w:rPr>
        <w:t xml:space="preserve">plėvele dengtos </w:t>
      </w:r>
      <w:r w:rsidRPr="00FB2719">
        <w:rPr>
          <w:color w:val="000000"/>
          <w:sz w:val="22"/>
          <w:szCs w:val="22"/>
        </w:rPr>
        <w:t>tabletės vartojamos per burną ir turi būti nuryjamos</w:t>
      </w:r>
      <w:r w:rsidRPr="00FB2719">
        <w:rPr>
          <w:sz w:val="22"/>
          <w:szCs w:val="22"/>
        </w:rPr>
        <w:t xml:space="preserve"> sveikos, jų kramtyti, laužyti ar traiškyti negalima.</w:t>
      </w:r>
      <w:r w:rsidRPr="00FB2719">
        <w:rPr>
          <w:color w:val="000000"/>
          <w:sz w:val="22"/>
          <w:szCs w:val="22"/>
        </w:rPr>
        <w:t xml:space="preserve"> Lopinavir/Ritonavir Sandoz </w:t>
      </w:r>
      <w:r w:rsidR="00AA707B" w:rsidRPr="00FB2719">
        <w:rPr>
          <w:color w:val="000000"/>
          <w:sz w:val="22"/>
          <w:szCs w:val="22"/>
        </w:rPr>
        <w:t xml:space="preserve">plėvele dengtos </w:t>
      </w:r>
      <w:r w:rsidRPr="00FB2719">
        <w:rPr>
          <w:color w:val="000000"/>
          <w:sz w:val="22"/>
          <w:szCs w:val="22"/>
        </w:rPr>
        <w:t>tabletės gali būti geriamos valgant arba nevalgius.</w:t>
      </w:r>
    </w:p>
    <w:p w14:paraId="0C150C4F" w14:textId="77777777" w:rsidR="00CA08B3" w:rsidRPr="00FB2719" w:rsidRDefault="00CA08B3" w:rsidP="00CA08B3">
      <w:pPr>
        <w:rPr>
          <w:sz w:val="22"/>
          <w:szCs w:val="22"/>
        </w:rPr>
      </w:pPr>
    </w:p>
    <w:p w14:paraId="1E85E14F" w14:textId="77777777" w:rsidR="00CA08B3" w:rsidRPr="00FB2719" w:rsidRDefault="00CA08B3" w:rsidP="00CA08B3">
      <w:pPr>
        <w:ind w:left="540" w:hanging="540"/>
        <w:rPr>
          <w:b/>
          <w:sz w:val="22"/>
          <w:szCs w:val="22"/>
        </w:rPr>
      </w:pPr>
      <w:r w:rsidRPr="00FB2719">
        <w:rPr>
          <w:b/>
          <w:sz w:val="22"/>
          <w:szCs w:val="22"/>
        </w:rPr>
        <w:t>4.3</w:t>
      </w:r>
      <w:r w:rsidRPr="00FB2719">
        <w:rPr>
          <w:b/>
          <w:sz w:val="22"/>
          <w:szCs w:val="22"/>
        </w:rPr>
        <w:tab/>
        <w:t>Kontraindikacijos</w:t>
      </w:r>
    </w:p>
    <w:p w14:paraId="1121466E" w14:textId="77777777" w:rsidR="00CA08B3" w:rsidRPr="00FB2719" w:rsidRDefault="00CA08B3" w:rsidP="00CA08B3">
      <w:pPr>
        <w:rPr>
          <w:sz w:val="22"/>
          <w:szCs w:val="22"/>
        </w:rPr>
      </w:pPr>
    </w:p>
    <w:p w14:paraId="44979C50" w14:textId="77777777" w:rsidR="00CA08B3" w:rsidRPr="00FB2719" w:rsidRDefault="00CA08B3" w:rsidP="00CA08B3">
      <w:pPr>
        <w:autoSpaceDE w:val="0"/>
        <w:autoSpaceDN w:val="0"/>
        <w:adjustRightInd w:val="0"/>
        <w:rPr>
          <w:color w:val="000000"/>
          <w:sz w:val="22"/>
          <w:szCs w:val="22"/>
        </w:rPr>
      </w:pPr>
      <w:r w:rsidRPr="00FB2719">
        <w:rPr>
          <w:color w:val="000000"/>
          <w:sz w:val="22"/>
          <w:szCs w:val="22"/>
        </w:rPr>
        <w:t>Padidėjęs jautrumas veikliosioms medžiagoms arba bet kuriai</w:t>
      </w:r>
      <w:r w:rsidRPr="00FB2719">
        <w:rPr>
          <w:sz w:val="22"/>
          <w:szCs w:val="22"/>
        </w:rPr>
        <w:t xml:space="preserve"> 6.1 skyriuje nurodytai pagalbinei medžiagai</w:t>
      </w:r>
      <w:r w:rsidRPr="00FB2719">
        <w:rPr>
          <w:color w:val="000000"/>
          <w:sz w:val="22"/>
          <w:szCs w:val="22"/>
        </w:rPr>
        <w:t xml:space="preserve">. </w:t>
      </w:r>
    </w:p>
    <w:p w14:paraId="0754854E" w14:textId="77777777" w:rsidR="00AA707B" w:rsidRPr="00FB2719" w:rsidRDefault="00AA707B" w:rsidP="00CA08B3">
      <w:pPr>
        <w:autoSpaceDE w:val="0"/>
        <w:autoSpaceDN w:val="0"/>
        <w:adjustRightInd w:val="0"/>
        <w:rPr>
          <w:color w:val="000000"/>
          <w:sz w:val="22"/>
          <w:szCs w:val="22"/>
        </w:rPr>
      </w:pPr>
    </w:p>
    <w:p w14:paraId="508AA573" w14:textId="77777777" w:rsidR="00CA08B3" w:rsidRPr="00FB2719" w:rsidRDefault="00CA08B3" w:rsidP="00CA08B3">
      <w:pPr>
        <w:autoSpaceDE w:val="0"/>
        <w:autoSpaceDN w:val="0"/>
        <w:adjustRightInd w:val="0"/>
        <w:rPr>
          <w:color w:val="000000"/>
          <w:sz w:val="22"/>
          <w:szCs w:val="22"/>
        </w:rPr>
      </w:pPr>
      <w:r w:rsidRPr="00FB2719">
        <w:rPr>
          <w:color w:val="000000"/>
          <w:sz w:val="22"/>
          <w:szCs w:val="22"/>
        </w:rPr>
        <w:t xml:space="preserve">Sunkus kepenų nepakankamumas. </w:t>
      </w:r>
    </w:p>
    <w:p w14:paraId="71FA1BBE" w14:textId="332D1CBC" w:rsidR="00CA08B3" w:rsidRPr="00FB2719" w:rsidRDefault="00CA08B3" w:rsidP="00CA08B3">
      <w:pPr>
        <w:tabs>
          <w:tab w:val="left" w:pos="567"/>
        </w:tabs>
        <w:rPr>
          <w:color w:val="000000"/>
          <w:sz w:val="22"/>
          <w:szCs w:val="22"/>
        </w:rPr>
      </w:pPr>
      <w:r w:rsidRPr="00FB2719">
        <w:rPr>
          <w:color w:val="000000"/>
          <w:sz w:val="22"/>
          <w:szCs w:val="22"/>
        </w:rPr>
        <w:t>Lopinavir/Ritonavir Sandoz sudėtyje yra lopinaviro ir ritonaviro, kurie abu yra P450 CYP3A izoformos inhibitoriai. Lopinavir</w:t>
      </w:r>
      <w:r w:rsidR="00F31B5C" w:rsidRPr="00FB2719">
        <w:rPr>
          <w:color w:val="000000"/>
          <w:sz w:val="22"/>
          <w:szCs w:val="22"/>
        </w:rPr>
        <w:t>o ir ritonaviro derinio</w:t>
      </w:r>
      <w:r w:rsidRPr="00FB2719">
        <w:rPr>
          <w:color w:val="000000"/>
          <w:sz w:val="22"/>
          <w:szCs w:val="22"/>
        </w:rPr>
        <w:t xml:space="preserve"> negalima vartoti kartu su vaistiniais preparatais, kurie dėl klirenso yra labai priklausomi nuo CYP3A ir kuriems koncentracijų plazmoje padidėjimas yra susijęs su sunkiais ir (arba) gyvybei gresiančiais reiškiniais. Šie vaistiniai preparatai išvardyti toliau.</w:t>
      </w:r>
    </w:p>
    <w:p w14:paraId="2307489A" w14:textId="77777777" w:rsidR="00CA08B3" w:rsidRPr="00FB2719" w:rsidRDefault="00CA08B3" w:rsidP="00CA08B3">
      <w:pPr>
        <w:tabs>
          <w:tab w:val="left" w:pos="567"/>
        </w:tabs>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8"/>
        <w:gridCol w:w="2251"/>
        <w:gridCol w:w="4697"/>
      </w:tblGrid>
      <w:tr w:rsidR="00CA08B3" w:rsidRPr="00FB2719" w14:paraId="5CB9D0E5" w14:textId="77777777" w:rsidTr="00CA08B3">
        <w:tc>
          <w:tcPr>
            <w:tcW w:w="2093" w:type="dxa"/>
            <w:tcBorders>
              <w:top w:val="single" w:sz="4" w:space="0" w:color="auto"/>
              <w:left w:val="single" w:sz="4" w:space="0" w:color="auto"/>
              <w:bottom w:val="single" w:sz="4" w:space="0" w:color="auto"/>
              <w:right w:val="single" w:sz="4" w:space="0" w:color="auto"/>
            </w:tcBorders>
            <w:hideMark/>
          </w:tcPr>
          <w:p w14:paraId="69790A18" w14:textId="77777777" w:rsidR="00CA08B3" w:rsidRPr="00FB2719" w:rsidRDefault="00CA08B3">
            <w:pPr>
              <w:tabs>
                <w:tab w:val="left" w:pos="567"/>
              </w:tabs>
              <w:spacing w:line="276" w:lineRule="auto"/>
              <w:rPr>
                <w:b/>
                <w:color w:val="000000"/>
                <w:sz w:val="22"/>
                <w:szCs w:val="22"/>
                <w:lang w:val="en-US" w:eastAsia="lt-LT"/>
              </w:rPr>
            </w:pPr>
            <w:r w:rsidRPr="00FB2719">
              <w:rPr>
                <w:b/>
                <w:color w:val="000000"/>
                <w:sz w:val="22"/>
                <w:szCs w:val="22"/>
                <w:lang w:val="en-US" w:eastAsia="lt-LT"/>
              </w:rPr>
              <w:t>Vaistinio preparato klasė</w:t>
            </w:r>
          </w:p>
        </w:tc>
        <w:tc>
          <w:tcPr>
            <w:tcW w:w="2268" w:type="dxa"/>
            <w:tcBorders>
              <w:top w:val="single" w:sz="4" w:space="0" w:color="auto"/>
              <w:left w:val="single" w:sz="4" w:space="0" w:color="auto"/>
              <w:bottom w:val="single" w:sz="4" w:space="0" w:color="auto"/>
              <w:right w:val="single" w:sz="4" w:space="0" w:color="auto"/>
            </w:tcBorders>
            <w:hideMark/>
          </w:tcPr>
          <w:p w14:paraId="638525DD" w14:textId="77777777" w:rsidR="00CA08B3" w:rsidRPr="00FB2719" w:rsidRDefault="00CA08B3">
            <w:pPr>
              <w:tabs>
                <w:tab w:val="left" w:pos="567"/>
              </w:tabs>
              <w:spacing w:line="276" w:lineRule="auto"/>
              <w:rPr>
                <w:b/>
                <w:color w:val="000000"/>
                <w:sz w:val="22"/>
                <w:szCs w:val="22"/>
                <w:lang w:val="en-US" w:eastAsia="lt-LT"/>
              </w:rPr>
            </w:pPr>
            <w:r w:rsidRPr="00FB2719">
              <w:rPr>
                <w:b/>
                <w:color w:val="000000"/>
                <w:sz w:val="22"/>
                <w:szCs w:val="22"/>
                <w:lang w:val="en-US" w:eastAsia="lt-LT"/>
              </w:rPr>
              <w:t>Vaistinio preparato pavadinimas klasėje</w:t>
            </w:r>
          </w:p>
        </w:tc>
        <w:tc>
          <w:tcPr>
            <w:tcW w:w="4925" w:type="dxa"/>
            <w:tcBorders>
              <w:top w:val="single" w:sz="4" w:space="0" w:color="auto"/>
              <w:left w:val="single" w:sz="4" w:space="0" w:color="auto"/>
              <w:bottom w:val="single" w:sz="4" w:space="0" w:color="auto"/>
              <w:right w:val="single" w:sz="4" w:space="0" w:color="auto"/>
            </w:tcBorders>
            <w:hideMark/>
          </w:tcPr>
          <w:p w14:paraId="060A85C0" w14:textId="77777777" w:rsidR="00CA08B3" w:rsidRPr="00FB2719" w:rsidRDefault="00CA08B3">
            <w:pPr>
              <w:tabs>
                <w:tab w:val="left" w:pos="567"/>
              </w:tabs>
              <w:spacing w:line="276" w:lineRule="auto"/>
              <w:rPr>
                <w:b/>
                <w:color w:val="000000"/>
                <w:sz w:val="22"/>
                <w:szCs w:val="22"/>
                <w:lang w:val="en-US" w:eastAsia="lt-LT"/>
              </w:rPr>
            </w:pPr>
            <w:r w:rsidRPr="00FB2719">
              <w:rPr>
                <w:b/>
                <w:color w:val="000000"/>
                <w:sz w:val="22"/>
                <w:szCs w:val="22"/>
                <w:lang w:val="en-US" w:eastAsia="lt-LT"/>
              </w:rPr>
              <w:t>Logiškas išaiškinimas</w:t>
            </w:r>
          </w:p>
        </w:tc>
      </w:tr>
      <w:tr w:rsidR="00CA08B3" w:rsidRPr="00FB2719" w14:paraId="368A9DE4" w14:textId="77777777" w:rsidTr="00CA08B3">
        <w:tc>
          <w:tcPr>
            <w:tcW w:w="9286" w:type="dxa"/>
            <w:gridSpan w:val="3"/>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989"/>
            </w:tblGrid>
            <w:tr w:rsidR="00CA08B3" w:rsidRPr="00FB2719" w14:paraId="27C1F6AF" w14:textId="77777777">
              <w:trPr>
                <w:trHeight w:val="147"/>
              </w:trPr>
              <w:tc>
                <w:tcPr>
                  <w:tcW w:w="0" w:type="auto"/>
                  <w:hideMark/>
                </w:tcPr>
                <w:p w14:paraId="5F8FB93B" w14:textId="77777777" w:rsidR="00CA08B3" w:rsidRPr="00FB2719" w:rsidRDefault="00CA08B3">
                  <w:pPr>
                    <w:autoSpaceDE w:val="0"/>
                    <w:autoSpaceDN w:val="0"/>
                    <w:adjustRightInd w:val="0"/>
                    <w:spacing w:line="276" w:lineRule="auto"/>
                    <w:rPr>
                      <w:b/>
                      <w:color w:val="000000"/>
                      <w:sz w:val="22"/>
                      <w:szCs w:val="22"/>
                      <w:lang w:val="it-IT"/>
                    </w:rPr>
                  </w:pPr>
                  <w:r w:rsidRPr="00FB2719">
                    <w:rPr>
                      <w:b/>
                      <w:color w:val="000000"/>
                      <w:sz w:val="22"/>
                      <w:szCs w:val="22"/>
                      <w:lang w:val="it-IT"/>
                    </w:rPr>
                    <w:t>Padidėja kartu vartojamo vaistinio preparato lygis</w:t>
                  </w:r>
                </w:p>
              </w:tc>
            </w:tr>
          </w:tbl>
          <w:p w14:paraId="572160C7" w14:textId="77777777" w:rsidR="00CA08B3" w:rsidRPr="00FB2719" w:rsidRDefault="00CA08B3">
            <w:pPr>
              <w:tabs>
                <w:tab w:val="left" w:pos="567"/>
              </w:tabs>
              <w:spacing w:line="276" w:lineRule="auto"/>
              <w:rPr>
                <w:color w:val="000000"/>
                <w:sz w:val="22"/>
                <w:szCs w:val="22"/>
                <w:lang w:val="it-IT" w:eastAsia="lt-LT"/>
              </w:rPr>
            </w:pPr>
          </w:p>
        </w:tc>
      </w:tr>
      <w:tr w:rsidR="00CA08B3" w:rsidRPr="00FB2719" w14:paraId="4DFF86A6" w14:textId="77777777" w:rsidTr="00CA08B3">
        <w:tc>
          <w:tcPr>
            <w:tcW w:w="2093" w:type="dxa"/>
            <w:tcBorders>
              <w:top w:val="single" w:sz="4" w:space="0" w:color="auto"/>
              <w:left w:val="single" w:sz="4" w:space="0" w:color="auto"/>
              <w:bottom w:val="single" w:sz="4" w:space="0" w:color="auto"/>
              <w:right w:val="single" w:sz="4" w:space="0" w:color="auto"/>
            </w:tcBorders>
            <w:hideMark/>
          </w:tcPr>
          <w:p w14:paraId="7ED8075F" w14:textId="77777777" w:rsidR="00CA08B3" w:rsidRPr="00FB2719" w:rsidRDefault="00CA08B3">
            <w:pPr>
              <w:tabs>
                <w:tab w:val="left" w:pos="567"/>
              </w:tabs>
              <w:spacing w:line="276" w:lineRule="auto"/>
              <w:rPr>
                <w:color w:val="000000"/>
                <w:sz w:val="22"/>
                <w:szCs w:val="22"/>
                <w:lang w:val="en-US" w:eastAsia="lt-LT"/>
              </w:rPr>
            </w:pPr>
            <w:r w:rsidRPr="00FB2719">
              <w:rPr>
                <w:color w:val="000000"/>
                <w:sz w:val="22"/>
                <w:szCs w:val="22"/>
                <w:lang w:val="en-US" w:eastAsia="lt-LT"/>
              </w:rPr>
              <w:t>Alfa</w:t>
            </w:r>
            <w:r w:rsidRPr="00FB2719">
              <w:rPr>
                <w:color w:val="000000"/>
                <w:sz w:val="22"/>
                <w:vertAlign w:val="subscript"/>
                <w:lang w:val="en-US"/>
              </w:rPr>
              <w:t>1</w:t>
            </w:r>
            <w:r w:rsidRPr="00FB2719">
              <w:rPr>
                <w:color w:val="000000"/>
                <w:sz w:val="22"/>
                <w:szCs w:val="22"/>
                <w:lang w:val="en-US" w:eastAsia="lt-LT"/>
              </w:rPr>
              <w:t xml:space="preserve"> adrenoreceptorių blokatoriai</w:t>
            </w:r>
          </w:p>
        </w:tc>
        <w:tc>
          <w:tcPr>
            <w:tcW w:w="2268" w:type="dxa"/>
            <w:tcBorders>
              <w:top w:val="single" w:sz="4" w:space="0" w:color="auto"/>
              <w:left w:val="single" w:sz="4" w:space="0" w:color="auto"/>
              <w:bottom w:val="single" w:sz="4" w:space="0" w:color="auto"/>
              <w:right w:val="single" w:sz="4" w:space="0" w:color="auto"/>
            </w:tcBorders>
            <w:hideMark/>
          </w:tcPr>
          <w:p w14:paraId="409FB5A8" w14:textId="77777777" w:rsidR="00CA08B3" w:rsidRPr="00FB2719" w:rsidRDefault="00CA08B3">
            <w:pPr>
              <w:tabs>
                <w:tab w:val="left" w:pos="567"/>
              </w:tabs>
              <w:spacing w:line="276" w:lineRule="auto"/>
              <w:rPr>
                <w:color w:val="000000"/>
                <w:sz w:val="22"/>
                <w:szCs w:val="22"/>
                <w:lang w:val="en-US" w:eastAsia="lt-LT"/>
              </w:rPr>
            </w:pPr>
            <w:r w:rsidRPr="00FB2719">
              <w:rPr>
                <w:color w:val="000000"/>
                <w:sz w:val="22"/>
                <w:szCs w:val="22"/>
                <w:lang w:val="en-US" w:eastAsia="lt-LT"/>
              </w:rPr>
              <w:t>Alfuzozinas</w:t>
            </w:r>
          </w:p>
        </w:tc>
        <w:tc>
          <w:tcPr>
            <w:tcW w:w="4925" w:type="dxa"/>
            <w:tcBorders>
              <w:top w:val="single" w:sz="4" w:space="0" w:color="auto"/>
              <w:left w:val="single" w:sz="4" w:space="0" w:color="auto"/>
              <w:bottom w:val="single" w:sz="4" w:space="0" w:color="auto"/>
              <w:right w:val="single" w:sz="4" w:space="0" w:color="auto"/>
            </w:tcBorders>
            <w:hideMark/>
          </w:tcPr>
          <w:p w14:paraId="4A08C878" w14:textId="77777777" w:rsidR="00CA08B3" w:rsidRPr="00FB2719" w:rsidRDefault="00CA08B3">
            <w:pPr>
              <w:tabs>
                <w:tab w:val="left" w:pos="567"/>
              </w:tabs>
              <w:spacing w:line="276" w:lineRule="auto"/>
              <w:rPr>
                <w:color w:val="000000"/>
                <w:sz w:val="22"/>
                <w:szCs w:val="22"/>
                <w:lang w:val="en-US" w:eastAsia="lt-LT"/>
              </w:rPr>
            </w:pPr>
            <w:r w:rsidRPr="00FB2719">
              <w:rPr>
                <w:color w:val="000000"/>
                <w:sz w:val="22"/>
                <w:szCs w:val="22"/>
                <w:lang w:val="en-US" w:eastAsia="lt-LT"/>
              </w:rPr>
              <w:t>Padidėjusi alfuzozino koncentracija plazmoje gali sukelti sunkią hipotenziją. Kartu skirti alfuzozino negalima (žr. 4.5 skyrių).</w:t>
            </w:r>
          </w:p>
        </w:tc>
      </w:tr>
      <w:tr w:rsidR="00F31B5C" w:rsidRPr="00FB2719" w14:paraId="6C979E20" w14:textId="77777777" w:rsidTr="00CA08B3">
        <w:tc>
          <w:tcPr>
            <w:tcW w:w="2093" w:type="dxa"/>
            <w:tcBorders>
              <w:top w:val="single" w:sz="4" w:space="0" w:color="auto"/>
              <w:left w:val="single" w:sz="4" w:space="0" w:color="auto"/>
              <w:bottom w:val="single" w:sz="4" w:space="0" w:color="auto"/>
              <w:right w:val="single" w:sz="4" w:space="0" w:color="auto"/>
            </w:tcBorders>
          </w:tcPr>
          <w:p w14:paraId="5EDD6D16" w14:textId="77777777" w:rsidR="00F31B5C" w:rsidRPr="00FB2719" w:rsidRDefault="00F31B5C" w:rsidP="00F31B5C">
            <w:pPr>
              <w:autoSpaceDE w:val="0"/>
              <w:autoSpaceDN w:val="0"/>
              <w:adjustRightInd w:val="0"/>
              <w:rPr>
                <w:rFonts w:ascii="TimesNewRomanPSMT" w:eastAsiaTheme="minorHAnsi" w:hAnsi="TimesNewRomanPSMT" w:cs="TimesNewRomanPSMT"/>
                <w:sz w:val="21"/>
                <w:szCs w:val="21"/>
              </w:rPr>
            </w:pPr>
            <w:r w:rsidRPr="00FB2719">
              <w:rPr>
                <w:rFonts w:ascii="TimesNewRomanPSMT" w:eastAsiaTheme="minorHAnsi" w:hAnsi="TimesNewRomanPSMT" w:cs="TimesNewRomanPSMT"/>
                <w:sz w:val="21"/>
                <w:szCs w:val="21"/>
              </w:rPr>
              <w:t>Antiangininiai vaistiniai</w:t>
            </w:r>
          </w:p>
          <w:p w14:paraId="6FAEDC93" w14:textId="77777777" w:rsidR="00F31B5C" w:rsidRPr="00FB2719" w:rsidRDefault="00F31B5C" w:rsidP="00F31B5C">
            <w:pPr>
              <w:tabs>
                <w:tab w:val="left" w:pos="567"/>
              </w:tabs>
              <w:spacing w:line="276" w:lineRule="auto"/>
              <w:rPr>
                <w:color w:val="000000"/>
                <w:sz w:val="22"/>
                <w:szCs w:val="22"/>
                <w:lang w:val="en-US" w:eastAsia="lt-LT"/>
              </w:rPr>
            </w:pPr>
            <w:r w:rsidRPr="00FB2719">
              <w:rPr>
                <w:rFonts w:ascii="TimesNewRomanPSMT" w:eastAsiaTheme="minorHAnsi" w:hAnsi="TimesNewRomanPSMT" w:cs="TimesNewRomanPSMT"/>
                <w:sz w:val="21"/>
                <w:szCs w:val="21"/>
              </w:rPr>
              <w:t>preparatai</w:t>
            </w:r>
          </w:p>
        </w:tc>
        <w:tc>
          <w:tcPr>
            <w:tcW w:w="2268" w:type="dxa"/>
            <w:tcBorders>
              <w:top w:val="single" w:sz="4" w:space="0" w:color="auto"/>
              <w:left w:val="single" w:sz="4" w:space="0" w:color="auto"/>
              <w:bottom w:val="single" w:sz="4" w:space="0" w:color="auto"/>
              <w:right w:val="single" w:sz="4" w:space="0" w:color="auto"/>
            </w:tcBorders>
          </w:tcPr>
          <w:p w14:paraId="2250EFB6" w14:textId="77777777" w:rsidR="00F31B5C" w:rsidRPr="00FB2719" w:rsidRDefault="00F31B5C">
            <w:pPr>
              <w:tabs>
                <w:tab w:val="left" w:pos="567"/>
              </w:tabs>
              <w:spacing w:line="276" w:lineRule="auto"/>
              <w:rPr>
                <w:color w:val="000000"/>
                <w:sz w:val="22"/>
                <w:szCs w:val="22"/>
                <w:lang w:val="en-US" w:eastAsia="lt-LT"/>
              </w:rPr>
            </w:pPr>
            <w:r w:rsidRPr="00FB2719">
              <w:rPr>
                <w:rFonts w:ascii="TimesNewRomanPSMT" w:eastAsiaTheme="minorHAnsi" w:hAnsi="TimesNewRomanPSMT" w:cs="TimesNewRomanPSMT"/>
                <w:sz w:val="21"/>
                <w:szCs w:val="21"/>
              </w:rPr>
              <w:t>Ranolazinas</w:t>
            </w:r>
          </w:p>
        </w:tc>
        <w:tc>
          <w:tcPr>
            <w:tcW w:w="4925" w:type="dxa"/>
            <w:tcBorders>
              <w:top w:val="single" w:sz="4" w:space="0" w:color="auto"/>
              <w:left w:val="single" w:sz="4" w:space="0" w:color="auto"/>
              <w:bottom w:val="single" w:sz="4" w:space="0" w:color="auto"/>
              <w:right w:val="single" w:sz="4" w:space="0" w:color="auto"/>
            </w:tcBorders>
          </w:tcPr>
          <w:p w14:paraId="1608D9C8" w14:textId="77777777" w:rsidR="00F31B5C" w:rsidRPr="00FB2719" w:rsidRDefault="00F31B5C" w:rsidP="00FB2719">
            <w:pPr>
              <w:autoSpaceDE w:val="0"/>
              <w:autoSpaceDN w:val="0"/>
              <w:adjustRightInd w:val="0"/>
              <w:rPr>
                <w:color w:val="000000"/>
                <w:sz w:val="22"/>
                <w:szCs w:val="22"/>
                <w:lang w:val="es-ES" w:eastAsia="lt-LT"/>
              </w:rPr>
            </w:pPr>
            <w:r w:rsidRPr="00FB2719">
              <w:rPr>
                <w:rFonts w:ascii="TimesNewRomanPSMT" w:eastAsiaTheme="minorHAnsi" w:hAnsi="TimesNewRomanPSMT" w:cs="TimesNewRomanPSMT"/>
                <w:sz w:val="21"/>
                <w:szCs w:val="21"/>
              </w:rPr>
              <w:t>Padidėjusi ranolazino koncentracija plazmoje gali padidinti galimų rimtų ir (arba) gyvybei pavojingų reakcijų riziką (žr. 4.5 skyrių).</w:t>
            </w:r>
          </w:p>
        </w:tc>
      </w:tr>
      <w:tr w:rsidR="00CA08B3" w:rsidRPr="00FB2719" w14:paraId="15A56727" w14:textId="77777777" w:rsidTr="00CA08B3">
        <w:tc>
          <w:tcPr>
            <w:tcW w:w="2093" w:type="dxa"/>
            <w:tcBorders>
              <w:top w:val="single" w:sz="4" w:space="0" w:color="auto"/>
              <w:left w:val="single" w:sz="4" w:space="0" w:color="auto"/>
              <w:bottom w:val="single" w:sz="4" w:space="0" w:color="auto"/>
              <w:right w:val="single" w:sz="4" w:space="0" w:color="auto"/>
            </w:tcBorders>
            <w:hideMark/>
          </w:tcPr>
          <w:p w14:paraId="0F9A34FA" w14:textId="77777777" w:rsidR="00CA08B3" w:rsidRPr="00FB2719" w:rsidRDefault="00CA08B3">
            <w:pPr>
              <w:tabs>
                <w:tab w:val="left" w:pos="567"/>
              </w:tabs>
              <w:spacing w:line="276" w:lineRule="auto"/>
              <w:rPr>
                <w:color w:val="000000"/>
                <w:sz w:val="22"/>
                <w:szCs w:val="22"/>
                <w:lang w:val="en-US" w:eastAsia="lt-LT"/>
              </w:rPr>
            </w:pPr>
            <w:r w:rsidRPr="00FB2719">
              <w:rPr>
                <w:color w:val="000000"/>
                <w:sz w:val="22"/>
                <w:szCs w:val="22"/>
                <w:lang w:val="en-US" w:eastAsia="lt-LT"/>
              </w:rPr>
              <w:t>Antiaritminiai vaistiniai preparatai</w:t>
            </w:r>
          </w:p>
        </w:tc>
        <w:tc>
          <w:tcPr>
            <w:tcW w:w="2268" w:type="dxa"/>
            <w:tcBorders>
              <w:top w:val="single" w:sz="4" w:space="0" w:color="auto"/>
              <w:left w:val="single" w:sz="4" w:space="0" w:color="auto"/>
              <w:bottom w:val="single" w:sz="4" w:space="0" w:color="auto"/>
              <w:right w:val="single" w:sz="4" w:space="0" w:color="auto"/>
            </w:tcBorders>
            <w:hideMark/>
          </w:tcPr>
          <w:p w14:paraId="29EF1E55" w14:textId="77777777" w:rsidR="00CA08B3" w:rsidRPr="00FB2719" w:rsidRDefault="00CA08B3">
            <w:pPr>
              <w:tabs>
                <w:tab w:val="left" w:pos="567"/>
              </w:tabs>
              <w:spacing w:line="276" w:lineRule="auto"/>
              <w:rPr>
                <w:color w:val="000000"/>
                <w:sz w:val="22"/>
                <w:szCs w:val="22"/>
                <w:lang w:val="en-US" w:eastAsia="lt-LT"/>
              </w:rPr>
            </w:pPr>
            <w:r w:rsidRPr="00FB2719">
              <w:rPr>
                <w:color w:val="000000"/>
                <w:sz w:val="22"/>
                <w:szCs w:val="22"/>
                <w:lang w:val="en-US" w:eastAsia="lt-LT"/>
              </w:rPr>
              <w:t>Amjodaronas</w:t>
            </w:r>
            <w:r w:rsidR="00D5243A" w:rsidRPr="00FB2719">
              <w:rPr>
                <w:color w:val="000000"/>
                <w:sz w:val="22"/>
                <w:szCs w:val="22"/>
                <w:lang w:val="en-US" w:eastAsia="lt-LT"/>
              </w:rPr>
              <w:t>, dronedaronas</w:t>
            </w:r>
          </w:p>
        </w:tc>
        <w:tc>
          <w:tcPr>
            <w:tcW w:w="4925" w:type="dxa"/>
            <w:tcBorders>
              <w:top w:val="single" w:sz="4" w:space="0" w:color="auto"/>
              <w:left w:val="single" w:sz="4" w:space="0" w:color="auto"/>
              <w:bottom w:val="single" w:sz="4" w:space="0" w:color="auto"/>
              <w:right w:val="single" w:sz="4" w:space="0" w:color="auto"/>
            </w:tcBorders>
            <w:hideMark/>
          </w:tcPr>
          <w:p w14:paraId="556B6F9B" w14:textId="6D595863" w:rsidR="00CA08B3" w:rsidRPr="00FB2719" w:rsidRDefault="00CA08B3" w:rsidP="00F31B5C">
            <w:pPr>
              <w:tabs>
                <w:tab w:val="left" w:pos="567"/>
              </w:tabs>
              <w:spacing w:line="276" w:lineRule="auto"/>
              <w:rPr>
                <w:color w:val="000000"/>
                <w:sz w:val="22"/>
                <w:szCs w:val="22"/>
                <w:lang w:val="es-ES" w:eastAsia="lt-LT"/>
              </w:rPr>
            </w:pPr>
            <w:r w:rsidRPr="00FB2719">
              <w:rPr>
                <w:color w:val="000000"/>
                <w:sz w:val="22"/>
                <w:szCs w:val="22"/>
                <w:lang w:val="es-ES" w:eastAsia="lt-LT"/>
              </w:rPr>
              <w:t>Plazmoje padidėja amjodarono</w:t>
            </w:r>
            <w:r w:rsidR="00D5243A" w:rsidRPr="00FB2719">
              <w:rPr>
                <w:color w:val="000000"/>
                <w:sz w:val="22"/>
                <w:szCs w:val="22"/>
                <w:lang w:val="es-ES" w:eastAsia="lt-LT"/>
              </w:rPr>
              <w:t xml:space="preserve"> ir dronedarono</w:t>
            </w:r>
            <w:r w:rsidRPr="00FB2719">
              <w:rPr>
                <w:color w:val="000000"/>
                <w:sz w:val="22"/>
                <w:szCs w:val="22"/>
                <w:lang w:val="es-ES" w:eastAsia="lt-LT"/>
              </w:rPr>
              <w:t xml:space="preserve"> koncentracija. Tuo būdu padidėja aritmijų ar kitų sunkių nepageidaujamų reakcijų </w:t>
            </w:r>
            <w:r w:rsidR="00F31B5C" w:rsidRPr="00FB2719">
              <w:rPr>
                <w:color w:val="000000"/>
                <w:sz w:val="22"/>
                <w:szCs w:val="22"/>
                <w:lang w:val="es-ES" w:eastAsia="lt-LT"/>
              </w:rPr>
              <w:t>riziką (žr. 4.5 skyrių).</w:t>
            </w:r>
          </w:p>
        </w:tc>
      </w:tr>
      <w:tr w:rsidR="00CA08B3" w:rsidRPr="00FB2719" w14:paraId="609DCEB8" w14:textId="77777777" w:rsidTr="00CA08B3">
        <w:tc>
          <w:tcPr>
            <w:tcW w:w="2093" w:type="dxa"/>
            <w:tcBorders>
              <w:top w:val="single" w:sz="4" w:space="0" w:color="auto"/>
              <w:left w:val="single" w:sz="4" w:space="0" w:color="auto"/>
              <w:bottom w:val="single" w:sz="4" w:space="0" w:color="auto"/>
              <w:right w:val="single" w:sz="4" w:space="0" w:color="auto"/>
            </w:tcBorders>
            <w:hideMark/>
          </w:tcPr>
          <w:p w14:paraId="0572EE7B" w14:textId="77777777" w:rsidR="00CA08B3" w:rsidRPr="00FB2719" w:rsidRDefault="00CA08B3">
            <w:pPr>
              <w:tabs>
                <w:tab w:val="left" w:pos="567"/>
              </w:tabs>
              <w:spacing w:line="276" w:lineRule="auto"/>
              <w:rPr>
                <w:color w:val="000000"/>
                <w:sz w:val="22"/>
                <w:szCs w:val="22"/>
                <w:lang w:val="en-US" w:eastAsia="lt-LT"/>
              </w:rPr>
            </w:pPr>
            <w:r w:rsidRPr="00FB2719">
              <w:rPr>
                <w:color w:val="000000"/>
                <w:sz w:val="22"/>
                <w:szCs w:val="22"/>
                <w:lang w:val="en-US" w:eastAsia="lt-LT"/>
              </w:rPr>
              <w:t>Antibiotikai</w:t>
            </w:r>
          </w:p>
        </w:tc>
        <w:tc>
          <w:tcPr>
            <w:tcW w:w="2268" w:type="dxa"/>
            <w:tcBorders>
              <w:top w:val="single" w:sz="4" w:space="0" w:color="auto"/>
              <w:left w:val="single" w:sz="4" w:space="0" w:color="auto"/>
              <w:bottom w:val="single" w:sz="4" w:space="0" w:color="auto"/>
              <w:right w:val="single" w:sz="4" w:space="0" w:color="auto"/>
            </w:tcBorders>
            <w:hideMark/>
          </w:tcPr>
          <w:p w14:paraId="253397B6" w14:textId="77777777" w:rsidR="00CA08B3" w:rsidRPr="00FB2719" w:rsidRDefault="00CA08B3">
            <w:pPr>
              <w:tabs>
                <w:tab w:val="left" w:pos="567"/>
              </w:tabs>
              <w:spacing w:line="276" w:lineRule="auto"/>
              <w:rPr>
                <w:color w:val="000000"/>
                <w:sz w:val="22"/>
                <w:szCs w:val="22"/>
                <w:lang w:val="en-US" w:eastAsia="lt-LT"/>
              </w:rPr>
            </w:pPr>
            <w:r w:rsidRPr="00FB2719">
              <w:rPr>
                <w:color w:val="000000"/>
                <w:sz w:val="22"/>
                <w:szCs w:val="22"/>
                <w:lang w:val="en-US" w:eastAsia="lt-LT"/>
              </w:rPr>
              <w:t>Fuzido rūgštis</w:t>
            </w:r>
          </w:p>
        </w:tc>
        <w:tc>
          <w:tcPr>
            <w:tcW w:w="4925" w:type="dxa"/>
            <w:tcBorders>
              <w:top w:val="single" w:sz="4" w:space="0" w:color="auto"/>
              <w:left w:val="single" w:sz="4" w:space="0" w:color="auto"/>
              <w:bottom w:val="single" w:sz="4" w:space="0" w:color="auto"/>
              <w:right w:val="single" w:sz="4" w:space="0" w:color="auto"/>
            </w:tcBorders>
            <w:hideMark/>
          </w:tcPr>
          <w:p w14:paraId="474FEF58" w14:textId="77777777" w:rsidR="00CA08B3" w:rsidRPr="00FB2719" w:rsidRDefault="00CA08B3">
            <w:pPr>
              <w:tabs>
                <w:tab w:val="left" w:pos="567"/>
              </w:tabs>
              <w:spacing w:line="276" w:lineRule="auto"/>
              <w:rPr>
                <w:color w:val="000000"/>
                <w:sz w:val="22"/>
                <w:szCs w:val="22"/>
                <w:lang w:val="en-US" w:eastAsia="lt-LT"/>
              </w:rPr>
            </w:pPr>
            <w:r w:rsidRPr="00FB2719">
              <w:rPr>
                <w:color w:val="000000"/>
                <w:sz w:val="22"/>
                <w:szCs w:val="22"/>
                <w:lang w:val="en-US" w:eastAsia="lt-LT"/>
              </w:rPr>
              <w:t>Plazmoje padidėja fuzido rūgšties koncentracijos. Negalima kartu skirti fuzido rūgšties esant odos infekcijoms (žr. 4.5 skyrių).</w:t>
            </w:r>
          </w:p>
        </w:tc>
      </w:tr>
      <w:tr w:rsidR="00F31B5C" w:rsidRPr="00FB2719" w14:paraId="3642423B" w14:textId="77777777" w:rsidTr="00CA08B3">
        <w:tc>
          <w:tcPr>
            <w:tcW w:w="2093" w:type="dxa"/>
            <w:tcBorders>
              <w:top w:val="single" w:sz="4" w:space="0" w:color="auto"/>
              <w:left w:val="single" w:sz="4" w:space="0" w:color="auto"/>
              <w:bottom w:val="single" w:sz="4" w:space="0" w:color="auto"/>
              <w:right w:val="single" w:sz="4" w:space="0" w:color="auto"/>
            </w:tcBorders>
          </w:tcPr>
          <w:p w14:paraId="21105B30" w14:textId="77777777" w:rsidR="00F31B5C" w:rsidRPr="00FB2719" w:rsidRDefault="00E41D2F">
            <w:pPr>
              <w:tabs>
                <w:tab w:val="left" w:pos="567"/>
              </w:tabs>
              <w:spacing w:line="276" w:lineRule="auto"/>
              <w:rPr>
                <w:color w:val="000000"/>
                <w:sz w:val="22"/>
                <w:szCs w:val="22"/>
                <w:lang w:val="en-US" w:eastAsia="lt-LT"/>
              </w:rPr>
            </w:pPr>
            <w:r w:rsidRPr="00FB2719">
              <w:rPr>
                <w:color w:val="000000"/>
                <w:sz w:val="22"/>
                <w:szCs w:val="22"/>
                <w:lang w:val="en-US" w:eastAsia="lt-LT"/>
              </w:rPr>
              <w:t>Priešvėžiniai vaistiniai preparatai</w:t>
            </w:r>
          </w:p>
        </w:tc>
        <w:tc>
          <w:tcPr>
            <w:tcW w:w="2268" w:type="dxa"/>
            <w:tcBorders>
              <w:top w:val="single" w:sz="4" w:space="0" w:color="auto"/>
              <w:left w:val="single" w:sz="4" w:space="0" w:color="auto"/>
              <w:bottom w:val="single" w:sz="4" w:space="0" w:color="auto"/>
              <w:right w:val="single" w:sz="4" w:space="0" w:color="auto"/>
            </w:tcBorders>
          </w:tcPr>
          <w:p w14:paraId="0B86FAF6" w14:textId="77777777" w:rsidR="00F31B5C" w:rsidRPr="00FB2719" w:rsidRDefault="00E41D2F">
            <w:pPr>
              <w:tabs>
                <w:tab w:val="left" w:pos="567"/>
              </w:tabs>
              <w:spacing w:line="276" w:lineRule="auto"/>
              <w:rPr>
                <w:color w:val="000000"/>
                <w:sz w:val="22"/>
                <w:szCs w:val="22"/>
                <w:lang w:val="en-US" w:eastAsia="lt-LT"/>
              </w:rPr>
            </w:pPr>
            <w:r w:rsidRPr="00FB2719">
              <w:rPr>
                <w:color w:val="000000"/>
                <w:sz w:val="22"/>
                <w:szCs w:val="22"/>
                <w:lang w:val="en-US" w:eastAsia="lt-LT"/>
              </w:rPr>
              <w:t>Venetoklaksas</w:t>
            </w:r>
          </w:p>
        </w:tc>
        <w:tc>
          <w:tcPr>
            <w:tcW w:w="4925" w:type="dxa"/>
            <w:tcBorders>
              <w:top w:val="single" w:sz="4" w:space="0" w:color="auto"/>
              <w:left w:val="single" w:sz="4" w:space="0" w:color="auto"/>
              <w:bottom w:val="single" w:sz="4" w:space="0" w:color="auto"/>
              <w:right w:val="single" w:sz="4" w:space="0" w:color="auto"/>
            </w:tcBorders>
          </w:tcPr>
          <w:p w14:paraId="54565D86" w14:textId="77777777" w:rsidR="00E41D2F" w:rsidRPr="00FB2719" w:rsidRDefault="00E41D2F" w:rsidP="00E41D2F">
            <w:pPr>
              <w:tabs>
                <w:tab w:val="left" w:pos="567"/>
              </w:tabs>
              <w:spacing w:line="276" w:lineRule="auto"/>
              <w:rPr>
                <w:color w:val="000000"/>
                <w:sz w:val="22"/>
                <w:szCs w:val="22"/>
                <w:lang w:val="en-US" w:eastAsia="lt-LT"/>
              </w:rPr>
            </w:pPr>
            <w:r w:rsidRPr="00FB2719">
              <w:rPr>
                <w:color w:val="000000"/>
                <w:sz w:val="22"/>
                <w:szCs w:val="22"/>
                <w:lang w:val="en-US" w:eastAsia="lt-LT"/>
              </w:rPr>
              <w:t>Padidėjusi venetoklakso koncentracija plazmoje.</w:t>
            </w:r>
          </w:p>
          <w:p w14:paraId="104EB353" w14:textId="77777777" w:rsidR="00F31B5C" w:rsidRPr="00FB2719" w:rsidRDefault="00E41D2F" w:rsidP="00E41D2F">
            <w:pPr>
              <w:tabs>
                <w:tab w:val="left" w:pos="567"/>
              </w:tabs>
              <w:spacing w:line="276" w:lineRule="auto"/>
              <w:rPr>
                <w:color w:val="000000"/>
                <w:sz w:val="22"/>
                <w:szCs w:val="22"/>
                <w:lang w:val="en-US" w:eastAsia="lt-LT"/>
              </w:rPr>
            </w:pPr>
            <w:r w:rsidRPr="00FB2719">
              <w:rPr>
                <w:color w:val="000000"/>
                <w:sz w:val="22"/>
                <w:szCs w:val="22"/>
                <w:lang w:val="en-US" w:eastAsia="lt-LT"/>
              </w:rPr>
              <w:t>Padidėjusi navikų lizės sindromo rizika vartojimo pradžioje ir dozės didinimo fazės metu (žr. 4.5 skyrių).</w:t>
            </w:r>
          </w:p>
        </w:tc>
      </w:tr>
      <w:tr w:rsidR="00AA707B" w:rsidRPr="00FB2719" w14:paraId="2030DB75" w14:textId="77777777" w:rsidTr="00CA08B3">
        <w:tc>
          <w:tcPr>
            <w:tcW w:w="2093" w:type="dxa"/>
            <w:tcBorders>
              <w:top w:val="single" w:sz="4" w:space="0" w:color="auto"/>
              <w:left w:val="single" w:sz="4" w:space="0" w:color="auto"/>
              <w:bottom w:val="single" w:sz="4" w:space="0" w:color="auto"/>
              <w:right w:val="single" w:sz="4" w:space="0" w:color="auto"/>
            </w:tcBorders>
          </w:tcPr>
          <w:p w14:paraId="26F3AB6D" w14:textId="77777777" w:rsidR="00AA707B" w:rsidRPr="00FB2719" w:rsidRDefault="00AA707B">
            <w:pPr>
              <w:tabs>
                <w:tab w:val="left" w:pos="567"/>
              </w:tabs>
              <w:spacing w:line="276" w:lineRule="auto"/>
              <w:rPr>
                <w:color w:val="000000"/>
                <w:sz w:val="22"/>
                <w:szCs w:val="22"/>
                <w:lang w:val="en-US" w:eastAsia="lt-LT"/>
              </w:rPr>
            </w:pPr>
            <w:r w:rsidRPr="00FB2719">
              <w:rPr>
                <w:color w:val="000000"/>
                <w:sz w:val="22"/>
                <w:szCs w:val="22"/>
                <w:lang w:val="en-US" w:eastAsia="lt-LT"/>
              </w:rPr>
              <w:t>Vaist</w:t>
            </w:r>
            <w:r w:rsidR="00D5243A" w:rsidRPr="00FB2719">
              <w:rPr>
                <w:color w:val="000000"/>
                <w:sz w:val="22"/>
                <w:szCs w:val="22"/>
                <w:lang w:val="en-US" w:eastAsia="lt-LT"/>
              </w:rPr>
              <w:t>iniai preparat</w:t>
            </w:r>
            <w:r w:rsidRPr="00FB2719">
              <w:rPr>
                <w:color w:val="000000"/>
                <w:sz w:val="22"/>
                <w:szCs w:val="22"/>
                <w:lang w:val="en-US" w:eastAsia="lt-LT"/>
              </w:rPr>
              <w:t>ai nuo podagros</w:t>
            </w:r>
          </w:p>
        </w:tc>
        <w:tc>
          <w:tcPr>
            <w:tcW w:w="2268" w:type="dxa"/>
            <w:tcBorders>
              <w:top w:val="single" w:sz="4" w:space="0" w:color="auto"/>
              <w:left w:val="single" w:sz="4" w:space="0" w:color="auto"/>
              <w:bottom w:val="single" w:sz="4" w:space="0" w:color="auto"/>
              <w:right w:val="single" w:sz="4" w:space="0" w:color="auto"/>
            </w:tcBorders>
          </w:tcPr>
          <w:p w14:paraId="6D042DD7" w14:textId="77777777" w:rsidR="00AA707B" w:rsidRPr="00FB2719" w:rsidRDefault="00AA707B">
            <w:pPr>
              <w:tabs>
                <w:tab w:val="left" w:pos="567"/>
              </w:tabs>
              <w:spacing w:line="276" w:lineRule="auto"/>
              <w:rPr>
                <w:color w:val="000000"/>
                <w:sz w:val="22"/>
                <w:szCs w:val="22"/>
                <w:lang w:val="en-US" w:eastAsia="lt-LT"/>
              </w:rPr>
            </w:pPr>
            <w:r w:rsidRPr="00FB2719">
              <w:rPr>
                <w:color w:val="000000"/>
                <w:sz w:val="22"/>
                <w:szCs w:val="22"/>
                <w:lang w:val="en-US" w:eastAsia="lt-LT"/>
              </w:rPr>
              <w:t>Kolchicinas</w:t>
            </w:r>
          </w:p>
        </w:tc>
        <w:tc>
          <w:tcPr>
            <w:tcW w:w="4925" w:type="dxa"/>
            <w:tcBorders>
              <w:top w:val="single" w:sz="4" w:space="0" w:color="auto"/>
              <w:left w:val="single" w:sz="4" w:space="0" w:color="auto"/>
              <w:bottom w:val="single" w:sz="4" w:space="0" w:color="auto"/>
              <w:right w:val="single" w:sz="4" w:space="0" w:color="auto"/>
            </w:tcBorders>
          </w:tcPr>
          <w:p w14:paraId="545F889D" w14:textId="77777777" w:rsidR="00AA707B" w:rsidRPr="00FB2719" w:rsidRDefault="00AA707B" w:rsidP="00AA707B">
            <w:pPr>
              <w:tabs>
                <w:tab w:val="left" w:pos="567"/>
              </w:tabs>
              <w:spacing w:line="276" w:lineRule="auto"/>
              <w:rPr>
                <w:color w:val="000000"/>
                <w:sz w:val="22"/>
                <w:szCs w:val="22"/>
                <w:lang w:val="en-US" w:eastAsia="lt-LT"/>
              </w:rPr>
            </w:pPr>
            <w:r w:rsidRPr="00FB2719">
              <w:rPr>
                <w:color w:val="000000"/>
                <w:sz w:val="22"/>
                <w:szCs w:val="22"/>
                <w:lang w:val="en-US" w:eastAsia="lt-LT"/>
              </w:rPr>
              <w:t>Padidėjusi kolchicino koncentracija plazmoje.</w:t>
            </w:r>
          </w:p>
          <w:p w14:paraId="7008E472" w14:textId="77777777" w:rsidR="00AA707B" w:rsidRPr="00FB2719" w:rsidRDefault="00AA707B" w:rsidP="00AA707B">
            <w:pPr>
              <w:tabs>
                <w:tab w:val="left" w:pos="567"/>
              </w:tabs>
              <w:spacing w:line="276" w:lineRule="auto"/>
              <w:rPr>
                <w:color w:val="000000"/>
                <w:sz w:val="22"/>
                <w:szCs w:val="22"/>
                <w:lang w:val="en-US" w:eastAsia="lt-LT"/>
              </w:rPr>
            </w:pPr>
            <w:r w:rsidRPr="00FB2719">
              <w:rPr>
                <w:color w:val="000000"/>
                <w:sz w:val="22"/>
                <w:szCs w:val="22"/>
                <w:lang w:val="en-US" w:eastAsia="lt-LT"/>
              </w:rPr>
              <w:t xml:space="preserve">Galimos sunkios ir </w:t>
            </w:r>
            <w:r w:rsidR="00D5243A" w:rsidRPr="00FB2719">
              <w:rPr>
                <w:color w:val="000000"/>
                <w:sz w:val="22"/>
                <w:szCs w:val="22"/>
                <w:lang w:val="en-US" w:eastAsia="lt-LT"/>
              </w:rPr>
              <w:t>(</w:t>
            </w:r>
            <w:r w:rsidRPr="00FB2719">
              <w:rPr>
                <w:color w:val="000000"/>
                <w:sz w:val="22"/>
                <w:szCs w:val="22"/>
                <w:lang w:val="en-US" w:eastAsia="lt-LT"/>
              </w:rPr>
              <w:t>ar</w:t>
            </w:r>
            <w:r w:rsidR="00D5243A" w:rsidRPr="00FB2719">
              <w:rPr>
                <w:color w:val="000000"/>
                <w:sz w:val="22"/>
                <w:szCs w:val="22"/>
                <w:lang w:val="en-US" w:eastAsia="lt-LT"/>
              </w:rPr>
              <w:t>ba)</w:t>
            </w:r>
            <w:r w:rsidRPr="00FB2719">
              <w:rPr>
                <w:color w:val="000000"/>
                <w:sz w:val="22"/>
                <w:szCs w:val="22"/>
                <w:lang w:val="en-US" w:eastAsia="lt-LT"/>
              </w:rPr>
              <w:t xml:space="preserve"> gyvybei pavojingos</w:t>
            </w:r>
            <w:r w:rsidR="007D18AF" w:rsidRPr="00FB2719">
              <w:rPr>
                <w:color w:val="000000"/>
                <w:sz w:val="22"/>
                <w:szCs w:val="22"/>
                <w:lang w:val="en-US" w:eastAsia="lt-LT"/>
              </w:rPr>
              <w:t xml:space="preserve"> </w:t>
            </w:r>
            <w:r w:rsidRPr="00FB2719">
              <w:rPr>
                <w:color w:val="000000"/>
                <w:sz w:val="22"/>
                <w:szCs w:val="22"/>
                <w:lang w:val="en-US" w:eastAsia="lt-LT"/>
              </w:rPr>
              <w:t xml:space="preserve">reakcijos pacientams, kuriems yra inkstų ir </w:t>
            </w:r>
            <w:r w:rsidR="00D5243A" w:rsidRPr="00FB2719">
              <w:rPr>
                <w:color w:val="000000"/>
                <w:sz w:val="22"/>
                <w:szCs w:val="22"/>
                <w:lang w:val="en-US" w:eastAsia="lt-LT"/>
              </w:rPr>
              <w:t>(</w:t>
            </w:r>
            <w:r w:rsidRPr="00FB2719">
              <w:rPr>
                <w:color w:val="000000"/>
                <w:sz w:val="22"/>
                <w:szCs w:val="22"/>
                <w:lang w:val="en-US" w:eastAsia="lt-LT"/>
              </w:rPr>
              <w:t>ar</w:t>
            </w:r>
            <w:r w:rsidR="00D5243A" w:rsidRPr="00FB2719">
              <w:rPr>
                <w:color w:val="000000"/>
                <w:sz w:val="22"/>
                <w:szCs w:val="22"/>
                <w:lang w:val="en-US" w:eastAsia="lt-LT"/>
              </w:rPr>
              <w:t>ba)</w:t>
            </w:r>
            <w:r w:rsidRPr="00FB2719">
              <w:rPr>
                <w:color w:val="000000"/>
                <w:sz w:val="22"/>
                <w:szCs w:val="22"/>
                <w:lang w:val="en-US" w:eastAsia="lt-LT"/>
              </w:rPr>
              <w:t xml:space="preserve"> kepenų nepakankamumas (žr. 4.4 ir 4.5</w:t>
            </w:r>
            <w:r w:rsidR="007D18AF" w:rsidRPr="00FB2719">
              <w:rPr>
                <w:color w:val="000000"/>
                <w:sz w:val="22"/>
                <w:szCs w:val="22"/>
                <w:lang w:val="en-US" w:eastAsia="lt-LT"/>
              </w:rPr>
              <w:t xml:space="preserve"> </w:t>
            </w:r>
            <w:r w:rsidRPr="00FB2719">
              <w:rPr>
                <w:color w:val="000000"/>
                <w:sz w:val="22"/>
                <w:szCs w:val="22"/>
                <w:lang w:val="en-US" w:eastAsia="lt-LT"/>
              </w:rPr>
              <w:t>skyrius).</w:t>
            </w:r>
          </w:p>
        </w:tc>
      </w:tr>
      <w:tr w:rsidR="00CA08B3" w:rsidRPr="00FB2719" w14:paraId="0ADB3A5C" w14:textId="77777777" w:rsidTr="00FB2719">
        <w:tc>
          <w:tcPr>
            <w:tcW w:w="2093" w:type="dxa"/>
            <w:tcBorders>
              <w:top w:val="single" w:sz="4" w:space="0" w:color="auto"/>
              <w:left w:val="single" w:sz="4" w:space="0" w:color="auto"/>
              <w:bottom w:val="single" w:sz="4" w:space="0" w:color="auto"/>
              <w:right w:val="single" w:sz="4" w:space="0" w:color="auto"/>
            </w:tcBorders>
            <w:hideMark/>
          </w:tcPr>
          <w:p w14:paraId="0D5FDCAB" w14:textId="77777777" w:rsidR="00CA08B3" w:rsidRPr="00FB2719" w:rsidRDefault="00CA08B3">
            <w:pPr>
              <w:tabs>
                <w:tab w:val="left" w:pos="567"/>
              </w:tabs>
              <w:spacing w:line="276" w:lineRule="auto"/>
              <w:rPr>
                <w:color w:val="000000"/>
                <w:sz w:val="22"/>
                <w:szCs w:val="22"/>
                <w:lang w:val="en-US" w:eastAsia="lt-LT"/>
              </w:rPr>
            </w:pPr>
            <w:r w:rsidRPr="00FB2719">
              <w:rPr>
                <w:color w:val="000000"/>
                <w:sz w:val="22"/>
                <w:szCs w:val="22"/>
                <w:lang w:val="en-US" w:eastAsia="lt-LT"/>
              </w:rPr>
              <w:t>Antihistamininiai vaistiniai preparatai</w:t>
            </w:r>
          </w:p>
        </w:tc>
        <w:tc>
          <w:tcPr>
            <w:tcW w:w="2268" w:type="dxa"/>
            <w:tcBorders>
              <w:top w:val="single" w:sz="4" w:space="0" w:color="auto"/>
              <w:left w:val="single" w:sz="4" w:space="0" w:color="auto"/>
              <w:bottom w:val="single" w:sz="4" w:space="0" w:color="auto"/>
              <w:right w:val="single" w:sz="4" w:space="0" w:color="auto"/>
            </w:tcBorders>
            <w:hideMark/>
          </w:tcPr>
          <w:p w14:paraId="31A13256" w14:textId="77777777" w:rsidR="00CA08B3" w:rsidRPr="00FB2719" w:rsidRDefault="00CA08B3">
            <w:pPr>
              <w:spacing w:line="276" w:lineRule="auto"/>
              <w:rPr>
                <w:sz w:val="22"/>
                <w:szCs w:val="22"/>
                <w:lang w:val="en-US" w:eastAsia="lt-LT"/>
              </w:rPr>
            </w:pPr>
            <w:r w:rsidRPr="00FB2719">
              <w:rPr>
                <w:sz w:val="22"/>
                <w:szCs w:val="22"/>
                <w:lang w:val="en-US" w:eastAsia="lt-LT"/>
              </w:rPr>
              <w:t>Astemizolas, terfenadinas</w:t>
            </w:r>
          </w:p>
        </w:tc>
        <w:tc>
          <w:tcPr>
            <w:tcW w:w="4925" w:type="dxa"/>
            <w:tcBorders>
              <w:top w:val="single" w:sz="4" w:space="0" w:color="auto"/>
              <w:left w:val="single" w:sz="4" w:space="0" w:color="auto"/>
              <w:bottom w:val="single" w:sz="4" w:space="0" w:color="auto"/>
              <w:right w:val="single" w:sz="4" w:space="0" w:color="auto"/>
            </w:tcBorders>
            <w:hideMark/>
          </w:tcPr>
          <w:p w14:paraId="1014D926" w14:textId="17A0CAB9" w:rsidR="00CA08B3" w:rsidRPr="00FB2719" w:rsidRDefault="00CA08B3" w:rsidP="00E41D2F">
            <w:pPr>
              <w:spacing w:line="276" w:lineRule="auto"/>
              <w:rPr>
                <w:sz w:val="22"/>
                <w:szCs w:val="22"/>
                <w:lang w:val="es-ES" w:eastAsia="lt-LT"/>
              </w:rPr>
            </w:pPr>
            <w:r w:rsidRPr="00FB2719">
              <w:rPr>
                <w:sz w:val="22"/>
                <w:szCs w:val="22"/>
                <w:lang w:val="es-ES" w:eastAsia="lt-LT"/>
              </w:rPr>
              <w:t xml:space="preserve">Plazmoje padidėja astemizolo ir terfenadino koncentracijos. Tuo būdu nuo šių veikliųjų medžiagų padidėja sunkių aritmijų </w:t>
            </w:r>
            <w:r w:rsidR="00E41D2F" w:rsidRPr="00FB2719">
              <w:rPr>
                <w:sz w:val="22"/>
                <w:szCs w:val="22"/>
                <w:lang w:val="es-ES" w:eastAsia="lt-LT"/>
              </w:rPr>
              <w:t>rizika (žr. 4.5 skyrių)</w:t>
            </w:r>
            <w:r w:rsidRPr="00FB2719">
              <w:rPr>
                <w:sz w:val="22"/>
                <w:szCs w:val="22"/>
                <w:lang w:val="es-ES" w:eastAsia="lt-LT"/>
              </w:rPr>
              <w:t>.</w:t>
            </w:r>
          </w:p>
        </w:tc>
      </w:tr>
      <w:tr w:rsidR="00E41D2F" w:rsidRPr="00FB2719" w14:paraId="6562B2D9" w14:textId="77777777" w:rsidTr="00FB2719">
        <w:tc>
          <w:tcPr>
            <w:tcW w:w="2093" w:type="dxa"/>
            <w:tcBorders>
              <w:top w:val="single" w:sz="4" w:space="0" w:color="auto"/>
              <w:left w:val="single" w:sz="4" w:space="0" w:color="auto"/>
              <w:bottom w:val="nil"/>
              <w:right w:val="single" w:sz="4" w:space="0" w:color="auto"/>
            </w:tcBorders>
          </w:tcPr>
          <w:p w14:paraId="175A8DB4" w14:textId="77777777" w:rsidR="00E41D2F" w:rsidRPr="00FB2719" w:rsidRDefault="00E41D2F" w:rsidP="00FB2719">
            <w:pPr>
              <w:autoSpaceDE w:val="0"/>
              <w:autoSpaceDN w:val="0"/>
              <w:adjustRightInd w:val="0"/>
              <w:rPr>
                <w:color w:val="000000"/>
                <w:sz w:val="22"/>
                <w:szCs w:val="22"/>
                <w:lang w:val="en-US" w:eastAsia="lt-LT"/>
              </w:rPr>
            </w:pPr>
            <w:r w:rsidRPr="00FB2719">
              <w:rPr>
                <w:rFonts w:ascii="TimesNewRomanPSMT" w:eastAsiaTheme="minorHAnsi" w:hAnsi="TimesNewRomanPSMT" w:cs="TimesNewRomanPSMT"/>
                <w:sz w:val="21"/>
                <w:szCs w:val="21"/>
              </w:rPr>
              <w:t>Antipsichoziniai vaistiniai preparatai / neuroleptikai</w:t>
            </w:r>
          </w:p>
        </w:tc>
        <w:tc>
          <w:tcPr>
            <w:tcW w:w="2268" w:type="dxa"/>
            <w:tcBorders>
              <w:top w:val="single" w:sz="4" w:space="0" w:color="auto"/>
              <w:left w:val="single" w:sz="4" w:space="0" w:color="auto"/>
              <w:bottom w:val="single" w:sz="4" w:space="0" w:color="auto"/>
              <w:right w:val="single" w:sz="4" w:space="0" w:color="auto"/>
            </w:tcBorders>
          </w:tcPr>
          <w:p w14:paraId="07FAE14D" w14:textId="77777777" w:rsidR="00E41D2F" w:rsidRPr="00FB2719" w:rsidRDefault="00E41D2F">
            <w:pPr>
              <w:tabs>
                <w:tab w:val="left" w:pos="567"/>
              </w:tabs>
              <w:spacing w:line="276" w:lineRule="auto"/>
              <w:rPr>
                <w:color w:val="000000"/>
                <w:sz w:val="22"/>
                <w:szCs w:val="22"/>
                <w:lang w:val="en-US" w:eastAsia="lt-LT"/>
              </w:rPr>
            </w:pPr>
            <w:r w:rsidRPr="00FB2719">
              <w:rPr>
                <w:color w:val="000000"/>
                <w:sz w:val="22"/>
                <w:szCs w:val="22"/>
                <w:lang w:val="en-US" w:eastAsia="lt-LT"/>
              </w:rPr>
              <w:t>Lurazidonas</w:t>
            </w:r>
          </w:p>
        </w:tc>
        <w:tc>
          <w:tcPr>
            <w:tcW w:w="4925" w:type="dxa"/>
            <w:tcBorders>
              <w:top w:val="single" w:sz="4" w:space="0" w:color="auto"/>
              <w:left w:val="single" w:sz="4" w:space="0" w:color="auto"/>
              <w:bottom w:val="single" w:sz="4" w:space="0" w:color="auto"/>
              <w:right w:val="single" w:sz="4" w:space="0" w:color="auto"/>
            </w:tcBorders>
          </w:tcPr>
          <w:p w14:paraId="3EA1EF36" w14:textId="77777777" w:rsidR="00E41D2F" w:rsidRPr="00FB2719" w:rsidRDefault="00E41D2F" w:rsidP="00E41D2F">
            <w:pPr>
              <w:tabs>
                <w:tab w:val="left" w:pos="567"/>
              </w:tabs>
              <w:spacing w:line="276" w:lineRule="auto"/>
              <w:rPr>
                <w:color w:val="000000"/>
                <w:sz w:val="22"/>
                <w:szCs w:val="22"/>
                <w:lang w:val="en-US" w:eastAsia="lt-LT"/>
              </w:rPr>
            </w:pPr>
            <w:r w:rsidRPr="00FB2719">
              <w:rPr>
                <w:color w:val="000000"/>
                <w:sz w:val="22"/>
                <w:szCs w:val="22"/>
                <w:lang w:val="en-US" w:eastAsia="lt-LT"/>
              </w:rPr>
              <w:t>Padidėjusi lurazidono koncentracija plazmoje gali padidinti galimų rimtų ir (arba) gyvybei pavojingų reakcijų riziką (žr. 4.5 skyrių).</w:t>
            </w:r>
          </w:p>
        </w:tc>
      </w:tr>
      <w:tr w:rsidR="00CA08B3" w:rsidRPr="00FB2719" w14:paraId="4E7C1194" w14:textId="77777777" w:rsidTr="00FB2719">
        <w:tc>
          <w:tcPr>
            <w:tcW w:w="2093" w:type="dxa"/>
            <w:tcBorders>
              <w:top w:val="nil"/>
              <w:left w:val="single" w:sz="4" w:space="0" w:color="auto"/>
              <w:bottom w:val="single" w:sz="4" w:space="0" w:color="auto"/>
              <w:right w:val="single" w:sz="4" w:space="0" w:color="auto"/>
            </w:tcBorders>
            <w:hideMark/>
          </w:tcPr>
          <w:p w14:paraId="16740C92" w14:textId="0E8DDF52" w:rsidR="00CA08B3" w:rsidRPr="00FB2719" w:rsidRDefault="00CA08B3">
            <w:pPr>
              <w:tabs>
                <w:tab w:val="left" w:pos="567"/>
              </w:tabs>
              <w:spacing w:line="276" w:lineRule="auto"/>
              <w:rPr>
                <w:color w:val="000000"/>
                <w:sz w:val="22"/>
                <w:szCs w:val="22"/>
                <w:lang w:val="en-US" w:eastAsia="lt-LT"/>
              </w:rPr>
            </w:pPr>
          </w:p>
        </w:tc>
        <w:tc>
          <w:tcPr>
            <w:tcW w:w="2268" w:type="dxa"/>
            <w:tcBorders>
              <w:top w:val="single" w:sz="4" w:space="0" w:color="auto"/>
              <w:left w:val="single" w:sz="4" w:space="0" w:color="auto"/>
              <w:bottom w:val="single" w:sz="4" w:space="0" w:color="auto"/>
              <w:right w:val="single" w:sz="4" w:space="0" w:color="auto"/>
            </w:tcBorders>
            <w:hideMark/>
          </w:tcPr>
          <w:p w14:paraId="7D12F96E" w14:textId="77777777" w:rsidR="00CA08B3" w:rsidRPr="00FB2719" w:rsidRDefault="00CA08B3">
            <w:pPr>
              <w:tabs>
                <w:tab w:val="left" w:pos="567"/>
              </w:tabs>
              <w:spacing w:line="276" w:lineRule="auto"/>
              <w:rPr>
                <w:color w:val="000000"/>
                <w:sz w:val="22"/>
                <w:szCs w:val="22"/>
                <w:lang w:val="en-US" w:eastAsia="lt-LT"/>
              </w:rPr>
            </w:pPr>
            <w:r w:rsidRPr="00FB2719">
              <w:rPr>
                <w:color w:val="000000"/>
                <w:sz w:val="22"/>
                <w:szCs w:val="22"/>
                <w:lang w:val="en-US" w:eastAsia="lt-LT"/>
              </w:rPr>
              <w:t>Pimozidas</w:t>
            </w:r>
          </w:p>
        </w:tc>
        <w:tc>
          <w:tcPr>
            <w:tcW w:w="4925" w:type="dxa"/>
            <w:tcBorders>
              <w:top w:val="single" w:sz="4" w:space="0" w:color="auto"/>
              <w:left w:val="single" w:sz="4" w:space="0" w:color="auto"/>
              <w:bottom w:val="single" w:sz="4" w:space="0" w:color="auto"/>
              <w:right w:val="single" w:sz="4" w:space="0" w:color="auto"/>
            </w:tcBorders>
            <w:hideMark/>
          </w:tcPr>
          <w:p w14:paraId="5BF7DA3C" w14:textId="73BD0488" w:rsidR="00CA08B3" w:rsidRPr="00FB2719" w:rsidRDefault="00CA08B3" w:rsidP="00E41D2F">
            <w:pPr>
              <w:tabs>
                <w:tab w:val="left" w:pos="567"/>
              </w:tabs>
              <w:spacing w:line="276" w:lineRule="auto"/>
              <w:rPr>
                <w:color w:val="000000"/>
                <w:sz w:val="22"/>
                <w:szCs w:val="22"/>
                <w:lang w:val="en-US" w:eastAsia="lt-LT"/>
              </w:rPr>
            </w:pPr>
            <w:r w:rsidRPr="00FB2719">
              <w:rPr>
                <w:color w:val="000000"/>
                <w:sz w:val="22"/>
                <w:szCs w:val="22"/>
                <w:lang w:val="en-US" w:eastAsia="lt-LT"/>
              </w:rPr>
              <w:t xml:space="preserve">Plazmoje padidėja pimozido koncentracija. Tuo būdu nuo šios medžiagos padidėja sunkių </w:t>
            </w:r>
            <w:r w:rsidRPr="00FB2719">
              <w:rPr>
                <w:color w:val="000000"/>
                <w:sz w:val="22"/>
                <w:szCs w:val="22"/>
                <w:lang w:val="en-US" w:eastAsia="lt-LT"/>
              </w:rPr>
              <w:lastRenderedPageBreak/>
              <w:t xml:space="preserve">kraujodaros sutrikimų ar kitų sunkių nepageidaujamų reiškinių </w:t>
            </w:r>
            <w:r w:rsidR="00E41D2F" w:rsidRPr="00FB2719">
              <w:rPr>
                <w:color w:val="000000"/>
                <w:sz w:val="22"/>
                <w:szCs w:val="22"/>
                <w:lang w:val="en-US" w:eastAsia="lt-LT"/>
              </w:rPr>
              <w:t>rizika (žr. 4.5 skyrių</w:t>
            </w:r>
            <w:proofErr w:type="gramStart"/>
            <w:r w:rsidR="00E41D2F" w:rsidRPr="00FB2719">
              <w:rPr>
                <w:color w:val="000000"/>
                <w:sz w:val="22"/>
                <w:szCs w:val="22"/>
                <w:lang w:val="en-US" w:eastAsia="lt-LT"/>
              </w:rPr>
              <w:t xml:space="preserve">) </w:t>
            </w:r>
            <w:r w:rsidRPr="00FB2719">
              <w:rPr>
                <w:color w:val="000000"/>
                <w:sz w:val="22"/>
                <w:szCs w:val="22"/>
                <w:lang w:val="en-US" w:eastAsia="lt-LT"/>
              </w:rPr>
              <w:t>.</w:t>
            </w:r>
            <w:proofErr w:type="gramEnd"/>
          </w:p>
        </w:tc>
      </w:tr>
      <w:tr w:rsidR="00CA08B3" w:rsidRPr="00FB2719" w14:paraId="27F1EEE3" w14:textId="77777777" w:rsidTr="00CA08B3">
        <w:tc>
          <w:tcPr>
            <w:tcW w:w="2093" w:type="dxa"/>
            <w:tcBorders>
              <w:top w:val="single" w:sz="4" w:space="0" w:color="auto"/>
              <w:left w:val="single" w:sz="4" w:space="0" w:color="auto"/>
              <w:bottom w:val="single" w:sz="4" w:space="0" w:color="auto"/>
              <w:right w:val="single" w:sz="4" w:space="0" w:color="auto"/>
            </w:tcBorders>
          </w:tcPr>
          <w:p w14:paraId="08BB362F" w14:textId="77777777" w:rsidR="00CA08B3" w:rsidRPr="00FB2719" w:rsidRDefault="00CA08B3">
            <w:pPr>
              <w:tabs>
                <w:tab w:val="left" w:pos="567"/>
              </w:tabs>
              <w:spacing w:line="276" w:lineRule="auto"/>
              <w:rPr>
                <w:color w:val="000000"/>
                <w:sz w:val="22"/>
                <w:szCs w:val="22"/>
                <w:lang w:val="en-US" w:eastAsia="lt-LT"/>
              </w:rPr>
            </w:pPr>
          </w:p>
        </w:tc>
        <w:tc>
          <w:tcPr>
            <w:tcW w:w="2268" w:type="dxa"/>
            <w:tcBorders>
              <w:top w:val="single" w:sz="4" w:space="0" w:color="auto"/>
              <w:left w:val="single" w:sz="4" w:space="0" w:color="auto"/>
              <w:bottom w:val="single" w:sz="4" w:space="0" w:color="auto"/>
              <w:right w:val="single" w:sz="4" w:space="0" w:color="auto"/>
            </w:tcBorders>
            <w:hideMark/>
          </w:tcPr>
          <w:p w14:paraId="111A4D45" w14:textId="77777777" w:rsidR="00CA08B3" w:rsidRPr="00FB2719" w:rsidRDefault="00CA08B3">
            <w:pPr>
              <w:tabs>
                <w:tab w:val="left" w:pos="567"/>
              </w:tabs>
              <w:spacing w:line="276" w:lineRule="auto"/>
              <w:rPr>
                <w:color w:val="000000"/>
                <w:sz w:val="22"/>
                <w:szCs w:val="22"/>
                <w:lang w:val="en-US" w:eastAsia="lt-LT"/>
              </w:rPr>
            </w:pPr>
            <w:r w:rsidRPr="00FB2719">
              <w:rPr>
                <w:color w:val="000000"/>
                <w:sz w:val="22"/>
                <w:szCs w:val="22"/>
                <w:lang w:val="en-US" w:eastAsia="lt-LT"/>
              </w:rPr>
              <w:t>Kvetiapinas</w:t>
            </w:r>
          </w:p>
        </w:tc>
        <w:tc>
          <w:tcPr>
            <w:tcW w:w="4925" w:type="dxa"/>
            <w:tcBorders>
              <w:top w:val="single" w:sz="4" w:space="0" w:color="auto"/>
              <w:left w:val="single" w:sz="4" w:space="0" w:color="auto"/>
              <w:bottom w:val="single" w:sz="4" w:space="0" w:color="auto"/>
              <w:right w:val="single" w:sz="4" w:space="0" w:color="auto"/>
            </w:tcBorders>
            <w:hideMark/>
          </w:tcPr>
          <w:p w14:paraId="3912F947" w14:textId="77777777" w:rsidR="00CA08B3" w:rsidRPr="00FB2719" w:rsidRDefault="00CA08B3">
            <w:pPr>
              <w:tabs>
                <w:tab w:val="left" w:pos="567"/>
              </w:tabs>
              <w:spacing w:line="276" w:lineRule="auto"/>
              <w:rPr>
                <w:color w:val="000000"/>
                <w:sz w:val="22"/>
                <w:szCs w:val="22"/>
                <w:lang w:val="en-US" w:eastAsia="lt-LT"/>
              </w:rPr>
            </w:pPr>
            <w:r w:rsidRPr="00FB2719">
              <w:rPr>
                <w:color w:val="000000"/>
                <w:sz w:val="22"/>
                <w:szCs w:val="22"/>
                <w:lang w:val="en-US" w:eastAsia="lt-LT"/>
              </w:rPr>
              <w:t>Padidėja kvetiapino koncentracijos plazmoje, kas gali sukelti komą. Vartoti kartu su kvetiapinu draudžiama (žr. 4.5 skyrių).</w:t>
            </w:r>
          </w:p>
        </w:tc>
      </w:tr>
      <w:tr w:rsidR="00CA08B3" w:rsidRPr="00FB2719" w14:paraId="1F5082A8" w14:textId="77777777" w:rsidTr="00CA08B3">
        <w:tc>
          <w:tcPr>
            <w:tcW w:w="2093" w:type="dxa"/>
            <w:tcBorders>
              <w:top w:val="single" w:sz="4" w:space="0" w:color="auto"/>
              <w:left w:val="single" w:sz="4" w:space="0" w:color="auto"/>
              <w:bottom w:val="single" w:sz="4" w:space="0" w:color="auto"/>
              <w:right w:val="single" w:sz="4" w:space="0" w:color="auto"/>
            </w:tcBorders>
            <w:hideMark/>
          </w:tcPr>
          <w:p w14:paraId="076648FE" w14:textId="77777777" w:rsidR="00CA08B3" w:rsidRPr="00FB2719" w:rsidRDefault="00CA08B3">
            <w:pPr>
              <w:tabs>
                <w:tab w:val="left" w:pos="567"/>
              </w:tabs>
              <w:spacing w:line="276" w:lineRule="auto"/>
              <w:rPr>
                <w:color w:val="000000"/>
                <w:sz w:val="22"/>
                <w:szCs w:val="22"/>
                <w:lang w:val="en-US" w:eastAsia="lt-LT"/>
              </w:rPr>
            </w:pPr>
            <w:r w:rsidRPr="00FB2719">
              <w:rPr>
                <w:color w:val="000000"/>
                <w:sz w:val="22"/>
                <w:szCs w:val="22"/>
                <w:lang w:val="en-US" w:eastAsia="lt-LT"/>
              </w:rPr>
              <w:t>Skalsių alkaloidai</w:t>
            </w:r>
          </w:p>
        </w:tc>
        <w:tc>
          <w:tcPr>
            <w:tcW w:w="2268" w:type="dxa"/>
            <w:tcBorders>
              <w:top w:val="single" w:sz="4" w:space="0" w:color="auto"/>
              <w:left w:val="single" w:sz="4" w:space="0" w:color="auto"/>
              <w:bottom w:val="single" w:sz="4" w:space="0" w:color="auto"/>
              <w:right w:val="single" w:sz="4" w:space="0" w:color="auto"/>
            </w:tcBorders>
            <w:hideMark/>
          </w:tcPr>
          <w:p w14:paraId="7A0AF988" w14:textId="77777777" w:rsidR="00CA08B3" w:rsidRPr="00FB2719" w:rsidRDefault="00CA08B3">
            <w:pPr>
              <w:tabs>
                <w:tab w:val="left" w:pos="567"/>
              </w:tabs>
              <w:spacing w:line="276" w:lineRule="auto"/>
              <w:rPr>
                <w:color w:val="000000"/>
                <w:sz w:val="22"/>
                <w:szCs w:val="22"/>
                <w:lang w:val="en-US" w:eastAsia="lt-LT"/>
              </w:rPr>
            </w:pPr>
            <w:r w:rsidRPr="00FB2719">
              <w:rPr>
                <w:color w:val="000000"/>
                <w:sz w:val="22"/>
                <w:szCs w:val="22"/>
                <w:lang w:val="en-US" w:eastAsia="lt-LT"/>
              </w:rPr>
              <w:t>Dihidroergotaminas, ergonovinas, ergotaminas, metilergonovinas</w:t>
            </w:r>
          </w:p>
        </w:tc>
        <w:tc>
          <w:tcPr>
            <w:tcW w:w="4925" w:type="dxa"/>
            <w:tcBorders>
              <w:top w:val="single" w:sz="4" w:space="0" w:color="auto"/>
              <w:left w:val="single" w:sz="4" w:space="0" w:color="auto"/>
              <w:bottom w:val="single" w:sz="4" w:space="0" w:color="auto"/>
              <w:right w:val="single" w:sz="4" w:space="0" w:color="auto"/>
            </w:tcBorders>
            <w:hideMark/>
          </w:tcPr>
          <w:p w14:paraId="1213DEA1" w14:textId="77777777" w:rsidR="00CA08B3" w:rsidRPr="00FB2719" w:rsidRDefault="00CA08B3" w:rsidP="00DF256D">
            <w:pPr>
              <w:tabs>
                <w:tab w:val="left" w:pos="567"/>
              </w:tabs>
              <w:spacing w:line="276" w:lineRule="auto"/>
              <w:rPr>
                <w:color w:val="000000"/>
                <w:sz w:val="22"/>
                <w:szCs w:val="22"/>
                <w:lang w:val="en-US" w:eastAsia="lt-LT"/>
              </w:rPr>
            </w:pPr>
            <w:r w:rsidRPr="00FB2719">
              <w:rPr>
                <w:color w:val="000000"/>
                <w:sz w:val="22"/>
                <w:szCs w:val="22"/>
                <w:lang w:val="en-US" w:eastAsia="lt-LT"/>
              </w:rPr>
              <w:t>Skalsių alkaloidų darinių koncentracijų padidėjimas plazmoje gali sukelti ūminį toksinį skalsių poveikį, įskaitant kraujagyslių spazmą ir išemiją</w:t>
            </w:r>
            <w:r w:rsidR="00DF256D" w:rsidRPr="00FB2719">
              <w:rPr>
                <w:color w:val="000000"/>
                <w:sz w:val="22"/>
                <w:szCs w:val="22"/>
                <w:lang w:val="en-US" w:eastAsia="lt-LT"/>
              </w:rPr>
              <w:t xml:space="preserve"> (žr. 4.5 skyrių)</w:t>
            </w:r>
            <w:r w:rsidRPr="00FB2719">
              <w:rPr>
                <w:color w:val="000000"/>
                <w:sz w:val="22"/>
                <w:szCs w:val="22"/>
                <w:lang w:val="en-US" w:eastAsia="lt-LT"/>
              </w:rPr>
              <w:t>.</w:t>
            </w:r>
          </w:p>
        </w:tc>
      </w:tr>
      <w:tr w:rsidR="00CA08B3" w:rsidRPr="00FB2719" w14:paraId="755EB905" w14:textId="77777777" w:rsidTr="00CA08B3">
        <w:tc>
          <w:tcPr>
            <w:tcW w:w="2093" w:type="dxa"/>
            <w:tcBorders>
              <w:top w:val="single" w:sz="4" w:space="0" w:color="auto"/>
              <w:left w:val="single" w:sz="4" w:space="0" w:color="auto"/>
              <w:bottom w:val="single" w:sz="4" w:space="0" w:color="auto"/>
              <w:right w:val="single" w:sz="4" w:space="0" w:color="auto"/>
            </w:tcBorders>
            <w:hideMark/>
          </w:tcPr>
          <w:p w14:paraId="6EB13B66" w14:textId="77777777" w:rsidR="00CA08B3" w:rsidRPr="00FB2719" w:rsidRDefault="00CA08B3">
            <w:pPr>
              <w:tabs>
                <w:tab w:val="left" w:pos="567"/>
              </w:tabs>
              <w:spacing w:line="276" w:lineRule="auto"/>
              <w:rPr>
                <w:color w:val="000000"/>
                <w:sz w:val="22"/>
                <w:szCs w:val="22"/>
                <w:lang w:eastAsia="lt-LT"/>
              </w:rPr>
            </w:pPr>
            <w:r w:rsidRPr="00FB2719">
              <w:rPr>
                <w:color w:val="000000"/>
                <w:sz w:val="22"/>
                <w:szCs w:val="22"/>
                <w:lang w:eastAsia="lt-LT"/>
              </w:rPr>
              <w:t>Virškinimo trakto judrumą veikiančios medžiagos</w:t>
            </w:r>
          </w:p>
        </w:tc>
        <w:tc>
          <w:tcPr>
            <w:tcW w:w="2268" w:type="dxa"/>
            <w:tcBorders>
              <w:top w:val="single" w:sz="4" w:space="0" w:color="auto"/>
              <w:left w:val="single" w:sz="4" w:space="0" w:color="auto"/>
              <w:bottom w:val="single" w:sz="4" w:space="0" w:color="auto"/>
              <w:right w:val="single" w:sz="4" w:space="0" w:color="auto"/>
            </w:tcBorders>
            <w:hideMark/>
          </w:tcPr>
          <w:p w14:paraId="2040A620" w14:textId="77777777" w:rsidR="00CA08B3" w:rsidRPr="00FB2719" w:rsidRDefault="00CA08B3">
            <w:pPr>
              <w:tabs>
                <w:tab w:val="left" w:pos="567"/>
              </w:tabs>
              <w:spacing w:line="276" w:lineRule="auto"/>
              <w:rPr>
                <w:color w:val="000000"/>
                <w:sz w:val="22"/>
                <w:szCs w:val="22"/>
                <w:lang w:val="en-US" w:eastAsia="lt-LT"/>
              </w:rPr>
            </w:pPr>
            <w:r w:rsidRPr="00FB2719">
              <w:rPr>
                <w:color w:val="000000"/>
                <w:sz w:val="22"/>
                <w:szCs w:val="22"/>
                <w:lang w:val="en-US" w:eastAsia="lt-LT"/>
              </w:rPr>
              <w:t>Cisapridas</w:t>
            </w:r>
          </w:p>
        </w:tc>
        <w:tc>
          <w:tcPr>
            <w:tcW w:w="4925" w:type="dxa"/>
            <w:tcBorders>
              <w:top w:val="single" w:sz="4" w:space="0" w:color="auto"/>
              <w:left w:val="single" w:sz="4" w:space="0" w:color="auto"/>
              <w:bottom w:val="single" w:sz="4" w:space="0" w:color="auto"/>
              <w:right w:val="single" w:sz="4" w:space="0" w:color="auto"/>
            </w:tcBorders>
            <w:hideMark/>
          </w:tcPr>
          <w:p w14:paraId="6B31ED05" w14:textId="77777777" w:rsidR="00CA08B3" w:rsidRPr="00FB2719" w:rsidRDefault="00CA08B3" w:rsidP="00DF256D">
            <w:pPr>
              <w:tabs>
                <w:tab w:val="left" w:pos="567"/>
              </w:tabs>
              <w:spacing w:line="276" w:lineRule="auto"/>
              <w:rPr>
                <w:color w:val="000000"/>
                <w:sz w:val="22"/>
                <w:szCs w:val="22"/>
                <w:lang w:val="en-US" w:eastAsia="lt-LT"/>
              </w:rPr>
            </w:pPr>
            <w:r w:rsidRPr="00FB2719">
              <w:rPr>
                <w:color w:val="000000"/>
                <w:sz w:val="22"/>
                <w:szCs w:val="22"/>
                <w:lang w:val="en-US" w:eastAsia="lt-LT"/>
              </w:rPr>
              <w:t xml:space="preserve">Plazmoje padidėja cisaprido koncentracijos. Tuo būdu padidėja </w:t>
            </w:r>
            <w:r w:rsidR="00DF256D" w:rsidRPr="00FB2719">
              <w:rPr>
                <w:color w:val="000000"/>
                <w:sz w:val="22"/>
                <w:szCs w:val="22"/>
                <w:lang w:val="en-US" w:eastAsia="lt-LT"/>
              </w:rPr>
              <w:t xml:space="preserve">šios medžiagos sukeliamų </w:t>
            </w:r>
            <w:r w:rsidRPr="00FB2719">
              <w:rPr>
                <w:color w:val="000000"/>
                <w:sz w:val="22"/>
                <w:szCs w:val="22"/>
                <w:lang w:val="en-US" w:eastAsia="lt-LT"/>
              </w:rPr>
              <w:t>sunkių aritmijų rizika</w:t>
            </w:r>
            <w:r w:rsidR="00DF256D" w:rsidRPr="00FB2719">
              <w:rPr>
                <w:color w:val="000000"/>
                <w:sz w:val="22"/>
                <w:szCs w:val="22"/>
                <w:lang w:val="en-US" w:eastAsia="lt-LT"/>
              </w:rPr>
              <w:t xml:space="preserve"> (žr. 4.5 skyrių)</w:t>
            </w:r>
            <w:r w:rsidRPr="00FB2719">
              <w:rPr>
                <w:color w:val="000000"/>
                <w:sz w:val="22"/>
                <w:szCs w:val="22"/>
                <w:lang w:val="en-US" w:eastAsia="lt-LT"/>
              </w:rPr>
              <w:t>.</w:t>
            </w:r>
          </w:p>
        </w:tc>
      </w:tr>
      <w:tr w:rsidR="00DF256D" w:rsidRPr="00FB2719" w14:paraId="1733AE1D" w14:textId="77777777" w:rsidTr="00CA08B3">
        <w:tc>
          <w:tcPr>
            <w:tcW w:w="2093" w:type="dxa"/>
            <w:tcBorders>
              <w:top w:val="single" w:sz="4" w:space="0" w:color="auto"/>
              <w:left w:val="single" w:sz="4" w:space="0" w:color="auto"/>
              <w:bottom w:val="single" w:sz="4" w:space="0" w:color="auto"/>
              <w:right w:val="single" w:sz="4" w:space="0" w:color="auto"/>
            </w:tcBorders>
          </w:tcPr>
          <w:p w14:paraId="4DECFDB6" w14:textId="77777777" w:rsidR="00DF256D" w:rsidRPr="00FB2719" w:rsidRDefault="00DF256D" w:rsidP="00DF256D">
            <w:pPr>
              <w:tabs>
                <w:tab w:val="left" w:pos="567"/>
              </w:tabs>
              <w:spacing w:line="276" w:lineRule="auto"/>
              <w:rPr>
                <w:color w:val="000000"/>
                <w:sz w:val="22"/>
                <w:szCs w:val="22"/>
                <w:lang w:val="en-US" w:eastAsia="lt-LT"/>
              </w:rPr>
            </w:pPr>
            <w:r w:rsidRPr="00FB2719">
              <w:rPr>
                <w:color w:val="000000"/>
                <w:sz w:val="22"/>
                <w:szCs w:val="22"/>
                <w:lang w:val="en-US" w:eastAsia="lt-LT"/>
              </w:rPr>
              <w:t>Hepatito C virusą tiesiogiai veikiantys antivirusiniai vaistiniai preparatai</w:t>
            </w:r>
          </w:p>
        </w:tc>
        <w:tc>
          <w:tcPr>
            <w:tcW w:w="2268" w:type="dxa"/>
            <w:tcBorders>
              <w:top w:val="single" w:sz="4" w:space="0" w:color="auto"/>
              <w:left w:val="single" w:sz="4" w:space="0" w:color="auto"/>
              <w:bottom w:val="single" w:sz="4" w:space="0" w:color="auto"/>
              <w:right w:val="single" w:sz="4" w:space="0" w:color="auto"/>
            </w:tcBorders>
          </w:tcPr>
          <w:p w14:paraId="17CE0390" w14:textId="77777777" w:rsidR="00DF256D" w:rsidRPr="00FB2719" w:rsidRDefault="00DF256D" w:rsidP="00DF256D">
            <w:pPr>
              <w:tabs>
                <w:tab w:val="left" w:pos="567"/>
              </w:tabs>
              <w:spacing w:line="276" w:lineRule="auto"/>
              <w:rPr>
                <w:color w:val="000000"/>
                <w:sz w:val="22"/>
                <w:szCs w:val="22"/>
                <w:lang w:val="en-US" w:eastAsia="lt-LT"/>
              </w:rPr>
            </w:pPr>
            <w:r w:rsidRPr="00FB2719">
              <w:rPr>
                <w:color w:val="000000"/>
                <w:sz w:val="22"/>
                <w:szCs w:val="22"/>
                <w:lang w:val="en-US" w:eastAsia="lt-LT"/>
              </w:rPr>
              <w:t>Elbasviras /grazopreviras</w:t>
            </w:r>
          </w:p>
        </w:tc>
        <w:tc>
          <w:tcPr>
            <w:tcW w:w="4925" w:type="dxa"/>
            <w:tcBorders>
              <w:top w:val="single" w:sz="4" w:space="0" w:color="auto"/>
              <w:left w:val="single" w:sz="4" w:space="0" w:color="auto"/>
              <w:bottom w:val="single" w:sz="4" w:space="0" w:color="auto"/>
              <w:right w:val="single" w:sz="4" w:space="0" w:color="auto"/>
            </w:tcBorders>
          </w:tcPr>
          <w:p w14:paraId="556B79FC" w14:textId="77777777" w:rsidR="00DF256D" w:rsidRPr="00FB2719" w:rsidRDefault="00447DEF">
            <w:pPr>
              <w:tabs>
                <w:tab w:val="left" w:pos="567"/>
              </w:tabs>
              <w:spacing w:line="276" w:lineRule="auto"/>
              <w:rPr>
                <w:color w:val="000000"/>
                <w:sz w:val="22"/>
                <w:szCs w:val="22"/>
                <w:lang w:val="es-ES" w:eastAsia="lt-LT"/>
              </w:rPr>
            </w:pPr>
            <w:r w:rsidRPr="00FB2719">
              <w:rPr>
                <w:color w:val="000000"/>
                <w:sz w:val="22"/>
                <w:szCs w:val="22"/>
                <w:lang w:val="es-ES" w:eastAsia="lt-LT"/>
              </w:rPr>
              <w:t>Alanininės aminotranferazės (ALT) aktyvumo padidėjimo rizika (žr. 4.5 skyrių).</w:t>
            </w:r>
          </w:p>
        </w:tc>
      </w:tr>
      <w:tr w:rsidR="00DF256D" w:rsidRPr="00FB2719" w14:paraId="7DB1E209" w14:textId="77777777" w:rsidTr="00CA08B3">
        <w:tc>
          <w:tcPr>
            <w:tcW w:w="2093" w:type="dxa"/>
            <w:tcBorders>
              <w:top w:val="single" w:sz="4" w:space="0" w:color="auto"/>
              <w:left w:val="single" w:sz="4" w:space="0" w:color="auto"/>
              <w:bottom w:val="single" w:sz="4" w:space="0" w:color="auto"/>
              <w:right w:val="single" w:sz="4" w:space="0" w:color="auto"/>
            </w:tcBorders>
          </w:tcPr>
          <w:p w14:paraId="34AB41CA" w14:textId="77777777" w:rsidR="00DF256D" w:rsidRPr="00FB2719" w:rsidRDefault="00DF256D">
            <w:pPr>
              <w:tabs>
                <w:tab w:val="left" w:pos="567"/>
              </w:tabs>
              <w:spacing w:line="276" w:lineRule="auto"/>
              <w:rPr>
                <w:color w:val="000000"/>
                <w:sz w:val="22"/>
                <w:szCs w:val="22"/>
                <w:lang w:val="en-US" w:eastAsia="lt-LT"/>
              </w:rPr>
            </w:pPr>
          </w:p>
        </w:tc>
        <w:tc>
          <w:tcPr>
            <w:tcW w:w="2268" w:type="dxa"/>
            <w:tcBorders>
              <w:top w:val="single" w:sz="4" w:space="0" w:color="auto"/>
              <w:left w:val="single" w:sz="4" w:space="0" w:color="auto"/>
              <w:bottom w:val="single" w:sz="4" w:space="0" w:color="auto"/>
              <w:right w:val="single" w:sz="4" w:space="0" w:color="auto"/>
            </w:tcBorders>
          </w:tcPr>
          <w:p w14:paraId="29079F27" w14:textId="77777777" w:rsidR="00DF256D" w:rsidRPr="00FB2719" w:rsidRDefault="00DF256D" w:rsidP="00DF256D">
            <w:pPr>
              <w:tabs>
                <w:tab w:val="left" w:pos="567"/>
              </w:tabs>
              <w:spacing w:line="276" w:lineRule="auto"/>
              <w:rPr>
                <w:color w:val="000000"/>
                <w:sz w:val="22"/>
                <w:szCs w:val="22"/>
                <w:lang w:val="en-US" w:eastAsia="lt-LT"/>
              </w:rPr>
            </w:pPr>
            <w:r w:rsidRPr="00FB2719">
              <w:rPr>
                <w:color w:val="000000"/>
                <w:sz w:val="22"/>
                <w:szCs w:val="22"/>
                <w:lang w:val="en-US" w:eastAsia="lt-LT"/>
              </w:rPr>
              <w:t>Ombitasviras / paritapreviras / ritonaviras su arba be dasabuviro</w:t>
            </w:r>
          </w:p>
        </w:tc>
        <w:tc>
          <w:tcPr>
            <w:tcW w:w="4925" w:type="dxa"/>
            <w:tcBorders>
              <w:top w:val="single" w:sz="4" w:space="0" w:color="auto"/>
              <w:left w:val="single" w:sz="4" w:space="0" w:color="auto"/>
              <w:bottom w:val="single" w:sz="4" w:space="0" w:color="auto"/>
              <w:right w:val="single" w:sz="4" w:space="0" w:color="auto"/>
            </w:tcBorders>
          </w:tcPr>
          <w:p w14:paraId="24715A8F" w14:textId="77777777" w:rsidR="00DF256D" w:rsidRPr="00FB2719" w:rsidRDefault="00DF256D" w:rsidP="00DF256D">
            <w:pPr>
              <w:autoSpaceDE w:val="0"/>
              <w:autoSpaceDN w:val="0"/>
              <w:adjustRightInd w:val="0"/>
              <w:rPr>
                <w:rFonts w:ascii="TimesNewRomanPSMT" w:eastAsiaTheme="minorHAnsi" w:hAnsi="TimesNewRomanPSMT" w:cs="TimesNewRomanPSMT"/>
                <w:sz w:val="22"/>
                <w:szCs w:val="22"/>
              </w:rPr>
            </w:pPr>
            <w:r w:rsidRPr="00FB2719">
              <w:rPr>
                <w:rFonts w:ascii="TimesNewRomanPSMT" w:eastAsiaTheme="minorHAnsi" w:hAnsi="TimesNewRomanPSMT" w:cs="TimesNewRomanPSMT"/>
                <w:sz w:val="22"/>
                <w:szCs w:val="22"/>
              </w:rPr>
              <w:t>Alanininės aminotranferazės (ALT) aktyvumo padidėjimo rizika (žr. 4.5 skyrių).</w:t>
            </w:r>
          </w:p>
          <w:p w14:paraId="2BABED0D" w14:textId="3563DB01" w:rsidR="00DF256D" w:rsidRPr="00FB2719" w:rsidRDefault="00DF256D" w:rsidP="00FB2719">
            <w:pPr>
              <w:autoSpaceDE w:val="0"/>
              <w:autoSpaceDN w:val="0"/>
              <w:adjustRightInd w:val="0"/>
              <w:rPr>
                <w:color w:val="000000"/>
                <w:sz w:val="22"/>
                <w:szCs w:val="22"/>
                <w:lang w:val="es-ES" w:eastAsia="lt-LT"/>
              </w:rPr>
            </w:pPr>
            <w:r w:rsidRPr="00FB2719">
              <w:rPr>
                <w:rFonts w:ascii="TimesNewRomanPSMT" w:eastAsiaTheme="minorHAnsi" w:hAnsi="TimesNewRomanPSMT" w:cs="TimesNewRomanPSMT"/>
                <w:sz w:val="22"/>
                <w:szCs w:val="22"/>
              </w:rPr>
              <w:t>Padidėjusi paritaprevi</w:t>
            </w:r>
            <w:r w:rsidR="00FC65F3" w:rsidRPr="00FB2719">
              <w:rPr>
                <w:rFonts w:ascii="TimesNewRomanPSMT" w:eastAsiaTheme="minorHAnsi" w:hAnsi="TimesNewRomanPSMT" w:cs="TimesNewRomanPSMT"/>
                <w:sz w:val="22"/>
                <w:szCs w:val="22"/>
              </w:rPr>
              <w:t>r</w:t>
            </w:r>
            <w:r w:rsidRPr="00FB2719">
              <w:rPr>
                <w:rFonts w:ascii="TimesNewRomanPSMT" w:eastAsiaTheme="minorHAnsi" w:hAnsi="TimesNewRomanPSMT" w:cs="TimesNewRomanPSMT"/>
                <w:sz w:val="22"/>
                <w:szCs w:val="22"/>
              </w:rPr>
              <w:t>o koncentracija plazmoje; kartu alanininės aminotransferazės (ALT) aktyvumo padidėjimo rizika (žr. 4.5 skyrių).</w:t>
            </w:r>
          </w:p>
        </w:tc>
      </w:tr>
      <w:tr w:rsidR="00CA08B3" w:rsidRPr="00FB2719" w14:paraId="02AC88D0" w14:textId="77777777" w:rsidTr="00CA08B3">
        <w:tc>
          <w:tcPr>
            <w:tcW w:w="2093" w:type="dxa"/>
            <w:tcBorders>
              <w:top w:val="single" w:sz="4" w:space="0" w:color="auto"/>
              <w:left w:val="single" w:sz="4" w:space="0" w:color="auto"/>
              <w:bottom w:val="single" w:sz="4" w:space="0" w:color="auto"/>
              <w:right w:val="single" w:sz="4" w:space="0" w:color="auto"/>
            </w:tcBorders>
            <w:hideMark/>
          </w:tcPr>
          <w:p w14:paraId="2C397D10" w14:textId="77777777" w:rsidR="00CA08B3" w:rsidRPr="00FB2719" w:rsidRDefault="00CA08B3">
            <w:pPr>
              <w:tabs>
                <w:tab w:val="left" w:pos="567"/>
              </w:tabs>
              <w:spacing w:line="276" w:lineRule="auto"/>
              <w:rPr>
                <w:color w:val="000000"/>
                <w:sz w:val="22"/>
                <w:szCs w:val="22"/>
                <w:lang w:val="en-US" w:eastAsia="lt-LT"/>
              </w:rPr>
            </w:pPr>
            <w:r w:rsidRPr="00FB2719">
              <w:rPr>
                <w:color w:val="000000"/>
                <w:sz w:val="22"/>
                <w:szCs w:val="22"/>
                <w:lang w:val="en-US" w:eastAsia="lt-LT"/>
              </w:rPr>
              <w:t>HMG-KoA reduktazės inhibitoriai</w:t>
            </w:r>
          </w:p>
        </w:tc>
        <w:tc>
          <w:tcPr>
            <w:tcW w:w="2268" w:type="dxa"/>
            <w:tcBorders>
              <w:top w:val="single" w:sz="4" w:space="0" w:color="auto"/>
              <w:left w:val="single" w:sz="4" w:space="0" w:color="auto"/>
              <w:bottom w:val="single" w:sz="4" w:space="0" w:color="auto"/>
              <w:right w:val="single" w:sz="4" w:space="0" w:color="auto"/>
            </w:tcBorders>
            <w:hideMark/>
          </w:tcPr>
          <w:p w14:paraId="347FAA27" w14:textId="77777777" w:rsidR="00CA08B3" w:rsidRPr="00FB2719" w:rsidRDefault="00CA08B3">
            <w:pPr>
              <w:tabs>
                <w:tab w:val="left" w:pos="567"/>
              </w:tabs>
              <w:spacing w:line="276" w:lineRule="auto"/>
              <w:rPr>
                <w:color w:val="000000"/>
                <w:sz w:val="22"/>
                <w:szCs w:val="22"/>
                <w:lang w:val="en-US" w:eastAsia="lt-LT"/>
              </w:rPr>
            </w:pPr>
            <w:r w:rsidRPr="00FB2719">
              <w:rPr>
                <w:color w:val="000000"/>
                <w:sz w:val="22"/>
                <w:szCs w:val="22"/>
                <w:lang w:val="en-US" w:eastAsia="lt-LT"/>
              </w:rPr>
              <w:t>Lovastatinas, simvastatinas</w:t>
            </w:r>
          </w:p>
        </w:tc>
        <w:tc>
          <w:tcPr>
            <w:tcW w:w="4925" w:type="dxa"/>
            <w:tcBorders>
              <w:top w:val="single" w:sz="4" w:space="0" w:color="auto"/>
              <w:left w:val="single" w:sz="4" w:space="0" w:color="auto"/>
              <w:bottom w:val="single" w:sz="4" w:space="0" w:color="auto"/>
              <w:right w:val="single" w:sz="4" w:space="0" w:color="auto"/>
            </w:tcBorders>
            <w:hideMark/>
          </w:tcPr>
          <w:p w14:paraId="20AF5DC1" w14:textId="77777777" w:rsidR="00CA08B3" w:rsidRPr="00FB2719" w:rsidRDefault="00CA08B3">
            <w:pPr>
              <w:tabs>
                <w:tab w:val="left" w:pos="567"/>
              </w:tabs>
              <w:spacing w:line="276" w:lineRule="auto"/>
              <w:rPr>
                <w:color w:val="000000"/>
                <w:sz w:val="22"/>
                <w:szCs w:val="22"/>
                <w:lang w:val="es-ES" w:eastAsia="lt-LT"/>
              </w:rPr>
            </w:pPr>
            <w:r w:rsidRPr="00FB2719">
              <w:rPr>
                <w:color w:val="000000"/>
                <w:sz w:val="22"/>
                <w:szCs w:val="22"/>
                <w:lang w:val="es-ES" w:eastAsia="lt-LT"/>
              </w:rPr>
              <w:t>Plazmoje padidėja lovastatino ir simvastatino koncentracijos. Tuo būdu padidėja miopatijos, įskaitant rabdomiolizę, rizika (žr. 4.5 skyrių).</w:t>
            </w:r>
          </w:p>
        </w:tc>
      </w:tr>
      <w:tr w:rsidR="00CA08B3" w:rsidRPr="00FB2719" w14:paraId="5926AC04" w14:textId="77777777" w:rsidTr="00CA08B3">
        <w:tc>
          <w:tcPr>
            <w:tcW w:w="2093" w:type="dxa"/>
            <w:tcBorders>
              <w:top w:val="single" w:sz="4" w:space="0" w:color="auto"/>
              <w:left w:val="single" w:sz="4" w:space="0" w:color="auto"/>
              <w:bottom w:val="single" w:sz="4" w:space="0" w:color="auto"/>
              <w:right w:val="single" w:sz="4" w:space="0" w:color="auto"/>
            </w:tcBorders>
            <w:hideMark/>
          </w:tcPr>
          <w:p w14:paraId="300942EB" w14:textId="77777777" w:rsidR="00CA08B3" w:rsidRPr="00FB2719" w:rsidRDefault="00CA08B3">
            <w:pPr>
              <w:tabs>
                <w:tab w:val="left" w:pos="567"/>
              </w:tabs>
              <w:spacing w:line="276" w:lineRule="auto"/>
              <w:rPr>
                <w:color w:val="000000"/>
                <w:sz w:val="22"/>
                <w:szCs w:val="22"/>
                <w:lang w:val="en-US" w:eastAsia="lt-LT"/>
              </w:rPr>
            </w:pPr>
            <w:r w:rsidRPr="00FB2719">
              <w:rPr>
                <w:color w:val="000000"/>
                <w:sz w:val="22"/>
                <w:szCs w:val="22"/>
                <w:lang w:val="en-US" w:eastAsia="lt-LT"/>
              </w:rPr>
              <w:t>Fosfodiesterazės (FDE5) inhibitoriai</w:t>
            </w:r>
          </w:p>
        </w:tc>
        <w:tc>
          <w:tcPr>
            <w:tcW w:w="2268" w:type="dxa"/>
            <w:tcBorders>
              <w:top w:val="single" w:sz="4" w:space="0" w:color="auto"/>
              <w:left w:val="single" w:sz="4" w:space="0" w:color="auto"/>
              <w:bottom w:val="single" w:sz="4" w:space="0" w:color="auto"/>
              <w:right w:val="single" w:sz="4" w:space="0" w:color="auto"/>
            </w:tcBorders>
            <w:hideMark/>
          </w:tcPr>
          <w:p w14:paraId="6E59036B" w14:textId="77777777" w:rsidR="00CA08B3" w:rsidRPr="00FB2719" w:rsidRDefault="00CA08B3">
            <w:pPr>
              <w:tabs>
                <w:tab w:val="left" w:pos="567"/>
              </w:tabs>
              <w:spacing w:line="276" w:lineRule="auto"/>
              <w:rPr>
                <w:color w:val="000000"/>
                <w:sz w:val="22"/>
                <w:szCs w:val="22"/>
                <w:lang w:val="en-US" w:eastAsia="lt-LT"/>
              </w:rPr>
            </w:pPr>
            <w:r w:rsidRPr="00FB2719">
              <w:rPr>
                <w:color w:val="000000"/>
                <w:sz w:val="22"/>
                <w:szCs w:val="22"/>
                <w:lang w:val="en-US" w:eastAsia="lt-LT"/>
              </w:rPr>
              <w:t>Avanafilis</w:t>
            </w:r>
          </w:p>
        </w:tc>
        <w:tc>
          <w:tcPr>
            <w:tcW w:w="4925" w:type="dxa"/>
            <w:tcBorders>
              <w:top w:val="single" w:sz="4" w:space="0" w:color="auto"/>
              <w:left w:val="single" w:sz="4" w:space="0" w:color="auto"/>
              <w:bottom w:val="single" w:sz="4" w:space="0" w:color="auto"/>
              <w:right w:val="single" w:sz="4" w:space="0" w:color="auto"/>
            </w:tcBorders>
            <w:hideMark/>
          </w:tcPr>
          <w:p w14:paraId="67E50CBD" w14:textId="77777777" w:rsidR="00CA08B3" w:rsidRPr="00FB2719" w:rsidRDefault="00CA08B3">
            <w:pPr>
              <w:tabs>
                <w:tab w:val="left" w:pos="567"/>
              </w:tabs>
              <w:spacing w:line="276" w:lineRule="auto"/>
              <w:rPr>
                <w:color w:val="000000"/>
                <w:sz w:val="22"/>
                <w:szCs w:val="22"/>
                <w:lang w:val="es-ES" w:eastAsia="lt-LT"/>
              </w:rPr>
            </w:pPr>
            <w:r w:rsidRPr="00FB2719">
              <w:rPr>
                <w:color w:val="000000"/>
                <w:sz w:val="22"/>
                <w:szCs w:val="22"/>
                <w:lang w:val="es-ES" w:eastAsia="lt-LT"/>
              </w:rPr>
              <w:t>Padidėja avanafilio koncentracijos plazmoje (žr. 4.4 ir 4.5 skyrių).</w:t>
            </w:r>
          </w:p>
        </w:tc>
      </w:tr>
      <w:tr w:rsidR="00CA08B3" w:rsidRPr="00FB2719" w14:paraId="7F840419" w14:textId="77777777" w:rsidTr="00CA08B3">
        <w:tc>
          <w:tcPr>
            <w:tcW w:w="2093" w:type="dxa"/>
            <w:tcBorders>
              <w:top w:val="single" w:sz="4" w:space="0" w:color="auto"/>
              <w:left w:val="single" w:sz="4" w:space="0" w:color="auto"/>
              <w:bottom w:val="single" w:sz="4" w:space="0" w:color="auto"/>
              <w:right w:val="single" w:sz="4" w:space="0" w:color="auto"/>
            </w:tcBorders>
          </w:tcPr>
          <w:p w14:paraId="3BA1EADF" w14:textId="77777777" w:rsidR="00CA08B3" w:rsidRPr="00FB2719" w:rsidRDefault="00CA08B3">
            <w:pPr>
              <w:tabs>
                <w:tab w:val="left" w:pos="567"/>
              </w:tabs>
              <w:spacing w:line="276" w:lineRule="auto"/>
              <w:rPr>
                <w:color w:val="000000"/>
                <w:sz w:val="22"/>
                <w:szCs w:val="22"/>
                <w:lang w:val="es-ES" w:eastAsia="lt-LT"/>
              </w:rPr>
            </w:pPr>
          </w:p>
        </w:tc>
        <w:tc>
          <w:tcPr>
            <w:tcW w:w="2268" w:type="dxa"/>
            <w:tcBorders>
              <w:top w:val="single" w:sz="4" w:space="0" w:color="auto"/>
              <w:left w:val="single" w:sz="4" w:space="0" w:color="auto"/>
              <w:bottom w:val="single" w:sz="4" w:space="0" w:color="auto"/>
              <w:right w:val="single" w:sz="4" w:space="0" w:color="auto"/>
            </w:tcBorders>
            <w:hideMark/>
          </w:tcPr>
          <w:p w14:paraId="4DBC498C" w14:textId="77777777" w:rsidR="00CA08B3" w:rsidRPr="00FB2719" w:rsidRDefault="00CA08B3">
            <w:pPr>
              <w:tabs>
                <w:tab w:val="left" w:pos="567"/>
              </w:tabs>
              <w:spacing w:line="276" w:lineRule="auto"/>
              <w:rPr>
                <w:color w:val="000000"/>
                <w:sz w:val="22"/>
                <w:szCs w:val="22"/>
                <w:lang w:val="en-US" w:eastAsia="lt-LT"/>
              </w:rPr>
            </w:pPr>
            <w:r w:rsidRPr="00FB2719">
              <w:rPr>
                <w:color w:val="000000"/>
                <w:sz w:val="22"/>
                <w:szCs w:val="22"/>
                <w:lang w:val="en-US" w:eastAsia="lt-LT"/>
              </w:rPr>
              <w:t>Sildenafilis</w:t>
            </w:r>
          </w:p>
        </w:tc>
        <w:tc>
          <w:tcPr>
            <w:tcW w:w="4925" w:type="dxa"/>
            <w:tcBorders>
              <w:top w:val="single" w:sz="4" w:space="0" w:color="auto"/>
              <w:left w:val="single" w:sz="4" w:space="0" w:color="auto"/>
              <w:bottom w:val="single" w:sz="4" w:space="0" w:color="auto"/>
              <w:right w:val="single" w:sz="4" w:space="0" w:color="auto"/>
            </w:tcBorders>
            <w:hideMark/>
          </w:tcPr>
          <w:p w14:paraId="4B5E6636" w14:textId="77777777" w:rsidR="00CA08B3" w:rsidRPr="00FB2719" w:rsidRDefault="00CA08B3">
            <w:pPr>
              <w:tabs>
                <w:tab w:val="left" w:pos="567"/>
              </w:tabs>
              <w:spacing w:line="276" w:lineRule="auto"/>
              <w:rPr>
                <w:color w:val="000000"/>
                <w:sz w:val="22"/>
                <w:szCs w:val="22"/>
                <w:lang w:val="en-US" w:eastAsia="lt-LT"/>
              </w:rPr>
            </w:pPr>
            <w:r w:rsidRPr="00FB2719">
              <w:rPr>
                <w:color w:val="000000"/>
                <w:sz w:val="22"/>
                <w:szCs w:val="22"/>
                <w:lang w:val="en-US" w:eastAsia="lt-LT"/>
              </w:rPr>
              <w:t>Negalima kartu skirti tiktai gydant plautinę arterinę hipertenziją (PAH). Padidėja sildenafilio koncentracijos plazmoje. Tuo būdu padidėja su juo susijusių nepageidaujamų reiškinių (įskaitant hipotenziją ir apalpimą) galimybė. Žr. 4.4 skyrių ir 4.5 skyrių dėl sildenafilio vartojimo kartu pacientams, kuriems yra erekcijos sutrikimų.</w:t>
            </w:r>
          </w:p>
        </w:tc>
      </w:tr>
      <w:tr w:rsidR="00CA08B3" w:rsidRPr="00FB2719" w14:paraId="12F4193F" w14:textId="77777777" w:rsidTr="00CA08B3">
        <w:tc>
          <w:tcPr>
            <w:tcW w:w="2093" w:type="dxa"/>
            <w:tcBorders>
              <w:top w:val="single" w:sz="4" w:space="0" w:color="auto"/>
              <w:left w:val="single" w:sz="4" w:space="0" w:color="auto"/>
              <w:bottom w:val="single" w:sz="4" w:space="0" w:color="auto"/>
              <w:right w:val="single" w:sz="4" w:space="0" w:color="auto"/>
            </w:tcBorders>
          </w:tcPr>
          <w:p w14:paraId="069E3529" w14:textId="77777777" w:rsidR="00CA08B3" w:rsidRPr="00FB2719" w:rsidRDefault="00CA08B3">
            <w:pPr>
              <w:tabs>
                <w:tab w:val="left" w:pos="567"/>
              </w:tabs>
              <w:spacing w:line="276" w:lineRule="auto"/>
              <w:rPr>
                <w:color w:val="000000"/>
                <w:sz w:val="22"/>
                <w:szCs w:val="22"/>
                <w:lang w:val="en-US" w:eastAsia="lt-LT"/>
              </w:rPr>
            </w:pPr>
          </w:p>
        </w:tc>
        <w:tc>
          <w:tcPr>
            <w:tcW w:w="2268" w:type="dxa"/>
            <w:tcBorders>
              <w:top w:val="single" w:sz="4" w:space="0" w:color="auto"/>
              <w:left w:val="single" w:sz="4" w:space="0" w:color="auto"/>
              <w:bottom w:val="single" w:sz="4" w:space="0" w:color="auto"/>
              <w:right w:val="single" w:sz="4" w:space="0" w:color="auto"/>
            </w:tcBorders>
            <w:hideMark/>
          </w:tcPr>
          <w:p w14:paraId="7E6A25F4" w14:textId="77777777" w:rsidR="00CA08B3" w:rsidRPr="00FB2719" w:rsidRDefault="00CA08B3">
            <w:pPr>
              <w:tabs>
                <w:tab w:val="left" w:pos="567"/>
              </w:tabs>
              <w:spacing w:line="276" w:lineRule="auto"/>
              <w:rPr>
                <w:color w:val="000000"/>
                <w:sz w:val="22"/>
                <w:szCs w:val="22"/>
                <w:lang w:val="en-US" w:eastAsia="lt-LT"/>
              </w:rPr>
            </w:pPr>
            <w:r w:rsidRPr="00FB2719">
              <w:rPr>
                <w:color w:val="000000"/>
                <w:sz w:val="22"/>
                <w:szCs w:val="22"/>
                <w:lang w:val="en-US" w:eastAsia="lt-LT"/>
              </w:rPr>
              <w:t>Vardenafilis</w:t>
            </w:r>
          </w:p>
        </w:tc>
        <w:tc>
          <w:tcPr>
            <w:tcW w:w="4925" w:type="dxa"/>
            <w:tcBorders>
              <w:top w:val="single" w:sz="4" w:space="0" w:color="auto"/>
              <w:left w:val="single" w:sz="4" w:space="0" w:color="auto"/>
              <w:bottom w:val="single" w:sz="4" w:space="0" w:color="auto"/>
              <w:right w:val="single" w:sz="4" w:space="0" w:color="auto"/>
            </w:tcBorders>
          </w:tcPr>
          <w:p w14:paraId="493F0D75" w14:textId="77777777" w:rsidR="00CA08B3" w:rsidRPr="00FB2719" w:rsidRDefault="00CA08B3">
            <w:pPr>
              <w:tabs>
                <w:tab w:val="left" w:pos="567"/>
              </w:tabs>
              <w:spacing w:line="276" w:lineRule="auto"/>
              <w:rPr>
                <w:color w:val="000000"/>
                <w:sz w:val="22"/>
                <w:szCs w:val="22"/>
                <w:lang w:val="es-ES" w:eastAsia="lt-LT"/>
              </w:rPr>
            </w:pPr>
            <w:r w:rsidRPr="00FB2719">
              <w:rPr>
                <w:sz w:val="22"/>
                <w:szCs w:val="22"/>
              </w:rPr>
              <w:t xml:space="preserve">Padidėja vardenafilio koncentracijos plazmoje (žr. 4.4 ir 4.5 skyrius). </w:t>
            </w:r>
          </w:p>
        </w:tc>
      </w:tr>
      <w:tr w:rsidR="00CA08B3" w:rsidRPr="00FB2719" w14:paraId="6E077B35" w14:textId="77777777" w:rsidTr="00CA08B3">
        <w:tc>
          <w:tcPr>
            <w:tcW w:w="2093" w:type="dxa"/>
            <w:tcBorders>
              <w:top w:val="single" w:sz="4" w:space="0" w:color="auto"/>
              <w:left w:val="single" w:sz="4" w:space="0" w:color="auto"/>
              <w:bottom w:val="single" w:sz="4" w:space="0" w:color="auto"/>
              <w:right w:val="single" w:sz="4" w:space="0" w:color="auto"/>
            </w:tcBorders>
            <w:hideMark/>
          </w:tcPr>
          <w:p w14:paraId="39795443" w14:textId="77777777" w:rsidR="00CA08B3" w:rsidRPr="00FB2719" w:rsidRDefault="00CA08B3">
            <w:pPr>
              <w:tabs>
                <w:tab w:val="left" w:pos="567"/>
              </w:tabs>
              <w:spacing w:line="276" w:lineRule="auto"/>
              <w:rPr>
                <w:color w:val="000000"/>
                <w:sz w:val="22"/>
                <w:szCs w:val="22"/>
                <w:lang w:val="en-US" w:eastAsia="lt-LT"/>
              </w:rPr>
            </w:pPr>
            <w:r w:rsidRPr="00FB2719">
              <w:rPr>
                <w:color w:val="000000"/>
                <w:sz w:val="22"/>
                <w:szCs w:val="22"/>
                <w:lang w:val="en-US" w:eastAsia="lt-LT"/>
              </w:rPr>
              <w:t>Raminamieji / migdomieji vaistiniai preparatai</w:t>
            </w:r>
          </w:p>
        </w:tc>
        <w:tc>
          <w:tcPr>
            <w:tcW w:w="2268" w:type="dxa"/>
            <w:tcBorders>
              <w:top w:val="single" w:sz="4" w:space="0" w:color="auto"/>
              <w:left w:val="single" w:sz="4" w:space="0" w:color="auto"/>
              <w:bottom w:val="single" w:sz="4" w:space="0" w:color="auto"/>
              <w:right w:val="single" w:sz="4" w:space="0" w:color="auto"/>
            </w:tcBorders>
            <w:hideMark/>
          </w:tcPr>
          <w:p w14:paraId="7EA26807" w14:textId="77777777" w:rsidR="00CA08B3" w:rsidRPr="00FB2719" w:rsidRDefault="00CA08B3">
            <w:pPr>
              <w:tabs>
                <w:tab w:val="left" w:pos="567"/>
              </w:tabs>
              <w:spacing w:line="276" w:lineRule="auto"/>
              <w:rPr>
                <w:color w:val="000000"/>
                <w:sz w:val="22"/>
                <w:szCs w:val="22"/>
                <w:lang w:val="es-ES" w:eastAsia="lt-LT"/>
              </w:rPr>
            </w:pPr>
            <w:r w:rsidRPr="00FB2719">
              <w:rPr>
                <w:color w:val="000000"/>
                <w:sz w:val="22"/>
                <w:szCs w:val="22"/>
                <w:lang w:val="es-ES" w:eastAsia="lt-LT"/>
              </w:rPr>
              <w:t>Per burną vartojami midazolamas, triazolamas</w:t>
            </w:r>
          </w:p>
        </w:tc>
        <w:tc>
          <w:tcPr>
            <w:tcW w:w="4925" w:type="dxa"/>
            <w:tcBorders>
              <w:top w:val="single" w:sz="4" w:space="0" w:color="auto"/>
              <w:left w:val="single" w:sz="4" w:space="0" w:color="auto"/>
              <w:bottom w:val="single" w:sz="4" w:space="0" w:color="auto"/>
              <w:right w:val="single" w:sz="4" w:space="0" w:color="auto"/>
            </w:tcBorders>
            <w:hideMark/>
          </w:tcPr>
          <w:p w14:paraId="377DBEA4" w14:textId="77777777" w:rsidR="00CA08B3" w:rsidRPr="00FB2719" w:rsidRDefault="00CA08B3">
            <w:pPr>
              <w:pStyle w:val="Default"/>
              <w:spacing w:line="276" w:lineRule="auto"/>
              <w:rPr>
                <w:sz w:val="22"/>
                <w:szCs w:val="22"/>
                <w:lang w:val="lt-LT"/>
              </w:rPr>
            </w:pPr>
            <w:r w:rsidRPr="00FB2719">
              <w:rPr>
                <w:sz w:val="22"/>
                <w:szCs w:val="22"/>
                <w:lang w:val="lt-LT"/>
              </w:rPr>
              <w:t xml:space="preserve">Padidėja per burną vartojamų midazolamo ir triazolamo koncentracijos plazmoje. Tuo būdu nuo šių medžiagų padidėja kraštutinio raminamojo poveikio ir kvėpavimo slopinimo rizika. Apie atsargumą midazolamo vartojant parenteraliai žr. 4.5 skyrių. </w:t>
            </w:r>
          </w:p>
        </w:tc>
      </w:tr>
      <w:tr w:rsidR="00CA08B3" w:rsidRPr="00FB2719" w14:paraId="3A542FAA" w14:textId="77777777" w:rsidTr="00CA08B3">
        <w:tc>
          <w:tcPr>
            <w:tcW w:w="9286" w:type="dxa"/>
            <w:gridSpan w:val="3"/>
            <w:tcBorders>
              <w:top w:val="single" w:sz="4" w:space="0" w:color="auto"/>
              <w:left w:val="single" w:sz="4" w:space="0" w:color="auto"/>
              <w:bottom w:val="single" w:sz="4" w:space="0" w:color="auto"/>
              <w:right w:val="single" w:sz="4" w:space="0" w:color="auto"/>
            </w:tcBorders>
            <w:hideMark/>
          </w:tcPr>
          <w:p w14:paraId="300E9418" w14:textId="77777777" w:rsidR="00CA08B3" w:rsidRPr="00FB2719" w:rsidRDefault="00CA08B3">
            <w:pPr>
              <w:tabs>
                <w:tab w:val="left" w:pos="567"/>
              </w:tabs>
              <w:spacing w:line="276" w:lineRule="auto"/>
              <w:rPr>
                <w:color w:val="000000"/>
                <w:sz w:val="22"/>
                <w:szCs w:val="22"/>
                <w:lang w:val="it-IT" w:eastAsia="lt-LT"/>
              </w:rPr>
            </w:pPr>
            <w:r w:rsidRPr="00FB2719">
              <w:rPr>
                <w:b/>
                <w:bCs/>
                <w:sz w:val="22"/>
                <w:szCs w:val="22"/>
                <w:lang w:val="it-IT"/>
              </w:rPr>
              <w:t xml:space="preserve">Lopinaviro / ritonaviro vaistinio preparato lygis sumažėja </w:t>
            </w:r>
          </w:p>
        </w:tc>
      </w:tr>
      <w:tr w:rsidR="00CA08B3" w:rsidRPr="00FB2719" w14:paraId="409AFC7F" w14:textId="77777777" w:rsidTr="00CA08B3">
        <w:tc>
          <w:tcPr>
            <w:tcW w:w="2093" w:type="dxa"/>
            <w:tcBorders>
              <w:top w:val="single" w:sz="4" w:space="0" w:color="auto"/>
              <w:left w:val="single" w:sz="4" w:space="0" w:color="auto"/>
              <w:bottom w:val="single" w:sz="4" w:space="0" w:color="auto"/>
              <w:right w:val="single" w:sz="4" w:space="0" w:color="auto"/>
            </w:tcBorders>
            <w:hideMark/>
          </w:tcPr>
          <w:p w14:paraId="4AB56985" w14:textId="77777777" w:rsidR="00CA08B3" w:rsidRPr="00FB2719" w:rsidRDefault="00CA08B3">
            <w:pPr>
              <w:tabs>
                <w:tab w:val="left" w:pos="567"/>
              </w:tabs>
              <w:spacing w:line="276" w:lineRule="auto"/>
              <w:rPr>
                <w:color w:val="000000"/>
                <w:sz w:val="22"/>
                <w:szCs w:val="22"/>
                <w:lang w:val="en-US" w:eastAsia="lt-LT"/>
              </w:rPr>
            </w:pPr>
            <w:r w:rsidRPr="00FB2719">
              <w:rPr>
                <w:color w:val="000000"/>
                <w:sz w:val="22"/>
                <w:szCs w:val="22"/>
                <w:lang w:val="en-US" w:eastAsia="lt-LT"/>
              </w:rPr>
              <w:t>Vaistažolių preparatai</w:t>
            </w:r>
          </w:p>
        </w:tc>
        <w:tc>
          <w:tcPr>
            <w:tcW w:w="2268" w:type="dxa"/>
            <w:tcBorders>
              <w:top w:val="single" w:sz="4" w:space="0" w:color="auto"/>
              <w:left w:val="single" w:sz="4" w:space="0" w:color="auto"/>
              <w:bottom w:val="single" w:sz="4" w:space="0" w:color="auto"/>
              <w:right w:val="single" w:sz="4" w:space="0" w:color="auto"/>
            </w:tcBorders>
            <w:hideMark/>
          </w:tcPr>
          <w:p w14:paraId="2C9DE836" w14:textId="77777777" w:rsidR="00CA08B3" w:rsidRPr="00FB2719" w:rsidRDefault="00CA08B3">
            <w:pPr>
              <w:tabs>
                <w:tab w:val="left" w:pos="567"/>
              </w:tabs>
              <w:spacing w:line="276" w:lineRule="auto"/>
              <w:rPr>
                <w:color w:val="000000"/>
                <w:sz w:val="22"/>
                <w:szCs w:val="22"/>
                <w:lang w:val="en-US" w:eastAsia="lt-LT"/>
              </w:rPr>
            </w:pPr>
            <w:r w:rsidRPr="00FB2719">
              <w:rPr>
                <w:color w:val="000000"/>
                <w:sz w:val="22"/>
                <w:szCs w:val="22"/>
                <w:lang w:val="en-US" w:eastAsia="lt-LT"/>
              </w:rPr>
              <w:t>Jonažolės</w:t>
            </w:r>
          </w:p>
        </w:tc>
        <w:tc>
          <w:tcPr>
            <w:tcW w:w="4925" w:type="dxa"/>
            <w:tcBorders>
              <w:top w:val="single" w:sz="4" w:space="0" w:color="auto"/>
              <w:left w:val="single" w:sz="4" w:space="0" w:color="auto"/>
              <w:bottom w:val="single" w:sz="4" w:space="0" w:color="auto"/>
              <w:right w:val="single" w:sz="4" w:space="0" w:color="auto"/>
            </w:tcBorders>
            <w:hideMark/>
          </w:tcPr>
          <w:p w14:paraId="40E231BD" w14:textId="77777777" w:rsidR="00CA08B3" w:rsidRPr="00FB2719" w:rsidRDefault="00CA08B3">
            <w:pPr>
              <w:pStyle w:val="Default"/>
              <w:spacing w:line="276" w:lineRule="auto"/>
              <w:rPr>
                <w:sz w:val="22"/>
                <w:szCs w:val="22"/>
                <w:lang w:val="lt-LT"/>
              </w:rPr>
            </w:pPr>
            <w:r w:rsidRPr="00FB2719">
              <w:rPr>
                <w:sz w:val="22"/>
                <w:szCs w:val="22"/>
                <w:lang w:val="lt-LT"/>
              </w:rPr>
              <w:t>Vaistažolių preparatai, kuriuose yra jonažolių (</w:t>
            </w:r>
            <w:r w:rsidRPr="00FB2719">
              <w:rPr>
                <w:i/>
                <w:iCs/>
                <w:sz w:val="22"/>
                <w:szCs w:val="22"/>
                <w:lang w:val="lt-LT"/>
              </w:rPr>
              <w:t>Hypericum perforatum)</w:t>
            </w:r>
            <w:r w:rsidRPr="00FB2719">
              <w:rPr>
                <w:iCs/>
                <w:sz w:val="22"/>
                <w:szCs w:val="22"/>
                <w:lang w:val="lt-LT"/>
              </w:rPr>
              <w:t>,</w:t>
            </w:r>
            <w:r w:rsidRPr="00FB2719">
              <w:rPr>
                <w:i/>
                <w:iCs/>
                <w:sz w:val="22"/>
                <w:szCs w:val="22"/>
                <w:lang w:val="lt-LT"/>
              </w:rPr>
              <w:t xml:space="preserve"> </w:t>
            </w:r>
            <w:r w:rsidRPr="00FB2719">
              <w:rPr>
                <w:sz w:val="22"/>
                <w:szCs w:val="22"/>
                <w:lang w:val="lt-LT"/>
              </w:rPr>
              <w:t xml:space="preserve">dėl lopinaviro ir ritonaviro koncentracijų plazmoje ir klinikinio poveikio sumažėjimo rizikos (žr. 4.5 skyrių). </w:t>
            </w:r>
          </w:p>
        </w:tc>
      </w:tr>
    </w:tbl>
    <w:p w14:paraId="14D57000" w14:textId="77777777" w:rsidR="00CA08B3" w:rsidRPr="00FB2719" w:rsidRDefault="00CA08B3" w:rsidP="00CA08B3">
      <w:pPr>
        <w:tabs>
          <w:tab w:val="left" w:pos="567"/>
        </w:tabs>
        <w:rPr>
          <w:sz w:val="22"/>
          <w:szCs w:val="22"/>
        </w:rPr>
      </w:pPr>
    </w:p>
    <w:p w14:paraId="5B367E00" w14:textId="77777777" w:rsidR="00CA08B3" w:rsidRPr="00FB2719" w:rsidRDefault="00CA08B3" w:rsidP="00CA08B3">
      <w:pPr>
        <w:tabs>
          <w:tab w:val="left" w:pos="567"/>
        </w:tabs>
        <w:jc w:val="both"/>
        <w:rPr>
          <w:b/>
          <w:bCs/>
          <w:sz w:val="22"/>
          <w:szCs w:val="22"/>
        </w:rPr>
      </w:pPr>
      <w:r w:rsidRPr="00FB2719">
        <w:rPr>
          <w:b/>
          <w:bCs/>
          <w:sz w:val="22"/>
          <w:szCs w:val="22"/>
        </w:rPr>
        <w:t>4.4</w:t>
      </w:r>
      <w:r w:rsidRPr="00FB2719">
        <w:rPr>
          <w:b/>
          <w:bCs/>
          <w:sz w:val="22"/>
          <w:szCs w:val="22"/>
        </w:rPr>
        <w:tab/>
        <w:t xml:space="preserve">Specialūs įspėjimai ir atsargumo priemonės </w:t>
      </w:r>
    </w:p>
    <w:p w14:paraId="548CA336" w14:textId="77777777" w:rsidR="00CA08B3" w:rsidRPr="00FB2719" w:rsidRDefault="00CA08B3" w:rsidP="00CA08B3">
      <w:pPr>
        <w:tabs>
          <w:tab w:val="left" w:pos="567"/>
        </w:tabs>
        <w:rPr>
          <w:bCs/>
          <w:sz w:val="22"/>
          <w:szCs w:val="22"/>
        </w:rPr>
      </w:pPr>
    </w:p>
    <w:p w14:paraId="325E26F5" w14:textId="77777777" w:rsidR="00CA08B3" w:rsidRPr="00FB2719" w:rsidRDefault="00CA08B3" w:rsidP="00CA08B3">
      <w:pPr>
        <w:autoSpaceDE w:val="0"/>
        <w:autoSpaceDN w:val="0"/>
        <w:adjustRightInd w:val="0"/>
        <w:rPr>
          <w:iCs/>
          <w:color w:val="000000"/>
          <w:sz w:val="22"/>
          <w:szCs w:val="22"/>
          <w:u w:val="single"/>
          <w:lang w:eastAsia="lt-LT"/>
        </w:rPr>
      </w:pPr>
      <w:r w:rsidRPr="00FB2719">
        <w:rPr>
          <w:iCs/>
          <w:color w:val="000000"/>
          <w:sz w:val="22"/>
          <w:szCs w:val="22"/>
          <w:u w:val="single"/>
          <w:lang w:eastAsia="lt-LT"/>
        </w:rPr>
        <w:t xml:space="preserve">Pacientai, kartu sergantys ir kitomis ligomis </w:t>
      </w:r>
    </w:p>
    <w:p w14:paraId="610964C3" w14:textId="77777777" w:rsidR="00AA707B" w:rsidRPr="00FB2719" w:rsidRDefault="00AA707B" w:rsidP="00CA08B3">
      <w:pPr>
        <w:autoSpaceDE w:val="0"/>
        <w:autoSpaceDN w:val="0"/>
        <w:adjustRightInd w:val="0"/>
        <w:rPr>
          <w:i/>
          <w:iCs/>
          <w:color w:val="000000"/>
          <w:sz w:val="22"/>
          <w:szCs w:val="22"/>
          <w:lang w:eastAsia="lt-LT"/>
        </w:rPr>
      </w:pPr>
    </w:p>
    <w:p w14:paraId="406B6BED" w14:textId="77777777" w:rsidR="00AA707B" w:rsidRPr="00FB2719" w:rsidRDefault="00CA08B3" w:rsidP="00CA08B3">
      <w:pPr>
        <w:autoSpaceDE w:val="0"/>
        <w:autoSpaceDN w:val="0"/>
        <w:adjustRightInd w:val="0"/>
        <w:rPr>
          <w:color w:val="000000"/>
          <w:sz w:val="22"/>
          <w:szCs w:val="22"/>
          <w:lang w:eastAsia="lt-LT"/>
        </w:rPr>
      </w:pPr>
      <w:r w:rsidRPr="00FB2719">
        <w:rPr>
          <w:i/>
          <w:iCs/>
          <w:color w:val="000000"/>
          <w:sz w:val="22"/>
          <w:szCs w:val="22"/>
          <w:lang w:eastAsia="lt-LT"/>
        </w:rPr>
        <w:t>Kepenų pakenkimas</w:t>
      </w:r>
    </w:p>
    <w:p w14:paraId="741829D4" w14:textId="77777777" w:rsidR="00CA08B3" w:rsidRPr="00FB2719" w:rsidRDefault="00CA08B3" w:rsidP="00CA08B3">
      <w:pPr>
        <w:autoSpaceDE w:val="0"/>
        <w:autoSpaceDN w:val="0"/>
        <w:adjustRightInd w:val="0"/>
        <w:rPr>
          <w:color w:val="000000"/>
          <w:sz w:val="22"/>
          <w:szCs w:val="22"/>
          <w:lang w:eastAsia="lt-LT"/>
        </w:rPr>
      </w:pPr>
      <w:r w:rsidRPr="00FB2719">
        <w:rPr>
          <w:sz w:val="22"/>
          <w:szCs w:val="22"/>
        </w:rPr>
        <w:t>Lopinaviro / ritonaviro</w:t>
      </w:r>
      <w:r w:rsidRPr="00FB2719">
        <w:rPr>
          <w:color w:val="000000"/>
          <w:sz w:val="22"/>
          <w:szCs w:val="22"/>
          <w:lang w:eastAsia="lt-LT"/>
        </w:rPr>
        <w:t xml:space="preserve"> derinio saugumas ir veiksmingumas pacientams, kuriems yra reikšmingas pagrindinis kepenų sutrikimas, nenustatytas. </w:t>
      </w:r>
      <w:r w:rsidRPr="00FB2719">
        <w:rPr>
          <w:color w:val="000000"/>
          <w:sz w:val="22"/>
          <w:szCs w:val="22"/>
        </w:rPr>
        <w:t xml:space="preserve">Lopinavir/Ritonavir Sandoz negalima </w:t>
      </w:r>
      <w:r w:rsidRPr="00FB2719">
        <w:rPr>
          <w:color w:val="000000"/>
          <w:sz w:val="22"/>
          <w:szCs w:val="22"/>
          <w:lang w:eastAsia="lt-LT"/>
        </w:rPr>
        <w:t xml:space="preserve">skirti, kai yra sunkus kepenų funkcijos pakenkimas (žr. 4.3 skyrių). Sergantiems lėtiniu hepatitu B ar C pacientams, kuriems taikomas sudėtinis antiretrovirusinis gydymas, yra padidėjusi sunkių ir galimai mirtinų nepageidaujamų kepenų reakcijų rizika. Kai kartu skiriamas antivirusinis hepatito B ar C gydymas, žr. aktualią produkto informaciją apie šiuos vaistinius preparatus. </w:t>
      </w:r>
    </w:p>
    <w:p w14:paraId="5E0995D6" w14:textId="77777777" w:rsidR="00CA08B3" w:rsidRPr="00FB2719" w:rsidRDefault="00CA08B3" w:rsidP="00CA08B3">
      <w:pPr>
        <w:tabs>
          <w:tab w:val="left" w:pos="567"/>
        </w:tabs>
        <w:rPr>
          <w:color w:val="000000"/>
          <w:sz w:val="22"/>
          <w:szCs w:val="22"/>
          <w:lang w:eastAsia="lt-LT"/>
        </w:rPr>
      </w:pPr>
    </w:p>
    <w:p w14:paraId="30C61B45" w14:textId="77777777" w:rsidR="00CA08B3" w:rsidRPr="00FB2719" w:rsidRDefault="00CA08B3" w:rsidP="00CA08B3">
      <w:pPr>
        <w:tabs>
          <w:tab w:val="left" w:pos="567"/>
        </w:tabs>
        <w:rPr>
          <w:bCs/>
          <w:sz w:val="22"/>
          <w:szCs w:val="22"/>
        </w:rPr>
      </w:pPr>
      <w:r w:rsidRPr="00FB2719">
        <w:rPr>
          <w:color w:val="000000"/>
          <w:sz w:val="22"/>
          <w:szCs w:val="22"/>
          <w:lang w:eastAsia="lt-LT"/>
        </w:rPr>
        <w:t>Pacientams, kuriems iš anksčiau yra kepenų funkcijos sutrikimas, įskaitant lėtinį hepatitą, taikant sudėtinį antiretrovirusinį gydymą dažniau sutrinka kepenų funkcija, todėl juos reikia stebėti pagal standartinius reikalavimus. Jeigu tokiems pacientams yra kepenų ligos pablogėjimo požymių, turi būti apsvarstyta, ar nereikia pertraukti arba nutraukti gydymą.</w:t>
      </w:r>
    </w:p>
    <w:p w14:paraId="3B10E874" w14:textId="77777777" w:rsidR="00CA08B3" w:rsidRPr="00FB2719" w:rsidRDefault="00CA08B3" w:rsidP="00CA08B3">
      <w:pPr>
        <w:tabs>
          <w:tab w:val="left" w:pos="567"/>
        </w:tabs>
        <w:rPr>
          <w:bCs/>
          <w:sz w:val="22"/>
          <w:szCs w:val="22"/>
        </w:rPr>
      </w:pPr>
    </w:p>
    <w:p w14:paraId="12B2816F" w14:textId="77777777" w:rsidR="00CA08B3" w:rsidRPr="00FB2719" w:rsidRDefault="00CA08B3" w:rsidP="00CA08B3">
      <w:pPr>
        <w:autoSpaceDE w:val="0"/>
        <w:autoSpaceDN w:val="0"/>
        <w:adjustRightInd w:val="0"/>
        <w:rPr>
          <w:color w:val="000000"/>
          <w:sz w:val="22"/>
          <w:szCs w:val="22"/>
          <w:lang w:eastAsia="lt-LT"/>
        </w:rPr>
      </w:pPr>
      <w:r w:rsidRPr="00FB2719">
        <w:rPr>
          <w:color w:val="000000"/>
          <w:sz w:val="22"/>
          <w:szCs w:val="22"/>
          <w:lang w:eastAsia="lt-LT"/>
        </w:rPr>
        <w:t>Buvo gauta pranešimų, jog ŽIV-1 monoinfekuotiems pacientams ir pacientams, kuriems po buvusios ekspozicijos pradedamas profilaktinis gydymas lopinaviro / ritonaviro deriniu kartu kitais antiretrovirusiniais vaistiniais preparatais, ne anksčiau kaip po 7</w:t>
      </w:r>
      <w:r w:rsidR="00BB3B4D" w:rsidRPr="00FB2719">
        <w:rPr>
          <w:color w:val="000000"/>
          <w:sz w:val="22"/>
          <w:szCs w:val="22"/>
          <w:lang w:eastAsia="lt-LT"/>
        </w:rPr>
        <w:t> </w:t>
      </w:r>
      <w:r w:rsidRPr="00FB2719">
        <w:rPr>
          <w:color w:val="000000"/>
          <w:sz w:val="22"/>
          <w:szCs w:val="22"/>
          <w:lang w:eastAsia="lt-LT"/>
        </w:rPr>
        <w:t xml:space="preserve">parų padidėjo transaminazių aktyvumas kartu su bilirubino kiekio padidėjimu arba be jo. Kai kuriais atvejais kepenų funkcijos sutrikimas buvo sunkus. </w:t>
      </w:r>
    </w:p>
    <w:p w14:paraId="651C4A40" w14:textId="77777777" w:rsidR="00CA08B3" w:rsidRPr="00FB2719" w:rsidRDefault="00CA08B3" w:rsidP="00CA08B3">
      <w:pPr>
        <w:autoSpaceDE w:val="0"/>
        <w:autoSpaceDN w:val="0"/>
        <w:adjustRightInd w:val="0"/>
        <w:rPr>
          <w:color w:val="000000"/>
          <w:sz w:val="22"/>
          <w:szCs w:val="22"/>
          <w:lang w:eastAsia="lt-LT"/>
        </w:rPr>
      </w:pPr>
    </w:p>
    <w:p w14:paraId="09596BAB" w14:textId="77777777" w:rsidR="00CA08B3" w:rsidRPr="00FB2719" w:rsidRDefault="00CA08B3" w:rsidP="00CA08B3">
      <w:pPr>
        <w:autoSpaceDE w:val="0"/>
        <w:autoSpaceDN w:val="0"/>
        <w:adjustRightInd w:val="0"/>
        <w:rPr>
          <w:color w:val="000000"/>
          <w:sz w:val="22"/>
          <w:szCs w:val="22"/>
          <w:lang w:eastAsia="lt-LT"/>
        </w:rPr>
      </w:pPr>
      <w:r w:rsidRPr="00FB2719">
        <w:rPr>
          <w:color w:val="000000"/>
          <w:sz w:val="22"/>
          <w:szCs w:val="22"/>
          <w:lang w:eastAsia="lt-LT"/>
        </w:rPr>
        <w:t xml:space="preserve">Prieš pradedant gydymą lopinaviro / ritonaviro deriniu turi būti atlikti reikiami laboratoriniai tyrimai ir gydymo metu turi būti vykdomas atidus stebėjimas. </w:t>
      </w:r>
    </w:p>
    <w:p w14:paraId="4684409C" w14:textId="77777777" w:rsidR="00CA08B3" w:rsidRPr="00FB2719" w:rsidRDefault="00CA08B3" w:rsidP="00CA08B3">
      <w:pPr>
        <w:autoSpaceDE w:val="0"/>
        <w:autoSpaceDN w:val="0"/>
        <w:adjustRightInd w:val="0"/>
        <w:rPr>
          <w:i/>
          <w:iCs/>
          <w:color w:val="000000"/>
          <w:sz w:val="22"/>
          <w:szCs w:val="22"/>
          <w:lang w:eastAsia="lt-LT"/>
        </w:rPr>
      </w:pPr>
    </w:p>
    <w:p w14:paraId="5AAF7112" w14:textId="77777777" w:rsidR="00AA707B" w:rsidRPr="00FB2719" w:rsidRDefault="00CA08B3" w:rsidP="00CA08B3">
      <w:pPr>
        <w:autoSpaceDE w:val="0"/>
        <w:autoSpaceDN w:val="0"/>
        <w:adjustRightInd w:val="0"/>
        <w:rPr>
          <w:color w:val="000000"/>
          <w:sz w:val="22"/>
          <w:szCs w:val="22"/>
          <w:lang w:eastAsia="lt-LT"/>
        </w:rPr>
      </w:pPr>
      <w:r w:rsidRPr="00FB2719">
        <w:rPr>
          <w:i/>
          <w:iCs/>
          <w:color w:val="000000"/>
          <w:sz w:val="22"/>
          <w:szCs w:val="22"/>
          <w:lang w:eastAsia="lt-LT"/>
        </w:rPr>
        <w:t>Inkstų pakenkimas</w:t>
      </w:r>
      <w:r w:rsidRPr="00FB2719">
        <w:rPr>
          <w:color w:val="000000"/>
          <w:sz w:val="22"/>
          <w:szCs w:val="22"/>
          <w:lang w:eastAsia="lt-LT"/>
        </w:rPr>
        <w:t xml:space="preserve"> </w:t>
      </w:r>
    </w:p>
    <w:p w14:paraId="1791958F" w14:textId="77777777" w:rsidR="00CA08B3" w:rsidRPr="00FB2719" w:rsidRDefault="00CA08B3" w:rsidP="00CA08B3">
      <w:pPr>
        <w:autoSpaceDE w:val="0"/>
        <w:autoSpaceDN w:val="0"/>
        <w:adjustRightInd w:val="0"/>
        <w:rPr>
          <w:color w:val="000000"/>
          <w:sz w:val="22"/>
          <w:szCs w:val="22"/>
          <w:lang w:eastAsia="lt-LT"/>
        </w:rPr>
      </w:pPr>
      <w:r w:rsidRPr="00FB2719">
        <w:rPr>
          <w:color w:val="000000"/>
          <w:sz w:val="22"/>
          <w:szCs w:val="22"/>
          <w:lang w:eastAsia="lt-LT"/>
        </w:rPr>
        <w:t xml:space="preserve">Kadangi lopinaviro ir ritonaviro inkstų klirensas yra nereikšmingas, nesitikima, kad pacientams, kuriems yra inkstų funkcijos pakenkimas, padidės šių vaistinių preparatų koncentracija plazmoje. </w:t>
      </w:r>
      <w:r w:rsidRPr="00FB2719">
        <w:rPr>
          <w:color w:val="000000"/>
          <w:sz w:val="22"/>
          <w:szCs w:val="22"/>
        </w:rPr>
        <w:t>Kadangi lopinaviras ir ritonaviras yra labai surišti su baltymu, jų reikšmingas pašalinimas peritonine ar hemodialize yra neįtikėtinas</w:t>
      </w:r>
      <w:r w:rsidRPr="00FB2719">
        <w:rPr>
          <w:color w:val="000000"/>
          <w:sz w:val="22"/>
          <w:szCs w:val="22"/>
          <w:lang w:eastAsia="lt-LT"/>
        </w:rPr>
        <w:t xml:space="preserve">. </w:t>
      </w:r>
    </w:p>
    <w:p w14:paraId="47235681" w14:textId="77777777" w:rsidR="00CA08B3" w:rsidRPr="00FB2719" w:rsidRDefault="00CA08B3" w:rsidP="00CA08B3">
      <w:pPr>
        <w:tabs>
          <w:tab w:val="left" w:pos="567"/>
        </w:tabs>
        <w:rPr>
          <w:i/>
          <w:iCs/>
          <w:color w:val="000000"/>
          <w:sz w:val="22"/>
          <w:szCs w:val="22"/>
          <w:lang w:eastAsia="lt-LT"/>
        </w:rPr>
      </w:pPr>
    </w:p>
    <w:p w14:paraId="31BA7E9D" w14:textId="77777777" w:rsidR="00AA707B" w:rsidRPr="00FB2719" w:rsidRDefault="00CA08B3" w:rsidP="00CA08B3">
      <w:pPr>
        <w:tabs>
          <w:tab w:val="left" w:pos="567"/>
        </w:tabs>
        <w:rPr>
          <w:color w:val="000000"/>
          <w:sz w:val="22"/>
          <w:szCs w:val="22"/>
          <w:lang w:eastAsia="lt-LT"/>
        </w:rPr>
      </w:pPr>
      <w:r w:rsidRPr="00FB2719">
        <w:rPr>
          <w:i/>
          <w:iCs/>
          <w:color w:val="000000"/>
          <w:sz w:val="22"/>
          <w:szCs w:val="22"/>
          <w:lang w:eastAsia="lt-LT"/>
        </w:rPr>
        <w:t>Hemofilija</w:t>
      </w:r>
    </w:p>
    <w:p w14:paraId="5A980827" w14:textId="77777777" w:rsidR="00CA08B3" w:rsidRPr="00FB2719" w:rsidRDefault="00CA08B3" w:rsidP="00CA08B3">
      <w:pPr>
        <w:tabs>
          <w:tab w:val="left" w:pos="567"/>
        </w:tabs>
        <w:rPr>
          <w:bCs/>
          <w:sz w:val="22"/>
          <w:szCs w:val="22"/>
        </w:rPr>
      </w:pPr>
      <w:r w:rsidRPr="00FB2719">
        <w:rPr>
          <w:color w:val="000000"/>
          <w:sz w:val="22"/>
          <w:szCs w:val="22"/>
          <w:lang w:eastAsia="lt-LT"/>
        </w:rPr>
        <w:t>Yra pranešimų apie padidėjusį kraujavimą, taip pat savaimines odos kraujosruvas ir kraujavimą į sąnarius pacientams, kuriems yra A bei B tipo hemofilija, gydytiems proteazės inhibitoriais. Kai kuriems iš jų buvo papildomai skiriamas VIII faktorius. Daugiau kaip pusei šių asmenų buvo tęsiamas ar atnaujintas nutrauktas gydymas proteazės inhibitoriais. Nustatytas priežastinis ryšys, nors veikimo mechanizmas neišaiškintas. Todėl hemofilija sergantys pacientai turi būti informuoti apie didesnę kraujavimo galimybę.</w:t>
      </w:r>
    </w:p>
    <w:p w14:paraId="157DA613" w14:textId="77777777" w:rsidR="00CA08B3" w:rsidRPr="00FB2719" w:rsidRDefault="00CA08B3" w:rsidP="00CA08B3">
      <w:pPr>
        <w:autoSpaceDE w:val="0"/>
        <w:autoSpaceDN w:val="0"/>
        <w:adjustRightInd w:val="0"/>
        <w:rPr>
          <w:i/>
          <w:iCs/>
          <w:color w:val="000000"/>
          <w:sz w:val="22"/>
          <w:szCs w:val="22"/>
          <w:lang w:eastAsia="lt-LT"/>
        </w:rPr>
      </w:pPr>
    </w:p>
    <w:p w14:paraId="1058DB95" w14:textId="77777777" w:rsidR="00CA08B3" w:rsidRPr="00FB2719" w:rsidRDefault="00CA08B3" w:rsidP="00CA08B3">
      <w:pPr>
        <w:autoSpaceDE w:val="0"/>
        <w:autoSpaceDN w:val="0"/>
        <w:adjustRightInd w:val="0"/>
        <w:rPr>
          <w:i/>
          <w:color w:val="000000"/>
          <w:sz w:val="22"/>
          <w:szCs w:val="22"/>
          <w:lang w:eastAsia="lt-LT"/>
        </w:rPr>
      </w:pPr>
      <w:r w:rsidRPr="00FB2719">
        <w:rPr>
          <w:i/>
          <w:iCs/>
          <w:color w:val="000000"/>
          <w:sz w:val="22"/>
          <w:szCs w:val="22"/>
          <w:lang w:eastAsia="lt-LT"/>
        </w:rPr>
        <w:t xml:space="preserve">Kasos uždegimas </w:t>
      </w:r>
    </w:p>
    <w:p w14:paraId="3BEC8AD7" w14:textId="77777777" w:rsidR="00CA08B3" w:rsidRPr="00FB2719" w:rsidRDefault="00CA08B3" w:rsidP="00CA08B3">
      <w:pPr>
        <w:autoSpaceDE w:val="0"/>
        <w:autoSpaceDN w:val="0"/>
        <w:adjustRightInd w:val="0"/>
        <w:rPr>
          <w:color w:val="000000"/>
          <w:sz w:val="22"/>
          <w:szCs w:val="22"/>
          <w:lang w:eastAsia="lt-LT"/>
        </w:rPr>
      </w:pPr>
      <w:r w:rsidRPr="00FB2719">
        <w:rPr>
          <w:color w:val="000000"/>
          <w:sz w:val="22"/>
          <w:szCs w:val="22"/>
          <w:lang w:eastAsia="lt-LT"/>
        </w:rPr>
        <w:t xml:space="preserve">Buvo pranešta apie kasos uždegimo lopinaviro / ritonaviro derinio vartojantiems pacientams, įskaitant tuos, kuriems išsivystė hipertrigliceridemija. Daugumoje šių atvejų pacientams anksčiau yra buvęs kasos uždegimas ir (arba) jiems kartu buvo taikomas gydymas, susijęs su kasos uždegimu. Ženkliai padidėjęs trigliceridų kiekis yra kasos uždegimo išsivystymo rizikos veiksnys. Pacientams, kuriems yra pažengusi ŽIV liga, yra didesnė trigliceridų kiekio padidėjimo ir kasos uždegimo išsivystymo rizika. </w:t>
      </w:r>
    </w:p>
    <w:p w14:paraId="7C973E48" w14:textId="77777777" w:rsidR="003C15FD" w:rsidRPr="00FB2719" w:rsidRDefault="003C15FD" w:rsidP="00CA08B3">
      <w:pPr>
        <w:autoSpaceDE w:val="0"/>
        <w:autoSpaceDN w:val="0"/>
        <w:adjustRightInd w:val="0"/>
        <w:rPr>
          <w:color w:val="000000"/>
          <w:sz w:val="22"/>
          <w:szCs w:val="22"/>
          <w:lang w:eastAsia="lt-LT"/>
        </w:rPr>
      </w:pPr>
    </w:p>
    <w:p w14:paraId="513D4ABD" w14:textId="77777777" w:rsidR="00CA08B3" w:rsidRPr="00FB2719" w:rsidRDefault="00CA08B3" w:rsidP="00CA08B3">
      <w:pPr>
        <w:autoSpaceDE w:val="0"/>
        <w:autoSpaceDN w:val="0"/>
        <w:adjustRightInd w:val="0"/>
        <w:rPr>
          <w:color w:val="000000"/>
          <w:sz w:val="22"/>
          <w:szCs w:val="22"/>
          <w:lang w:eastAsia="lt-LT"/>
        </w:rPr>
      </w:pPr>
      <w:r w:rsidRPr="00FB2719">
        <w:rPr>
          <w:color w:val="000000"/>
          <w:sz w:val="22"/>
          <w:szCs w:val="22"/>
          <w:lang w:eastAsia="lt-LT"/>
        </w:rPr>
        <w:t xml:space="preserve">Apie kasos uždegimą turi būti pagalvota atsiradus jam būdingų klinikinių simptomų (pykinimui, vėmimui, pilvo skausmui) ar laboratorinių rodiklių pokyčių (pvz., padidėjus serumo lipazės ar amilazės aktyvumui). Pacientus, kuriems atsiranda šių požymių, reikia ištirti ir nutraukti gydymą </w:t>
      </w:r>
      <w:r w:rsidRPr="00FB2719">
        <w:rPr>
          <w:color w:val="000000"/>
          <w:sz w:val="22"/>
          <w:szCs w:val="22"/>
        </w:rPr>
        <w:t>Lopinavir / Ritonavir Sandoz,</w:t>
      </w:r>
      <w:r w:rsidRPr="00FB2719">
        <w:rPr>
          <w:color w:val="000000"/>
          <w:sz w:val="22"/>
          <w:szCs w:val="22"/>
          <w:lang w:eastAsia="lt-LT"/>
        </w:rPr>
        <w:t xml:space="preserve"> jeigu patvirtinama kasos uždegimo diagnozė (žr. 4.8 skyrių). </w:t>
      </w:r>
    </w:p>
    <w:p w14:paraId="376914CB" w14:textId="77777777" w:rsidR="00CA08B3" w:rsidRPr="00FB2719" w:rsidRDefault="00CA08B3" w:rsidP="00CA08B3">
      <w:pPr>
        <w:autoSpaceDE w:val="0"/>
        <w:autoSpaceDN w:val="0"/>
        <w:adjustRightInd w:val="0"/>
        <w:rPr>
          <w:i/>
          <w:iCs/>
          <w:color w:val="000000"/>
          <w:sz w:val="22"/>
          <w:szCs w:val="22"/>
          <w:lang w:eastAsia="lt-LT"/>
        </w:rPr>
      </w:pPr>
    </w:p>
    <w:p w14:paraId="2AC70F35" w14:textId="77777777" w:rsidR="00FC65F3" w:rsidRPr="00FB2719" w:rsidRDefault="00FC65F3" w:rsidP="00CA08B3">
      <w:pPr>
        <w:autoSpaceDE w:val="0"/>
        <w:autoSpaceDN w:val="0"/>
        <w:adjustRightInd w:val="0"/>
        <w:rPr>
          <w:i/>
          <w:iCs/>
          <w:color w:val="000000"/>
          <w:sz w:val="22"/>
          <w:szCs w:val="22"/>
          <w:lang w:eastAsia="lt-LT"/>
        </w:rPr>
      </w:pPr>
    </w:p>
    <w:p w14:paraId="319F2DC3" w14:textId="77777777" w:rsidR="00FC65F3" w:rsidRPr="00FB2719" w:rsidRDefault="00FC65F3" w:rsidP="00CA08B3">
      <w:pPr>
        <w:autoSpaceDE w:val="0"/>
        <w:autoSpaceDN w:val="0"/>
        <w:adjustRightInd w:val="0"/>
        <w:rPr>
          <w:i/>
          <w:iCs/>
          <w:color w:val="000000"/>
          <w:sz w:val="22"/>
          <w:szCs w:val="22"/>
          <w:lang w:eastAsia="lt-LT"/>
        </w:rPr>
      </w:pPr>
    </w:p>
    <w:p w14:paraId="554F8B4F" w14:textId="77777777" w:rsidR="00CA08B3" w:rsidRPr="00FB2719" w:rsidRDefault="003C15FD" w:rsidP="00CA08B3">
      <w:pPr>
        <w:autoSpaceDE w:val="0"/>
        <w:autoSpaceDN w:val="0"/>
        <w:adjustRightInd w:val="0"/>
        <w:rPr>
          <w:i/>
          <w:color w:val="000000"/>
          <w:sz w:val="22"/>
          <w:szCs w:val="22"/>
          <w:lang w:eastAsia="lt-LT"/>
        </w:rPr>
      </w:pPr>
      <w:r w:rsidRPr="00FB2719">
        <w:rPr>
          <w:i/>
          <w:iCs/>
          <w:color w:val="000000"/>
          <w:sz w:val="22"/>
          <w:szCs w:val="22"/>
          <w:lang w:eastAsia="lt-LT"/>
        </w:rPr>
        <w:t>Imuniteto atsistatymo uždegiminis sindromas</w:t>
      </w:r>
      <w:r w:rsidRPr="00FB2719" w:rsidDel="003C15FD">
        <w:rPr>
          <w:i/>
          <w:iCs/>
          <w:color w:val="000000"/>
          <w:sz w:val="22"/>
          <w:szCs w:val="22"/>
          <w:lang w:eastAsia="lt-LT"/>
        </w:rPr>
        <w:t xml:space="preserve"> </w:t>
      </w:r>
    </w:p>
    <w:p w14:paraId="67A02E30" w14:textId="77777777" w:rsidR="00CA08B3" w:rsidRPr="00FB2719" w:rsidRDefault="00CA08B3" w:rsidP="00CA08B3">
      <w:pPr>
        <w:autoSpaceDE w:val="0"/>
        <w:autoSpaceDN w:val="0"/>
        <w:adjustRightInd w:val="0"/>
        <w:rPr>
          <w:color w:val="000000"/>
          <w:sz w:val="22"/>
          <w:szCs w:val="22"/>
          <w:lang w:eastAsia="lt-LT"/>
        </w:rPr>
      </w:pPr>
      <w:r w:rsidRPr="00FB2719">
        <w:rPr>
          <w:color w:val="000000"/>
          <w:sz w:val="22"/>
          <w:szCs w:val="22"/>
          <w:lang w:eastAsia="lt-LT"/>
        </w:rPr>
        <w:lastRenderedPageBreak/>
        <w:t xml:space="preserve">ŽIV infekuotiems pacientams, kuriems yra sunkus imuninės sistemos nepakankamumas, pradėjus kombinuotą antiretrovirusinį gydymą (KARG), gali atsirasti uždegiminė reakcija į besimptomius arba likusius oportunistinius ligų sukėlėjus ir sukelti sunkias klinikines būkles ar simptomų pablogėjimą. Paprastai tokios reakcijos stebėtos pirmosiomis KARG savaitėmis ar mėnesiais. Tinkami jų pavyzdžiai yra citomegalovirusinis retinitas, išplitę ir (arba) židininės mikobakterinės infekcijos ir </w:t>
      </w:r>
      <w:r w:rsidRPr="00FB2719">
        <w:rPr>
          <w:i/>
          <w:iCs/>
          <w:color w:val="000000"/>
          <w:sz w:val="22"/>
          <w:szCs w:val="22"/>
          <w:lang w:eastAsia="lt-LT"/>
        </w:rPr>
        <w:t xml:space="preserve">Pneumocystis jiroveci </w:t>
      </w:r>
      <w:r w:rsidRPr="00FB2719">
        <w:rPr>
          <w:color w:val="000000"/>
          <w:sz w:val="22"/>
          <w:szCs w:val="22"/>
          <w:lang w:eastAsia="lt-LT"/>
        </w:rPr>
        <w:t xml:space="preserve">pneumonija. Reikia įvertinti bet kokius uždegimo simptomus ir prireikus pradėti gydymą. </w:t>
      </w:r>
    </w:p>
    <w:p w14:paraId="0718D523" w14:textId="77777777" w:rsidR="003C15FD" w:rsidRPr="00FB2719" w:rsidRDefault="003C15FD" w:rsidP="00CA08B3">
      <w:pPr>
        <w:tabs>
          <w:tab w:val="left" w:pos="567"/>
        </w:tabs>
        <w:jc w:val="both"/>
        <w:rPr>
          <w:color w:val="000000"/>
          <w:sz w:val="22"/>
          <w:szCs w:val="22"/>
          <w:lang w:eastAsia="lt-LT"/>
        </w:rPr>
      </w:pPr>
    </w:p>
    <w:p w14:paraId="5EB55031" w14:textId="6520185B" w:rsidR="00CA08B3" w:rsidRPr="00FB2719" w:rsidRDefault="00CA08B3" w:rsidP="00CA08B3">
      <w:pPr>
        <w:tabs>
          <w:tab w:val="left" w:pos="567"/>
        </w:tabs>
        <w:jc w:val="both"/>
        <w:rPr>
          <w:bCs/>
          <w:sz w:val="22"/>
          <w:szCs w:val="22"/>
        </w:rPr>
      </w:pPr>
      <w:r w:rsidRPr="00FB2719">
        <w:rPr>
          <w:color w:val="000000"/>
          <w:sz w:val="22"/>
          <w:szCs w:val="22"/>
          <w:lang w:eastAsia="lt-LT"/>
        </w:rPr>
        <w:t>Taip pat buvo gauta pranešimų apie autoimuninius sutrikimus, tokius kaip Greivso (</w:t>
      </w:r>
      <w:r w:rsidRPr="00FB2719">
        <w:rPr>
          <w:i/>
          <w:iCs/>
          <w:color w:val="000000"/>
          <w:sz w:val="22"/>
          <w:szCs w:val="22"/>
          <w:lang w:eastAsia="lt-LT"/>
        </w:rPr>
        <w:t>Graves</w:t>
      </w:r>
      <w:r w:rsidRPr="00FB2719">
        <w:rPr>
          <w:color w:val="000000"/>
          <w:sz w:val="22"/>
          <w:szCs w:val="22"/>
          <w:lang w:eastAsia="lt-LT"/>
        </w:rPr>
        <w:t>) liga</w:t>
      </w:r>
      <w:r w:rsidR="005A5BF8" w:rsidRPr="00FB2719">
        <w:rPr>
          <w:color w:val="000000"/>
          <w:sz w:val="22"/>
          <w:szCs w:val="22"/>
          <w:lang w:eastAsia="lt-LT"/>
        </w:rPr>
        <w:t xml:space="preserve"> ir autoimuninis hepatitas</w:t>
      </w:r>
      <w:r w:rsidR="00FC65F3" w:rsidRPr="00FB2719">
        <w:rPr>
          <w:color w:val="000000"/>
          <w:sz w:val="22"/>
          <w:szCs w:val="22"/>
          <w:lang w:eastAsia="lt-LT"/>
        </w:rPr>
        <w:t>,</w:t>
      </w:r>
      <w:r w:rsidR="005A5BF8" w:rsidRPr="00FB2719">
        <w:rPr>
          <w:color w:val="000000"/>
          <w:sz w:val="22"/>
          <w:szCs w:val="22"/>
          <w:lang w:eastAsia="lt-LT"/>
        </w:rPr>
        <w:t xml:space="preserve"> </w:t>
      </w:r>
      <w:r w:rsidRPr="00FB2719">
        <w:rPr>
          <w:color w:val="000000"/>
          <w:sz w:val="22"/>
          <w:szCs w:val="22"/>
          <w:lang w:eastAsia="lt-LT"/>
        </w:rPr>
        <w:t>atsirandančius imuninės</w:t>
      </w:r>
      <w:r w:rsidR="003C15FD" w:rsidRPr="00FB2719">
        <w:rPr>
          <w:color w:val="000000"/>
          <w:sz w:val="22"/>
          <w:szCs w:val="22"/>
          <w:lang w:eastAsia="lt-LT"/>
        </w:rPr>
        <w:t xml:space="preserve"> </w:t>
      </w:r>
      <w:r w:rsidR="004E1E7F" w:rsidRPr="00FB2719">
        <w:rPr>
          <w:color w:val="000000"/>
          <w:sz w:val="22"/>
          <w:szCs w:val="22"/>
          <w:lang w:eastAsia="lt-LT"/>
        </w:rPr>
        <w:t xml:space="preserve">sistemos </w:t>
      </w:r>
      <w:r w:rsidR="003C15FD" w:rsidRPr="00FB2719">
        <w:rPr>
          <w:color w:val="000000"/>
          <w:sz w:val="22"/>
          <w:szCs w:val="22"/>
          <w:lang w:eastAsia="lt-LT"/>
        </w:rPr>
        <w:t>atsistatymo</w:t>
      </w:r>
      <w:r w:rsidRPr="00FB2719">
        <w:rPr>
          <w:color w:val="000000"/>
          <w:sz w:val="22"/>
          <w:szCs w:val="22"/>
          <w:lang w:eastAsia="lt-LT"/>
        </w:rPr>
        <w:t xml:space="preserve"> fone, nors autoimuninių sutrikimų pradžios laikas pranešimuose daugiau neapibrėžtas, ir jie gali atsirasti po daugelio mėnesių nuo gydymo pradžios.</w:t>
      </w:r>
    </w:p>
    <w:p w14:paraId="6CD255A5" w14:textId="77777777" w:rsidR="00CA08B3" w:rsidRPr="00FB2719" w:rsidRDefault="00CA08B3" w:rsidP="00CA08B3">
      <w:pPr>
        <w:tabs>
          <w:tab w:val="left" w:pos="567"/>
        </w:tabs>
        <w:jc w:val="both"/>
        <w:rPr>
          <w:bCs/>
          <w:sz w:val="22"/>
          <w:szCs w:val="22"/>
        </w:rPr>
      </w:pPr>
    </w:p>
    <w:p w14:paraId="5C2C7FB8" w14:textId="77777777" w:rsidR="00CA08B3" w:rsidRPr="00FB2719" w:rsidRDefault="00CA08B3" w:rsidP="00CA08B3">
      <w:pPr>
        <w:autoSpaceDE w:val="0"/>
        <w:autoSpaceDN w:val="0"/>
        <w:adjustRightInd w:val="0"/>
        <w:rPr>
          <w:i/>
          <w:color w:val="000000"/>
          <w:sz w:val="22"/>
          <w:szCs w:val="22"/>
          <w:lang w:eastAsia="lt-LT"/>
        </w:rPr>
      </w:pPr>
      <w:r w:rsidRPr="00FB2719">
        <w:rPr>
          <w:i/>
          <w:iCs/>
          <w:color w:val="000000"/>
          <w:sz w:val="22"/>
          <w:szCs w:val="22"/>
          <w:lang w:eastAsia="lt-LT"/>
        </w:rPr>
        <w:t xml:space="preserve">Kaulų nekrozė </w:t>
      </w:r>
    </w:p>
    <w:p w14:paraId="322C9B86" w14:textId="77777777" w:rsidR="00CA08B3" w:rsidRPr="00FB2719" w:rsidRDefault="00CA08B3" w:rsidP="00CA08B3">
      <w:pPr>
        <w:autoSpaceDE w:val="0"/>
        <w:autoSpaceDN w:val="0"/>
        <w:adjustRightInd w:val="0"/>
        <w:rPr>
          <w:color w:val="000000"/>
          <w:sz w:val="22"/>
          <w:szCs w:val="22"/>
          <w:lang w:eastAsia="lt-LT"/>
        </w:rPr>
      </w:pPr>
      <w:r w:rsidRPr="00FB2719">
        <w:rPr>
          <w:color w:val="000000"/>
          <w:sz w:val="22"/>
          <w:szCs w:val="22"/>
          <w:lang w:eastAsia="lt-LT"/>
        </w:rPr>
        <w:t xml:space="preserve">Nors manoma, kad nekrozės etiologijoje dalyvauja daug veiksnių (įskaitant kortikosteroidų, alkoholio vartojimą, sunkią imunosupresiją, didesnį kūno masės indeksą), gauta pranešimų apie jos atvejus, ypač pacientams, kuriems yra progresavusi ŽIV liga ir (arba) kombinuoto antiretrovirusinio gydymo (KARG) ekspozicija. Pacientai turi būti informuoti, kad reikia kreiptis į gydytoją, jeigu jiems gelia ir skauda sąnarius, yra sąnarių sustingimas ar tampa sunku judėti. </w:t>
      </w:r>
    </w:p>
    <w:p w14:paraId="745729CF" w14:textId="77777777" w:rsidR="00CA08B3" w:rsidRPr="00FB2719" w:rsidRDefault="00CA08B3" w:rsidP="00CA08B3">
      <w:pPr>
        <w:autoSpaceDE w:val="0"/>
        <w:autoSpaceDN w:val="0"/>
        <w:adjustRightInd w:val="0"/>
        <w:rPr>
          <w:i/>
          <w:iCs/>
          <w:color w:val="000000"/>
          <w:sz w:val="22"/>
          <w:szCs w:val="22"/>
          <w:lang w:eastAsia="lt-LT"/>
        </w:rPr>
      </w:pPr>
    </w:p>
    <w:p w14:paraId="4EEBEB00" w14:textId="77777777" w:rsidR="00CA08B3" w:rsidRPr="00FB2719" w:rsidRDefault="00CA08B3" w:rsidP="00CA08B3">
      <w:pPr>
        <w:autoSpaceDE w:val="0"/>
        <w:autoSpaceDN w:val="0"/>
        <w:adjustRightInd w:val="0"/>
        <w:rPr>
          <w:i/>
          <w:color w:val="000000"/>
          <w:sz w:val="22"/>
          <w:szCs w:val="22"/>
          <w:lang w:eastAsia="lt-LT"/>
        </w:rPr>
      </w:pPr>
      <w:r w:rsidRPr="00FB2719">
        <w:rPr>
          <w:i/>
          <w:iCs/>
          <w:color w:val="000000"/>
          <w:sz w:val="22"/>
          <w:szCs w:val="22"/>
          <w:lang w:eastAsia="lt-LT"/>
        </w:rPr>
        <w:t xml:space="preserve">PR intervalo pailgėjimas </w:t>
      </w:r>
    </w:p>
    <w:p w14:paraId="4BA34221" w14:textId="77777777" w:rsidR="00CA08B3" w:rsidRPr="00FB2719" w:rsidRDefault="00CA08B3" w:rsidP="00CA08B3">
      <w:pPr>
        <w:tabs>
          <w:tab w:val="left" w:pos="567"/>
        </w:tabs>
        <w:rPr>
          <w:bCs/>
          <w:sz w:val="22"/>
          <w:szCs w:val="22"/>
        </w:rPr>
      </w:pPr>
      <w:r w:rsidRPr="00FB2719">
        <w:rPr>
          <w:color w:val="000000"/>
          <w:sz w:val="22"/>
          <w:szCs w:val="22"/>
          <w:lang w:eastAsia="lt-LT"/>
        </w:rPr>
        <w:t xml:space="preserve">Nustatyta, kad lopinaviro / ritonaviro derinys kai kuriems suaugusiems sveikiems asmenims sukelia nedidelį besimptomį PR intervalo pailgėjimą. Retai gauta pranešimų apie 2-ojo ar 3-ojo laipsnio atrioventrikulinės blokados atvejus lopinaviro / ritonaviro deriniu gydomiems pacientams, kuriems yra struktūrinė širdies liga ir iš anksčiau laidžiosios sistemos sutrikimų, arba kurie vartoja PR intervalą ilginančių vaistinių preparatų (tokių, kaip verapamilis ar atazanaviras). </w:t>
      </w:r>
      <w:r w:rsidRPr="00FB2719">
        <w:rPr>
          <w:color w:val="000000"/>
          <w:sz w:val="22"/>
          <w:szCs w:val="22"/>
        </w:rPr>
        <w:t xml:space="preserve">Lopinavir/Ritonavir Sandoz </w:t>
      </w:r>
      <w:r w:rsidRPr="00FB2719">
        <w:rPr>
          <w:color w:val="000000"/>
          <w:sz w:val="22"/>
          <w:szCs w:val="22"/>
          <w:lang w:eastAsia="lt-LT"/>
        </w:rPr>
        <w:t>tokiems pacientams turi būti vartojama atsargiai (žr. 5.1 skyrių).</w:t>
      </w:r>
    </w:p>
    <w:p w14:paraId="512CD1BD" w14:textId="77777777" w:rsidR="003C15FD" w:rsidRPr="00FB2719" w:rsidRDefault="003C15FD" w:rsidP="003C15FD">
      <w:pPr>
        <w:tabs>
          <w:tab w:val="left" w:pos="567"/>
        </w:tabs>
        <w:rPr>
          <w:bCs/>
          <w:sz w:val="22"/>
          <w:szCs w:val="22"/>
        </w:rPr>
      </w:pPr>
    </w:p>
    <w:p w14:paraId="3F773320" w14:textId="77777777" w:rsidR="003C15FD" w:rsidRPr="00FB2719" w:rsidRDefault="003C15FD" w:rsidP="003C15FD">
      <w:pPr>
        <w:tabs>
          <w:tab w:val="left" w:pos="567"/>
        </w:tabs>
        <w:rPr>
          <w:bCs/>
          <w:i/>
          <w:sz w:val="22"/>
          <w:szCs w:val="22"/>
        </w:rPr>
      </w:pPr>
      <w:r w:rsidRPr="00FB2719">
        <w:rPr>
          <w:bCs/>
          <w:i/>
          <w:sz w:val="22"/>
          <w:szCs w:val="22"/>
        </w:rPr>
        <w:t>Kūno masė ir metabolizmo rodmenys</w:t>
      </w:r>
    </w:p>
    <w:p w14:paraId="5AF128F1" w14:textId="77777777" w:rsidR="00CA08B3" w:rsidRPr="00FB2719" w:rsidRDefault="003C15FD" w:rsidP="003C15FD">
      <w:pPr>
        <w:tabs>
          <w:tab w:val="left" w:pos="567"/>
        </w:tabs>
        <w:rPr>
          <w:bCs/>
          <w:sz w:val="22"/>
          <w:szCs w:val="22"/>
        </w:rPr>
      </w:pPr>
      <w:r w:rsidRPr="00FB2719">
        <w:rPr>
          <w:bCs/>
          <w:sz w:val="22"/>
          <w:szCs w:val="22"/>
        </w:rPr>
        <w:t>Gydymo antiretrovirusiniais preparatais metu gali padidėti kūno masė ir lipidų bei gliukozės koncentracijos kraujyje. Tokie pokyčiai iš dalies gali būti susiję su ligos kontroliavimu ir gyvenimo būdu. Buvo gauta įrodymų, kad kai kuriais atvejais lipidų pokyčiai yra su gydymu susijęs poveikis, bet kad kūno masės pokyčiai būtų susiję su tam tikru gydymu, tvirtų įrodymų nėra. Į nustatytas ŽIV gydymo gaires yra įtraukta nuoroda matuoti lipidų ir gliukozės koncentracijas kraujyje. Lipidų sutrikimus reikia gydyti, atsižvelgiant į klinikinę situaciją.</w:t>
      </w:r>
    </w:p>
    <w:p w14:paraId="70BC88FA" w14:textId="77777777" w:rsidR="003C15FD" w:rsidRPr="00FB2719" w:rsidRDefault="003C15FD" w:rsidP="00CA08B3">
      <w:pPr>
        <w:autoSpaceDE w:val="0"/>
        <w:autoSpaceDN w:val="0"/>
        <w:adjustRightInd w:val="0"/>
        <w:rPr>
          <w:iCs/>
          <w:color w:val="000000"/>
          <w:sz w:val="22"/>
          <w:szCs w:val="22"/>
          <w:u w:val="single"/>
          <w:lang w:eastAsia="lt-LT"/>
        </w:rPr>
      </w:pPr>
    </w:p>
    <w:p w14:paraId="0BDFE073" w14:textId="77777777" w:rsidR="00CA08B3" w:rsidRPr="00FB2719" w:rsidRDefault="00CA08B3" w:rsidP="00CA08B3">
      <w:pPr>
        <w:autoSpaceDE w:val="0"/>
        <w:autoSpaceDN w:val="0"/>
        <w:adjustRightInd w:val="0"/>
        <w:rPr>
          <w:iCs/>
          <w:color w:val="000000"/>
          <w:sz w:val="22"/>
          <w:szCs w:val="22"/>
          <w:u w:val="single"/>
          <w:lang w:eastAsia="lt-LT"/>
        </w:rPr>
      </w:pPr>
      <w:r w:rsidRPr="00FB2719">
        <w:rPr>
          <w:iCs/>
          <w:color w:val="000000"/>
          <w:sz w:val="22"/>
          <w:szCs w:val="22"/>
          <w:u w:val="single"/>
          <w:lang w:eastAsia="lt-LT"/>
        </w:rPr>
        <w:t xml:space="preserve">Sąveika su kitais vaistiniais preparatais </w:t>
      </w:r>
    </w:p>
    <w:p w14:paraId="26B2588C" w14:textId="77777777" w:rsidR="003C15FD" w:rsidRPr="00FB2719" w:rsidRDefault="003C15FD" w:rsidP="00CA08B3">
      <w:pPr>
        <w:autoSpaceDE w:val="0"/>
        <w:autoSpaceDN w:val="0"/>
        <w:adjustRightInd w:val="0"/>
        <w:rPr>
          <w:color w:val="000000"/>
          <w:sz w:val="22"/>
          <w:szCs w:val="22"/>
          <w:u w:val="single"/>
          <w:lang w:eastAsia="lt-LT"/>
        </w:rPr>
      </w:pPr>
    </w:p>
    <w:p w14:paraId="22FBB240" w14:textId="77777777" w:rsidR="00CA08B3" w:rsidRPr="00FB2719" w:rsidRDefault="00CA08B3" w:rsidP="00CA08B3">
      <w:pPr>
        <w:autoSpaceDE w:val="0"/>
        <w:autoSpaceDN w:val="0"/>
        <w:adjustRightInd w:val="0"/>
        <w:rPr>
          <w:color w:val="000000"/>
          <w:sz w:val="22"/>
          <w:szCs w:val="22"/>
          <w:lang w:eastAsia="lt-LT"/>
        </w:rPr>
      </w:pPr>
      <w:r w:rsidRPr="00FB2719">
        <w:rPr>
          <w:color w:val="000000"/>
          <w:sz w:val="22"/>
          <w:szCs w:val="22"/>
        </w:rPr>
        <w:t xml:space="preserve">Lopinavir/Ritonavir Sandoz </w:t>
      </w:r>
      <w:r w:rsidRPr="00FB2719">
        <w:rPr>
          <w:color w:val="000000"/>
          <w:sz w:val="22"/>
          <w:szCs w:val="22"/>
          <w:lang w:eastAsia="lt-LT"/>
        </w:rPr>
        <w:t xml:space="preserve">sudėtyje yra lopinaviro ir ritonaviro, abu jie yra P450 CYP3A izoformos inhibitoriai. Tikėtina, kad </w:t>
      </w:r>
      <w:r w:rsidRPr="00FB2719">
        <w:rPr>
          <w:color w:val="000000"/>
          <w:sz w:val="22"/>
          <w:szCs w:val="22"/>
        </w:rPr>
        <w:t xml:space="preserve">Lopinavir/Ritonavir Sandoz </w:t>
      </w:r>
      <w:r w:rsidRPr="00FB2719">
        <w:rPr>
          <w:color w:val="000000"/>
          <w:sz w:val="22"/>
          <w:szCs w:val="22"/>
          <w:lang w:eastAsia="lt-LT"/>
        </w:rPr>
        <w:t xml:space="preserve">gali didinti vaistinių preparatų, kuriuos daugiausia metabolizuoja CYP3A, koncentracijas plazmoje. Padidėję kartu vartojamų vaistinių preparatų koncentracijos gali sustiprinti ar pailginti savo gydomąjį poveikį ir nepageidaujamus reiškinius (žr. 4.3 ir 4.5 skyrius). </w:t>
      </w:r>
    </w:p>
    <w:p w14:paraId="2CF20E5A" w14:textId="77777777" w:rsidR="003C15FD" w:rsidRPr="00FB2719" w:rsidRDefault="003C15FD" w:rsidP="003C15FD">
      <w:pPr>
        <w:autoSpaceDE w:val="0"/>
        <w:autoSpaceDN w:val="0"/>
        <w:adjustRightInd w:val="0"/>
        <w:rPr>
          <w:color w:val="000000"/>
          <w:sz w:val="22"/>
          <w:szCs w:val="22"/>
          <w:lang w:eastAsia="lt-LT"/>
        </w:rPr>
      </w:pPr>
      <w:r w:rsidRPr="00FB2719">
        <w:rPr>
          <w:color w:val="000000"/>
          <w:sz w:val="22"/>
          <w:szCs w:val="22"/>
          <w:lang w:eastAsia="lt-LT"/>
        </w:rPr>
        <w:t>Stiprūs CYP3A4 inhibitoriai, tokie kaip proteazės inhibitoriai, gali padidinti bedakvilino ekspoziciją, dėl kurios gali padidėti su bedakvilinu susijusių nepageidaujamų reakcijų rizika. Todėl bedakvilino ir lopinaviro / ritonaviro derinio reikia vengti. Tačiau jei nauda viršija riziką, atsargiai bedakviliną su lopinaviru / ritonaviru vartoti galima. Tokiu atveju rekomenduojama dažniau atlikti elektrokardiogramą ir stebėti transaminazių aktyvumą (žr. 4.5 skyrių bei bedakvilino PCS).</w:t>
      </w:r>
    </w:p>
    <w:p w14:paraId="5D1D6903" w14:textId="77777777" w:rsidR="003C15FD" w:rsidRPr="00FB2719" w:rsidRDefault="003C15FD" w:rsidP="003C15FD">
      <w:pPr>
        <w:autoSpaceDE w:val="0"/>
        <w:autoSpaceDN w:val="0"/>
        <w:adjustRightInd w:val="0"/>
        <w:rPr>
          <w:color w:val="000000"/>
          <w:sz w:val="22"/>
          <w:szCs w:val="22"/>
          <w:lang w:eastAsia="lt-LT"/>
        </w:rPr>
      </w:pPr>
    </w:p>
    <w:p w14:paraId="4C527B85" w14:textId="77777777" w:rsidR="003C15FD" w:rsidRPr="00FB2719" w:rsidRDefault="003C15FD" w:rsidP="003C15FD">
      <w:pPr>
        <w:autoSpaceDE w:val="0"/>
        <w:autoSpaceDN w:val="0"/>
        <w:adjustRightInd w:val="0"/>
        <w:rPr>
          <w:color w:val="000000"/>
          <w:sz w:val="22"/>
          <w:szCs w:val="22"/>
          <w:lang w:eastAsia="lt-LT"/>
        </w:rPr>
      </w:pPr>
      <w:r w:rsidRPr="00FB2719">
        <w:rPr>
          <w:color w:val="000000"/>
          <w:sz w:val="22"/>
          <w:szCs w:val="22"/>
          <w:lang w:eastAsia="lt-LT"/>
        </w:rPr>
        <w:t>Skiriant delamanidą kartu su stipru CYP3A4 inhibitoriumi (pvz., lopinaviru / ritonaviru), gali padidėti delamanido metabolito ekspozicija, kuri yra susijusi su QTc intervalo pailgėjimu. Todėl, jeigu manoma, kad delamanidą skirti kartu su lopinaviru / ritonaviru būtina, rekomenduojama labai dažnai stebėti EKG visą gydymo delamanidu laikotarpį (žr. 4.5 skyrių ir delamanido PCS).</w:t>
      </w:r>
    </w:p>
    <w:p w14:paraId="13597895" w14:textId="77777777" w:rsidR="003C15FD" w:rsidRPr="00FB2719" w:rsidRDefault="003C15FD" w:rsidP="003C15FD">
      <w:pPr>
        <w:autoSpaceDE w:val="0"/>
        <w:autoSpaceDN w:val="0"/>
        <w:adjustRightInd w:val="0"/>
        <w:rPr>
          <w:color w:val="000000"/>
          <w:sz w:val="22"/>
          <w:szCs w:val="22"/>
          <w:lang w:eastAsia="lt-LT"/>
        </w:rPr>
      </w:pPr>
    </w:p>
    <w:p w14:paraId="6A73A8BE" w14:textId="77777777" w:rsidR="00CA08B3" w:rsidRPr="00FB2719" w:rsidRDefault="003C15FD" w:rsidP="003C15FD">
      <w:pPr>
        <w:autoSpaceDE w:val="0"/>
        <w:autoSpaceDN w:val="0"/>
        <w:adjustRightInd w:val="0"/>
        <w:rPr>
          <w:color w:val="000000"/>
          <w:sz w:val="22"/>
          <w:szCs w:val="22"/>
          <w:lang w:eastAsia="lt-LT"/>
        </w:rPr>
      </w:pPr>
      <w:r w:rsidRPr="00FB2719">
        <w:rPr>
          <w:color w:val="000000"/>
          <w:sz w:val="22"/>
          <w:szCs w:val="22"/>
          <w:lang w:eastAsia="lt-LT"/>
        </w:rPr>
        <w:lastRenderedPageBreak/>
        <w:t xml:space="preserve">Buvo gauta pranešimų apie gyvybei pavojingas ar mirtinas vaistinių preparatų sąveikas pacientams, gydytiems kolchicinu ir stipriais CYP3A inhibitoriais, tokiais kaip ritonaviras. Negalima vartoti kartu su kolchicinu pacientams, kurių inkstų ir </w:t>
      </w:r>
      <w:r w:rsidR="00B429EB" w:rsidRPr="00FB2719">
        <w:rPr>
          <w:color w:val="000000"/>
          <w:sz w:val="22"/>
          <w:szCs w:val="22"/>
          <w:lang w:eastAsia="lt-LT"/>
        </w:rPr>
        <w:t>(</w:t>
      </w:r>
      <w:r w:rsidRPr="00FB2719">
        <w:rPr>
          <w:color w:val="000000"/>
          <w:sz w:val="22"/>
          <w:szCs w:val="22"/>
          <w:lang w:eastAsia="lt-LT"/>
        </w:rPr>
        <w:t>ar</w:t>
      </w:r>
      <w:r w:rsidR="00B429EB" w:rsidRPr="00FB2719">
        <w:rPr>
          <w:color w:val="000000"/>
          <w:sz w:val="22"/>
          <w:szCs w:val="22"/>
          <w:lang w:eastAsia="lt-LT"/>
        </w:rPr>
        <w:t>ba)</w:t>
      </w:r>
      <w:r w:rsidRPr="00FB2719">
        <w:rPr>
          <w:color w:val="000000"/>
          <w:sz w:val="22"/>
          <w:szCs w:val="22"/>
          <w:lang w:eastAsia="lt-LT"/>
        </w:rPr>
        <w:t xml:space="preserve"> kepenų veikla sutrikusi (žr. 4.3 ir 4.5 skyrių).</w:t>
      </w:r>
    </w:p>
    <w:p w14:paraId="721D7F33" w14:textId="77777777" w:rsidR="003C15FD" w:rsidRPr="00FB2719" w:rsidRDefault="003C15FD" w:rsidP="00CA08B3">
      <w:pPr>
        <w:autoSpaceDE w:val="0"/>
        <w:autoSpaceDN w:val="0"/>
        <w:adjustRightInd w:val="0"/>
        <w:rPr>
          <w:color w:val="000000"/>
          <w:sz w:val="22"/>
          <w:szCs w:val="22"/>
          <w:lang w:eastAsia="lt-LT"/>
        </w:rPr>
      </w:pPr>
    </w:p>
    <w:p w14:paraId="70A5C33B" w14:textId="77777777" w:rsidR="00CA08B3" w:rsidRPr="00FB2719" w:rsidRDefault="00CA08B3" w:rsidP="00CA08B3">
      <w:pPr>
        <w:autoSpaceDE w:val="0"/>
        <w:autoSpaceDN w:val="0"/>
        <w:adjustRightInd w:val="0"/>
        <w:rPr>
          <w:color w:val="000000"/>
          <w:sz w:val="22"/>
          <w:szCs w:val="22"/>
          <w:lang w:eastAsia="lt-LT"/>
        </w:rPr>
      </w:pPr>
      <w:r w:rsidRPr="00FB2719">
        <w:rPr>
          <w:color w:val="000000"/>
          <w:sz w:val="22"/>
          <w:szCs w:val="22"/>
          <w:lang w:eastAsia="lt-LT"/>
        </w:rPr>
        <w:t xml:space="preserve">Nerekomenduojama </w:t>
      </w:r>
      <w:r w:rsidRPr="00FB2719">
        <w:rPr>
          <w:color w:val="000000"/>
          <w:sz w:val="22"/>
          <w:szCs w:val="22"/>
        </w:rPr>
        <w:t xml:space="preserve">Lopinavir/Ritonavir Sandoz </w:t>
      </w:r>
      <w:r w:rsidRPr="00FB2719">
        <w:rPr>
          <w:color w:val="000000"/>
          <w:sz w:val="22"/>
          <w:szCs w:val="22"/>
          <w:lang w:eastAsia="lt-LT"/>
        </w:rPr>
        <w:t xml:space="preserve">deriniuose su: </w:t>
      </w:r>
    </w:p>
    <w:p w14:paraId="223FAA71" w14:textId="77777777" w:rsidR="003C15FD" w:rsidRPr="00FB2719" w:rsidRDefault="00CA08B3" w:rsidP="00AD237C">
      <w:pPr>
        <w:numPr>
          <w:ilvl w:val="0"/>
          <w:numId w:val="3"/>
        </w:numPr>
        <w:autoSpaceDE w:val="0"/>
        <w:autoSpaceDN w:val="0"/>
        <w:adjustRightInd w:val="0"/>
        <w:ind w:left="567" w:hanging="567"/>
        <w:rPr>
          <w:color w:val="000000"/>
          <w:sz w:val="22"/>
          <w:szCs w:val="22"/>
          <w:lang w:eastAsia="lt-LT"/>
        </w:rPr>
      </w:pPr>
      <w:r w:rsidRPr="00FB2719">
        <w:rPr>
          <w:color w:val="000000"/>
          <w:sz w:val="22"/>
          <w:szCs w:val="22"/>
          <w:lang w:eastAsia="lt-LT"/>
        </w:rPr>
        <w:t xml:space="preserve">tadalafiliu, vartojamu plautinės arterinės hipertenzijos gydymui (žr. 4.5 skyrių); </w:t>
      </w:r>
    </w:p>
    <w:p w14:paraId="7F7A7C33" w14:textId="77777777" w:rsidR="00BB3B4D" w:rsidRPr="00FB2719" w:rsidRDefault="003C15FD" w:rsidP="00AD237C">
      <w:pPr>
        <w:numPr>
          <w:ilvl w:val="0"/>
          <w:numId w:val="3"/>
        </w:numPr>
        <w:autoSpaceDE w:val="0"/>
        <w:autoSpaceDN w:val="0"/>
        <w:adjustRightInd w:val="0"/>
        <w:ind w:left="567" w:hanging="567"/>
        <w:rPr>
          <w:color w:val="000000"/>
          <w:sz w:val="22"/>
          <w:szCs w:val="22"/>
          <w:lang w:eastAsia="lt-LT"/>
        </w:rPr>
      </w:pPr>
      <w:r w:rsidRPr="00FB2719">
        <w:rPr>
          <w:color w:val="000000"/>
          <w:sz w:val="22"/>
          <w:szCs w:val="22"/>
          <w:lang w:eastAsia="lt-LT"/>
        </w:rPr>
        <w:t>riociguatu (žr. 4.5 skyri</w:t>
      </w:r>
      <w:r w:rsidR="00BB3B4D" w:rsidRPr="00FB2719">
        <w:rPr>
          <w:color w:val="000000"/>
          <w:sz w:val="22"/>
          <w:szCs w:val="22"/>
          <w:lang w:eastAsia="lt-LT"/>
        </w:rPr>
        <w:t>ų);</w:t>
      </w:r>
    </w:p>
    <w:p w14:paraId="18FBB7DA" w14:textId="77777777" w:rsidR="003C15FD" w:rsidRPr="00FB2719" w:rsidRDefault="003C15FD" w:rsidP="00AD237C">
      <w:pPr>
        <w:numPr>
          <w:ilvl w:val="0"/>
          <w:numId w:val="3"/>
        </w:numPr>
        <w:autoSpaceDE w:val="0"/>
        <w:autoSpaceDN w:val="0"/>
        <w:adjustRightInd w:val="0"/>
        <w:ind w:left="567" w:hanging="567"/>
        <w:rPr>
          <w:color w:val="000000"/>
          <w:sz w:val="22"/>
          <w:szCs w:val="22"/>
          <w:lang w:eastAsia="lt-LT"/>
        </w:rPr>
      </w:pPr>
      <w:r w:rsidRPr="00FB2719">
        <w:rPr>
          <w:color w:val="000000"/>
          <w:sz w:val="22"/>
          <w:szCs w:val="22"/>
          <w:lang w:eastAsia="lt-LT"/>
        </w:rPr>
        <w:t>vorapaksaru (žr. 4.5 skyri</w:t>
      </w:r>
      <w:r w:rsidR="00BB3B4D" w:rsidRPr="00FB2719">
        <w:rPr>
          <w:color w:val="000000"/>
          <w:sz w:val="22"/>
          <w:szCs w:val="22"/>
          <w:lang w:eastAsia="lt-LT"/>
        </w:rPr>
        <w:t>ų);</w:t>
      </w:r>
    </w:p>
    <w:p w14:paraId="0BC8DB79" w14:textId="77777777" w:rsidR="00CA08B3" w:rsidRPr="00FB2719" w:rsidRDefault="00CA08B3" w:rsidP="00CA08B3">
      <w:pPr>
        <w:numPr>
          <w:ilvl w:val="0"/>
          <w:numId w:val="3"/>
        </w:numPr>
        <w:autoSpaceDE w:val="0"/>
        <w:autoSpaceDN w:val="0"/>
        <w:adjustRightInd w:val="0"/>
        <w:ind w:left="567" w:hanging="567"/>
        <w:rPr>
          <w:color w:val="000000"/>
          <w:sz w:val="22"/>
          <w:szCs w:val="22"/>
          <w:lang w:eastAsia="lt-LT"/>
        </w:rPr>
      </w:pPr>
      <w:r w:rsidRPr="00FB2719">
        <w:rPr>
          <w:color w:val="000000"/>
          <w:sz w:val="22"/>
          <w:szCs w:val="22"/>
          <w:lang w:eastAsia="lt-LT"/>
        </w:rPr>
        <w:t xml:space="preserve">fuzido rūgštimi, skiriama kaulų – sąnarių infekcijoms gydyti (žr. 4.5 skyrių); </w:t>
      </w:r>
    </w:p>
    <w:p w14:paraId="33986A0E" w14:textId="77777777" w:rsidR="00CA08B3" w:rsidRPr="00FB2719" w:rsidRDefault="00CA08B3" w:rsidP="00CA08B3">
      <w:pPr>
        <w:numPr>
          <w:ilvl w:val="0"/>
          <w:numId w:val="3"/>
        </w:numPr>
        <w:autoSpaceDE w:val="0"/>
        <w:autoSpaceDN w:val="0"/>
        <w:adjustRightInd w:val="0"/>
        <w:ind w:left="567" w:hanging="567"/>
        <w:rPr>
          <w:color w:val="000000"/>
          <w:sz w:val="22"/>
          <w:szCs w:val="22"/>
          <w:lang w:eastAsia="lt-LT"/>
        </w:rPr>
      </w:pPr>
      <w:r w:rsidRPr="00FB2719">
        <w:rPr>
          <w:color w:val="000000"/>
          <w:sz w:val="22"/>
          <w:szCs w:val="22"/>
          <w:lang w:eastAsia="lt-LT"/>
        </w:rPr>
        <w:t xml:space="preserve">salmeteroliu (žr. 4.5 skyrių); </w:t>
      </w:r>
    </w:p>
    <w:p w14:paraId="79295E4B" w14:textId="77777777" w:rsidR="00CA08B3" w:rsidRPr="00FB2719" w:rsidRDefault="00CA08B3" w:rsidP="00CA08B3">
      <w:pPr>
        <w:numPr>
          <w:ilvl w:val="0"/>
          <w:numId w:val="3"/>
        </w:numPr>
        <w:autoSpaceDE w:val="0"/>
        <w:autoSpaceDN w:val="0"/>
        <w:adjustRightInd w:val="0"/>
        <w:ind w:left="567" w:hanging="567"/>
        <w:rPr>
          <w:color w:val="000000"/>
          <w:sz w:val="22"/>
          <w:szCs w:val="22"/>
          <w:lang w:eastAsia="lt-LT"/>
        </w:rPr>
      </w:pPr>
      <w:r w:rsidRPr="00FB2719">
        <w:rPr>
          <w:color w:val="000000"/>
          <w:sz w:val="22"/>
          <w:szCs w:val="22"/>
          <w:lang w:eastAsia="lt-LT"/>
        </w:rPr>
        <w:t xml:space="preserve">rivaroksabanu (žr. 4.5 skyrių). </w:t>
      </w:r>
    </w:p>
    <w:p w14:paraId="431360D3" w14:textId="77777777" w:rsidR="00CA08B3" w:rsidRPr="00FB2719" w:rsidRDefault="00CA08B3" w:rsidP="00CA08B3">
      <w:pPr>
        <w:autoSpaceDE w:val="0"/>
        <w:autoSpaceDN w:val="0"/>
        <w:adjustRightInd w:val="0"/>
        <w:rPr>
          <w:color w:val="000000"/>
          <w:sz w:val="22"/>
          <w:szCs w:val="22"/>
          <w:lang w:eastAsia="lt-LT"/>
        </w:rPr>
      </w:pPr>
    </w:p>
    <w:p w14:paraId="597668F9" w14:textId="77777777" w:rsidR="00CA08B3" w:rsidRPr="00FB2719" w:rsidRDefault="00CA08B3" w:rsidP="00CA08B3">
      <w:pPr>
        <w:autoSpaceDE w:val="0"/>
        <w:autoSpaceDN w:val="0"/>
        <w:adjustRightInd w:val="0"/>
        <w:rPr>
          <w:color w:val="000000"/>
          <w:sz w:val="22"/>
          <w:szCs w:val="22"/>
          <w:lang w:eastAsia="lt-LT"/>
        </w:rPr>
      </w:pPr>
      <w:r w:rsidRPr="00FB2719">
        <w:rPr>
          <w:color w:val="000000"/>
          <w:sz w:val="22"/>
          <w:szCs w:val="22"/>
        </w:rPr>
        <w:t xml:space="preserve">Nerekomenduojama Lopinavir/Ritonavir Sandoz </w:t>
      </w:r>
      <w:r w:rsidRPr="00FB2719">
        <w:rPr>
          <w:color w:val="000000"/>
          <w:sz w:val="22"/>
          <w:szCs w:val="22"/>
          <w:lang w:eastAsia="lt-LT"/>
        </w:rPr>
        <w:t xml:space="preserve">derinti su atorvastatinu. Jei manoma, kad atorvastatino vartojimas yra būtinas, reikia skirti mažiausią veiksmingą atorvastatino dozę ir atidžiai stebėti saugumą. Taip pat reikia laikytis atsargumo priemonių ir galbūt mažinti dozes, jeigu </w:t>
      </w:r>
      <w:r w:rsidRPr="00FB2719">
        <w:rPr>
          <w:color w:val="000000"/>
          <w:sz w:val="22"/>
          <w:szCs w:val="22"/>
        </w:rPr>
        <w:t xml:space="preserve">Lopinavir/Ritonavir Sandoz </w:t>
      </w:r>
      <w:r w:rsidRPr="00FB2719">
        <w:rPr>
          <w:color w:val="000000"/>
          <w:sz w:val="22"/>
          <w:szCs w:val="22"/>
          <w:lang w:eastAsia="lt-LT"/>
        </w:rPr>
        <w:t xml:space="preserve">vartojamas kartu su rozuvastatinu. Jeigu reikalingas gydymas HMG-KoA reduktazės inhibitoriumi, rekomenduojama skirti pravastatino ar fluvastatino (žr. 4.5 skyrių). </w:t>
      </w:r>
    </w:p>
    <w:p w14:paraId="2EA60EFF" w14:textId="77777777" w:rsidR="00CA08B3" w:rsidRPr="00FB2719" w:rsidRDefault="00CA08B3" w:rsidP="00CA08B3">
      <w:pPr>
        <w:autoSpaceDE w:val="0"/>
        <w:autoSpaceDN w:val="0"/>
        <w:adjustRightInd w:val="0"/>
        <w:rPr>
          <w:i/>
          <w:iCs/>
          <w:color w:val="000000"/>
          <w:sz w:val="22"/>
          <w:szCs w:val="22"/>
          <w:lang w:eastAsia="lt-LT"/>
        </w:rPr>
      </w:pPr>
    </w:p>
    <w:p w14:paraId="339A0DC0" w14:textId="77777777" w:rsidR="003C15FD" w:rsidRPr="00FB2719" w:rsidRDefault="00CA08B3" w:rsidP="00CA08B3">
      <w:pPr>
        <w:autoSpaceDE w:val="0"/>
        <w:autoSpaceDN w:val="0"/>
        <w:adjustRightInd w:val="0"/>
        <w:rPr>
          <w:color w:val="000000"/>
          <w:sz w:val="22"/>
          <w:szCs w:val="22"/>
          <w:lang w:eastAsia="lt-LT"/>
        </w:rPr>
      </w:pPr>
      <w:r w:rsidRPr="00FB2719">
        <w:rPr>
          <w:i/>
          <w:iCs/>
          <w:color w:val="000000"/>
          <w:sz w:val="22"/>
          <w:szCs w:val="22"/>
          <w:lang w:eastAsia="lt-LT"/>
        </w:rPr>
        <w:t>FDE (Fosfodiesterazės) 5 inhibitoriai</w:t>
      </w:r>
    </w:p>
    <w:p w14:paraId="380E52AC" w14:textId="77777777" w:rsidR="00CA08B3" w:rsidRPr="00FB2719" w:rsidRDefault="003C15FD" w:rsidP="00CA08B3">
      <w:pPr>
        <w:autoSpaceDE w:val="0"/>
        <w:autoSpaceDN w:val="0"/>
        <w:adjustRightInd w:val="0"/>
        <w:rPr>
          <w:color w:val="000000"/>
          <w:sz w:val="22"/>
          <w:szCs w:val="22"/>
          <w:lang w:eastAsia="lt-LT"/>
        </w:rPr>
      </w:pPr>
      <w:r w:rsidRPr="00FB2719">
        <w:rPr>
          <w:color w:val="000000"/>
          <w:sz w:val="22"/>
          <w:szCs w:val="22"/>
          <w:lang w:eastAsia="lt-LT"/>
        </w:rPr>
        <w:t>Y</w:t>
      </w:r>
      <w:r w:rsidR="00CA08B3" w:rsidRPr="00FB2719">
        <w:rPr>
          <w:color w:val="000000"/>
          <w:sz w:val="22"/>
          <w:szCs w:val="22"/>
          <w:lang w:eastAsia="lt-LT"/>
        </w:rPr>
        <w:t xml:space="preserve">pač atsargiai reikia skirti sildenafilio ar tadalafilio erekcijos sutrikimams gydyti pacientams, kurie vartoja </w:t>
      </w:r>
      <w:r w:rsidR="00CA08B3" w:rsidRPr="00FB2719">
        <w:rPr>
          <w:color w:val="000000"/>
          <w:sz w:val="22"/>
          <w:szCs w:val="22"/>
        </w:rPr>
        <w:t>Lopinavir / Ritonavir Sandoz</w:t>
      </w:r>
      <w:r w:rsidR="00CA08B3" w:rsidRPr="00FB2719">
        <w:rPr>
          <w:color w:val="000000"/>
          <w:sz w:val="22"/>
          <w:szCs w:val="22"/>
          <w:lang w:eastAsia="lt-LT"/>
        </w:rPr>
        <w:t xml:space="preserve">. Tikėtina, kad vartojant </w:t>
      </w:r>
      <w:r w:rsidR="00CA08B3" w:rsidRPr="00FB2719">
        <w:rPr>
          <w:color w:val="000000"/>
          <w:sz w:val="22"/>
          <w:szCs w:val="22"/>
        </w:rPr>
        <w:t xml:space="preserve">Lopinavir/Ritonavir Sandoz </w:t>
      </w:r>
      <w:r w:rsidR="00CA08B3" w:rsidRPr="00FB2719">
        <w:rPr>
          <w:color w:val="000000"/>
          <w:sz w:val="22"/>
          <w:szCs w:val="22"/>
          <w:lang w:eastAsia="lt-LT"/>
        </w:rPr>
        <w:t xml:space="preserve">kartu su minėtais vaistiniais preparatais, labai padidės pastarųjų koncentracija ir tai gali būti susiję su nepageidaujamu poveikiu, tokiu kaip hipotenzija, alpimas, regos sutrikimai ir pailgėjusi erekcija (žr. 4.5 skyrių). Kartu vartoti </w:t>
      </w:r>
      <w:r w:rsidRPr="00FB2719">
        <w:rPr>
          <w:color w:val="000000"/>
          <w:sz w:val="22"/>
          <w:szCs w:val="22"/>
          <w:lang w:eastAsia="lt-LT"/>
        </w:rPr>
        <w:t xml:space="preserve">avanafilio ar </w:t>
      </w:r>
      <w:r w:rsidR="00CA08B3" w:rsidRPr="00FB2719">
        <w:rPr>
          <w:color w:val="000000"/>
          <w:sz w:val="22"/>
          <w:szCs w:val="22"/>
          <w:lang w:eastAsia="lt-LT"/>
        </w:rPr>
        <w:t xml:space="preserve">vardenafilio ir lopinaviro / ritonaviro derinio yra draudžiama (žr. 4.3 skyrių). Vartoti sildenafilio, skirto plautinės arterijos hipertenzijos gydymui, kartu su </w:t>
      </w:r>
      <w:r w:rsidR="00CA08B3" w:rsidRPr="00FB2719">
        <w:rPr>
          <w:color w:val="000000"/>
          <w:sz w:val="22"/>
          <w:szCs w:val="22"/>
        </w:rPr>
        <w:t xml:space="preserve">Lopinavir/Ritonavir Sandoz </w:t>
      </w:r>
      <w:r w:rsidR="00CA08B3" w:rsidRPr="00FB2719">
        <w:rPr>
          <w:color w:val="000000"/>
          <w:sz w:val="22"/>
          <w:szCs w:val="22"/>
          <w:lang w:eastAsia="lt-LT"/>
        </w:rPr>
        <w:t xml:space="preserve">yra draudžiama (žr. 4.3 skyrių). </w:t>
      </w:r>
    </w:p>
    <w:p w14:paraId="188654BF" w14:textId="77777777" w:rsidR="00CA08B3" w:rsidRPr="00FB2719" w:rsidRDefault="00CA08B3" w:rsidP="00CA08B3">
      <w:pPr>
        <w:autoSpaceDE w:val="0"/>
        <w:autoSpaceDN w:val="0"/>
        <w:adjustRightInd w:val="0"/>
        <w:rPr>
          <w:color w:val="000000"/>
          <w:sz w:val="22"/>
          <w:szCs w:val="22"/>
          <w:lang w:eastAsia="lt-LT"/>
        </w:rPr>
      </w:pPr>
    </w:p>
    <w:p w14:paraId="746DE911" w14:textId="77777777" w:rsidR="00CA08B3" w:rsidRPr="00FB2719" w:rsidRDefault="00CA08B3" w:rsidP="00CA08B3">
      <w:pPr>
        <w:autoSpaceDE w:val="0"/>
        <w:autoSpaceDN w:val="0"/>
        <w:adjustRightInd w:val="0"/>
        <w:rPr>
          <w:color w:val="000000"/>
          <w:sz w:val="22"/>
          <w:szCs w:val="22"/>
          <w:lang w:eastAsia="lt-LT"/>
        </w:rPr>
      </w:pPr>
      <w:r w:rsidRPr="00FB2719">
        <w:rPr>
          <w:color w:val="000000"/>
          <w:sz w:val="22"/>
          <w:szCs w:val="22"/>
          <w:lang w:eastAsia="lt-LT"/>
        </w:rPr>
        <w:t xml:space="preserve">Ypač atsargiai </w:t>
      </w:r>
      <w:r w:rsidRPr="00FB2719">
        <w:rPr>
          <w:color w:val="000000"/>
          <w:sz w:val="22"/>
          <w:szCs w:val="22"/>
        </w:rPr>
        <w:t xml:space="preserve">Lopinavir/Ritonavir Sandoz </w:t>
      </w:r>
      <w:r w:rsidRPr="00FB2719">
        <w:rPr>
          <w:color w:val="000000"/>
          <w:sz w:val="22"/>
          <w:szCs w:val="22"/>
          <w:lang w:eastAsia="lt-LT"/>
        </w:rPr>
        <w:t xml:space="preserve">reikia skirti kartu su vaistiniais preparatais, ilginančiais QT intervalą, t.y. su chlorfeniraminu, chinidinu, eritromicinu, klaritromicinu. Iš tikrųjų, </w:t>
      </w:r>
      <w:r w:rsidRPr="00FB2719">
        <w:rPr>
          <w:color w:val="000000"/>
          <w:sz w:val="22"/>
          <w:szCs w:val="22"/>
        </w:rPr>
        <w:t xml:space="preserve">Lopinavir/Ritonavir Sandoz </w:t>
      </w:r>
      <w:r w:rsidRPr="00FB2719">
        <w:rPr>
          <w:color w:val="000000"/>
          <w:sz w:val="22"/>
          <w:szCs w:val="22"/>
          <w:lang w:eastAsia="lt-LT"/>
        </w:rPr>
        <w:t xml:space="preserve">gali padidinti šių kartu vartojamų vaistinių preparatų koncentracijas ir dėl to gali padažnėti su jais susijusios nepageidaujamos širdies reakcijos. Gauta pranešimų apie širdies reiškinius ikiklinikinių </w:t>
      </w:r>
      <w:r w:rsidRPr="00FB2719">
        <w:rPr>
          <w:color w:val="000000"/>
          <w:sz w:val="22"/>
          <w:szCs w:val="22"/>
        </w:rPr>
        <w:t>lopinaviro / ritonaviro derinio</w:t>
      </w:r>
      <w:r w:rsidRPr="00FB2719">
        <w:rPr>
          <w:color w:val="000000"/>
          <w:sz w:val="22"/>
          <w:szCs w:val="22"/>
          <w:lang w:eastAsia="lt-LT"/>
        </w:rPr>
        <w:t xml:space="preserve"> tyrimų metu, todėl dar negalima paneigti galimo šio vaistinio preparato poveikio širdžiai (žr. 4.8 ir 5.3 skyrius). </w:t>
      </w:r>
    </w:p>
    <w:p w14:paraId="37932E88" w14:textId="77777777" w:rsidR="00CA08B3" w:rsidRPr="00FB2719" w:rsidRDefault="00CA08B3" w:rsidP="00CA08B3">
      <w:pPr>
        <w:tabs>
          <w:tab w:val="left" w:pos="567"/>
        </w:tabs>
        <w:rPr>
          <w:color w:val="000000"/>
          <w:sz w:val="22"/>
          <w:szCs w:val="22"/>
          <w:lang w:eastAsia="lt-LT"/>
        </w:rPr>
      </w:pPr>
    </w:p>
    <w:p w14:paraId="246CECE7" w14:textId="77777777" w:rsidR="00CA08B3" w:rsidRPr="00FB2719" w:rsidRDefault="00CA08B3" w:rsidP="00CA08B3">
      <w:pPr>
        <w:tabs>
          <w:tab w:val="left" w:pos="567"/>
        </w:tabs>
        <w:rPr>
          <w:bCs/>
          <w:sz w:val="22"/>
          <w:szCs w:val="22"/>
        </w:rPr>
      </w:pPr>
      <w:r w:rsidRPr="00FB2719">
        <w:rPr>
          <w:color w:val="000000"/>
          <w:sz w:val="22"/>
          <w:szCs w:val="22"/>
          <w:lang w:eastAsia="lt-LT"/>
        </w:rPr>
        <w:t xml:space="preserve">Nerekomenduojama </w:t>
      </w:r>
      <w:r w:rsidRPr="00FB2719">
        <w:rPr>
          <w:color w:val="000000"/>
          <w:sz w:val="22"/>
          <w:szCs w:val="22"/>
        </w:rPr>
        <w:t xml:space="preserve">Lopinavir/Ritonavir Sandoz </w:t>
      </w:r>
      <w:r w:rsidRPr="00FB2719">
        <w:rPr>
          <w:color w:val="000000"/>
          <w:sz w:val="22"/>
          <w:szCs w:val="22"/>
          <w:lang w:eastAsia="lt-LT"/>
        </w:rPr>
        <w:t xml:space="preserve">vartoti kartu su rifampicinu. Rifampicino vartojant kartu su lopinaviro / ritonaviro deriniu labai sumažėja lopinaviro koncentracija, dėl ko gali reikšmingai sumažėti lopinaviro gydomasis poveikis. Pakankamą lopinaviro / ritonaviro derinio ekspoziciją galima pasiekti didinant </w:t>
      </w:r>
      <w:r w:rsidRPr="00FB2719">
        <w:rPr>
          <w:color w:val="000000"/>
          <w:sz w:val="22"/>
          <w:szCs w:val="22"/>
        </w:rPr>
        <w:t xml:space="preserve">Lopinavir/Ritonavir Sandoz </w:t>
      </w:r>
      <w:r w:rsidRPr="00FB2719">
        <w:rPr>
          <w:color w:val="000000"/>
          <w:sz w:val="22"/>
          <w:szCs w:val="22"/>
          <w:lang w:eastAsia="lt-LT"/>
        </w:rPr>
        <w:t>dozę, bet tai yra susiję su didesne toksinio poveikio kepenims ir virškinimo traktui rizika. Todėl kartu vartoti minėtų vaistinių preparatų turi būti vengiama, išskyrus neabejotinai būtinus atvejus (žr. 4.5 skyrių).</w:t>
      </w:r>
    </w:p>
    <w:p w14:paraId="01C91710" w14:textId="77777777" w:rsidR="00CA08B3" w:rsidRPr="00FB2719" w:rsidRDefault="00CA08B3" w:rsidP="00CA08B3">
      <w:pPr>
        <w:tabs>
          <w:tab w:val="left" w:pos="567"/>
        </w:tabs>
        <w:rPr>
          <w:bCs/>
          <w:sz w:val="22"/>
          <w:szCs w:val="22"/>
        </w:rPr>
      </w:pPr>
    </w:p>
    <w:p w14:paraId="1A867CAF" w14:textId="77777777" w:rsidR="00CA08B3" w:rsidRPr="00FB2719" w:rsidRDefault="00CA08B3" w:rsidP="00CA08B3">
      <w:pPr>
        <w:autoSpaceDE w:val="0"/>
        <w:autoSpaceDN w:val="0"/>
        <w:adjustRightInd w:val="0"/>
        <w:rPr>
          <w:color w:val="000000"/>
          <w:sz w:val="22"/>
          <w:szCs w:val="22"/>
          <w:lang w:eastAsia="lt-LT"/>
        </w:rPr>
      </w:pPr>
      <w:r w:rsidRPr="00FB2719">
        <w:rPr>
          <w:color w:val="000000"/>
          <w:sz w:val="22"/>
          <w:szCs w:val="22"/>
        </w:rPr>
        <w:t xml:space="preserve">Lopinavir/Ritonavir Sandoz </w:t>
      </w:r>
      <w:r w:rsidRPr="00FB2719">
        <w:rPr>
          <w:color w:val="000000"/>
          <w:sz w:val="22"/>
          <w:szCs w:val="22"/>
          <w:lang w:eastAsia="lt-LT"/>
        </w:rPr>
        <w:t>vartoti kartu su flutikazonu ar kitais gliukokortikoidais, kurie metabolizuojami dalyvaujant CYP3A4, pavyzdžiui, budezonidu</w:t>
      </w:r>
      <w:r w:rsidR="00447DEF" w:rsidRPr="00FB2719">
        <w:rPr>
          <w:color w:val="000000"/>
          <w:sz w:val="22"/>
          <w:szCs w:val="22"/>
          <w:lang w:eastAsia="lt-LT"/>
        </w:rPr>
        <w:t xml:space="preserve"> ir triamcinolonu</w:t>
      </w:r>
      <w:r w:rsidRPr="00FB2719">
        <w:rPr>
          <w:color w:val="000000"/>
          <w:sz w:val="22"/>
          <w:szCs w:val="22"/>
          <w:lang w:eastAsia="lt-LT"/>
        </w:rPr>
        <w:t xml:space="preserve">, nerekomenduojama, nebent galima gydymo nauda yra didesnė už sisteminio kortikosteroidų poveikio, įskaitant Kušingo (Cushing) sindromą ir antinksčių funkcijos slopinimą, riziką (žr. 4.5 skyrių). </w:t>
      </w:r>
    </w:p>
    <w:p w14:paraId="3469FE13" w14:textId="77777777" w:rsidR="00CA08B3" w:rsidRPr="00FB2719" w:rsidRDefault="00CA08B3" w:rsidP="00CA08B3">
      <w:pPr>
        <w:autoSpaceDE w:val="0"/>
        <w:autoSpaceDN w:val="0"/>
        <w:adjustRightInd w:val="0"/>
        <w:rPr>
          <w:i/>
          <w:iCs/>
          <w:color w:val="000000"/>
          <w:sz w:val="22"/>
          <w:szCs w:val="22"/>
          <w:lang w:eastAsia="lt-LT"/>
        </w:rPr>
      </w:pPr>
    </w:p>
    <w:p w14:paraId="6144E7BB" w14:textId="77777777" w:rsidR="00CA08B3" w:rsidRPr="00FB2719" w:rsidRDefault="00CA08B3" w:rsidP="00CA08B3">
      <w:pPr>
        <w:autoSpaceDE w:val="0"/>
        <w:autoSpaceDN w:val="0"/>
        <w:adjustRightInd w:val="0"/>
        <w:rPr>
          <w:iCs/>
          <w:color w:val="000000"/>
          <w:sz w:val="22"/>
          <w:szCs w:val="22"/>
          <w:u w:val="single"/>
          <w:lang w:eastAsia="lt-LT"/>
        </w:rPr>
      </w:pPr>
      <w:r w:rsidRPr="00FB2719">
        <w:rPr>
          <w:iCs/>
          <w:color w:val="000000"/>
          <w:sz w:val="22"/>
          <w:szCs w:val="22"/>
          <w:u w:val="single"/>
          <w:lang w:eastAsia="lt-LT"/>
        </w:rPr>
        <w:t xml:space="preserve">Kita </w:t>
      </w:r>
    </w:p>
    <w:p w14:paraId="23F23AE0" w14:textId="77777777" w:rsidR="00CA08B3" w:rsidRPr="00FB2719" w:rsidRDefault="00CA08B3" w:rsidP="003C15FD">
      <w:pPr>
        <w:tabs>
          <w:tab w:val="left" w:pos="567"/>
        </w:tabs>
        <w:rPr>
          <w:color w:val="000000"/>
          <w:sz w:val="22"/>
          <w:szCs w:val="22"/>
          <w:lang w:eastAsia="lt-LT"/>
        </w:rPr>
      </w:pPr>
      <w:r w:rsidRPr="00FB2719">
        <w:rPr>
          <w:color w:val="000000"/>
          <w:sz w:val="22"/>
          <w:szCs w:val="22"/>
        </w:rPr>
        <w:t xml:space="preserve">Lopinavir/Ritonavir Sandoz </w:t>
      </w:r>
      <w:r w:rsidRPr="00FB2719">
        <w:rPr>
          <w:color w:val="000000"/>
          <w:sz w:val="22"/>
          <w:szCs w:val="22"/>
          <w:lang w:eastAsia="lt-LT"/>
        </w:rPr>
        <w:t xml:space="preserve">negydo nuo ŽIV infekcijos ar AIDS. </w:t>
      </w:r>
      <w:r w:rsidR="003C15FD" w:rsidRPr="00FB2719">
        <w:rPr>
          <w:color w:val="000000"/>
          <w:sz w:val="22"/>
          <w:szCs w:val="22"/>
          <w:lang w:eastAsia="lt-LT"/>
        </w:rPr>
        <w:t xml:space="preserve">Nors įrodytas antiretrovirusinio gydymo virusų slopinimo veiksmingumas reikšmingai sumažinant kitų asmenų užkrėtimo virusais lytiniu keliu riziką, liekamosios rizikos paneigti negalima. Kad būtų išvengta kitų asmenų užkrėtimo virusais, reikia laikytis atsargumo priemonių pagal nacionalines rekomendacijas. </w:t>
      </w:r>
      <w:r w:rsidR="003C15FD" w:rsidRPr="00FB2719">
        <w:rPr>
          <w:color w:val="000000"/>
          <w:sz w:val="22"/>
          <w:szCs w:val="22"/>
        </w:rPr>
        <w:t xml:space="preserve">Lopinavir/Ritonavir Sandoz </w:t>
      </w:r>
      <w:r w:rsidR="003C15FD" w:rsidRPr="00FB2719">
        <w:rPr>
          <w:color w:val="000000"/>
          <w:sz w:val="22"/>
          <w:szCs w:val="22"/>
          <w:lang w:eastAsia="lt-LT"/>
        </w:rPr>
        <w:t>vartojantiems pacientams gali prasidėti infekcija ar kita su ŽIV ar AIDS susijusi liga.</w:t>
      </w:r>
    </w:p>
    <w:p w14:paraId="2FD8DB0E" w14:textId="77777777" w:rsidR="005A5BF8" w:rsidRPr="00FB2719" w:rsidRDefault="005A5BF8" w:rsidP="00FB2719">
      <w:pPr>
        <w:autoSpaceDE w:val="0"/>
        <w:autoSpaceDN w:val="0"/>
        <w:adjustRightInd w:val="0"/>
        <w:rPr>
          <w:iCs/>
          <w:sz w:val="22"/>
          <w:szCs w:val="22"/>
          <w:u w:val="single"/>
          <w:lang w:eastAsia="lt-LT"/>
        </w:rPr>
      </w:pPr>
    </w:p>
    <w:p w14:paraId="2D587124" w14:textId="77777777" w:rsidR="005A5BF8" w:rsidRPr="00FB2719" w:rsidRDefault="005A5BF8" w:rsidP="00FB2719">
      <w:pPr>
        <w:autoSpaceDE w:val="0"/>
        <w:autoSpaceDN w:val="0"/>
        <w:adjustRightInd w:val="0"/>
        <w:rPr>
          <w:iCs/>
          <w:sz w:val="22"/>
          <w:szCs w:val="22"/>
          <w:u w:val="single"/>
          <w:lang w:eastAsia="lt-LT"/>
        </w:rPr>
      </w:pPr>
      <w:r w:rsidRPr="00FB2719">
        <w:rPr>
          <w:iCs/>
          <w:color w:val="000000"/>
          <w:sz w:val="22"/>
          <w:szCs w:val="22"/>
          <w:u w:val="single"/>
          <w:lang w:eastAsia="lt-LT"/>
        </w:rPr>
        <w:t xml:space="preserve">Vartojimas diabetu sergantiems pacientams </w:t>
      </w:r>
    </w:p>
    <w:p w14:paraId="34F94FBD" w14:textId="77777777" w:rsidR="005A5BF8" w:rsidRPr="00FB2719" w:rsidRDefault="005A5BF8" w:rsidP="00FB2719">
      <w:pPr>
        <w:autoSpaceDE w:val="0"/>
        <w:autoSpaceDN w:val="0"/>
        <w:adjustRightInd w:val="0"/>
        <w:rPr>
          <w:iCs/>
          <w:color w:val="000000"/>
          <w:sz w:val="22"/>
          <w:szCs w:val="22"/>
          <w:u w:val="single"/>
          <w:lang w:eastAsia="lt-LT"/>
        </w:rPr>
      </w:pPr>
      <w:r w:rsidRPr="00FB2719">
        <w:rPr>
          <w:iCs/>
          <w:color w:val="000000"/>
          <w:sz w:val="22"/>
          <w:szCs w:val="22"/>
          <w:lang w:eastAsia="lt-LT"/>
        </w:rPr>
        <w:lastRenderedPageBreak/>
        <w:t>Pradėjus gydymą HCV {tiesiogiai veikiančiu antivirusiniu vaistiniu preparatu (TVAVP)}, diabetu sergantiems pacientams gali pagerėti gliukozės kontrolė, todėl jiems gali išsivystyti simptominė hipoglikemija. Reikia atidžiai stebėti gliukozės kiekį gydymą HCV {tiesiogiai veikiančiu antivirusiniu vaistiniu preparatu (TVAV)} pradedančių pacientų kraujyje, ypač pirmus 3 mėnesius, ir, esant būtinybei, koreguoti jiems taikomą gydymą antidiabetiniais vaistiniais preparatais. Pradėjus gydymą</w:t>
      </w:r>
      <w:r w:rsidRPr="00FB2719">
        <w:rPr>
          <w:iCs/>
          <w:color w:val="000000"/>
          <w:sz w:val="22"/>
          <w:szCs w:val="22"/>
          <w:u w:val="single"/>
          <w:lang w:eastAsia="lt-LT"/>
        </w:rPr>
        <w:t xml:space="preserve"> </w:t>
      </w:r>
      <w:r w:rsidRPr="00FB2719">
        <w:rPr>
          <w:iCs/>
          <w:color w:val="000000"/>
          <w:sz w:val="22"/>
          <w:szCs w:val="22"/>
          <w:lang w:eastAsia="lt-LT"/>
        </w:rPr>
        <w:t>HCV {tiesiogiai veikiančiu antivirusiniu vaistiniu preparatu (TVAVP)}, apie tai reikia informuoti gydytoją, kuris yra atsakingas už pacientui taikomą antidiabetinį gydymą</w:t>
      </w:r>
      <w:r w:rsidR="0091018A" w:rsidRPr="00FB2719">
        <w:rPr>
          <w:iCs/>
          <w:color w:val="000000"/>
          <w:sz w:val="22"/>
          <w:szCs w:val="22"/>
          <w:lang w:eastAsia="lt-LT"/>
        </w:rPr>
        <w:t>.</w:t>
      </w:r>
    </w:p>
    <w:p w14:paraId="2DF9BFD0" w14:textId="77777777" w:rsidR="005A5BF8" w:rsidRPr="00FB2719" w:rsidRDefault="005A5BF8" w:rsidP="005A5BF8">
      <w:pPr>
        <w:tabs>
          <w:tab w:val="left" w:pos="567"/>
        </w:tabs>
        <w:rPr>
          <w:bCs/>
          <w:sz w:val="22"/>
          <w:szCs w:val="22"/>
        </w:rPr>
      </w:pPr>
    </w:p>
    <w:p w14:paraId="61404988" w14:textId="77777777" w:rsidR="00CA08B3" w:rsidRPr="00FB2719" w:rsidRDefault="00CA08B3" w:rsidP="00CA08B3">
      <w:pPr>
        <w:tabs>
          <w:tab w:val="left" w:pos="567"/>
        </w:tabs>
        <w:jc w:val="both"/>
        <w:rPr>
          <w:b/>
          <w:bCs/>
          <w:sz w:val="22"/>
          <w:szCs w:val="22"/>
        </w:rPr>
      </w:pPr>
      <w:r w:rsidRPr="00FB2719">
        <w:rPr>
          <w:b/>
          <w:bCs/>
          <w:sz w:val="22"/>
          <w:szCs w:val="22"/>
        </w:rPr>
        <w:t>4.5</w:t>
      </w:r>
      <w:r w:rsidRPr="00FB2719">
        <w:rPr>
          <w:b/>
          <w:bCs/>
          <w:sz w:val="22"/>
          <w:szCs w:val="22"/>
        </w:rPr>
        <w:tab/>
        <w:t>Sąveika su kitais vaistiniais preparatais ir kitokia sąveika</w:t>
      </w:r>
    </w:p>
    <w:p w14:paraId="7A51BE5E" w14:textId="77777777" w:rsidR="00CA08B3" w:rsidRPr="00FB2719" w:rsidRDefault="00CA08B3" w:rsidP="00CA08B3">
      <w:pPr>
        <w:tabs>
          <w:tab w:val="left" w:pos="567"/>
        </w:tabs>
        <w:jc w:val="both"/>
        <w:rPr>
          <w:b/>
          <w:bCs/>
          <w:sz w:val="22"/>
          <w:szCs w:val="22"/>
        </w:rPr>
      </w:pPr>
    </w:p>
    <w:p w14:paraId="2D0125CB" w14:textId="77777777" w:rsidR="00CA08B3" w:rsidRPr="00FB2719" w:rsidRDefault="00CA08B3" w:rsidP="00CA08B3">
      <w:pPr>
        <w:tabs>
          <w:tab w:val="left" w:pos="567"/>
        </w:tabs>
        <w:jc w:val="both"/>
        <w:rPr>
          <w:sz w:val="22"/>
          <w:szCs w:val="22"/>
        </w:rPr>
      </w:pPr>
      <w:r w:rsidRPr="00FB2719">
        <w:rPr>
          <w:color w:val="000000"/>
          <w:sz w:val="22"/>
          <w:szCs w:val="22"/>
        </w:rPr>
        <w:t xml:space="preserve">Lopinavir/Ritonavir Sandoz </w:t>
      </w:r>
      <w:r w:rsidRPr="00FB2719">
        <w:rPr>
          <w:sz w:val="22"/>
          <w:szCs w:val="22"/>
        </w:rPr>
        <w:t xml:space="preserve">sudėtyje yra lopinaviro ir ritonaviro, kurie abu yra P450 CYP3A izoformos inhibitoriai </w:t>
      </w:r>
      <w:r w:rsidRPr="00FB2719">
        <w:rPr>
          <w:i/>
          <w:iCs/>
          <w:sz w:val="22"/>
          <w:szCs w:val="22"/>
        </w:rPr>
        <w:t>in vitro</w:t>
      </w:r>
      <w:r w:rsidRPr="00FB2719">
        <w:rPr>
          <w:sz w:val="22"/>
          <w:szCs w:val="22"/>
        </w:rPr>
        <w:t xml:space="preserve">. </w:t>
      </w:r>
      <w:r w:rsidRPr="00FB2719">
        <w:rPr>
          <w:color w:val="000000"/>
          <w:sz w:val="22"/>
          <w:szCs w:val="22"/>
        </w:rPr>
        <w:t xml:space="preserve">Lopinavir/Ritonavir Sandoz </w:t>
      </w:r>
      <w:r w:rsidRPr="00FB2719">
        <w:rPr>
          <w:sz w:val="22"/>
          <w:szCs w:val="22"/>
        </w:rPr>
        <w:t>vartojimas kartu su vaistiniais preparatais, kuriuos daugiausia metabolizuoja CYP3A, gali padidinti šių vaisinių preparatų koncentracijas plazmoje ir dėl to gali sustiprėti ar pailgėti jų gydomasis poveikis ir nepageidaujamos reakcijos.</w:t>
      </w:r>
    </w:p>
    <w:p w14:paraId="2013AA26" w14:textId="77777777" w:rsidR="00CA08B3" w:rsidRPr="00FB2719" w:rsidRDefault="00CA08B3" w:rsidP="00CA08B3">
      <w:pPr>
        <w:tabs>
          <w:tab w:val="left" w:pos="567"/>
        </w:tabs>
        <w:jc w:val="both"/>
        <w:rPr>
          <w:color w:val="000000"/>
          <w:sz w:val="22"/>
          <w:szCs w:val="22"/>
          <w:lang w:eastAsia="lt-LT"/>
        </w:rPr>
      </w:pPr>
      <w:r w:rsidRPr="00FB2719">
        <w:rPr>
          <w:color w:val="000000"/>
          <w:sz w:val="22"/>
          <w:szCs w:val="22"/>
          <w:lang w:eastAsia="lt-LT"/>
        </w:rPr>
        <w:t>L</w:t>
      </w:r>
      <w:r w:rsidRPr="00FB2719">
        <w:rPr>
          <w:color w:val="000000"/>
          <w:sz w:val="22"/>
          <w:szCs w:val="22"/>
        </w:rPr>
        <w:t xml:space="preserve">opinaviro / ritonaviro derinys, esant kliniškai reikšmingoms jo koncentracijoms, </w:t>
      </w:r>
      <w:r w:rsidRPr="00FB2719">
        <w:rPr>
          <w:color w:val="000000"/>
          <w:sz w:val="22"/>
          <w:szCs w:val="22"/>
          <w:lang w:eastAsia="lt-LT"/>
        </w:rPr>
        <w:t xml:space="preserve">neslopina CYP2D6, CYP2C9, CYP2C19, CYP2E1, CYP2B6 ar CYP1A2 (žr. 4.3 skyrių). </w:t>
      </w:r>
    </w:p>
    <w:p w14:paraId="2D733FA2" w14:textId="77777777" w:rsidR="00CA08B3" w:rsidRPr="00FB2719" w:rsidRDefault="00CA08B3" w:rsidP="00CA08B3">
      <w:pPr>
        <w:autoSpaceDE w:val="0"/>
        <w:autoSpaceDN w:val="0"/>
        <w:adjustRightInd w:val="0"/>
        <w:rPr>
          <w:color w:val="000000"/>
          <w:sz w:val="22"/>
          <w:szCs w:val="22"/>
          <w:lang w:eastAsia="lt-LT"/>
        </w:rPr>
      </w:pPr>
      <w:r w:rsidRPr="00FB2719">
        <w:rPr>
          <w:color w:val="000000"/>
          <w:sz w:val="22"/>
          <w:szCs w:val="22"/>
          <w:lang w:eastAsia="lt-LT"/>
        </w:rPr>
        <w:t xml:space="preserve">Nustatyta, kad </w:t>
      </w:r>
      <w:r w:rsidRPr="00FB2719">
        <w:rPr>
          <w:color w:val="000000"/>
          <w:sz w:val="22"/>
          <w:szCs w:val="22"/>
        </w:rPr>
        <w:t xml:space="preserve">lopinaviro / ritonaviro derinys </w:t>
      </w:r>
      <w:r w:rsidRPr="00FB2719">
        <w:rPr>
          <w:i/>
          <w:iCs/>
          <w:color w:val="000000"/>
          <w:sz w:val="22"/>
          <w:szCs w:val="22"/>
          <w:lang w:eastAsia="lt-LT"/>
        </w:rPr>
        <w:t xml:space="preserve">in vivo </w:t>
      </w:r>
      <w:r w:rsidRPr="00FB2719">
        <w:rPr>
          <w:color w:val="000000"/>
          <w:sz w:val="22"/>
          <w:szCs w:val="22"/>
          <w:lang w:eastAsia="lt-LT"/>
        </w:rPr>
        <w:t xml:space="preserve">indukuoja savo paties metabolizmą ir didina kai kurių vaistinių preparatų, metabolizuojamų citochromo P450 fermentų (įskaitant CYP2C9 ir CYP2C19) ir gliukuronizavimo būdu, biotransformaciją. Dėl to gali sumažėti kartu vartojamų vaistinių preparatų koncentracija plazmoje ir veiksmingumas. </w:t>
      </w:r>
    </w:p>
    <w:p w14:paraId="395CFCCC" w14:textId="77777777" w:rsidR="009C640C" w:rsidRPr="00FB2719" w:rsidRDefault="009C640C" w:rsidP="00CA08B3">
      <w:pPr>
        <w:autoSpaceDE w:val="0"/>
        <w:autoSpaceDN w:val="0"/>
        <w:adjustRightInd w:val="0"/>
        <w:rPr>
          <w:sz w:val="22"/>
          <w:szCs w:val="22"/>
        </w:rPr>
      </w:pPr>
    </w:p>
    <w:p w14:paraId="3F5AFADF" w14:textId="77777777" w:rsidR="003C15FD" w:rsidRPr="00FB2719" w:rsidRDefault="009C640C" w:rsidP="00CA08B3">
      <w:pPr>
        <w:autoSpaceDE w:val="0"/>
        <w:autoSpaceDN w:val="0"/>
        <w:adjustRightInd w:val="0"/>
        <w:rPr>
          <w:color w:val="000000"/>
          <w:sz w:val="22"/>
          <w:szCs w:val="22"/>
          <w:lang w:eastAsia="lt-LT"/>
        </w:rPr>
      </w:pPr>
      <w:r w:rsidRPr="00FB2719">
        <w:rPr>
          <w:sz w:val="22"/>
          <w:szCs w:val="22"/>
        </w:rPr>
        <w:t xml:space="preserve">Po vaistinio preparato patekimo į rinką, buvo gauta pranešimų apie atvejus, rodančius galimą vaistinių preparatų, kurių sudėtyje yra ritonaviro, sąveiką su levotiroksinu. Pacientams, gydytiems levotiroksinu, reikia stebėti skydliaukę stimuliuojantį hormoną (TSH – </w:t>
      </w:r>
      <w:r w:rsidRPr="00FB2719">
        <w:rPr>
          <w:i/>
          <w:sz w:val="22"/>
          <w:szCs w:val="22"/>
        </w:rPr>
        <w:t>angl. Thyroid-stimulating hormone</w:t>
      </w:r>
      <w:r w:rsidRPr="00FB2719">
        <w:rPr>
          <w:sz w:val="22"/>
          <w:szCs w:val="22"/>
        </w:rPr>
        <w:t>) mažiausiai pirmąjį mėnesį po gydymo lopinaviru / ritonaviru pradžios ir (arba) pabaigos.</w:t>
      </w:r>
    </w:p>
    <w:p w14:paraId="66932341" w14:textId="77777777" w:rsidR="005A5BF8" w:rsidRPr="00FB2719" w:rsidRDefault="005A5BF8" w:rsidP="00CA08B3">
      <w:pPr>
        <w:autoSpaceDE w:val="0"/>
        <w:autoSpaceDN w:val="0"/>
        <w:adjustRightInd w:val="0"/>
        <w:rPr>
          <w:color w:val="000000"/>
          <w:sz w:val="22"/>
          <w:szCs w:val="22"/>
          <w:lang w:eastAsia="lt-LT"/>
        </w:rPr>
      </w:pPr>
    </w:p>
    <w:p w14:paraId="35BC507A" w14:textId="77777777" w:rsidR="00CA08B3" w:rsidRPr="00FB2719" w:rsidRDefault="00CA08B3" w:rsidP="00CA08B3">
      <w:pPr>
        <w:autoSpaceDE w:val="0"/>
        <w:autoSpaceDN w:val="0"/>
        <w:adjustRightInd w:val="0"/>
        <w:rPr>
          <w:color w:val="000000"/>
          <w:sz w:val="22"/>
          <w:szCs w:val="22"/>
          <w:lang w:eastAsia="lt-LT"/>
        </w:rPr>
      </w:pPr>
      <w:r w:rsidRPr="00FB2719">
        <w:rPr>
          <w:color w:val="000000"/>
          <w:sz w:val="22"/>
          <w:szCs w:val="22"/>
          <w:lang w:eastAsia="lt-LT"/>
        </w:rPr>
        <w:t xml:space="preserve">Vaistiniai preparatai, kurių negalima vartoti dėl tikėtinos sąveikos ir galimų sunkių nepageidaujamų reiškinių, yra išvardyti 4.3 skyriuje. </w:t>
      </w:r>
    </w:p>
    <w:p w14:paraId="14682653" w14:textId="77777777" w:rsidR="003C15FD" w:rsidRPr="00FB2719" w:rsidRDefault="003C15FD" w:rsidP="00CA08B3">
      <w:pPr>
        <w:autoSpaceDE w:val="0"/>
        <w:autoSpaceDN w:val="0"/>
        <w:adjustRightInd w:val="0"/>
        <w:rPr>
          <w:color w:val="000000"/>
          <w:sz w:val="22"/>
          <w:szCs w:val="22"/>
          <w:lang w:eastAsia="lt-LT"/>
        </w:rPr>
      </w:pPr>
    </w:p>
    <w:p w14:paraId="7A92F4FF" w14:textId="4B12EF0F" w:rsidR="00CA08B3" w:rsidRPr="00FB2719" w:rsidRDefault="00CA08B3" w:rsidP="00CA08B3">
      <w:pPr>
        <w:autoSpaceDE w:val="0"/>
        <w:autoSpaceDN w:val="0"/>
        <w:adjustRightInd w:val="0"/>
        <w:rPr>
          <w:color w:val="000000"/>
          <w:sz w:val="22"/>
          <w:szCs w:val="22"/>
          <w:lang w:eastAsia="lt-LT"/>
        </w:rPr>
      </w:pPr>
      <w:r w:rsidRPr="00FB2719">
        <w:rPr>
          <w:color w:val="000000"/>
          <w:sz w:val="22"/>
          <w:szCs w:val="22"/>
          <w:lang w:eastAsia="lt-LT"/>
        </w:rPr>
        <w:t>Jeigu nenurodyta kitaip, visi sąveikos tyrimai, yra atlikti su lopinaviro / ritonaviro derinio kapsulėmis, kurios sukelia maždaug 20</w:t>
      </w:r>
      <w:r w:rsidR="0025420A" w:rsidRPr="00FB2719">
        <w:rPr>
          <w:color w:val="000000"/>
          <w:sz w:val="22"/>
          <w:szCs w:val="22"/>
          <w:lang w:eastAsia="lt-LT"/>
        </w:rPr>
        <w:t> </w:t>
      </w:r>
      <w:r w:rsidRPr="00FB2719">
        <w:rPr>
          <w:color w:val="000000"/>
          <w:sz w:val="22"/>
          <w:szCs w:val="22"/>
          <w:lang w:eastAsia="lt-LT"/>
        </w:rPr>
        <w:t>% mažesnę lopinaviro ekspoziciją, negu 200/50</w:t>
      </w:r>
      <w:r w:rsidR="0025420A" w:rsidRPr="00FB2719">
        <w:rPr>
          <w:color w:val="000000"/>
          <w:sz w:val="22"/>
          <w:szCs w:val="22"/>
          <w:lang w:eastAsia="lt-LT"/>
        </w:rPr>
        <w:t> </w:t>
      </w:r>
      <w:r w:rsidRPr="00FB2719">
        <w:rPr>
          <w:color w:val="000000"/>
          <w:sz w:val="22"/>
          <w:szCs w:val="22"/>
          <w:lang w:eastAsia="lt-LT"/>
        </w:rPr>
        <w:t xml:space="preserve">mg tabletės. </w:t>
      </w:r>
    </w:p>
    <w:p w14:paraId="72CDD956" w14:textId="77777777" w:rsidR="003C15FD" w:rsidRPr="00FB2719" w:rsidRDefault="003C15FD" w:rsidP="00CA08B3">
      <w:pPr>
        <w:autoSpaceDE w:val="0"/>
        <w:autoSpaceDN w:val="0"/>
        <w:adjustRightInd w:val="0"/>
        <w:rPr>
          <w:color w:val="000000"/>
          <w:sz w:val="22"/>
          <w:szCs w:val="22"/>
          <w:lang w:eastAsia="lt-LT"/>
        </w:rPr>
      </w:pPr>
    </w:p>
    <w:p w14:paraId="5E17BE70" w14:textId="77777777" w:rsidR="00CA08B3" w:rsidRPr="00FB2719" w:rsidRDefault="00CA08B3" w:rsidP="00CA08B3">
      <w:pPr>
        <w:autoSpaceDE w:val="0"/>
        <w:autoSpaceDN w:val="0"/>
        <w:adjustRightInd w:val="0"/>
        <w:rPr>
          <w:color w:val="000000"/>
          <w:sz w:val="22"/>
          <w:szCs w:val="22"/>
          <w:lang w:eastAsia="lt-LT"/>
        </w:rPr>
      </w:pPr>
      <w:r w:rsidRPr="00FB2719">
        <w:rPr>
          <w:color w:val="000000"/>
          <w:sz w:val="22"/>
          <w:szCs w:val="22"/>
          <w:lang w:eastAsia="lt-LT"/>
        </w:rPr>
        <w:t>Žinomos ir teorinės sąveikos su parinktais antiretrovirusiniais ir neantiretrovirusiniais vaistiniais preparatais išvardintos lentelėje žemiau.</w:t>
      </w:r>
    </w:p>
    <w:p w14:paraId="4FF1B4D0" w14:textId="77777777" w:rsidR="00CA08B3" w:rsidRPr="00FB2719" w:rsidRDefault="00CA08B3" w:rsidP="00CA08B3">
      <w:pPr>
        <w:autoSpaceDE w:val="0"/>
        <w:autoSpaceDN w:val="0"/>
        <w:adjustRightInd w:val="0"/>
        <w:rPr>
          <w:color w:val="000000"/>
          <w:sz w:val="22"/>
          <w:szCs w:val="22"/>
          <w:lang w:eastAsia="lt-LT"/>
        </w:rPr>
      </w:pPr>
    </w:p>
    <w:p w14:paraId="06B27F82" w14:textId="77777777" w:rsidR="00CA08B3" w:rsidRPr="00FB2719" w:rsidRDefault="00CA08B3" w:rsidP="00CA08B3">
      <w:pPr>
        <w:autoSpaceDE w:val="0"/>
        <w:autoSpaceDN w:val="0"/>
        <w:adjustRightInd w:val="0"/>
        <w:rPr>
          <w:i/>
          <w:iCs/>
          <w:color w:val="000000"/>
          <w:sz w:val="22"/>
          <w:szCs w:val="22"/>
          <w:lang w:eastAsia="lt-LT"/>
        </w:rPr>
      </w:pPr>
      <w:r w:rsidRPr="00FB2719">
        <w:rPr>
          <w:i/>
          <w:iCs/>
          <w:color w:val="000000"/>
          <w:sz w:val="22"/>
          <w:szCs w:val="22"/>
          <w:lang w:eastAsia="lt-LT"/>
        </w:rPr>
        <w:t xml:space="preserve">Sąveikos lentelė </w:t>
      </w:r>
    </w:p>
    <w:p w14:paraId="08D25FF1" w14:textId="77777777" w:rsidR="0064111D" w:rsidRPr="00FB2719" w:rsidRDefault="0064111D" w:rsidP="00CA08B3">
      <w:pPr>
        <w:autoSpaceDE w:val="0"/>
        <w:autoSpaceDN w:val="0"/>
        <w:adjustRightInd w:val="0"/>
        <w:rPr>
          <w:i/>
          <w:color w:val="000000"/>
          <w:sz w:val="22"/>
          <w:szCs w:val="22"/>
          <w:lang w:eastAsia="lt-LT"/>
        </w:rPr>
      </w:pPr>
    </w:p>
    <w:p w14:paraId="09B75F7F" w14:textId="77777777" w:rsidR="00CA08B3" w:rsidRPr="00FB2719" w:rsidRDefault="00CA08B3" w:rsidP="00CA08B3">
      <w:pPr>
        <w:autoSpaceDE w:val="0"/>
        <w:autoSpaceDN w:val="0"/>
        <w:adjustRightInd w:val="0"/>
        <w:rPr>
          <w:color w:val="000000"/>
          <w:sz w:val="22"/>
          <w:szCs w:val="22"/>
          <w:lang w:eastAsia="lt-LT"/>
        </w:rPr>
      </w:pPr>
      <w:r w:rsidRPr="00FB2719">
        <w:rPr>
          <w:color w:val="000000"/>
          <w:sz w:val="22"/>
          <w:szCs w:val="22"/>
          <w:lang w:eastAsia="lt-LT"/>
        </w:rPr>
        <w:t>L</w:t>
      </w:r>
      <w:r w:rsidRPr="00FB2719">
        <w:rPr>
          <w:color w:val="000000"/>
          <w:sz w:val="22"/>
          <w:szCs w:val="22"/>
        </w:rPr>
        <w:t>opinaviro / ritonaviro derinio</w:t>
      </w:r>
      <w:r w:rsidRPr="00FB2719">
        <w:rPr>
          <w:color w:val="000000"/>
          <w:sz w:val="22"/>
          <w:szCs w:val="22"/>
          <w:lang w:eastAsia="lt-LT"/>
        </w:rPr>
        <w:t xml:space="preserve"> sąveikos su kitais kartu vartojamais vaistiniais preparatais yra išvardintos žemiau esančioje lentelėje (padidėjimas yra žymimas “↑”, sumažėjimas - “↓”, pokyčių nebuvimas - “↔”, kartą per parą - “QD”, du kartus per parą - “BID”, tris kartus per parą - "TID"). </w:t>
      </w:r>
    </w:p>
    <w:p w14:paraId="5AD72E6D" w14:textId="77777777" w:rsidR="00CA08B3" w:rsidRPr="00FB2719" w:rsidRDefault="00CA08B3" w:rsidP="00CA08B3">
      <w:pPr>
        <w:tabs>
          <w:tab w:val="left" w:pos="567"/>
        </w:tabs>
        <w:jc w:val="both"/>
        <w:rPr>
          <w:b/>
          <w:bCs/>
          <w:sz w:val="22"/>
          <w:szCs w:val="22"/>
        </w:rPr>
      </w:pPr>
      <w:r w:rsidRPr="00FB2719">
        <w:rPr>
          <w:color w:val="000000"/>
          <w:sz w:val="22"/>
          <w:szCs w:val="22"/>
          <w:lang w:eastAsia="lt-LT"/>
        </w:rPr>
        <w:t>Jeigu kitaip nenurodyta, žemiau detalizuoti tyrimai atlikti skiriant rekomenduojamą lopinaviro / ritonaviro derinio dozę (t.y. 400/100</w:t>
      </w:r>
      <w:r w:rsidR="0025420A" w:rsidRPr="00FB2719">
        <w:rPr>
          <w:color w:val="000000"/>
          <w:sz w:val="22"/>
          <w:szCs w:val="22"/>
          <w:lang w:eastAsia="lt-LT"/>
        </w:rPr>
        <w:t> </w:t>
      </w:r>
      <w:r w:rsidRPr="00FB2719">
        <w:rPr>
          <w:color w:val="000000"/>
          <w:sz w:val="22"/>
          <w:szCs w:val="22"/>
          <w:lang w:eastAsia="lt-LT"/>
        </w:rPr>
        <w:t>mg du kartus per parą).</w:t>
      </w:r>
    </w:p>
    <w:p w14:paraId="0C1CFAA5" w14:textId="77777777" w:rsidR="00CA08B3" w:rsidRPr="00FB2719" w:rsidRDefault="00CA08B3" w:rsidP="00CA08B3">
      <w:pPr>
        <w:tabs>
          <w:tab w:val="left" w:pos="567"/>
        </w:tabs>
        <w:jc w:val="both"/>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4"/>
        <w:gridCol w:w="2984"/>
        <w:gridCol w:w="2988"/>
      </w:tblGrid>
      <w:tr w:rsidR="00CA08B3" w:rsidRPr="00FB2719" w14:paraId="37107004" w14:textId="77777777" w:rsidTr="0064111D">
        <w:tc>
          <w:tcPr>
            <w:tcW w:w="3044"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828"/>
            </w:tblGrid>
            <w:tr w:rsidR="00CA08B3" w:rsidRPr="00FB2719" w14:paraId="744F70DE" w14:textId="77777777">
              <w:trPr>
                <w:trHeight w:val="405"/>
              </w:trPr>
              <w:tc>
                <w:tcPr>
                  <w:tcW w:w="0" w:type="auto"/>
                  <w:hideMark/>
                </w:tcPr>
                <w:p w14:paraId="4EC846C2" w14:textId="77777777" w:rsidR="00CA08B3" w:rsidRPr="00FB2719" w:rsidRDefault="00CA08B3">
                  <w:pPr>
                    <w:autoSpaceDE w:val="0"/>
                    <w:autoSpaceDN w:val="0"/>
                    <w:adjustRightInd w:val="0"/>
                    <w:spacing w:line="276" w:lineRule="auto"/>
                    <w:rPr>
                      <w:color w:val="000000"/>
                      <w:sz w:val="22"/>
                      <w:szCs w:val="22"/>
                      <w:lang w:val="it-IT" w:eastAsia="lt-LT"/>
                    </w:rPr>
                  </w:pPr>
                  <w:r w:rsidRPr="00FB2719">
                    <w:rPr>
                      <w:b/>
                      <w:bCs/>
                      <w:color w:val="000000"/>
                      <w:sz w:val="22"/>
                      <w:szCs w:val="22"/>
                      <w:lang w:val="it-IT" w:eastAsia="lt-LT"/>
                    </w:rPr>
                    <w:t xml:space="preserve">Kartu vartojamo vaistinio preparato farmakoterapinė grupė </w:t>
                  </w:r>
                </w:p>
              </w:tc>
            </w:tr>
          </w:tbl>
          <w:p w14:paraId="26A9E02C" w14:textId="77777777" w:rsidR="00CA08B3" w:rsidRPr="00FB2719" w:rsidRDefault="00CA08B3">
            <w:pPr>
              <w:tabs>
                <w:tab w:val="left" w:pos="567"/>
              </w:tabs>
              <w:spacing w:line="276" w:lineRule="auto"/>
              <w:jc w:val="both"/>
              <w:rPr>
                <w:b/>
                <w:bCs/>
                <w:sz w:val="22"/>
                <w:szCs w:val="22"/>
                <w:lang w:val="it-IT"/>
              </w:rPr>
            </w:pPr>
          </w:p>
        </w:tc>
        <w:tc>
          <w:tcPr>
            <w:tcW w:w="2984" w:type="dxa"/>
            <w:tcBorders>
              <w:top w:val="single" w:sz="4" w:space="0" w:color="auto"/>
              <w:left w:val="single" w:sz="4" w:space="0" w:color="auto"/>
              <w:bottom w:val="single" w:sz="4" w:space="0" w:color="auto"/>
              <w:right w:val="single" w:sz="4" w:space="0" w:color="auto"/>
            </w:tcBorders>
            <w:hideMark/>
          </w:tcPr>
          <w:p w14:paraId="5E09C4A2" w14:textId="77777777" w:rsidR="00CA08B3" w:rsidRPr="00FB2719" w:rsidRDefault="00CA08B3">
            <w:pPr>
              <w:tabs>
                <w:tab w:val="left" w:pos="567"/>
              </w:tabs>
              <w:spacing w:line="276" w:lineRule="auto"/>
              <w:jc w:val="both"/>
              <w:rPr>
                <w:b/>
                <w:bCs/>
                <w:sz w:val="22"/>
                <w:szCs w:val="22"/>
                <w:lang w:val="it-IT"/>
              </w:rPr>
            </w:pPr>
            <w:r w:rsidRPr="00FB2719">
              <w:rPr>
                <w:b/>
                <w:bCs/>
                <w:sz w:val="22"/>
                <w:szCs w:val="22"/>
                <w:lang w:val="it-IT"/>
              </w:rPr>
              <w:t>Poveikis vaistinio preparato kiekiams</w:t>
            </w:r>
          </w:p>
          <w:p w14:paraId="37C97416" w14:textId="77777777" w:rsidR="00CA08B3" w:rsidRPr="00FB2719" w:rsidRDefault="00CA08B3">
            <w:pPr>
              <w:tabs>
                <w:tab w:val="left" w:pos="567"/>
              </w:tabs>
              <w:spacing w:line="276" w:lineRule="auto"/>
              <w:rPr>
                <w:b/>
                <w:bCs/>
                <w:sz w:val="22"/>
                <w:szCs w:val="22"/>
                <w:lang w:val="it-IT"/>
              </w:rPr>
            </w:pPr>
            <w:r w:rsidRPr="00FB2719">
              <w:rPr>
                <w:b/>
                <w:bCs/>
                <w:sz w:val="22"/>
                <w:szCs w:val="22"/>
                <w:lang w:val="it-IT"/>
              </w:rPr>
              <w:t>AUC, C</w:t>
            </w:r>
            <w:r w:rsidRPr="00FB2719">
              <w:rPr>
                <w:b/>
                <w:bCs/>
                <w:sz w:val="22"/>
                <w:szCs w:val="22"/>
                <w:vertAlign w:val="subscript"/>
                <w:lang w:val="it-IT"/>
              </w:rPr>
              <w:t>max</w:t>
            </w:r>
            <w:r w:rsidRPr="00FB2719">
              <w:rPr>
                <w:b/>
                <w:bCs/>
                <w:sz w:val="22"/>
                <w:szCs w:val="22"/>
                <w:lang w:val="it-IT"/>
              </w:rPr>
              <w:t>, C</w:t>
            </w:r>
            <w:r w:rsidRPr="00FB2719">
              <w:rPr>
                <w:b/>
                <w:bCs/>
                <w:sz w:val="22"/>
                <w:szCs w:val="22"/>
                <w:vertAlign w:val="subscript"/>
                <w:lang w:val="it-IT"/>
              </w:rPr>
              <w:t>min</w:t>
            </w:r>
            <w:r w:rsidRPr="00FB2719">
              <w:rPr>
                <w:b/>
                <w:bCs/>
                <w:sz w:val="22"/>
                <w:szCs w:val="22"/>
                <w:lang w:val="it-IT"/>
              </w:rPr>
              <w:t xml:space="preserve"> geometrinio vidurkio pokytis (%) </w:t>
            </w:r>
          </w:p>
          <w:p w14:paraId="467745C9" w14:textId="77777777" w:rsidR="00CA08B3" w:rsidRPr="00FB2719" w:rsidRDefault="00CA08B3">
            <w:pPr>
              <w:tabs>
                <w:tab w:val="left" w:pos="567"/>
              </w:tabs>
              <w:spacing w:line="276" w:lineRule="auto"/>
              <w:jc w:val="both"/>
              <w:rPr>
                <w:b/>
                <w:bCs/>
                <w:sz w:val="22"/>
                <w:szCs w:val="22"/>
                <w:lang w:val="en-US"/>
              </w:rPr>
            </w:pPr>
            <w:r w:rsidRPr="00FB2719">
              <w:rPr>
                <w:b/>
                <w:bCs/>
                <w:sz w:val="22"/>
                <w:szCs w:val="22"/>
                <w:lang w:val="en-US"/>
              </w:rPr>
              <w:t>Sąveikos mechanizmas</w:t>
            </w:r>
          </w:p>
        </w:tc>
        <w:tc>
          <w:tcPr>
            <w:tcW w:w="2988" w:type="dxa"/>
            <w:tcBorders>
              <w:top w:val="single" w:sz="4" w:space="0" w:color="auto"/>
              <w:left w:val="single" w:sz="4" w:space="0" w:color="auto"/>
              <w:bottom w:val="single" w:sz="4" w:space="0" w:color="auto"/>
              <w:right w:val="single" w:sz="4" w:space="0" w:color="auto"/>
            </w:tcBorders>
            <w:hideMark/>
          </w:tcPr>
          <w:p w14:paraId="68BD0908" w14:textId="77777777" w:rsidR="00CA08B3" w:rsidRPr="00FB2719" w:rsidRDefault="00CA08B3">
            <w:pPr>
              <w:tabs>
                <w:tab w:val="left" w:pos="567"/>
              </w:tabs>
              <w:spacing w:line="276" w:lineRule="auto"/>
              <w:rPr>
                <w:b/>
                <w:bCs/>
                <w:sz w:val="22"/>
                <w:szCs w:val="22"/>
                <w:lang w:val="en-US"/>
              </w:rPr>
            </w:pPr>
            <w:r w:rsidRPr="00FB2719">
              <w:rPr>
                <w:b/>
                <w:bCs/>
                <w:sz w:val="22"/>
                <w:szCs w:val="22"/>
                <w:lang w:val="en-US"/>
              </w:rPr>
              <w:t>Klinikinės rekomendacijos dėl vaistinio preparato vartojimo kartu su lopinaviro / ritonaviro deriniu</w:t>
            </w:r>
          </w:p>
        </w:tc>
      </w:tr>
      <w:tr w:rsidR="00CA08B3" w:rsidRPr="00FB2719" w14:paraId="5D9EDAAA" w14:textId="77777777" w:rsidTr="0064111D">
        <w:tc>
          <w:tcPr>
            <w:tcW w:w="9016" w:type="dxa"/>
            <w:gridSpan w:val="3"/>
            <w:tcBorders>
              <w:top w:val="single" w:sz="4" w:space="0" w:color="auto"/>
              <w:left w:val="single" w:sz="4" w:space="0" w:color="auto"/>
              <w:bottom w:val="single" w:sz="4" w:space="0" w:color="auto"/>
              <w:right w:val="single" w:sz="4" w:space="0" w:color="auto"/>
            </w:tcBorders>
            <w:hideMark/>
          </w:tcPr>
          <w:p w14:paraId="0CA629D0" w14:textId="77777777" w:rsidR="00CA08B3" w:rsidRPr="00FB2719" w:rsidRDefault="00CA08B3">
            <w:pPr>
              <w:tabs>
                <w:tab w:val="left" w:pos="567"/>
              </w:tabs>
              <w:spacing w:line="276" w:lineRule="auto"/>
              <w:jc w:val="both"/>
              <w:rPr>
                <w:b/>
                <w:bCs/>
                <w:sz w:val="22"/>
                <w:szCs w:val="22"/>
                <w:lang w:val="en-US"/>
              </w:rPr>
            </w:pPr>
            <w:r w:rsidRPr="00FB2719">
              <w:rPr>
                <w:b/>
                <w:bCs/>
                <w:sz w:val="22"/>
                <w:szCs w:val="22"/>
                <w:lang w:val="en-US"/>
              </w:rPr>
              <w:t>Antiretrovirusinės medžiagos</w:t>
            </w:r>
          </w:p>
        </w:tc>
      </w:tr>
      <w:tr w:rsidR="00CA08B3" w:rsidRPr="00FB2719" w14:paraId="1ABEC5B5" w14:textId="77777777" w:rsidTr="0064111D">
        <w:tc>
          <w:tcPr>
            <w:tcW w:w="9016" w:type="dxa"/>
            <w:gridSpan w:val="3"/>
            <w:tcBorders>
              <w:top w:val="single" w:sz="4" w:space="0" w:color="auto"/>
              <w:left w:val="single" w:sz="4" w:space="0" w:color="auto"/>
              <w:bottom w:val="single" w:sz="4" w:space="0" w:color="auto"/>
              <w:right w:val="single" w:sz="4" w:space="0" w:color="auto"/>
            </w:tcBorders>
            <w:hideMark/>
          </w:tcPr>
          <w:p w14:paraId="32379E40" w14:textId="77777777" w:rsidR="00CA08B3" w:rsidRPr="00FB2719" w:rsidRDefault="00CA08B3">
            <w:pPr>
              <w:tabs>
                <w:tab w:val="left" w:pos="567"/>
              </w:tabs>
              <w:spacing w:line="276" w:lineRule="auto"/>
              <w:jc w:val="both"/>
              <w:rPr>
                <w:bCs/>
                <w:i/>
                <w:sz w:val="22"/>
                <w:szCs w:val="22"/>
              </w:rPr>
            </w:pPr>
            <w:r w:rsidRPr="00FB2719">
              <w:rPr>
                <w:bCs/>
                <w:i/>
                <w:sz w:val="22"/>
                <w:szCs w:val="22"/>
              </w:rPr>
              <w:t>Nukleozidiniai / nukleotidiniai atvirkštinės transkriptazės inhibitoriai (NATI)</w:t>
            </w:r>
          </w:p>
        </w:tc>
      </w:tr>
      <w:tr w:rsidR="00CA08B3" w:rsidRPr="00FB2719" w14:paraId="5348FBDE" w14:textId="77777777" w:rsidTr="0064111D">
        <w:tc>
          <w:tcPr>
            <w:tcW w:w="3044" w:type="dxa"/>
            <w:tcBorders>
              <w:top w:val="single" w:sz="4" w:space="0" w:color="auto"/>
              <w:left w:val="single" w:sz="4" w:space="0" w:color="auto"/>
              <w:bottom w:val="single" w:sz="4" w:space="0" w:color="auto"/>
              <w:right w:val="single" w:sz="4" w:space="0" w:color="auto"/>
            </w:tcBorders>
            <w:hideMark/>
          </w:tcPr>
          <w:p w14:paraId="23B37D08"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Stavudinas, lamivudinas</w:t>
            </w:r>
          </w:p>
        </w:tc>
        <w:tc>
          <w:tcPr>
            <w:tcW w:w="2984" w:type="dxa"/>
            <w:tcBorders>
              <w:top w:val="single" w:sz="4" w:space="0" w:color="auto"/>
              <w:left w:val="single" w:sz="4" w:space="0" w:color="auto"/>
              <w:bottom w:val="single" w:sz="4" w:space="0" w:color="auto"/>
              <w:right w:val="single" w:sz="4" w:space="0" w:color="auto"/>
            </w:tcBorders>
            <w:hideMark/>
          </w:tcPr>
          <w:p w14:paraId="37D0724D"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Lopinaviras: ↔</w:t>
            </w:r>
          </w:p>
        </w:tc>
        <w:tc>
          <w:tcPr>
            <w:tcW w:w="2988" w:type="dxa"/>
            <w:tcBorders>
              <w:top w:val="single" w:sz="4" w:space="0" w:color="auto"/>
              <w:left w:val="single" w:sz="4" w:space="0" w:color="auto"/>
              <w:bottom w:val="single" w:sz="4" w:space="0" w:color="auto"/>
              <w:right w:val="single" w:sz="4" w:space="0" w:color="auto"/>
            </w:tcBorders>
            <w:hideMark/>
          </w:tcPr>
          <w:p w14:paraId="52BDB802" w14:textId="77777777" w:rsidR="00CA08B3" w:rsidRPr="00FB2719" w:rsidRDefault="00CA08B3">
            <w:pPr>
              <w:tabs>
                <w:tab w:val="left" w:pos="567"/>
              </w:tabs>
              <w:spacing w:line="276" w:lineRule="auto"/>
              <w:rPr>
                <w:bCs/>
                <w:sz w:val="22"/>
                <w:szCs w:val="22"/>
                <w:lang w:val="en-US"/>
              </w:rPr>
            </w:pPr>
            <w:r w:rsidRPr="00FB2719">
              <w:rPr>
                <w:bCs/>
                <w:sz w:val="22"/>
                <w:szCs w:val="22"/>
                <w:lang w:val="en-US"/>
              </w:rPr>
              <w:t>Dozės koregavimas nereikalingas.</w:t>
            </w:r>
          </w:p>
        </w:tc>
      </w:tr>
      <w:tr w:rsidR="00CA08B3" w:rsidRPr="00FB2719" w14:paraId="3C0EB49D" w14:textId="77777777" w:rsidTr="0064111D">
        <w:tc>
          <w:tcPr>
            <w:tcW w:w="3044" w:type="dxa"/>
            <w:tcBorders>
              <w:top w:val="single" w:sz="4" w:space="0" w:color="auto"/>
              <w:left w:val="single" w:sz="4" w:space="0" w:color="auto"/>
              <w:bottom w:val="single" w:sz="4" w:space="0" w:color="auto"/>
              <w:right w:val="single" w:sz="4" w:space="0" w:color="auto"/>
            </w:tcBorders>
            <w:hideMark/>
          </w:tcPr>
          <w:p w14:paraId="31F35701"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lastRenderedPageBreak/>
              <w:t>Abakaviras, zidovudinas</w:t>
            </w:r>
          </w:p>
        </w:tc>
        <w:tc>
          <w:tcPr>
            <w:tcW w:w="2984" w:type="dxa"/>
            <w:tcBorders>
              <w:top w:val="single" w:sz="4" w:space="0" w:color="auto"/>
              <w:left w:val="single" w:sz="4" w:space="0" w:color="auto"/>
              <w:bottom w:val="single" w:sz="4" w:space="0" w:color="auto"/>
              <w:right w:val="single" w:sz="4" w:space="0" w:color="auto"/>
            </w:tcBorders>
            <w:hideMark/>
          </w:tcPr>
          <w:p w14:paraId="5F5D95A8"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Abakaviras, zidovudinas:</w:t>
            </w:r>
          </w:p>
          <w:p w14:paraId="24433522" w14:textId="77777777" w:rsidR="00CA08B3" w:rsidRPr="00FB2719" w:rsidRDefault="00CA08B3">
            <w:pPr>
              <w:tabs>
                <w:tab w:val="left" w:pos="567"/>
              </w:tabs>
              <w:spacing w:line="276" w:lineRule="auto"/>
              <w:rPr>
                <w:bCs/>
                <w:sz w:val="22"/>
                <w:szCs w:val="22"/>
                <w:lang w:val="en-US"/>
              </w:rPr>
            </w:pPr>
            <w:proofErr w:type="gramStart"/>
            <w:r w:rsidRPr="00FB2719">
              <w:rPr>
                <w:bCs/>
                <w:sz w:val="22"/>
                <w:szCs w:val="22"/>
                <w:lang w:val="en-US"/>
              </w:rPr>
              <w:t>koncentracijos</w:t>
            </w:r>
            <w:proofErr w:type="gramEnd"/>
            <w:r w:rsidRPr="00FB2719">
              <w:rPr>
                <w:bCs/>
                <w:sz w:val="22"/>
                <w:szCs w:val="22"/>
                <w:lang w:val="en-US"/>
              </w:rPr>
              <w:t xml:space="preserve"> gali sumažėti dėl lopinaviro / ritonaviro derinio sukelto gliukuronizavimo padidėjimo.</w:t>
            </w:r>
          </w:p>
        </w:tc>
        <w:tc>
          <w:tcPr>
            <w:tcW w:w="2988" w:type="dxa"/>
            <w:tcBorders>
              <w:top w:val="single" w:sz="4" w:space="0" w:color="auto"/>
              <w:left w:val="single" w:sz="4" w:space="0" w:color="auto"/>
              <w:bottom w:val="single" w:sz="4" w:space="0" w:color="auto"/>
              <w:right w:val="single" w:sz="4" w:space="0" w:color="auto"/>
            </w:tcBorders>
            <w:hideMark/>
          </w:tcPr>
          <w:p w14:paraId="415A30CB" w14:textId="77777777" w:rsidR="00CA08B3" w:rsidRPr="00FB2719" w:rsidRDefault="00CA08B3">
            <w:pPr>
              <w:tabs>
                <w:tab w:val="left" w:pos="567"/>
              </w:tabs>
              <w:spacing w:line="276" w:lineRule="auto"/>
              <w:rPr>
                <w:bCs/>
                <w:sz w:val="22"/>
                <w:szCs w:val="22"/>
                <w:lang w:val="en-US"/>
              </w:rPr>
            </w:pPr>
            <w:r w:rsidRPr="00FB2719">
              <w:rPr>
                <w:bCs/>
                <w:sz w:val="22"/>
                <w:szCs w:val="22"/>
                <w:lang w:val="en-US"/>
              </w:rPr>
              <w:t>Abakaviro ir zidovudino koncentracijų sumažėjimo klinikinė reikšmė nežinoma.</w:t>
            </w:r>
          </w:p>
        </w:tc>
      </w:tr>
      <w:tr w:rsidR="00CA08B3" w:rsidRPr="00FB2719" w14:paraId="027DA249" w14:textId="77777777" w:rsidTr="0064111D">
        <w:tc>
          <w:tcPr>
            <w:tcW w:w="3044"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428"/>
            </w:tblGrid>
            <w:tr w:rsidR="00CA08B3" w:rsidRPr="00FB2719" w14:paraId="28C77D12" w14:textId="77777777">
              <w:trPr>
                <w:trHeight w:val="275"/>
              </w:trPr>
              <w:tc>
                <w:tcPr>
                  <w:tcW w:w="0" w:type="auto"/>
                  <w:hideMark/>
                </w:tcPr>
                <w:p w14:paraId="1B33AED9" w14:textId="77777777" w:rsidR="00CA08B3" w:rsidRPr="00FB2719" w:rsidRDefault="00CA08B3" w:rsidP="0025420A">
                  <w:pPr>
                    <w:autoSpaceDE w:val="0"/>
                    <w:autoSpaceDN w:val="0"/>
                    <w:adjustRightInd w:val="0"/>
                    <w:spacing w:line="276" w:lineRule="auto"/>
                    <w:rPr>
                      <w:color w:val="000000"/>
                      <w:sz w:val="22"/>
                      <w:szCs w:val="22"/>
                      <w:lang w:val="en-US" w:eastAsia="lt-LT"/>
                    </w:rPr>
                  </w:pPr>
                  <w:r w:rsidRPr="00FB2719">
                    <w:rPr>
                      <w:color w:val="000000"/>
                      <w:sz w:val="22"/>
                      <w:szCs w:val="22"/>
                      <w:lang w:val="en-US" w:eastAsia="lt-LT"/>
                    </w:rPr>
                    <w:t>Tenofoviras, 300</w:t>
                  </w:r>
                  <w:r w:rsidR="0025420A" w:rsidRPr="00FB2719">
                    <w:rPr>
                      <w:color w:val="000000"/>
                      <w:sz w:val="22"/>
                      <w:szCs w:val="22"/>
                      <w:lang w:val="en-US" w:eastAsia="lt-LT"/>
                    </w:rPr>
                    <w:t> </w:t>
                  </w:r>
                  <w:r w:rsidRPr="00FB2719">
                    <w:rPr>
                      <w:color w:val="000000"/>
                      <w:sz w:val="22"/>
                      <w:szCs w:val="22"/>
                      <w:lang w:val="en-US" w:eastAsia="lt-LT"/>
                    </w:rPr>
                    <w:t xml:space="preserve">mg QD </w:t>
                  </w:r>
                </w:p>
              </w:tc>
            </w:tr>
          </w:tbl>
          <w:p w14:paraId="0815E4E6" w14:textId="77777777" w:rsidR="00CA08B3" w:rsidRPr="00FB2719" w:rsidRDefault="00CA08B3">
            <w:pPr>
              <w:tabs>
                <w:tab w:val="left" w:pos="567"/>
              </w:tabs>
              <w:spacing w:line="276" w:lineRule="auto"/>
              <w:jc w:val="both"/>
              <w:rPr>
                <w:bCs/>
                <w:sz w:val="22"/>
                <w:szCs w:val="22"/>
                <w:lang w:val="en-US"/>
              </w:rPr>
            </w:pPr>
          </w:p>
        </w:tc>
        <w:tc>
          <w:tcPr>
            <w:tcW w:w="2984" w:type="dxa"/>
            <w:tcBorders>
              <w:top w:val="single" w:sz="4" w:space="0" w:color="auto"/>
              <w:left w:val="single" w:sz="4" w:space="0" w:color="auto"/>
              <w:bottom w:val="single" w:sz="4" w:space="0" w:color="auto"/>
              <w:right w:val="single" w:sz="4" w:space="0" w:color="auto"/>
            </w:tcBorders>
            <w:hideMark/>
          </w:tcPr>
          <w:p w14:paraId="4AFAF85D"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Tenofoviras:</w:t>
            </w:r>
          </w:p>
          <w:p w14:paraId="1916D317"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AUC: ↑ 32 %</w:t>
            </w:r>
          </w:p>
          <w:p w14:paraId="1BACE1E3"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C</w:t>
            </w:r>
            <w:r w:rsidRPr="00FB2719">
              <w:rPr>
                <w:bCs/>
                <w:sz w:val="22"/>
                <w:szCs w:val="22"/>
                <w:vertAlign w:val="subscript"/>
                <w:lang w:val="en-US"/>
              </w:rPr>
              <w:t>max</w:t>
            </w:r>
            <w:r w:rsidRPr="00FB2719">
              <w:rPr>
                <w:bCs/>
                <w:sz w:val="22"/>
                <w:szCs w:val="22"/>
                <w:lang w:val="en-US"/>
              </w:rPr>
              <w:t>: ↔</w:t>
            </w:r>
          </w:p>
          <w:p w14:paraId="526294B6"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C</w:t>
            </w:r>
            <w:r w:rsidRPr="00FB2719">
              <w:rPr>
                <w:bCs/>
                <w:sz w:val="22"/>
                <w:szCs w:val="22"/>
                <w:vertAlign w:val="subscript"/>
                <w:lang w:val="en-US"/>
              </w:rPr>
              <w:t>min</w:t>
            </w:r>
            <w:r w:rsidRPr="00FB2719">
              <w:rPr>
                <w:bCs/>
                <w:sz w:val="22"/>
                <w:szCs w:val="22"/>
                <w:lang w:val="en-US"/>
              </w:rPr>
              <w:t>: ↑ 51 %</w:t>
            </w:r>
          </w:p>
          <w:p w14:paraId="2AEFDC64"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Lopinaviras: ↔</w:t>
            </w:r>
          </w:p>
        </w:tc>
        <w:tc>
          <w:tcPr>
            <w:tcW w:w="2988" w:type="dxa"/>
            <w:tcBorders>
              <w:top w:val="single" w:sz="4" w:space="0" w:color="auto"/>
              <w:left w:val="single" w:sz="4" w:space="0" w:color="auto"/>
              <w:bottom w:val="single" w:sz="4" w:space="0" w:color="auto"/>
              <w:right w:val="single" w:sz="4" w:space="0" w:color="auto"/>
            </w:tcBorders>
            <w:hideMark/>
          </w:tcPr>
          <w:p w14:paraId="4EE6ACBD" w14:textId="77777777" w:rsidR="00CA08B3" w:rsidRPr="00FB2719" w:rsidRDefault="00CA08B3">
            <w:pPr>
              <w:tabs>
                <w:tab w:val="left" w:pos="567"/>
              </w:tabs>
              <w:spacing w:line="276" w:lineRule="auto"/>
              <w:rPr>
                <w:bCs/>
                <w:sz w:val="22"/>
                <w:szCs w:val="22"/>
                <w:lang w:val="en-US"/>
              </w:rPr>
            </w:pPr>
            <w:r w:rsidRPr="00FB2719">
              <w:rPr>
                <w:bCs/>
                <w:sz w:val="22"/>
                <w:szCs w:val="22"/>
                <w:lang w:val="en-US"/>
              </w:rPr>
              <w:t>Dozės koregavimas nereikalingas. Didesnės tenofoviro koncentracijos gali padidinti tenofoviro sukeliamus nepageidaujamus reiškinius, įskaitant inkstų sutrikimus.</w:t>
            </w:r>
          </w:p>
        </w:tc>
      </w:tr>
      <w:tr w:rsidR="00CA08B3" w:rsidRPr="00FB2719" w14:paraId="06900474" w14:textId="77777777" w:rsidTr="0064111D">
        <w:tc>
          <w:tcPr>
            <w:tcW w:w="9016" w:type="dxa"/>
            <w:gridSpan w:val="3"/>
            <w:tcBorders>
              <w:top w:val="single" w:sz="4" w:space="0" w:color="auto"/>
              <w:left w:val="single" w:sz="4" w:space="0" w:color="auto"/>
              <w:bottom w:val="single" w:sz="4" w:space="0" w:color="auto"/>
              <w:right w:val="single" w:sz="4" w:space="0" w:color="auto"/>
            </w:tcBorders>
            <w:hideMark/>
          </w:tcPr>
          <w:p w14:paraId="28C772E8" w14:textId="77777777" w:rsidR="00CA08B3" w:rsidRPr="00FB2719" w:rsidRDefault="00CA08B3">
            <w:pPr>
              <w:tabs>
                <w:tab w:val="left" w:pos="567"/>
              </w:tabs>
              <w:spacing w:line="276" w:lineRule="auto"/>
              <w:jc w:val="both"/>
              <w:rPr>
                <w:bCs/>
                <w:i/>
                <w:sz w:val="22"/>
                <w:szCs w:val="22"/>
              </w:rPr>
            </w:pPr>
            <w:r w:rsidRPr="00FB2719">
              <w:rPr>
                <w:bCs/>
                <w:i/>
                <w:sz w:val="22"/>
                <w:szCs w:val="22"/>
              </w:rPr>
              <w:t>Nenukleozidiniai atvirkštinės transkriptazės inhibitoriai (NNATI)</w:t>
            </w:r>
          </w:p>
        </w:tc>
      </w:tr>
      <w:tr w:rsidR="00CA08B3" w:rsidRPr="00FB2719" w14:paraId="03456B39" w14:textId="77777777" w:rsidTr="0064111D">
        <w:tc>
          <w:tcPr>
            <w:tcW w:w="3044" w:type="dxa"/>
            <w:tcBorders>
              <w:top w:val="single" w:sz="4" w:space="0" w:color="auto"/>
              <w:left w:val="single" w:sz="4" w:space="0" w:color="auto"/>
              <w:bottom w:val="single" w:sz="4" w:space="0" w:color="auto"/>
              <w:right w:val="single" w:sz="4" w:space="0" w:color="auto"/>
            </w:tcBorders>
            <w:hideMark/>
          </w:tcPr>
          <w:p w14:paraId="5E079C46" w14:textId="77777777" w:rsidR="00CA08B3" w:rsidRPr="00FB2719" w:rsidRDefault="00CA08B3" w:rsidP="0025420A">
            <w:pPr>
              <w:tabs>
                <w:tab w:val="left" w:pos="567"/>
              </w:tabs>
              <w:spacing w:line="276" w:lineRule="auto"/>
              <w:jc w:val="both"/>
              <w:rPr>
                <w:bCs/>
                <w:sz w:val="22"/>
                <w:szCs w:val="22"/>
                <w:lang w:val="en-US"/>
              </w:rPr>
            </w:pPr>
            <w:r w:rsidRPr="00FB2719">
              <w:rPr>
                <w:bCs/>
                <w:sz w:val="22"/>
                <w:szCs w:val="22"/>
                <w:lang w:val="en-US"/>
              </w:rPr>
              <w:t>Efavirenzas, 600</w:t>
            </w:r>
            <w:r w:rsidR="0025420A" w:rsidRPr="00FB2719">
              <w:rPr>
                <w:bCs/>
                <w:sz w:val="22"/>
                <w:szCs w:val="22"/>
                <w:lang w:val="en-US"/>
              </w:rPr>
              <w:t> </w:t>
            </w:r>
            <w:r w:rsidRPr="00FB2719">
              <w:rPr>
                <w:bCs/>
                <w:sz w:val="22"/>
                <w:szCs w:val="22"/>
                <w:lang w:val="en-US"/>
              </w:rPr>
              <w:t>mg QD</w:t>
            </w:r>
          </w:p>
        </w:tc>
        <w:tc>
          <w:tcPr>
            <w:tcW w:w="2984" w:type="dxa"/>
            <w:tcBorders>
              <w:top w:val="single" w:sz="4" w:space="0" w:color="auto"/>
              <w:left w:val="single" w:sz="4" w:space="0" w:color="auto"/>
              <w:bottom w:val="single" w:sz="4" w:space="0" w:color="auto"/>
              <w:right w:val="single" w:sz="4" w:space="0" w:color="auto"/>
            </w:tcBorders>
            <w:hideMark/>
          </w:tcPr>
          <w:p w14:paraId="650303DE"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Lopinaviras:</w:t>
            </w:r>
          </w:p>
          <w:p w14:paraId="3FB83EB4"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AUC: ↓ 20 %</w:t>
            </w:r>
          </w:p>
          <w:p w14:paraId="1A4A5E2D"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C</w:t>
            </w:r>
            <w:r w:rsidRPr="00FB2719">
              <w:rPr>
                <w:bCs/>
                <w:sz w:val="22"/>
                <w:szCs w:val="22"/>
                <w:vertAlign w:val="subscript"/>
                <w:lang w:val="en-US"/>
              </w:rPr>
              <w:t>max</w:t>
            </w:r>
            <w:r w:rsidRPr="00FB2719">
              <w:rPr>
                <w:bCs/>
                <w:sz w:val="22"/>
                <w:szCs w:val="22"/>
                <w:lang w:val="en-US"/>
              </w:rPr>
              <w:t>: ↓ 13 %</w:t>
            </w:r>
          </w:p>
          <w:p w14:paraId="320BB592"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C</w:t>
            </w:r>
            <w:r w:rsidRPr="00FB2719">
              <w:rPr>
                <w:bCs/>
                <w:sz w:val="22"/>
                <w:szCs w:val="22"/>
                <w:vertAlign w:val="subscript"/>
                <w:lang w:val="en-US"/>
              </w:rPr>
              <w:t>min</w:t>
            </w:r>
            <w:r w:rsidRPr="00FB2719">
              <w:rPr>
                <w:bCs/>
                <w:sz w:val="22"/>
                <w:szCs w:val="22"/>
                <w:lang w:val="en-US"/>
              </w:rPr>
              <w:t>: ↓ 42 %</w:t>
            </w:r>
          </w:p>
        </w:tc>
        <w:tc>
          <w:tcPr>
            <w:tcW w:w="2988" w:type="dxa"/>
            <w:vMerge w:val="restart"/>
            <w:tcBorders>
              <w:top w:val="single" w:sz="4" w:space="0" w:color="auto"/>
              <w:left w:val="single" w:sz="4" w:space="0" w:color="auto"/>
              <w:bottom w:val="single" w:sz="4" w:space="0" w:color="auto"/>
              <w:right w:val="single" w:sz="4" w:space="0" w:color="auto"/>
            </w:tcBorders>
            <w:hideMark/>
          </w:tcPr>
          <w:p w14:paraId="064177FC" w14:textId="77777777" w:rsidR="00CA08B3" w:rsidRPr="00FB2719" w:rsidRDefault="00CA08B3">
            <w:pPr>
              <w:tabs>
                <w:tab w:val="left" w:pos="567"/>
              </w:tabs>
              <w:spacing w:line="276" w:lineRule="auto"/>
              <w:rPr>
                <w:bCs/>
                <w:sz w:val="22"/>
                <w:szCs w:val="22"/>
                <w:lang w:val="en-US"/>
              </w:rPr>
            </w:pPr>
            <w:r w:rsidRPr="00FB2719">
              <w:rPr>
                <w:bCs/>
                <w:sz w:val="22"/>
                <w:szCs w:val="22"/>
                <w:lang w:val="en-US"/>
              </w:rPr>
              <w:t>Lopinaviro /</w:t>
            </w:r>
            <w:r w:rsidR="0025420A" w:rsidRPr="00FB2719">
              <w:rPr>
                <w:bCs/>
                <w:sz w:val="22"/>
                <w:szCs w:val="22"/>
                <w:lang w:val="en-US"/>
              </w:rPr>
              <w:t xml:space="preserve"> </w:t>
            </w:r>
            <w:r w:rsidRPr="00FB2719">
              <w:rPr>
                <w:bCs/>
                <w:sz w:val="22"/>
                <w:szCs w:val="22"/>
                <w:lang w:val="en-US"/>
              </w:rPr>
              <w:t>ritonaviro derinio tablečių, skiriamų kartu su efavirenzu, dozė turi būti padidinta iki 500</w:t>
            </w:r>
            <w:r w:rsidR="0091018A" w:rsidRPr="00FB2719">
              <w:rPr>
                <w:bCs/>
                <w:sz w:val="22"/>
                <w:szCs w:val="22"/>
                <w:lang w:val="en-US"/>
              </w:rPr>
              <w:t> mg</w:t>
            </w:r>
            <w:r w:rsidRPr="00FB2719">
              <w:rPr>
                <w:bCs/>
                <w:sz w:val="22"/>
                <w:szCs w:val="22"/>
                <w:lang w:val="en-US"/>
              </w:rPr>
              <w:t>/125</w:t>
            </w:r>
            <w:r w:rsidR="0025420A" w:rsidRPr="00FB2719">
              <w:rPr>
                <w:bCs/>
                <w:sz w:val="22"/>
                <w:szCs w:val="22"/>
                <w:lang w:val="en-US"/>
              </w:rPr>
              <w:t> </w:t>
            </w:r>
            <w:r w:rsidRPr="00FB2719">
              <w:rPr>
                <w:bCs/>
                <w:sz w:val="22"/>
                <w:szCs w:val="22"/>
                <w:lang w:val="en-US"/>
              </w:rPr>
              <w:t>mg du kartus per parą.</w:t>
            </w:r>
          </w:p>
          <w:p w14:paraId="18A4BF23" w14:textId="77777777" w:rsidR="00CA08B3" w:rsidRPr="00FB2719" w:rsidRDefault="00CA08B3">
            <w:pPr>
              <w:tabs>
                <w:tab w:val="left" w:pos="567"/>
              </w:tabs>
              <w:spacing w:line="276" w:lineRule="auto"/>
              <w:rPr>
                <w:bCs/>
                <w:sz w:val="22"/>
                <w:szCs w:val="22"/>
                <w:lang w:val="en-US"/>
              </w:rPr>
            </w:pPr>
            <w:r w:rsidRPr="00FB2719">
              <w:rPr>
                <w:bCs/>
                <w:sz w:val="22"/>
                <w:szCs w:val="22"/>
                <w:lang w:val="en-US"/>
              </w:rPr>
              <w:t>Negalima skirti lopinaviro / ritonaviro derinio kartą per parą, jeigu jo vartojama kartu su efavirenzu.</w:t>
            </w:r>
          </w:p>
        </w:tc>
      </w:tr>
      <w:tr w:rsidR="00CA08B3" w:rsidRPr="00FB2719" w14:paraId="56E1D527" w14:textId="77777777" w:rsidTr="0064111D">
        <w:tc>
          <w:tcPr>
            <w:tcW w:w="3044" w:type="dxa"/>
            <w:tcBorders>
              <w:top w:val="single" w:sz="4" w:space="0" w:color="auto"/>
              <w:left w:val="single" w:sz="4" w:space="0" w:color="auto"/>
              <w:bottom w:val="single" w:sz="4" w:space="0" w:color="auto"/>
              <w:right w:val="single" w:sz="4" w:space="0" w:color="auto"/>
            </w:tcBorders>
          </w:tcPr>
          <w:p w14:paraId="192F2474" w14:textId="77777777" w:rsidR="00CA08B3" w:rsidRPr="00FB2719" w:rsidRDefault="00CA08B3">
            <w:pPr>
              <w:tabs>
                <w:tab w:val="left" w:pos="567"/>
              </w:tabs>
              <w:spacing w:line="276" w:lineRule="auto"/>
              <w:jc w:val="both"/>
              <w:rPr>
                <w:bCs/>
                <w:sz w:val="22"/>
                <w:szCs w:val="22"/>
                <w:lang w:val="es-ES"/>
              </w:rPr>
            </w:pPr>
            <w:r w:rsidRPr="00FB2719">
              <w:rPr>
                <w:bCs/>
                <w:sz w:val="22"/>
                <w:szCs w:val="22"/>
                <w:lang w:val="es-ES"/>
              </w:rPr>
              <w:t>Efavirenzas, 600</w:t>
            </w:r>
            <w:r w:rsidR="0025420A" w:rsidRPr="00FB2719">
              <w:rPr>
                <w:bCs/>
                <w:sz w:val="22"/>
                <w:szCs w:val="22"/>
                <w:lang w:val="es-ES"/>
              </w:rPr>
              <w:t> </w:t>
            </w:r>
            <w:r w:rsidRPr="00FB2719">
              <w:rPr>
                <w:bCs/>
                <w:sz w:val="22"/>
                <w:szCs w:val="22"/>
                <w:lang w:val="es-ES"/>
              </w:rPr>
              <w:t>mg QD</w:t>
            </w:r>
          </w:p>
          <w:p w14:paraId="40963934" w14:textId="77777777" w:rsidR="00CA08B3" w:rsidRPr="00FB2719" w:rsidRDefault="00CA08B3">
            <w:pPr>
              <w:tabs>
                <w:tab w:val="left" w:pos="567"/>
              </w:tabs>
              <w:spacing w:line="276" w:lineRule="auto"/>
              <w:jc w:val="both"/>
              <w:rPr>
                <w:bCs/>
                <w:sz w:val="22"/>
                <w:szCs w:val="22"/>
                <w:lang w:val="es-ES"/>
              </w:rPr>
            </w:pPr>
          </w:p>
          <w:p w14:paraId="5E1D602C" w14:textId="77777777" w:rsidR="00CA08B3" w:rsidRPr="00FB2719" w:rsidRDefault="00CA08B3">
            <w:pPr>
              <w:tabs>
                <w:tab w:val="left" w:pos="567"/>
              </w:tabs>
              <w:spacing w:line="276" w:lineRule="auto"/>
              <w:jc w:val="both"/>
              <w:rPr>
                <w:bCs/>
                <w:sz w:val="22"/>
                <w:szCs w:val="22"/>
                <w:lang w:val="es-ES"/>
              </w:rPr>
            </w:pPr>
          </w:p>
          <w:p w14:paraId="27FF617C" w14:textId="77777777" w:rsidR="00CA08B3" w:rsidRPr="00FB2719" w:rsidRDefault="00CA08B3" w:rsidP="0025420A">
            <w:pPr>
              <w:tabs>
                <w:tab w:val="left" w:pos="567"/>
              </w:tabs>
              <w:spacing w:line="276" w:lineRule="auto"/>
              <w:jc w:val="both"/>
              <w:rPr>
                <w:bCs/>
                <w:sz w:val="22"/>
                <w:szCs w:val="22"/>
                <w:lang w:val="es-ES"/>
              </w:rPr>
            </w:pPr>
            <w:r w:rsidRPr="00FB2719">
              <w:rPr>
                <w:bCs/>
                <w:sz w:val="22"/>
                <w:szCs w:val="22"/>
                <w:lang w:val="es-ES"/>
              </w:rPr>
              <w:t>(Lopinaviro / ritonaviro 500</w:t>
            </w:r>
            <w:r w:rsidR="0091018A" w:rsidRPr="00FB2719">
              <w:rPr>
                <w:bCs/>
                <w:sz w:val="22"/>
                <w:szCs w:val="22"/>
                <w:lang w:val="es-ES"/>
              </w:rPr>
              <w:t> mg</w:t>
            </w:r>
            <w:r w:rsidRPr="00FB2719">
              <w:rPr>
                <w:bCs/>
                <w:sz w:val="22"/>
                <w:szCs w:val="22"/>
                <w:lang w:val="es-ES"/>
              </w:rPr>
              <w:t>/125</w:t>
            </w:r>
            <w:r w:rsidR="0025420A" w:rsidRPr="00FB2719">
              <w:rPr>
                <w:bCs/>
                <w:sz w:val="22"/>
                <w:szCs w:val="22"/>
                <w:lang w:val="es-ES"/>
              </w:rPr>
              <w:t> </w:t>
            </w:r>
            <w:r w:rsidRPr="00FB2719">
              <w:rPr>
                <w:bCs/>
                <w:sz w:val="22"/>
                <w:szCs w:val="22"/>
                <w:lang w:val="es-ES"/>
              </w:rPr>
              <w:t>mg derinys BID)</w:t>
            </w:r>
          </w:p>
        </w:tc>
        <w:tc>
          <w:tcPr>
            <w:tcW w:w="2984" w:type="dxa"/>
            <w:tcBorders>
              <w:top w:val="single" w:sz="4" w:space="0" w:color="auto"/>
              <w:left w:val="single" w:sz="4" w:space="0" w:color="auto"/>
              <w:bottom w:val="single" w:sz="4" w:space="0" w:color="auto"/>
              <w:right w:val="single" w:sz="4" w:space="0" w:color="auto"/>
            </w:tcBorders>
            <w:hideMark/>
          </w:tcPr>
          <w:p w14:paraId="0B4BA24C" w14:textId="77777777" w:rsidR="00CA08B3" w:rsidRPr="00FB2719" w:rsidRDefault="00CA08B3">
            <w:pPr>
              <w:tabs>
                <w:tab w:val="left" w:pos="567"/>
              </w:tabs>
              <w:spacing w:line="276" w:lineRule="auto"/>
              <w:jc w:val="both"/>
              <w:rPr>
                <w:bCs/>
                <w:sz w:val="22"/>
                <w:szCs w:val="22"/>
                <w:lang w:val="es-ES"/>
              </w:rPr>
            </w:pPr>
            <w:r w:rsidRPr="00FB2719">
              <w:rPr>
                <w:bCs/>
                <w:sz w:val="22"/>
                <w:szCs w:val="22"/>
                <w:lang w:val="es-ES"/>
              </w:rPr>
              <w:t>Lopinaviras: ↔</w:t>
            </w:r>
          </w:p>
          <w:p w14:paraId="6F9E05B0" w14:textId="77777777" w:rsidR="00CA08B3" w:rsidRPr="00FB2719" w:rsidRDefault="00CA08B3" w:rsidP="0025420A">
            <w:pPr>
              <w:tabs>
                <w:tab w:val="left" w:pos="567"/>
              </w:tabs>
              <w:spacing w:line="276" w:lineRule="auto"/>
              <w:jc w:val="both"/>
              <w:rPr>
                <w:bCs/>
                <w:sz w:val="22"/>
                <w:szCs w:val="22"/>
                <w:lang w:val="es-ES"/>
              </w:rPr>
            </w:pPr>
            <w:r w:rsidRPr="00FB2719">
              <w:rPr>
                <w:bCs/>
                <w:sz w:val="22"/>
                <w:szCs w:val="22"/>
                <w:lang w:val="es-ES"/>
              </w:rPr>
              <w:t>(atitinkamai 400</w:t>
            </w:r>
            <w:r w:rsidR="0091018A" w:rsidRPr="00FB2719">
              <w:rPr>
                <w:bCs/>
                <w:sz w:val="22"/>
                <w:szCs w:val="22"/>
                <w:lang w:val="es-ES"/>
              </w:rPr>
              <w:t> mg</w:t>
            </w:r>
            <w:r w:rsidRPr="00FB2719">
              <w:rPr>
                <w:bCs/>
                <w:sz w:val="22"/>
                <w:szCs w:val="22"/>
                <w:lang w:val="es-ES"/>
              </w:rPr>
              <w:t>/100</w:t>
            </w:r>
            <w:r w:rsidR="0025420A" w:rsidRPr="00FB2719">
              <w:rPr>
                <w:bCs/>
                <w:sz w:val="22"/>
                <w:szCs w:val="22"/>
                <w:lang w:val="es-ES"/>
              </w:rPr>
              <w:t> </w:t>
            </w:r>
            <w:r w:rsidRPr="00FB2719">
              <w:rPr>
                <w:bCs/>
                <w:sz w:val="22"/>
                <w:szCs w:val="22"/>
                <w:lang w:val="es-ES"/>
              </w:rPr>
              <w:t>mg BID skiriant jo vieno)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4D271A" w14:textId="77777777" w:rsidR="00CA08B3" w:rsidRPr="00FB2719" w:rsidRDefault="00CA08B3">
            <w:pPr>
              <w:spacing w:line="276" w:lineRule="auto"/>
              <w:rPr>
                <w:bCs/>
                <w:sz w:val="22"/>
                <w:szCs w:val="22"/>
                <w:lang w:val="es-ES"/>
              </w:rPr>
            </w:pPr>
          </w:p>
        </w:tc>
      </w:tr>
      <w:tr w:rsidR="00CA08B3" w:rsidRPr="00FB2719" w14:paraId="156B4B71" w14:textId="77777777" w:rsidTr="0064111D">
        <w:tc>
          <w:tcPr>
            <w:tcW w:w="3044" w:type="dxa"/>
            <w:tcBorders>
              <w:top w:val="single" w:sz="4" w:space="0" w:color="auto"/>
              <w:left w:val="single" w:sz="4" w:space="0" w:color="auto"/>
              <w:bottom w:val="single" w:sz="4" w:space="0" w:color="auto"/>
              <w:right w:val="single" w:sz="4" w:space="0" w:color="auto"/>
            </w:tcBorders>
            <w:hideMark/>
          </w:tcPr>
          <w:p w14:paraId="30BB28AA" w14:textId="77777777" w:rsidR="00CA08B3" w:rsidRPr="00FB2719" w:rsidRDefault="00CA08B3" w:rsidP="0025420A">
            <w:pPr>
              <w:tabs>
                <w:tab w:val="left" w:pos="567"/>
              </w:tabs>
              <w:spacing w:line="276" w:lineRule="auto"/>
              <w:jc w:val="both"/>
              <w:rPr>
                <w:bCs/>
                <w:sz w:val="22"/>
                <w:szCs w:val="22"/>
                <w:lang w:val="en-US"/>
              </w:rPr>
            </w:pPr>
            <w:r w:rsidRPr="00FB2719">
              <w:rPr>
                <w:bCs/>
                <w:sz w:val="22"/>
                <w:szCs w:val="22"/>
                <w:lang w:val="en-US"/>
              </w:rPr>
              <w:t>Nevirapinas, 200</w:t>
            </w:r>
            <w:r w:rsidR="0025420A" w:rsidRPr="00FB2719">
              <w:rPr>
                <w:bCs/>
                <w:sz w:val="22"/>
                <w:szCs w:val="22"/>
                <w:lang w:val="en-US"/>
              </w:rPr>
              <w:t> </w:t>
            </w:r>
            <w:r w:rsidRPr="00FB2719">
              <w:rPr>
                <w:bCs/>
                <w:sz w:val="22"/>
                <w:szCs w:val="22"/>
                <w:lang w:val="en-US"/>
              </w:rPr>
              <w:t>mg BID</w:t>
            </w:r>
          </w:p>
        </w:tc>
        <w:tc>
          <w:tcPr>
            <w:tcW w:w="2984" w:type="dxa"/>
            <w:tcBorders>
              <w:top w:val="single" w:sz="4" w:space="0" w:color="auto"/>
              <w:left w:val="single" w:sz="4" w:space="0" w:color="auto"/>
              <w:bottom w:val="single" w:sz="4" w:space="0" w:color="auto"/>
              <w:right w:val="single" w:sz="4" w:space="0" w:color="auto"/>
            </w:tcBorders>
            <w:hideMark/>
          </w:tcPr>
          <w:p w14:paraId="1713C007"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Lopinaviras:</w:t>
            </w:r>
          </w:p>
          <w:p w14:paraId="6BBA7DD8"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AUC: ↓ 27 %</w:t>
            </w:r>
          </w:p>
          <w:p w14:paraId="6C7AB53C"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C</w:t>
            </w:r>
            <w:r w:rsidRPr="00FB2719">
              <w:rPr>
                <w:bCs/>
                <w:sz w:val="22"/>
                <w:szCs w:val="22"/>
                <w:vertAlign w:val="subscript"/>
                <w:lang w:val="en-US"/>
              </w:rPr>
              <w:t>max</w:t>
            </w:r>
            <w:r w:rsidRPr="00FB2719">
              <w:rPr>
                <w:bCs/>
                <w:sz w:val="22"/>
                <w:szCs w:val="22"/>
                <w:lang w:val="en-US"/>
              </w:rPr>
              <w:t>: ↓ 19 %</w:t>
            </w:r>
          </w:p>
          <w:p w14:paraId="3A87C30C"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C</w:t>
            </w:r>
            <w:r w:rsidRPr="00FB2719">
              <w:rPr>
                <w:bCs/>
                <w:sz w:val="22"/>
                <w:szCs w:val="22"/>
                <w:vertAlign w:val="subscript"/>
                <w:lang w:val="en-US"/>
              </w:rPr>
              <w:t>min</w:t>
            </w:r>
            <w:r w:rsidRPr="00FB2719">
              <w:rPr>
                <w:bCs/>
                <w:sz w:val="22"/>
                <w:szCs w:val="22"/>
                <w:lang w:val="en-US"/>
              </w:rPr>
              <w:t>: ↓ 51 %</w:t>
            </w:r>
          </w:p>
        </w:tc>
        <w:tc>
          <w:tcPr>
            <w:tcW w:w="2988" w:type="dxa"/>
            <w:tcBorders>
              <w:top w:val="single" w:sz="4" w:space="0" w:color="auto"/>
              <w:left w:val="single" w:sz="4" w:space="0" w:color="auto"/>
              <w:bottom w:val="single" w:sz="4" w:space="0" w:color="auto"/>
              <w:right w:val="single" w:sz="4" w:space="0" w:color="auto"/>
            </w:tcBorders>
            <w:hideMark/>
          </w:tcPr>
          <w:p w14:paraId="05526DC4" w14:textId="77777777" w:rsidR="00CA08B3" w:rsidRPr="00FB2719" w:rsidRDefault="00CA08B3">
            <w:pPr>
              <w:tabs>
                <w:tab w:val="left" w:pos="567"/>
              </w:tabs>
              <w:spacing w:line="276" w:lineRule="auto"/>
              <w:rPr>
                <w:bCs/>
                <w:sz w:val="22"/>
                <w:szCs w:val="22"/>
                <w:lang w:val="en-US"/>
              </w:rPr>
            </w:pPr>
            <w:r w:rsidRPr="00FB2719">
              <w:rPr>
                <w:bCs/>
                <w:sz w:val="22"/>
                <w:szCs w:val="22"/>
                <w:lang w:val="en-US"/>
              </w:rPr>
              <w:t>Lopinaviro / ritonaviro derinio tablečių dozė, jeigu ji skiriama kartu su nevirapinu, turi būti padidinta iki 500</w:t>
            </w:r>
            <w:r w:rsidR="0091018A" w:rsidRPr="00FB2719">
              <w:rPr>
                <w:bCs/>
                <w:sz w:val="22"/>
                <w:szCs w:val="22"/>
                <w:lang w:val="en-US"/>
              </w:rPr>
              <w:t> mg</w:t>
            </w:r>
            <w:r w:rsidRPr="00FB2719">
              <w:rPr>
                <w:bCs/>
                <w:sz w:val="22"/>
                <w:szCs w:val="22"/>
                <w:lang w:val="en-US"/>
              </w:rPr>
              <w:t>/125</w:t>
            </w:r>
            <w:r w:rsidR="0025420A" w:rsidRPr="00FB2719">
              <w:rPr>
                <w:bCs/>
                <w:sz w:val="22"/>
                <w:szCs w:val="22"/>
                <w:lang w:val="en-US"/>
              </w:rPr>
              <w:t> </w:t>
            </w:r>
            <w:r w:rsidRPr="00FB2719">
              <w:rPr>
                <w:bCs/>
                <w:sz w:val="22"/>
                <w:szCs w:val="22"/>
                <w:lang w:val="en-US"/>
              </w:rPr>
              <w:t>mg du kartus per parą.</w:t>
            </w:r>
          </w:p>
          <w:p w14:paraId="4649B9D7" w14:textId="77777777" w:rsidR="00CA08B3" w:rsidRPr="00FB2719" w:rsidRDefault="00CA08B3">
            <w:pPr>
              <w:tabs>
                <w:tab w:val="left" w:pos="567"/>
              </w:tabs>
              <w:spacing w:line="276" w:lineRule="auto"/>
              <w:rPr>
                <w:bCs/>
                <w:sz w:val="22"/>
                <w:szCs w:val="22"/>
                <w:lang w:val="en-US"/>
              </w:rPr>
            </w:pPr>
            <w:r w:rsidRPr="00FB2719">
              <w:rPr>
                <w:bCs/>
                <w:sz w:val="22"/>
                <w:szCs w:val="22"/>
                <w:lang w:val="en-US"/>
              </w:rPr>
              <w:t>Negalima skirti lopinaviro / ritonaviro derinio kartą per parą, jeigu jo vartojama kartu su nevirapinu.</w:t>
            </w:r>
          </w:p>
        </w:tc>
      </w:tr>
      <w:tr w:rsidR="00CA08B3" w:rsidRPr="00FB2719" w14:paraId="48E227A0" w14:textId="77777777" w:rsidTr="0064111D">
        <w:tc>
          <w:tcPr>
            <w:tcW w:w="3044" w:type="dxa"/>
            <w:tcBorders>
              <w:top w:val="single" w:sz="4" w:space="0" w:color="auto"/>
              <w:left w:val="single" w:sz="4" w:space="0" w:color="auto"/>
              <w:bottom w:val="single" w:sz="4" w:space="0" w:color="auto"/>
              <w:right w:val="single" w:sz="4" w:space="0" w:color="auto"/>
            </w:tcBorders>
          </w:tcPr>
          <w:p w14:paraId="5039FBD3" w14:textId="77777777" w:rsidR="00CA08B3" w:rsidRPr="00FB2719" w:rsidRDefault="00CA08B3">
            <w:pPr>
              <w:tabs>
                <w:tab w:val="left" w:pos="567"/>
              </w:tabs>
              <w:spacing w:line="276" w:lineRule="auto"/>
              <w:jc w:val="both"/>
              <w:rPr>
                <w:bCs/>
                <w:sz w:val="22"/>
                <w:szCs w:val="22"/>
                <w:u w:val="single"/>
                <w:lang w:val="it-IT"/>
              </w:rPr>
            </w:pPr>
            <w:r w:rsidRPr="00FB2719">
              <w:rPr>
                <w:bCs/>
                <w:sz w:val="22"/>
                <w:szCs w:val="22"/>
                <w:u w:val="single"/>
                <w:lang w:val="it-IT"/>
              </w:rPr>
              <w:t>Etravirinas</w:t>
            </w:r>
          </w:p>
          <w:p w14:paraId="5B7EBC52" w14:textId="77777777" w:rsidR="00CA08B3" w:rsidRPr="00FB2719" w:rsidRDefault="00CA08B3">
            <w:pPr>
              <w:tabs>
                <w:tab w:val="left" w:pos="567"/>
              </w:tabs>
              <w:spacing w:line="276" w:lineRule="auto"/>
              <w:jc w:val="both"/>
              <w:rPr>
                <w:bCs/>
                <w:sz w:val="22"/>
                <w:szCs w:val="22"/>
                <w:lang w:val="it-IT"/>
              </w:rPr>
            </w:pPr>
          </w:p>
          <w:p w14:paraId="280B7A7F" w14:textId="77777777" w:rsidR="00CA08B3" w:rsidRPr="00FB2719" w:rsidRDefault="00CA08B3">
            <w:pPr>
              <w:tabs>
                <w:tab w:val="left" w:pos="567"/>
              </w:tabs>
              <w:spacing w:line="276" w:lineRule="auto"/>
              <w:jc w:val="both"/>
              <w:rPr>
                <w:bCs/>
                <w:sz w:val="22"/>
                <w:szCs w:val="22"/>
                <w:lang w:val="it-IT"/>
              </w:rPr>
            </w:pPr>
          </w:p>
          <w:p w14:paraId="5B671268" w14:textId="77777777" w:rsidR="00CA08B3" w:rsidRPr="00FB2719" w:rsidRDefault="00CA08B3" w:rsidP="0025420A">
            <w:pPr>
              <w:tabs>
                <w:tab w:val="left" w:pos="567"/>
              </w:tabs>
              <w:spacing w:line="276" w:lineRule="auto"/>
              <w:jc w:val="both"/>
              <w:rPr>
                <w:bCs/>
                <w:sz w:val="22"/>
                <w:szCs w:val="22"/>
                <w:lang w:val="it-IT"/>
              </w:rPr>
            </w:pPr>
            <w:r w:rsidRPr="00FB2719">
              <w:rPr>
                <w:bCs/>
                <w:sz w:val="22"/>
                <w:szCs w:val="22"/>
                <w:lang w:val="it-IT"/>
              </w:rPr>
              <w:t>(Lopinaviro / ritonaviro 400</w:t>
            </w:r>
            <w:r w:rsidR="0091018A" w:rsidRPr="00FB2719">
              <w:rPr>
                <w:bCs/>
                <w:sz w:val="22"/>
                <w:szCs w:val="22"/>
                <w:lang w:val="it-IT"/>
              </w:rPr>
              <w:t> mg</w:t>
            </w:r>
            <w:r w:rsidRPr="00FB2719">
              <w:rPr>
                <w:bCs/>
                <w:sz w:val="22"/>
                <w:szCs w:val="22"/>
                <w:lang w:val="it-IT"/>
              </w:rPr>
              <w:t>/100</w:t>
            </w:r>
            <w:r w:rsidR="0025420A" w:rsidRPr="00FB2719">
              <w:rPr>
                <w:bCs/>
                <w:sz w:val="22"/>
                <w:szCs w:val="22"/>
                <w:lang w:val="it-IT"/>
              </w:rPr>
              <w:t> </w:t>
            </w:r>
            <w:r w:rsidRPr="00FB2719">
              <w:rPr>
                <w:bCs/>
                <w:sz w:val="22"/>
                <w:szCs w:val="22"/>
                <w:lang w:val="it-IT"/>
              </w:rPr>
              <w:t>mg derinio tabletės BID)</w:t>
            </w:r>
          </w:p>
        </w:tc>
        <w:tc>
          <w:tcPr>
            <w:tcW w:w="2984" w:type="dxa"/>
            <w:tcBorders>
              <w:top w:val="single" w:sz="4" w:space="0" w:color="auto"/>
              <w:left w:val="single" w:sz="4" w:space="0" w:color="auto"/>
              <w:bottom w:val="single" w:sz="4" w:space="0" w:color="auto"/>
              <w:right w:val="single" w:sz="4" w:space="0" w:color="auto"/>
            </w:tcBorders>
            <w:hideMark/>
          </w:tcPr>
          <w:p w14:paraId="1C3A096F" w14:textId="77777777" w:rsidR="00CA08B3" w:rsidRPr="00FB2719" w:rsidRDefault="00CA08B3">
            <w:pPr>
              <w:tabs>
                <w:tab w:val="left" w:pos="567"/>
              </w:tabs>
              <w:spacing w:line="276" w:lineRule="auto"/>
              <w:jc w:val="both"/>
              <w:rPr>
                <w:bCs/>
                <w:sz w:val="22"/>
                <w:szCs w:val="22"/>
                <w:lang w:val="it-IT"/>
              </w:rPr>
            </w:pPr>
            <w:r w:rsidRPr="00FB2719">
              <w:rPr>
                <w:bCs/>
                <w:sz w:val="22"/>
                <w:szCs w:val="22"/>
                <w:lang w:val="it-IT"/>
              </w:rPr>
              <w:t>Etravirinas:</w:t>
            </w:r>
          </w:p>
          <w:p w14:paraId="79889F25" w14:textId="77777777" w:rsidR="00CA08B3" w:rsidRPr="00FB2719" w:rsidRDefault="00CA08B3">
            <w:pPr>
              <w:tabs>
                <w:tab w:val="left" w:pos="567"/>
              </w:tabs>
              <w:spacing w:line="276" w:lineRule="auto"/>
              <w:jc w:val="both"/>
              <w:rPr>
                <w:bCs/>
                <w:sz w:val="22"/>
                <w:szCs w:val="22"/>
                <w:lang w:val="it-IT"/>
              </w:rPr>
            </w:pPr>
            <w:r w:rsidRPr="00FB2719">
              <w:rPr>
                <w:bCs/>
                <w:sz w:val="22"/>
                <w:szCs w:val="22"/>
                <w:lang w:val="it-IT"/>
              </w:rPr>
              <w:t>AUC: ↓ 35 %</w:t>
            </w:r>
          </w:p>
          <w:p w14:paraId="094E34A6" w14:textId="77777777" w:rsidR="00CA08B3" w:rsidRPr="00FB2719" w:rsidRDefault="00CA08B3">
            <w:pPr>
              <w:tabs>
                <w:tab w:val="left" w:pos="567"/>
              </w:tabs>
              <w:spacing w:line="276" w:lineRule="auto"/>
              <w:jc w:val="both"/>
              <w:rPr>
                <w:bCs/>
                <w:sz w:val="22"/>
                <w:szCs w:val="22"/>
                <w:lang w:val="it-IT"/>
              </w:rPr>
            </w:pPr>
            <w:r w:rsidRPr="00FB2719">
              <w:rPr>
                <w:bCs/>
                <w:sz w:val="22"/>
                <w:szCs w:val="22"/>
                <w:lang w:val="it-IT"/>
              </w:rPr>
              <w:t>C</w:t>
            </w:r>
            <w:r w:rsidRPr="00FB2719">
              <w:rPr>
                <w:bCs/>
                <w:sz w:val="22"/>
                <w:szCs w:val="22"/>
                <w:vertAlign w:val="subscript"/>
                <w:lang w:val="it-IT"/>
              </w:rPr>
              <w:t>min</w:t>
            </w:r>
            <w:r w:rsidRPr="00FB2719">
              <w:rPr>
                <w:bCs/>
                <w:sz w:val="22"/>
                <w:szCs w:val="22"/>
                <w:lang w:val="it-IT"/>
              </w:rPr>
              <w:t>: ↓ 45 %</w:t>
            </w:r>
          </w:p>
          <w:p w14:paraId="18466E7E" w14:textId="77777777" w:rsidR="00CA08B3" w:rsidRPr="00FB2719" w:rsidRDefault="00CA08B3">
            <w:pPr>
              <w:tabs>
                <w:tab w:val="left" w:pos="567"/>
              </w:tabs>
              <w:spacing w:line="276" w:lineRule="auto"/>
              <w:jc w:val="both"/>
              <w:rPr>
                <w:bCs/>
                <w:sz w:val="22"/>
                <w:szCs w:val="22"/>
                <w:lang w:val="it-IT"/>
              </w:rPr>
            </w:pPr>
            <w:r w:rsidRPr="00FB2719">
              <w:rPr>
                <w:bCs/>
                <w:sz w:val="22"/>
                <w:szCs w:val="22"/>
                <w:lang w:val="it-IT"/>
              </w:rPr>
              <w:t>C</w:t>
            </w:r>
            <w:r w:rsidRPr="00FB2719">
              <w:rPr>
                <w:bCs/>
                <w:sz w:val="22"/>
                <w:szCs w:val="22"/>
                <w:vertAlign w:val="subscript"/>
                <w:lang w:val="it-IT"/>
              </w:rPr>
              <w:t>max</w:t>
            </w:r>
            <w:r w:rsidRPr="00FB2719">
              <w:rPr>
                <w:bCs/>
                <w:sz w:val="22"/>
                <w:szCs w:val="22"/>
                <w:lang w:val="it-IT"/>
              </w:rPr>
              <w:t>: ↓ 30 %</w:t>
            </w:r>
          </w:p>
          <w:p w14:paraId="6109955D" w14:textId="77777777" w:rsidR="00CA08B3" w:rsidRPr="00FB2719" w:rsidRDefault="00CA08B3">
            <w:pPr>
              <w:tabs>
                <w:tab w:val="left" w:pos="567"/>
              </w:tabs>
              <w:spacing w:line="276" w:lineRule="auto"/>
              <w:jc w:val="both"/>
              <w:rPr>
                <w:bCs/>
                <w:sz w:val="22"/>
                <w:szCs w:val="22"/>
                <w:lang w:val="it-IT"/>
              </w:rPr>
            </w:pPr>
            <w:r w:rsidRPr="00FB2719">
              <w:rPr>
                <w:bCs/>
                <w:sz w:val="22"/>
                <w:szCs w:val="22"/>
                <w:lang w:val="it-IT"/>
              </w:rPr>
              <w:t>Lopinaviras:</w:t>
            </w:r>
          </w:p>
          <w:p w14:paraId="47B3F676"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AUC: ↔</w:t>
            </w:r>
          </w:p>
          <w:p w14:paraId="5E02F95D"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C</w:t>
            </w:r>
            <w:r w:rsidRPr="00FB2719">
              <w:rPr>
                <w:bCs/>
                <w:sz w:val="22"/>
                <w:szCs w:val="22"/>
                <w:vertAlign w:val="subscript"/>
                <w:lang w:val="en-US"/>
              </w:rPr>
              <w:t>min</w:t>
            </w:r>
            <w:r w:rsidRPr="00FB2719">
              <w:rPr>
                <w:bCs/>
                <w:sz w:val="22"/>
                <w:szCs w:val="22"/>
                <w:lang w:val="en-US"/>
              </w:rPr>
              <w:t>: ↓ 20 %</w:t>
            </w:r>
          </w:p>
          <w:p w14:paraId="33253F3A"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C</w:t>
            </w:r>
            <w:r w:rsidRPr="00FB2719">
              <w:rPr>
                <w:bCs/>
                <w:sz w:val="22"/>
                <w:szCs w:val="22"/>
                <w:vertAlign w:val="subscript"/>
                <w:lang w:val="en-US"/>
              </w:rPr>
              <w:t>max</w:t>
            </w:r>
            <w:r w:rsidRPr="00FB2719">
              <w:rPr>
                <w:bCs/>
                <w:sz w:val="22"/>
                <w:szCs w:val="22"/>
                <w:lang w:val="en-US"/>
              </w:rPr>
              <w:t>: ↔</w:t>
            </w:r>
          </w:p>
        </w:tc>
        <w:tc>
          <w:tcPr>
            <w:tcW w:w="2988" w:type="dxa"/>
            <w:tcBorders>
              <w:top w:val="single" w:sz="4" w:space="0" w:color="auto"/>
              <w:left w:val="single" w:sz="4" w:space="0" w:color="auto"/>
              <w:bottom w:val="single" w:sz="4" w:space="0" w:color="auto"/>
              <w:right w:val="single" w:sz="4" w:space="0" w:color="auto"/>
            </w:tcBorders>
            <w:hideMark/>
          </w:tcPr>
          <w:p w14:paraId="36F750C3" w14:textId="77777777" w:rsidR="00CA08B3" w:rsidRPr="00FB2719" w:rsidRDefault="00CA08B3">
            <w:pPr>
              <w:tabs>
                <w:tab w:val="left" w:pos="567"/>
              </w:tabs>
              <w:spacing w:line="276" w:lineRule="auto"/>
              <w:rPr>
                <w:bCs/>
                <w:sz w:val="22"/>
                <w:szCs w:val="22"/>
                <w:lang w:val="en-US"/>
              </w:rPr>
            </w:pPr>
            <w:r w:rsidRPr="00FB2719">
              <w:rPr>
                <w:bCs/>
                <w:sz w:val="22"/>
                <w:szCs w:val="22"/>
                <w:lang w:val="en-US"/>
              </w:rPr>
              <w:t>Dozės koreguoti nereikia.</w:t>
            </w:r>
          </w:p>
        </w:tc>
      </w:tr>
      <w:tr w:rsidR="00CA08B3" w:rsidRPr="00FB2719" w14:paraId="6E4F4A40" w14:textId="77777777" w:rsidTr="0064111D">
        <w:tc>
          <w:tcPr>
            <w:tcW w:w="3044" w:type="dxa"/>
            <w:tcBorders>
              <w:top w:val="single" w:sz="4" w:space="0" w:color="auto"/>
              <w:left w:val="single" w:sz="4" w:space="0" w:color="auto"/>
              <w:bottom w:val="single" w:sz="4" w:space="0" w:color="auto"/>
              <w:right w:val="single" w:sz="4" w:space="0" w:color="auto"/>
            </w:tcBorders>
          </w:tcPr>
          <w:p w14:paraId="2716F659" w14:textId="77777777" w:rsidR="00CA08B3" w:rsidRPr="00FB2719" w:rsidRDefault="00CA08B3">
            <w:pPr>
              <w:tabs>
                <w:tab w:val="left" w:pos="567"/>
              </w:tabs>
              <w:spacing w:line="276" w:lineRule="auto"/>
              <w:jc w:val="both"/>
              <w:rPr>
                <w:bCs/>
                <w:sz w:val="22"/>
                <w:szCs w:val="22"/>
              </w:rPr>
            </w:pPr>
            <w:r w:rsidRPr="00FB2719">
              <w:rPr>
                <w:bCs/>
                <w:sz w:val="22"/>
                <w:szCs w:val="22"/>
              </w:rPr>
              <w:t>Rilpivirinas</w:t>
            </w:r>
          </w:p>
          <w:p w14:paraId="36F58A47" w14:textId="77777777" w:rsidR="00CA08B3" w:rsidRPr="00FB2719" w:rsidRDefault="00CA08B3">
            <w:pPr>
              <w:tabs>
                <w:tab w:val="left" w:pos="567"/>
              </w:tabs>
              <w:spacing w:line="276" w:lineRule="auto"/>
              <w:rPr>
                <w:bCs/>
                <w:sz w:val="22"/>
                <w:szCs w:val="22"/>
              </w:rPr>
            </w:pPr>
          </w:p>
          <w:p w14:paraId="04C68663" w14:textId="77777777" w:rsidR="00CA08B3" w:rsidRPr="00FB2719" w:rsidRDefault="00CA08B3">
            <w:pPr>
              <w:tabs>
                <w:tab w:val="left" w:pos="567"/>
              </w:tabs>
              <w:spacing w:line="276" w:lineRule="auto"/>
              <w:rPr>
                <w:bCs/>
                <w:sz w:val="22"/>
                <w:szCs w:val="22"/>
              </w:rPr>
            </w:pPr>
          </w:p>
          <w:p w14:paraId="4F1E271B" w14:textId="77777777" w:rsidR="00CA08B3" w:rsidRPr="00FB2719" w:rsidRDefault="00CA08B3" w:rsidP="0025420A">
            <w:pPr>
              <w:tabs>
                <w:tab w:val="left" w:pos="567"/>
              </w:tabs>
              <w:spacing w:line="276" w:lineRule="auto"/>
              <w:rPr>
                <w:bCs/>
                <w:sz w:val="22"/>
                <w:szCs w:val="22"/>
              </w:rPr>
            </w:pPr>
            <w:r w:rsidRPr="00FB2719">
              <w:rPr>
                <w:bCs/>
                <w:sz w:val="22"/>
                <w:szCs w:val="22"/>
              </w:rPr>
              <w:t>(Lopinaviro / ritonaviro 400</w:t>
            </w:r>
            <w:r w:rsidR="0091018A" w:rsidRPr="00FB2719">
              <w:rPr>
                <w:bCs/>
                <w:sz w:val="22"/>
                <w:szCs w:val="22"/>
              </w:rPr>
              <w:t> mg</w:t>
            </w:r>
            <w:r w:rsidRPr="00FB2719">
              <w:rPr>
                <w:bCs/>
                <w:sz w:val="22"/>
                <w:szCs w:val="22"/>
              </w:rPr>
              <w:t>/100</w:t>
            </w:r>
            <w:r w:rsidR="0025420A" w:rsidRPr="00FB2719">
              <w:rPr>
                <w:bCs/>
                <w:sz w:val="22"/>
                <w:szCs w:val="22"/>
              </w:rPr>
              <w:t> </w:t>
            </w:r>
            <w:r w:rsidRPr="00FB2719">
              <w:rPr>
                <w:bCs/>
                <w:sz w:val="22"/>
                <w:szCs w:val="22"/>
              </w:rPr>
              <w:t>mg derinio kapsulės BID)</w:t>
            </w:r>
          </w:p>
        </w:tc>
        <w:tc>
          <w:tcPr>
            <w:tcW w:w="2984" w:type="dxa"/>
            <w:tcBorders>
              <w:top w:val="single" w:sz="4" w:space="0" w:color="auto"/>
              <w:left w:val="single" w:sz="4" w:space="0" w:color="auto"/>
              <w:bottom w:val="single" w:sz="4" w:space="0" w:color="auto"/>
              <w:right w:val="single" w:sz="4" w:space="0" w:color="auto"/>
            </w:tcBorders>
            <w:hideMark/>
          </w:tcPr>
          <w:p w14:paraId="52CF17EA" w14:textId="77777777" w:rsidR="00CA08B3" w:rsidRPr="00FB2719" w:rsidRDefault="00CA08B3">
            <w:pPr>
              <w:tabs>
                <w:tab w:val="left" w:pos="567"/>
              </w:tabs>
              <w:spacing w:line="276" w:lineRule="auto"/>
              <w:jc w:val="both"/>
              <w:rPr>
                <w:bCs/>
                <w:sz w:val="22"/>
                <w:szCs w:val="22"/>
              </w:rPr>
            </w:pPr>
            <w:r w:rsidRPr="00FB2719">
              <w:rPr>
                <w:bCs/>
                <w:sz w:val="22"/>
                <w:szCs w:val="22"/>
              </w:rPr>
              <w:t>Rilpivirinas:</w:t>
            </w:r>
          </w:p>
          <w:p w14:paraId="6DD5556E" w14:textId="77777777" w:rsidR="00CA08B3" w:rsidRPr="00FB2719" w:rsidRDefault="00CA08B3">
            <w:pPr>
              <w:tabs>
                <w:tab w:val="left" w:pos="567"/>
              </w:tabs>
              <w:spacing w:line="276" w:lineRule="auto"/>
              <w:jc w:val="both"/>
              <w:rPr>
                <w:bCs/>
                <w:sz w:val="22"/>
                <w:szCs w:val="22"/>
              </w:rPr>
            </w:pPr>
            <w:r w:rsidRPr="00FB2719">
              <w:rPr>
                <w:bCs/>
                <w:sz w:val="22"/>
                <w:szCs w:val="22"/>
              </w:rPr>
              <w:t>AUC: ↑ 52 %</w:t>
            </w:r>
          </w:p>
          <w:p w14:paraId="2C3B4C9B" w14:textId="77777777" w:rsidR="00CA08B3" w:rsidRPr="00FB2719" w:rsidRDefault="00CA08B3">
            <w:pPr>
              <w:tabs>
                <w:tab w:val="left" w:pos="567"/>
              </w:tabs>
              <w:spacing w:line="276" w:lineRule="auto"/>
              <w:jc w:val="both"/>
              <w:rPr>
                <w:bCs/>
                <w:sz w:val="22"/>
                <w:szCs w:val="22"/>
              </w:rPr>
            </w:pPr>
            <w:r w:rsidRPr="00FB2719">
              <w:rPr>
                <w:bCs/>
                <w:sz w:val="22"/>
                <w:szCs w:val="22"/>
              </w:rPr>
              <w:t>C</w:t>
            </w:r>
            <w:r w:rsidRPr="00FB2719">
              <w:rPr>
                <w:bCs/>
                <w:sz w:val="22"/>
                <w:szCs w:val="22"/>
                <w:vertAlign w:val="subscript"/>
              </w:rPr>
              <w:t>min</w:t>
            </w:r>
            <w:r w:rsidRPr="00FB2719">
              <w:rPr>
                <w:bCs/>
                <w:sz w:val="22"/>
                <w:szCs w:val="22"/>
              </w:rPr>
              <w:t>: ↑ 74 %</w:t>
            </w:r>
          </w:p>
          <w:p w14:paraId="79F6A2A8" w14:textId="77777777" w:rsidR="00CA08B3" w:rsidRPr="00FB2719" w:rsidRDefault="00CA08B3">
            <w:pPr>
              <w:tabs>
                <w:tab w:val="left" w:pos="567"/>
              </w:tabs>
              <w:spacing w:line="276" w:lineRule="auto"/>
              <w:jc w:val="both"/>
              <w:rPr>
                <w:bCs/>
                <w:sz w:val="22"/>
                <w:szCs w:val="22"/>
              </w:rPr>
            </w:pPr>
            <w:r w:rsidRPr="00FB2719">
              <w:rPr>
                <w:bCs/>
                <w:sz w:val="22"/>
                <w:szCs w:val="22"/>
              </w:rPr>
              <w:t>C</w:t>
            </w:r>
            <w:r w:rsidRPr="00FB2719">
              <w:rPr>
                <w:bCs/>
                <w:sz w:val="22"/>
                <w:szCs w:val="22"/>
                <w:vertAlign w:val="subscript"/>
              </w:rPr>
              <w:t>max</w:t>
            </w:r>
            <w:r w:rsidRPr="00FB2719">
              <w:rPr>
                <w:bCs/>
                <w:sz w:val="22"/>
                <w:szCs w:val="22"/>
              </w:rPr>
              <w:t>: ↑ 29 %</w:t>
            </w:r>
          </w:p>
          <w:p w14:paraId="05CB0AC2" w14:textId="77777777" w:rsidR="00CA08B3" w:rsidRPr="00FB2719" w:rsidRDefault="00CA08B3">
            <w:pPr>
              <w:tabs>
                <w:tab w:val="left" w:pos="567"/>
              </w:tabs>
              <w:spacing w:line="276" w:lineRule="auto"/>
              <w:jc w:val="both"/>
              <w:rPr>
                <w:bCs/>
                <w:sz w:val="22"/>
                <w:szCs w:val="22"/>
              </w:rPr>
            </w:pPr>
            <w:r w:rsidRPr="00FB2719">
              <w:rPr>
                <w:bCs/>
                <w:sz w:val="22"/>
                <w:szCs w:val="22"/>
              </w:rPr>
              <w:t>Lopinaviras:</w:t>
            </w:r>
          </w:p>
          <w:p w14:paraId="5968748A" w14:textId="77777777" w:rsidR="00CA08B3" w:rsidRPr="00FB2719" w:rsidRDefault="00CA08B3">
            <w:pPr>
              <w:tabs>
                <w:tab w:val="left" w:pos="567"/>
              </w:tabs>
              <w:spacing w:line="276" w:lineRule="auto"/>
              <w:jc w:val="both"/>
              <w:rPr>
                <w:bCs/>
                <w:sz w:val="22"/>
                <w:szCs w:val="22"/>
                <w:lang w:val="fr-FR"/>
              </w:rPr>
            </w:pPr>
            <w:r w:rsidRPr="00FB2719">
              <w:rPr>
                <w:bCs/>
                <w:sz w:val="22"/>
                <w:szCs w:val="22"/>
                <w:lang w:val="fr-FR"/>
              </w:rPr>
              <w:t>AUC: ↔</w:t>
            </w:r>
          </w:p>
          <w:p w14:paraId="174BB797" w14:textId="77777777" w:rsidR="00CA08B3" w:rsidRPr="00FB2719" w:rsidRDefault="00CA08B3">
            <w:pPr>
              <w:tabs>
                <w:tab w:val="left" w:pos="567"/>
              </w:tabs>
              <w:spacing w:line="276" w:lineRule="auto"/>
              <w:jc w:val="both"/>
              <w:rPr>
                <w:bCs/>
                <w:sz w:val="22"/>
                <w:szCs w:val="22"/>
                <w:lang w:val="fr-FR"/>
              </w:rPr>
            </w:pPr>
            <w:r w:rsidRPr="00FB2719">
              <w:rPr>
                <w:bCs/>
                <w:sz w:val="22"/>
                <w:szCs w:val="22"/>
                <w:lang w:val="fr-FR"/>
              </w:rPr>
              <w:t>C</w:t>
            </w:r>
            <w:r w:rsidRPr="00FB2719">
              <w:rPr>
                <w:bCs/>
                <w:sz w:val="22"/>
                <w:szCs w:val="22"/>
                <w:vertAlign w:val="subscript"/>
                <w:lang w:val="fr-FR"/>
              </w:rPr>
              <w:t>min</w:t>
            </w:r>
            <w:r w:rsidRPr="00FB2719">
              <w:rPr>
                <w:bCs/>
                <w:sz w:val="22"/>
                <w:szCs w:val="22"/>
                <w:lang w:val="fr-FR"/>
              </w:rPr>
              <w:t>: ↓ 11 %</w:t>
            </w:r>
          </w:p>
          <w:p w14:paraId="4ECECD15" w14:textId="77777777" w:rsidR="00CA08B3" w:rsidRPr="00FB2719" w:rsidRDefault="00CA08B3">
            <w:pPr>
              <w:tabs>
                <w:tab w:val="left" w:pos="567"/>
              </w:tabs>
              <w:spacing w:line="276" w:lineRule="auto"/>
              <w:jc w:val="both"/>
              <w:rPr>
                <w:bCs/>
                <w:sz w:val="22"/>
                <w:szCs w:val="22"/>
                <w:lang w:val="fr-FR"/>
              </w:rPr>
            </w:pPr>
            <w:r w:rsidRPr="00FB2719">
              <w:rPr>
                <w:bCs/>
                <w:sz w:val="22"/>
                <w:szCs w:val="22"/>
                <w:lang w:val="fr-FR"/>
              </w:rPr>
              <w:t>C</w:t>
            </w:r>
            <w:r w:rsidRPr="00FB2719">
              <w:rPr>
                <w:bCs/>
                <w:sz w:val="22"/>
                <w:szCs w:val="22"/>
                <w:vertAlign w:val="subscript"/>
                <w:lang w:val="fr-FR"/>
              </w:rPr>
              <w:t>max</w:t>
            </w:r>
            <w:r w:rsidRPr="00FB2719">
              <w:rPr>
                <w:bCs/>
                <w:sz w:val="22"/>
                <w:szCs w:val="22"/>
                <w:lang w:val="fr-FR"/>
              </w:rPr>
              <w:t>: ↔</w:t>
            </w:r>
          </w:p>
          <w:p w14:paraId="6E9E856E" w14:textId="77777777" w:rsidR="00CA08B3" w:rsidRPr="00FB2719" w:rsidRDefault="00CA08B3">
            <w:pPr>
              <w:tabs>
                <w:tab w:val="left" w:pos="567"/>
              </w:tabs>
              <w:spacing w:line="276" w:lineRule="auto"/>
              <w:jc w:val="both"/>
              <w:rPr>
                <w:bCs/>
                <w:sz w:val="22"/>
                <w:szCs w:val="22"/>
                <w:lang w:val="fr-FR"/>
              </w:rPr>
            </w:pPr>
            <w:r w:rsidRPr="00FB2719">
              <w:rPr>
                <w:bCs/>
                <w:sz w:val="22"/>
                <w:szCs w:val="22"/>
                <w:lang w:val="fr-FR"/>
              </w:rPr>
              <w:lastRenderedPageBreak/>
              <w:t>(CYP3A fermentų slopinimas)</w:t>
            </w:r>
          </w:p>
        </w:tc>
        <w:tc>
          <w:tcPr>
            <w:tcW w:w="2988" w:type="dxa"/>
            <w:tcBorders>
              <w:top w:val="single" w:sz="4" w:space="0" w:color="auto"/>
              <w:left w:val="single" w:sz="4" w:space="0" w:color="auto"/>
              <w:bottom w:val="single" w:sz="4" w:space="0" w:color="auto"/>
              <w:right w:val="single" w:sz="4" w:space="0" w:color="auto"/>
            </w:tcBorders>
            <w:hideMark/>
          </w:tcPr>
          <w:p w14:paraId="5271AEE4" w14:textId="77777777" w:rsidR="00CA08B3" w:rsidRPr="00FB2719" w:rsidRDefault="00CA08B3">
            <w:pPr>
              <w:tabs>
                <w:tab w:val="left" w:pos="567"/>
              </w:tabs>
              <w:spacing w:line="276" w:lineRule="auto"/>
              <w:rPr>
                <w:bCs/>
                <w:sz w:val="22"/>
                <w:szCs w:val="22"/>
                <w:lang w:val="fr-FR"/>
              </w:rPr>
            </w:pPr>
            <w:r w:rsidRPr="00FB2719">
              <w:rPr>
                <w:bCs/>
                <w:sz w:val="22"/>
                <w:szCs w:val="22"/>
                <w:lang w:val="fr-FR"/>
              </w:rPr>
              <w:lastRenderedPageBreak/>
              <w:t>Kartu vartojant lopinaviro / ritonaviro derinį ir rilpiviriną, padidėja rilpivirino koncentracijos plazmoje, tačiau dozės koreguoti nereikia.</w:t>
            </w:r>
          </w:p>
        </w:tc>
      </w:tr>
      <w:tr w:rsidR="00CA08B3" w:rsidRPr="00FB2719" w14:paraId="2624E58C" w14:textId="77777777" w:rsidTr="0064111D">
        <w:tc>
          <w:tcPr>
            <w:tcW w:w="9016" w:type="dxa"/>
            <w:gridSpan w:val="3"/>
            <w:tcBorders>
              <w:top w:val="single" w:sz="4" w:space="0" w:color="auto"/>
              <w:left w:val="single" w:sz="4" w:space="0" w:color="auto"/>
              <w:bottom w:val="single" w:sz="4" w:space="0" w:color="auto"/>
              <w:right w:val="single" w:sz="4" w:space="0" w:color="auto"/>
            </w:tcBorders>
            <w:hideMark/>
          </w:tcPr>
          <w:p w14:paraId="72E068E4" w14:textId="77777777" w:rsidR="00CA08B3" w:rsidRPr="00FB2719" w:rsidRDefault="00CA08B3">
            <w:pPr>
              <w:tabs>
                <w:tab w:val="left" w:pos="567"/>
              </w:tabs>
              <w:spacing w:line="276" w:lineRule="auto"/>
              <w:jc w:val="both"/>
              <w:rPr>
                <w:bCs/>
                <w:i/>
                <w:sz w:val="22"/>
                <w:szCs w:val="22"/>
                <w:lang w:val="en-US"/>
              </w:rPr>
            </w:pPr>
            <w:r w:rsidRPr="00FB2719">
              <w:rPr>
                <w:bCs/>
                <w:i/>
                <w:sz w:val="22"/>
                <w:szCs w:val="22"/>
                <w:lang w:val="en-US"/>
              </w:rPr>
              <w:t>ŽIV CCR5 – antagonistas</w:t>
            </w:r>
          </w:p>
        </w:tc>
      </w:tr>
      <w:tr w:rsidR="00CA08B3" w:rsidRPr="00FB2719" w14:paraId="2DB96A3C" w14:textId="77777777" w:rsidTr="0064111D">
        <w:tc>
          <w:tcPr>
            <w:tcW w:w="3044" w:type="dxa"/>
            <w:tcBorders>
              <w:top w:val="single" w:sz="4" w:space="0" w:color="auto"/>
              <w:left w:val="single" w:sz="4" w:space="0" w:color="auto"/>
              <w:bottom w:val="single" w:sz="4" w:space="0" w:color="auto"/>
              <w:right w:val="single" w:sz="4" w:space="0" w:color="auto"/>
            </w:tcBorders>
            <w:hideMark/>
          </w:tcPr>
          <w:p w14:paraId="7086E2EE"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Maravirokas</w:t>
            </w:r>
          </w:p>
        </w:tc>
        <w:tc>
          <w:tcPr>
            <w:tcW w:w="2984" w:type="dxa"/>
            <w:tcBorders>
              <w:top w:val="single" w:sz="4" w:space="0" w:color="auto"/>
              <w:left w:val="single" w:sz="4" w:space="0" w:color="auto"/>
              <w:bottom w:val="single" w:sz="4" w:space="0" w:color="auto"/>
              <w:right w:val="single" w:sz="4" w:space="0" w:color="auto"/>
            </w:tcBorders>
            <w:hideMark/>
          </w:tcPr>
          <w:p w14:paraId="01BCB1B6"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Maravirokas:</w:t>
            </w:r>
          </w:p>
          <w:p w14:paraId="3EFA404D"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AUC: ↑ 295 %</w:t>
            </w:r>
          </w:p>
          <w:p w14:paraId="218191C2"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C</w:t>
            </w:r>
            <w:r w:rsidRPr="00FB2719">
              <w:rPr>
                <w:bCs/>
                <w:sz w:val="22"/>
                <w:szCs w:val="22"/>
                <w:vertAlign w:val="subscript"/>
                <w:lang w:val="en-US"/>
              </w:rPr>
              <w:t>max</w:t>
            </w:r>
            <w:r w:rsidRPr="00FB2719">
              <w:rPr>
                <w:bCs/>
                <w:sz w:val="22"/>
                <w:szCs w:val="22"/>
                <w:lang w:val="en-US"/>
              </w:rPr>
              <w:t>: ↑ 97 %</w:t>
            </w:r>
          </w:p>
          <w:p w14:paraId="02C18A69"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Kadangi lopinaviras/ritonaviras slopina CYP3A.</w:t>
            </w:r>
          </w:p>
        </w:tc>
        <w:tc>
          <w:tcPr>
            <w:tcW w:w="2988" w:type="dxa"/>
            <w:tcBorders>
              <w:top w:val="single" w:sz="4" w:space="0" w:color="auto"/>
              <w:left w:val="single" w:sz="4" w:space="0" w:color="auto"/>
              <w:bottom w:val="single" w:sz="4" w:space="0" w:color="auto"/>
              <w:right w:val="single" w:sz="4" w:space="0" w:color="auto"/>
            </w:tcBorders>
            <w:hideMark/>
          </w:tcPr>
          <w:p w14:paraId="55E783D5" w14:textId="3069F282" w:rsidR="00CA08B3" w:rsidRPr="00FB2719" w:rsidRDefault="00CA08B3" w:rsidP="0025420A">
            <w:pPr>
              <w:tabs>
                <w:tab w:val="left" w:pos="567"/>
              </w:tabs>
              <w:spacing w:line="276" w:lineRule="auto"/>
              <w:rPr>
                <w:bCs/>
                <w:sz w:val="22"/>
                <w:szCs w:val="22"/>
                <w:lang w:val="en-US"/>
              </w:rPr>
            </w:pPr>
            <w:r w:rsidRPr="00FB2719">
              <w:rPr>
                <w:bCs/>
                <w:sz w:val="22"/>
                <w:szCs w:val="22"/>
                <w:lang w:val="en-US"/>
              </w:rPr>
              <w:t>Maraviroko dozė turi būti sumažinta iki 150</w:t>
            </w:r>
            <w:r w:rsidR="0025420A" w:rsidRPr="00FB2719">
              <w:rPr>
                <w:bCs/>
                <w:sz w:val="22"/>
                <w:szCs w:val="22"/>
                <w:lang w:val="en-US"/>
              </w:rPr>
              <w:t> </w:t>
            </w:r>
            <w:r w:rsidRPr="00FB2719">
              <w:rPr>
                <w:bCs/>
                <w:sz w:val="22"/>
                <w:szCs w:val="22"/>
                <w:lang w:val="en-US"/>
              </w:rPr>
              <w:t xml:space="preserve">mg du kartus per parą, kai skiriama kartu su </w:t>
            </w:r>
            <w:r w:rsidR="0091018A" w:rsidRPr="00FB2719">
              <w:rPr>
                <w:bCs/>
                <w:sz w:val="22"/>
                <w:szCs w:val="22"/>
                <w:lang w:val="en-US"/>
              </w:rPr>
              <w:t xml:space="preserve">Lopinavir/Ritonavir Sandoz </w:t>
            </w:r>
            <w:r w:rsidRPr="00FB2719">
              <w:rPr>
                <w:bCs/>
                <w:sz w:val="22"/>
                <w:szCs w:val="22"/>
                <w:lang w:val="en-US"/>
              </w:rPr>
              <w:t>400</w:t>
            </w:r>
            <w:r w:rsidR="0091018A" w:rsidRPr="00FB2719">
              <w:rPr>
                <w:bCs/>
                <w:sz w:val="22"/>
                <w:szCs w:val="22"/>
                <w:lang w:val="en-US"/>
              </w:rPr>
              <w:t> mg</w:t>
            </w:r>
            <w:r w:rsidRPr="00FB2719">
              <w:rPr>
                <w:bCs/>
                <w:sz w:val="22"/>
                <w:szCs w:val="22"/>
                <w:lang w:val="en-US"/>
              </w:rPr>
              <w:t>/100</w:t>
            </w:r>
            <w:r w:rsidR="0025420A" w:rsidRPr="00FB2719">
              <w:rPr>
                <w:bCs/>
                <w:sz w:val="22"/>
                <w:szCs w:val="22"/>
                <w:lang w:val="en-US"/>
              </w:rPr>
              <w:t> </w:t>
            </w:r>
            <w:r w:rsidRPr="00FB2719">
              <w:rPr>
                <w:bCs/>
                <w:sz w:val="22"/>
                <w:szCs w:val="22"/>
                <w:lang w:val="en-US"/>
              </w:rPr>
              <w:t>mg deriniu, vartojamu du kartus per parą.</w:t>
            </w:r>
          </w:p>
        </w:tc>
      </w:tr>
      <w:tr w:rsidR="00CA08B3" w:rsidRPr="00FB2719" w14:paraId="0C1D1EB2" w14:textId="77777777" w:rsidTr="0064111D">
        <w:tc>
          <w:tcPr>
            <w:tcW w:w="9016" w:type="dxa"/>
            <w:gridSpan w:val="3"/>
            <w:tcBorders>
              <w:top w:val="single" w:sz="4" w:space="0" w:color="auto"/>
              <w:left w:val="single" w:sz="4" w:space="0" w:color="auto"/>
              <w:bottom w:val="single" w:sz="4" w:space="0" w:color="auto"/>
              <w:right w:val="single" w:sz="4" w:space="0" w:color="auto"/>
            </w:tcBorders>
            <w:hideMark/>
          </w:tcPr>
          <w:p w14:paraId="3D2D40D6" w14:textId="77777777" w:rsidR="00CA08B3" w:rsidRPr="00FB2719" w:rsidRDefault="00CA08B3">
            <w:pPr>
              <w:tabs>
                <w:tab w:val="left" w:pos="567"/>
              </w:tabs>
              <w:spacing w:line="276" w:lineRule="auto"/>
              <w:jc w:val="both"/>
              <w:rPr>
                <w:bCs/>
                <w:i/>
                <w:sz w:val="22"/>
                <w:szCs w:val="22"/>
                <w:lang w:val="en-US"/>
              </w:rPr>
            </w:pPr>
            <w:r w:rsidRPr="00FB2719">
              <w:rPr>
                <w:bCs/>
                <w:i/>
                <w:sz w:val="22"/>
                <w:szCs w:val="22"/>
                <w:lang w:val="en-US"/>
              </w:rPr>
              <w:t>Integrazės inhibitorius</w:t>
            </w:r>
          </w:p>
        </w:tc>
      </w:tr>
      <w:tr w:rsidR="00CA08B3" w:rsidRPr="00FB2719" w14:paraId="7FFDF833" w14:textId="77777777" w:rsidTr="0064111D">
        <w:tc>
          <w:tcPr>
            <w:tcW w:w="3044" w:type="dxa"/>
            <w:tcBorders>
              <w:top w:val="single" w:sz="4" w:space="0" w:color="auto"/>
              <w:left w:val="single" w:sz="4" w:space="0" w:color="auto"/>
              <w:bottom w:val="single" w:sz="4" w:space="0" w:color="auto"/>
              <w:right w:val="single" w:sz="4" w:space="0" w:color="auto"/>
            </w:tcBorders>
            <w:hideMark/>
          </w:tcPr>
          <w:p w14:paraId="542F5B0B"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Raltegraviras</w:t>
            </w:r>
          </w:p>
        </w:tc>
        <w:tc>
          <w:tcPr>
            <w:tcW w:w="2984" w:type="dxa"/>
            <w:tcBorders>
              <w:top w:val="single" w:sz="4" w:space="0" w:color="auto"/>
              <w:left w:val="single" w:sz="4" w:space="0" w:color="auto"/>
              <w:bottom w:val="single" w:sz="4" w:space="0" w:color="auto"/>
              <w:right w:val="single" w:sz="4" w:space="0" w:color="auto"/>
            </w:tcBorders>
            <w:hideMark/>
          </w:tcPr>
          <w:p w14:paraId="37C4A0AB"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Raltegraviras:</w:t>
            </w:r>
          </w:p>
          <w:p w14:paraId="0D549AA3"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AUC: ↔</w:t>
            </w:r>
          </w:p>
          <w:p w14:paraId="01BD22E1"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C</w:t>
            </w:r>
            <w:r w:rsidRPr="00FB2719">
              <w:rPr>
                <w:bCs/>
                <w:sz w:val="22"/>
                <w:szCs w:val="22"/>
                <w:vertAlign w:val="subscript"/>
                <w:lang w:val="en-US"/>
              </w:rPr>
              <w:t>max</w:t>
            </w:r>
            <w:r w:rsidRPr="00FB2719">
              <w:rPr>
                <w:bCs/>
                <w:sz w:val="22"/>
                <w:szCs w:val="22"/>
                <w:lang w:val="en-US"/>
              </w:rPr>
              <w:t>: ↔</w:t>
            </w:r>
          </w:p>
          <w:p w14:paraId="4FEFC60A"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C</w:t>
            </w:r>
            <w:r w:rsidRPr="00FB2719">
              <w:rPr>
                <w:bCs/>
                <w:sz w:val="22"/>
                <w:szCs w:val="22"/>
                <w:vertAlign w:val="subscript"/>
                <w:lang w:val="en-US"/>
              </w:rPr>
              <w:t>12</w:t>
            </w:r>
            <w:r w:rsidRPr="00FB2719">
              <w:rPr>
                <w:bCs/>
                <w:sz w:val="22"/>
                <w:szCs w:val="22"/>
                <w:lang w:val="en-US"/>
              </w:rPr>
              <w:t>: ↓ 30 %</w:t>
            </w:r>
          </w:p>
          <w:p w14:paraId="3C8D3F3C"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Lopinaviras: ↔</w:t>
            </w:r>
          </w:p>
        </w:tc>
        <w:tc>
          <w:tcPr>
            <w:tcW w:w="2988" w:type="dxa"/>
            <w:tcBorders>
              <w:top w:val="single" w:sz="4" w:space="0" w:color="auto"/>
              <w:left w:val="single" w:sz="4" w:space="0" w:color="auto"/>
              <w:bottom w:val="single" w:sz="4" w:space="0" w:color="auto"/>
              <w:right w:val="single" w:sz="4" w:space="0" w:color="auto"/>
            </w:tcBorders>
            <w:hideMark/>
          </w:tcPr>
          <w:p w14:paraId="11BFA3DC" w14:textId="77777777" w:rsidR="00CA08B3" w:rsidRPr="00FB2719" w:rsidRDefault="00CA08B3">
            <w:pPr>
              <w:tabs>
                <w:tab w:val="left" w:pos="567"/>
              </w:tabs>
              <w:spacing w:line="276" w:lineRule="auto"/>
              <w:rPr>
                <w:bCs/>
                <w:sz w:val="22"/>
                <w:szCs w:val="22"/>
                <w:lang w:val="en-US"/>
              </w:rPr>
            </w:pPr>
            <w:r w:rsidRPr="00FB2719">
              <w:rPr>
                <w:bCs/>
                <w:sz w:val="22"/>
                <w:szCs w:val="22"/>
                <w:lang w:val="en-US"/>
              </w:rPr>
              <w:t>Dozės koreguoti nereikia.</w:t>
            </w:r>
          </w:p>
        </w:tc>
      </w:tr>
      <w:tr w:rsidR="00CA08B3" w:rsidRPr="00FB2719" w14:paraId="50D66278" w14:textId="77777777" w:rsidTr="0064111D">
        <w:tc>
          <w:tcPr>
            <w:tcW w:w="9016" w:type="dxa"/>
            <w:gridSpan w:val="3"/>
            <w:tcBorders>
              <w:top w:val="single" w:sz="4" w:space="0" w:color="auto"/>
              <w:left w:val="single" w:sz="4" w:space="0" w:color="auto"/>
              <w:bottom w:val="single" w:sz="4" w:space="0" w:color="auto"/>
              <w:right w:val="single" w:sz="4" w:space="0" w:color="auto"/>
            </w:tcBorders>
            <w:hideMark/>
          </w:tcPr>
          <w:p w14:paraId="4D27AF18" w14:textId="77777777" w:rsidR="00CA08B3" w:rsidRPr="00FB2719" w:rsidRDefault="00CA08B3">
            <w:pPr>
              <w:pStyle w:val="Default"/>
              <w:spacing w:line="276" w:lineRule="auto"/>
              <w:jc w:val="both"/>
              <w:rPr>
                <w:sz w:val="22"/>
                <w:szCs w:val="22"/>
                <w:lang w:val="lt-LT"/>
              </w:rPr>
            </w:pPr>
            <w:r w:rsidRPr="00FB2719">
              <w:rPr>
                <w:i/>
                <w:iCs/>
                <w:sz w:val="22"/>
                <w:szCs w:val="22"/>
                <w:lang w:val="lt-LT"/>
              </w:rPr>
              <w:t xml:space="preserve">Skyrimas kartu su kitais ŽIV proteazės inhibitoriais (PI) </w:t>
            </w:r>
          </w:p>
          <w:p w14:paraId="0674FB39" w14:textId="77777777" w:rsidR="00CA08B3" w:rsidRPr="00FB2719" w:rsidRDefault="00CA08B3">
            <w:pPr>
              <w:tabs>
                <w:tab w:val="left" w:pos="567"/>
              </w:tabs>
              <w:spacing w:line="276" w:lineRule="auto"/>
              <w:jc w:val="both"/>
              <w:rPr>
                <w:bCs/>
                <w:i/>
                <w:sz w:val="22"/>
                <w:szCs w:val="22"/>
              </w:rPr>
            </w:pPr>
            <w:r w:rsidRPr="00FB2719">
              <w:rPr>
                <w:sz w:val="22"/>
                <w:szCs w:val="22"/>
              </w:rPr>
              <w:t>Remiantis dabartinėmis gydymo rekomendacijomis, dvigubas gydymas proteazės inhibitoriais paprastai nerekomenduojamas.</w:t>
            </w:r>
          </w:p>
        </w:tc>
      </w:tr>
      <w:tr w:rsidR="00CA08B3" w:rsidRPr="00FB2719" w14:paraId="20CC475A" w14:textId="77777777" w:rsidTr="0064111D">
        <w:tc>
          <w:tcPr>
            <w:tcW w:w="3044" w:type="dxa"/>
            <w:tcBorders>
              <w:top w:val="single" w:sz="4" w:space="0" w:color="auto"/>
              <w:left w:val="single" w:sz="4" w:space="0" w:color="auto"/>
              <w:bottom w:val="single" w:sz="4" w:space="0" w:color="auto"/>
              <w:right w:val="single" w:sz="4" w:space="0" w:color="auto"/>
            </w:tcBorders>
          </w:tcPr>
          <w:p w14:paraId="4B8C683D" w14:textId="77777777" w:rsidR="00CA08B3" w:rsidRPr="00FB2719" w:rsidRDefault="00CA08B3">
            <w:pPr>
              <w:pStyle w:val="Default"/>
              <w:spacing w:line="276" w:lineRule="auto"/>
              <w:jc w:val="both"/>
              <w:rPr>
                <w:sz w:val="22"/>
                <w:szCs w:val="22"/>
                <w:lang w:val="lt-LT"/>
              </w:rPr>
            </w:pPr>
            <w:r w:rsidRPr="00FB2719">
              <w:rPr>
                <w:sz w:val="22"/>
                <w:szCs w:val="22"/>
                <w:lang w:val="lt-LT"/>
              </w:rPr>
              <w:t>Fosamprenaviro / ritonaviro (700</w:t>
            </w:r>
            <w:r w:rsidR="0091018A" w:rsidRPr="00FB2719">
              <w:rPr>
                <w:sz w:val="22"/>
                <w:szCs w:val="22"/>
                <w:lang w:val="lt-LT"/>
              </w:rPr>
              <w:t> mg</w:t>
            </w:r>
            <w:r w:rsidRPr="00FB2719">
              <w:rPr>
                <w:sz w:val="22"/>
                <w:szCs w:val="22"/>
                <w:lang w:val="lt-LT"/>
              </w:rPr>
              <w:t>/100</w:t>
            </w:r>
            <w:r w:rsidR="0025420A" w:rsidRPr="00FB2719">
              <w:rPr>
                <w:sz w:val="22"/>
                <w:szCs w:val="22"/>
                <w:lang w:val="lt-LT"/>
              </w:rPr>
              <w:t> </w:t>
            </w:r>
            <w:r w:rsidRPr="00FB2719">
              <w:rPr>
                <w:sz w:val="22"/>
                <w:szCs w:val="22"/>
                <w:lang w:val="lt-LT"/>
              </w:rPr>
              <w:t xml:space="preserve">mg derinys BID) </w:t>
            </w:r>
          </w:p>
          <w:p w14:paraId="6487D369" w14:textId="77777777" w:rsidR="00CA08B3" w:rsidRPr="00FB2719" w:rsidRDefault="00CA08B3">
            <w:pPr>
              <w:pStyle w:val="Default"/>
              <w:spacing w:line="276" w:lineRule="auto"/>
              <w:jc w:val="both"/>
              <w:rPr>
                <w:sz w:val="22"/>
                <w:szCs w:val="22"/>
                <w:lang w:val="lt-LT"/>
              </w:rPr>
            </w:pPr>
          </w:p>
          <w:p w14:paraId="49C64886" w14:textId="77777777" w:rsidR="00CA08B3" w:rsidRPr="00FB2719" w:rsidRDefault="00CA08B3" w:rsidP="00FB2719">
            <w:pPr>
              <w:pStyle w:val="Default"/>
              <w:spacing w:line="276" w:lineRule="auto"/>
              <w:rPr>
                <w:sz w:val="22"/>
                <w:szCs w:val="22"/>
                <w:lang w:val="lt-LT"/>
              </w:rPr>
            </w:pPr>
            <w:r w:rsidRPr="00FB2719">
              <w:rPr>
                <w:sz w:val="22"/>
                <w:szCs w:val="22"/>
                <w:lang w:val="lt-LT"/>
              </w:rPr>
              <w:t>(Lopinaviro / ritonaviro 400</w:t>
            </w:r>
            <w:r w:rsidR="0091018A" w:rsidRPr="00FB2719">
              <w:rPr>
                <w:sz w:val="22"/>
                <w:szCs w:val="22"/>
                <w:lang w:val="lt-LT"/>
              </w:rPr>
              <w:t> mg</w:t>
            </w:r>
            <w:r w:rsidRPr="00FB2719">
              <w:rPr>
                <w:sz w:val="22"/>
                <w:szCs w:val="22"/>
                <w:lang w:val="lt-LT"/>
              </w:rPr>
              <w:t>/100</w:t>
            </w:r>
            <w:r w:rsidR="0025420A" w:rsidRPr="00FB2719">
              <w:rPr>
                <w:sz w:val="22"/>
                <w:szCs w:val="22"/>
                <w:lang w:val="lt-LT"/>
              </w:rPr>
              <w:t> </w:t>
            </w:r>
            <w:r w:rsidRPr="00FB2719">
              <w:rPr>
                <w:sz w:val="22"/>
                <w:szCs w:val="22"/>
                <w:lang w:val="lt-LT"/>
              </w:rPr>
              <w:t xml:space="preserve">mg derinys BID) </w:t>
            </w:r>
          </w:p>
          <w:p w14:paraId="56D90D4D" w14:textId="77777777" w:rsidR="00CA08B3" w:rsidRPr="00FB2719" w:rsidRDefault="00CA08B3">
            <w:pPr>
              <w:pStyle w:val="Default"/>
              <w:spacing w:line="276" w:lineRule="auto"/>
              <w:jc w:val="both"/>
              <w:rPr>
                <w:sz w:val="22"/>
                <w:szCs w:val="22"/>
                <w:lang w:val="lt-LT"/>
              </w:rPr>
            </w:pPr>
          </w:p>
          <w:p w14:paraId="5FE02DE5" w14:textId="77777777" w:rsidR="00CA08B3" w:rsidRPr="00FB2719" w:rsidRDefault="00CA08B3">
            <w:pPr>
              <w:pStyle w:val="Default"/>
              <w:spacing w:line="276" w:lineRule="auto"/>
              <w:jc w:val="both"/>
              <w:rPr>
                <w:sz w:val="22"/>
                <w:szCs w:val="22"/>
                <w:lang w:val="lt-LT"/>
              </w:rPr>
            </w:pPr>
            <w:r w:rsidRPr="00FB2719">
              <w:rPr>
                <w:sz w:val="22"/>
                <w:szCs w:val="22"/>
                <w:lang w:val="lt-LT"/>
              </w:rPr>
              <w:t xml:space="preserve">arba </w:t>
            </w:r>
          </w:p>
          <w:p w14:paraId="364D8BC0" w14:textId="77777777" w:rsidR="00CA08B3" w:rsidRPr="00FB2719" w:rsidRDefault="00CA08B3">
            <w:pPr>
              <w:pStyle w:val="Default"/>
              <w:spacing w:line="276" w:lineRule="auto"/>
              <w:jc w:val="both"/>
              <w:rPr>
                <w:sz w:val="22"/>
                <w:szCs w:val="22"/>
                <w:lang w:val="lt-LT"/>
              </w:rPr>
            </w:pPr>
          </w:p>
          <w:p w14:paraId="57F70B42" w14:textId="77777777" w:rsidR="00CA08B3" w:rsidRPr="00FB2719" w:rsidRDefault="00CA08B3">
            <w:pPr>
              <w:pStyle w:val="Default"/>
              <w:spacing w:line="276" w:lineRule="auto"/>
              <w:rPr>
                <w:sz w:val="22"/>
                <w:szCs w:val="22"/>
                <w:lang w:val="lt-LT"/>
              </w:rPr>
            </w:pPr>
            <w:r w:rsidRPr="00FB2719">
              <w:rPr>
                <w:sz w:val="22"/>
                <w:szCs w:val="22"/>
                <w:lang w:val="lt-LT"/>
              </w:rPr>
              <w:t>Fosamprenaviras (1400</w:t>
            </w:r>
            <w:r w:rsidR="0025420A" w:rsidRPr="00FB2719">
              <w:rPr>
                <w:sz w:val="22"/>
                <w:szCs w:val="22"/>
                <w:lang w:val="lt-LT"/>
              </w:rPr>
              <w:t> </w:t>
            </w:r>
            <w:r w:rsidRPr="00FB2719">
              <w:rPr>
                <w:sz w:val="22"/>
                <w:szCs w:val="22"/>
                <w:lang w:val="lt-LT"/>
              </w:rPr>
              <w:t xml:space="preserve">mg BID) </w:t>
            </w:r>
          </w:p>
          <w:p w14:paraId="3B77B9E5" w14:textId="77777777" w:rsidR="00CA08B3" w:rsidRPr="00FB2719" w:rsidRDefault="00CA08B3">
            <w:pPr>
              <w:tabs>
                <w:tab w:val="left" w:pos="567"/>
              </w:tabs>
              <w:spacing w:line="276" w:lineRule="auto"/>
              <w:jc w:val="both"/>
              <w:rPr>
                <w:sz w:val="22"/>
                <w:szCs w:val="22"/>
                <w:lang w:val="es-ES"/>
              </w:rPr>
            </w:pPr>
          </w:p>
          <w:p w14:paraId="7B2354A3" w14:textId="77777777" w:rsidR="00CA08B3" w:rsidRPr="00FB2719" w:rsidRDefault="00CA08B3">
            <w:pPr>
              <w:tabs>
                <w:tab w:val="left" w:pos="567"/>
              </w:tabs>
              <w:spacing w:line="276" w:lineRule="auto"/>
              <w:jc w:val="both"/>
              <w:rPr>
                <w:sz w:val="22"/>
                <w:szCs w:val="22"/>
                <w:lang w:val="es-ES"/>
              </w:rPr>
            </w:pPr>
          </w:p>
          <w:p w14:paraId="1572F83D" w14:textId="77777777" w:rsidR="00CA08B3" w:rsidRPr="00FB2719" w:rsidRDefault="00CA08B3">
            <w:pPr>
              <w:tabs>
                <w:tab w:val="left" w:pos="567"/>
              </w:tabs>
              <w:spacing w:line="276" w:lineRule="auto"/>
              <w:jc w:val="both"/>
              <w:rPr>
                <w:sz w:val="22"/>
                <w:szCs w:val="22"/>
                <w:lang w:val="es-ES"/>
              </w:rPr>
            </w:pPr>
          </w:p>
          <w:p w14:paraId="76A9FBEC" w14:textId="77777777" w:rsidR="00CA08B3" w:rsidRPr="00FB2719" w:rsidRDefault="00CA08B3">
            <w:pPr>
              <w:tabs>
                <w:tab w:val="left" w:pos="567"/>
              </w:tabs>
              <w:spacing w:line="276" w:lineRule="auto"/>
              <w:jc w:val="both"/>
              <w:rPr>
                <w:sz w:val="22"/>
                <w:szCs w:val="22"/>
                <w:lang w:val="es-ES"/>
              </w:rPr>
            </w:pPr>
          </w:p>
          <w:p w14:paraId="72327CAD" w14:textId="77777777" w:rsidR="00CA08B3" w:rsidRPr="00FB2719" w:rsidRDefault="00CA08B3">
            <w:pPr>
              <w:tabs>
                <w:tab w:val="left" w:pos="567"/>
              </w:tabs>
              <w:spacing w:line="276" w:lineRule="auto"/>
              <w:jc w:val="both"/>
              <w:rPr>
                <w:sz w:val="22"/>
                <w:szCs w:val="22"/>
                <w:lang w:val="es-ES"/>
              </w:rPr>
            </w:pPr>
          </w:p>
          <w:p w14:paraId="15E5E113" w14:textId="77777777" w:rsidR="00CA08B3" w:rsidRPr="00FB2719" w:rsidRDefault="00CA08B3" w:rsidP="00FB2719">
            <w:pPr>
              <w:tabs>
                <w:tab w:val="left" w:pos="567"/>
              </w:tabs>
              <w:spacing w:line="276" w:lineRule="auto"/>
              <w:rPr>
                <w:bCs/>
                <w:sz w:val="22"/>
                <w:szCs w:val="22"/>
                <w:lang w:val="es-ES"/>
              </w:rPr>
            </w:pPr>
            <w:r w:rsidRPr="00FB2719">
              <w:rPr>
                <w:sz w:val="22"/>
                <w:szCs w:val="22"/>
                <w:lang w:val="es-ES"/>
              </w:rPr>
              <w:t>(Lopinaviro / ritonaviro 533</w:t>
            </w:r>
            <w:r w:rsidR="0091018A" w:rsidRPr="00FB2719">
              <w:rPr>
                <w:sz w:val="22"/>
                <w:szCs w:val="22"/>
                <w:lang w:val="es-ES"/>
              </w:rPr>
              <w:t> mg</w:t>
            </w:r>
            <w:r w:rsidRPr="00FB2719">
              <w:rPr>
                <w:sz w:val="22"/>
                <w:szCs w:val="22"/>
                <w:lang w:val="es-ES"/>
              </w:rPr>
              <w:t>/133</w:t>
            </w:r>
            <w:r w:rsidR="0025420A" w:rsidRPr="00FB2719">
              <w:rPr>
                <w:sz w:val="22"/>
                <w:szCs w:val="22"/>
                <w:lang w:val="es-ES"/>
              </w:rPr>
              <w:t> </w:t>
            </w:r>
            <w:r w:rsidRPr="00FB2719">
              <w:rPr>
                <w:sz w:val="22"/>
                <w:szCs w:val="22"/>
                <w:lang w:val="es-ES"/>
              </w:rPr>
              <w:t xml:space="preserve">mg derinys BID) </w:t>
            </w:r>
          </w:p>
        </w:tc>
        <w:tc>
          <w:tcPr>
            <w:tcW w:w="2984" w:type="dxa"/>
            <w:tcBorders>
              <w:top w:val="single" w:sz="4" w:space="0" w:color="auto"/>
              <w:left w:val="single" w:sz="4" w:space="0" w:color="auto"/>
              <w:bottom w:val="single" w:sz="4" w:space="0" w:color="auto"/>
              <w:right w:val="single" w:sz="4" w:space="0" w:color="auto"/>
            </w:tcBorders>
            <w:hideMark/>
          </w:tcPr>
          <w:p w14:paraId="2EF862DB" w14:textId="77777777" w:rsidR="00CA08B3" w:rsidRPr="00FB2719" w:rsidRDefault="00CA08B3">
            <w:pPr>
              <w:pStyle w:val="Default"/>
              <w:spacing w:line="276" w:lineRule="auto"/>
              <w:rPr>
                <w:sz w:val="22"/>
                <w:szCs w:val="22"/>
                <w:lang w:val="lt-LT"/>
              </w:rPr>
            </w:pPr>
            <w:r w:rsidRPr="00FB2719">
              <w:rPr>
                <w:sz w:val="22"/>
                <w:szCs w:val="22"/>
                <w:lang w:val="lt-LT"/>
              </w:rPr>
              <w:t xml:space="preserve">Fosamprenaviras: </w:t>
            </w:r>
          </w:p>
          <w:p w14:paraId="09F533F1" w14:textId="77777777" w:rsidR="00CA08B3" w:rsidRPr="00FB2719" w:rsidRDefault="00CA08B3">
            <w:pPr>
              <w:pStyle w:val="Default"/>
              <w:spacing w:line="276" w:lineRule="auto"/>
              <w:rPr>
                <w:sz w:val="22"/>
                <w:szCs w:val="22"/>
                <w:lang w:val="lt-LT"/>
              </w:rPr>
            </w:pPr>
            <w:r w:rsidRPr="00FB2719">
              <w:rPr>
                <w:sz w:val="22"/>
                <w:szCs w:val="22"/>
                <w:lang w:val="lt-LT"/>
              </w:rPr>
              <w:t xml:space="preserve">reikšmingai sumažėja amprenaviro koncentracijos. </w:t>
            </w:r>
          </w:p>
        </w:tc>
        <w:tc>
          <w:tcPr>
            <w:tcW w:w="2988" w:type="dxa"/>
            <w:tcBorders>
              <w:top w:val="single" w:sz="4" w:space="0" w:color="auto"/>
              <w:left w:val="single" w:sz="4" w:space="0" w:color="auto"/>
              <w:bottom w:val="single" w:sz="4" w:space="0" w:color="auto"/>
              <w:right w:val="single" w:sz="4" w:space="0" w:color="auto"/>
            </w:tcBorders>
            <w:hideMark/>
          </w:tcPr>
          <w:p w14:paraId="1ED669DD" w14:textId="77777777" w:rsidR="00CA08B3" w:rsidRPr="00FB2719" w:rsidRDefault="00CA08B3">
            <w:pPr>
              <w:pStyle w:val="Default"/>
              <w:spacing w:line="276" w:lineRule="auto"/>
              <w:rPr>
                <w:sz w:val="22"/>
                <w:szCs w:val="22"/>
                <w:lang w:val="lt-LT"/>
              </w:rPr>
            </w:pPr>
            <w:r w:rsidRPr="00FB2719">
              <w:rPr>
                <w:sz w:val="22"/>
                <w:szCs w:val="22"/>
                <w:lang w:val="lt-LT"/>
              </w:rPr>
              <w:t>Kartu skiriant didesnes fosamprenaviro dozes (1400</w:t>
            </w:r>
            <w:r w:rsidR="0025420A" w:rsidRPr="00FB2719">
              <w:rPr>
                <w:sz w:val="22"/>
                <w:szCs w:val="22"/>
                <w:lang w:val="lt-LT"/>
              </w:rPr>
              <w:t> </w:t>
            </w:r>
            <w:r w:rsidRPr="00FB2719">
              <w:rPr>
                <w:sz w:val="22"/>
                <w:szCs w:val="22"/>
                <w:lang w:val="lt-LT"/>
              </w:rPr>
              <w:t>mg BID) su lopinaviro/ritonaviro deriniu (533</w:t>
            </w:r>
            <w:r w:rsidR="0091018A" w:rsidRPr="00FB2719">
              <w:rPr>
                <w:sz w:val="22"/>
                <w:szCs w:val="22"/>
                <w:lang w:val="lt-LT"/>
              </w:rPr>
              <w:t xml:space="preserve"> mg</w:t>
            </w:r>
            <w:r w:rsidRPr="00FB2719">
              <w:rPr>
                <w:sz w:val="22"/>
                <w:szCs w:val="22"/>
                <w:lang w:val="lt-LT"/>
              </w:rPr>
              <w:t>/133</w:t>
            </w:r>
            <w:r w:rsidR="0025420A" w:rsidRPr="00FB2719">
              <w:rPr>
                <w:sz w:val="22"/>
                <w:szCs w:val="22"/>
                <w:lang w:val="lt-LT"/>
              </w:rPr>
              <w:t> </w:t>
            </w:r>
            <w:r w:rsidRPr="00FB2719">
              <w:rPr>
                <w:sz w:val="22"/>
                <w:szCs w:val="22"/>
                <w:lang w:val="lt-LT"/>
              </w:rPr>
              <w:t xml:space="preserve">mg BID) pacientams, kurie jau yra gydyti proteazių inhibitoriais, dažniau pasireiškė virškinimo trakto nepageidaujami reiškiniai ir trigliceridų kiekio padidėjimas, be virusologinio veiksmingumo padidėjimo, lyginant su standartinėmis fosamprenaviro / ritonaviro dozėmis. Šių vaistinių preparatų vartoti kartu nerekomenduojama. </w:t>
            </w:r>
          </w:p>
          <w:p w14:paraId="22A7F770" w14:textId="77777777" w:rsidR="00CA08B3" w:rsidRPr="00FB2719" w:rsidRDefault="00CA08B3">
            <w:pPr>
              <w:pStyle w:val="Default"/>
              <w:spacing w:line="276" w:lineRule="auto"/>
              <w:rPr>
                <w:sz w:val="22"/>
                <w:szCs w:val="22"/>
                <w:lang w:val="lt-LT"/>
              </w:rPr>
            </w:pPr>
            <w:r w:rsidRPr="00FB2719">
              <w:rPr>
                <w:sz w:val="22"/>
                <w:szCs w:val="22"/>
                <w:lang w:val="lt-LT"/>
              </w:rPr>
              <w:t xml:space="preserve">Skiriant kartu su amprenaviru, Lopinavir/Ritonavir Sandoz negalima vartoti </w:t>
            </w:r>
            <w:r w:rsidRPr="00FB2719">
              <w:rPr>
                <w:bCs/>
                <w:sz w:val="22"/>
                <w:szCs w:val="22"/>
                <w:lang w:val="lt-LT"/>
              </w:rPr>
              <w:t xml:space="preserve">kartą per parą. </w:t>
            </w:r>
          </w:p>
        </w:tc>
      </w:tr>
      <w:tr w:rsidR="00CA08B3" w:rsidRPr="00FB2719" w14:paraId="06523299" w14:textId="77777777" w:rsidTr="0064111D">
        <w:tc>
          <w:tcPr>
            <w:tcW w:w="3044" w:type="dxa"/>
            <w:tcBorders>
              <w:top w:val="single" w:sz="4" w:space="0" w:color="auto"/>
              <w:left w:val="single" w:sz="4" w:space="0" w:color="auto"/>
              <w:bottom w:val="single" w:sz="4" w:space="0" w:color="auto"/>
              <w:right w:val="single" w:sz="4" w:space="0" w:color="auto"/>
            </w:tcBorders>
          </w:tcPr>
          <w:p w14:paraId="57D9FBFE" w14:textId="77777777" w:rsidR="00CA08B3" w:rsidRPr="00FB2719" w:rsidRDefault="00CA08B3">
            <w:pPr>
              <w:tabs>
                <w:tab w:val="left" w:pos="567"/>
              </w:tabs>
              <w:spacing w:line="276" w:lineRule="auto"/>
              <w:jc w:val="both"/>
              <w:rPr>
                <w:bCs/>
                <w:sz w:val="22"/>
                <w:szCs w:val="22"/>
                <w:lang w:val="en-US"/>
              </w:rPr>
            </w:pPr>
            <w:r w:rsidRPr="00FB2719">
              <w:rPr>
                <w:sz w:val="22"/>
                <w:szCs w:val="22"/>
              </w:rPr>
              <w:t>Indinaviras, 600</w:t>
            </w:r>
            <w:r w:rsidR="0025420A" w:rsidRPr="00FB2719">
              <w:rPr>
                <w:sz w:val="22"/>
                <w:szCs w:val="22"/>
              </w:rPr>
              <w:t> </w:t>
            </w:r>
            <w:r w:rsidRPr="00FB2719">
              <w:rPr>
                <w:sz w:val="22"/>
                <w:szCs w:val="22"/>
              </w:rPr>
              <w:t>mg BID</w:t>
            </w:r>
          </w:p>
        </w:tc>
        <w:tc>
          <w:tcPr>
            <w:tcW w:w="2984" w:type="dxa"/>
            <w:tcBorders>
              <w:top w:val="single" w:sz="4" w:space="0" w:color="auto"/>
              <w:left w:val="single" w:sz="4" w:space="0" w:color="auto"/>
              <w:bottom w:val="single" w:sz="4" w:space="0" w:color="auto"/>
              <w:right w:val="single" w:sz="4" w:space="0" w:color="auto"/>
            </w:tcBorders>
            <w:hideMark/>
          </w:tcPr>
          <w:p w14:paraId="60A5373B" w14:textId="77777777" w:rsidR="00CA08B3" w:rsidRPr="00FB2719" w:rsidRDefault="00CA08B3">
            <w:pPr>
              <w:pStyle w:val="Default"/>
              <w:spacing w:line="276" w:lineRule="auto"/>
              <w:jc w:val="both"/>
              <w:rPr>
                <w:sz w:val="22"/>
                <w:szCs w:val="22"/>
                <w:lang w:val="lt-LT"/>
              </w:rPr>
            </w:pPr>
            <w:r w:rsidRPr="00FB2719">
              <w:rPr>
                <w:sz w:val="22"/>
                <w:szCs w:val="22"/>
                <w:lang w:val="lt-LT"/>
              </w:rPr>
              <w:t xml:space="preserve">Indinaviras: </w:t>
            </w:r>
          </w:p>
          <w:p w14:paraId="3D44CB38" w14:textId="77777777" w:rsidR="00CA08B3" w:rsidRPr="00FB2719" w:rsidRDefault="00CA08B3">
            <w:pPr>
              <w:pStyle w:val="Default"/>
              <w:spacing w:line="276" w:lineRule="auto"/>
              <w:jc w:val="both"/>
              <w:rPr>
                <w:sz w:val="22"/>
                <w:szCs w:val="22"/>
                <w:lang w:val="lt-LT"/>
              </w:rPr>
            </w:pPr>
            <w:r w:rsidRPr="00FB2719">
              <w:rPr>
                <w:sz w:val="22"/>
                <w:szCs w:val="22"/>
                <w:lang w:val="lt-LT"/>
              </w:rPr>
              <w:t xml:space="preserve">AUC: ↔ </w:t>
            </w:r>
          </w:p>
          <w:p w14:paraId="1334F5B1" w14:textId="77777777" w:rsidR="00CA08B3" w:rsidRPr="00FB2719" w:rsidRDefault="00CA08B3">
            <w:pPr>
              <w:pStyle w:val="Default"/>
              <w:spacing w:line="276" w:lineRule="auto"/>
              <w:jc w:val="both"/>
              <w:rPr>
                <w:sz w:val="22"/>
                <w:szCs w:val="22"/>
                <w:lang w:val="lt-LT"/>
              </w:rPr>
            </w:pPr>
            <w:r w:rsidRPr="00FB2719">
              <w:rPr>
                <w:sz w:val="22"/>
                <w:szCs w:val="22"/>
                <w:lang w:val="lt-LT"/>
              </w:rPr>
              <w:t>C</w:t>
            </w:r>
            <w:r w:rsidRPr="00FB2719">
              <w:rPr>
                <w:sz w:val="22"/>
                <w:szCs w:val="22"/>
                <w:vertAlign w:val="subscript"/>
                <w:lang w:val="lt-LT"/>
              </w:rPr>
              <w:t>min</w:t>
            </w:r>
            <w:r w:rsidRPr="00FB2719">
              <w:rPr>
                <w:sz w:val="22"/>
                <w:szCs w:val="22"/>
                <w:lang w:val="lt-LT"/>
              </w:rPr>
              <w:t xml:space="preserve">: </w:t>
            </w:r>
            <w:r w:rsidRPr="00FB2719">
              <w:rPr>
                <w:rFonts w:hint="eastAsia"/>
                <w:sz w:val="22"/>
                <w:szCs w:val="22"/>
                <w:lang w:val="lt-LT"/>
              </w:rPr>
              <w:t>↑</w:t>
            </w:r>
            <w:r w:rsidRPr="00FB2719">
              <w:rPr>
                <w:sz w:val="22"/>
                <w:szCs w:val="22"/>
                <w:lang w:val="lt-LT"/>
              </w:rPr>
              <w:t xml:space="preserve"> 3,5 karto </w:t>
            </w:r>
          </w:p>
          <w:p w14:paraId="71C252AD" w14:textId="77777777" w:rsidR="00CA08B3" w:rsidRPr="00FB2719" w:rsidRDefault="00CA08B3">
            <w:pPr>
              <w:pStyle w:val="Default"/>
              <w:spacing w:line="276" w:lineRule="auto"/>
              <w:jc w:val="both"/>
              <w:rPr>
                <w:sz w:val="22"/>
                <w:szCs w:val="22"/>
                <w:lang w:val="lt-LT"/>
              </w:rPr>
            </w:pPr>
            <w:r w:rsidRPr="00FB2719">
              <w:rPr>
                <w:sz w:val="22"/>
                <w:szCs w:val="22"/>
                <w:lang w:val="lt-LT"/>
              </w:rPr>
              <w:t>C</w:t>
            </w:r>
            <w:r w:rsidRPr="00FB2719">
              <w:rPr>
                <w:sz w:val="22"/>
                <w:szCs w:val="22"/>
                <w:vertAlign w:val="subscript"/>
                <w:lang w:val="lt-LT"/>
              </w:rPr>
              <w:t>max</w:t>
            </w:r>
            <w:r w:rsidRPr="00FB2719">
              <w:rPr>
                <w:sz w:val="22"/>
                <w:szCs w:val="22"/>
                <w:lang w:val="lt-LT"/>
              </w:rPr>
              <w:t xml:space="preserve">: </w:t>
            </w:r>
            <w:r w:rsidRPr="00FB2719">
              <w:rPr>
                <w:rFonts w:hint="eastAsia"/>
                <w:sz w:val="22"/>
                <w:szCs w:val="22"/>
                <w:lang w:val="lt-LT"/>
              </w:rPr>
              <w:t>↓</w:t>
            </w:r>
            <w:r w:rsidRPr="00FB2719">
              <w:rPr>
                <w:rFonts w:hint="eastAsia"/>
                <w:sz w:val="22"/>
                <w:szCs w:val="22"/>
                <w:lang w:val="lt-LT"/>
              </w:rPr>
              <w:t xml:space="preserve"> </w:t>
            </w:r>
          </w:p>
          <w:p w14:paraId="46EAACB6" w14:textId="77777777" w:rsidR="00CA08B3" w:rsidRPr="00FB2719" w:rsidRDefault="00CA08B3">
            <w:pPr>
              <w:pStyle w:val="Default"/>
              <w:spacing w:line="276" w:lineRule="auto"/>
              <w:jc w:val="both"/>
              <w:rPr>
                <w:sz w:val="22"/>
                <w:szCs w:val="22"/>
                <w:lang w:val="lt-LT"/>
              </w:rPr>
            </w:pPr>
            <w:r w:rsidRPr="00FB2719">
              <w:rPr>
                <w:sz w:val="22"/>
                <w:szCs w:val="22"/>
                <w:lang w:val="lt-LT"/>
              </w:rPr>
              <w:t>(palyginti su vien 800</w:t>
            </w:r>
            <w:r w:rsidR="0025420A" w:rsidRPr="00FB2719">
              <w:rPr>
                <w:sz w:val="22"/>
                <w:szCs w:val="22"/>
                <w:lang w:val="lt-LT"/>
              </w:rPr>
              <w:t> </w:t>
            </w:r>
            <w:r w:rsidRPr="00FB2719">
              <w:rPr>
                <w:sz w:val="22"/>
                <w:szCs w:val="22"/>
                <w:lang w:val="lt-LT"/>
              </w:rPr>
              <w:t xml:space="preserve">mg indinaviro TID) </w:t>
            </w:r>
          </w:p>
          <w:p w14:paraId="33F09151" w14:textId="77777777" w:rsidR="00CA08B3" w:rsidRPr="00FB2719" w:rsidRDefault="00CA08B3">
            <w:pPr>
              <w:pStyle w:val="Default"/>
              <w:spacing w:line="276" w:lineRule="auto"/>
              <w:jc w:val="both"/>
              <w:rPr>
                <w:sz w:val="22"/>
                <w:szCs w:val="22"/>
                <w:lang w:val="lt-LT"/>
              </w:rPr>
            </w:pPr>
            <w:r w:rsidRPr="00FB2719">
              <w:rPr>
                <w:sz w:val="22"/>
                <w:szCs w:val="22"/>
                <w:lang w:val="lt-LT"/>
              </w:rPr>
              <w:t xml:space="preserve">Lopinaviras: ↔ </w:t>
            </w:r>
          </w:p>
          <w:p w14:paraId="2F03AA0B" w14:textId="77777777" w:rsidR="00CA08B3" w:rsidRPr="00FB2719" w:rsidRDefault="00CA08B3">
            <w:pPr>
              <w:tabs>
                <w:tab w:val="left" w:pos="567"/>
              </w:tabs>
              <w:spacing w:line="276" w:lineRule="auto"/>
              <w:rPr>
                <w:bCs/>
                <w:sz w:val="22"/>
                <w:szCs w:val="22"/>
                <w:lang w:val="it-IT"/>
              </w:rPr>
            </w:pPr>
            <w:r w:rsidRPr="00FB2719">
              <w:rPr>
                <w:sz w:val="22"/>
                <w:szCs w:val="22"/>
                <w:lang w:val="it-IT"/>
              </w:rPr>
              <w:t xml:space="preserve">(palyginti su istoriniu sugretinimu) </w:t>
            </w:r>
          </w:p>
        </w:tc>
        <w:tc>
          <w:tcPr>
            <w:tcW w:w="2988" w:type="dxa"/>
            <w:tcBorders>
              <w:top w:val="single" w:sz="4" w:space="0" w:color="auto"/>
              <w:left w:val="single" w:sz="4" w:space="0" w:color="auto"/>
              <w:bottom w:val="single" w:sz="4" w:space="0" w:color="auto"/>
              <w:right w:val="single" w:sz="4" w:space="0" w:color="auto"/>
            </w:tcBorders>
            <w:hideMark/>
          </w:tcPr>
          <w:p w14:paraId="3A9F24C3" w14:textId="77777777" w:rsidR="00CA08B3" w:rsidRPr="00FB2719" w:rsidRDefault="00CA08B3">
            <w:pPr>
              <w:tabs>
                <w:tab w:val="left" w:pos="567"/>
              </w:tabs>
              <w:spacing w:line="276" w:lineRule="auto"/>
              <w:rPr>
                <w:bCs/>
                <w:sz w:val="22"/>
                <w:szCs w:val="22"/>
                <w:lang w:val="it-IT"/>
              </w:rPr>
            </w:pPr>
            <w:r w:rsidRPr="00FB2719">
              <w:rPr>
                <w:sz w:val="22"/>
                <w:szCs w:val="22"/>
                <w:lang w:val="it-IT"/>
              </w:rPr>
              <w:t xml:space="preserve">Tinkamos dozės šiam deriniui, atsižvelgiant į veiksmingumą ir saugumą, nenustatytos. </w:t>
            </w:r>
          </w:p>
        </w:tc>
      </w:tr>
      <w:tr w:rsidR="00CA08B3" w:rsidRPr="00FB2719" w14:paraId="3B8F87DF" w14:textId="77777777" w:rsidTr="0064111D">
        <w:tc>
          <w:tcPr>
            <w:tcW w:w="3044" w:type="dxa"/>
            <w:tcBorders>
              <w:top w:val="single" w:sz="4" w:space="0" w:color="auto"/>
              <w:left w:val="single" w:sz="4" w:space="0" w:color="auto"/>
              <w:bottom w:val="single" w:sz="4" w:space="0" w:color="auto"/>
              <w:right w:val="single" w:sz="4" w:space="0" w:color="auto"/>
            </w:tcBorders>
            <w:hideMark/>
          </w:tcPr>
          <w:p w14:paraId="1A6BBE53" w14:textId="77777777" w:rsidR="00CA08B3" w:rsidRPr="00FB2719" w:rsidRDefault="00CA08B3">
            <w:pPr>
              <w:pStyle w:val="Default"/>
              <w:spacing w:line="276" w:lineRule="auto"/>
              <w:jc w:val="both"/>
              <w:rPr>
                <w:sz w:val="22"/>
                <w:szCs w:val="22"/>
                <w:lang w:val="lt-LT"/>
              </w:rPr>
            </w:pPr>
            <w:r w:rsidRPr="00FB2719">
              <w:rPr>
                <w:sz w:val="22"/>
                <w:szCs w:val="22"/>
                <w:lang w:val="lt-LT"/>
              </w:rPr>
              <w:t xml:space="preserve">Sakvinaviras </w:t>
            </w:r>
          </w:p>
          <w:p w14:paraId="3271261C" w14:textId="77777777" w:rsidR="00CA08B3" w:rsidRPr="00FB2719" w:rsidRDefault="00CA08B3" w:rsidP="0025420A">
            <w:pPr>
              <w:tabs>
                <w:tab w:val="left" w:pos="567"/>
              </w:tabs>
              <w:spacing w:line="276" w:lineRule="auto"/>
              <w:jc w:val="both"/>
              <w:rPr>
                <w:bCs/>
                <w:sz w:val="22"/>
                <w:szCs w:val="22"/>
                <w:lang w:val="en-US"/>
              </w:rPr>
            </w:pPr>
            <w:r w:rsidRPr="00FB2719">
              <w:rPr>
                <w:sz w:val="22"/>
                <w:szCs w:val="22"/>
                <w:lang w:val="en-US"/>
              </w:rPr>
              <w:lastRenderedPageBreak/>
              <w:t>1000</w:t>
            </w:r>
            <w:r w:rsidR="0025420A" w:rsidRPr="00FB2719">
              <w:rPr>
                <w:sz w:val="22"/>
                <w:szCs w:val="22"/>
                <w:lang w:val="en-US"/>
              </w:rPr>
              <w:t> </w:t>
            </w:r>
            <w:r w:rsidRPr="00FB2719">
              <w:rPr>
                <w:sz w:val="22"/>
                <w:szCs w:val="22"/>
                <w:lang w:val="en-US"/>
              </w:rPr>
              <w:t xml:space="preserve">mg BID </w:t>
            </w:r>
          </w:p>
        </w:tc>
        <w:tc>
          <w:tcPr>
            <w:tcW w:w="2984" w:type="dxa"/>
            <w:tcBorders>
              <w:top w:val="single" w:sz="4" w:space="0" w:color="auto"/>
              <w:left w:val="single" w:sz="4" w:space="0" w:color="auto"/>
              <w:bottom w:val="single" w:sz="4" w:space="0" w:color="auto"/>
              <w:right w:val="single" w:sz="4" w:space="0" w:color="auto"/>
            </w:tcBorders>
          </w:tcPr>
          <w:p w14:paraId="39CFBD3D" w14:textId="77777777" w:rsidR="00CA08B3" w:rsidRPr="00FB2719" w:rsidRDefault="00CA08B3">
            <w:pPr>
              <w:pStyle w:val="Default"/>
              <w:spacing w:line="276" w:lineRule="auto"/>
              <w:jc w:val="both"/>
              <w:rPr>
                <w:sz w:val="22"/>
                <w:szCs w:val="22"/>
                <w:lang w:val="lt-LT"/>
              </w:rPr>
            </w:pPr>
            <w:r w:rsidRPr="00FB2719">
              <w:rPr>
                <w:sz w:val="22"/>
                <w:szCs w:val="22"/>
                <w:lang w:val="lt-LT"/>
              </w:rPr>
              <w:lastRenderedPageBreak/>
              <w:t xml:space="preserve">Sakvinaviras: ↔ </w:t>
            </w:r>
          </w:p>
          <w:p w14:paraId="719BA86C" w14:textId="77777777" w:rsidR="00CA08B3" w:rsidRPr="00FB2719" w:rsidRDefault="00CA08B3">
            <w:pPr>
              <w:tabs>
                <w:tab w:val="left" w:pos="567"/>
              </w:tabs>
              <w:spacing w:line="276" w:lineRule="auto"/>
              <w:jc w:val="both"/>
              <w:rPr>
                <w:bCs/>
                <w:sz w:val="22"/>
                <w:szCs w:val="22"/>
                <w:lang w:val="en-US"/>
              </w:rPr>
            </w:pPr>
          </w:p>
        </w:tc>
        <w:tc>
          <w:tcPr>
            <w:tcW w:w="2988" w:type="dxa"/>
            <w:tcBorders>
              <w:top w:val="single" w:sz="4" w:space="0" w:color="auto"/>
              <w:left w:val="single" w:sz="4" w:space="0" w:color="auto"/>
              <w:bottom w:val="single" w:sz="4" w:space="0" w:color="auto"/>
              <w:right w:val="single" w:sz="4" w:space="0" w:color="auto"/>
            </w:tcBorders>
            <w:hideMark/>
          </w:tcPr>
          <w:p w14:paraId="7B991A36" w14:textId="77777777" w:rsidR="00CA08B3" w:rsidRPr="00FB2719" w:rsidRDefault="00CA08B3">
            <w:pPr>
              <w:tabs>
                <w:tab w:val="left" w:pos="567"/>
              </w:tabs>
              <w:spacing w:line="276" w:lineRule="auto"/>
              <w:rPr>
                <w:bCs/>
                <w:sz w:val="22"/>
                <w:szCs w:val="22"/>
                <w:lang w:val="en-US"/>
              </w:rPr>
            </w:pPr>
            <w:r w:rsidRPr="00FB2719">
              <w:rPr>
                <w:bCs/>
                <w:sz w:val="22"/>
                <w:szCs w:val="22"/>
                <w:lang w:val="en-US"/>
              </w:rPr>
              <w:lastRenderedPageBreak/>
              <w:t>Dozės koreguoti nereikia.</w:t>
            </w:r>
          </w:p>
        </w:tc>
      </w:tr>
      <w:tr w:rsidR="00CA08B3" w:rsidRPr="00FB2719" w14:paraId="293BF7AD" w14:textId="77777777" w:rsidTr="0064111D">
        <w:tc>
          <w:tcPr>
            <w:tcW w:w="3044" w:type="dxa"/>
            <w:tcBorders>
              <w:top w:val="single" w:sz="4" w:space="0" w:color="auto"/>
              <w:left w:val="single" w:sz="4" w:space="0" w:color="auto"/>
              <w:bottom w:val="single" w:sz="4" w:space="0" w:color="auto"/>
              <w:right w:val="single" w:sz="4" w:space="0" w:color="auto"/>
            </w:tcBorders>
            <w:hideMark/>
          </w:tcPr>
          <w:p w14:paraId="0C5C5267" w14:textId="77777777" w:rsidR="00CA08B3" w:rsidRPr="00FB2719" w:rsidRDefault="00CA08B3">
            <w:pPr>
              <w:pStyle w:val="Default"/>
              <w:spacing w:line="276" w:lineRule="auto"/>
              <w:jc w:val="both"/>
              <w:rPr>
                <w:sz w:val="22"/>
                <w:szCs w:val="22"/>
                <w:lang w:val="lt-LT"/>
              </w:rPr>
            </w:pPr>
            <w:r w:rsidRPr="00FB2719">
              <w:rPr>
                <w:sz w:val="22"/>
                <w:szCs w:val="22"/>
                <w:lang w:val="lt-LT"/>
              </w:rPr>
              <w:t xml:space="preserve">Tipranaviro / ritonaviro </w:t>
            </w:r>
          </w:p>
          <w:p w14:paraId="4CD1EB78" w14:textId="77777777" w:rsidR="00CA08B3" w:rsidRPr="00FB2719" w:rsidRDefault="00CA08B3" w:rsidP="0025420A">
            <w:pPr>
              <w:tabs>
                <w:tab w:val="left" w:pos="567"/>
              </w:tabs>
              <w:spacing w:line="276" w:lineRule="auto"/>
              <w:jc w:val="both"/>
              <w:rPr>
                <w:bCs/>
                <w:sz w:val="22"/>
                <w:szCs w:val="22"/>
                <w:lang w:val="it-IT"/>
              </w:rPr>
            </w:pPr>
            <w:r w:rsidRPr="00FB2719">
              <w:rPr>
                <w:sz w:val="22"/>
                <w:szCs w:val="22"/>
                <w:lang w:val="it-IT"/>
              </w:rPr>
              <w:t>(500</w:t>
            </w:r>
            <w:r w:rsidR="0091018A" w:rsidRPr="00FB2719">
              <w:rPr>
                <w:sz w:val="22"/>
                <w:szCs w:val="22"/>
                <w:lang w:val="it-IT"/>
              </w:rPr>
              <w:t> mg</w:t>
            </w:r>
            <w:r w:rsidRPr="00FB2719">
              <w:rPr>
                <w:sz w:val="22"/>
                <w:szCs w:val="22"/>
                <w:lang w:val="it-IT"/>
              </w:rPr>
              <w:t>/100</w:t>
            </w:r>
            <w:r w:rsidR="0025420A" w:rsidRPr="00FB2719">
              <w:rPr>
                <w:sz w:val="22"/>
                <w:szCs w:val="22"/>
                <w:lang w:val="it-IT"/>
              </w:rPr>
              <w:t> </w:t>
            </w:r>
            <w:r w:rsidRPr="00FB2719">
              <w:rPr>
                <w:sz w:val="22"/>
                <w:szCs w:val="22"/>
                <w:lang w:val="it-IT"/>
              </w:rPr>
              <w:t xml:space="preserve">mg derinys BID) </w:t>
            </w:r>
          </w:p>
        </w:tc>
        <w:tc>
          <w:tcPr>
            <w:tcW w:w="2984" w:type="dxa"/>
            <w:tcBorders>
              <w:top w:val="single" w:sz="4" w:space="0" w:color="auto"/>
              <w:left w:val="single" w:sz="4" w:space="0" w:color="auto"/>
              <w:bottom w:val="single" w:sz="4" w:space="0" w:color="auto"/>
              <w:right w:val="single" w:sz="4" w:space="0" w:color="auto"/>
            </w:tcBorders>
            <w:hideMark/>
          </w:tcPr>
          <w:p w14:paraId="2C434152" w14:textId="77777777" w:rsidR="00CA08B3" w:rsidRPr="00FB2719" w:rsidRDefault="00CA08B3">
            <w:pPr>
              <w:pStyle w:val="Default"/>
              <w:spacing w:line="276" w:lineRule="auto"/>
              <w:jc w:val="both"/>
              <w:rPr>
                <w:sz w:val="22"/>
                <w:szCs w:val="22"/>
                <w:lang w:val="lt-LT"/>
              </w:rPr>
            </w:pPr>
            <w:r w:rsidRPr="00FB2719">
              <w:rPr>
                <w:sz w:val="22"/>
                <w:szCs w:val="22"/>
                <w:lang w:val="lt-LT"/>
              </w:rPr>
              <w:t xml:space="preserve">Lopinaviras: </w:t>
            </w:r>
          </w:p>
          <w:p w14:paraId="2B2DC1C1" w14:textId="77777777" w:rsidR="00CA08B3" w:rsidRPr="00FB2719" w:rsidRDefault="00CA08B3">
            <w:pPr>
              <w:pStyle w:val="Default"/>
              <w:spacing w:line="276" w:lineRule="auto"/>
              <w:jc w:val="both"/>
              <w:rPr>
                <w:sz w:val="22"/>
                <w:szCs w:val="22"/>
                <w:lang w:val="lt-LT"/>
              </w:rPr>
            </w:pPr>
            <w:r w:rsidRPr="00FB2719">
              <w:rPr>
                <w:sz w:val="22"/>
                <w:szCs w:val="22"/>
                <w:lang w:val="lt-LT"/>
              </w:rPr>
              <w:t xml:space="preserve">AUC: </w:t>
            </w:r>
            <w:r w:rsidRPr="00FB2719">
              <w:rPr>
                <w:rFonts w:hint="eastAsia"/>
                <w:sz w:val="22"/>
                <w:szCs w:val="22"/>
                <w:lang w:val="lt-LT"/>
              </w:rPr>
              <w:t>↓</w:t>
            </w:r>
            <w:r w:rsidRPr="00FB2719">
              <w:rPr>
                <w:sz w:val="22"/>
                <w:szCs w:val="22"/>
                <w:lang w:val="lt-LT"/>
              </w:rPr>
              <w:t xml:space="preserve"> 55 % </w:t>
            </w:r>
          </w:p>
          <w:p w14:paraId="156ED039" w14:textId="77777777" w:rsidR="00CA08B3" w:rsidRPr="00FB2719" w:rsidRDefault="00CA08B3">
            <w:pPr>
              <w:pStyle w:val="Default"/>
              <w:spacing w:line="276" w:lineRule="auto"/>
              <w:jc w:val="both"/>
              <w:rPr>
                <w:sz w:val="22"/>
                <w:szCs w:val="22"/>
                <w:lang w:val="lt-LT"/>
              </w:rPr>
            </w:pPr>
            <w:r w:rsidRPr="00FB2719">
              <w:rPr>
                <w:sz w:val="22"/>
                <w:szCs w:val="22"/>
                <w:lang w:val="lt-LT"/>
              </w:rPr>
              <w:t>C</w:t>
            </w:r>
            <w:r w:rsidRPr="00FB2719">
              <w:rPr>
                <w:sz w:val="22"/>
                <w:szCs w:val="22"/>
                <w:vertAlign w:val="subscript"/>
                <w:lang w:val="lt-LT"/>
              </w:rPr>
              <w:t>min</w:t>
            </w:r>
            <w:r w:rsidRPr="00FB2719">
              <w:rPr>
                <w:sz w:val="22"/>
                <w:szCs w:val="22"/>
                <w:lang w:val="lt-LT"/>
              </w:rPr>
              <w:t xml:space="preserve">: </w:t>
            </w:r>
            <w:r w:rsidRPr="00FB2719">
              <w:rPr>
                <w:rFonts w:hint="eastAsia"/>
                <w:sz w:val="22"/>
                <w:szCs w:val="22"/>
                <w:lang w:val="lt-LT"/>
              </w:rPr>
              <w:t>↓</w:t>
            </w:r>
            <w:r w:rsidRPr="00FB2719">
              <w:rPr>
                <w:sz w:val="22"/>
                <w:szCs w:val="22"/>
                <w:lang w:val="lt-LT"/>
              </w:rPr>
              <w:t xml:space="preserve"> 70 % </w:t>
            </w:r>
          </w:p>
          <w:p w14:paraId="5736DCA5" w14:textId="77777777" w:rsidR="00CA08B3" w:rsidRPr="00FB2719" w:rsidRDefault="00CA08B3">
            <w:pPr>
              <w:tabs>
                <w:tab w:val="left" w:pos="567"/>
              </w:tabs>
              <w:spacing w:line="276" w:lineRule="auto"/>
              <w:jc w:val="both"/>
              <w:rPr>
                <w:bCs/>
                <w:sz w:val="22"/>
                <w:szCs w:val="22"/>
                <w:lang w:val="en-US"/>
              </w:rPr>
            </w:pPr>
            <w:r w:rsidRPr="00FB2719">
              <w:rPr>
                <w:sz w:val="22"/>
                <w:szCs w:val="22"/>
                <w:lang w:val="en-US"/>
              </w:rPr>
              <w:t>C</w:t>
            </w:r>
            <w:r w:rsidRPr="00FB2719">
              <w:rPr>
                <w:sz w:val="22"/>
                <w:szCs w:val="22"/>
                <w:vertAlign w:val="subscript"/>
                <w:lang w:val="en-US"/>
              </w:rPr>
              <w:t>max</w:t>
            </w:r>
            <w:r w:rsidRPr="00FB2719">
              <w:rPr>
                <w:sz w:val="22"/>
                <w:szCs w:val="22"/>
                <w:lang w:val="en-US"/>
              </w:rPr>
              <w:t xml:space="preserve">: ↓ 47 % </w:t>
            </w:r>
          </w:p>
        </w:tc>
        <w:tc>
          <w:tcPr>
            <w:tcW w:w="2988" w:type="dxa"/>
            <w:tcBorders>
              <w:top w:val="single" w:sz="4" w:space="0" w:color="auto"/>
              <w:left w:val="single" w:sz="4" w:space="0" w:color="auto"/>
              <w:bottom w:val="single" w:sz="4" w:space="0" w:color="auto"/>
              <w:right w:val="single" w:sz="4" w:space="0" w:color="auto"/>
            </w:tcBorders>
            <w:hideMark/>
          </w:tcPr>
          <w:p w14:paraId="6EBB79C9" w14:textId="77777777" w:rsidR="00CA08B3" w:rsidRPr="00FB2719" w:rsidRDefault="00CA08B3">
            <w:pPr>
              <w:tabs>
                <w:tab w:val="left" w:pos="567"/>
              </w:tabs>
              <w:spacing w:line="276" w:lineRule="auto"/>
              <w:rPr>
                <w:bCs/>
                <w:sz w:val="22"/>
                <w:szCs w:val="22"/>
                <w:lang w:val="en-US"/>
              </w:rPr>
            </w:pPr>
            <w:r w:rsidRPr="00FB2719">
              <w:rPr>
                <w:bCs/>
                <w:sz w:val="22"/>
                <w:szCs w:val="22"/>
                <w:lang w:val="en-US"/>
              </w:rPr>
              <w:t>Kartu skirti šių vaistinių preparatų nerekomenduojama.</w:t>
            </w:r>
          </w:p>
        </w:tc>
      </w:tr>
      <w:tr w:rsidR="00CA08B3" w:rsidRPr="00FB2719" w14:paraId="25AFAA07" w14:textId="77777777" w:rsidTr="0064111D">
        <w:tc>
          <w:tcPr>
            <w:tcW w:w="9016" w:type="dxa"/>
            <w:gridSpan w:val="3"/>
            <w:tcBorders>
              <w:top w:val="single" w:sz="4" w:space="0" w:color="auto"/>
              <w:left w:val="single" w:sz="4" w:space="0" w:color="auto"/>
              <w:bottom w:val="single" w:sz="4" w:space="0" w:color="auto"/>
              <w:right w:val="single" w:sz="4" w:space="0" w:color="auto"/>
            </w:tcBorders>
            <w:hideMark/>
          </w:tcPr>
          <w:p w14:paraId="7C9971CC" w14:textId="77777777" w:rsidR="00CA08B3" w:rsidRPr="00FB2719" w:rsidRDefault="00CA08B3">
            <w:pPr>
              <w:tabs>
                <w:tab w:val="left" w:pos="567"/>
              </w:tabs>
              <w:spacing w:line="276" w:lineRule="auto"/>
              <w:jc w:val="both"/>
              <w:rPr>
                <w:bCs/>
                <w:sz w:val="22"/>
                <w:szCs w:val="22"/>
                <w:lang w:val="en-US"/>
              </w:rPr>
            </w:pPr>
            <w:r w:rsidRPr="00FB2719">
              <w:rPr>
                <w:i/>
                <w:iCs/>
                <w:sz w:val="22"/>
                <w:szCs w:val="22"/>
                <w:lang w:val="en-US"/>
              </w:rPr>
              <w:t>Rūgštingumą mažinančios medžiagos</w:t>
            </w:r>
          </w:p>
        </w:tc>
      </w:tr>
      <w:tr w:rsidR="00CA08B3" w:rsidRPr="00FB2719" w14:paraId="50B2406D" w14:textId="77777777" w:rsidTr="0064111D">
        <w:tc>
          <w:tcPr>
            <w:tcW w:w="3044" w:type="dxa"/>
            <w:tcBorders>
              <w:top w:val="single" w:sz="4" w:space="0" w:color="auto"/>
              <w:left w:val="single" w:sz="4" w:space="0" w:color="auto"/>
              <w:bottom w:val="single" w:sz="4" w:space="0" w:color="auto"/>
              <w:right w:val="single" w:sz="4" w:space="0" w:color="auto"/>
            </w:tcBorders>
            <w:hideMark/>
          </w:tcPr>
          <w:p w14:paraId="5F1A9F64" w14:textId="77777777" w:rsidR="00CA08B3" w:rsidRPr="00FB2719" w:rsidRDefault="00CA08B3" w:rsidP="0025420A">
            <w:pPr>
              <w:tabs>
                <w:tab w:val="left" w:pos="567"/>
              </w:tabs>
              <w:spacing w:line="276" w:lineRule="auto"/>
              <w:jc w:val="both"/>
              <w:rPr>
                <w:bCs/>
                <w:sz w:val="22"/>
                <w:szCs w:val="22"/>
                <w:lang w:val="en-US"/>
              </w:rPr>
            </w:pPr>
            <w:r w:rsidRPr="00FB2719">
              <w:rPr>
                <w:sz w:val="22"/>
                <w:szCs w:val="22"/>
                <w:lang w:val="en-US"/>
              </w:rPr>
              <w:t>Omeprazolas (40</w:t>
            </w:r>
            <w:r w:rsidR="0025420A" w:rsidRPr="00FB2719">
              <w:rPr>
                <w:sz w:val="22"/>
                <w:szCs w:val="22"/>
                <w:lang w:val="en-US"/>
              </w:rPr>
              <w:t> </w:t>
            </w:r>
            <w:r w:rsidRPr="00FB2719">
              <w:rPr>
                <w:sz w:val="22"/>
                <w:szCs w:val="22"/>
                <w:lang w:val="en-US"/>
              </w:rPr>
              <w:t xml:space="preserve">mg QD) </w:t>
            </w:r>
          </w:p>
        </w:tc>
        <w:tc>
          <w:tcPr>
            <w:tcW w:w="2984" w:type="dxa"/>
            <w:tcBorders>
              <w:top w:val="single" w:sz="4" w:space="0" w:color="auto"/>
              <w:left w:val="single" w:sz="4" w:space="0" w:color="auto"/>
              <w:bottom w:val="single" w:sz="4" w:space="0" w:color="auto"/>
              <w:right w:val="single" w:sz="4" w:space="0" w:color="auto"/>
            </w:tcBorders>
            <w:hideMark/>
          </w:tcPr>
          <w:p w14:paraId="1B6198CC" w14:textId="77777777" w:rsidR="00CA08B3" w:rsidRPr="00FB2719" w:rsidRDefault="00CA08B3">
            <w:pPr>
              <w:pStyle w:val="Default"/>
              <w:spacing w:line="276" w:lineRule="auto"/>
              <w:jc w:val="both"/>
              <w:rPr>
                <w:sz w:val="22"/>
                <w:szCs w:val="22"/>
                <w:lang w:val="lt-LT"/>
              </w:rPr>
            </w:pPr>
            <w:r w:rsidRPr="00FB2719">
              <w:rPr>
                <w:sz w:val="22"/>
                <w:szCs w:val="22"/>
                <w:lang w:val="lt-LT"/>
              </w:rPr>
              <w:t xml:space="preserve">Omeprazolas: ↔ </w:t>
            </w:r>
          </w:p>
          <w:p w14:paraId="0A2F78F1" w14:textId="77777777" w:rsidR="00CA08B3" w:rsidRPr="00FB2719" w:rsidRDefault="00CA08B3">
            <w:pPr>
              <w:tabs>
                <w:tab w:val="left" w:pos="567"/>
              </w:tabs>
              <w:spacing w:line="276" w:lineRule="auto"/>
              <w:jc w:val="both"/>
              <w:rPr>
                <w:bCs/>
                <w:sz w:val="22"/>
                <w:szCs w:val="22"/>
                <w:lang w:val="en-US"/>
              </w:rPr>
            </w:pPr>
            <w:r w:rsidRPr="00FB2719">
              <w:rPr>
                <w:sz w:val="22"/>
                <w:szCs w:val="22"/>
                <w:lang w:val="en-US"/>
              </w:rPr>
              <w:t xml:space="preserve">Lopinaviras: ↔ </w:t>
            </w:r>
          </w:p>
        </w:tc>
        <w:tc>
          <w:tcPr>
            <w:tcW w:w="2988" w:type="dxa"/>
            <w:tcBorders>
              <w:top w:val="single" w:sz="4" w:space="0" w:color="auto"/>
              <w:left w:val="single" w:sz="4" w:space="0" w:color="auto"/>
              <w:bottom w:val="single" w:sz="4" w:space="0" w:color="auto"/>
              <w:right w:val="single" w:sz="4" w:space="0" w:color="auto"/>
            </w:tcBorders>
            <w:hideMark/>
          </w:tcPr>
          <w:p w14:paraId="5A3F7D2E" w14:textId="77777777" w:rsidR="00CA08B3" w:rsidRPr="00FB2719" w:rsidRDefault="00CA08B3">
            <w:pPr>
              <w:tabs>
                <w:tab w:val="left" w:pos="567"/>
              </w:tabs>
              <w:spacing w:line="276" w:lineRule="auto"/>
              <w:rPr>
                <w:bCs/>
                <w:sz w:val="22"/>
                <w:szCs w:val="22"/>
                <w:lang w:val="en-US"/>
              </w:rPr>
            </w:pPr>
            <w:r w:rsidRPr="00FB2719">
              <w:rPr>
                <w:bCs/>
                <w:sz w:val="22"/>
                <w:szCs w:val="22"/>
                <w:lang w:val="en-US"/>
              </w:rPr>
              <w:t>Dozės koreguoti nereikia.</w:t>
            </w:r>
          </w:p>
        </w:tc>
      </w:tr>
      <w:tr w:rsidR="00CA08B3" w:rsidRPr="00FB2719" w14:paraId="7ACAE37A" w14:textId="77777777" w:rsidTr="0064111D">
        <w:tc>
          <w:tcPr>
            <w:tcW w:w="3044" w:type="dxa"/>
            <w:tcBorders>
              <w:top w:val="single" w:sz="4" w:space="0" w:color="auto"/>
              <w:left w:val="single" w:sz="4" w:space="0" w:color="auto"/>
              <w:bottom w:val="single" w:sz="4" w:space="0" w:color="auto"/>
              <w:right w:val="single" w:sz="4" w:space="0" w:color="auto"/>
            </w:tcBorders>
            <w:hideMark/>
          </w:tcPr>
          <w:p w14:paraId="615E72F5" w14:textId="77777777" w:rsidR="00CA08B3" w:rsidRPr="00FB2719" w:rsidRDefault="00CA08B3" w:rsidP="0025420A">
            <w:pPr>
              <w:tabs>
                <w:tab w:val="left" w:pos="567"/>
              </w:tabs>
              <w:spacing w:line="276" w:lineRule="auto"/>
              <w:jc w:val="both"/>
              <w:rPr>
                <w:bCs/>
                <w:sz w:val="22"/>
                <w:szCs w:val="22"/>
                <w:lang w:val="en-US"/>
              </w:rPr>
            </w:pPr>
            <w:r w:rsidRPr="00FB2719">
              <w:rPr>
                <w:sz w:val="22"/>
                <w:szCs w:val="22"/>
                <w:lang w:val="en-US"/>
              </w:rPr>
              <w:t>Ranitidinas (vienkartinė 150</w:t>
            </w:r>
            <w:r w:rsidR="0025420A" w:rsidRPr="00FB2719">
              <w:rPr>
                <w:sz w:val="22"/>
                <w:szCs w:val="22"/>
                <w:lang w:val="en-US"/>
              </w:rPr>
              <w:t> </w:t>
            </w:r>
            <w:r w:rsidRPr="00FB2719">
              <w:rPr>
                <w:sz w:val="22"/>
                <w:szCs w:val="22"/>
                <w:lang w:val="en-US"/>
              </w:rPr>
              <w:t xml:space="preserve">mg dozė) </w:t>
            </w:r>
          </w:p>
        </w:tc>
        <w:tc>
          <w:tcPr>
            <w:tcW w:w="2984" w:type="dxa"/>
            <w:tcBorders>
              <w:top w:val="single" w:sz="4" w:space="0" w:color="auto"/>
              <w:left w:val="single" w:sz="4" w:space="0" w:color="auto"/>
              <w:bottom w:val="single" w:sz="4" w:space="0" w:color="auto"/>
              <w:right w:val="single" w:sz="4" w:space="0" w:color="auto"/>
            </w:tcBorders>
          </w:tcPr>
          <w:p w14:paraId="7F6D0747" w14:textId="77777777" w:rsidR="00CA08B3" w:rsidRPr="00FB2719" w:rsidRDefault="00CA08B3">
            <w:pPr>
              <w:pStyle w:val="Default"/>
              <w:spacing w:line="276" w:lineRule="auto"/>
              <w:jc w:val="both"/>
              <w:rPr>
                <w:sz w:val="22"/>
                <w:szCs w:val="22"/>
                <w:lang w:val="lt-LT"/>
              </w:rPr>
            </w:pPr>
            <w:r w:rsidRPr="00FB2719">
              <w:rPr>
                <w:sz w:val="22"/>
                <w:szCs w:val="22"/>
                <w:lang w:val="lt-LT"/>
              </w:rPr>
              <w:t xml:space="preserve">Ranitidinas: ↔ </w:t>
            </w:r>
          </w:p>
          <w:p w14:paraId="14BD2CAD" w14:textId="77777777" w:rsidR="00CA08B3" w:rsidRPr="00FB2719" w:rsidRDefault="00CA08B3">
            <w:pPr>
              <w:tabs>
                <w:tab w:val="left" w:pos="567"/>
              </w:tabs>
              <w:spacing w:line="276" w:lineRule="auto"/>
              <w:jc w:val="both"/>
              <w:rPr>
                <w:bCs/>
                <w:sz w:val="22"/>
                <w:szCs w:val="22"/>
                <w:lang w:val="en-US"/>
              </w:rPr>
            </w:pPr>
          </w:p>
        </w:tc>
        <w:tc>
          <w:tcPr>
            <w:tcW w:w="2988" w:type="dxa"/>
            <w:tcBorders>
              <w:top w:val="single" w:sz="4" w:space="0" w:color="auto"/>
              <w:left w:val="single" w:sz="4" w:space="0" w:color="auto"/>
              <w:bottom w:val="single" w:sz="4" w:space="0" w:color="auto"/>
              <w:right w:val="single" w:sz="4" w:space="0" w:color="auto"/>
            </w:tcBorders>
            <w:hideMark/>
          </w:tcPr>
          <w:p w14:paraId="3867A252" w14:textId="77777777" w:rsidR="00CA08B3" w:rsidRPr="00FB2719" w:rsidRDefault="00CA08B3">
            <w:pPr>
              <w:tabs>
                <w:tab w:val="left" w:pos="567"/>
              </w:tabs>
              <w:spacing w:line="276" w:lineRule="auto"/>
              <w:rPr>
                <w:bCs/>
                <w:sz w:val="22"/>
                <w:szCs w:val="22"/>
                <w:lang w:val="en-US"/>
              </w:rPr>
            </w:pPr>
            <w:r w:rsidRPr="00FB2719">
              <w:rPr>
                <w:bCs/>
                <w:sz w:val="22"/>
                <w:szCs w:val="22"/>
                <w:lang w:val="en-US"/>
              </w:rPr>
              <w:t>Dozės koreguoti nereikia.</w:t>
            </w:r>
          </w:p>
        </w:tc>
      </w:tr>
      <w:tr w:rsidR="00CA08B3" w:rsidRPr="00FB2719" w14:paraId="26963185" w14:textId="77777777" w:rsidTr="0064111D">
        <w:tc>
          <w:tcPr>
            <w:tcW w:w="9016" w:type="dxa"/>
            <w:gridSpan w:val="3"/>
            <w:tcBorders>
              <w:top w:val="single" w:sz="4" w:space="0" w:color="auto"/>
              <w:left w:val="single" w:sz="4" w:space="0" w:color="auto"/>
              <w:bottom w:val="single" w:sz="4" w:space="0" w:color="auto"/>
              <w:right w:val="single" w:sz="4" w:space="0" w:color="auto"/>
            </w:tcBorders>
            <w:hideMark/>
          </w:tcPr>
          <w:p w14:paraId="5485A84B" w14:textId="77777777" w:rsidR="00CA08B3" w:rsidRPr="00FB2719" w:rsidRDefault="00CA08B3">
            <w:pPr>
              <w:tabs>
                <w:tab w:val="left" w:pos="567"/>
              </w:tabs>
              <w:spacing w:line="276" w:lineRule="auto"/>
              <w:jc w:val="both"/>
              <w:rPr>
                <w:bCs/>
                <w:i/>
                <w:sz w:val="22"/>
                <w:szCs w:val="22"/>
                <w:lang w:val="en-US"/>
              </w:rPr>
            </w:pPr>
            <w:r w:rsidRPr="00FB2719">
              <w:rPr>
                <w:bCs/>
                <w:i/>
                <w:sz w:val="22"/>
                <w:szCs w:val="22"/>
                <w:lang w:val="en-US"/>
              </w:rPr>
              <w:t>Alfa</w:t>
            </w:r>
            <w:r w:rsidRPr="00FB2719">
              <w:rPr>
                <w:bCs/>
                <w:i/>
                <w:sz w:val="22"/>
                <w:szCs w:val="22"/>
                <w:vertAlign w:val="subscript"/>
                <w:lang w:val="en-US"/>
              </w:rPr>
              <w:t>1</w:t>
            </w:r>
            <w:r w:rsidRPr="00FB2719">
              <w:rPr>
                <w:bCs/>
                <w:i/>
                <w:sz w:val="22"/>
                <w:szCs w:val="22"/>
                <w:lang w:val="en-US"/>
              </w:rPr>
              <w:t xml:space="preserve"> adrenoreceptorių blokatoriai</w:t>
            </w:r>
          </w:p>
        </w:tc>
      </w:tr>
      <w:tr w:rsidR="00CA08B3" w:rsidRPr="00FB2719" w14:paraId="0CA99940" w14:textId="77777777" w:rsidTr="0064111D">
        <w:tc>
          <w:tcPr>
            <w:tcW w:w="3044" w:type="dxa"/>
            <w:tcBorders>
              <w:top w:val="single" w:sz="4" w:space="0" w:color="auto"/>
              <w:left w:val="single" w:sz="4" w:space="0" w:color="auto"/>
              <w:bottom w:val="single" w:sz="4" w:space="0" w:color="auto"/>
              <w:right w:val="single" w:sz="4" w:space="0" w:color="auto"/>
            </w:tcBorders>
            <w:hideMark/>
          </w:tcPr>
          <w:p w14:paraId="6AF680D9" w14:textId="77777777" w:rsidR="00CA08B3" w:rsidRPr="00FB2719" w:rsidRDefault="00CA08B3">
            <w:pPr>
              <w:tabs>
                <w:tab w:val="left" w:pos="567"/>
              </w:tabs>
              <w:spacing w:line="276" w:lineRule="auto"/>
              <w:jc w:val="both"/>
              <w:rPr>
                <w:bCs/>
                <w:sz w:val="22"/>
                <w:szCs w:val="22"/>
                <w:lang w:val="en-US"/>
              </w:rPr>
            </w:pPr>
            <w:r w:rsidRPr="00FB2719">
              <w:rPr>
                <w:sz w:val="22"/>
                <w:szCs w:val="22"/>
                <w:lang w:val="en-US"/>
              </w:rPr>
              <w:t xml:space="preserve">Alfuzozinas </w:t>
            </w:r>
          </w:p>
        </w:tc>
        <w:tc>
          <w:tcPr>
            <w:tcW w:w="2984" w:type="dxa"/>
            <w:tcBorders>
              <w:top w:val="single" w:sz="4" w:space="0" w:color="auto"/>
              <w:left w:val="single" w:sz="4" w:space="0" w:color="auto"/>
              <w:bottom w:val="single" w:sz="4" w:space="0" w:color="auto"/>
              <w:right w:val="single" w:sz="4" w:space="0" w:color="auto"/>
            </w:tcBorders>
            <w:hideMark/>
          </w:tcPr>
          <w:p w14:paraId="0DB9F441" w14:textId="77777777" w:rsidR="00CA08B3" w:rsidRPr="00FB2719" w:rsidRDefault="00CA08B3">
            <w:pPr>
              <w:pStyle w:val="Default"/>
              <w:spacing w:line="276" w:lineRule="auto"/>
              <w:jc w:val="both"/>
              <w:rPr>
                <w:sz w:val="22"/>
                <w:szCs w:val="22"/>
                <w:lang w:val="lt-LT"/>
              </w:rPr>
            </w:pPr>
            <w:r w:rsidRPr="00FB2719">
              <w:rPr>
                <w:sz w:val="22"/>
                <w:szCs w:val="22"/>
                <w:lang w:val="lt-LT"/>
              </w:rPr>
              <w:t xml:space="preserve">Alfuzozinas: </w:t>
            </w:r>
          </w:p>
          <w:p w14:paraId="31DC18FD" w14:textId="77777777" w:rsidR="00CA08B3" w:rsidRPr="00FB2719" w:rsidRDefault="00CA08B3">
            <w:pPr>
              <w:tabs>
                <w:tab w:val="left" w:pos="567"/>
              </w:tabs>
              <w:spacing w:line="276" w:lineRule="auto"/>
              <w:rPr>
                <w:bCs/>
                <w:sz w:val="22"/>
                <w:szCs w:val="22"/>
              </w:rPr>
            </w:pPr>
            <w:r w:rsidRPr="00FB2719">
              <w:rPr>
                <w:sz w:val="22"/>
                <w:szCs w:val="22"/>
              </w:rPr>
              <w:t xml:space="preserve">kadangi lopinaviro / ritonaviro derinys slopina CYP3A, tikėtina, kad padidės alfuzozino koncentracijos. </w:t>
            </w:r>
          </w:p>
        </w:tc>
        <w:tc>
          <w:tcPr>
            <w:tcW w:w="2988" w:type="dxa"/>
            <w:tcBorders>
              <w:top w:val="single" w:sz="4" w:space="0" w:color="auto"/>
              <w:left w:val="single" w:sz="4" w:space="0" w:color="auto"/>
              <w:bottom w:val="single" w:sz="4" w:space="0" w:color="auto"/>
              <w:right w:val="single" w:sz="4" w:space="0" w:color="auto"/>
            </w:tcBorders>
            <w:hideMark/>
          </w:tcPr>
          <w:p w14:paraId="63B75E4D" w14:textId="77777777" w:rsidR="00CA08B3" w:rsidRPr="00FB2719" w:rsidRDefault="00CA08B3">
            <w:pPr>
              <w:tabs>
                <w:tab w:val="left" w:pos="567"/>
              </w:tabs>
              <w:spacing w:line="276" w:lineRule="auto"/>
              <w:rPr>
                <w:bCs/>
                <w:sz w:val="22"/>
                <w:szCs w:val="22"/>
              </w:rPr>
            </w:pPr>
            <w:r w:rsidRPr="00FB2719">
              <w:rPr>
                <w:sz w:val="22"/>
                <w:szCs w:val="22"/>
              </w:rPr>
              <w:t xml:space="preserve">Negalima skirti Lopinavir/Ritonavir Sandoz kartu su alfuzozinu (žr. 4.3 skyrių), nes gali padidėti su alfuzozinu susijęs toksinis poveikis, įskaitant hipotenziją. </w:t>
            </w:r>
          </w:p>
        </w:tc>
      </w:tr>
      <w:tr w:rsidR="00CA08B3" w:rsidRPr="00FB2719" w14:paraId="108986AB" w14:textId="77777777" w:rsidTr="0064111D">
        <w:tc>
          <w:tcPr>
            <w:tcW w:w="9016" w:type="dxa"/>
            <w:gridSpan w:val="3"/>
            <w:tcBorders>
              <w:top w:val="single" w:sz="4" w:space="0" w:color="auto"/>
              <w:left w:val="single" w:sz="4" w:space="0" w:color="auto"/>
              <w:bottom w:val="single" w:sz="4" w:space="0" w:color="auto"/>
              <w:right w:val="single" w:sz="4" w:space="0" w:color="auto"/>
            </w:tcBorders>
            <w:hideMark/>
          </w:tcPr>
          <w:p w14:paraId="6168E797" w14:textId="77777777" w:rsidR="00CA08B3" w:rsidRPr="00FB2719" w:rsidRDefault="00CA08B3">
            <w:pPr>
              <w:tabs>
                <w:tab w:val="left" w:pos="567"/>
              </w:tabs>
              <w:spacing w:line="276" w:lineRule="auto"/>
              <w:jc w:val="both"/>
              <w:rPr>
                <w:bCs/>
                <w:i/>
                <w:sz w:val="22"/>
                <w:szCs w:val="22"/>
                <w:lang w:val="en-US"/>
              </w:rPr>
            </w:pPr>
            <w:r w:rsidRPr="00FB2719">
              <w:rPr>
                <w:bCs/>
                <w:i/>
                <w:sz w:val="22"/>
                <w:szCs w:val="22"/>
                <w:lang w:val="en-US"/>
              </w:rPr>
              <w:t>Analgetikai</w:t>
            </w:r>
          </w:p>
        </w:tc>
      </w:tr>
      <w:tr w:rsidR="00CA08B3" w:rsidRPr="00FB2719" w14:paraId="53FCD1A0" w14:textId="77777777" w:rsidTr="0064111D">
        <w:tc>
          <w:tcPr>
            <w:tcW w:w="3044" w:type="dxa"/>
            <w:tcBorders>
              <w:top w:val="single" w:sz="4" w:space="0" w:color="auto"/>
              <w:left w:val="single" w:sz="4" w:space="0" w:color="auto"/>
              <w:bottom w:val="single" w:sz="4" w:space="0" w:color="auto"/>
              <w:right w:val="single" w:sz="4" w:space="0" w:color="auto"/>
            </w:tcBorders>
            <w:hideMark/>
          </w:tcPr>
          <w:p w14:paraId="06FFF670"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Fentanilis</w:t>
            </w:r>
          </w:p>
        </w:tc>
        <w:tc>
          <w:tcPr>
            <w:tcW w:w="2984" w:type="dxa"/>
            <w:tcBorders>
              <w:top w:val="single" w:sz="4" w:space="0" w:color="auto"/>
              <w:left w:val="single" w:sz="4" w:space="0" w:color="auto"/>
              <w:bottom w:val="single" w:sz="4" w:space="0" w:color="auto"/>
              <w:right w:val="single" w:sz="4" w:space="0" w:color="auto"/>
            </w:tcBorders>
            <w:hideMark/>
          </w:tcPr>
          <w:p w14:paraId="249DCF87" w14:textId="77777777" w:rsidR="00CA08B3" w:rsidRPr="00FB2719" w:rsidRDefault="00CA08B3">
            <w:pPr>
              <w:pStyle w:val="Default"/>
              <w:spacing w:line="276" w:lineRule="auto"/>
              <w:jc w:val="both"/>
              <w:rPr>
                <w:sz w:val="22"/>
                <w:szCs w:val="22"/>
                <w:lang w:val="lt-LT"/>
              </w:rPr>
            </w:pPr>
            <w:r w:rsidRPr="00FB2719">
              <w:rPr>
                <w:sz w:val="22"/>
                <w:szCs w:val="22"/>
                <w:lang w:val="lt-LT"/>
              </w:rPr>
              <w:t xml:space="preserve">Fentanilis: </w:t>
            </w:r>
          </w:p>
          <w:p w14:paraId="552F214B" w14:textId="77777777" w:rsidR="00CA08B3" w:rsidRPr="00FB2719" w:rsidRDefault="00CA08B3">
            <w:pPr>
              <w:tabs>
                <w:tab w:val="left" w:pos="567"/>
              </w:tabs>
              <w:spacing w:line="276" w:lineRule="auto"/>
              <w:rPr>
                <w:bCs/>
                <w:sz w:val="22"/>
                <w:szCs w:val="22"/>
              </w:rPr>
            </w:pPr>
            <w:r w:rsidRPr="00FB2719">
              <w:rPr>
                <w:sz w:val="22"/>
                <w:szCs w:val="22"/>
              </w:rPr>
              <w:t xml:space="preserve">didesnė nepageidaujamo poveikio rizika (kvėpavimo funkcijos slopinimas, sedacija) dėl padidėjusių koncentracijų plazmoje, nes lopinaviro / ritonaviro derinys slopina CYP3A. </w:t>
            </w:r>
          </w:p>
        </w:tc>
        <w:tc>
          <w:tcPr>
            <w:tcW w:w="2988" w:type="dxa"/>
            <w:tcBorders>
              <w:top w:val="single" w:sz="4" w:space="0" w:color="auto"/>
              <w:left w:val="single" w:sz="4" w:space="0" w:color="auto"/>
              <w:bottom w:val="single" w:sz="4" w:space="0" w:color="auto"/>
              <w:right w:val="single" w:sz="4" w:space="0" w:color="auto"/>
            </w:tcBorders>
            <w:hideMark/>
          </w:tcPr>
          <w:p w14:paraId="0C1D1D61" w14:textId="77777777" w:rsidR="00CA08B3" w:rsidRPr="00FB2719" w:rsidRDefault="00CA08B3">
            <w:pPr>
              <w:pStyle w:val="Default"/>
              <w:spacing w:line="276" w:lineRule="auto"/>
              <w:rPr>
                <w:sz w:val="22"/>
                <w:szCs w:val="22"/>
                <w:lang w:val="lt-LT"/>
              </w:rPr>
            </w:pPr>
            <w:r w:rsidRPr="00FB2719">
              <w:rPr>
                <w:sz w:val="22"/>
                <w:szCs w:val="22"/>
                <w:lang w:val="lt-LT"/>
              </w:rPr>
              <w:t>Rekomenduojama atidžiai stebėti dėl nepageidaujamo poveikio (ypač kvėpavimo funkcijos slopinimo, bet taip pat ir sedacijos) pasireiškimo, jeigu fentanilio skiriama kartu su Lopinavir/Ritonavir Sandoz.</w:t>
            </w:r>
          </w:p>
        </w:tc>
      </w:tr>
      <w:tr w:rsidR="00F80BD1" w:rsidRPr="00FB2719" w14:paraId="7988A92B" w14:textId="77777777" w:rsidTr="00FB2719">
        <w:tc>
          <w:tcPr>
            <w:tcW w:w="9016" w:type="dxa"/>
            <w:gridSpan w:val="3"/>
            <w:tcBorders>
              <w:top w:val="single" w:sz="4" w:space="0" w:color="auto"/>
              <w:left w:val="single" w:sz="4" w:space="0" w:color="auto"/>
              <w:bottom w:val="single" w:sz="4" w:space="0" w:color="auto"/>
              <w:right w:val="single" w:sz="4" w:space="0" w:color="auto"/>
            </w:tcBorders>
          </w:tcPr>
          <w:p w14:paraId="2502DA97" w14:textId="77777777" w:rsidR="00F80BD1" w:rsidRPr="00FB2719" w:rsidRDefault="00F80BD1" w:rsidP="00FB2719">
            <w:pPr>
              <w:tabs>
                <w:tab w:val="left" w:pos="567"/>
              </w:tabs>
              <w:spacing w:line="276" w:lineRule="auto"/>
              <w:rPr>
                <w:bCs/>
                <w:i/>
                <w:sz w:val="22"/>
                <w:szCs w:val="22"/>
                <w:lang w:val="en-US"/>
              </w:rPr>
            </w:pPr>
            <w:r w:rsidRPr="00FB2719">
              <w:rPr>
                <w:bCs/>
                <w:i/>
                <w:sz w:val="22"/>
                <w:szCs w:val="22"/>
                <w:lang w:val="en-US"/>
              </w:rPr>
              <w:t>Antiangininiai vaistiniai preparatai</w:t>
            </w:r>
          </w:p>
        </w:tc>
      </w:tr>
      <w:tr w:rsidR="00F80BD1" w:rsidRPr="00FB2719" w14:paraId="2C63C991" w14:textId="77777777" w:rsidTr="0064111D">
        <w:tc>
          <w:tcPr>
            <w:tcW w:w="3044" w:type="dxa"/>
            <w:tcBorders>
              <w:top w:val="single" w:sz="4" w:space="0" w:color="auto"/>
              <w:left w:val="single" w:sz="4" w:space="0" w:color="auto"/>
              <w:bottom w:val="single" w:sz="4" w:space="0" w:color="auto"/>
              <w:right w:val="single" w:sz="4" w:space="0" w:color="auto"/>
            </w:tcBorders>
          </w:tcPr>
          <w:p w14:paraId="0ACEE06B" w14:textId="77777777" w:rsidR="00F80BD1" w:rsidRPr="00FB2719" w:rsidRDefault="00F80BD1">
            <w:pPr>
              <w:tabs>
                <w:tab w:val="left" w:pos="567"/>
              </w:tabs>
              <w:spacing w:line="276" w:lineRule="auto"/>
              <w:jc w:val="both"/>
              <w:rPr>
                <w:bCs/>
                <w:sz w:val="22"/>
                <w:szCs w:val="22"/>
                <w:lang w:val="en-US"/>
              </w:rPr>
            </w:pPr>
            <w:r w:rsidRPr="00FB2719">
              <w:rPr>
                <w:bCs/>
                <w:sz w:val="22"/>
                <w:szCs w:val="22"/>
                <w:lang w:val="en-US"/>
              </w:rPr>
              <w:t>Ranolazinas</w:t>
            </w:r>
          </w:p>
        </w:tc>
        <w:tc>
          <w:tcPr>
            <w:tcW w:w="2984" w:type="dxa"/>
            <w:tcBorders>
              <w:top w:val="single" w:sz="4" w:space="0" w:color="auto"/>
              <w:left w:val="single" w:sz="4" w:space="0" w:color="auto"/>
              <w:bottom w:val="single" w:sz="4" w:space="0" w:color="auto"/>
              <w:right w:val="single" w:sz="4" w:space="0" w:color="auto"/>
            </w:tcBorders>
          </w:tcPr>
          <w:p w14:paraId="3D841DD9" w14:textId="77777777" w:rsidR="00F80BD1" w:rsidRPr="00FB2719" w:rsidRDefault="00F80BD1" w:rsidP="00FB2719">
            <w:pPr>
              <w:pStyle w:val="Default"/>
              <w:spacing w:line="276" w:lineRule="auto"/>
              <w:rPr>
                <w:sz w:val="22"/>
                <w:szCs w:val="22"/>
                <w:lang w:val="lt-LT"/>
              </w:rPr>
            </w:pPr>
            <w:r w:rsidRPr="00FB2719">
              <w:rPr>
                <w:sz w:val="22"/>
                <w:szCs w:val="22"/>
                <w:lang w:val="lt-LT"/>
              </w:rPr>
              <w:t>Kadangi lopinaviras / ritonaviras slopina CYP3A, tikėtina, kad padidės ranolazino koncentracija</w:t>
            </w:r>
          </w:p>
        </w:tc>
        <w:tc>
          <w:tcPr>
            <w:tcW w:w="2988" w:type="dxa"/>
            <w:tcBorders>
              <w:top w:val="single" w:sz="4" w:space="0" w:color="auto"/>
              <w:left w:val="single" w:sz="4" w:space="0" w:color="auto"/>
              <w:bottom w:val="single" w:sz="4" w:space="0" w:color="auto"/>
              <w:right w:val="single" w:sz="4" w:space="0" w:color="auto"/>
            </w:tcBorders>
          </w:tcPr>
          <w:p w14:paraId="1079D16C" w14:textId="77777777" w:rsidR="00F80BD1" w:rsidRPr="00FB2719" w:rsidRDefault="00F80BD1" w:rsidP="00F80BD1">
            <w:pPr>
              <w:pStyle w:val="Default"/>
              <w:spacing w:line="276" w:lineRule="auto"/>
              <w:rPr>
                <w:sz w:val="22"/>
                <w:szCs w:val="22"/>
                <w:lang w:val="lt-LT"/>
              </w:rPr>
            </w:pPr>
            <w:r w:rsidRPr="00FB2719">
              <w:rPr>
                <w:sz w:val="22"/>
                <w:szCs w:val="22"/>
                <w:lang w:val="lt-LT"/>
              </w:rPr>
              <w:t>Lopinavir/Ritonavir Sandoz vartoti kartu su ranolazinu negalima (žr. 4.3 skyrių)</w:t>
            </w:r>
          </w:p>
        </w:tc>
      </w:tr>
      <w:tr w:rsidR="00CA08B3" w:rsidRPr="00FB2719" w14:paraId="14C815BE" w14:textId="77777777" w:rsidTr="0064111D">
        <w:tc>
          <w:tcPr>
            <w:tcW w:w="9016" w:type="dxa"/>
            <w:gridSpan w:val="3"/>
            <w:tcBorders>
              <w:top w:val="single" w:sz="4" w:space="0" w:color="auto"/>
              <w:left w:val="single" w:sz="4" w:space="0" w:color="auto"/>
              <w:bottom w:val="single" w:sz="4" w:space="0" w:color="auto"/>
              <w:right w:val="single" w:sz="4" w:space="0" w:color="auto"/>
            </w:tcBorders>
            <w:hideMark/>
          </w:tcPr>
          <w:p w14:paraId="0B389566" w14:textId="77777777" w:rsidR="00CA08B3" w:rsidRPr="00FB2719" w:rsidRDefault="00CA08B3">
            <w:pPr>
              <w:tabs>
                <w:tab w:val="left" w:pos="567"/>
              </w:tabs>
              <w:spacing w:line="276" w:lineRule="auto"/>
              <w:jc w:val="both"/>
              <w:rPr>
                <w:bCs/>
                <w:i/>
                <w:sz w:val="22"/>
                <w:szCs w:val="22"/>
                <w:lang w:val="en-US"/>
              </w:rPr>
            </w:pPr>
            <w:r w:rsidRPr="00FB2719">
              <w:rPr>
                <w:bCs/>
                <w:i/>
                <w:sz w:val="22"/>
                <w:szCs w:val="22"/>
                <w:lang w:val="en-US"/>
              </w:rPr>
              <w:t>Antiaritminiai vaistiniai preparatai</w:t>
            </w:r>
          </w:p>
        </w:tc>
      </w:tr>
      <w:tr w:rsidR="0064111D" w:rsidRPr="00FB2719" w14:paraId="4133FDB7" w14:textId="77777777" w:rsidTr="0064111D">
        <w:tc>
          <w:tcPr>
            <w:tcW w:w="3044" w:type="dxa"/>
            <w:tcBorders>
              <w:top w:val="single" w:sz="4" w:space="0" w:color="auto"/>
              <w:left w:val="single" w:sz="4" w:space="0" w:color="auto"/>
              <w:bottom w:val="single" w:sz="4" w:space="0" w:color="auto"/>
              <w:right w:val="single" w:sz="4" w:space="0" w:color="auto"/>
            </w:tcBorders>
          </w:tcPr>
          <w:p w14:paraId="5AF6C987" w14:textId="77777777" w:rsidR="0064111D" w:rsidRPr="00FB2719" w:rsidRDefault="0064111D" w:rsidP="0064111D">
            <w:pPr>
              <w:tabs>
                <w:tab w:val="left" w:pos="567"/>
              </w:tabs>
              <w:spacing w:line="276" w:lineRule="auto"/>
              <w:jc w:val="both"/>
              <w:rPr>
                <w:bCs/>
                <w:sz w:val="22"/>
                <w:szCs w:val="22"/>
                <w:lang w:val="en-US"/>
              </w:rPr>
            </w:pPr>
            <w:r w:rsidRPr="00FB2719">
              <w:rPr>
                <w:bCs/>
                <w:sz w:val="22"/>
                <w:szCs w:val="22"/>
                <w:lang w:val="en-US"/>
              </w:rPr>
              <w:t>Amjodaronas,</w:t>
            </w:r>
            <w:r w:rsidR="007D18AF" w:rsidRPr="00FB2719">
              <w:rPr>
                <w:bCs/>
                <w:sz w:val="22"/>
                <w:szCs w:val="22"/>
                <w:lang w:val="en-US"/>
              </w:rPr>
              <w:t xml:space="preserve"> </w:t>
            </w:r>
            <w:r w:rsidRPr="00FB2719">
              <w:rPr>
                <w:bCs/>
                <w:sz w:val="22"/>
                <w:szCs w:val="22"/>
                <w:lang w:val="en-US"/>
              </w:rPr>
              <w:t>dronedaronas</w:t>
            </w:r>
          </w:p>
        </w:tc>
        <w:tc>
          <w:tcPr>
            <w:tcW w:w="2984" w:type="dxa"/>
            <w:tcBorders>
              <w:top w:val="single" w:sz="4" w:space="0" w:color="auto"/>
              <w:left w:val="single" w:sz="4" w:space="0" w:color="auto"/>
              <w:bottom w:val="single" w:sz="4" w:space="0" w:color="auto"/>
              <w:right w:val="single" w:sz="4" w:space="0" w:color="auto"/>
            </w:tcBorders>
          </w:tcPr>
          <w:p w14:paraId="489E2007" w14:textId="77777777" w:rsidR="0064111D" w:rsidRPr="00FB2719" w:rsidRDefault="0064111D" w:rsidP="0064111D">
            <w:pPr>
              <w:pStyle w:val="Default"/>
              <w:spacing w:line="276" w:lineRule="auto"/>
              <w:jc w:val="both"/>
              <w:rPr>
                <w:sz w:val="22"/>
                <w:szCs w:val="22"/>
                <w:lang w:val="lt-LT"/>
              </w:rPr>
            </w:pPr>
            <w:r w:rsidRPr="00FB2719">
              <w:rPr>
                <w:sz w:val="22"/>
                <w:szCs w:val="22"/>
                <w:lang w:val="lt-LT"/>
              </w:rPr>
              <w:t>Amjodaronas, dronedaronas:</w:t>
            </w:r>
          </w:p>
          <w:p w14:paraId="753F7A2A" w14:textId="77777777" w:rsidR="0064111D" w:rsidRPr="00FB2719" w:rsidRDefault="0064111D" w:rsidP="007D18AF">
            <w:pPr>
              <w:pStyle w:val="Default"/>
              <w:spacing w:line="276" w:lineRule="auto"/>
              <w:jc w:val="both"/>
              <w:rPr>
                <w:sz w:val="22"/>
                <w:szCs w:val="22"/>
                <w:lang w:val="lt-LT"/>
              </w:rPr>
            </w:pPr>
            <w:r w:rsidRPr="00FB2719">
              <w:rPr>
                <w:sz w:val="22"/>
                <w:szCs w:val="22"/>
                <w:lang w:val="lt-LT"/>
              </w:rPr>
              <w:t>koncentracija gali padidėti dėl</w:t>
            </w:r>
            <w:r w:rsidR="007D18AF" w:rsidRPr="00FB2719">
              <w:rPr>
                <w:sz w:val="22"/>
                <w:szCs w:val="22"/>
                <w:lang w:val="lt-LT"/>
              </w:rPr>
              <w:t xml:space="preserve"> lopinaviro / ritonaviro derinio sukelto </w:t>
            </w:r>
            <w:r w:rsidRPr="00FB2719">
              <w:rPr>
                <w:sz w:val="22"/>
                <w:szCs w:val="22"/>
                <w:lang w:val="lt-LT"/>
              </w:rPr>
              <w:t>CYP3A4 slopinimo.</w:t>
            </w:r>
          </w:p>
        </w:tc>
        <w:tc>
          <w:tcPr>
            <w:tcW w:w="2988" w:type="dxa"/>
            <w:tcBorders>
              <w:top w:val="single" w:sz="4" w:space="0" w:color="auto"/>
              <w:left w:val="single" w:sz="4" w:space="0" w:color="auto"/>
              <w:bottom w:val="single" w:sz="4" w:space="0" w:color="auto"/>
              <w:right w:val="single" w:sz="4" w:space="0" w:color="auto"/>
            </w:tcBorders>
          </w:tcPr>
          <w:p w14:paraId="1F3EA45B" w14:textId="77777777" w:rsidR="0064111D" w:rsidRPr="00FB2719" w:rsidRDefault="0064111D" w:rsidP="0064111D">
            <w:pPr>
              <w:tabs>
                <w:tab w:val="left" w:pos="567"/>
              </w:tabs>
              <w:spacing w:line="276" w:lineRule="auto"/>
              <w:rPr>
                <w:sz w:val="22"/>
                <w:szCs w:val="22"/>
              </w:rPr>
            </w:pPr>
            <w:r w:rsidRPr="00FB2719">
              <w:rPr>
                <w:sz w:val="22"/>
                <w:szCs w:val="22"/>
              </w:rPr>
              <w:t>Lopinaviro / ritonaviro derinio ir amjodarono ar</w:t>
            </w:r>
            <w:r w:rsidR="007D18AF" w:rsidRPr="00FB2719">
              <w:rPr>
                <w:sz w:val="22"/>
                <w:szCs w:val="22"/>
              </w:rPr>
              <w:t xml:space="preserve"> </w:t>
            </w:r>
            <w:r w:rsidRPr="00FB2719">
              <w:rPr>
                <w:sz w:val="22"/>
                <w:szCs w:val="22"/>
              </w:rPr>
              <w:t>dronedarono kartu vartoti</w:t>
            </w:r>
            <w:r w:rsidR="007D18AF" w:rsidRPr="00FB2719">
              <w:rPr>
                <w:sz w:val="22"/>
                <w:szCs w:val="22"/>
              </w:rPr>
              <w:t xml:space="preserve"> </w:t>
            </w:r>
            <w:r w:rsidRPr="00FB2719">
              <w:rPr>
                <w:sz w:val="22"/>
                <w:szCs w:val="22"/>
              </w:rPr>
              <w:t>negalima (žr. 4.3 skyrių), nes gali padidėti aritmijų ar kitų sunkių nepageidaujamų reakcijų pavojus.</w:t>
            </w:r>
          </w:p>
        </w:tc>
      </w:tr>
      <w:tr w:rsidR="00CA08B3" w:rsidRPr="00FB2719" w14:paraId="767C122E" w14:textId="77777777" w:rsidTr="0064111D">
        <w:tc>
          <w:tcPr>
            <w:tcW w:w="3044" w:type="dxa"/>
            <w:tcBorders>
              <w:top w:val="single" w:sz="4" w:space="0" w:color="auto"/>
              <w:left w:val="single" w:sz="4" w:space="0" w:color="auto"/>
              <w:bottom w:val="single" w:sz="4" w:space="0" w:color="auto"/>
              <w:right w:val="single" w:sz="4" w:space="0" w:color="auto"/>
            </w:tcBorders>
            <w:hideMark/>
          </w:tcPr>
          <w:p w14:paraId="02993A57"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Digoksinas</w:t>
            </w:r>
          </w:p>
        </w:tc>
        <w:tc>
          <w:tcPr>
            <w:tcW w:w="2984" w:type="dxa"/>
            <w:tcBorders>
              <w:top w:val="single" w:sz="4" w:space="0" w:color="auto"/>
              <w:left w:val="single" w:sz="4" w:space="0" w:color="auto"/>
              <w:bottom w:val="single" w:sz="4" w:space="0" w:color="auto"/>
              <w:right w:val="single" w:sz="4" w:space="0" w:color="auto"/>
            </w:tcBorders>
            <w:hideMark/>
          </w:tcPr>
          <w:p w14:paraId="4B5FBB73" w14:textId="77777777" w:rsidR="00CA08B3" w:rsidRPr="00FB2719" w:rsidRDefault="00CA08B3">
            <w:pPr>
              <w:pStyle w:val="Default"/>
              <w:spacing w:line="276" w:lineRule="auto"/>
              <w:jc w:val="both"/>
              <w:rPr>
                <w:sz w:val="22"/>
                <w:szCs w:val="22"/>
                <w:lang w:val="lt-LT"/>
              </w:rPr>
            </w:pPr>
            <w:r w:rsidRPr="00FB2719">
              <w:rPr>
                <w:sz w:val="22"/>
                <w:szCs w:val="22"/>
                <w:lang w:val="lt-LT"/>
              </w:rPr>
              <w:t xml:space="preserve">Digoksinas: </w:t>
            </w:r>
          </w:p>
          <w:p w14:paraId="32A70C30" w14:textId="77777777" w:rsidR="00CA08B3" w:rsidRPr="00FB2719" w:rsidRDefault="00CA08B3">
            <w:pPr>
              <w:tabs>
                <w:tab w:val="left" w:pos="567"/>
              </w:tabs>
              <w:spacing w:line="276" w:lineRule="auto"/>
              <w:rPr>
                <w:bCs/>
                <w:sz w:val="22"/>
                <w:szCs w:val="22"/>
                <w:lang w:val="en-US"/>
              </w:rPr>
            </w:pPr>
            <w:proofErr w:type="gramStart"/>
            <w:r w:rsidRPr="00FB2719">
              <w:rPr>
                <w:sz w:val="22"/>
                <w:szCs w:val="22"/>
                <w:lang w:val="en-US"/>
              </w:rPr>
              <w:t>plazmoje</w:t>
            </w:r>
            <w:proofErr w:type="gramEnd"/>
            <w:r w:rsidRPr="00FB2719">
              <w:rPr>
                <w:sz w:val="22"/>
                <w:szCs w:val="22"/>
                <w:lang w:val="en-US"/>
              </w:rPr>
              <w:t xml:space="preserve"> gali padidėti koncentracija, nes lopinaviras / ritonaviras slopina P-glikoproteiną. Digoksino kiekio padidėjimas per laiką sumažėja, nes stiprėja Pgp indukcija. </w:t>
            </w:r>
          </w:p>
        </w:tc>
        <w:tc>
          <w:tcPr>
            <w:tcW w:w="2988" w:type="dxa"/>
            <w:tcBorders>
              <w:top w:val="single" w:sz="4" w:space="0" w:color="auto"/>
              <w:left w:val="single" w:sz="4" w:space="0" w:color="auto"/>
              <w:bottom w:val="single" w:sz="4" w:space="0" w:color="auto"/>
              <w:right w:val="single" w:sz="4" w:space="0" w:color="auto"/>
            </w:tcBorders>
            <w:hideMark/>
          </w:tcPr>
          <w:p w14:paraId="4D8B5D03" w14:textId="77777777" w:rsidR="00CA08B3" w:rsidRPr="00FB2719" w:rsidRDefault="00CA08B3">
            <w:pPr>
              <w:tabs>
                <w:tab w:val="left" w:pos="567"/>
              </w:tabs>
              <w:spacing w:line="276" w:lineRule="auto"/>
              <w:rPr>
                <w:bCs/>
                <w:sz w:val="22"/>
                <w:szCs w:val="22"/>
                <w:lang w:val="en-US"/>
              </w:rPr>
            </w:pPr>
            <w:r w:rsidRPr="00FB2719">
              <w:rPr>
                <w:sz w:val="22"/>
                <w:szCs w:val="22"/>
                <w:lang w:val="en-US"/>
              </w:rPr>
              <w:t xml:space="preserve">Kartu skiriant digoksino ir Lopinavir/Ritonavir Sandoz turi būti užtikrintos atsargumo priemonės ir digoksino koncentracijų klinikinis stebėjimas. Ypatingų atsargumo priemonių reikia imtis skiriant </w:t>
            </w:r>
            <w:r w:rsidRPr="00FB2719">
              <w:rPr>
                <w:sz w:val="22"/>
                <w:szCs w:val="22"/>
                <w:lang w:val="en-US"/>
              </w:rPr>
              <w:lastRenderedPageBreak/>
              <w:t>Lopinavir/Ritonavir Sandoz pacientams, vartojantiems digoksino, nes dėl stipraus ritonaviro slopinamojo poveikio Pgp tikėtinas reikšmingas digoksino kiekio padidėjimas. Pradėjus vartoti digoksino pacientams, kurie jau vartoja L</w:t>
            </w:r>
            <w:r w:rsidRPr="00FB2719">
              <w:rPr>
                <w:color w:val="000000"/>
                <w:sz w:val="22"/>
                <w:szCs w:val="22"/>
                <w:lang w:val="en-US"/>
              </w:rPr>
              <w:t>opinavir/Ritonavir Sandoz</w:t>
            </w:r>
            <w:r w:rsidRPr="00FB2719">
              <w:rPr>
                <w:sz w:val="22"/>
                <w:szCs w:val="22"/>
                <w:lang w:val="en-US"/>
              </w:rPr>
              <w:t xml:space="preserve">, tikėtina, kad digoksino koncentracijos padidės mažiau nei tikimasi. </w:t>
            </w:r>
          </w:p>
        </w:tc>
      </w:tr>
      <w:tr w:rsidR="00CA08B3" w:rsidRPr="00FB2719" w14:paraId="6027B8C2" w14:textId="77777777" w:rsidTr="0064111D">
        <w:tc>
          <w:tcPr>
            <w:tcW w:w="3044" w:type="dxa"/>
            <w:tcBorders>
              <w:top w:val="single" w:sz="4" w:space="0" w:color="auto"/>
              <w:left w:val="single" w:sz="4" w:space="0" w:color="auto"/>
              <w:bottom w:val="single" w:sz="4" w:space="0" w:color="auto"/>
              <w:right w:val="single" w:sz="4" w:space="0" w:color="auto"/>
            </w:tcBorders>
          </w:tcPr>
          <w:p w14:paraId="10D2639A" w14:textId="77777777" w:rsidR="00CA08B3" w:rsidRPr="00FB2719" w:rsidRDefault="00CA08B3" w:rsidP="00FB2719">
            <w:pPr>
              <w:tabs>
                <w:tab w:val="left" w:pos="567"/>
              </w:tabs>
              <w:spacing w:line="276" w:lineRule="auto"/>
              <w:rPr>
                <w:bCs/>
                <w:sz w:val="22"/>
                <w:szCs w:val="22"/>
                <w:lang w:val="es-ES"/>
              </w:rPr>
            </w:pPr>
            <w:r w:rsidRPr="00FB2719">
              <w:rPr>
                <w:sz w:val="22"/>
                <w:szCs w:val="22"/>
              </w:rPr>
              <w:lastRenderedPageBreak/>
              <w:t xml:space="preserve">Bepridilis, sisteminiu būdu vartojamas lidokainas, chinidinas </w:t>
            </w:r>
          </w:p>
        </w:tc>
        <w:tc>
          <w:tcPr>
            <w:tcW w:w="2984" w:type="dxa"/>
            <w:tcBorders>
              <w:top w:val="single" w:sz="4" w:space="0" w:color="auto"/>
              <w:left w:val="single" w:sz="4" w:space="0" w:color="auto"/>
              <w:bottom w:val="single" w:sz="4" w:space="0" w:color="auto"/>
              <w:right w:val="single" w:sz="4" w:space="0" w:color="auto"/>
            </w:tcBorders>
            <w:hideMark/>
          </w:tcPr>
          <w:p w14:paraId="7243CC35" w14:textId="77777777" w:rsidR="00CA08B3" w:rsidRPr="00FB2719" w:rsidRDefault="00CA08B3">
            <w:pPr>
              <w:pStyle w:val="Default"/>
              <w:spacing w:line="276" w:lineRule="auto"/>
              <w:rPr>
                <w:sz w:val="22"/>
                <w:szCs w:val="22"/>
                <w:lang w:val="lt-LT"/>
              </w:rPr>
            </w:pPr>
            <w:r w:rsidRPr="00FB2719">
              <w:rPr>
                <w:sz w:val="22"/>
                <w:szCs w:val="22"/>
                <w:lang w:val="lt-LT"/>
              </w:rPr>
              <w:t xml:space="preserve">Bepridilis, sisteminiu būdu vartojamas lidokainas, chinidinas: </w:t>
            </w:r>
          </w:p>
          <w:p w14:paraId="2DFDEF1D" w14:textId="77777777" w:rsidR="00CA08B3" w:rsidRPr="00FB2719" w:rsidRDefault="00CA08B3">
            <w:pPr>
              <w:tabs>
                <w:tab w:val="left" w:pos="567"/>
              </w:tabs>
              <w:spacing w:line="276" w:lineRule="auto"/>
              <w:jc w:val="both"/>
              <w:rPr>
                <w:bCs/>
                <w:sz w:val="22"/>
                <w:szCs w:val="22"/>
              </w:rPr>
            </w:pPr>
            <w:r w:rsidRPr="00FB2719">
              <w:rPr>
                <w:sz w:val="22"/>
                <w:szCs w:val="22"/>
              </w:rPr>
              <w:t>jų koncentracija gali padidėti, skiriant kartu su l</w:t>
            </w:r>
            <w:r w:rsidRPr="00FB2719">
              <w:rPr>
                <w:color w:val="000000"/>
                <w:sz w:val="22"/>
                <w:szCs w:val="22"/>
              </w:rPr>
              <w:t>opinaviro / ritonaviro deriniu</w:t>
            </w:r>
            <w:r w:rsidRPr="00FB2719">
              <w:rPr>
                <w:sz w:val="22"/>
                <w:szCs w:val="22"/>
              </w:rPr>
              <w:t xml:space="preserve">. </w:t>
            </w:r>
          </w:p>
        </w:tc>
        <w:tc>
          <w:tcPr>
            <w:tcW w:w="2988" w:type="dxa"/>
            <w:tcBorders>
              <w:top w:val="single" w:sz="4" w:space="0" w:color="auto"/>
              <w:left w:val="single" w:sz="4" w:space="0" w:color="auto"/>
              <w:bottom w:val="single" w:sz="4" w:space="0" w:color="auto"/>
              <w:right w:val="single" w:sz="4" w:space="0" w:color="auto"/>
            </w:tcBorders>
          </w:tcPr>
          <w:p w14:paraId="01CAE7B5" w14:textId="77777777" w:rsidR="00CA08B3" w:rsidRPr="00FB2719" w:rsidRDefault="00CA08B3">
            <w:pPr>
              <w:tabs>
                <w:tab w:val="left" w:pos="567"/>
              </w:tabs>
              <w:spacing w:line="276" w:lineRule="auto"/>
              <w:rPr>
                <w:bCs/>
                <w:sz w:val="22"/>
                <w:szCs w:val="22"/>
              </w:rPr>
            </w:pPr>
            <w:r w:rsidRPr="00FB2719">
              <w:rPr>
                <w:sz w:val="22"/>
                <w:szCs w:val="22"/>
              </w:rPr>
              <w:t xml:space="preserve">Rekomenduojama laikytis atsargumo priemonių ir, jeigu įmanoma, tikrinti gydomąją vaistinio preparato koncentraciją. </w:t>
            </w:r>
          </w:p>
        </w:tc>
      </w:tr>
      <w:tr w:rsidR="00CA08B3" w:rsidRPr="00FB2719" w14:paraId="4F6B5D2F" w14:textId="77777777" w:rsidTr="0064111D">
        <w:tc>
          <w:tcPr>
            <w:tcW w:w="9016" w:type="dxa"/>
            <w:gridSpan w:val="3"/>
            <w:tcBorders>
              <w:top w:val="single" w:sz="4" w:space="0" w:color="auto"/>
              <w:left w:val="single" w:sz="4" w:space="0" w:color="auto"/>
              <w:bottom w:val="single" w:sz="4" w:space="0" w:color="auto"/>
              <w:right w:val="single" w:sz="4" w:space="0" w:color="auto"/>
            </w:tcBorders>
            <w:hideMark/>
          </w:tcPr>
          <w:p w14:paraId="6EE7D88C" w14:textId="77777777" w:rsidR="00CA08B3" w:rsidRPr="00FB2719" w:rsidRDefault="00CA08B3">
            <w:pPr>
              <w:tabs>
                <w:tab w:val="left" w:pos="567"/>
              </w:tabs>
              <w:spacing w:line="276" w:lineRule="auto"/>
              <w:jc w:val="both"/>
              <w:rPr>
                <w:bCs/>
                <w:i/>
                <w:sz w:val="22"/>
                <w:szCs w:val="22"/>
                <w:lang w:val="en-US"/>
              </w:rPr>
            </w:pPr>
            <w:r w:rsidRPr="00FB2719">
              <w:rPr>
                <w:bCs/>
                <w:i/>
                <w:sz w:val="22"/>
                <w:szCs w:val="22"/>
                <w:lang w:val="en-US"/>
              </w:rPr>
              <w:t>Antibiotikai</w:t>
            </w:r>
          </w:p>
        </w:tc>
      </w:tr>
      <w:tr w:rsidR="00CA08B3" w:rsidRPr="00FB2719" w14:paraId="0331C182" w14:textId="77777777" w:rsidTr="0064111D">
        <w:tc>
          <w:tcPr>
            <w:tcW w:w="3044" w:type="dxa"/>
            <w:tcBorders>
              <w:top w:val="single" w:sz="4" w:space="0" w:color="auto"/>
              <w:left w:val="single" w:sz="4" w:space="0" w:color="auto"/>
              <w:bottom w:val="single" w:sz="4" w:space="0" w:color="auto"/>
              <w:right w:val="single" w:sz="4" w:space="0" w:color="auto"/>
            </w:tcBorders>
            <w:hideMark/>
          </w:tcPr>
          <w:p w14:paraId="64E2A452"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Klaritromicinas</w:t>
            </w:r>
          </w:p>
        </w:tc>
        <w:tc>
          <w:tcPr>
            <w:tcW w:w="2984" w:type="dxa"/>
            <w:tcBorders>
              <w:top w:val="single" w:sz="4" w:space="0" w:color="auto"/>
              <w:left w:val="single" w:sz="4" w:space="0" w:color="auto"/>
              <w:bottom w:val="single" w:sz="4" w:space="0" w:color="auto"/>
              <w:right w:val="single" w:sz="4" w:space="0" w:color="auto"/>
            </w:tcBorders>
            <w:hideMark/>
          </w:tcPr>
          <w:p w14:paraId="65C6CC3B" w14:textId="77777777" w:rsidR="00CA08B3" w:rsidRPr="00FB2719" w:rsidRDefault="00CA08B3">
            <w:pPr>
              <w:pStyle w:val="Default"/>
              <w:spacing w:line="276" w:lineRule="auto"/>
              <w:jc w:val="both"/>
              <w:rPr>
                <w:sz w:val="22"/>
                <w:szCs w:val="22"/>
                <w:lang w:val="lt-LT"/>
              </w:rPr>
            </w:pPr>
            <w:r w:rsidRPr="00FB2719">
              <w:rPr>
                <w:sz w:val="22"/>
                <w:szCs w:val="22"/>
                <w:lang w:val="lt-LT"/>
              </w:rPr>
              <w:t xml:space="preserve">Klaritromicinas: </w:t>
            </w:r>
          </w:p>
          <w:p w14:paraId="1695E999" w14:textId="77777777" w:rsidR="00CA08B3" w:rsidRPr="00FB2719" w:rsidRDefault="00CA08B3">
            <w:pPr>
              <w:tabs>
                <w:tab w:val="left" w:pos="567"/>
              </w:tabs>
              <w:spacing w:line="276" w:lineRule="auto"/>
              <w:rPr>
                <w:bCs/>
                <w:sz w:val="22"/>
                <w:szCs w:val="22"/>
              </w:rPr>
            </w:pPr>
            <w:r w:rsidRPr="00FB2719">
              <w:rPr>
                <w:sz w:val="22"/>
                <w:szCs w:val="22"/>
              </w:rPr>
              <w:t>vidutiniškai padidėja klaritromicino AUC, nes l</w:t>
            </w:r>
            <w:r w:rsidRPr="00FB2719">
              <w:rPr>
                <w:color w:val="000000"/>
                <w:sz w:val="22"/>
                <w:szCs w:val="22"/>
              </w:rPr>
              <w:t>opinaviro / ritonaviro derinys</w:t>
            </w:r>
            <w:r w:rsidRPr="00FB2719">
              <w:rPr>
                <w:sz w:val="22"/>
                <w:szCs w:val="22"/>
              </w:rPr>
              <w:t xml:space="preserve"> slopina CYP3A. </w:t>
            </w:r>
          </w:p>
        </w:tc>
        <w:tc>
          <w:tcPr>
            <w:tcW w:w="2988" w:type="dxa"/>
            <w:tcBorders>
              <w:top w:val="single" w:sz="4" w:space="0" w:color="auto"/>
              <w:left w:val="single" w:sz="4" w:space="0" w:color="auto"/>
              <w:bottom w:val="single" w:sz="4" w:space="0" w:color="auto"/>
              <w:right w:val="single" w:sz="4" w:space="0" w:color="auto"/>
            </w:tcBorders>
            <w:hideMark/>
          </w:tcPr>
          <w:p w14:paraId="102F5738" w14:textId="77777777" w:rsidR="00CA08B3" w:rsidRPr="00FB2719" w:rsidRDefault="00CA08B3" w:rsidP="0025420A">
            <w:pPr>
              <w:tabs>
                <w:tab w:val="left" w:pos="567"/>
              </w:tabs>
              <w:spacing w:line="276" w:lineRule="auto"/>
              <w:rPr>
                <w:bCs/>
                <w:sz w:val="22"/>
                <w:szCs w:val="22"/>
              </w:rPr>
            </w:pPr>
            <w:r w:rsidRPr="00FB2719">
              <w:rPr>
                <w:sz w:val="22"/>
                <w:szCs w:val="22"/>
              </w:rPr>
              <w:t>Pacientams, kurių inkstai pakenkti (kreatinino klirensas &lt;</w:t>
            </w:r>
            <w:r w:rsidR="0025420A" w:rsidRPr="00FB2719">
              <w:rPr>
                <w:sz w:val="22"/>
                <w:szCs w:val="22"/>
              </w:rPr>
              <w:t> </w:t>
            </w:r>
            <w:r w:rsidRPr="00FB2719">
              <w:rPr>
                <w:sz w:val="22"/>
                <w:szCs w:val="22"/>
              </w:rPr>
              <w:t>30</w:t>
            </w:r>
            <w:r w:rsidR="0025420A" w:rsidRPr="00FB2719">
              <w:rPr>
                <w:sz w:val="22"/>
                <w:szCs w:val="22"/>
              </w:rPr>
              <w:t> </w:t>
            </w:r>
            <w:r w:rsidRPr="00FB2719">
              <w:rPr>
                <w:sz w:val="22"/>
                <w:szCs w:val="22"/>
              </w:rPr>
              <w:t>ml/min) reikia apsvarstyti klaritromicino dozės sumažinimą (žr. 4.4 skyrių). Reikalingas atsargumas skiriant klaritromicino kartu su Lopinavir/Ritonavir Sandoz pacientams, kurių susilpnėjusi kepenų ar inkstų funkcija.</w:t>
            </w:r>
          </w:p>
        </w:tc>
      </w:tr>
      <w:tr w:rsidR="00CA08B3" w:rsidRPr="00FB2719" w14:paraId="7B761053" w14:textId="77777777" w:rsidTr="0064111D">
        <w:tc>
          <w:tcPr>
            <w:tcW w:w="9016" w:type="dxa"/>
            <w:gridSpan w:val="3"/>
            <w:tcBorders>
              <w:top w:val="single" w:sz="4" w:space="0" w:color="auto"/>
              <w:left w:val="single" w:sz="4" w:space="0" w:color="auto"/>
              <w:bottom w:val="single" w:sz="4" w:space="0" w:color="auto"/>
              <w:right w:val="single" w:sz="4" w:space="0" w:color="auto"/>
            </w:tcBorders>
            <w:hideMark/>
          </w:tcPr>
          <w:p w14:paraId="26D95A9D" w14:textId="77777777" w:rsidR="00CA08B3" w:rsidRPr="00FB2719" w:rsidRDefault="00CA08B3">
            <w:pPr>
              <w:tabs>
                <w:tab w:val="left" w:pos="567"/>
              </w:tabs>
              <w:spacing w:line="276" w:lineRule="auto"/>
              <w:jc w:val="both"/>
              <w:rPr>
                <w:bCs/>
                <w:i/>
                <w:sz w:val="22"/>
                <w:szCs w:val="22"/>
                <w:lang w:val="en-US"/>
              </w:rPr>
            </w:pPr>
            <w:r w:rsidRPr="00FB2719">
              <w:rPr>
                <w:i/>
                <w:iCs/>
                <w:sz w:val="22"/>
                <w:szCs w:val="22"/>
                <w:lang w:val="en-US"/>
              </w:rPr>
              <w:t>Priešvėžiniai vaistiniai preparatai</w:t>
            </w:r>
          </w:p>
        </w:tc>
      </w:tr>
      <w:tr w:rsidR="0064111D" w:rsidRPr="00FB2719" w14:paraId="7BC3410D" w14:textId="77777777" w:rsidTr="0064111D">
        <w:tc>
          <w:tcPr>
            <w:tcW w:w="3044" w:type="dxa"/>
            <w:tcBorders>
              <w:top w:val="single" w:sz="4" w:space="0" w:color="auto"/>
              <w:left w:val="single" w:sz="4" w:space="0" w:color="auto"/>
              <w:bottom w:val="single" w:sz="4" w:space="0" w:color="auto"/>
              <w:right w:val="single" w:sz="4" w:space="0" w:color="auto"/>
            </w:tcBorders>
          </w:tcPr>
          <w:p w14:paraId="7B5D4872" w14:textId="77777777" w:rsidR="0064111D" w:rsidRPr="00FB2719" w:rsidRDefault="0064111D" w:rsidP="0064111D">
            <w:pPr>
              <w:autoSpaceDE w:val="0"/>
              <w:autoSpaceDN w:val="0"/>
              <w:adjustRightInd w:val="0"/>
              <w:rPr>
                <w:rFonts w:eastAsiaTheme="minorHAnsi"/>
                <w:sz w:val="22"/>
                <w:szCs w:val="22"/>
              </w:rPr>
            </w:pPr>
            <w:r w:rsidRPr="00FB2719">
              <w:rPr>
                <w:rFonts w:eastAsiaTheme="minorHAnsi"/>
                <w:sz w:val="22"/>
                <w:szCs w:val="22"/>
              </w:rPr>
              <w:t>Afatinibas</w:t>
            </w:r>
          </w:p>
          <w:p w14:paraId="44B126D7" w14:textId="77777777" w:rsidR="0064111D" w:rsidRPr="00FB2719" w:rsidRDefault="0064111D" w:rsidP="0064111D">
            <w:pPr>
              <w:autoSpaceDE w:val="0"/>
              <w:autoSpaceDN w:val="0"/>
              <w:adjustRightInd w:val="0"/>
              <w:rPr>
                <w:rFonts w:eastAsiaTheme="minorHAnsi"/>
                <w:sz w:val="22"/>
                <w:szCs w:val="22"/>
              </w:rPr>
            </w:pPr>
          </w:p>
          <w:p w14:paraId="5B2BCF75" w14:textId="6B8939D1" w:rsidR="0064111D" w:rsidRPr="00FB2719" w:rsidRDefault="0064111D" w:rsidP="0064111D">
            <w:pPr>
              <w:pStyle w:val="Default"/>
              <w:spacing w:line="276" w:lineRule="auto"/>
              <w:rPr>
                <w:sz w:val="22"/>
                <w:szCs w:val="22"/>
                <w:lang w:val="lt-LT"/>
              </w:rPr>
            </w:pPr>
            <w:r w:rsidRPr="00FB2719">
              <w:rPr>
                <w:rFonts w:eastAsiaTheme="minorHAnsi"/>
                <w:sz w:val="22"/>
                <w:szCs w:val="22"/>
                <w:lang w:val="fr-CH"/>
              </w:rPr>
              <w:t>(Ritonaviras 200</w:t>
            </w:r>
            <w:r w:rsidR="0025420A" w:rsidRPr="00FB2719">
              <w:rPr>
                <w:rFonts w:eastAsiaTheme="minorHAnsi"/>
                <w:sz w:val="22"/>
                <w:szCs w:val="22"/>
                <w:lang w:val="fr-CH"/>
              </w:rPr>
              <w:t> </w:t>
            </w:r>
            <w:r w:rsidRPr="00FB2719">
              <w:rPr>
                <w:rFonts w:eastAsiaTheme="minorHAnsi"/>
                <w:sz w:val="22"/>
                <w:szCs w:val="22"/>
                <w:lang w:val="fr-CH"/>
              </w:rPr>
              <w:t>mg du</w:t>
            </w:r>
            <w:r w:rsidR="007D18AF" w:rsidRPr="00FB2719">
              <w:rPr>
                <w:rFonts w:eastAsiaTheme="minorHAnsi"/>
                <w:sz w:val="22"/>
                <w:szCs w:val="22"/>
                <w:lang w:val="fr-CH"/>
              </w:rPr>
              <w:t xml:space="preserve"> </w:t>
            </w:r>
            <w:r w:rsidRPr="00FB2719">
              <w:rPr>
                <w:rFonts w:eastAsiaTheme="minorHAnsi"/>
                <w:sz w:val="22"/>
                <w:szCs w:val="22"/>
                <w:lang w:val="fr-FR"/>
              </w:rPr>
              <w:t>kartus per par</w:t>
            </w:r>
            <w:r w:rsidRPr="00FB2719">
              <w:rPr>
                <w:rFonts w:eastAsia="TimesNewRomanPSMT"/>
                <w:sz w:val="22"/>
                <w:szCs w:val="22"/>
                <w:lang w:val="fr-FR"/>
              </w:rPr>
              <w:t>ą</w:t>
            </w:r>
            <w:r w:rsidR="002035CC" w:rsidRPr="00FB2719">
              <w:rPr>
                <w:rFonts w:eastAsia="TimesNewRomanPSMT"/>
                <w:sz w:val="22"/>
                <w:szCs w:val="22"/>
                <w:lang w:val="fr-FR"/>
              </w:rPr>
              <w:t>)</w:t>
            </w:r>
          </w:p>
        </w:tc>
        <w:tc>
          <w:tcPr>
            <w:tcW w:w="2984" w:type="dxa"/>
            <w:tcBorders>
              <w:top w:val="single" w:sz="4" w:space="0" w:color="auto"/>
              <w:left w:val="single" w:sz="4" w:space="0" w:color="auto"/>
              <w:bottom w:val="single" w:sz="4" w:space="0" w:color="auto"/>
              <w:right w:val="single" w:sz="4" w:space="0" w:color="auto"/>
            </w:tcBorders>
          </w:tcPr>
          <w:p w14:paraId="3AC2B50A" w14:textId="77777777" w:rsidR="0064111D" w:rsidRPr="00FB2719" w:rsidRDefault="0064111D" w:rsidP="0064111D">
            <w:pPr>
              <w:autoSpaceDE w:val="0"/>
              <w:autoSpaceDN w:val="0"/>
              <w:adjustRightInd w:val="0"/>
              <w:rPr>
                <w:sz w:val="22"/>
                <w:szCs w:val="22"/>
              </w:rPr>
            </w:pPr>
            <w:r w:rsidRPr="00FB2719">
              <w:rPr>
                <w:sz w:val="22"/>
                <w:szCs w:val="22"/>
              </w:rPr>
              <w:t>Afatinibas:</w:t>
            </w:r>
          </w:p>
          <w:p w14:paraId="5AA80BEF" w14:textId="77777777" w:rsidR="0064111D" w:rsidRPr="00FB2719" w:rsidRDefault="0064111D" w:rsidP="0064111D">
            <w:pPr>
              <w:autoSpaceDE w:val="0"/>
              <w:autoSpaceDN w:val="0"/>
              <w:adjustRightInd w:val="0"/>
              <w:rPr>
                <w:sz w:val="22"/>
                <w:szCs w:val="22"/>
              </w:rPr>
            </w:pPr>
            <w:r w:rsidRPr="00FB2719">
              <w:rPr>
                <w:sz w:val="22"/>
                <w:szCs w:val="22"/>
              </w:rPr>
              <w:t>AUC: ↑</w:t>
            </w:r>
          </w:p>
          <w:p w14:paraId="7BDEBEB7" w14:textId="77777777" w:rsidR="0064111D" w:rsidRPr="00FB2719" w:rsidRDefault="0064111D" w:rsidP="0064111D">
            <w:pPr>
              <w:autoSpaceDE w:val="0"/>
              <w:autoSpaceDN w:val="0"/>
              <w:adjustRightInd w:val="0"/>
              <w:rPr>
                <w:sz w:val="22"/>
                <w:szCs w:val="22"/>
              </w:rPr>
            </w:pPr>
            <w:r w:rsidRPr="00FB2719">
              <w:rPr>
                <w:sz w:val="22"/>
                <w:szCs w:val="22"/>
              </w:rPr>
              <w:t>C</w:t>
            </w:r>
            <w:r w:rsidRPr="00FB2719">
              <w:rPr>
                <w:sz w:val="18"/>
                <w:szCs w:val="18"/>
              </w:rPr>
              <w:t>max</w:t>
            </w:r>
            <w:r w:rsidRPr="00FB2719">
              <w:rPr>
                <w:sz w:val="22"/>
                <w:szCs w:val="22"/>
              </w:rPr>
              <w:t>: ↑</w:t>
            </w:r>
          </w:p>
          <w:p w14:paraId="2B476C17" w14:textId="77777777" w:rsidR="0064111D" w:rsidRPr="00FB2719" w:rsidRDefault="0064111D" w:rsidP="0064111D">
            <w:pPr>
              <w:autoSpaceDE w:val="0"/>
              <w:autoSpaceDN w:val="0"/>
              <w:adjustRightInd w:val="0"/>
              <w:rPr>
                <w:sz w:val="22"/>
                <w:szCs w:val="22"/>
              </w:rPr>
            </w:pPr>
          </w:p>
          <w:p w14:paraId="6E0A80B3" w14:textId="77777777" w:rsidR="0064111D" w:rsidRPr="00FB2719" w:rsidRDefault="0064111D" w:rsidP="0064111D">
            <w:pPr>
              <w:autoSpaceDE w:val="0"/>
              <w:autoSpaceDN w:val="0"/>
              <w:adjustRightInd w:val="0"/>
              <w:rPr>
                <w:sz w:val="22"/>
                <w:szCs w:val="22"/>
              </w:rPr>
            </w:pPr>
            <w:r w:rsidRPr="00FB2719">
              <w:rPr>
                <w:sz w:val="22"/>
                <w:szCs w:val="22"/>
              </w:rPr>
              <w:t>Padid</w:t>
            </w:r>
            <w:r w:rsidR="00895257" w:rsidRPr="00FB2719">
              <w:rPr>
                <w:sz w:val="22"/>
                <w:szCs w:val="22"/>
              </w:rPr>
              <w:t>ė</w:t>
            </w:r>
            <w:r w:rsidRPr="00FB2719">
              <w:rPr>
                <w:sz w:val="22"/>
                <w:szCs w:val="22"/>
              </w:rPr>
              <w:t>jimo mastas priklauso nuo ritonaviro vartojimo laiko.</w:t>
            </w:r>
          </w:p>
          <w:p w14:paraId="23F844C5" w14:textId="77777777" w:rsidR="0064111D" w:rsidRPr="00FB2719" w:rsidRDefault="0064111D" w:rsidP="0064111D">
            <w:pPr>
              <w:autoSpaceDE w:val="0"/>
              <w:autoSpaceDN w:val="0"/>
              <w:adjustRightInd w:val="0"/>
              <w:rPr>
                <w:sz w:val="22"/>
                <w:szCs w:val="22"/>
              </w:rPr>
            </w:pPr>
          </w:p>
          <w:p w14:paraId="06730938" w14:textId="77777777" w:rsidR="0064111D" w:rsidRPr="00FB2719" w:rsidRDefault="0064111D" w:rsidP="0064111D">
            <w:pPr>
              <w:autoSpaceDE w:val="0"/>
              <w:autoSpaceDN w:val="0"/>
              <w:adjustRightInd w:val="0"/>
              <w:rPr>
                <w:sz w:val="22"/>
                <w:szCs w:val="22"/>
                <w:lang w:val="it-IT"/>
              </w:rPr>
            </w:pPr>
            <w:r w:rsidRPr="00FB2719">
              <w:rPr>
                <w:sz w:val="22"/>
                <w:szCs w:val="22"/>
                <w:lang w:val="it-IT"/>
              </w:rPr>
              <w:t>D</w:t>
            </w:r>
            <w:r w:rsidR="00895257" w:rsidRPr="00FB2719">
              <w:rPr>
                <w:sz w:val="22"/>
                <w:szCs w:val="22"/>
                <w:lang w:val="it-IT"/>
              </w:rPr>
              <w:t xml:space="preserve">ėl </w:t>
            </w:r>
            <w:r w:rsidRPr="00FB2719">
              <w:rPr>
                <w:sz w:val="22"/>
                <w:szCs w:val="22"/>
                <w:lang w:val="it-IT"/>
              </w:rPr>
              <w:t>l</w:t>
            </w:r>
            <w:r w:rsidRPr="00FB2719">
              <w:rPr>
                <w:color w:val="000000"/>
                <w:sz w:val="22"/>
                <w:szCs w:val="22"/>
                <w:lang w:val="it-IT"/>
              </w:rPr>
              <w:t>opinaviro / ritonaviro derinio</w:t>
            </w:r>
            <w:r w:rsidRPr="00FB2719">
              <w:rPr>
                <w:sz w:val="22"/>
                <w:szCs w:val="22"/>
                <w:lang w:val="it-IT"/>
              </w:rPr>
              <w:t xml:space="preserve"> sukeliamo BCRP</w:t>
            </w:r>
          </w:p>
          <w:p w14:paraId="0635600C" w14:textId="77777777" w:rsidR="0064111D" w:rsidRPr="00FB2719" w:rsidRDefault="0064111D" w:rsidP="00AD237C">
            <w:pPr>
              <w:autoSpaceDE w:val="0"/>
              <w:autoSpaceDN w:val="0"/>
              <w:adjustRightInd w:val="0"/>
              <w:rPr>
                <w:i/>
                <w:sz w:val="22"/>
                <w:szCs w:val="22"/>
                <w:lang w:val="it-IT"/>
              </w:rPr>
            </w:pPr>
            <w:r w:rsidRPr="00FB2719">
              <w:rPr>
                <w:sz w:val="22"/>
                <w:szCs w:val="22"/>
                <w:lang w:val="it-IT"/>
              </w:rPr>
              <w:t xml:space="preserve">(krūties vėžio atsparumo baltymo [angl. </w:t>
            </w:r>
            <w:r w:rsidRPr="00FB2719">
              <w:rPr>
                <w:i/>
                <w:sz w:val="22"/>
                <w:szCs w:val="22"/>
                <w:lang w:val="it-IT"/>
              </w:rPr>
              <w:t>breast cancer resistance protein</w:t>
            </w:r>
            <w:r w:rsidRPr="00FB2719">
              <w:rPr>
                <w:sz w:val="22"/>
                <w:szCs w:val="22"/>
                <w:lang w:val="it-IT"/>
              </w:rPr>
              <w:t xml:space="preserve">] / ABCG2) ir stipraus Pgp </w:t>
            </w:r>
            <w:r w:rsidRPr="00FB2719">
              <w:rPr>
                <w:sz w:val="22"/>
                <w:szCs w:val="22"/>
              </w:rPr>
              <w:t>slopinimo.</w:t>
            </w:r>
          </w:p>
        </w:tc>
        <w:tc>
          <w:tcPr>
            <w:tcW w:w="2988" w:type="dxa"/>
            <w:tcBorders>
              <w:top w:val="single" w:sz="4" w:space="0" w:color="auto"/>
              <w:left w:val="single" w:sz="4" w:space="0" w:color="auto"/>
              <w:bottom w:val="single" w:sz="4" w:space="0" w:color="auto"/>
              <w:right w:val="single" w:sz="4" w:space="0" w:color="auto"/>
            </w:tcBorders>
          </w:tcPr>
          <w:p w14:paraId="48B25066" w14:textId="77777777" w:rsidR="0064111D" w:rsidRPr="00FB2719" w:rsidRDefault="0064111D" w:rsidP="00AD237C">
            <w:pPr>
              <w:autoSpaceDE w:val="0"/>
              <w:autoSpaceDN w:val="0"/>
              <w:adjustRightInd w:val="0"/>
              <w:rPr>
                <w:sz w:val="22"/>
                <w:szCs w:val="22"/>
                <w:lang w:val="it-IT"/>
              </w:rPr>
            </w:pPr>
            <w:r w:rsidRPr="00FB2719">
              <w:rPr>
                <w:sz w:val="22"/>
                <w:szCs w:val="22"/>
                <w:lang w:val="it-IT"/>
              </w:rPr>
              <w:t>Afatinib</w:t>
            </w:r>
            <w:r w:rsidR="00895257" w:rsidRPr="00FB2719">
              <w:rPr>
                <w:sz w:val="22"/>
                <w:szCs w:val="22"/>
                <w:lang w:val="it-IT"/>
              </w:rPr>
              <w:t xml:space="preserve">ą su </w:t>
            </w:r>
            <w:r w:rsidRPr="00FB2719">
              <w:rPr>
                <w:sz w:val="22"/>
                <w:szCs w:val="22"/>
                <w:lang w:val="it-IT"/>
              </w:rPr>
              <w:t>l</w:t>
            </w:r>
            <w:r w:rsidRPr="00FB2719">
              <w:rPr>
                <w:color w:val="000000"/>
                <w:sz w:val="22"/>
                <w:szCs w:val="22"/>
                <w:lang w:val="it-IT"/>
              </w:rPr>
              <w:t>opinaviro / ritonaviro deriniu</w:t>
            </w:r>
            <w:r w:rsidRPr="00FB2719">
              <w:rPr>
                <w:sz w:val="22"/>
                <w:szCs w:val="22"/>
                <w:lang w:val="it-IT"/>
              </w:rPr>
              <w:t xml:space="preserve"> reikia vartoti atsargiai. Dozavimo koregavimo rekomendacijos pateikiamos afatinibo PCS. Reikia steb</w:t>
            </w:r>
            <w:r w:rsidR="00895257" w:rsidRPr="00FB2719">
              <w:rPr>
                <w:sz w:val="22"/>
                <w:szCs w:val="22"/>
                <w:lang w:val="it-IT"/>
              </w:rPr>
              <w:t>ė</w:t>
            </w:r>
            <w:r w:rsidRPr="00FB2719">
              <w:rPr>
                <w:sz w:val="22"/>
                <w:szCs w:val="22"/>
                <w:lang w:val="it-IT"/>
              </w:rPr>
              <w:t>ti</w:t>
            </w:r>
            <w:r w:rsidR="00895257" w:rsidRPr="00FB2719">
              <w:rPr>
                <w:sz w:val="22"/>
                <w:szCs w:val="22"/>
                <w:lang w:val="it-IT"/>
              </w:rPr>
              <w:t>,</w:t>
            </w:r>
            <w:r w:rsidRPr="00FB2719">
              <w:rPr>
                <w:sz w:val="22"/>
                <w:szCs w:val="22"/>
                <w:lang w:val="it-IT"/>
              </w:rPr>
              <w:t xml:space="preserve"> ar neatsiranda su afatinibu susijusi</w:t>
            </w:r>
            <w:r w:rsidR="00895257" w:rsidRPr="00FB2719">
              <w:rPr>
                <w:sz w:val="22"/>
                <w:szCs w:val="22"/>
                <w:lang w:val="it-IT"/>
              </w:rPr>
              <w:t>ų</w:t>
            </w:r>
            <w:r w:rsidRPr="00FB2719">
              <w:rPr>
                <w:sz w:val="22"/>
                <w:szCs w:val="22"/>
                <w:lang w:val="it-IT"/>
              </w:rPr>
              <w:t xml:space="preserve"> </w:t>
            </w:r>
            <w:r w:rsidRPr="00FB2719">
              <w:rPr>
                <w:sz w:val="22"/>
                <w:szCs w:val="22"/>
              </w:rPr>
              <w:t>NRV.</w:t>
            </w:r>
          </w:p>
        </w:tc>
      </w:tr>
      <w:tr w:rsidR="0064111D" w:rsidRPr="00FB2719" w14:paraId="7DE9B444" w14:textId="77777777" w:rsidTr="0064111D">
        <w:tc>
          <w:tcPr>
            <w:tcW w:w="3044" w:type="dxa"/>
            <w:tcBorders>
              <w:top w:val="single" w:sz="4" w:space="0" w:color="auto"/>
              <w:left w:val="single" w:sz="4" w:space="0" w:color="auto"/>
              <w:bottom w:val="single" w:sz="4" w:space="0" w:color="auto"/>
              <w:right w:val="single" w:sz="4" w:space="0" w:color="auto"/>
            </w:tcBorders>
          </w:tcPr>
          <w:p w14:paraId="0CA3946D" w14:textId="77777777" w:rsidR="0064111D" w:rsidRPr="00FB2719" w:rsidRDefault="0064111D">
            <w:pPr>
              <w:pStyle w:val="Default"/>
              <w:spacing w:line="276" w:lineRule="auto"/>
              <w:rPr>
                <w:sz w:val="22"/>
                <w:szCs w:val="22"/>
                <w:lang w:val="lt-LT"/>
              </w:rPr>
            </w:pPr>
            <w:r w:rsidRPr="00FB2719">
              <w:rPr>
                <w:sz w:val="22"/>
                <w:szCs w:val="22"/>
                <w:lang w:val="lt-LT"/>
              </w:rPr>
              <w:t>Ceritinibas</w:t>
            </w:r>
          </w:p>
        </w:tc>
        <w:tc>
          <w:tcPr>
            <w:tcW w:w="2984" w:type="dxa"/>
            <w:tcBorders>
              <w:top w:val="single" w:sz="4" w:space="0" w:color="auto"/>
              <w:left w:val="single" w:sz="4" w:space="0" w:color="auto"/>
              <w:bottom w:val="single" w:sz="4" w:space="0" w:color="auto"/>
              <w:right w:val="single" w:sz="4" w:space="0" w:color="auto"/>
            </w:tcBorders>
          </w:tcPr>
          <w:p w14:paraId="7A81C115" w14:textId="77777777" w:rsidR="0064111D" w:rsidRPr="00FB2719" w:rsidRDefault="0064111D" w:rsidP="00AD237C">
            <w:pPr>
              <w:pStyle w:val="Betarp"/>
              <w:rPr>
                <w:sz w:val="22"/>
                <w:szCs w:val="22"/>
              </w:rPr>
            </w:pPr>
            <w:r w:rsidRPr="00FB2719">
              <w:rPr>
                <w:sz w:val="22"/>
                <w:szCs w:val="22"/>
              </w:rPr>
              <w:t xml:space="preserve">Dėl </w:t>
            </w:r>
            <w:r w:rsidRPr="00FB2719">
              <w:rPr>
                <w:sz w:val="22"/>
                <w:szCs w:val="22"/>
                <w:lang w:val="it-IT"/>
              </w:rPr>
              <w:t>l</w:t>
            </w:r>
            <w:r w:rsidRPr="00FB2719">
              <w:rPr>
                <w:color w:val="000000"/>
                <w:sz w:val="22"/>
                <w:szCs w:val="22"/>
                <w:lang w:val="it-IT"/>
              </w:rPr>
              <w:t>opinaviro / ritonaviro derinio</w:t>
            </w:r>
            <w:r w:rsidRPr="00FB2719">
              <w:rPr>
                <w:sz w:val="22"/>
                <w:szCs w:val="22"/>
              </w:rPr>
              <w:t xml:space="preserve"> sukeliamo CYP3A ir P-pg slopinimo gali padidėti</w:t>
            </w:r>
          </w:p>
          <w:p w14:paraId="5ED93844" w14:textId="77777777" w:rsidR="0064111D" w:rsidRPr="00FB2719" w:rsidRDefault="0064111D" w:rsidP="00AD237C">
            <w:pPr>
              <w:pStyle w:val="Betarp"/>
              <w:rPr>
                <w:sz w:val="22"/>
                <w:szCs w:val="22"/>
              </w:rPr>
            </w:pPr>
            <w:r w:rsidRPr="00FB2719">
              <w:rPr>
                <w:sz w:val="22"/>
                <w:szCs w:val="22"/>
              </w:rPr>
              <w:t>koncentracijos serume.</w:t>
            </w:r>
          </w:p>
        </w:tc>
        <w:tc>
          <w:tcPr>
            <w:tcW w:w="2988" w:type="dxa"/>
            <w:tcBorders>
              <w:top w:val="single" w:sz="4" w:space="0" w:color="auto"/>
              <w:left w:val="single" w:sz="4" w:space="0" w:color="auto"/>
              <w:bottom w:val="single" w:sz="4" w:space="0" w:color="auto"/>
              <w:right w:val="single" w:sz="4" w:space="0" w:color="auto"/>
            </w:tcBorders>
          </w:tcPr>
          <w:p w14:paraId="4E50696F" w14:textId="77777777" w:rsidR="0064111D" w:rsidRPr="00FB2719" w:rsidRDefault="0064111D" w:rsidP="00AD237C">
            <w:pPr>
              <w:pStyle w:val="Betarp"/>
              <w:rPr>
                <w:sz w:val="22"/>
                <w:szCs w:val="22"/>
              </w:rPr>
            </w:pPr>
            <w:r w:rsidRPr="00FB2719">
              <w:rPr>
                <w:sz w:val="22"/>
                <w:szCs w:val="22"/>
                <w:lang w:val="it-IT"/>
              </w:rPr>
              <w:t>Ceritinibą su lopinaviro / ritonaviro deriniu reikia vartoti atsargiai. Dozavimo koregavimo rekomendacijos pateikiamos ceritinibo PCS. Reikia stebėti, ar neatsiranda su ceritinibu susijusių NRV.</w:t>
            </w:r>
          </w:p>
        </w:tc>
      </w:tr>
      <w:tr w:rsidR="00CA08B3" w:rsidRPr="00FB2719" w14:paraId="22D9DE27" w14:textId="77777777" w:rsidTr="0064111D">
        <w:tc>
          <w:tcPr>
            <w:tcW w:w="3044" w:type="dxa"/>
            <w:tcBorders>
              <w:top w:val="single" w:sz="4" w:space="0" w:color="auto"/>
              <w:left w:val="single" w:sz="4" w:space="0" w:color="auto"/>
              <w:bottom w:val="single" w:sz="4" w:space="0" w:color="auto"/>
              <w:right w:val="single" w:sz="4" w:space="0" w:color="auto"/>
            </w:tcBorders>
            <w:hideMark/>
          </w:tcPr>
          <w:p w14:paraId="09B598F5" w14:textId="77777777" w:rsidR="00CA08B3" w:rsidRPr="00FB2719" w:rsidRDefault="00CA08B3">
            <w:pPr>
              <w:pStyle w:val="Default"/>
              <w:spacing w:line="276" w:lineRule="auto"/>
              <w:rPr>
                <w:sz w:val="22"/>
                <w:szCs w:val="22"/>
                <w:lang w:val="lt-LT"/>
              </w:rPr>
            </w:pPr>
            <w:r w:rsidRPr="00FB2719">
              <w:rPr>
                <w:sz w:val="22"/>
                <w:szCs w:val="22"/>
                <w:lang w:val="lt-LT"/>
              </w:rPr>
              <w:lastRenderedPageBreak/>
              <w:t xml:space="preserve">Dauguma tirozino kinazės inhibitorių (tokie, kaip dazatinibas ir nilotinibas), </w:t>
            </w:r>
          </w:p>
          <w:p w14:paraId="16B9930C" w14:textId="77777777" w:rsidR="00CA08B3" w:rsidRPr="00FB2719" w:rsidRDefault="00CA08B3">
            <w:pPr>
              <w:tabs>
                <w:tab w:val="left" w:pos="567"/>
              </w:tabs>
              <w:spacing w:line="276" w:lineRule="auto"/>
              <w:jc w:val="both"/>
              <w:rPr>
                <w:bCs/>
                <w:sz w:val="22"/>
                <w:szCs w:val="22"/>
                <w:lang w:val="en-US"/>
              </w:rPr>
            </w:pPr>
            <w:r w:rsidRPr="00FB2719">
              <w:rPr>
                <w:sz w:val="22"/>
                <w:szCs w:val="22"/>
                <w:lang w:val="en-US"/>
              </w:rPr>
              <w:t xml:space="preserve">vinkristinas, vinblastinas </w:t>
            </w:r>
          </w:p>
        </w:tc>
        <w:tc>
          <w:tcPr>
            <w:tcW w:w="2984" w:type="dxa"/>
            <w:tcBorders>
              <w:top w:val="single" w:sz="4" w:space="0" w:color="auto"/>
              <w:left w:val="single" w:sz="4" w:space="0" w:color="auto"/>
              <w:bottom w:val="single" w:sz="4" w:space="0" w:color="auto"/>
              <w:right w:val="single" w:sz="4" w:space="0" w:color="auto"/>
            </w:tcBorders>
            <w:hideMark/>
          </w:tcPr>
          <w:p w14:paraId="684AF4FF" w14:textId="77777777" w:rsidR="00CA08B3" w:rsidRPr="00FB2719" w:rsidRDefault="00CA08B3">
            <w:pPr>
              <w:pStyle w:val="Default"/>
              <w:spacing w:line="276" w:lineRule="auto"/>
              <w:rPr>
                <w:sz w:val="22"/>
                <w:szCs w:val="22"/>
                <w:lang w:val="lt-LT"/>
              </w:rPr>
            </w:pPr>
            <w:r w:rsidRPr="00FB2719">
              <w:rPr>
                <w:sz w:val="22"/>
                <w:szCs w:val="22"/>
                <w:lang w:val="lt-LT"/>
              </w:rPr>
              <w:t xml:space="preserve">Dauguma tirozino kinazės inhibitorių (tokie, kaip dazatinibas ir nilotinibas), taip pat vinkristinas ir vinblastinas: </w:t>
            </w:r>
          </w:p>
          <w:p w14:paraId="1EA5B8F9" w14:textId="77777777" w:rsidR="00CA08B3" w:rsidRPr="00FB2719" w:rsidRDefault="00CA08B3">
            <w:pPr>
              <w:tabs>
                <w:tab w:val="left" w:pos="567"/>
              </w:tabs>
              <w:spacing w:line="276" w:lineRule="auto"/>
              <w:rPr>
                <w:bCs/>
                <w:sz w:val="22"/>
                <w:szCs w:val="22"/>
              </w:rPr>
            </w:pPr>
            <w:r w:rsidRPr="00FB2719">
              <w:rPr>
                <w:sz w:val="22"/>
                <w:szCs w:val="22"/>
              </w:rPr>
              <w:t>didesnė nepageidaujamų reiškinių rizika dėl didesnių koncentracijų serume, nes l</w:t>
            </w:r>
            <w:r w:rsidRPr="00FB2719">
              <w:rPr>
                <w:color w:val="000000"/>
                <w:sz w:val="22"/>
                <w:szCs w:val="22"/>
              </w:rPr>
              <w:t>opinaviro / ritonaviro derinys</w:t>
            </w:r>
            <w:r w:rsidRPr="00FB2719">
              <w:rPr>
                <w:sz w:val="22"/>
                <w:szCs w:val="22"/>
              </w:rPr>
              <w:t xml:space="preserve"> slopina CYP3A4. </w:t>
            </w:r>
          </w:p>
        </w:tc>
        <w:tc>
          <w:tcPr>
            <w:tcW w:w="2988" w:type="dxa"/>
            <w:tcBorders>
              <w:top w:val="single" w:sz="4" w:space="0" w:color="auto"/>
              <w:left w:val="single" w:sz="4" w:space="0" w:color="auto"/>
              <w:bottom w:val="single" w:sz="4" w:space="0" w:color="auto"/>
              <w:right w:val="single" w:sz="4" w:space="0" w:color="auto"/>
            </w:tcBorders>
          </w:tcPr>
          <w:p w14:paraId="56B5F63B" w14:textId="77777777" w:rsidR="00CA08B3" w:rsidRPr="00FB2719" w:rsidRDefault="00CA08B3">
            <w:pPr>
              <w:pStyle w:val="Default"/>
              <w:spacing w:line="276" w:lineRule="auto"/>
              <w:rPr>
                <w:sz w:val="22"/>
                <w:szCs w:val="22"/>
                <w:lang w:val="lt-LT"/>
              </w:rPr>
            </w:pPr>
            <w:r w:rsidRPr="00FB2719">
              <w:rPr>
                <w:sz w:val="22"/>
                <w:szCs w:val="22"/>
                <w:lang w:val="lt-LT"/>
              </w:rPr>
              <w:t xml:space="preserve">Rekomenduojama atidžiai stebėti šių priešvėžinių vaistinių preparatų toleravimą. </w:t>
            </w:r>
          </w:p>
          <w:p w14:paraId="1DB4241B" w14:textId="77777777" w:rsidR="00CA08B3" w:rsidRPr="00FB2719" w:rsidRDefault="00CA08B3">
            <w:pPr>
              <w:tabs>
                <w:tab w:val="left" w:pos="567"/>
              </w:tabs>
              <w:spacing w:line="276" w:lineRule="auto"/>
              <w:rPr>
                <w:bCs/>
                <w:sz w:val="22"/>
                <w:szCs w:val="22"/>
              </w:rPr>
            </w:pPr>
          </w:p>
        </w:tc>
      </w:tr>
      <w:tr w:rsidR="00F80BD1" w:rsidRPr="00FB2719" w14:paraId="5EE628CC" w14:textId="77777777" w:rsidTr="0064111D">
        <w:tc>
          <w:tcPr>
            <w:tcW w:w="3044" w:type="dxa"/>
            <w:tcBorders>
              <w:top w:val="single" w:sz="4" w:space="0" w:color="auto"/>
              <w:left w:val="single" w:sz="4" w:space="0" w:color="auto"/>
              <w:bottom w:val="single" w:sz="4" w:space="0" w:color="auto"/>
              <w:right w:val="single" w:sz="4" w:space="0" w:color="auto"/>
            </w:tcBorders>
          </w:tcPr>
          <w:p w14:paraId="1B2C3671" w14:textId="77777777" w:rsidR="00F80BD1" w:rsidRPr="00FB2719" w:rsidRDefault="007C62CC">
            <w:pPr>
              <w:pStyle w:val="Default"/>
              <w:spacing w:line="276" w:lineRule="auto"/>
              <w:rPr>
                <w:sz w:val="22"/>
                <w:szCs w:val="22"/>
                <w:lang w:val="lt-LT"/>
              </w:rPr>
            </w:pPr>
            <w:r w:rsidRPr="00FB2719">
              <w:rPr>
                <w:sz w:val="22"/>
                <w:szCs w:val="22"/>
                <w:lang w:val="lt-LT"/>
              </w:rPr>
              <w:t>Ibrutinibas</w:t>
            </w:r>
          </w:p>
        </w:tc>
        <w:tc>
          <w:tcPr>
            <w:tcW w:w="2984" w:type="dxa"/>
            <w:tcBorders>
              <w:top w:val="single" w:sz="4" w:space="0" w:color="auto"/>
              <w:left w:val="single" w:sz="4" w:space="0" w:color="auto"/>
              <w:bottom w:val="single" w:sz="4" w:space="0" w:color="auto"/>
              <w:right w:val="single" w:sz="4" w:space="0" w:color="auto"/>
            </w:tcBorders>
          </w:tcPr>
          <w:p w14:paraId="0A315057" w14:textId="77777777" w:rsidR="00F80BD1" w:rsidRPr="00FB2719" w:rsidRDefault="007C62CC" w:rsidP="007C62CC">
            <w:pPr>
              <w:pStyle w:val="Default"/>
              <w:spacing w:line="276" w:lineRule="auto"/>
              <w:rPr>
                <w:sz w:val="22"/>
                <w:szCs w:val="22"/>
                <w:lang w:val="lt-LT"/>
              </w:rPr>
            </w:pPr>
            <w:r w:rsidRPr="00FB2719">
              <w:rPr>
                <w:sz w:val="22"/>
                <w:szCs w:val="22"/>
                <w:lang w:val="lt-LT"/>
              </w:rPr>
              <w:t>Dėl lopinaviro / ritonaviro sukeliamo CYP3A slopinimo gali būti dide</w:t>
            </w:r>
            <w:r w:rsidR="000B09F0" w:rsidRPr="00FB2719">
              <w:rPr>
                <w:sz w:val="22"/>
                <w:szCs w:val="22"/>
                <w:lang w:val="lt-LT"/>
              </w:rPr>
              <w:t>s</w:t>
            </w:r>
            <w:r w:rsidRPr="00FB2719">
              <w:rPr>
                <w:sz w:val="22"/>
                <w:szCs w:val="22"/>
                <w:lang w:val="lt-LT"/>
              </w:rPr>
              <w:t>nės koncentracijos serume</w:t>
            </w:r>
          </w:p>
        </w:tc>
        <w:tc>
          <w:tcPr>
            <w:tcW w:w="2988" w:type="dxa"/>
            <w:tcBorders>
              <w:top w:val="single" w:sz="4" w:space="0" w:color="auto"/>
              <w:left w:val="single" w:sz="4" w:space="0" w:color="auto"/>
              <w:bottom w:val="single" w:sz="4" w:space="0" w:color="auto"/>
              <w:right w:val="single" w:sz="4" w:space="0" w:color="auto"/>
            </w:tcBorders>
          </w:tcPr>
          <w:p w14:paraId="20E3D16E" w14:textId="77777777" w:rsidR="00F80BD1" w:rsidRPr="00FB2719" w:rsidRDefault="007C62CC" w:rsidP="007C62CC">
            <w:pPr>
              <w:pStyle w:val="Default"/>
              <w:spacing w:line="276" w:lineRule="auto"/>
              <w:rPr>
                <w:sz w:val="22"/>
                <w:szCs w:val="22"/>
                <w:lang w:val="lt-LT"/>
              </w:rPr>
            </w:pPr>
            <w:r w:rsidRPr="00FB2719">
              <w:rPr>
                <w:sz w:val="22"/>
                <w:szCs w:val="22"/>
                <w:lang w:val="lt-LT"/>
              </w:rPr>
              <w:t>Kartu vartojant ibrutinibo ir Lopinavir/Ritonavir Sandoz gali padidėti ibrutinibo ekspozicija, dėl kurios gali padidėti toksiškumo rizika, įskaitant naviko irimo sindromo riziką. Reikia vengti kartu vartoti ibrutinibo ir Lopinavir/Ritonavir Sandoz. Jeigu manoma, kad nauda yra didesnė už riziką, ir Lopinavir/Ritonavir Sandoz turi būti vartojamas, ibrutinibo dozė turi būti sumažinta iki 140 mg ir pacientas turi būti atidžiai stebimas dėl toksiškumo</w:t>
            </w:r>
          </w:p>
        </w:tc>
      </w:tr>
      <w:tr w:rsidR="00F80BD1" w:rsidRPr="00FB2719" w14:paraId="41F6A8AB" w14:textId="77777777" w:rsidTr="0064111D">
        <w:tc>
          <w:tcPr>
            <w:tcW w:w="3044" w:type="dxa"/>
            <w:tcBorders>
              <w:top w:val="single" w:sz="4" w:space="0" w:color="auto"/>
              <w:left w:val="single" w:sz="4" w:space="0" w:color="auto"/>
              <w:bottom w:val="single" w:sz="4" w:space="0" w:color="auto"/>
              <w:right w:val="single" w:sz="4" w:space="0" w:color="auto"/>
            </w:tcBorders>
          </w:tcPr>
          <w:p w14:paraId="3EB81105" w14:textId="77777777" w:rsidR="00F80BD1" w:rsidRPr="00FB2719" w:rsidRDefault="00F80BD1">
            <w:pPr>
              <w:pStyle w:val="Default"/>
              <w:spacing w:line="276" w:lineRule="auto"/>
              <w:rPr>
                <w:sz w:val="22"/>
                <w:szCs w:val="22"/>
                <w:lang w:val="lt-LT"/>
              </w:rPr>
            </w:pPr>
            <w:r w:rsidRPr="00FB2719">
              <w:rPr>
                <w:sz w:val="22"/>
                <w:szCs w:val="22"/>
                <w:lang w:val="lt-LT"/>
              </w:rPr>
              <w:t>Venetoklaksas</w:t>
            </w:r>
          </w:p>
        </w:tc>
        <w:tc>
          <w:tcPr>
            <w:tcW w:w="2984" w:type="dxa"/>
            <w:tcBorders>
              <w:top w:val="single" w:sz="4" w:space="0" w:color="auto"/>
              <w:left w:val="single" w:sz="4" w:space="0" w:color="auto"/>
              <w:bottom w:val="single" w:sz="4" w:space="0" w:color="auto"/>
              <w:right w:val="single" w:sz="4" w:space="0" w:color="auto"/>
            </w:tcBorders>
          </w:tcPr>
          <w:p w14:paraId="3671D0C6" w14:textId="77777777" w:rsidR="00F80BD1" w:rsidRPr="00FB2719" w:rsidRDefault="00F80BD1" w:rsidP="00F80BD1">
            <w:pPr>
              <w:pStyle w:val="Default"/>
              <w:spacing w:line="276" w:lineRule="auto"/>
              <w:rPr>
                <w:sz w:val="22"/>
                <w:szCs w:val="22"/>
                <w:lang w:val="lt-LT"/>
              </w:rPr>
            </w:pPr>
            <w:r w:rsidRPr="00FB2719">
              <w:rPr>
                <w:sz w:val="22"/>
                <w:szCs w:val="22"/>
                <w:lang w:val="lt-LT"/>
              </w:rPr>
              <w:t>Dėl CYP3A slopinimo lopinaviru / ritonaviru.</w:t>
            </w:r>
          </w:p>
        </w:tc>
        <w:tc>
          <w:tcPr>
            <w:tcW w:w="2988" w:type="dxa"/>
            <w:tcBorders>
              <w:top w:val="single" w:sz="4" w:space="0" w:color="auto"/>
              <w:left w:val="single" w:sz="4" w:space="0" w:color="auto"/>
              <w:bottom w:val="single" w:sz="4" w:space="0" w:color="auto"/>
              <w:right w:val="single" w:sz="4" w:space="0" w:color="auto"/>
            </w:tcBorders>
          </w:tcPr>
          <w:p w14:paraId="4762FB3E" w14:textId="77777777" w:rsidR="00F80BD1" w:rsidRPr="00FB2719" w:rsidRDefault="00F80BD1" w:rsidP="00F80BD1">
            <w:pPr>
              <w:autoSpaceDE w:val="0"/>
              <w:autoSpaceDN w:val="0"/>
              <w:adjustRightInd w:val="0"/>
              <w:rPr>
                <w:rFonts w:ascii="TimesNewRomanPSMT" w:eastAsiaTheme="minorHAnsi" w:hAnsi="TimesNewRomanPSMT" w:cs="TimesNewRomanPSMT"/>
                <w:sz w:val="21"/>
                <w:szCs w:val="21"/>
              </w:rPr>
            </w:pPr>
            <w:r w:rsidRPr="00FB2719">
              <w:rPr>
                <w:rFonts w:ascii="TimesNewRomanPSMT" w:eastAsiaTheme="minorHAnsi" w:hAnsi="TimesNewRomanPSMT" w:cs="TimesNewRomanPSMT"/>
                <w:sz w:val="21"/>
                <w:szCs w:val="21"/>
              </w:rPr>
              <w:t>Dėl CYP3A slopinimo lopinaviru</w:t>
            </w:r>
            <w:r w:rsidR="007C62CC" w:rsidRPr="00FB2719">
              <w:rPr>
                <w:rFonts w:ascii="TimesNewRomanPSMT" w:eastAsiaTheme="minorHAnsi" w:hAnsi="TimesNewRomanPSMT" w:cs="TimesNewRomanPSMT"/>
                <w:sz w:val="21"/>
                <w:szCs w:val="21"/>
              </w:rPr>
              <w:t xml:space="preserve"> </w:t>
            </w:r>
            <w:r w:rsidRPr="00FB2719">
              <w:rPr>
                <w:rFonts w:ascii="TimesNewRomanPSMT" w:eastAsiaTheme="minorHAnsi" w:hAnsi="TimesNewRomanPSMT" w:cs="TimesNewRomanPSMT"/>
                <w:sz w:val="21"/>
                <w:szCs w:val="21"/>
              </w:rPr>
              <w:t>/ ritonaviru gali padidėti</w:t>
            </w:r>
            <w:r w:rsidR="007C62CC" w:rsidRPr="00FB2719">
              <w:rPr>
                <w:rFonts w:ascii="TimesNewRomanPSMT" w:eastAsiaTheme="minorHAnsi" w:hAnsi="TimesNewRomanPSMT" w:cs="TimesNewRomanPSMT"/>
                <w:sz w:val="21"/>
                <w:szCs w:val="21"/>
              </w:rPr>
              <w:t xml:space="preserve"> </w:t>
            </w:r>
            <w:r w:rsidRPr="00FB2719">
              <w:rPr>
                <w:rFonts w:ascii="TimesNewRomanPSMT" w:eastAsiaTheme="minorHAnsi" w:hAnsi="TimesNewRomanPSMT" w:cs="TimesNewRomanPSMT"/>
                <w:sz w:val="21"/>
                <w:szCs w:val="21"/>
              </w:rPr>
              <w:t>koncentracijos serume,</w:t>
            </w:r>
            <w:r w:rsidR="007C62CC" w:rsidRPr="00FB2719">
              <w:rPr>
                <w:rFonts w:ascii="TimesNewRomanPSMT" w:eastAsiaTheme="minorHAnsi" w:hAnsi="TimesNewRomanPSMT" w:cs="TimesNewRomanPSMT"/>
                <w:sz w:val="21"/>
                <w:szCs w:val="21"/>
              </w:rPr>
              <w:t xml:space="preserve"> </w:t>
            </w:r>
            <w:r w:rsidRPr="00FB2719">
              <w:rPr>
                <w:rFonts w:ascii="TimesNewRomanPSMT" w:eastAsiaTheme="minorHAnsi" w:hAnsi="TimesNewRomanPSMT" w:cs="TimesNewRomanPSMT"/>
                <w:sz w:val="21"/>
                <w:szCs w:val="21"/>
              </w:rPr>
              <w:t>sukeldamos padidėjusią navikų</w:t>
            </w:r>
            <w:r w:rsidR="007C62CC" w:rsidRPr="00FB2719">
              <w:rPr>
                <w:rFonts w:ascii="TimesNewRomanPSMT" w:eastAsiaTheme="minorHAnsi" w:hAnsi="TimesNewRomanPSMT" w:cs="TimesNewRomanPSMT"/>
                <w:sz w:val="21"/>
                <w:szCs w:val="21"/>
              </w:rPr>
              <w:t xml:space="preserve"> </w:t>
            </w:r>
            <w:r w:rsidRPr="00FB2719">
              <w:rPr>
                <w:rFonts w:ascii="TimesNewRomanPSMT" w:eastAsiaTheme="minorHAnsi" w:hAnsi="TimesNewRomanPSMT" w:cs="TimesNewRomanPSMT"/>
                <w:sz w:val="21"/>
                <w:szCs w:val="21"/>
              </w:rPr>
              <w:t>lizės sindromo riziką vartojimo</w:t>
            </w:r>
            <w:r w:rsidR="007C62CC" w:rsidRPr="00FB2719">
              <w:rPr>
                <w:rFonts w:ascii="TimesNewRomanPSMT" w:eastAsiaTheme="minorHAnsi" w:hAnsi="TimesNewRomanPSMT" w:cs="TimesNewRomanPSMT"/>
                <w:sz w:val="21"/>
                <w:szCs w:val="21"/>
              </w:rPr>
              <w:t xml:space="preserve"> </w:t>
            </w:r>
            <w:r w:rsidRPr="00FB2719">
              <w:rPr>
                <w:rFonts w:ascii="TimesNewRomanPSMT" w:eastAsiaTheme="minorHAnsi" w:hAnsi="TimesNewRomanPSMT" w:cs="TimesNewRomanPSMT"/>
                <w:sz w:val="21"/>
                <w:szCs w:val="21"/>
              </w:rPr>
              <w:t>pradžioje ir dozės didinimo fazėje</w:t>
            </w:r>
            <w:r w:rsidR="007C62CC" w:rsidRPr="00FB2719">
              <w:rPr>
                <w:rFonts w:ascii="TimesNewRomanPSMT" w:eastAsiaTheme="minorHAnsi" w:hAnsi="TimesNewRomanPSMT" w:cs="TimesNewRomanPSMT"/>
                <w:sz w:val="21"/>
                <w:szCs w:val="21"/>
              </w:rPr>
              <w:t xml:space="preserve"> </w:t>
            </w:r>
            <w:r w:rsidRPr="00FB2719">
              <w:rPr>
                <w:rFonts w:ascii="TimesNewRomanPSMT" w:eastAsiaTheme="minorHAnsi" w:hAnsi="TimesNewRomanPSMT" w:cs="TimesNewRomanPSMT"/>
                <w:sz w:val="21"/>
                <w:szCs w:val="21"/>
              </w:rPr>
              <w:t>(žr. 4.3 skyrių ir venetoklakso</w:t>
            </w:r>
            <w:r w:rsidR="007C62CC" w:rsidRPr="00FB2719">
              <w:rPr>
                <w:rFonts w:ascii="TimesNewRomanPSMT" w:eastAsiaTheme="minorHAnsi" w:hAnsi="TimesNewRomanPSMT" w:cs="TimesNewRomanPSMT"/>
                <w:sz w:val="21"/>
                <w:szCs w:val="21"/>
              </w:rPr>
              <w:t xml:space="preserve"> </w:t>
            </w:r>
            <w:r w:rsidRPr="00FB2719">
              <w:rPr>
                <w:rFonts w:ascii="TimesNewRomanPSMT" w:eastAsiaTheme="minorHAnsi" w:hAnsi="TimesNewRomanPSMT" w:cs="TimesNewRomanPSMT"/>
                <w:sz w:val="21"/>
                <w:szCs w:val="21"/>
              </w:rPr>
              <w:t>PCS).</w:t>
            </w:r>
          </w:p>
          <w:p w14:paraId="3B4D6605" w14:textId="0A7C09E7" w:rsidR="00F80BD1" w:rsidRPr="00FB2719" w:rsidRDefault="00F80BD1" w:rsidP="00F80BD1">
            <w:pPr>
              <w:autoSpaceDE w:val="0"/>
              <w:autoSpaceDN w:val="0"/>
              <w:adjustRightInd w:val="0"/>
              <w:rPr>
                <w:rFonts w:ascii="TimesNewRomanPSMT" w:eastAsiaTheme="minorHAnsi" w:hAnsi="TimesNewRomanPSMT" w:cs="TimesNewRomanPSMT"/>
                <w:sz w:val="21"/>
                <w:szCs w:val="21"/>
              </w:rPr>
            </w:pPr>
            <w:r w:rsidRPr="00FB2719">
              <w:rPr>
                <w:rFonts w:ascii="TimesNewRomanPSMT" w:eastAsiaTheme="minorHAnsi" w:hAnsi="TimesNewRomanPSMT" w:cs="TimesNewRomanPSMT"/>
                <w:sz w:val="21"/>
                <w:szCs w:val="21"/>
              </w:rPr>
              <w:t>Pacientams, baigusiems dozės</w:t>
            </w:r>
            <w:r w:rsidR="007C62CC" w:rsidRPr="00FB2719">
              <w:rPr>
                <w:rFonts w:ascii="TimesNewRomanPSMT" w:eastAsiaTheme="minorHAnsi" w:hAnsi="TimesNewRomanPSMT" w:cs="TimesNewRomanPSMT"/>
                <w:sz w:val="21"/>
                <w:szCs w:val="21"/>
              </w:rPr>
              <w:t xml:space="preserve"> </w:t>
            </w:r>
            <w:r w:rsidRPr="00FB2719">
              <w:rPr>
                <w:rFonts w:ascii="TimesNewRomanPSMT" w:eastAsiaTheme="minorHAnsi" w:hAnsi="TimesNewRomanPSMT" w:cs="TimesNewRomanPSMT"/>
                <w:sz w:val="21"/>
                <w:szCs w:val="21"/>
              </w:rPr>
              <w:t>didinimo fazę ir gaunantiems</w:t>
            </w:r>
            <w:r w:rsidR="007C62CC" w:rsidRPr="00FB2719">
              <w:rPr>
                <w:rFonts w:ascii="TimesNewRomanPSMT" w:eastAsiaTheme="minorHAnsi" w:hAnsi="TimesNewRomanPSMT" w:cs="TimesNewRomanPSMT"/>
                <w:sz w:val="21"/>
                <w:szCs w:val="21"/>
              </w:rPr>
              <w:t xml:space="preserve"> </w:t>
            </w:r>
            <w:r w:rsidRPr="00FB2719">
              <w:rPr>
                <w:rFonts w:ascii="TimesNewRomanPSMT" w:eastAsiaTheme="minorHAnsi" w:hAnsi="TimesNewRomanPSMT" w:cs="TimesNewRomanPSMT"/>
                <w:sz w:val="21"/>
                <w:szCs w:val="21"/>
              </w:rPr>
              <w:t>pastovią venetoklakso paros dozę,</w:t>
            </w:r>
            <w:r w:rsidR="007C62CC" w:rsidRPr="00FB2719">
              <w:rPr>
                <w:rFonts w:ascii="TimesNewRomanPSMT" w:eastAsiaTheme="minorHAnsi" w:hAnsi="TimesNewRomanPSMT" w:cs="TimesNewRomanPSMT"/>
                <w:sz w:val="21"/>
                <w:szCs w:val="21"/>
              </w:rPr>
              <w:t xml:space="preserve"> </w:t>
            </w:r>
            <w:r w:rsidRPr="00FB2719">
              <w:rPr>
                <w:rFonts w:ascii="TimesNewRomanPSMT" w:eastAsiaTheme="minorHAnsi" w:hAnsi="TimesNewRomanPSMT" w:cs="TimesNewRomanPSMT"/>
                <w:sz w:val="21"/>
                <w:szCs w:val="21"/>
              </w:rPr>
              <w:t>vartojant su stipriais CYP3A</w:t>
            </w:r>
            <w:r w:rsidR="007C62CC" w:rsidRPr="00FB2719">
              <w:rPr>
                <w:rFonts w:ascii="TimesNewRomanPSMT" w:eastAsiaTheme="minorHAnsi" w:hAnsi="TimesNewRomanPSMT" w:cs="TimesNewRomanPSMT"/>
                <w:sz w:val="21"/>
                <w:szCs w:val="21"/>
              </w:rPr>
              <w:t xml:space="preserve"> </w:t>
            </w:r>
            <w:r w:rsidRPr="00FB2719">
              <w:rPr>
                <w:rFonts w:ascii="TimesNewRomanPSMT" w:eastAsiaTheme="minorHAnsi" w:hAnsi="TimesNewRomanPSMT" w:cs="TimesNewRomanPSMT"/>
                <w:sz w:val="21"/>
                <w:szCs w:val="21"/>
              </w:rPr>
              <w:t>inhibitoriais paros dozę reikia sumažinti bent 75</w:t>
            </w:r>
            <w:r w:rsidR="002035CC" w:rsidRPr="00FB2719">
              <w:rPr>
                <w:rFonts w:ascii="TimesNewRomanPSMT" w:eastAsiaTheme="minorHAnsi" w:hAnsi="TimesNewRomanPSMT" w:cs="TimesNewRomanPSMT"/>
                <w:sz w:val="21"/>
                <w:szCs w:val="21"/>
              </w:rPr>
              <w:t> </w:t>
            </w:r>
            <w:r w:rsidRPr="00FB2719">
              <w:rPr>
                <w:rFonts w:ascii="TimesNewRomanPSMT" w:eastAsiaTheme="minorHAnsi" w:hAnsi="TimesNewRomanPSMT" w:cs="TimesNewRomanPSMT"/>
                <w:sz w:val="21"/>
                <w:szCs w:val="21"/>
              </w:rPr>
              <w:t>% (dozavimo</w:t>
            </w:r>
            <w:r w:rsidR="007C62CC" w:rsidRPr="00FB2719">
              <w:rPr>
                <w:rFonts w:ascii="TimesNewRomanPSMT" w:eastAsiaTheme="minorHAnsi" w:hAnsi="TimesNewRomanPSMT" w:cs="TimesNewRomanPSMT"/>
                <w:sz w:val="21"/>
                <w:szCs w:val="21"/>
              </w:rPr>
              <w:t xml:space="preserve"> </w:t>
            </w:r>
            <w:r w:rsidRPr="00FB2719">
              <w:rPr>
                <w:rFonts w:ascii="TimesNewRomanPSMT" w:eastAsiaTheme="minorHAnsi" w:hAnsi="TimesNewRomanPSMT" w:cs="TimesNewRomanPSMT"/>
                <w:sz w:val="21"/>
                <w:szCs w:val="21"/>
              </w:rPr>
              <w:t>instrukcijos pateikiamos</w:t>
            </w:r>
            <w:r w:rsidR="007C62CC" w:rsidRPr="00FB2719">
              <w:rPr>
                <w:rFonts w:ascii="TimesNewRomanPSMT" w:eastAsiaTheme="minorHAnsi" w:hAnsi="TimesNewRomanPSMT" w:cs="TimesNewRomanPSMT"/>
                <w:sz w:val="21"/>
                <w:szCs w:val="21"/>
              </w:rPr>
              <w:t xml:space="preserve"> </w:t>
            </w:r>
            <w:r w:rsidRPr="00FB2719">
              <w:rPr>
                <w:rFonts w:ascii="TimesNewRomanPSMT" w:eastAsiaTheme="minorHAnsi" w:hAnsi="TimesNewRomanPSMT" w:cs="TimesNewRomanPSMT"/>
                <w:sz w:val="21"/>
                <w:szCs w:val="21"/>
              </w:rPr>
              <w:t>venetoklakso PCS). Pacientus</w:t>
            </w:r>
            <w:r w:rsidR="007C62CC" w:rsidRPr="00FB2719">
              <w:rPr>
                <w:rFonts w:ascii="TimesNewRomanPSMT" w:eastAsiaTheme="minorHAnsi" w:hAnsi="TimesNewRomanPSMT" w:cs="TimesNewRomanPSMT"/>
                <w:sz w:val="21"/>
                <w:szCs w:val="21"/>
              </w:rPr>
              <w:t xml:space="preserve"> </w:t>
            </w:r>
            <w:r w:rsidRPr="00FB2719">
              <w:rPr>
                <w:rFonts w:ascii="TimesNewRomanPSMT" w:eastAsiaTheme="minorHAnsi" w:hAnsi="TimesNewRomanPSMT" w:cs="TimesNewRomanPSMT"/>
                <w:sz w:val="21"/>
                <w:szCs w:val="21"/>
              </w:rPr>
              <w:t>reikia atidžiai stebėti, ar</w:t>
            </w:r>
            <w:r w:rsidR="007C62CC" w:rsidRPr="00FB2719">
              <w:rPr>
                <w:rFonts w:ascii="TimesNewRomanPSMT" w:eastAsiaTheme="minorHAnsi" w:hAnsi="TimesNewRomanPSMT" w:cs="TimesNewRomanPSMT"/>
                <w:sz w:val="21"/>
                <w:szCs w:val="21"/>
              </w:rPr>
              <w:t xml:space="preserve"> </w:t>
            </w:r>
            <w:r w:rsidRPr="00FB2719">
              <w:rPr>
                <w:rFonts w:ascii="TimesNewRomanPSMT" w:eastAsiaTheme="minorHAnsi" w:hAnsi="TimesNewRomanPSMT" w:cs="TimesNewRomanPSMT"/>
                <w:sz w:val="21"/>
                <w:szCs w:val="21"/>
              </w:rPr>
              <w:t>neatsiranda su venetoklakso</w:t>
            </w:r>
          </w:p>
          <w:p w14:paraId="234FA842" w14:textId="77777777" w:rsidR="00F80BD1" w:rsidRPr="00FB2719" w:rsidRDefault="00F80BD1" w:rsidP="00FB2719">
            <w:pPr>
              <w:autoSpaceDE w:val="0"/>
              <w:autoSpaceDN w:val="0"/>
              <w:adjustRightInd w:val="0"/>
              <w:rPr>
                <w:sz w:val="22"/>
                <w:szCs w:val="22"/>
              </w:rPr>
            </w:pPr>
            <w:r w:rsidRPr="00FB2719">
              <w:rPr>
                <w:rFonts w:ascii="TimesNewRomanPSMT" w:eastAsiaTheme="minorHAnsi" w:hAnsi="TimesNewRomanPSMT" w:cs="TimesNewRomanPSMT"/>
                <w:sz w:val="21"/>
                <w:szCs w:val="21"/>
              </w:rPr>
              <w:t>toksiškumu susijusių požymių.</w:t>
            </w:r>
          </w:p>
        </w:tc>
      </w:tr>
      <w:tr w:rsidR="00CA08B3" w:rsidRPr="00FB2719" w14:paraId="6B914380" w14:textId="77777777" w:rsidTr="0064111D">
        <w:tc>
          <w:tcPr>
            <w:tcW w:w="9016" w:type="dxa"/>
            <w:gridSpan w:val="3"/>
            <w:tcBorders>
              <w:top w:val="single" w:sz="4" w:space="0" w:color="auto"/>
              <w:left w:val="single" w:sz="4" w:space="0" w:color="auto"/>
              <w:bottom w:val="single" w:sz="4" w:space="0" w:color="auto"/>
              <w:right w:val="single" w:sz="4" w:space="0" w:color="auto"/>
            </w:tcBorders>
            <w:hideMark/>
          </w:tcPr>
          <w:p w14:paraId="2EB186E8" w14:textId="77777777" w:rsidR="00CA08B3" w:rsidRPr="00FB2719" w:rsidRDefault="00CA08B3">
            <w:pPr>
              <w:tabs>
                <w:tab w:val="left" w:pos="567"/>
              </w:tabs>
              <w:spacing w:line="276" w:lineRule="auto"/>
              <w:jc w:val="both"/>
              <w:rPr>
                <w:bCs/>
                <w:i/>
                <w:sz w:val="22"/>
                <w:szCs w:val="22"/>
                <w:lang w:val="en-US"/>
              </w:rPr>
            </w:pPr>
            <w:r w:rsidRPr="00FB2719">
              <w:rPr>
                <w:bCs/>
                <w:i/>
                <w:sz w:val="22"/>
                <w:szCs w:val="22"/>
                <w:lang w:val="en-US"/>
              </w:rPr>
              <w:t>Antikoaguliantai</w:t>
            </w:r>
          </w:p>
        </w:tc>
      </w:tr>
      <w:tr w:rsidR="00CA08B3" w:rsidRPr="00FB2719" w14:paraId="13D300AA" w14:textId="77777777" w:rsidTr="0064111D">
        <w:tc>
          <w:tcPr>
            <w:tcW w:w="3044" w:type="dxa"/>
            <w:tcBorders>
              <w:top w:val="single" w:sz="4" w:space="0" w:color="auto"/>
              <w:left w:val="single" w:sz="4" w:space="0" w:color="auto"/>
              <w:bottom w:val="single" w:sz="4" w:space="0" w:color="auto"/>
              <w:right w:val="single" w:sz="4" w:space="0" w:color="auto"/>
            </w:tcBorders>
            <w:hideMark/>
          </w:tcPr>
          <w:p w14:paraId="3ED781CE"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Varfarinas</w:t>
            </w:r>
          </w:p>
        </w:tc>
        <w:tc>
          <w:tcPr>
            <w:tcW w:w="2984" w:type="dxa"/>
            <w:tcBorders>
              <w:top w:val="single" w:sz="4" w:space="0" w:color="auto"/>
              <w:left w:val="single" w:sz="4" w:space="0" w:color="auto"/>
              <w:bottom w:val="single" w:sz="4" w:space="0" w:color="auto"/>
              <w:right w:val="single" w:sz="4" w:space="0" w:color="auto"/>
            </w:tcBorders>
            <w:hideMark/>
          </w:tcPr>
          <w:p w14:paraId="6C9BA2DC" w14:textId="77777777" w:rsidR="00CA08B3" w:rsidRPr="00FB2719" w:rsidRDefault="00CA08B3">
            <w:pPr>
              <w:pStyle w:val="Default"/>
              <w:spacing w:line="276" w:lineRule="auto"/>
              <w:jc w:val="both"/>
              <w:rPr>
                <w:sz w:val="22"/>
                <w:szCs w:val="22"/>
                <w:lang w:val="lt-LT"/>
              </w:rPr>
            </w:pPr>
            <w:r w:rsidRPr="00FB2719">
              <w:rPr>
                <w:sz w:val="22"/>
                <w:szCs w:val="22"/>
                <w:lang w:val="lt-LT"/>
              </w:rPr>
              <w:t xml:space="preserve">Varfarinas: </w:t>
            </w:r>
          </w:p>
          <w:p w14:paraId="29C3C8C3" w14:textId="77777777" w:rsidR="00CA08B3" w:rsidRPr="00FB2719" w:rsidRDefault="00CA08B3">
            <w:pPr>
              <w:tabs>
                <w:tab w:val="left" w:pos="567"/>
              </w:tabs>
              <w:spacing w:line="276" w:lineRule="auto"/>
              <w:rPr>
                <w:bCs/>
                <w:sz w:val="22"/>
                <w:szCs w:val="22"/>
              </w:rPr>
            </w:pPr>
            <w:r w:rsidRPr="00FB2719">
              <w:rPr>
                <w:sz w:val="22"/>
                <w:szCs w:val="22"/>
              </w:rPr>
              <w:t xml:space="preserve">koncentracija serume gali būti paveikta dėl CYP2C9 indukcijos, jeigu vartojama </w:t>
            </w:r>
            <w:r w:rsidRPr="00FB2719">
              <w:rPr>
                <w:sz w:val="22"/>
                <w:szCs w:val="22"/>
              </w:rPr>
              <w:lastRenderedPageBreak/>
              <w:t>kartu su l</w:t>
            </w:r>
            <w:r w:rsidRPr="00FB2719">
              <w:rPr>
                <w:color w:val="000000"/>
                <w:sz w:val="22"/>
                <w:szCs w:val="22"/>
              </w:rPr>
              <w:t>opinaviro / ritonaviro deriniu.</w:t>
            </w:r>
          </w:p>
        </w:tc>
        <w:tc>
          <w:tcPr>
            <w:tcW w:w="2988" w:type="dxa"/>
            <w:tcBorders>
              <w:top w:val="single" w:sz="4" w:space="0" w:color="auto"/>
              <w:left w:val="single" w:sz="4" w:space="0" w:color="auto"/>
              <w:bottom w:val="single" w:sz="4" w:space="0" w:color="auto"/>
              <w:right w:val="single" w:sz="4" w:space="0" w:color="auto"/>
            </w:tcBorders>
          </w:tcPr>
          <w:p w14:paraId="56F9979D" w14:textId="77777777" w:rsidR="00CA08B3" w:rsidRPr="00FB2719" w:rsidRDefault="00CA08B3">
            <w:pPr>
              <w:pStyle w:val="Default"/>
              <w:spacing w:line="276" w:lineRule="auto"/>
              <w:rPr>
                <w:sz w:val="22"/>
                <w:szCs w:val="22"/>
                <w:lang w:val="lt-LT"/>
              </w:rPr>
            </w:pPr>
            <w:r w:rsidRPr="00FB2719">
              <w:rPr>
                <w:sz w:val="22"/>
                <w:szCs w:val="22"/>
                <w:lang w:val="lt-LT"/>
              </w:rPr>
              <w:lastRenderedPageBreak/>
              <w:t xml:space="preserve">Rekomenduojama stebėti tarptautinį normalizuotą santykį (angl. </w:t>
            </w:r>
            <w:r w:rsidRPr="00FB2719">
              <w:rPr>
                <w:i/>
                <w:sz w:val="22"/>
                <w:szCs w:val="22"/>
                <w:lang w:val="lt-LT"/>
              </w:rPr>
              <w:t>INR</w:t>
            </w:r>
            <w:r w:rsidRPr="00FB2719">
              <w:rPr>
                <w:sz w:val="22"/>
                <w:szCs w:val="22"/>
                <w:lang w:val="lt-LT"/>
              </w:rPr>
              <w:t xml:space="preserve">). </w:t>
            </w:r>
          </w:p>
          <w:p w14:paraId="403A3368" w14:textId="77777777" w:rsidR="00CA08B3" w:rsidRPr="00FB2719" w:rsidRDefault="00CA08B3">
            <w:pPr>
              <w:tabs>
                <w:tab w:val="left" w:pos="567"/>
              </w:tabs>
              <w:spacing w:line="276" w:lineRule="auto"/>
              <w:rPr>
                <w:bCs/>
                <w:sz w:val="22"/>
                <w:szCs w:val="22"/>
                <w:lang w:val="en-US"/>
              </w:rPr>
            </w:pPr>
          </w:p>
        </w:tc>
      </w:tr>
      <w:tr w:rsidR="00CA08B3" w:rsidRPr="00FB2719" w14:paraId="191BB918" w14:textId="77777777" w:rsidTr="0064111D">
        <w:tc>
          <w:tcPr>
            <w:tcW w:w="3044" w:type="dxa"/>
            <w:tcBorders>
              <w:top w:val="single" w:sz="4" w:space="0" w:color="auto"/>
              <w:left w:val="single" w:sz="4" w:space="0" w:color="auto"/>
              <w:bottom w:val="single" w:sz="4" w:space="0" w:color="auto"/>
              <w:right w:val="single" w:sz="4" w:space="0" w:color="auto"/>
            </w:tcBorders>
          </w:tcPr>
          <w:p w14:paraId="20CD321B" w14:textId="77777777" w:rsidR="00CA08B3" w:rsidRPr="00FB2719" w:rsidRDefault="00CA08B3">
            <w:pPr>
              <w:pStyle w:val="Default"/>
              <w:spacing w:line="276" w:lineRule="auto"/>
              <w:jc w:val="both"/>
              <w:rPr>
                <w:sz w:val="22"/>
                <w:szCs w:val="22"/>
                <w:lang w:val="lt-LT"/>
              </w:rPr>
            </w:pPr>
            <w:r w:rsidRPr="00FB2719">
              <w:rPr>
                <w:sz w:val="22"/>
                <w:szCs w:val="22"/>
                <w:lang w:val="lt-LT"/>
              </w:rPr>
              <w:t xml:space="preserve">Rivaroksabanas </w:t>
            </w:r>
          </w:p>
          <w:p w14:paraId="7B08000F" w14:textId="77777777" w:rsidR="00CA08B3" w:rsidRPr="00FB2719" w:rsidRDefault="00CA08B3">
            <w:pPr>
              <w:tabs>
                <w:tab w:val="left" w:pos="567"/>
              </w:tabs>
              <w:spacing w:line="276" w:lineRule="auto"/>
              <w:jc w:val="both"/>
              <w:rPr>
                <w:sz w:val="22"/>
                <w:szCs w:val="22"/>
                <w:lang w:val="es-ES"/>
              </w:rPr>
            </w:pPr>
          </w:p>
          <w:p w14:paraId="7CF73FDF" w14:textId="77777777" w:rsidR="00CA08B3" w:rsidRPr="00FB2719" w:rsidRDefault="00CA08B3" w:rsidP="0025420A">
            <w:pPr>
              <w:tabs>
                <w:tab w:val="left" w:pos="567"/>
              </w:tabs>
              <w:spacing w:line="276" w:lineRule="auto"/>
              <w:jc w:val="both"/>
              <w:rPr>
                <w:bCs/>
                <w:sz w:val="22"/>
                <w:szCs w:val="22"/>
                <w:lang w:val="es-ES"/>
              </w:rPr>
            </w:pPr>
            <w:r w:rsidRPr="00FB2719">
              <w:rPr>
                <w:sz w:val="22"/>
                <w:szCs w:val="22"/>
                <w:lang w:val="es-ES"/>
              </w:rPr>
              <w:t>(Ritonaviras 600</w:t>
            </w:r>
            <w:r w:rsidR="0025420A" w:rsidRPr="00FB2719">
              <w:rPr>
                <w:sz w:val="22"/>
                <w:szCs w:val="22"/>
                <w:lang w:val="es-ES"/>
              </w:rPr>
              <w:t> </w:t>
            </w:r>
            <w:r w:rsidRPr="00FB2719">
              <w:rPr>
                <w:sz w:val="22"/>
                <w:szCs w:val="22"/>
                <w:lang w:val="es-ES"/>
              </w:rPr>
              <w:t xml:space="preserve">mg du kartus per parą) </w:t>
            </w:r>
          </w:p>
        </w:tc>
        <w:tc>
          <w:tcPr>
            <w:tcW w:w="2984" w:type="dxa"/>
            <w:tcBorders>
              <w:top w:val="single" w:sz="4" w:space="0" w:color="auto"/>
              <w:left w:val="single" w:sz="4" w:space="0" w:color="auto"/>
              <w:bottom w:val="single" w:sz="4" w:space="0" w:color="auto"/>
              <w:right w:val="single" w:sz="4" w:space="0" w:color="auto"/>
            </w:tcBorders>
            <w:hideMark/>
          </w:tcPr>
          <w:p w14:paraId="345A5B1A" w14:textId="77777777" w:rsidR="00CA08B3" w:rsidRPr="00FB2719" w:rsidRDefault="00CA08B3">
            <w:pPr>
              <w:pStyle w:val="Default"/>
              <w:spacing w:line="276" w:lineRule="auto"/>
              <w:jc w:val="both"/>
              <w:rPr>
                <w:sz w:val="22"/>
                <w:szCs w:val="22"/>
                <w:lang w:val="lt-LT"/>
              </w:rPr>
            </w:pPr>
            <w:r w:rsidRPr="00FB2719">
              <w:rPr>
                <w:sz w:val="22"/>
                <w:szCs w:val="22"/>
                <w:lang w:val="lt-LT"/>
              </w:rPr>
              <w:t xml:space="preserve">Rivaroksabanas: </w:t>
            </w:r>
          </w:p>
          <w:p w14:paraId="0965CF7D" w14:textId="77777777" w:rsidR="00CA08B3" w:rsidRPr="00FB2719" w:rsidRDefault="00CA08B3">
            <w:pPr>
              <w:pStyle w:val="Default"/>
              <w:spacing w:line="276" w:lineRule="auto"/>
              <w:jc w:val="both"/>
              <w:rPr>
                <w:sz w:val="22"/>
                <w:szCs w:val="22"/>
                <w:lang w:val="lt-LT"/>
              </w:rPr>
            </w:pPr>
            <w:r w:rsidRPr="00FB2719">
              <w:rPr>
                <w:sz w:val="22"/>
                <w:szCs w:val="22"/>
                <w:lang w:val="lt-LT"/>
              </w:rPr>
              <w:t xml:space="preserve">AUC: </w:t>
            </w:r>
            <w:r w:rsidRPr="00FB2719">
              <w:rPr>
                <w:rFonts w:hint="eastAsia"/>
                <w:sz w:val="22"/>
                <w:szCs w:val="22"/>
                <w:lang w:val="lt-LT"/>
              </w:rPr>
              <w:t>↑</w:t>
            </w:r>
            <w:r w:rsidRPr="00FB2719">
              <w:rPr>
                <w:sz w:val="22"/>
                <w:szCs w:val="22"/>
                <w:lang w:val="lt-LT"/>
              </w:rPr>
              <w:t xml:space="preserve"> 153 % </w:t>
            </w:r>
          </w:p>
          <w:p w14:paraId="21D59620" w14:textId="77777777" w:rsidR="00CA08B3" w:rsidRPr="00FB2719" w:rsidRDefault="00CA08B3">
            <w:pPr>
              <w:pStyle w:val="Default"/>
              <w:spacing w:line="276" w:lineRule="auto"/>
              <w:rPr>
                <w:sz w:val="22"/>
                <w:szCs w:val="22"/>
                <w:lang w:val="lt-LT"/>
              </w:rPr>
            </w:pPr>
            <w:r w:rsidRPr="00FB2719">
              <w:rPr>
                <w:sz w:val="22"/>
                <w:szCs w:val="22"/>
                <w:lang w:val="lt-LT"/>
              </w:rPr>
              <w:t>C</w:t>
            </w:r>
            <w:r w:rsidRPr="00FB2719">
              <w:rPr>
                <w:sz w:val="22"/>
                <w:szCs w:val="22"/>
                <w:vertAlign w:val="subscript"/>
                <w:lang w:val="lt-LT"/>
              </w:rPr>
              <w:t>max</w:t>
            </w:r>
            <w:r w:rsidRPr="00FB2719">
              <w:rPr>
                <w:sz w:val="22"/>
                <w:szCs w:val="22"/>
                <w:lang w:val="lt-LT"/>
              </w:rPr>
              <w:t xml:space="preserve">: </w:t>
            </w:r>
            <w:r w:rsidRPr="00FB2719">
              <w:rPr>
                <w:rFonts w:hint="eastAsia"/>
                <w:sz w:val="22"/>
                <w:szCs w:val="22"/>
                <w:lang w:val="lt-LT"/>
              </w:rPr>
              <w:t>↑</w:t>
            </w:r>
            <w:r w:rsidRPr="00FB2719">
              <w:rPr>
                <w:sz w:val="22"/>
                <w:szCs w:val="22"/>
                <w:lang w:val="lt-LT"/>
              </w:rPr>
              <w:t xml:space="preserve"> 55 %, </w:t>
            </w:r>
          </w:p>
          <w:p w14:paraId="19ED0772" w14:textId="77777777" w:rsidR="00CA08B3" w:rsidRPr="00FB2719" w:rsidRDefault="00CA08B3" w:rsidP="0025420A">
            <w:pPr>
              <w:pStyle w:val="Default"/>
              <w:spacing w:line="276" w:lineRule="auto"/>
              <w:rPr>
                <w:sz w:val="22"/>
                <w:szCs w:val="22"/>
                <w:lang w:val="lt-LT"/>
              </w:rPr>
            </w:pPr>
            <w:r w:rsidRPr="00FB2719">
              <w:rPr>
                <w:sz w:val="22"/>
                <w:szCs w:val="22"/>
                <w:lang w:val="lt-LT"/>
              </w:rPr>
              <w:t>kadangi lopinaviro / ritonaviro derinys slopina CYP3A ir Pgp.</w:t>
            </w:r>
          </w:p>
        </w:tc>
        <w:tc>
          <w:tcPr>
            <w:tcW w:w="2988" w:type="dxa"/>
            <w:tcBorders>
              <w:top w:val="single" w:sz="4" w:space="0" w:color="auto"/>
              <w:left w:val="single" w:sz="4" w:space="0" w:color="auto"/>
              <w:bottom w:val="single" w:sz="4" w:space="0" w:color="auto"/>
              <w:right w:val="single" w:sz="4" w:space="0" w:color="auto"/>
            </w:tcBorders>
            <w:hideMark/>
          </w:tcPr>
          <w:p w14:paraId="35434E45" w14:textId="77777777" w:rsidR="00CA08B3" w:rsidRPr="00FB2719" w:rsidRDefault="00CA08B3">
            <w:pPr>
              <w:pStyle w:val="Default"/>
              <w:spacing w:line="276" w:lineRule="auto"/>
              <w:rPr>
                <w:sz w:val="22"/>
                <w:szCs w:val="22"/>
                <w:lang w:val="lt-LT"/>
              </w:rPr>
            </w:pPr>
            <w:r w:rsidRPr="00FB2719">
              <w:rPr>
                <w:sz w:val="22"/>
                <w:szCs w:val="22"/>
                <w:lang w:val="lt-LT"/>
              </w:rPr>
              <w:t>Kartu vartojant rivaroksabano ir Lopinavir/Ritonavir Sandoz gali padidėti rivaroksabano ekspozicija, todėl gali būti didesnė kraujavimo rizika.</w:t>
            </w:r>
          </w:p>
          <w:p w14:paraId="721E8D32" w14:textId="77777777" w:rsidR="00CA08B3" w:rsidRPr="00FB2719" w:rsidRDefault="00CA08B3">
            <w:pPr>
              <w:pStyle w:val="Default"/>
              <w:spacing w:line="276" w:lineRule="auto"/>
              <w:rPr>
                <w:sz w:val="22"/>
                <w:szCs w:val="22"/>
                <w:lang w:val="lt-LT"/>
              </w:rPr>
            </w:pPr>
            <w:r w:rsidRPr="00FB2719">
              <w:rPr>
                <w:sz w:val="22"/>
                <w:szCs w:val="22"/>
                <w:lang w:val="lt-LT"/>
              </w:rPr>
              <w:t xml:space="preserve">Rivaroksabano vartojimas nerekomenduojamas pacientams, kurie gydomi Lopinavir/Ritonavir Sandoz (žr. 4.4 skyrių). </w:t>
            </w:r>
          </w:p>
        </w:tc>
      </w:tr>
      <w:tr w:rsidR="0064111D" w:rsidRPr="00FB2719" w14:paraId="5087CE55" w14:textId="77777777" w:rsidTr="0064111D">
        <w:tc>
          <w:tcPr>
            <w:tcW w:w="3044" w:type="dxa"/>
            <w:tcBorders>
              <w:top w:val="single" w:sz="4" w:space="0" w:color="auto"/>
              <w:left w:val="single" w:sz="4" w:space="0" w:color="auto"/>
              <w:bottom w:val="single" w:sz="4" w:space="0" w:color="auto"/>
              <w:right w:val="single" w:sz="4" w:space="0" w:color="auto"/>
            </w:tcBorders>
          </w:tcPr>
          <w:p w14:paraId="57987FFF" w14:textId="77777777" w:rsidR="0064111D" w:rsidRPr="00FB2719" w:rsidRDefault="0064111D">
            <w:pPr>
              <w:pStyle w:val="Default"/>
              <w:spacing w:line="276" w:lineRule="auto"/>
              <w:jc w:val="both"/>
              <w:rPr>
                <w:sz w:val="22"/>
                <w:szCs w:val="22"/>
                <w:lang w:val="lt-LT"/>
              </w:rPr>
            </w:pPr>
            <w:r w:rsidRPr="00FB2719">
              <w:rPr>
                <w:sz w:val="22"/>
                <w:szCs w:val="22"/>
                <w:lang w:val="lt-LT"/>
              </w:rPr>
              <w:t>Vorapaksaras</w:t>
            </w:r>
          </w:p>
        </w:tc>
        <w:tc>
          <w:tcPr>
            <w:tcW w:w="2984" w:type="dxa"/>
            <w:tcBorders>
              <w:top w:val="single" w:sz="4" w:space="0" w:color="auto"/>
              <w:left w:val="single" w:sz="4" w:space="0" w:color="auto"/>
              <w:bottom w:val="single" w:sz="4" w:space="0" w:color="auto"/>
              <w:right w:val="single" w:sz="4" w:space="0" w:color="auto"/>
            </w:tcBorders>
          </w:tcPr>
          <w:p w14:paraId="10732EE9" w14:textId="77777777" w:rsidR="0064111D" w:rsidRPr="00FB2719" w:rsidRDefault="0064111D" w:rsidP="00AD237C">
            <w:pPr>
              <w:pStyle w:val="Betarp"/>
              <w:rPr>
                <w:sz w:val="22"/>
                <w:szCs w:val="22"/>
              </w:rPr>
            </w:pPr>
            <w:r w:rsidRPr="00FB2719">
              <w:rPr>
                <w:sz w:val="22"/>
                <w:szCs w:val="22"/>
              </w:rPr>
              <w:t xml:space="preserve">Dėl </w:t>
            </w:r>
            <w:r w:rsidRPr="00FB2719">
              <w:rPr>
                <w:sz w:val="22"/>
                <w:szCs w:val="22"/>
                <w:lang w:val="it-IT"/>
              </w:rPr>
              <w:t>lopinaviro / ritonaviro derinio</w:t>
            </w:r>
            <w:r w:rsidRPr="00FB2719">
              <w:rPr>
                <w:sz w:val="22"/>
                <w:szCs w:val="22"/>
              </w:rPr>
              <w:t xml:space="preserve"> sukeliamo CYP3A</w:t>
            </w:r>
            <w:r w:rsidR="0025420A" w:rsidRPr="00FB2719">
              <w:rPr>
                <w:sz w:val="22"/>
                <w:szCs w:val="22"/>
              </w:rPr>
              <w:t xml:space="preserve"> </w:t>
            </w:r>
            <w:r w:rsidRPr="00FB2719">
              <w:rPr>
                <w:sz w:val="22"/>
                <w:szCs w:val="22"/>
              </w:rPr>
              <w:t>slopinimo gali padidėti</w:t>
            </w:r>
            <w:r w:rsidR="0025420A" w:rsidRPr="00FB2719">
              <w:rPr>
                <w:sz w:val="22"/>
                <w:szCs w:val="22"/>
              </w:rPr>
              <w:t xml:space="preserve"> </w:t>
            </w:r>
            <w:r w:rsidRPr="00FB2719">
              <w:rPr>
                <w:sz w:val="22"/>
                <w:szCs w:val="22"/>
              </w:rPr>
              <w:t>koncentracijos serume.</w:t>
            </w:r>
          </w:p>
        </w:tc>
        <w:tc>
          <w:tcPr>
            <w:tcW w:w="2988" w:type="dxa"/>
            <w:tcBorders>
              <w:top w:val="single" w:sz="4" w:space="0" w:color="auto"/>
              <w:left w:val="single" w:sz="4" w:space="0" w:color="auto"/>
              <w:bottom w:val="single" w:sz="4" w:space="0" w:color="auto"/>
              <w:right w:val="single" w:sz="4" w:space="0" w:color="auto"/>
            </w:tcBorders>
          </w:tcPr>
          <w:p w14:paraId="2DDB48E2" w14:textId="77777777" w:rsidR="0064111D" w:rsidRPr="00FB2719" w:rsidRDefault="0064111D" w:rsidP="00AD237C">
            <w:pPr>
              <w:pStyle w:val="Betarp"/>
              <w:rPr>
                <w:sz w:val="22"/>
                <w:szCs w:val="22"/>
              </w:rPr>
            </w:pPr>
            <w:r w:rsidRPr="00FB2719">
              <w:rPr>
                <w:sz w:val="22"/>
                <w:szCs w:val="22"/>
              </w:rPr>
              <w:t>Vorapaksaro ir lopinaviro / ritonaviro derinio kartu</w:t>
            </w:r>
            <w:r w:rsidR="0025420A" w:rsidRPr="00FB2719">
              <w:rPr>
                <w:sz w:val="22"/>
                <w:szCs w:val="22"/>
              </w:rPr>
              <w:t xml:space="preserve"> </w:t>
            </w:r>
            <w:r w:rsidRPr="00FB2719">
              <w:rPr>
                <w:sz w:val="22"/>
                <w:szCs w:val="22"/>
              </w:rPr>
              <w:t>vartoti nerekomenduojama (žr. 4.4 skyrių ir vorapaksaro PCS).</w:t>
            </w:r>
          </w:p>
        </w:tc>
      </w:tr>
      <w:tr w:rsidR="00CA08B3" w:rsidRPr="00FB2719" w14:paraId="700419CA" w14:textId="77777777" w:rsidTr="0064111D">
        <w:tc>
          <w:tcPr>
            <w:tcW w:w="9016" w:type="dxa"/>
            <w:gridSpan w:val="3"/>
            <w:tcBorders>
              <w:top w:val="single" w:sz="4" w:space="0" w:color="auto"/>
              <w:left w:val="single" w:sz="4" w:space="0" w:color="auto"/>
              <w:bottom w:val="single" w:sz="4" w:space="0" w:color="auto"/>
              <w:right w:val="single" w:sz="4" w:space="0" w:color="auto"/>
            </w:tcBorders>
            <w:hideMark/>
          </w:tcPr>
          <w:p w14:paraId="0503709E" w14:textId="77777777" w:rsidR="00CA08B3" w:rsidRPr="00FB2719" w:rsidRDefault="00CA08B3">
            <w:pPr>
              <w:tabs>
                <w:tab w:val="left" w:pos="567"/>
              </w:tabs>
              <w:spacing w:line="276" w:lineRule="auto"/>
              <w:jc w:val="both"/>
              <w:rPr>
                <w:bCs/>
                <w:i/>
                <w:sz w:val="22"/>
                <w:szCs w:val="22"/>
                <w:lang w:val="en-US"/>
              </w:rPr>
            </w:pPr>
            <w:r w:rsidRPr="00FB2719">
              <w:rPr>
                <w:bCs/>
                <w:i/>
                <w:sz w:val="22"/>
                <w:szCs w:val="22"/>
                <w:lang w:val="en-US"/>
              </w:rPr>
              <w:t>Prieštraukuliniai vaistiniai preparatai</w:t>
            </w:r>
          </w:p>
        </w:tc>
      </w:tr>
      <w:tr w:rsidR="00CA08B3" w:rsidRPr="00FB2719" w14:paraId="06DE3CF6" w14:textId="77777777" w:rsidTr="0064111D">
        <w:tc>
          <w:tcPr>
            <w:tcW w:w="3044" w:type="dxa"/>
            <w:tcBorders>
              <w:top w:val="single" w:sz="4" w:space="0" w:color="auto"/>
              <w:left w:val="single" w:sz="4" w:space="0" w:color="auto"/>
              <w:bottom w:val="single" w:sz="4" w:space="0" w:color="auto"/>
              <w:right w:val="single" w:sz="4" w:space="0" w:color="auto"/>
            </w:tcBorders>
            <w:hideMark/>
          </w:tcPr>
          <w:p w14:paraId="685E43A8"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Fenitoinas</w:t>
            </w:r>
          </w:p>
        </w:tc>
        <w:tc>
          <w:tcPr>
            <w:tcW w:w="2984" w:type="dxa"/>
            <w:tcBorders>
              <w:top w:val="single" w:sz="4" w:space="0" w:color="auto"/>
              <w:left w:val="single" w:sz="4" w:space="0" w:color="auto"/>
              <w:bottom w:val="single" w:sz="4" w:space="0" w:color="auto"/>
              <w:right w:val="single" w:sz="4" w:space="0" w:color="auto"/>
            </w:tcBorders>
          </w:tcPr>
          <w:p w14:paraId="035665D1" w14:textId="77777777" w:rsidR="00CA08B3" w:rsidRPr="00FB2719" w:rsidRDefault="00CA08B3">
            <w:pPr>
              <w:tabs>
                <w:tab w:val="left" w:pos="567"/>
              </w:tabs>
              <w:spacing w:line="276" w:lineRule="auto"/>
              <w:rPr>
                <w:bCs/>
                <w:sz w:val="22"/>
                <w:szCs w:val="22"/>
                <w:lang w:val="en-US"/>
              </w:rPr>
            </w:pPr>
            <w:r w:rsidRPr="00FB2719">
              <w:rPr>
                <w:bCs/>
                <w:sz w:val="22"/>
                <w:szCs w:val="22"/>
                <w:lang w:val="en-US"/>
              </w:rPr>
              <w:t>Fenitoinas:</w:t>
            </w:r>
          </w:p>
          <w:p w14:paraId="248CB7FA" w14:textId="77777777" w:rsidR="00CA08B3" w:rsidRPr="00FB2719" w:rsidRDefault="00CA08B3">
            <w:pPr>
              <w:tabs>
                <w:tab w:val="left" w:pos="567"/>
              </w:tabs>
              <w:spacing w:line="276" w:lineRule="auto"/>
              <w:rPr>
                <w:bCs/>
                <w:sz w:val="22"/>
                <w:szCs w:val="22"/>
                <w:lang w:val="en-US"/>
              </w:rPr>
            </w:pPr>
            <w:proofErr w:type="gramStart"/>
            <w:r w:rsidRPr="00FB2719">
              <w:rPr>
                <w:bCs/>
                <w:sz w:val="22"/>
                <w:szCs w:val="22"/>
                <w:lang w:val="en-US"/>
              </w:rPr>
              <w:t>dėl</w:t>
            </w:r>
            <w:proofErr w:type="gramEnd"/>
            <w:r w:rsidRPr="00FB2719">
              <w:rPr>
                <w:bCs/>
                <w:sz w:val="22"/>
                <w:szCs w:val="22"/>
                <w:lang w:val="en-US"/>
              </w:rPr>
              <w:t xml:space="preserve"> </w:t>
            </w:r>
            <w:r w:rsidRPr="00FB2719">
              <w:rPr>
                <w:sz w:val="22"/>
                <w:szCs w:val="22"/>
                <w:lang w:val="en-US"/>
              </w:rPr>
              <w:t>lopinaviro / ritonaviro derinio sukeltos</w:t>
            </w:r>
            <w:r w:rsidRPr="00FB2719">
              <w:rPr>
                <w:bCs/>
                <w:sz w:val="22"/>
                <w:szCs w:val="22"/>
                <w:lang w:val="en-US"/>
              </w:rPr>
              <w:t xml:space="preserve"> CYP2C9 ir CYP2C19 indukcijos vidutiniškai sumažėjo pusiausvyrinės koncentracijos. </w:t>
            </w:r>
          </w:p>
          <w:p w14:paraId="457ABC60" w14:textId="77777777" w:rsidR="00CA08B3" w:rsidRPr="00FB2719" w:rsidRDefault="00CA08B3">
            <w:pPr>
              <w:tabs>
                <w:tab w:val="left" w:pos="567"/>
              </w:tabs>
              <w:spacing w:line="276" w:lineRule="auto"/>
              <w:rPr>
                <w:bCs/>
                <w:sz w:val="22"/>
                <w:szCs w:val="22"/>
                <w:lang w:val="en-US"/>
              </w:rPr>
            </w:pPr>
          </w:p>
          <w:p w14:paraId="10997E74" w14:textId="77777777" w:rsidR="00CA08B3" w:rsidRPr="00FB2719" w:rsidRDefault="00CA08B3">
            <w:pPr>
              <w:tabs>
                <w:tab w:val="left" w:pos="567"/>
              </w:tabs>
              <w:spacing w:line="276" w:lineRule="auto"/>
              <w:rPr>
                <w:bCs/>
                <w:sz w:val="22"/>
                <w:szCs w:val="22"/>
                <w:lang w:val="es-ES"/>
              </w:rPr>
            </w:pPr>
            <w:r w:rsidRPr="00FB2719">
              <w:rPr>
                <w:bCs/>
                <w:sz w:val="22"/>
                <w:szCs w:val="22"/>
                <w:lang w:val="es-ES"/>
              </w:rPr>
              <w:t>Lopinaviras:</w:t>
            </w:r>
          </w:p>
          <w:p w14:paraId="6B94D7DE" w14:textId="77777777" w:rsidR="00CA08B3" w:rsidRPr="00FB2719" w:rsidRDefault="00CA08B3">
            <w:pPr>
              <w:tabs>
                <w:tab w:val="left" w:pos="567"/>
              </w:tabs>
              <w:spacing w:line="276" w:lineRule="auto"/>
              <w:rPr>
                <w:bCs/>
                <w:sz w:val="22"/>
                <w:szCs w:val="22"/>
                <w:lang w:val="es-ES"/>
              </w:rPr>
            </w:pPr>
            <w:r w:rsidRPr="00FB2719">
              <w:rPr>
                <w:bCs/>
                <w:sz w:val="22"/>
                <w:szCs w:val="22"/>
                <w:lang w:val="es-ES"/>
              </w:rPr>
              <w:t>koncentracijos sumažėja, nes fenitoinas indukuoja CYP3A.</w:t>
            </w:r>
          </w:p>
        </w:tc>
        <w:tc>
          <w:tcPr>
            <w:tcW w:w="2988" w:type="dxa"/>
            <w:tcBorders>
              <w:top w:val="single" w:sz="4" w:space="0" w:color="auto"/>
              <w:left w:val="single" w:sz="4" w:space="0" w:color="auto"/>
              <w:bottom w:val="single" w:sz="4" w:space="0" w:color="auto"/>
              <w:right w:val="single" w:sz="4" w:space="0" w:color="auto"/>
            </w:tcBorders>
            <w:hideMark/>
          </w:tcPr>
          <w:p w14:paraId="482A5489" w14:textId="77777777" w:rsidR="00CA08B3" w:rsidRPr="00FB2719" w:rsidRDefault="00CA08B3">
            <w:pPr>
              <w:tabs>
                <w:tab w:val="left" w:pos="567"/>
              </w:tabs>
              <w:spacing w:line="276" w:lineRule="auto"/>
              <w:rPr>
                <w:bCs/>
                <w:sz w:val="22"/>
                <w:szCs w:val="22"/>
                <w:lang w:val="es-ES"/>
              </w:rPr>
            </w:pPr>
            <w:r w:rsidRPr="00FB2719">
              <w:rPr>
                <w:bCs/>
                <w:sz w:val="22"/>
                <w:szCs w:val="22"/>
                <w:lang w:val="es-ES"/>
              </w:rPr>
              <w:t xml:space="preserve">Vartoti </w:t>
            </w:r>
            <w:r w:rsidRPr="00FB2719">
              <w:rPr>
                <w:sz w:val="22"/>
                <w:szCs w:val="22"/>
                <w:lang w:val="es-ES"/>
              </w:rPr>
              <w:t xml:space="preserve">Lopinavir/Ritonavir Sandoz </w:t>
            </w:r>
            <w:r w:rsidRPr="00FB2719">
              <w:rPr>
                <w:bCs/>
                <w:sz w:val="22"/>
                <w:szCs w:val="22"/>
                <w:lang w:val="es-ES"/>
              </w:rPr>
              <w:t>su fenitoinu reikia labai atsargiai.</w:t>
            </w:r>
          </w:p>
          <w:p w14:paraId="1AF9F366" w14:textId="77777777" w:rsidR="00CA08B3" w:rsidRPr="00FB2719" w:rsidRDefault="00CA08B3">
            <w:pPr>
              <w:tabs>
                <w:tab w:val="left" w:pos="567"/>
              </w:tabs>
              <w:spacing w:line="276" w:lineRule="auto"/>
              <w:rPr>
                <w:bCs/>
                <w:sz w:val="22"/>
                <w:szCs w:val="22"/>
                <w:lang w:val="es-ES"/>
              </w:rPr>
            </w:pPr>
            <w:r w:rsidRPr="00FB2719">
              <w:rPr>
                <w:bCs/>
                <w:sz w:val="22"/>
                <w:szCs w:val="22"/>
                <w:lang w:val="es-ES"/>
              </w:rPr>
              <w:t>Reikia stebėti fenitoino kiekį, kai jo vartojama kartu su lopinaviru/ritonaviru.</w:t>
            </w:r>
          </w:p>
          <w:p w14:paraId="01FB4B8D" w14:textId="77777777" w:rsidR="00CA08B3" w:rsidRPr="00FB2719" w:rsidRDefault="00CA08B3">
            <w:pPr>
              <w:tabs>
                <w:tab w:val="left" w:pos="567"/>
              </w:tabs>
              <w:spacing w:line="276" w:lineRule="auto"/>
              <w:rPr>
                <w:bCs/>
                <w:sz w:val="22"/>
                <w:szCs w:val="22"/>
                <w:lang w:val="es-ES"/>
              </w:rPr>
            </w:pPr>
            <w:r w:rsidRPr="00FB2719">
              <w:rPr>
                <w:bCs/>
                <w:sz w:val="22"/>
                <w:szCs w:val="22"/>
                <w:lang w:val="es-ES"/>
              </w:rPr>
              <w:t xml:space="preserve">Vartojant kartu su fenitoinu reikia numatyti galimą </w:t>
            </w:r>
            <w:r w:rsidRPr="00FB2719">
              <w:rPr>
                <w:sz w:val="22"/>
                <w:szCs w:val="22"/>
                <w:lang w:val="es-ES"/>
              </w:rPr>
              <w:t xml:space="preserve">Lopinavir/Ritonavir Sandoz </w:t>
            </w:r>
            <w:r w:rsidRPr="00FB2719">
              <w:rPr>
                <w:bCs/>
                <w:sz w:val="22"/>
                <w:szCs w:val="22"/>
                <w:lang w:val="es-ES"/>
              </w:rPr>
              <w:t>dozės padidinimą. Klinikinėje praktikoje dozės koregavimas nenustatytas.</w:t>
            </w:r>
          </w:p>
          <w:p w14:paraId="208E1C3E" w14:textId="77777777" w:rsidR="00CA08B3" w:rsidRPr="00FB2719" w:rsidRDefault="00CA08B3">
            <w:pPr>
              <w:tabs>
                <w:tab w:val="left" w:pos="567"/>
              </w:tabs>
              <w:spacing w:line="276" w:lineRule="auto"/>
              <w:rPr>
                <w:bCs/>
                <w:sz w:val="22"/>
                <w:szCs w:val="22"/>
                <w:lang w:val="es-ES"/>
              </w:rPr>
            </w:pPr>
            <w:r w:rsidRPr="00FB2719">
              <w:rPr>
                <w:bCs/>
                <w:sz w:val="22"/>
                <w:szCs w:val="22"/>
                <w:lang w:val="es-ES"/>
              </w:rPr>
              <w:t xml:space="preserve">Derinyje su fenitoinu </w:t>
            </w:r>
            <w:r w:rsidRPr="00FB2719">
              <w:rPr>
                <w:sz w:val="22"/>
                <w:szCs w:val="22"/>
                <w:lang w:val="es-ES"/>
              </w:rPr>
              <w:t xml:space="preserve">Lopinavir/Ritonavir Sandoz </w:t>
            </w:r>
            <w:r w:rsidRPr="00FB2719">
              <w:rPr>
                <w:bCs/>
                <w:sz w:val="22"/>
                <w:szCs w:val="22"/>
                <w:lang w:val="es-ES"/>
              </w:rPr>
              <w:t>vartoti vieną kartą per parą negalima.</w:t>
            </w:r>
          </w:p>
        </w:tc>
      </w:tr>
      <w:tr w:rsidR="00CA08B3" w:rsidRPr="00FB2719" w14:paraId="1C4216E0" w14:textId="77777777" w:rsidTr="0064111D">
        <w:tc>
          <w:tcPr>
            <w:tcW w:w="3044" w:type="dxa"/>
            <w:tcBorders>
              <w:top w:val="single" w:sz="4" w:space="0" w:color="auto"/>
              <w:left w:val="single" w:sz="4" w:space="0" w:color="auto"/>
              <w:bottom w:val="single" w:sz="4" w:space="0" w:color="auto"/>
              <w:right w:val="single" w:sz="4" w:space="0" w:color="auto"/>
            </w:tcBorders>
            <w:hideMark/>
          </w:tcPr>
          <w:p w14:paraId="16D569F5" w14:textId="77777777" w:rsidR="00CA08B3" w:rsidRPr="00FB2719" w:rsidRDefault="00CA08B3">
            <w:pPr>
              <w:tabs>
                <w:tab w:val="left" w:pos="567"/>
              </w:tabs>
              <w:spacing w:line="276" w:lineRule="auto"/>
              <w:rPr>
                <w:bCs/>
                <w:sz w:val="22"/>
                <w:szCs w:val="22"/>
                <w:lang w:val="en-US"/>
              </w:rPr>
            </w:pPr>
            <w:r w:rsidRPr="00FB2719">
              <w:rPr>
                <w:bCs/>
                <w:sz w:val="22"/>
                <w:szCs w:val="22"/>
                <w:lang w:val="en-US"/>
              </w:rPr>
              <w:t>Karbamazepinas ir fenobarbitalis</w:t>
            </w:r>
          </w:p>
        </w:tc>
        <w:tc>
          <w:tcPr>
            <w:tcW w:w="2984" w:type="dxa"/>
            <w:tcBorders>
              <w:top w:val="single" w:sz="4" w:space="0" w:color="auto"/>
              <w:left w:val="single" w:sz="4" w:space="0" w:color="auto"/>
              <w:bottom w:val="single" w:sz="4" w:space="0" w:color="auto"/>
              <w:right w:val="single" w:sz="4" w:space="0" w:color="auto"/>
            </w:tcBorders>
          </w:tcPr>
          <w:p w14:paraId="144EA583" w14:textId="77777777" w:rsidR="00CA08B3" w:rsidRPr="00FB2719" w:rsidRDefault="00CA08B3">
            <w:pPr>
              <w:tabs>
                <w:tab w:val="left" w:pos="567"/>
              </w:tabs>
              <w:spacing w:line="276" w:lineRule="auto"/>
              <w:rPr>
                <w:bCs/>
                <w:sz w:val="22"/>
                <w:szCs w:val="22"/>
                <w:lang w:val="en-US"/>
              </w:rPr>
            </w:pPr>
            <w:r w:rsidRPr="00FB2719">
              <w:rPr>
                <w:bCs/>
                <w:sz w:val="22"/>
                <w:szCs w:val="22"/>
                <w:lang w:val="en-US"/>
              </w:rPr>
              <w:t>Karbamazepinas:</w:t>
            </w:r>
          </w:p>
          <w:p w14:paraId="28304D56" w14:textId="77777777" w:rsidR="00CA08B3" w:rsidRPr="00FB2719" w:rsidRDefault="00CA08B3">
            <w:pPr>
              <w:tabs>
                <w:tab w:val="left" w:pos="567"/>
              </w:tabs>
              <w:spacing w:line="276" w:lineRule="auto"/>
              <w:rPr>
                <w:bCs/>
                <w:sz w:val="22"/>
                <w:szCs w:val="22"/>
                <w:lang w:val="en-US"/>
              </w:rPr>
            </w:pPr>
            <w:proofErr w:type="gramStart"/>
            <w:r w:rsidRPr="00FB2719">
              <w:rPr>
                <w:bCs/>
                <w:sz w:val="22"/>
                <w:szCs w:val="22"/>
                <w:lang w:val="en-US"/>
              </w:rPr>
              <w:t>koncentracija</w:t>
            </w:r>
            <w:proofErr w:type="gramEnd"/>
            <w:r w:rsidRPr="00FB2719">
              <w:rPr>
                <w:bCs/>
                <w:sz w:val="22"/>
                <w:szCs w:val="22"/>
                <w:lang w:val="en-US"/>
              </w:rPr>
              <w:t xml:space="preserve"> plazmoje gali padidėti, nes lopinaviro / ritonaviro derinys slopina CYP3A4. </w:t>
            </w:r>
          </w:p>
          <w:p w14:paraId="60139F4D" w14:textId="77777777" w:rsidR="00CA08B3" w:rsidRPr="00FB2719" w:rsidRDefault="00CA08B3">
            <w:pPr>
              <w:tabs>
                <w:tab w:val="left" w:pos="567"/>
              </w:tabs>
              <w:spacing w:line="276" w:lineRule="auto"/>
              <w:rPr>
                <w:bCs/>
                <w:sz w:val="22"/>
                <w:szCs w:val="22"/>
                <w:lang w:val="en-US"/>
              </w:rPr>
            </w:pPr>
          </w:p>
          <w:p w14:paraId="6BD33C9D" w14:textId="77777777" w:rsidR="00CA08B3" w:rsidRPr="00FB2719" w:rsidRDefault="00CA08B3">
            <w:pPr>
              <w:tabs>
                <w:tab w:val="left" w:pos="567"/>
              </w:tabs>
              <w:spacing w:line="276" w:lineRule="auto"/>
              <w:rPr>
                <w:bCs/>
                <w:sz w:val="22"/>
                <w:szCs w:val="22"/>
                <w:lang w:val="en-US"/>
              </w:rPr>
            </w:pPr>
            <w:r w:rsidRPr="00FB2719">
              <w:rPr>
                <w:bCs/>
                <w:sz w:val="22"/>
                <w:szCs w:val="22"/>
                <w:lang w:val="en-US"/>
              </w:rPr>
              <w:t>Lopinaviras:</w:t>
            </w:r>
          </w:p>
          <w:p w14:paraId="21C9459A" w14:textId="77777777" w:rsidR="00CA08B3" w:rsidRPr="00FB2719" w:rsidRDefault="00CA08B3">
            <w:pPr>
              <w:tabs>
                <w:tab w:val="left" w:pos="567"/>
              </w:tabs>
              <w:spacing w:line="276" w:lineRule="auto"/>
              <w:rPr>
                <w:bCs/>
                <w:sz w:val="22"/>
                <w:szCs w:val="22"/>
                <w:lang w:val="en-US"/>
              </w:rPr>
            </w:pPr>
            <w:proofErr w:type="gramStart"/>
            <w:r w:rsidRPr="00FB2719">
              <w:rPr>
                <w:bCs/>
                <w:sz w:val="22"/>
                <w:szCs w:val="22"/>
                <w:lang w:val="en-US"/>
              </w:rPr>
              <w:t>koncentracijos</w:t>
            </w:r>
            <w:proofErr w:type="gramEnd"/>
            <w:r w:rsidRPr="00FB2719">
              <w:rPr>
                <w:bCs/>
                <w:sz w:val="22"/>
                <w:szCs w:val="22"/>
                <w:lang w:val="en-US"/>
              </w:rPr>
              <w:t xml:space="preserve"> gali sumažėti, nes karbamazepinas ir fenobarbitalis indukuoja CYP3A. </w:t>
            </w:r>
          </w:p>
        </w:tc>
        <w:tc>
          <w:tcPr>
            <w:tcW w:w="2988" w:type="dxa"/>
            <w:tcBorders>
              <w:top w:val="single" w:sz="4" w:space="0" w:color="auto"/>
              <w:left w:val="single" w:sz="4" w:space="0" w:color="auto"/>
              <w:bottom w:val="single" w:sz="4" w:space="0" w:color="auto"/>
              <w:right w:val="single" w:sz="4" w:space="0" w:color="auto"/>
            </w:tcBorders>
            <w:hideMark/>
          </w:tcPr>
          <w:p w14:paraId="417FF472" w14:textId="77777777" w:rsidR="00CA08B3" w:rsidRPr="00FB2719" w:rsidRDefault="00CA08B3">
            <w:pPr>
              <w:tabs>
                <w:tab w:val="left" w:pos="567"/>
              </w:tabs>
              <w:spacing w:line="276" w:lineRule="auto"/>
              <w:rPr>
                <w:bCs/>
                <w:sz w:val="22"/>
                <w:szCs w:val="22"/>
                <w:lang w:val="en-US"/>
              </w:rPr>
            </w:pPr>
            <w:r w:rsidRPr="00FB2719">
              <w:rPr>
                <w:bCs/>
                <w:sz w:val="22"/>
                <w:szCs w:val="22"/>
                <w:lang w:val="en-US"/>
              </w:rPr>
              <w:t>Reikia laikytis atsargumo skiriant karbamazepino ar fenobarbitalio kartu su Lopinavir / Ritonavir Sandoz.</w:t>
            </w:r>
          </w:p>
          <w:p w14:paraId="64D18889" w14:textId="77777777" w:rsidR="00CA08B3" w:rsidRPr="00FB2719" w:rsidRDefault="00CA08B3">
            <w:pPr>
              <w:tabs>
                <w:tab w:val="left" w:pos="567"/>
              </w:tabs>
              <w:spacing w:line="276" w:lineRule="auto"/>
              <w:rPr>
                <w:bCs/>
                <w:sz w:val="22"/>
                <w:szCs w:val="22"/>
                <w:lang w:val="en-US"/>
              </w:rPr>
            </w:pPr>
            <w:r w:rsidRPr="00FB2719">
              <w:rPr>
                <w:bCs/>
                <w:sz w:val="22"/>
                <w:szCs w:val="22"/>
                <w:lang w:val="en-US"/>
              </w:rPr>
              <w:t>Skiriant karbamazepiną ir fenobarbitalį su lopinaviru ir ritonaviru, reikia stebėti karbamazepino ir fenobarbitalio lygį.</w:t>
            </w:r>
          </w:p>
          <w:p w14:paraId="556FE8C7" w14:textId="77777777" w:rsidR="00CA08B3" w:rsidRPr="00FB2719" w:rsidRDefault="00CA08B3">
            <w:pPr>
              <w:tabs>
                <w:tab w:val="left" w:pos="567"/>
              </w:tabs>
              <w:spacing w:line="276" w:lineRule="auto"/>
              <w:rPr>
                <w:bCs/>
                <w:sz w:val="22"/>
                <w:szCs w:val="22"/>
                <w:lang w:val="en-US"/>
              </w:rPr>
            </w:pPr>
            <w:r w:rsidRPr="00FB2719">
              <w:rPr>
                <w:bCs/>
                <w:sz w:val="22"/>
                <w:szCs w:val="22"/>
                <w:lang w:val="en-US"/>
              </w:rPr>
              <w:t xml:space="preserve">Kartu su karbamazepinu ar fenobarbitaliu skiriama </w:t>
            </w:r>
            <w:r w:rsidRPr="00FB2719">
              <w:rPr>
                <w:sz w:val="22"/>
                <w:szCs w:val="22"/>
                <w:lang w:val="en-US"/>
              </w:rPr>
              <w:t xml:space="preserve">Lopinavir/Ritonavir Sandoz </w:t>
            </w:r>
            <w:r w:rsidRPr="00FB2719">
              <w:rPr>
                <w:bCs/>
                <w:sz w:val="22"/>
                <w:szCs w:val="22"/>
                <w:lang w:val="en-US"/>
              </w:rPr>
              <w:t xml:space="preserve">reikia numatyti, kad gali prireikti didinti pastarojo vaistinio preparato dozę. </w:t>
            </w:r>
            <w:r w:rsidRPr="00FB2719">
              <w:rPr>
                <w:bCs/>
                <w:sz w:val="22"/>
                <w:szCs w:val="22"/>
                <w:lang w:val="en-US"/>
              </w:rPr>
              <w:lastRenderedPageBreak/>
              <w:t>Klinikinėje praktikoje dozės koregavimas nenustatytas.</w:t>
            </w:r>
          </w:p>
          <w:p w14:paraId="4142018B" w14:textId="77777777" w:rsidR="00CA08B3" w:rsidRPr="00FB2719" w:rsidRDefault="00CA08B3">
            <w:pPr>
              <w:tabs>
                <w:tab w:val="left" w:pos="567"/>
              </w:tabs>
              <w:spacing w:line="276" w:lineRule="auto"/>
              <w:rPr>
                <w:bCs/>
                <w:sz w:val="22"/>
                <w:szCs w:val="22"/>
                <w:lang w:val="en-US"/>
              </w:rPr>
            </w:pPr>
            <w:r w:rsidRPr="00FB2719">
              <w:rPr>
                <w:bCs/>
                <w:sz w:val="22"/>
                <w:szCs w:val="22"/>
                <w:lang w:val="en-US"/>
              </w:rPr>
              <w:t xml:space="preserve">Derinyje su karbamazepinu ir fenobarbitaliu </w:t>
            </w:r>
            <w:r w:rsidRPr="00FB2719">
              <w:rPr>
                <w:sz w:val="22"/>
                <w:szCs w:val="22"/>
                <w:lang w:val="en-US"/>
              </w:rPr>
              <w:t xml:space="preserve">Lopinavir/Ritonavir Sandoz </w:t>
            </w:r>
            <w:r w:rsidRPr="00FB2719">
              <w:rPr>
                <w:bCs/>
                <w:sz w:val="22"/>
                <w:szCs w:val="22"/>
                <w:lang w:val="en-US"/>
              </w:rPr>
              <w:t>vartoti vieną kartą per parą negalima.</w:t>
            </w:r>
          </w:p>
        </w:tc>
      </w:tr>
      <w:tr w:rsidR="00CA08B3" w:rsidRPr="00FB2719" w14:paraId="7A621407" w14:textId="77777777" w:rsidTr="0064111D">
        <w:tc>
          <w:tcPr>
            <w:tcW w:w="3044"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538"/>
            </w:tblGrid>
            <w:tr w:rsidR="00CA08B3" w:rsidRPr="00FB2719" w14:paraId="4193A48F" w14:textId="77777777">
              <w:trPr>
                <w:trHeight w:val="267"/>
              </w:trPr>
              <w:tc>
                <w:tcPr>
                  <w:tcW w:w="0" w:type="auto"/>
                  <w:tcBorders>
                    <w:top w:val="nil"/>
                    <w:left w:val="nil"/>
                    <w:bottom w:val="nil"/>
                    <w:right w:val="nil"/>
                  </w:tcBorders>
                  <w:hideMark/>
                </w:tcPr>
                <w:p w14:paraId="2E746000" w14:textId="77777777" w:rsidR="00CA08B3" w:rsidRPr="00FB2719" w:rsidRDefault="00CA08B3">
                  <w:pPr>
                    <w:autoSpaceDE w:val="0"/>
                    <w:autoSpaceDN w:val="0"/>
                    <w:adjustRightInd w:val="0"/>
                    <w:spacing w:line="276" w:lineRule="auto"/>
                    <w:rPr>
                      <w:rFonts w:eastAsia="Calibri"/>
                      <w:color w:val="000000"/>
                      <w:sz w:val="22"/>
                      <w:szCs w:val="22"/>
                      <w:lang w:val="en-US" w:eastAsia="lt-LT"/>
                    </w:rPr>
                  </w:pPr>
                  <w:r w:rsidRPr="00FB2719">
                    <w:rPr>
                      <w:rFonts w:eastAsia="Calibri"/>
                      <w:color w:val="000000"/>
                      <w:sz w:val="22"/>
                      <w:szCs w:val="22"/>
                      <w:lang w:val="en-US" w:eastAsia="lt-LT"/>
                    </w:rPr>
                    <w:lastRenderedPageBreak/>
                    <w:t xml:space="preserve">Lamotriginas ir valproatas </w:t>
                  </w:r>
                </w:p>
              </w:tc>
            </w:tr>
          </w:tbl>
          <w:p w14:paraId="581CE381" w14:textId="77777777" w:rsidR="00CA08B3" w:rsidRPr="00FB2719" w:rsidRDefault="00CA08B3">
            <w:pPr>
              <w:tabs>
                <w:tab w:val="left" w:pos="567"/>
              </w:tabs>
              <w:spacing w:line="276" w:lineRule="auto"/>
              <w:rPr>
                <w:bCs/>
                <w:sz w:val="22"/>
                <w:szCs w:val="22"/>
                <w:lang w:val="en-US"/>
              </w:rPr>
            </w:pPr>
          </w:p>
        </w:tc>
        <w:tc>
          <w:tcPr>
            <w:tcW w:w="2984" w:type="dxa"/>
            <w:tcBorders>
              <w:top w:val="single" w:sz="4" w:space="0" w:color="auto"/>
              <w:left w:val="single" w:sz="4" w:space="0" w:color="auto"/>
              <w:bottom w:val="single" w:sz="4" w:space="0" w:color="auto"/>
              <w:right w:val="single" w:sz="4" w:space="0" w:color="auto"/>
            </w:tcBorders>
          </w:tcPr>
          <w:p w14:paraId="6750B8BB" w14:textId="77777777" w:rsidR="00CA08B3" w:rsidRPr="00FB2719" w:rsidRDefault="00CA08B3">
            <w:pPr>
              <w:tabs>
                <w:tab w:val="left" w:pos="567"/>
              </w:tabs>
              <w:spacing w:line="276" w:lineRule="auto"/>
              <w:rPr>
                <w:bCs/>
                <w:sz w:val="22"/>
                <w:szCs w:val="22"/>
                <w:lang w:val="en-US"/>
              </w:rPr>
            </w:pPr>
            <w:r w:rsidRPr="00FB2719">
              <w:rPr>
                <w:bCs/>
                <w:sz w:val="22"/>
                <w:szCs w:val="22"/>
                <w:lang w:val="en-US"/>
              </w:rPr>
              <w:t>Lamotriginas:</w:t>
            </w:r>
          </w:p>
          <w:p w14:paraId="1ECBDB37" w14:textId="77777777" w:rsidR="00CA08B3" w:rsidRPr="00FB2719" w:rsidRDefault="00CA08B3">
            <w:pPr>
              <w:tabs>
                <w:tab w:val="left" w:pos="567"/>
              </w:tabs>
              <w:spacing w:line="276" w:lineRule="auto"/>
              <w:rPr>
                <w:bCs/>
                <w:sz w:val="22"/>
                <w:szCs w:val="22"/>
                <w:lang w:val="en-US"/>
              </w:rPr>
            </w:pPr>
            <w:r w:rsidRPr="00FB2719">
              <w:rPr>
                <w:bCs/>
                <w:sz w:val="22"/>
                <w:szCs w:val="22"/>
                <w:lang w:val="en-US"/>
              </w:rPr>
              <w:t>AUC: ↓ 50 %</w:t>
            </w:r>
          </w:p>
          <w:p w14:paraId="0DA59B6F" w14:textId="77777777" w:rsidR="00CA08B3" w:rsidRPr="00FB2719" w:rsidRDefault="00CA08B3">
            <w:pPr>
              <w:tabs>
                <w:tab w:val="left" w:pos="567"/>
              </w:tabs>
              <w:spacing w:line="276" w:lineRule="auto"/>
              <w:rPr>
                <w:bCs/>
                <w:sz w:val="22"/>
                <w:szCs w:val="22"/>
                <w:lang w:val="en-US"/>
              </w:rPr>
            </w:pPr>
            <w:r w:rsidRPr="00FB2719">
              <w:rPr>
                <w:bCs/>
                <w:sz w:val="22"/>
                <w:szCs w:val="22"/>
                <w:lang w:val="en-US"/>
              </w:rPr>
              <w:t>C</w:t>
            </w:r>
            <w:r w:rsidRPr="00FB2719">
              <w:rPr>
                <w:bCs/>
                <w:sz w:val="22"/>
                <w:szCs w:val="22"/>
                <w:vertAlign w:val="subscript"/>
                <w:lang w:val="en-US"/>
              </w:rPr>
              <w:t>max</w:t>
            </w:r>
            <w:r w:rsidRPr="00FB2719">
              <w:rPr>
                <w:bCs/>
                <w:sz w:val="22"/>
                <w:szCs w:val="22"/>
                <w:lang w:val="en-US"/>
              </w:rPr>
              <w:t>: ↓ 46 %</w:t>
            </w:r>
          </w:p>
          <w:p w14:paraId="2548AB9F" w14:textId="77777777" w:rsidR="00CA08B3" w:rsidRPr="00FB2719" w:rsidRDefault="00CA08B3">
            <w:pPr>
              <w:tabs>
                <w:tab w:val="left" w:pos="567"/>
              </w:tabs>
              <w:spacing w:line="276" w:lineRule="auto"/>
              <w:rPr>
                <w:bCs/>
                <w:sz w:val="22"/>
                <w:szCs w:val="22"/>
                <w:lang w:val="en-US"/>
              </w:rPr>
            </w:pPr>
            <w:r w:rsidRPr="00FB2719">
              <w:rPr>
                <w:bCs/>
                <w:sz w:val="22"/>
                <w:szCs w:val="22"/>
                <w:lang w:val="en-US"/>
              </w:rPr>
              <w:t>C</w:t>
            </w:r>
            <w:r w:rsidRPr="00FB2719">
              <w:rPr>
                <w:bCs/>
                <w:sz w:val="22"/>
                <w:szCs w:val="22"/>
                <w:vertAlign w:val="subscript"/>
                <w:lang w:val="en-US"/>
              </w:rPr>
              <w:t>min</w:t>
            </w:r>
            <w:r w:rsidRPr="00FB2719">
              <w:rPr>
                <w:bCs/>
                <w:sz w:val="22"/>
                <w:szCs w:val="22"/>
                <w:lang w:val="en-US"/>
              </w:rPr>
              <w:t>: ↓ 56 %</w:t>
            </w:r>
          </w:p>
          <w:p w14:paraId="6FECB260" w14:textId="77777777" w:rsidR="00CA08B3" w:rsidRPr="00FB2719" w:rsidRDefault="00CA08B3">
            <w:pPr>
              <w:tabs>
                <w:tab w:val="left" w:pos="567"/>
              </w:tabs>
              <w:spacing w:line="276" w:lineRule="auto"/>
              <w:rPr>
                <w:bCs/>
                <w:sz w:val="22"/>
                <w:szCs w:val="22"/>
                <w:lang w:val="en-US"/>
              </w:rPr>
            </w:pPr>
            <w:r w:rsidRPr="00FB2719">
              <w:rPr>
                <w:bCs/>
                <w:sz w:val="22"/>
                <w:szCs w:val="22"/>
                <w:lang w:val="en-US"/>
              </w:rPr>
              <w:t>Dėl lamotrigino gliukuronizavimo indukcijos.</w:t>
            </w:r>
          </w:p>
          <w:p w14:paraId="6683EEE1" w14:textId="77777777" w:rsidR="00CA08B3" w:rsidRPr="00FB2719" w:rsidRDefault="00CA08B3">
            <w:pPr>
              <w:tabs>
                <w:tab w:val="left" w:pos="567"/>
              </w:tabs>
              <w:spacing w:line="276" w:lineRule="auto"/>
              <w:rPr>
                <w:bCs/>
                <w:sz w:val="22"/>
                <w:szCs w:val="22"/>
                <w:lang w:val="en-US"/>
              </w:rPr>
            </w:pPr>
          </w:p>
          <w:p w14:paraId="6E701E0E" w14:textId="77777777" w:rsidR="00CA08B3" w:rsidRPr="00FB2719" w:rsidRDefault="00CA08B3">
            <w:pPr>
              <w:tabs>
                <w:tab w:val="left" w:pos="567"/>
              </w:tabs>
              <w:spacing w:line="276" w:lineRule="auto"/>
              <w:rPr>
                <w:bCs/>
                <w:sz w:val="22"/>
                <w:szCs w:val="22"/>
                <w:lang w:val="en-US"/>
              </w:rPr>
            </w:pPr>
          </w:p>
          <w:p w14:paraId="5E3DE3A3" w14:textId="77777777" w:rsidR="00CA08B3" w:rsidRPr="00FB2719" w:rsidRDefault="00CA08B3">
            <w:pPr>
              <w:tabs>
                <w:tab w:val="left" w:pos="567"/>
              </w:tabs>
              <w:spacing w:line="276" w:lineRule="auto"/>
              <w:rPr>
                <w:bCs/>
                <w:sz w:val="22"/>
                <w:szCs w:val="22"/>
                <w:lang w:val="en-US"/>
              </w:rPr>
            </w:pPr>
            <w:r w:rsidRPr="00FB2719">
              <w:rPr>
                <w:bCs/>
                <w:sz w:val="22"/>
                <w:szCs w:val="22"/>
                <w:lang w:val="en-US"/>
              </w:rPr>
              <w:t>Valproatas: ↓</w:t>
            </w:r>
          </w:p>
          <w:p w14:paraId="0752DB6E" w14:textId="77777777" w:rsidR="00CA08B3" w:rsidRPr="00FB2719" w:rsidRDefault="00CA08B3">
            <w:pPr>
              <w:tabs>
                <w:tab w:val="left" w:pos="567"/>
              </w:tabs>
              <w:spacing w:line="276" w:lineRule="auto"/>
              <w:rPr>
                <w:bCs/>
                <w:sz w:val="22"/>
                <w:szCs w:val="22"/>
                <w:lang w:val="en-US"/>
              </w:rPr>
            </w:pPr>
          </w:p>
        </w:tc>
        <w:tc>
          <w:tcPr>
            <w:tcW w:w="2988" w:type="dxa"/>
            <w:tcBorders>
              <w:top w:val="single" w:sz="4" w:space="0" w:color="auto"/>
              <w:left w:val="single" w:sz="4" w:space="0" w:color="auto"/>
              <w:bottom w:val="single" w:sz="4" w:space="0" w:color="auto"/>
              <w:right w:val="single" w:sz="4" w:space="0" w:color="auto"/>
            </w:tcBorders>
          </w:tcPr>
          <w:p w14:paraId="10B8BE11" w14:textId="77777777" w:rsidR="00CA08B3" w:rsidRPr="00FB2719" w:rsidRDefault="00CA08B3">
            <w:pPr>
              <w:tabs>
                <w:tab w:val="left" w:pos="567"/>
              </w:tabs>
              <w:spacing w:line="276" w:lineRule="auto"/>
              <w:rPr>
                <w:bCs/>
                <w:sz w:val="22"/>
                <w:szCs w:val="22"/>
                <w:lang w:val="en-US"/>
              </w:rPr>
            </w:pPr>
            <w:r w:rsidRPr="00FB2719">
              <w:rPr>
                <w:bCs/>
                <w:sz w:val="22"/>
                <w:szCs w:val="22"/>
                <w:lang w:val="en-US"/>
              </w:rPr>
              <w:t>Jeigu vartojama Lopinavir/Ritonavir Sandoz kartu su valproine rūgštimi arba valproatu, pacientus reikia atidžiai stebėti, nes gali sumažėti valproinės rūgšties poveikis.</w:t>
            </w:r>
          </w:p>
          <w:p w14:paraId="1A604102" w14:textId="77777777" w:rsidR="00CA08B3" w:rsidRPr="00FB2719" w:rsidRDefault="00CA08B3">
            <w:pPr>
              <w:tabs>
                <w:tab w:val="left" w:pos="567"/>
              </w:tabs>
              <w:spacing w:line="276" w:lineRule="auto"/>
              <w:rPr>
                <w:bCs/>
                <w:sz w:val="22"/>
                <w:szCs w:val="22"/>
                <w:lang w:val="en-US"/>
              </w:rPr>
            </w:pPr>
          </w:p>
          <w:p w14:paraId="79AAB15B" w14:textId="77777777" w:rsidR="00CA08B3" w:rsidRPr="00FB2719" w:rsidRDefault="00CA08B3">
            <w:pPr>
              <w:tabs>
                <w:tab w:val="left" w:pos="567"/>
              </w:tabs>
              <w:spacing w:line="276" w:lineRule="auto"/>
              <w:rPr>
                <w:bCs/>
                <w:sz w:val="22"/>
                <w:szCs w:val="22"/>
                <w:lang w:val="en-US"/>
              </w:rPr>
            </w:pPr>
            <w:r w:rsidRPr="00FB2719">
              <w:rPr>
                <w:bCs/>
                <w:sz w:val="22"/>
                <w:szCs w:val="22"/>
                <w:u w:val="single"/>
                <w:lang w:val="en-US"/>
              </w:rPr>
              <w:t>Pacientams pradedant arba baigiant vartoti Lopinavir / Ritonavir Sandoz, kai tuo pačiu metu vartojama palaikomoji lamotrigino dozė</w:t>
            </w:r>
            <w:r w:rsidRPr="00FB2719">
              <w:rPr>
                <w:bCs/>
                <w:sz w:val="22"/>
                <w:szCs w:val="22"/>
                <w:lang w:val="en-US"/>
              </w:rPr>
              <w:t>:</w:t>
            </w:r>
          </w:p>
          <w:p w14:paraId="2462E2C7" w14:textId="77777777" w:rsidR="00CA08B3" w:rsidRPr="00FB2719" w:rsidRDefault="00CA08B3">
            <w:pPr>
              <w:tabs>
                <w:tab w:val="left" w:pos="567"/>
              </w:tabs>
              <w:spacing w:line="276" w:lineRule="auto"/>
              <w:rPr>
                <w:bCs/>
                <w:sz w:val="22"/>
                <w:szCs w:val="22"/>
                <w:lang w:val="en-US"/>
              </w:rPr>
            </w:pPr>
            <w:proofErr w:type="gramStart"/>
            <w:r w:rsidRPr="00FB2719">
              <w:rPr>
                <w:bCs/>
                <w:sz w:val="22"/>
                <w:szCs w:val="22"/>
                <w:lang w:val="en-US"/>
              </w:rPr>
              <w:t>gali</w:t>
            </w:r>
            <w:proofErr w:type="gramEnd"/>
            <w:r w:rsidRPr="00FB2719">
              <w:rPr>
                <w:bCs/>
                <w:sz w:val="22"/>
                <w:szCs w:val="22"/>
                <w:lang w:val="en-US"/>
              </w:rPr>
              <w:t xml:space="preserve"> prireikti padidinti lamotrigino dozę, jei pridedama Lopinavir / Ritonavir Sandoz, arba sumažinti, jei Lopinavir/Ritonavir Sandoz vartojimas nutraukiamas. Dėl to reikia sekti lamotrigino koncentraciją kraujo plazmoje, ypač prieš pradedant vartoti Lopinavir / Ritonavir Sandoz, 2 savaites nuo Lopinavir/Ritonavir Sandoz vartojimo ar nutraukimo pradžios tam, kad būtų nustatyta, ar reikia koreguoti lamotrigino dozę.</w:t>
            </w:r>
          </w:p>
          <w:p w14:paraId="00A2A35F" w14:textId="77777777" w:rsidR="00CA08B3" w:rsidRPr="00FB2719" w:rsidRDefault="00CA08B3">
            <w:pPr>
              <w:tabs>
                <w:tab w:val="left" w:pos="567"/>
              </w:tabs>
              <w:spacing w:line="276" w:lineRule="auto"/>
              <w:rPr>
                <w:bCs/>
                <w:sz w:val="22"/>
                <w:szCs w:val="22"/>
                <w:lang w:val="en-US"/>
              </w:rPr>
            </w:pPr>
            <w:r w:rsidRPr="00FB2719">
              <w:rPr>
                <w:bCs/>
                <w:sz w:val="22"/>
                <w:szCs w:val="22"/>
                <w:u w:val="single"/>
                <w:lang w:val="en-US"/>
              </w:rPr>
              <w:t>Lopinavir/Ritonavir Sandoz gydomiems pacientams pradedant vartoti lamotrigino</w:t>
            </w:r>
            <w:r w:rsidRPr="00FB2719">
              <w:rPr>
                <w:bCs/>
                <w:sz w:val="22"/>
                <w:szCs w:val="22"/>
                <w:lang w:val="en-US"/>
              </w:rPr>
              <w:t>: dozės priderinimas prie rekomenduojamo lamotrigino dozės didinimo nereikalingas.</w:t>
            </w:r>
          </w:p>
        </w:tc>
      </w:tr>
      <w:tr w:rsidR="00CA08B3" w:rsidRPr="00FB2719" w14:paraId="55F33318" w14:textId="77777777" w:rsidTr="0064111D">
        <w:tc>
          <w:tcPr>
            <w:tcW w:w="9016" w:type="dxa"/>
            <w:gridSpan w:val="3"/>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498"/>
            </w:tblGrid>
            <w:tr w:rsidR="00CA08B3" w:rsidRPr="00FB2719" w14:paraId="6FDA57CB" w14:textId="77777777">
              <w:trPr>
                <w:trHeight w:val="148"/>
              </w:trPr>
              <w:tc>
                <w:tcPr>
                  <w:tcW w:w="0" w:type="auto"/>
                  <w:tcBorders>
                    <w:top w:val="nil"/>
                    <w:left w:val="nil"/>
                    <w:bottom w:val="nil"/>
                    <w:right w:val="nil"/>
                  </w:tcBorders>
                  <w:hideMark/>
                </w:tcPr>
                <w:p w14:paraId="1FA74A4E" w14:textId="77777777" w:rsidR="00CA08B3" w:rsidRPr="00FB2719" w:rsidRDefault="00CA08B3">
                  <w:pPr>
                    <w:autoSpaceDE w:val="0"/>
                    <w:autoSpaceDN w:val="0"/>
                    <w:adjustRightInd w:val="0"/>
                    <w:spacing w:line="276" w:lineRule="auto"/>
                    <w:rPr>
                      <w:rFonts w:eastAsia="Calibri"/>
                      <w:color w:val="000000"/>
                      <w:sz w:val="22"/>
                      <w:szCs w:val="22"/>
                      <w:lang w:val="it-IT" w:eastAsia="lt-LT"/>
                    </w:rPr>
                  </w:pPr>
                  <w:r w:rsidRPr="00FB2719">
                    <w:rPr>
                      <w:rFonts w:eastAsia="Calibri"/>
                      <w:i/>
                      <w:iCs/>
                      <w:color w:val="000000"/>
                      <w:sz w:val="22"/>
                      <w:szCs w:val="22"/>
                      <w:lang w:val="it-IT" w:eastAsia="lt-LT"/>
                    </w:rPr>
                    <w:t xml:space="preserve">Antidepresantai ir raminamąjį poveikį sukeliantys vaistiniai preparatai </w:t>
                  </w:r>
                </w:p>
              </w:tc>
            </w:tr>
          </w:tbl>
          <w:p w14:paraId="2666EF33" w14:textId="77777777" w:rsidR="00CA08B3" w:rsidRPr="00FB2719" w:rsidRDefault="00CA08B3">
            <w:pPr>
              <w:tabs>
                <w:tab w:val="left" w:pos="567"/>
              </w:tabs>
              <w:spacing w:line="276" w:lineRule="auto"/>
              <w:rPr>
                <w:bCs/>
                <w:i/>
                <w:sz w:val="22"/>
                <w:szCs w:val="22"/>
                <w:lang w:val="it-IT"/>
              </w:rPr>
            </w:pPr>
          </w:p>
        </w:tc>
      </w:tr>
      <w:tr w:rsidR="00CA08B3" w:rsidRPr="00FB2719" w14:paraId="01E42B32" w14:textId="77777777" w:rsidTr="0064111D">
        <w:tc>
          <w:tcPr>
            <w:tcW w:w="3044" w:type="dxa"/>
            <w:tcBorders>
              <w:top w:val="single" w:sz="4" w:space="0" w:color="auto"/>
              <w:left w:val="single" w:sz="4" w:space="0" w:color="auto"/>
              <w:bottom w:val="single" w:sz="4" w:space="0" w:color="auto"/>
              <w:right w:val="single" w:sz="4" w:space="0" w:color="auto"/>
            </w:tcBorders>
          </w:tcPr>
          <w:p w14:paraId="6DFC0911" w14:textId="77777777" w:rsidR="00CA08B3" w:rsidRPr="00FB2719" w:rsidRDefault="00CA08B3">
            <w:pPr>
              <w:tabs>
                <w:tab w:val="left" w:pos="567"/>
              </w:tabs>
              <w:spacing w:line="276" w:lineRule="auto"/>
              <w:jc w:val="both"/>
              <w:rPr>
                <w:bCs/>
                <w:sz w:val="22"/>
                <w:szCs w:val="22"/>
              </w:rPr>
            </w:pPr>
            <w:r w:rsidRPr="00FB2719">
              <w:rPr>
                <w:bCs/>
                <w:sz w:val="22"/>
                <w:szCs w:val="22"/>
              </w:rPr>
              <w:t>Trazodono vienkartinė dozė</w:t>
            </w:r>
          </w:p>
          <w:p w14:paraId="78F4B9D9" w14:textId="77777777" w:rsidR="00CA08B3" w:rsidRPr="00FB2719" w:rsidRDefault="00CA08B3">
            <w:pPr>
              <w:tabs>
                <w:tab w:val="left" w:pos="567"/>
              </w:tabs>
              <w:spacing w:line="276" w:lineRule="auto"/>
              <w:jc w:val="both"/>
              <w:rPr>
                <w:bCs/>
                <w:sz w:val="22"/>
                <w:szCs w:val="22"/>
              </w:rPr>
            </w:pPr>
          </w:p>
          <w:p w14:paraId="5F8AB097" w14:textId="77777777" w:rsidR="00CA08B3" w:rsidRPr="00FB2719" w:rsidRDefault="00CA08B3">
            <w:pPr>
              <w:tabs>
                <w:tab w:val="left" w:pos="567"/>
              </w:tabs>
              <w:spacing w:line="276" w:lineRule="auto"/>
              <w:jc w:val="both"/>
              <w:rPr>
                <w:bCs/>
                <w:sz w:val="22"/>
                <w:szCs w:val="22"/>
              </w:rPr>
            </w:pPr>
          </w:p>
          <w:p w14:paraId="66A58D4F" w14:textId="77777777" w:rsidR="00CA08B3" w:rsidRPr="00FB2719" w:rsidRDefault="00CA08B3" w:rsidP="0025420A">
            <w:pPr>
              <w:tabs>
                <w:tab w:val="left" w:pos="567"/>
              </w:tabs>
              <w:spacing w:line="276" w:lineRule="auto"/>
              <w:jc w:val="both"/>
              <w:rPr>
                <w:bCs/>
                <w:sz w:val="22"/>
                <w:szCs w:val="22"/>
              </w:rPr>
            </w:pPr>
            <w:r w:rsidRPr="00FB2719">
              <w:rPr>
                <w:bCs/>
                <w:sz w:val="22"/>
                <w:szCs w:val="22"/>
              </w:rPr>
              <w:lastRenderedPageBreak/>
              <w:t>(Ritonaviras, 200</w:t>
            </w:r>
            <w:r w:rsidR="0025420A" w:rsidRPr="00FB2719">
              <w:rPr>
                <w:bCs/>
                <w:sz w:val="22"/>
                <w:szCs w:val="22"/>
              </w:rPr>
              <w:t> </w:t>
            </w:r>
            <w:r w:rsidRPr="00FB2719">
              <w:rPr>
                <w:bCs/>
                <w:sz w:val="22"/>
                <w:szCs w:val="22"/>
              </w:rPr>
              <w:t>mg BID)</w:t>
            </w:r>
          </w:p>
        </w:tc>
        <w:tc>
          <w:tcPr>
            <w:tcW w:w="2984" w:type="dxa"/>
            <w:tcBorders>
              <w:top w:val="single" w:sz="4" w:space="0" w:color="auto"/>
              <w:left w:val="single" w:sz="4" w:space="0" w:color="auto"/>
              <w:bottom w:val="single" w:sz="4" w:space="0" w:color="auto"/>
              <w:right w:val="single" w:sz="4" w:space="0" w:color="auto"/>
            </w:tcBorders>
          </w:tcPr>
          <w:p w14:paraId="782B0496" w14:textId="77777777" w:rsidR="00CA08B3" w:rsidRPr="00FB2719" w:rsidRDefault="00CA08B3">
            <w:pPr>
              <w:tabs>
                <w:tab w:val="left" w:pos="567"/>
              </w:tabs>
              <w:spacing w:line="276" w:lineRule="auto"/>
              <w:rPr>
                <w:bCs/>
                <w:sz w:val="22"/>
                <w:szCs w:val="22"/>
              </w:rPr>
            </w:pPr>
            <w:r w:rsidRPr="00FB2719">
              <w:rPr>
                <w:bCs/>
                <w:sz w:val="22"/>
                <w:szCs w:val="22"/>
              </w:rPr>
              <w:lastRenderedPageBreak/>
              <w:t>Trazodonas:</w:t>
            </w:r>
          </w:p>
          <w:p w14:paraId="255BD61F" w14:textId="77777777" w:rsidR="00CA08B3" w:rsidRPr="00FB2719" w:rsidRDefault="00CA08B3">
            <w:pPr>
              <w:tabs>
                <w:tab w:val="left" w:pos="567"/>
              </w:tabs>
              <w:spacing w:line="276" w:lineRule="auto"/>
              <w:rPr>
                <w:bCs/>
                <w:sz w:val="22"/>
                <w:szCs w:val="22"/>
              </w:rPr>
            </w:pPr>
            <w:r w:rsidRPr="00FB2719">
              <w:rPr>
                <w:bCs/>
                <w:sz w:val="22"/>
                <w:szCs w:val="22"/>
              </w:rPr>
              <w:t>AUC: ↑ 2,4</w:t>
            </w:r>
            <w:r w:rsidR="0025420A" w:rsidRPr="00FB2719">
              <w:rPr>
                <w:bCs/>
                <w:sz w:val="22"/>
                <w:szCs w:val="22"/>
              </w:rPr>
              <w:t> </w:t>
            </w:r>
            <w:r w:rsidRPr="00FB2719">
              <w:rPr>
                <w:bCs/>
                <w:sz w:val="22"/>
                <w:szCs w:val="22"/>
              </w:rPr>
              <w:t>karto</w:t>
            </w:r>
          </w:p>
          <w:p w14:paraId="4F321ED4" w14:textId="77777777" w:rsidR="00CA08B3" w:rsidRPr="00FB2719" w:rsidRDefault="00CA08B3">
            <w:pPr>
              <w:tabs>
                <w:tab w:val="left" w:pos="567"/>
              </w:tabs>
              <w:spacing w:line="276" w:lineRule="auto"/>
              <w:rPr>
                <w:bCs/>
                <w:sz w:val="22"/>
                <w:szCs w:val="22"/>
              </w:rPr>
            </w:pPr>
          </w:p>
          <w:p w14:paraId="50D5945D" w14:textId="77777777" w:rsidR="00CA08B3" w:rsidRPr="00FB2719" w:rsidRDefault="00CA08B3">
            <w:pPr>
              <w:tabs>
                <w:tab w:val="left" w:pos="567"/>
              </w:tabs>
              <w:spacing w:line="276" w:lineRule="auto"/>
              <w:rPr>
                <w:bCs/>
                <w:sz w:val="22"/>
                <w:szCs w:val="22"/>
              </w:rPr>
            </w:pPr>
            <w:r w:rsidRPr="00FB2719">
              <w:rPr>
                <w:bCs/>
                <w:sz w:val="22"/>
                <w:szCs w:val="22"/>
              </w:rPr>
              <w:lastRenderedPageBreak/>
              <w:t>Trazodono vartojant kartu su ritonaviru buvo pastebėta nepageidaujamų reiškinių, tokių, kaip pykinimas, svaigimas, hipotenzija ir apalpimas.</w:t>
            </w:r>
          </w:p>
        </w:tc>
        <w:tc>
          <w:tcPr>
            <w:tcW w:w="2988" w:type="dxa"/>
            <w:tcBorders>
              <w:top w:val="single" w:sz="4" w:space="0" w:color="auto"/>
              <w:left w:val="single" w:sz="4" w:space="0" w:color="auto"/>
              <w:bottom w:val="single" w:sz="4" w:space="0" w:color="auto"/>
              <w:right w:val="single" w:sz="4" w:space="0" w:color="auto"/>
            </w:tcBorders>
            <w:hideMark/>
          </w:tcPr>
          <w:p w14:paraId="2CA99C76" w14:textId="77777777" w:rsidR="00CA08B3" w:rsidRPr="00FB2719" w:rsidRDefault="00CA08B3">
            <w:pPr>
              <w:tabs>
                <w:tab w:val="left" w:pos="567"/>
              </w:tabs>
              <w:spacing w:line="276" w:lineRule="auto"/>
              <w:rPr>
                <w:bCs/>
                <w:sz w:val="22"/>
                <w:szCs w:val="22"/>
              </w:rPr>
            </w:pPr>
            <w:r w:rsidRPr="00FB2719">
              <w:rPr>
                <w:bCs/>
                <w:sz w:val="22"/>
                <w:szCs w:val="22"/>
              </w:rPr>
              <w:lastRenderedPageBreak/>
              <w:t xml:space="preserve">Nežinoma, ar lopinaviro / ritonaviro derinys su trazodonu sukelia panašų trazodono </w:t>
            </w:r>
            <w:r w:rsidRPr="00FB2719">
              <w:rPr>
                <w:bCs/>
                <w:sz w:val="22"/>
                <w:szCs w:val="22"/>
              </w:rPr>
              <w:lastRenderedPageBreak/>
              <w:t>ekspozicijos padidėjimą. Tokį derinį reikia skirti atsargiai ir reikia pagalvoti apie mažesnės trazodono dozės skyrimą.</w:t>
            </w:r>
          </w:p>
        </w:tc>
      </w:tr>
      <w:tr w:rsidR="00CA08B3" w:rsidRPr="00FB2719" w14:paraId="740807DF" w14:textId="77777777" w:rsidTr="0064111D">
        <w:tc>
          <w:tcPr>
            <w:tcW w:w="9016" w:type="dxa"/>
            <w:gridSpan w:val="3"/>
            <w:tcBorders>
              <w:top w:val="single" w:sz="4" w:space="0" w:color="auto"/>
              <w:left w:val="single" w:sz="4" w:space="0" w:color="auto"/>
              <w:bottom w:val="single" w:sz="4" w:space="0" w:color="auto"/>
              <w:right w:val="single" w:sz="4" w:space="0" w:color="auto"/>
            </w:tcBorders>
            <w:hideMark/>
          </w:tcPr>
          <w:p w14:paraId="2959C5DA" w14:textId="77777777" w:rsidR="00CA08B3" w:rsidRPr="00FB2719" w:rsidRDefault="00CA08B3">
            <w:pPr>
              <w:tabs>
                <w:tab w:val="left" w:pos="567"/>
              </w:tabs>
              <w:spacing w:line="276" w:lineRule="auto"/>
              <w:rPr>
                <w:bCs/>
                <w:i/>
                <w:sz w:val="22"/>
                <w:szCs w:val="22"/>
                <w:lang w:val="en-US"/>
              </w:rPr>
            </w:pPr>
            <w:r w:rsidRPr="00FB2719">
              <w:rPr>
                <w:bCs/>
                <w:i/>
                <w:sz w:val="22"/>
                <w:szCs w:val="22"/>
                <w:lang w:val="en-US"/>
              </w:rPr>
              <w:lastRenderedPageBreak/>
              <w:t>Priešgrybeliniai vaistiniai preparatai</w:t>
            </w:r>
          </w:p>
        </w:tc>
      </w:tr>
      <w:tr w:rsidR="00CA08B3" w:rsidRPr="00FB2719" w14:paraId="4933F86D" w14:textId="77777777" w:rsidTr="0064111D">
        <w:tc>
          <w:tcPr>
            <w:tcW w:w="3044" w:type="dxa"/>
            <w:tcBorders>
              <w:top w:val="single" w:sz="4" w:space="0" w:color="auto"/>
              <w:left w:val="single" w:sz="4" w:space="0" w:color="auto"/>
              <w:bottom w:val="single" w:sz="4" w:space="0" w:color="auto"/>
              <w:right w:val="single" w:sz="4" w:space="0" w:color="auto"/>
            </w:tcBorders>
            <w:hideMark/>
          </w:tcPr>
          <w:p w14:paraId="7322F862"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Ketokonazolas ir itrakonazolas</w:t>
            </w:r>
          </w:p>
        </w:tc>
        <w:tc>
          <w:tcPr>
            <w:tcW w:w="2984" w:type="dxa"/>
            <w:tcBorders>
              <w:top w:val="single" w:sz="4" w:space="0" w:color="auto"/>
              <w:left w:val="single" w:sz="4" w:space="0" w:color="auto"/>
              <w:bottom w:val="single" w:sz="4" w:space="0" w:color="auto"/>
              <w:right w:val="single" w:sz="4" w:space="0" w:color="auto"/>
            </w:tcBorders>
            <w:hideMark/>
          </w:tcPr>
          <w:p w14:paraId="1F9FC9E7" w14:textId="77777777" w:rsidR="00CA08B3" w:rsidRPr="00FB2719" w:rsidRDefault="00CA08B3">
            <w:pPr>
              <w:tabs>
                <w:tab w:val="left" w:pos="567"/>
              </w:tabs>
              <w:spacing w:line="276" w:lineRule="auto"/>
              <w:rPr>
                <w:bCs/>
                <w:sz w:val="22"/>
                <w:szCs w:val="22"/>
                <w:lang w:val="en-US"/>
              </w:rPr>
            </w:pPr>
            <w:r w:rsidRPr="00FB2719">
              <w:rPr>
                <w:bCs/>
                <w:sz w:val="22"/>
                <w:szCs w:val="22"/>
                <w:lang w:val="en-US"/>
              </w:rPr>
              <w:t>Ketokonazolas, itrakonazolas: koncentracijos serume gali padidėti, nes lopinaviro / ritonaviro derinys slopina CYP3A4.</w:t>
            </w:r>
          </w:p>
        </w:tc>
        <w:tc>
          <w:tcPr>
            <w:tcW w:w="2988" w:type="dxa"/>
            <w:tcBorders>
              <w:top w:val="single" w:sz="4" w:space="0" w:color="auto"/>
              <w:left w:val="single" w:sz="4" w:space="0" w:color="auto"/>
              <w:bottom w:val="single" w:sz="4" w:space="0" w:color="auto"/>
              <w:right w:val="single" w:sz="4" w:space="0" w:color="auto"/>
            </w:tcBorders>
            <w:hideMark/>
          </w:tcPr>
          <w:p w14:paraId="501177F6" w14:textId="77777777" w:rsidR="00CA08B3" w:rsidRPr="00FB2719" w:rsidRDefault="00CA08B3" w:rsidP="0025420A">
            <w:pPr>
              <w:tabs>
                <w:tab w:val="left" w:pos="567"/>
              </w:tabs>
              <w:spacing w:line="276" w:lineRule="auto"/>
              <w:rPr>
                <w:bCs/>
                <w:sz w:val="22"/>
                <w:szCs w:val="22"/>
                <w:lang w:val="en-US"/>
              </w:rPr>
            </w:pPr>
            <w:r w:rsidRPr="00FB2719">
              <w:rPr>
                <w:bCs/>
                <w:sz w:val="22"/>
                <w:szCs w:val="22"/>
                <w:lang w:val="en-US"/>
              </w:rPr>
              <w:t>Nerekomenduojama vartoti didelių ketokonazolo ir itrakonazolo (&gt;</w:t>
            </w:r>
            <w:r w:rsidR="0025420A" w:rsidRPr="00FB2719">
              <w:rPr>
                <w:bCs/>
                <w:sz w:val="22"/>
                <w:szCs w:val="22"/>
                <w:lang w:val="en-US"/>
              </w:rPr>
              <w:t> </w:t>
            </w:r>
            <w:r w:rsidRPr="00FB2719">
              <w:rPr>
                <w:bCs/>
                <w:sz w:val="22"/>
                <w:szCs w:val="22"/>
                <w:lang w:val="en-US"/>
              </w:rPr>
              <w:t>200</w:t>
            </w:r>
            <w:r w:rsidR="0025420A" w:rsidRPr="00FB2719">
              <w:rPr>
                <w:bCs/>
                <w:sz w:val="22"/>
                <w:szCs w:val="22"/>
                <w:lang w:val="en-US"/>
              </w:rPr>
              <w:t> </w:t>
            </w:r>
            <w:r w:rsidRPr="00FB2719">
              <w:rPr>
                <w:bCs/>
                <w:sz w:val="22"/>
                <w:szCs w:val="22"/>
                <w:lang w:val="en-US"/>
              </w:rPr>
              <w:t>mg/parą) dozių.</w:t>
            </w:r>
          </w:p>
        </w:tc>
      </w:tr>
      <w:tr w:rsidR="00CA08B3" w:rsidRPr="00FB2719" w14:paraId="567FCD4E" w14:textId="77777777" w:rsidTr="0064111D">
        <w:tc>
          <w:tcPr>
            <w:tcW w:w="3044" w:type="dxa"/>
            <w:tcBorders>
              <w:top w:val="single" w:sz="4" w:space="0" w:color="auto"/>
              <w:left w:val="single" w:sz="4" w:space="0" w:color="auto"/>
              <w:bottom w:val="single" w:sz="4" w:space="0" w:color="auto"/>
              <w:right w:val="single" w:sz="4" w:space="0" w:color="auto"/>
            </w:tcBorders>
            <w:hideMark/>
          </w:tcPr>
          <w:p w14:paraId="69CE4231"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Vorikonazolas</w:t>
            </w:r>
          </w:p>
        </w:tc>
        <w:tc>
          <w:tcPr>
            <w:tcW w:w="2984" w:type="dxa"/>
            <w:tcBorders>
              <w:top w:val="single" w:sz="4" w:space="0" w:color="auto"/>
              <w:left w:val="single" w:sz="4" w:space="0" w:color="auto"/>
              <w:bottom w:val="single" w:sz="4" w:space="0" w:color="auto"/>
              <w:right w:val="single" w:sz="4" w:space="0" w:color="auto"/>
            </w:tcBorders>
            <w:hideMark/>
          </w:tcPr>
          <w:p w14:paraId="28CE2E6A" w14:textId="77777777" w:rsidR="00CA08B3" w:rsidRPr="00FB2719" w:rsidRDefault="00CA08B3">
            <w:pPr>
              <w:tabs>
                <w:tab w:val="left" w:pos="567"/>
              </w:tabs>
              <w:spacing w:line="276" w:lineRule="auto"/>
              <w:rPr>
                <w:bCs/>
                <w:sz w:val="22"/>
                <w:szCs w:val="22"/>
                <w:lang w:val="en-US"/>
              </w:rPr>
            </w:pPr>
            <w:r w:rsidRPr="00FB2719">
              <w:rPr>
                <w:bCs/>
                <w:sz w:val="22"/>
                <w:szCs w:val="22"/>
                <w:lang w:val="en-US"/>
              </w:rPr>
              <w:t>Vorikonazolas:</w:t>
            </w:r>
          </w:p>
          <w:p w14:paraId="08D75F78" w14:textId="77777777" w:rsidR="00CA08B3" w:rsidRPr="00FB2719" w:rsidRDefault="00CA08B3">
            <w:pPr>
              <w:tabs>
                <w:tab w:val="left" w:pos="567"/>
              </w:tabs>
              <w:spacing w:line="276" w:lineRule="auto"/>
              <w:rPr>
                <w:bCs/>
                <w:sz w:val="22"/>
                <w:szCs w:val="22"/>
                <w:lang w:val="en-US"/>
              </w:rPr>
            </w:pPr>
            <w:proofErr w:type="gramStart"/>
            <w:r w:rsidRPr="00FB2719">
              <w:rPr>
                <w:bCs/>
                <w:sz w:val="22"/>
                <w:szCs w:val="22"/>
                <w:lang w:val="en-US"/>
              </w:rPr>
              <w:t>koncentracijos</w:t>
            </w:r>
            <w:proofErr w:type="gramEnd"/>
            <w:r w:rsidRPr="00FB2719">
              <w:rPr>
                <w:bCs/>
                <w:sz w:val="22"/>
                <w:szCs w:val="22"/>
                <w:lang w:val="en-US"/>
              </w:rPr>
              <w:t xml:space="preserve"> gali sumažėti.</w:t>
            </w:r>
          </w:p>
        </w:tc>
        <w:tc>
          <w:tcPr>
            <w:tcW w:w="2988" w:type="dxa"/>
            <w:tcBorders>
              <w:top w:val="single" w:sz="4" w:space="0" w:color="auto"/>
              <w:left w:val="single" w:sz="4" w:space="0" w:color="auto"/>
              <w:bottom w:val="single" w:sz="4" w:space="0" w:color="auto"/>
              <w:right w:val="single" w:sz="4" w:space="0" w:color="auto"/>
            </w:tcBorders>
            <w:hideMark/>
          </w:tcPr>
          <w:p w14:paraId="49763298" w14:textId="77777777" w:rsidR="00CA08B3" w:rsidRPr="00FB2719" w:rsidRDefault="00CA08B3" w:rsidP="0025420A">
            <w:pPr>
              <w:tabs>
                <w:tab w:val="left" w:pos="567"/>
              </w:tabs>
              <w:spacing w:line="276" w:lineRule="auto"/>
              <w:rPr>
                <w:bCs/>
                <w:sz w:val="22"/>
                <w:szCs w:val="22"/>
                <w:lang w:val="en-US"/>
              </w:rPr>
            </w:pPr>
            <w:r w:rsidRPr="00FB2719">
              <w:rPr>
                <w:bCs/>
                <w:sz w:val="22"/>
                <w:szCs w:val="22"/>
                <w:lang w:val="en-US"/>
              </w:rPr>
              <w:t>Reikia vengti kartu skirti vorikonazolą ir mažą ritonaviro dozę (100</w:t>
            </w:r>
            <w:r w:rsidR="0025420A" w:rsidRPr="00FB2719">
              <w:rPr>
                <w:bCs/>
                <w:sz w:val="22"/>
                <w:szCs w:val="22"/>
                <w:lang w:val="en-US"/>
              </w:rPr>
              <w:t> </w:t>
            </w:r>
            <w:r w:rsidRPr="00FB2719">
              <w:rPr>
                <w:bCs/>
                <w:sz w:val="22"/>
                <w:szCs w:val="22"/>
                <w:lang w:val="en-US"/>
              </w:rPr>
              <w:t>mg BID), esančią Lopinavir/Ritonavir Sandoz sudėtyje, nebent naudos ir rizikos įvertinimas pacientui pateisintų vorikonazolo vartojimą.</w:t>
            </w:r>
          </w:p>
        </w:tc>
      </w:tr>
      <w:tr w:rsidR="00CA08B3" w:rsidRPr="00FB2719" w14:paraId="5086775F" w14:textId="77777777" w:rsidTr="0064111D">
        <w:tc>
          <w:tcPr>
            <w:tcW w:w="9016" w:type="dxa"/>
            <w:gridSpan w:val="3"/>
            <w:tcBorders>
              <w:top w:val="single" w:sz="4" w:space="0" w:color="auto"/>
              <w:left w:val="single" w:sz="4" w:space="0" w:color="auto"/>
              <w:bottom w:val="single" w:sz="4" w:space="0" w:color="auto"/>
              <w:right w:val="single" w:sz="4" w:space="0" w:color="auto"/>
            </w:tcBorders>
            <w:hideMark/>
          </w:tcPr>
          <w:p w14:paraId="7FF40C3D" w14:textId="77777777" w:rsidR="00CA08B3" w:rsidRPr="00FB2719" w:rsidRDefault="00CA08B3">
            <w:pPr>
              <w:tabs>
                <w:tab w:val="left" w:pos="567"/>
              </w:tabs>
              <w:spacing w:line="276" w:lineRule="auto"/>
              <w:rPr>
                <w:bCs/>
                <w:i/>
                <w:sz w:val="22"/>
                <w:szCs w:val="22"/>
                <w:lang w:val="en-US"/>
              </w:rPr>
            </w:pPr>
            <w:r w:rsidRPr="00FB2719">
              <w:rPr>
                <w:bCs/>
                <w:i/>
                <w:sz w:val="22"/>
                <w:szCs w:val="22"/>
                <w:lang w:val="en-US"/>
              </w:rPr>
              <w:t>Antipodagriniai vaistiniai preparatai</w:t>
            </w:r>
          </w:p>
        </w:tc>
      </w:tr>
      <w:tr w:rsidR="00CA08B3" w:rsidRPr="00FB2719" w14:paraId="246DB2BA" w14:textId="77777777" w:rsidTr="0064111D">
        <w:tc>
          <w:tcPr>
            <w:tcW w:w="3044" w:type="dxa"/>
            <w:tcBorders>
              <w:top w:val="single" w:sz="4" w:space="0" w:color="auto"/>
              <w:left w:val="single" w:sz="4" w:space="0" w:color="auto"/>
              <w:bottom w:val="single" w:sz="4" w:space="0" w:color="auto"/>
              <w:right w:val="single" w:sz="4" w:space="0" w:color="auto"/>
            </w:tcBorders>
          </w:tcPr>
          <w:p w14:paraId="519E510D" w14:textId="77777777" w:rsidR="00CA08B3" w:rsidRPr="00FB2719" w:rsidRDefault="00CA08B3">
            <w:pPr>
              <w:tabs>
                <w:tab w:val="left" w:pos="567"/>
              </w:tabs>
              <w:spacing w:line="276" w:lineRule="auto"/>
              <w:jc w:val="both"/>
              <w:rPr>
                <w:bCs/>
                <w:sz w:val="22"/>
                <w:szCs w:val="22"/>
              </w:rPr>
            </w:pPr>
            <w:r w:rsidRPr="00FB2719">
              <w:rPr>
                <w:bCs/>
                <w:sz w:val="22"/>
                <w:szCs w:val="22"/>
              </w:rPr>
              <w:t>Vienkartinė kolchicino dozė</w:t>
            </w:r>
          </w:p>
          <w:p w14:paraId="41983BE2" w14:textId="77777777" w:rsidR="00CA08B3" w:rsidRPr="00FB2719" w:rsidRDefault="00CA08B3">
            <w:pPr>
              <w:tabs>
                <w:tab w:val="left" w:pos="567"/>
              </w:tabs>
              <w:spacing w:line="276" w:lineRule="auto"/>
              <w:jc w:val="both"/>
              <w:rPr>
                <w:bCs/>
                <w:sz w:val="22"/>
                <w:szCs w:val="22"/>
              </w:rPr>
            </w:pPr>
          </w:p>
          <w:p w14:paraId="083E36FB" w14:textId="77777777" w:rsidR="00CA08B3" w:rsidRPr="00FB2719" w:rsidRDefault="00CA08B3">
            <w:pPr>
              <w:tabs>
                <w:tab w:val="left" w:pos="567"/>
              </w:tabs>
              <w:spacing w:line="276" w:lineRule="auto"/>
              <w:jc w:val="both"/>
              <w:rPr>
                <w:bCs/>
                <w:sz w:val="22"/>
                <w:szCs w:val="22"/>
              </w:rPr>
            </w:pPr>
          </w:p>
          <w:p w14:paraId="55CFE18C" w14:textId="77777777" w:rsidR="00CA08B3" w:rsidRPr="00FB2719" w:rsidRDefault="00CA08B3">
            <w:pPr>
              <w:tabs>
                <w:tab w:val="left" w:pos="567"/>
              </w:tabs>
              <w:spacing w:line="276" w:lineRule="auto"/>
              <w:jc w:val="both"/>
              <w:rPr>
                <w:bCs/>
                <w:sz w:val="22"/>
                <w:szCs w:val="22"/>
              </w:rPr>
            </w:pPr>
            <w:r w:rsidRPr="00FB2719">
              <w:rPr>
                <w:bCs/>
                <w:sz w:val="22"/>
                <w:szCs w:val="22"/>
              </w:rPr>
              <w:t>(Ritonaviras 200</w:t>
            </w:r>
            <w:r w:rsidR="0025420A" w:rsidRPr="00FB2719">
              <w:rPr>
                <w:bCs/>
                <w:sz w:val="22"/>
                <w:szCs w:val="22"/>
              </w:rPr>
              <w:t> </w:t>
            </w:r>
            <w:r w:rsidRPr="00FB2719">
              <w:rPr>
                <w:bCs/>
                <w:sz w:val="22"/>
                <w:szCs w:val="22"/>
              </w:rPr>
              <w:t>mg du kartus per parą)</w:t>
            </w:r>
          </w:p>
          <w:p w14:paraId="230C91B3" w14:textId="77777777" w:rsidR="00CA08B3" w:rsidRPr="00FB2719" w:rsidRDefault="00CA08B3">
            <w:pPr>
              <w:tabs>
                <w:tab w:val="left" w:pos="567"/>
              </w:tabs>
              <w:spacing w:line="276" w:lineRule="auto"/>
              <w:jc w:val="both"/>
              <w:rPr>
                <w:bCs/>
                <w:sz w:val="22"/>
                <w:szCs w:val="22"/>
              </w:rPr>
            </w:pPr>
          </w:p>
        </w:tc>
        <w:tc>
          <w:tcPr>
            <w:tcW w:w="2984" w:type="dxa"/>
            <w:tcBorders>
              <w:top w:val="single" w:sz="4" w:space="0" w:color="auto"/>
              <w:left w:val="single" w:sz="4" w:space="0" w:color="auto"/>
              <w:bottom w:val="single" w:sz="4" w:space="0" w:color="auto"/>
              <w:right w:val="single" w:sz="4" w:space="0" w:color="auto"/>
            </w:tcBorders>
            <w:hideMark/>
          </w:tcPr>
          <w:p w14:paraId="343E51B3" w14:textId="77777777" w:rsidR="00CA08B3" w:rsidRPr="00FB2719" w:rsidRDefault="00CA08B3">
            <w:pPr>
              <w:tabs>
                <w:tab w:val="left" w:pos="567"/>
              </w:tabs>
              <w:spacing w:line="276" w:lineRule="auto"/>
              <w:rPr>
                <w:bCs/>
                <w:sz w:val="22"/>
                <w:szCs w:val="22"/>
              </w:rPr>
            </w:pPr>
            <w:r w:rsidRPr="00FB2719">
              <w:rPr>
                <w:bCs/>
                <w:sz w:val="22"/>
                <w:szCs w:val="22"/>
              </w:rPr>
              <w:t>Kolchicinas:</w:t>
            </w:r>
          </w:p>
          <w:p w14:paraId="55D1196A" w14:textId="77777777" w:rsidR="00CA08B3" w:rsidRPr="00FB2719" w:rsidRDefault="00CA08B3">
            <w:pPr>
              <w:tabs>
                <w:tab w:val="left" w:pos="567"/>
              </w:tabs>
              <w:spacing w:line="276" w:lineRule="auto"/>
              <w:rPr>
                <w:bCs/>
                <w:sz w:val="22"/>
                <w:szCs w:val="22"/>
              </w:rPr>
            </w:pPr>
            <w:r w:rsidRPr="00FB2719">
              <w:rPr>
                <w:bCs/>
                <w:sz w:val="22"/>
                <w:szCs w:val="22"/>
              </w:rPr>
              <w:t>AUC : ↑ 3</w:t>
            </w:r>
            <w:r w:rsidR="0025420A" w:rsidRPr="00FB2719">
              <w:rPr>
                <w:bCs/>
                <w:sz w:val="22"/>
                <w:szCs w:val="22"/>
              </w:rPr>
              <w:t> </w:t>
            </w:r>
            <w:r w:rsidRPr="00FB2719">
              <w:rPr>
                <w:bCs/>
                <w:sz w:val="22"/>
                <w:szCs w:val="22"/>
              </w:rPr>
              <w:t>kartus</w:t>
            </w:r>
          </w:p>
          <w:p w14:paraId="51C8EC18" w14:textId="77777777" w:rsidR="00CA08B3" w:rsidRPr="00FB2719" w:rsidRDefault="00CA08B3">
            <w:pPr>
              <w:tabs>
                <w:tab w:val="left" w:pos="567"/>
              </w:tabs>
              <w:spacing w:line="276" w:lineRule="auto"/>
              <w:rPr>
                <w:bCs/>
                <w:sz w:val="22"/>
                <w:szCs w:val="22"/>
              </w:rPr>
            </w:pPr>
            <w:r w:rsidRPr="00FB2719">
              <w:rPr>
                <w:bCs/>
                <w:sz w:val="22"/>
                <w:szCs w:val="22"/>
              </w:rPr>
              <w:t>C</w:t>
            </w:r>
            <w:r w:rsidRPr="00FB2719">
              <w:rPr>
                <w:bCs/>
                <w:sz w:val="22"/>
                <w:szCs w:val="22"/>
                <w:vertAlign w:val="subscript"/>
              </w:rPr>
              <w:t>max</w:t>
            </w:r>
            <w:r w:rsidRPr="00FB2719">
              <w:rPr>
                <w:bCs/>
                <w:sz w:val="22"/>
                <w:szCs w:val="22"/>
              </w:rPr>
              <w:t xml:space="preserve"> : ↑ 1,8</w:t>
            </w:r>
            <w:r w:rsidR="0025420A" w:rsidRPr="00FB2719">
              <w:rPr>
                <w:bCs/>
                <w:sz w:val="22"/>
                <w:szCs w:val="22"/>
              </w:rPr>
              <w:t> </w:t>
            </w:r>
            <w:r w:rsidRPr="00FB2719">
              <w:rPr>
                <w:bCs/>
                <w:sz w:val="22"/>
                <w:szCs w:val="22"/>
              </w:rPr>
              <w:t>karto</w:t>
            </w:r>
          </w:p>
          <w:p w14:paraId="241646D6" w14:textId="77777777" w:rsidR="00CA08B3" w:rsidRPr="00FB2719" w:rsidRDefault="00CA08B3">
            <w:pPr>
              <w:tabs>
                <w:tab w:val="left" w:pos="567"/>
              </w:tabs>
              <w:spacing w:line="276" w:lineRule="auto"/>
              <w:rPr>
                <w:bCs/>
                <w:sz w:val="22"/>
                <w:szCs w:val="22"/>
              </w:rPr>
            </w:pPr>
            <w:r w:rsidRPr="00FB2719">
              <w:rPr>
                <w:bCs/>
                <w:sz w:val="22"/>
                <w:szCs w:val="22"/>
              </w:rPr>
              <w:t>dėl Pgp ir (arba) CYP3A4 slopinimo ritonaviru.</w:t>
            </w:r>
          </w:p>
        </w:tc>
        <w:tc>
          <w:tcPr>
            <w:tcW w:w="2988" w:type="dxa"/>
            <w:tcBorders>
              <w:top w:val="single" w:sz="4" w:space="0" w:color="auto"/>
              <w:left w:val="single" w:sz="4" w:space="0" w:color="auto"/>
              <w:bottom w:val="single" w:sz="4" w:space="0" w:color="auto"/>
              <w:right w:val="single" w:sz="4" w:space="0" w:color="auto"/>
            </w:tcBorders>
            <w:hideMark/>
          </w:tcPr>
          <w:p w14:paraId="05A84BB9" w14:textId="77777777" w:rsidR="00CA08B3" w:rsidRPr="00FB2719" w:rsidRDefault="008304B5" w:rsidP="008304B5">
            <w:pPr>
              <w:tabs>
                <w:tab w:val="left" w:pos="567"/>
              </w:tabs>
              <w:spacing w:line="276" w:lineRule="auto"/>
              <w:rPr>
                <w:bCs/>
                <w:sz w:val="22"/>
                <w:szCs w:val="22"/>
              </w:rPr>
            </w:pPr>
            <w:r w:rsidRPr="00FB2719">
              <w:rPr>
                <w:bCs/>
                <w:sz w:val="22"/>
                <w:szCs w:val="22"/>
              </w:rPr>
              <w:t>Negalima kartu vartoti Lopinavir/Ritonavir Sandoz su</w:t>
            </w:r>
            <w:r w:rsidR="00D04EDE" w:rsidRPr="00FB2719">
              <w:rPr>
                <w:bCs/>
                <w:sz w:val="22"/>
                <w:szCs w:val="22"/>
              </w:rPr>
              <w:t xml:space="preserve"> </w:t>
            </w:r>
            <w:r w:rsidRPr="00FB2719">
              <w:rPr>
                <w:bCs/>
                <w:sz w:val="22"/>
                <w:szCs w:val="22"/>
              </w:rPr>
              <w:t>kolchicinu pacientams, kuriems</w:t>
            </w:r>
            <w:r w:rsidR="00D04EDE" w:rsidRPr="00FB2719">
              <w:rPr>
                <w:bCs/>
                <w:sz w:val="22"/>
                <w:szCs w:val="22"/>
              </w:rPr>
              <w:t xml:space="preserve"> </w:t>
            </w:r>
            <w:r w:rsidRPr="00FB2719">
              <w:rPr>
                <w:bCs/>
                <w:sz w:val="22"/>
                <w:szCs w:val="22"/>
              </w:rPr>
              <w:t xml:space="preserve">yra inkstų ir </w:t>
            </w:r>
            <w:r w:rsidR="00D04EDE" w:rsidRPr="00FB2719">
              <w:rPr>
                <w:bCs/>
                <w:sz w:val="22"/>
                <w:szCs w:val="22"/>
              </w:rPr>
              <w:t>(</w:t>
            </w:r>
            <w:r w:rsidRPr="00FB2719">
              <w:rPr>
                <w:bCs/>
                <w:sz w:val="22"/>
                <w:szCs w:val="22"/>
              </w:rPr>
              <w:t>ar</w:t>
            </w:r>
            <w:r w:rsidR="00D04EDE" w:rsidRPr="00FB2719">
              <w:rPr>
                <w:bCs/>
                <w:sz w:val="22"/>
                <w:szCs w:val="22"/>
              </w:rPr>
              <w:t>ba)</w:t>
            </w:r>
            <w:r w:rsidRPr="00FB2719">
              <w:rPr>
                <w:bCs/>
                <w:sz w:val="22"/>
                <w:szCs w:val="22"/>
              </w:rPr>
              <w:t xml:space="preserve"> kepenų</w:t>
            </w:r>
            <w:r w:rsidR="00D04EDE" w:rsidRPr="00FB2719">
              <w:rPr>
                <w:bCs/>
                <w:sz w:val="22"/>
                <w:szCs w:val="22"/>
              </w:rPr>
              <w:t xml:space="preserve"> </w:t>
            </w:r>
            <w:r w:rsidRPr="00FB2719">
              <w:rPr>
                <w:bCs/>
                <w:sz w:val="22"/>
                <w:szCs w:val="22"/>
              </w:rPr>
              <w:t>nepakankamumas, nes gali</w:t>
            </w:r>
            <w:r w:rsidR="00D04EDE" w:rsidRPr="00FB2719">
              <w:rPr>
                <w:bCs/>
                <w:sz w:val="22"/>
                <w:szCs w:val="22"/>
              </w:rPr>
              <w:t xml:space="preserve"> </w:t>
            </w:r>
            <w:r w:rsidRPr="00FB2719">
              <w:rPr>
                <w:bCs/>
                <w:sz w:val="22"/>
                <w:szCs w:val="22"/>
              </w:rPr>
              <w:t xml:space="preserve">padaugėti su kolchicinu susijusių sunkių ir </w:t>
            </w:r>
            <w:r w:rsidR="00D04EDE" w:rsidRPr="00FB2719">
              <w:rPr>
                <w:bCs/>
                <w:sz w:val="22"/>
                <w:szCs w:val="22"/>
              </w:rPr>
              <w:t>(</w:t>
            </w:r>
            <w:r w:rsidRPr="00FB2719">
              <w:rPr>
                <w:bCs/>
                <w:sz w:val="22"/>
                <w:szCs w:val="22"/>
              </w:rPr>
              <w:t>arba</w:t>
            </w:r>
            <w:r w:rsidR="00D04EDE" w:rsidRPr="00FB2719">
              <w:rPr>
                <w:bCs/>
                <w:sz w:val="22"/>
                <w:szCs w:val="22"/>
              </w:rPr>
              <w:t>)</w:t>
            </w:r>
            <w:r w:rsidRPr="00FB2719">
              <w:rPr>
                <w:bCs/>
                <w:sz w:val="22"/>
                <w:szCs w:val="22"/>
              </w:rPr>
              <w:t xml:space="preserve"> gyvybei pavojingų reakcijų, pvz., toksinis poveikis nervams ir raumenims (įskaitant rabdomiolizę) (žr. 4.3 ir 4.4 skyrius). Pacientams, kurių inkstų ar kepenų funkcija normali ir kuriems reikalingas gydymas Lopinavir/Ritonavir Sandoz, rekomenduojama</w:t>
            </w:r>
            <w:r w:rsidR="00D04EDE" w:rsidRPr="00FB2719">
              <w:rPr>
                <w:bCs/>
                <w:sz w:val="22"/>
                <w:szCs w:val="22"/>
              </w:rPr>
              <w:t xml:space="preserve"> </w:t>
            </w:r>
            <w:r w:rsidRPr="00FB2719">
              <w:rPr>
                <w:bCs/>
                <w:sz w:val="22"/>
                <w:szCs w:val="22"/>
              </w:rPr>
              <w:t>sumažinti kolchicino dozę ar</w:t>
            </w:r>
            <w:r w:rsidR="00D04EDE" w:rsidRPr="00FB2719">
              <w:rPr>
                <w:bCs/>
                <w:sz w:val="22"/>
                <w:szCs w:val="22"/>
              </w:rPr>
              <w:t xml:space="preserve"> </w:t>
            </w:r>
            <w:r w:rsidRPr="00FB2719">
              <w:rPr>
                <w:bCs/>
                <w:sz w:val="22"/>
                <w:szCs w:val="22"/>
              </w:rPr>
              <w:t>laikinai nutraukti gydymą</w:t>
            </w:r>
            <w:r w:rsidR="00D04EDE" w:rsidRPr="00FB2719">
              <w:rPr>
                <w:bCs/>
                <w:sz w:val="22"/>
                <w:szCs w:val="22"/>
              </w:rPr>
              <w:t xml:space="preserve"> </w:t>
            </w:r>
            <w:r w:rsidRPr="00FB2719">
              <w:rPr>
                <w:bCs/>
                <w:sz w:val="22"/>
                <w:szCs w:val="22"/>
              </w:rPr>
              <w:t>kolchicinu. Žr. kolchicino</w:t>
            </w:r>
            <w:r w:rsidR="00D04EDE" w:rsidRPr="00FB2719">
              <w:rPr>
                <w:bCs/>
                <w:sz w:val="22"/>
                <w:szCs w:val="22"/>
              </w:rPr>
              <w:t xml:space="preserve"> </w:t>
            </w:r>
            <w:r w:rsidRPr="00FB2719">
              <w:rPr>
                <w:bCs/>
                <w:sz w:val="22"/>
                <w:szCs w:val="22"/>
              </w:rPr>
              <w:t xml:space="preserve">skyrimo informaciją.  </w:t>
            </w:r>
          </w:p>
        </w:tc>
      </w:tr>
      <w:tr w:rsidR="00CA08B3" w:rsidRPr="00FB2719" w14:paraId="681C6DFF" w14:textId="77777777" w:rsidTr="0064111D">
        <w:tc>
          <w:tcPr>
            <w:tcW w:w="9016" w:type="dxa"/>
            <w:gridSpan w:val="3"/>
            <w:tcBorders>
              <w:top w:val="single" w:sz="4" w:space="0" w:color="auto"/>
              <w:left w:val="single" w:sz="4" w:space="0" w:color="auto"/>
              <w:bottom w:val="single" w:sz="4" w:space="0" w:color="auto"/>
              <w:right w:val="single" w:sz="4" w:space="0" w:color="auto"/>
            </w:tcBorders>
            <w:hideMark/>
          </w:tcPr>
          <w:p w14:paraId="1F6E5E17" w14:textId="77777777" w:rsidR="00CA08B3" w:rsidRPr="00FB2719" w:rsidRDefault="00CA08B3">
            <w:pPr>
              <w:tabs>
                <w:tab w:val="left" w:pos="567"/>
              </w:tabs>
              <w:spacing w:line="276" w:lineRule="auto"/>
              <w:rPr>
                <w:bCs/>
                <w:i/>
                <w:sz w:val="22"/>
                <w:szCs w:val="22"/>
              </w:rPr>
            </w:pPr>
            <w:r w:rsidRPr="00FB2719">
              <w:rPr>
                <w:bCs/>
                <w:i/>
                <w:sz w:val="22"/>
                <w:szCs w:val="22"/>
              </w:rPr>
              <w:t>Antiinfekciniai vaistiniai preparatai</w:t>
            </w:r>
          </w:p>
        </w:tc>
      </w:tr>
      <w:tr w:rsidR="00CA08B3" w:rsidRPr="00FB2719" w14:paraId="1D2BC289" w14:textId="77777777" w:rsidTr="0064111D">
        <w:tc>
          <w:tcPr>
            <w:tcW w:w="3044" w:type="dxa"/>
            <w:tcBorders>
              <w:top w:val="single" w:sz="4" w:space="0" w:color="auto"/>
              <w:left w:val="single" w:sz="4" w:space="0" w:color="auto"/>
              <w:bottom w:val="single" w:sz="4" w:space="0" w:color="auto"/>
              <w:right w:val="single" w:sz="4" w:space="0" w:color="auto"/>
            </w:tcBorders>
            <w:hideMark/>
          </w:tcPr>
          <w:p w14:paraId="25B4C115" w14:textId="77777777" w:rsidR="00CA08B3" w:rsidRPr="00FB2719" w:rsidRDefault="00CA08B3">
            <w:pPr>
              <w:tabs>
                <w:tab w:val="left" w:pos="567"/>
              </w:tabs>
              <w:spacing w:line="276" w:lineRule="auto"/>
              <w:jc w:val="both"/>
              <w:rPr>
                <w:bCs/>
                <w:sz w:val="22"/>
                <w:szCs w:val="22"/>
              </w:rPr>
            </w:pPr>
            <w:r w:rsidRPr="00FB2719">
              <w:rPr>
                <w:bCs/>
                <w:sz w:val="22"/>
                <w:szCs w:val="22"/>
              </w:rPr>
              <w:t>Fuzido rūgštis</w:t>
            </w:r>
          </w:p>
        </w:tc>
        <w:tc>
          <w:tcPr>
            <w:tcW w:w="2984" w:type="dxa"/>
            <w:tcBorders>
              <w:top w:val="single" w:sz="4" w:space="0" w:color="auto"/>
              <w:left w:val="single" w:sz="4" w:space="0" w:color="auto"/>
              <w:bottom w:val="single" w:sz="4" w:space="0" w:color="auto"/>
              <w:right w:val="single" w:sz="4" w:space="0" w:color="auto"/>
            </w:tcBorders>
            <w:hideMark/>
          </w:tcPr>
          <w:p w14:paraId="225FF642" w14:textId="77777777" w:rsidR="00CA08B3" w:rsidRPr="00FB2719" w:rsidRDefault="00CA08B3">
            <w:pPr>
              <w:tabs>
                <w:tab w:val="left" w:pos="567"/>
              </w:tabs>
              <w:spacing w:line="276" w:lineRule="auto"/>
              <w:rPr>
                <w:bCs/>
                <w:sz w:val="22"/>
                <w:szCs w:val="22"/>
              </w:rPr>
            </w:pPr>
            <w:r w:rsidRPr="00FB2719">
              <w:rPr>
                <w:bCs/>
                <w:sz w:val="22"/>
                <w:szCs w:val="22"/>
              </w:rPr>
              <w:t>Fuzido rūgštis:</w:t>
            </w:r>
          </w:p>
          <w:p w14:paraId="5676FB39" w14:textId="77777777" w:rsidR="00CA08B3" w:rsidRPr="00FB2719" w:rsidRDefault="00CA08B3">
            <w:pPr>
              <w:tabs>
                <w:tab w:val="left" w:pos="567"/>
              </w:tabs>
              <w:spacing w:line="276" w:lineRule="auto"/>
              <w:rPr>
                <w:bCs/>
                <w:sz w:val="22"/>
                <w:szCs w:val="22"/>
              </w:rPr>
            </w:pPr>
            <w:r w:rsidRPr="00FB2719">
              <w:rPr>
                <w:bCs/>
                <w:sz w:val="22"/>
                <w:szCs w:val="22"/>
              </w:rPr>
              <w:t>gali padidėti jos koncentracijos dėl CYP3A slopinimo lopinaviro / ritonaviro deriniu.</w:t>
            </w:r>
          </w:p>
        </w:tc>
        <w:tc>
          <w:tcPr>
            <w:tcW w:w="2988" w:type="dxa"/>
            <w:tcBorders>
              <w:top w:val="single" w:sz="4" w:space="0" w:color="auto"/>
              <w:left w:val="single" w:sz="4" w:space="0" w:color="auto"/>
              <w:bottom w:val="single" w:sz="4" w:space="0" w:color="auto"/>
              <w:right w:val="single" w:sz="4" w:space="0" w:color="auto"/>
            </w:tcBorders>
            <w:hideMark/>
          </w:tcPr>
          <w:p w14:paraId="2D908ADB" w14:textId="77777777" w:rsidR="00CA08B3" w:rsidRPr="00FB2719" w:rsidRDefault="00CA08B3">
            <w:pPr>
              <w:tabs>
                <w:tab w:val="left" w:pos="567"/>
              </w:tabs>
              <w:spacing w:line="276" w:lineRule="auto"/>
              <w:rPr>
                <w:bCs/>
                <w:sz w:val="22"/>
                <w:szCs w:val="22"/>
              </w:rPr>
            </w:pPr>
            <w:r w:rsidRPr="00FB2719">
              <w:rPr>
                <w:bCs/>
                <w:sz w:val="22"/>
                <w:szCs w:val="22"/>
              </w:rPr>
              <w:t xml:space="preserve">Negalima Lopinavir/Ritonavir Sandoz vartoti kartu su fuzido rūgštimi esant odos infekcijoms dėl didesnės fuzido rūgšties </w:t>
            </w:r>
            <w:r w:rsidRPr="00FB2719">
              <w:rPr>
                <w:bCs/>
                <w:sz w:val="22"/>
                <w:szCs w:val="22"/>
              </w:rPr>
              <w:lastRenderedPageBreak/>
              <w:t>nepageidaujamų reiškinių, ypač rabdomiolizės, rizikos (žr. 4.3 skyrių). Vartojant kaulų ir sąnarių infekcijoms gydyti, kai neišvengiamai reikia skirti kartu, būtina atidžiai stebėti dėl galimų nepageidaujamų raumenų reiškinių (žr. 4.4 skyrių).</w:t>
            </w:r>
          </w:p>
        </w:tc>
      </w:tr>
      <w:tr w:rsidR="00CA08B3" w:rsidRPr="00FB2719" w14:paraId="5B1525D0" w14:textId="77777777" w:rsidTr="0064111D">
        <w:tc>
          <w:tcPr>
            <w:tcW w:w="9016" w:type="dxa"/>
            <w:gridSpan w:val="3"/>
            <w:tcBorders>
              <w:top w:val="single" w:sz="4" w:space="0" w:color="auto"/>
              <w:left w:val="single" w:sz="4" w:space="0" w:color="auto"/>
              <w:bottom w:val="single" w:sz="4" w:space="0" w:color="auto"/>
              <w:right w:val="single" w:sz="4" w:space="0" w:color="auto"/>
            </w:tcBorders>
            <w:hideMark/>
          </w:tcPr>
          <w:p w14:paraId="32D2C67B" w14:textId="77777777" w:rsidR="00CA08B3" w:rsidRPr="00FB2719" w:rsidRDefault="00CA08B3">
            <w:pPr>
              <w:tabs>
                <w:tab w:val="left" w:pos="567"/>
              </w:tabs>
              <w:spacing w:line="276" w:lineRule="auto"/>
              <w:rPr>
                <w:bCs/>
                <w:i/>
                <w:sz w:val="22"/>
                <w:szCs w:val="22"/>
                <w:lang w:val="en-US"/>
              </w:rPr>
            </w:pPr>
            <w:r w:rsidRPr="00FB2719">
              <w:rPr>
                <w:bCs/>
                <w:i/>
                <w:sz w:val="22"/>
                <w:szCs w:val="22"/>
                <w:lang w:val="en-US"/>
              </w:rPr>
              <w:lastRenderedPageBreak/>
              <w:t>Antituberkulioziniai vaistiniai preparatai</w:t>
            </w:r>
          </w:p>
        </w:tc>
      </w:tr>
      <w:tr w:rsidR="008304B5" w:rsidRPr="00FB2719" w14:paraId="7697791C" w14:textId="77777777" w:rsidTr="0064111D">
        <w:tc>
          <w:tcPr>
            <w:tcW w:w="3044" w:type="dxa"/>
            <w:tcBorders>
              <w:top w:val="single" w:sz="4" w:space="0" w:color="auto"/>
              <w:left w:val="single" w:sz="4" w:space="0" w:color="auto"/>
              <w:bottom w:val="single" w:sz="4" w:space="0" w:color="auto"/>
              <w:right w:val="single" w:sz="4" w:space="0" w:color="auto"/>
            </w:tcBorders>
          </w:tcPr>
          <w:p w14:paraId="55588131" w14:textId="77777777" w:rsidR="008304B5" w:rsidRPr="00FB2719" w:rsidRDefault="008304B5" w:rsidP="00AD237C">
            <w:pPr>
              <w:tabs>
                <w:tab w:val="left" w:pos="567"/>
              </w:tabs>
              <w:spacing w:line="276" w:lineRule="auto"/>
              <w:rPr>
                <w:bCs/>
                <w:sz w:val="22"/>
                <w:szCs w:val="22"/>
              </w:rPr>
            </w:pPr>
            <w:r w:rsidRPr="00FB2719">
              <w:rPr>
                <w:bCs/>
                <w:sz w:val="22"/>
                <w:szCs w:val="22"/>
              </w:rPr>
              <w:t>Bedakvilinas</w:t>
            </w:r>
          </w:p>
          <w:p w14:paraId="3F610C78" w14:textId="77777777" w:rsidR="008304B5" w:rsidRPr="00FB2719" w:rsidRDefault="008304B5" w:rsidP="00AD237C">
            <w:pPr>
              <w:tabs>
                <w:tab w:val="left" w:pos="567"/>
              </w:tabs>
              <w:spacing w:line="276" w:lineRule="auto"/>
              <w:rPr>
                <w:bCs/>
                <w:sz w:val="22"/>
                <w:szCs w:val="22"/>
              </w:rPr>
            </w:pPr>
            <w:r w:rsidRPr="00FB2719">
              <w:rPr>
                <w:bCs/>
                <w:sz w:val="22"/>
                <w:szCs w:val="22"/>
              </w:rPr>
              <w:t>(vienkartinė dozė)</w:t>
            </w:r>
          </w:p>
          <w:p w14:paraId="09281F01" w14:textId="77777777" w:rsidR="008304B5" w:rsidRPr="00FB2719" w:rsidRDefault="008304B5" w:rsidP="00AD237C">
            <w:pPr>
              <w:tabs>
                <w:tab w:val="left" w:pos="567"/>
              </w:tabs>
              <w:spacing w:line="276" w:lineRule="auto"/>
              <w:rPr>
                <w:bCs/>
                <w:sz w:val="22"/>
                <w:szCs w:val="22"/>
              </w:rPr>
            </w:pPr>
          </w:p>
          <w:p w14:paraId="633A20CF" w14:textId="77777777" w:rsidR="008304B5" w:rsidRPr="00FB2719" w:rsidRDefault="008304B5" w:rsidP="00AD237C">
            <w:pPr>
              <w:tabs>
                <w:tab w:val="left" w:pos="567"/>
              </w:tabs>
              <w:spacing w:line="276" w:lineRule="auto"/>
              <w:rPr>
                <w:bCs/>
                <w:sz w:val="22"/>
                <w:szCs w:val="22"/>
              </w:rPr>
            </w:pPr>
            <w:r w:rsidRPr="00FB2719">
              <w:rPr>
                <w:bCs/>
                <w:sz w:val="22"/>
                <w:szCs w:val="22"/>
              </w:rPr>
              <w:t>(Lopinaviras / ritonaviras 400/100</w:t>
            </w:r>
            <w:r w:rsidR="0025420A" w:rsidRPr="00FB2719">
              <w:rPr>
                <w:bCs/>
                <w:sz w:val="22"/>
                <w:szCs w:val="22"/>
              </w:rPr>
              <w:t> </w:t>
            </w:r>
            <w:r w:rsidRPr="00FB2719">
              <w:rPr>
                <w:bCs/>
                <w:sz w:val="22"/>
                <w:szCs w:val="22"/>
              </w:rPr>
              <w:t>mg du kartus per parą,</w:t>
            </w:r>
            <w:r w:rsidR="00043A68" w:rsidRPr="00FB2719">
              <w:rPr>
                <w:bCs/>
                <w:sz w:val="22"/>
                <w:szCs w:val="22"/>
              </w:rPr>
              <w:t xml:space="preserve"> </w:t>
            </w:r>
            <w:r w:rsidRPr="00FB2719">
              <w:rPr>
                <w:bCs/>
                <w:sz w:val="22"/>
                <w:szCs w:val="22"/>
              </w:rPr>
              <w:t>daugkartinė dozė)</w:t>
            </w:r>
          </w:p>
        </w:tc>
        <w:tc>
          <w:tcPr>
            <w:tcW w:w="2984" w:type="dxa"/>
            <w:tcBorders>
              <w:top w:val="single" w:sz="4" w:space="0" w:color="auto"/>
              <w:left w:val="single" w:sz="4" w:space="0" w:color="auto"/>
              <w:bottom w:val="single" w:sz="4" w:space="0" w:color="auto"/>
              <w:right w:val="single" w:sz="4" w:space="0" w:color="auto"/>
            </w:tcBorders>
          </w:tcPr>
          <w:p w14:paraId="48098EEC" w14:textId="77777777" w:rsidR="008304B5" w:rsidRPr="00FB2719" w:rsidRDefault="008304B5" w:rsidP="008304B5">
            <w:pPr>
              <w:tabs>
                <w:tab w:val="left" w:pos="567"/>
              </w:tabs>
              <w:spacing w:line="276" w:lineRule="auto"/>
              <w:rPr>
                <w:bCs/>
                <w:sz w:val="22"/>
                <w:szCs w:val="22"/>
              </w:rPr>
            </w:pPr>
            <w:r w:rsidRPr="00FB2719">
              <w:rPr>
                <w:bCs/>
                <w:sz w:val="22"/>
                <w:szCs w:val="22"/>
              </w:rPr>
              <w:t>Bedakvilinas:</w:t>
            </w:r>
          </w:p>
          <w:p w14:paraId="31BCD8E4" w14:textId="77777777" w:rsidR="008304B5" w:rsidRPr="00FB2719" w:rsidRDefault="008304B5" w:rsidP="008304B5">
            <w:pPr>
              <w:tabs>
                <w:tab w:val="left" w:pos="567"/>
              </w:tabs>
              <w:spacing w:line="276" w:lineRule="auto"/>
              <w:rPr>
                <w:bCs/>
                <w:sz w:val="22"/>
                <w:szCs w:val="22"/>
              </w:rPr>
            </w:pPr>
            <w:r w:rsidRPr="00FB2719">
              <w:rPr>
                <w:bCs/>
                <w:sz w:val="22"/>
                <w:szCs w:val="22"/>
              </w:rPr>
              <w:t>AUC: ↑ 22</w:t>
            </w:r>
            <w:r w:rsidR="0025420A" w:rsidRPr="00FB2719">
              <w:rPr>
                <w:bCs/>
                <w:sz w:val="22"/>
                <w:szCs w:val="22"/>
              </w:rPr>
              <w:t> </w:t>
            </w:r>
            <w:r w:rsidRPr="00FB2719">
              <w:rPr>
                <w:bCs/>
                <w:sz w:val="22"/>
                <w:szCs w:val="22"/>
              </w:rPr>
              <w:t>%</w:t>
            </w:r>
          </w:p>
          <w:p w14:paraId="34D95E8C" w14:textId="77777777" w:rsidR="008304B5" w:rsidRPr="00FB2719" w:rsidRDefault="008304B5" w:rsidP="008304B5">
            <w:pPr>
              <w:tabs>
                <w:tab w:val="left" w:pos="567"/>
              </w:tabs>
              <w:spacing w:line="276" w:lineRule="auto"/>
              <w:rPr>
                <w:bCs/>
                <w:sz w:val="22"/>
                <w:szCs w:val="22"/>
              </w:rPr>
            </w:pPr>
            <w:r w:rsidRPr="00FB2719">
              <w:rPr>
                <w:bCs/>
                <w:sz w:val="22"/>
                <w:szCs w:val="22"/>
              </w:rPr>
              <w:t>C</w:t>
            </w:r>
            <w:r w:rsidRPr="00FB2719">
              <w:rPr>
                <w:bCs/>
                <w:sz w:val="18"/>
                <w:szCs w:val="18"/>
              </w:rPr>
              <w:t>max</w:t>
            </w:r>
            <w:r w:rsidRPr="00FB2719">
              <w:rPr>
                <w:bCs/>
                <w:sz w:val="22"/>
                <w:szCs w:val="22"/>
              </w:rPr>
              <w:t>: ↔</w:t>
            </w:r>
          </w:p>
          <w:p w14:paraId="120CF1C9" w14:textId="77777777" w:rsidR="008304B5" w:rsidRPr="00FB2719" w:rsidRDefault="008304B5" w:rsidP="008304B5">
            <w:pPr>
              <w:tabs>
                <w:tab w:val="left" w:pos="567"/>
              </w:tabs>
              <w:spacing w:line="276" w:lineRule="auto"/>
              <w:rPr>
                <w:bCs/>
                <w:sz w:val="22"/>
                <w:szCs w:val="22"/>
              </w:rPr>
            </w:pPr>
          </w:p>
          <w:p w14:paraId="15A46618" w14:textId="77777777" w:rsidR="008304B5" w:rsidRPr="00FB2719" w:rsidRDefault="008304B5" w:rsidP="008304B5">
            <w:pPr>
              <w:tabs>
                <w:tab w:val="left" w:pos="567"/>
              </w:tabs>
              <w:spacing w:line="276" w:lineRule="auto"/>
              <w:rPr>
                <w:bCs/>
                <w:sz w:val="22"/>
                <w:szCs w:val="22"/>
              </w:rPr>
            </w:pPr>
            <w:r w:rsidRPr="00FB2719">
              <w:rPr>
                <w:bCs/>
                <w:sz w:val="22"/>
                <w:szCs w:val="22"/>
              </w:rPr>
              <w:t>Labiau išreikštas poveikis</w:t>
            </w:r>
            <w:r w:rsidR="00043A68" w:rsidRPr="00FB2719">
              <w:rPr>
                <w:bCs/>
                <w:sz w:val="22"/>
                <w:szCs w:val="22"/>
              </w:rPr>
              <w:t xml:space="preserve"> </w:t>
            </w:r>
            <w:r w:rsidRPr="00FB2719">
              <w:rPr>
                <w:bCs/>
                <w:sz w:val="22"/>
                <w:szCs w:val="22"/>
              </w:rPr>
              <w:t>bedakvilino ekspozicijai plazmoje gali būti pastebėtas jį ilgą laiką vartojant kartu su lopinaviru / ritonaviru.</w:t>
            </w:r>
          </w:p>
          <w:p w14:paraId="5EED516D" w14:textId="77777777" w:rsidR="008304B5" w:rsidRPr="00FB2719" w:rsidRDefault="008304B5" w:rsidP="008304B5">
            <w:pPr>
              <w:tabs>
                <w:tab w:val="left" w:pos="567"/>
              </w:tabs>
              <w:spacing w:line="276" w:lineRule="auto"/>
              <w:rPr>
                <w:bCs/>
                <w:sz w:val="22"/>
                <w:szCs w:val="22"/>
              </w:rPr>
            </w:pPr>
          </w:p>
          <w:p w14:paraId="5159B0F7" w14:textId="77777777" w:rsidR="008304B5" w:rsidRPr="00FB2719" w:rsidRDefault="008304B5" w:rsidP="008304B5">
            <w:pPr>
              <w:tabs>
                <w:tab w:val="left" w:pos="567"/>
              </w:tabs>
              <w:spacing w:line="276" w:lineRule="auto"/>
              <w:rPr>
                <w:bCs/>
                <w:sz w:val="22"/>
                <w:szCs w:val="22"/>
              </w:rPr>
            </w:pPr>
            <w:r w:rsidRPr="00FB2719">
              <w:rPr>
                <w:bCs/>
                <w:sz w:val="22"/>
                <w:szCs w:val="22"/>
              </w:rPr>
              <w:t>CYP3A4 slopinimas greičiausiai vyksta dėl lopinaviro / ritonaviro.</w:t>
            </w:r>
          </w:p>
        </w:tc>
        <w:tc>
          <w:tcPr>
            <w:tcW w:w="2988" w:type="dxa"/>
            <w:tcBorders>
              <w:top w:val="single" w:sz="4" w:space="0" w:color="auto"/>
              <w:left w:val="single" w:sz="4" w:space="0" w:color="auto"/>
              <w:bottom w:val="single" w:sz="4" w:space="0" w:color="auto"/>
              <w:right w:val="single" w:sz="4" w:space="0" w:color="auto"/>
            </w:tcBorders>
          </w:tcPr>
          <w:p w14:paraId="78E6E2EC" w14:textId="77777777" w:rsidR="008304B5" w:rsidRPr="00FB2719" w:rsidRDefault="008304B5" w:rsidP="008304B5">
            <w:pPr>
              <w:tabs>
                <w:tab w:val="left" w:pos="567"/>
              </w:tabs>
              <w:spacing w:line="276" w:lineRule="auto"/>
              <w:rPr>
                <w:bCs/>
                <w:sz w:val="22"/>
                <w:szCs w:val="22"/>
              </w:rPr>
            </w:pPr>
            <w:r w:rsidRPr="00FB2719">
              <w:rPr>
                <w:bCs/>
                <w:sz w:val="22"/>
                <w:szCs w:val="22"/>
              </w:rPr>
              <w:t>Dėl su bedakvilinu susijusių</w:t>
            </w:r>
            <w:r w:rsidR="00043A68" w:rsidRPr="00FB2719">
              <w:rPr>
                <w:bCs/>
                <w:sz w:val="22"/>
                <w:szCs w:val="22"/>
              </w:rPr>
              <w:t xml:space="preserve"> </w:t>
            </w:r>
            <w:r w:rsidRPr="00FB2719">
              <w:rPr>
                <w:bCs/>
                <w:sz w:val="22"/>
                <w:szCs w:val="22"/>
              </w:rPr>
              <w:t>nepageidaujamų reiškinių,</w:t>
            </w:r>
            <w:r w:rsidR="00043A68" w:rsidRPr="00FB2719">
              <w:rPr>
                <w:bCs/>
                <w:sz w:val="22"/>
                <w:szCs w:val="22"/>
              </w:rPr>
              <w:t xml:space="preserve"> </w:t>
            </w:r>
            <w:r w:rsidRPr="00FB2719">
              <w:rPr>
                <w:bCs/>
                <w:sz w:val="22"/>
                <w:szCs w:val="22"/>
              </w:rPr>
              <w:t>bedakvilino ir lopinaviro /</w:t>
            </w:r>
            <w:r w:rsidR="00043A68" w:rsidRPr="00FB2719">
              <w:rPr>
                <w:bCs/>
                <w:sz w:val="22"/>
                <w:szCs w:val="22"/>
              </w:rPr>
              <w:t xml:space="preserve"> </w:t>
            </w:r>
            <w:r w:rsidRPr="00FB2719">
              <w:rPr>
                <w:bCs/>
                <w:sz w:val="22"/>
                <w:szCs w:val="22"/>
              </w:rPr>
              <w:t>ritonaviro derinio reikia vengti.</w:t>
            </w:r>
          </w:p>
          <w:p w14:paraId="4C9C66DA" w14:textId="77777777" w:rsidR="008304B5" w:rsidRPr="00FB2719" w:rsidRDefault="008304B5" w:rsidP="008304B5">
            <w:pPr>
              <w:tabs>
                <w:tab w:val="left" w:pos="567"/>
              </w:tabs>
              <w:spacing w:line="276" w:lineRule="auto"/>
              <w:rPr>
                <w:bCs/>
                <w:sz w:val="22"/>
                <w:szCs w:val="22"/>
              </w:rPr>
            </w:pPr>
            <w:r w:rsidRPr="00FB2719">
              <w:rPr>
                <w:bCs/>
                <w:sz w:val="22"/>
                <w:szCs w:val="22"/>
              </w:rPr>
              <w:t>Jei nauda viršija riziką, bedakviliną ir lopinavirą /</w:t>
            </w:r>
            <w:r w:rsidR="00043A68" w:rsidRPr="00FB2719">
              <w:rPr>
                <w:bCs/>
                <w:sz w:val="22"/>
                <w:szCs w:val="22"/>
              </w:rPr>
              <w:t xml:space="preserve"> </w:t>
            </w:r>
            <w:r w:rsidRPr="00FB2719">
              <w:rPr>
                <w:bCs/>
                <w:sz w:val="22"/>
                <w:szCs w:val="22"/>
              </w:rPr>
              <w:t>ritonavirą galima vartoti kartu</w:t>
            </w:r>
            <w:r w:rsidR="00043A68" w:rsidRPr="00FB2719">
              <w:rPr>
                <w:bCs/>
                <w:sz w:val="22"/>
                <w:szCs w:val="22"/>
              </w:rPr>
              <w:t xml:space="preserve"> </w:t>
            </w:r>
            <w:r w:rsidRPr="00FB2719">
              <w:rPr>
                <w:bCs/>
                <w:sz w:val="22"/>
                <w:szCs w:val="22"/>
              </w:rPr>
              <w:t>laikantis atsargumo priemonių.</w:t>
            </w:r>
          </w:p>
          <w:p w14:paraId="2722A16C" w14:textId="77777777" w:rsidR="008304B5" w:rsidRPr="00FB2719" w:rsidRDefault="008304B5" w:rsidP="008304B5">
            <w:pPr>
              <w:tabs>
                <w:tab w:val="left" w:pos="567"/>
              </w:tabs>
              <w:spacing w:line="276" w:lineRule="auto"/>
              <w:rPr>
                <w:bCs/>
                <w:sz w:val="22"/>
                <w:szCs w:val="22"/>
              </w:rPr>
            </w:pPr>
            <w:r w:rsidRPr="00FB2719">
              <w:rPr>
                <w:bCs/>
                <w:sz w:val="22"/>
                <w:szCs w:val="22"/>
              </w:rPr>
              <w:t>Tokiu atveju rekomenduojama</w:t>
            </w:r>
            <w:r w:rsidR="00043A68" w:rsidRPr="00FB2719">
              <w:rPr>
                <w:bCs/>
                <w:sz w:val="22"/>
                <w:szCs w:val="22"/>
              </w:rPr>
              <w:t xml:space="preserve"> </w:t>
            </w:r>
            <w:r w:rsidRPr="00FB2719">
              <w:rPr>
                <w:bCs/>
                <w:sz w:val="22"/>
                <w:szCs w:val="22"/>
              </w:rPr>
              <w:t>dažniau atlikti elektrokardiogramą ir stebėti</w:t>
            </w:r>
            <w:r w:rsidR="00043A68" w:rsidRPr="00FB2719">
              <w:rPr>
                <w:bCs/>
                <w:sz w:val="22"/>
                <w:szCs w:val="22"/>
              </w:rPr>
              <w:t xml:space="preserve"> </w:t>
            </w:r>
            <w:r w:rsidRPr="00FB2719">
              <w:rPr>
                <w:bCs/>
                <w:sz w:val="22"/>
                <w:szCs w:val="22"/>
              </w:rPr>
              <w:t>transaminazių aktyvumą (žr. 4.4 skyrių bei bedakvilino PCS).</w:t>
            </w:r>
          </w:p>
        </w:tc>
      </w:tr>
      <w:tr w:rsidR="008304B5" w:rsidRPr="00FB2719" w14:paraId="44293178" w14:textId="77777777" w:rsidTr="0064111D">
        <w:tc>
          <w:tcPr>
            <w:tcW w:w="3044" w:type="dxa"/>
            <w:tcBorders>
              <w:top w:val="single" w:sz="4" w:space="0" w:color="auto"/>
              <w:left w:val="single" w:sz="4" w:space="0" w:color="auto"/>
              <w:bottom w:val="single" w:sz="4" w:space="0" w:color="auto"/>
              <w:right w:val="single" w:sz="4" w:space="0" w:color="auto"/>
            </w:tcBorders>
          </w:tcPr>
          <w:p w14:paraId="2C0E0EF3" w14:textId="77777777" w:rsidR="008304B5" w:rsidRPr="00FB2719" w:rsidRDefault="008304B5" w:rsidP="008304B5">
            <w:pPr>
              <w:tabs>
                <w:tab w:val="left" w:pos="567"/>
              </w:tabs>
              <w:spacing w:line="276" w:lineRule="auto"/>
              <w:jc w:val="both"/>
              <w:rPr>
                <w:bCs/>
                <w:sz w:val="22"/>
                <w:szCs w:val="22"/>
                <w:lang w:val="es-ES"/>
              </w:rPr>
            </w:pPr>
            <w:r w:rsidRPr="00FB2719">
              <w:rPr>
                <w:bCs/>
                <w:sz w:val="22"/>
                <w:szCs w:val="22"/>
                <w:lang w:val="es-ES"/>
              </w:rPr>
              <w:t>Delamanidas (100</w:t>
            </w:r>
            <w:r w:rsidR="0025420A" w:rsidRPr="00FB2719">
              <w:rPr>
                <w:bCs/>
                <w:sz w:val="22"/>
                <w:szCs w:val="22"/>
                <w:lang w:val="es-ES"/>
              </w:rPr>
              <w:t> </w:t>
            </w:r>
            <w:r w:rsidRPr="00FB2719">
              <w:rPr>
                <w:bCs/>
                <w:sz w:val="22"/>
                <w:szCs w:val="22"/>
                <w:lang w:val="es-ES"/>
              </w:rPr>
              <w:t>mg BID)</w:t>
            </w:r>
          </w:p>
          <w:p w14:paraId="326049C8" w14:textId="77777777" w:rsidR="008304B5" w:rsidRPr="00FB2719" w:rsidRDefault="008304B5" w:rsidP="00AD237C">
            <w:pPr>
              <w:tabs>
                <w:tab w:val="left" w:pos="567"/>
              </w:tabs>
              <w:spacing w:line="276" w:lineRule="auto"/>
              <w:rPr>
                <w:bCs/>
                <w:sz w:val="22"/>
                <w:szCs w:val="22"/>
                <w:lang w:val="es-ES"/>
              </w:rPr>
            </w:pPr>
          </w:p>
          <w:p w14:paraId="32FB5EC4" w14:textId="77777777" w:rsidR="008304B5" w:rsidRPr="00FB2719" w:rsidRDefault="008304B5" w:rsidP="00AD237C">
            <w:pPr>
              <w:tabs>
                <w:tab w:val="left" w:pos="567"/>
              </w:tabs>
              <w:spacing w:line="276" w:lineRule="auto"/>
              <w:rPr>
                <w:bCs/>
                <w:sz w:val="22"/>
                <w:szCs w:val="22"/>
                <w:lang w:val="es-ES"/>
              </w:rPr>
            </w:pPr>
            <w:r w:rsidRPr="00FB2719">
              <w:rPr>
                <w:bCs/>
                <w:sz w:val="22"/>
                <w:szCs w:val="22"/>
                <w:lang w:val="es-ES"/>
              </w:rPr>
              <w:t>(Lopinaviras /ritonaviras 400/100</w:t>
            </w:r>
            <w:r w:rsidR="0025420A" w:rsidRPr="00FB2719">
              <w:rPr>
                <w:bCs/>
                <w:sz w:val="22"/>
                <w:szCs w:val="22"/>
                <w:lang w:val="es-ES"/>
              </w:rPr>
              <w:t> </w:t>
            </w:r>
            <w:r w:rsidRPr="00FB2719">
              <w:rPr>
                <w:bCs/>
                <w:sz w:val="22"/>
                <w:szCs w:val="22"/>
                <w:lang w:val="es-ES"/>
              </w:rPr>
              <w:t>mg BID)</w:t>
            </w:r>
          </w:p>
        </w:tc>
        <w:tc>
          <w:tcPr>
            <w:tcW w:w="2984" w:type="dxa"/>
            <w:tcBorders>
              <w:top w:val="single" w:sz="4" w:space="0" w:color="auto"/>
              <w:left w:val="single" w:sz="4" w:space="0" w:color="auto"/>
              <w:bottom w:val="single" w:sz="4" w:space="0" w:color="auto"/>
              <w:right w:val="single" w:sz="4" w:space="0" w:color="auto"/>
            </w:tcBorders>
          </w:tcPr>
          <w:p w14:paraId="706F4843" w14:textId="77777777" w:rsidR="008304B5" w:rsidRPr="00FB2719" w:rsidRDefault="008304B5" w:rsidP="008304B5">
            <w:pPr>
              <w:tabs>
                <w:tab w:val="left" w:pos="567"/>
              </w:tabs>
              <w:spacing w:line="276" w:lineRule="auto"/>
              <w:rPr>
                <w:bCs/>
                <w:sz w:val="22"/>
                <w:szCs w:val="22"/>
                <w:lang w:val="es-ES"/>
              </w:rPr>
            </w:pPr>
            <w:r w:rsidRPr="00FB2719">
              <w:rPr>
                <w:bCs/>
                <w:sz w:val="22"/>
                <w:szCs w:val="22"/>
                <w:lang w:val="es-ES"/>
              </w:rPr>
              <w:t>Delamanidas</w:t>
            </w:r>
          </w:p>
          <w:p w14:paraId="783421FB" w14:textId="77777777" w:rsidR="008304B5" w:rsidRPr="00FB2719" w:rsidRDefault="008304B5" w:rsidP="008304B5">
            <w:pPr>
              <w:tabs>
                <w:tab w:val="left" w:pos="567"/>
              </w:tabs>
              <w:spacing w:line="276" w:lineRule="auto"/>
              <w:rPr>
                <w:bCs/>
                <w:sz w:val="22"/>
                <w:szCs w:val="22"/>
                <w:lang w:val="es-ES"/>
              </w:rPr>
            </w:pPr>
            <w:proofErr w:type="gramStart"/>
            <w:r w:rsidRPr="00FB2719">
              <w:rPr>
                <w:bCs/>
                <w:sz w:val="22"/>
                <w:szCs w:val="22"/>
                <w:lang w:val="es-ES"/>
              </w:rPr>
              <w:t>AUC:↑</w:t>
            </w:r>
            <w:proofErr w:type="gramEnd"/>
            <w:r w:rsidRPr="00FB2719">
              <w:rPr>
                <w:bCs/>
                <w:sz w:val="22"/>
                <w:szCs w:val="22"/>
                <w:lang w:val="es-ES"/>
              </w:rPr>
              <w:t>22</w:t>
            </w:r>
            <w:r w:rsidR="0025420A" w:rsidRPr="00FB2719">
              <w:rPr>
                <w:bCs/>
                <w:sz w:val="22"/>
                <w:szCs w:val="22"/>
                <w:lang w:val="es-ES"/>
              </w:rPr>
              <w:t> </w:t>
            </w:r>
            <w:r w:rsidRPr="00FB2719">
              <w:rPr>
                <w:bCs/>
                <w:sz w:val="22"/>
                <w:szCs w:val="22"/>
                <w:lang w:val="es-ES"/>
              </w:rPr>
              <w:t>%</w:t>
            </w:r>
          </w:p>
          <w:p w14:paraId="03088CE7" w14:textId="77777777" w:rsidR="008304B5" w:rsidRPr="00FB2719" w:rsidRDefault="008304B5" w:rsidP="008304B5">
            <w:pPr>
              <w:tabs>
                <w:tab w:val="left" w:pos="567"/>
              </w:tabs>
              <w:spacing w:line="276" w:lineRule="auto"/>
              <w:rPr>
                <w:bCs/>
                <w:sz w:val="22"/>
                <w:szCs w:val="22"/>
                <w:lang w:val="es-ES"/>
              </w:rPr>
            </w:pPr>
          </w:p>
          <w:p w14:paraId="7A1230FD" w14:textId="77777777" w:rsidR="008304B5" w:rsidRPr="00FB2719" w:rsidRDefault="008304B5" w:rsidP="008304B5">
            <w:pPr>
              <w:tabs>
                <w:tab w:val="left" w:pos="567"/>
              </w:tabs>
              <w:spacing w:line="276" w:lineRule="auto"/>
              <w:rPr>
                <w:bCs/>
                <w:sz w:val="22"/>
                <w:szCs w:val="22"/>
                <w:lang w:val="es-ES"/>
              </w:rPr>
            </w:pPr>
            <w:r w:rsidRPr="00FB2719">
              <w:rPr>
                <w:bCs/>
                <w:sz w:val="22"/>
                <w:szCs w:val="22"/>
                <w:lang w:val="es-ES"/>
              </w:rPr>
              <w:t>DM-6705 (delamanido aktyvus</w:t>
            </w:r>
            <w:r w:rsidR="00043A68" w:rsidRPr="00FB2719">
              <w:rPr>
                <w:bCs/>
                <w:sz w:val="22"/>
                <w:szCs w:val="22"/>
                <w:lang w:val="es-ES"/>
              </w:rPr>
              <w:t xml:space="preserve"> </w:t>
            </w:r>
            <w:r w:rsidRPr="00FB2719">
              <w:rPr>
                <w:bCs/>
                <w:sz w:val="22"/>
                <w:szCs w:val="22"/>
                <w:lang w:val="es-ES"/>
              </w:rPr>
              <w:t>metabolitas):</w:t>
            </w:r>
          </w:p>
          <w:p w14:paraId="26EE4729" w14:textId="77777777" w:rsidR="008304B5" w:rsidRPr="00FB2719" w:rsidRDefault="008304B5" w:rsidP="008304B5">
            <w:pPr>
              <w:tabs>
                <w:tab w:val="left" w:pos="567"/>
              </w:tabs>
              <w:spacing w:line="276" w:lineRule="auto"/>
              <w:rPr>
                <w:bCs/>
                <w:sz w:val="22"/>
                <w:szCs w:val="22"/>
                <w:lang w:val="es-ES"/>
              </w:rPr>
            </w:pPr>
            <w:proofErr w:type="gramStart"/>
            <w:r w:rsidRPr="00FB2719">
              <w:rPr>
                <w:bCs/>
                <w:sz w:val="22"/>
                <w:szCs w:val="22"/>
                <w:lang w:val="es-ES"/>
              </w:rPr>
              <w:t>AUC:↑</w:t>
            </w:r>
            <w:proofErr w:type="gramEnd"/>
            <w:r w:rsidRPr="00FB2719">
              <w:rPr>
                <w:bCs/>
                <w:sz w:val="22"/>
                <w:szCs w:val="22"/>
                <w:lang w:val="es-ES"/>
              </w:rPr>
              <w:t>30</w:t>
            </w:r>
            <w:r w:rsidR="0025420A" w:rsidRPr="00FB2719">
              <w:rPr>
                <w:bCs/>
                <w:sz w:val="22"/>
                <w:szCs w:val="22"/>
                <w:lang w:val="es-ES"/>
              </w:rPr>
              <w:t> </w:t>
            </w:r>
            <w:r w:rsidRPr="00FB2719">
              <w:rPr>
                <w:bCs/>
                <w:sz w:val="22"/>
                <w:szCs w:val="22"/>
                <w:lang w:val="es-ES"/>
              </w:rPr>
              <w:t>%</w:t>
            </w:r>
          </w:p>
          <w:p w14:paraId="1E2CB402" w14:textId="77777777" w:rsidR="008304B5" w:rsidRPr="00FB2719" w:rsidRDefault="008304B5" w:rsidP="008304B5">
            <w:pPr>
              <w:tabs>
                <w:tab w:val="left" w:pos="567"/>
              </w:tabs>
              <w:spacing w:line="276" w:lineRule="auto"/>
              <w:rPr>
                <w:bCs/>
                <w:sz w:val="22"/>
                <w:szCs w:val="22"/>
                <w:lang w:val="es-ES"/>
              </w:rPr>
            </w:pPr>
          </w:p>
          <w:p w14:paraId="34026879" w14:textId="77777777" w:rsidR="008304B5" w:rsidRPr="00FB2719" w:rsidRDefault="008304B5" w:rsidP="008304B5">
            <w:pPr>
              <w:tabs>
                <w:tab w:val="left" w:pos="567"/>
              </w:tabs>
              <w:spacing w:line="276" w:lineRule="auto"/>
              <w:rPr>
                <w:bCs/>
                <w:sz w:val="22"/>
                <w:szCs w:val="22"/>
                <w:lang w:val="es-ES"/>
              </w:rPr>
            </w:pPr>
            <w:r w:rsidRPr="00FB2719">
              <w:rPr>
                <w:bCs/>
                <w:sz w:val="22"/>
                <w:szCs w:val="22"/>
                <w:lang w:val="es-ES"/>
              </w:rPr>
              <w:t>Ilgai vartojant kartu su lopinaviru / ritonaviru gali būti stebimas labiau išreikštas poveikis DM-6705 ekspozicijai.</w:t>
            </w:r>
          </w:p>
        </w:tc>
        <w:tc>
          <w:tcPr>
            <w:tcW w:w="2988" w:type="dxa"/>
            <w:tcBorders>
              <w:top w:val="single" w:sz="4" w:space="0" w:color="auto"/>
              <w:left w:val="single" w:sz="4" w:space="0" w:color="auto"/>
              <w:bottom w:val="single" w:sz="4" w:space="0" w:color="auto"/>
              <w:right w:val="single" w:sz="4" w:space="0" w:color="auto"/>
            </w:tcBorders>
          </w:tcPr>
          <w:p w14:paraId="5B6EC931" w14:textId="77777777" w:rsidR="008304B5" w:rsidRPr="00FB2719" w:rsidRDefault="008304B5" w:rsidP="008304B5">
            <w:pPr>
              <w:tabs>
                <w:tab w:val="left" w:pos="567"/>
              </w:tabs>
              <w:spacing w:line="276" w:lineRule="auto"/>
              <w:rPr>
                <w:bCs/>
                <w:sz w:val="22"/>
                <w:szCs w:val="22"/>
                <w:lang w:val="es-ES"/>
              </w:rPr>
            </w:pPr>
            <w:r w:rsidRPr="00FB2719">
              <w:rPr>
                <w:bCs/>
                <w:sz w:val="22"/>
                <w:szCs w:val="22"/>
                <w:lang w:val="es-ES"/>
              </w:rPr>
              <w:t>Jeigu manoma, kad delamanido būtina skirti kartu su lopinaviru/ritonaviru, dėl QTc interval pailgėjimo, susijusio su DM-6705, rizikos</w:t>
            </w:r>
            <w:r w:rsidR="00043A68" w:rsidRPr="00FB2719">
              <w:rPr>
                <w:bCs/>
                <w:sz w:val="22"/>
                <w:szCs w:val="22"/>
                <w:lang w:val="es-ES"/>
              </w:rPr>
              <w:t xml:space="preserve"> </w:t>
            </w:r>
            <w:r w:rsidRPr="00FB2719">
              <w:rPr>
                <w:bCs/>
                <w:sz w:val="22"/>
                <w:szCs w:val="22"/>
                <w:lang w:val="es-ES"/>
              </w:rPr>
              <w:t>rekomenduojama labai dažnai</w:t>
            </w:r>
            <w:r w:rsidR="00043A68" w:rsidRPr="00FB2719">
              <w:rPr>
                <w:bCs/>
                <w:sz w:val="22"/>
                <w:szCs w:val="22"/>
                <w:lang w:val="es-ES"/>
              </w:rPr>
              <w:t xml:space="preserve"> </w:t>
            </w:r>
            <w:r w:rsidRPr="00FB2719">
              <w:rPr>
                <w:bCs/>
                <w:sz w:val="22"/>
                <w:szCs w:val="22"/>
                <w:lang w:val="es-ES"/>
              </w:rPr>
              <w:t>stebėti EKG viso gydymo</w:t>
            </w:r>
            <w:r w:rsidR="00043A68" w:rsidRPr="00FB2719">
              <w:rPr>
                <w:bCs/>
                <w:sz w:val="22"/>
                <w:szCs w:val="22"/>
                <w:lang w:val="es-ES"/>
              </w:rPr>
              <w:t xml:space="preserve"> </w:t>
            </w:r>
            <w:r w:rsidRPr="00FB2719">
              <w:rPr>
                <w:bCs/>
                <w:sz w:val="22"/>
                <w:szCs w:val="22"/>
                <w:lang w:val="es-ES"/>
              </w:rPr>
              <w:t>delamanidu laikotarpiu (žr. 4.4</w:t>
            </w:r>
            <w:r w:rsidR="00043A68" w:rsidRPr="00FB2719">
              <w:rPr>
                <w:bCs/>
                <w:sz w:val="22"/>
                <w:szCs w:val="22"/>
                <w:lang w:val="es-ES"/>
              </w:rPr>
              <w:t xml:space="preserve"> </w:t>
            </w:r>
            <w:r w:rsidRPr="00FB2719">
              <w:rPr>
                <w:bCs/>
                <w:sz w:val="22"/>
                <w:szCs w:val="22"/>
                <w:lang w:val="es-ES"/>
              </w:rPr>
              <w:t>skyrių ir delamanido PCS).</w:t>
            </w:r>
          </w:p>
        </w:tc>
      </w:tr>
      <w:tr w:rsidR="00CA08B3" w:rsidRPr="00FB2719" w14:paraId="36DAD39B" w14:textId="77777777" w:rsidTr="0064111D">
        <w:tc>
          <w:tcPr>
            <w:tcW w:w="3044" w:type="dxa"/>
            <w:tcBorders>
              <w:top w:val="single" w:sz="4" w:space="0" w:color="auto"/>
              <w:left w:val="single" w:sz="4" w:space="0" w:color="auto"/>
              <w:bottom w:val="single" w:sz="4" w:space="0" w:color="auto"/>
              <w:right w:val="single" w:sz="4" w:space="0" w:color="auto"/>
            </w:tcBorders>
            <w:hideMark/>
          </w:tcPr>
          <w:p w14:paraId="7B5BAC2C" w14:textId="77777777" w:rsidR="00CA08B3" w:rsidRPr="00FB2719" w:rsidRDefault="00CA08B3" w:rsidP="0025420A">
            <w:pPr>
              <w:tabs>
                <w:tab w:val="left" w:pos="567"/>
              </w:tabs>
              <w:spacing w:line="276" w:lineRule="auto"/>
              <w:jc w:val="both"/>
              <w:rPr>
                <w:bCs/>
                <w:sz w:val="22"/>
                <w:szCs w:val="22"/>
                <w:lang w:val="en-US"/>
              </w:rPr>
            </w:pPr>
            <w:r w:rsidRPr="00FB2719">
              <w:rPr>
                <w:bCs/>
                <w:sz w:val="22"/>
                <w:szCs w:val="22"/>
                <w:lang w:val="en-US"/>
              </w:rPr>
              <w:t>Rifabutinas, 150</w:t>
            </w:r>
            <w:r w:rsidR="0025420A" w:rsidRPr="00FB2719">
              <w:rPr>
                <w:bCs/>
                <w:sz w:val="22"/>
                <w:szCs w:val="22"/>
                <w:lang w:val="en-US"/>
              </w:rPr>
              <w:t> </w:t>
            </w:r>
            <w:r w:rsidRPr="00FB2719">
              <w:rPr>
                <w:bCs/>
                <w:sz w:val="22"/>
                <w:szCs w:val="22"/>
                <w:lang w:val="en-US"/>
              </w:rPr>
              <w:t>mg QD</w:t>
            </w:r>
          </w:p>
        </w:tc>
        <w:tc>
          <w:tcPr>
            <w:tcW w:w="2984" w:type="dxa"/>
            <w:tcBorders>
              <w:top w:val="single" w:sz="4" w:space="0" w:color="auto"/>
              <w:left w:val="single" w:sz="4" w:space="0" w:color="auto"/>
              <w:bottom w:val="single" w:sz="4" w:space="0" w:color="auto"/>
              <w:right w:val="single" w:sz="4" w:space="0" w:color="auto"/>
            </w:tcBorders>
            <w:hideMark/>
          </w:tcPr>
          <w:p w14:paraId="06E8FD30" w14:textId="77777777" w:rsidR="00CA08B3" w:rsidRPr="00FB2719" w:rsidRDefault="00CA08B3">
            <w:pPr>
              <w:tabs>
                <w:tab w:val="left" w:pos="567"/>
              </w:tabs>
              <w:spacing w:line="276" w:lineRule="auto"/>
              <w:rPr>
                <w:bCs/>
                <w:sz w:val="22"/>
                <w:szCs w:val="22"/>
                <w:lang w:val="es-ES"/>
              </w:rPr>
            </w:pPr>
            <w:r w:rsidRPr="00FB2719">
              <w:rPr>
                <w:bCs/>
                <w:sz w:val="22"/>
                <w:szCs w:val="22"/>
                <w:lang w:val="es-ES"/>
              </w:rPr>
              <w:t>Rifabutinas (pirminis vaistinis preparatas ir aktyvus 25-O-deacetlmetabolitas):</w:t>
            </w:r>
          </w:p>
          <w:p w14:paraId="3345CED0" w14:textId="77777777" w:rsidR="00CA08B3" w:rsidRPr="00FB2719" w:rsidRDefault="00CA08B3">
            <w:pPr>
              <w:tabs>
                <w:tab w:val="left" w:pos="567"/>
              </w:tabs>
              <w:spacing w:line="276" w:lineRule="auto"/>
              <w:rPr>
                <w:bCs/>
                <w:sz w:val="22"/>
                <w:szCs w:val="22"/>
                <w:lang w:val="en-US"/>
              </w:rPr>
            </w:pPr>
            <w:r w:rsidRPr="00FB2719">
              <w:rPr>
                <w:bCs/>
                <w:sz w:val="22"/>
                <w:szCs w:val="22"/>
                <w:lang w:val="en-US"/>
              </w:rPr>
              <w:t>AUC: ↑ 5,7</w:t>
            </w:r>
            <w:r w:rsidR="0025420A" w:rsidRPr="00FB2719">
              <w:rPr>
                <w:bCs/>
                <w:sz w:val="22"/>
                <w:szCs w:val="22"/>
                <w:lang w:val="en-US"/>
              </w:rPr>
              <w:t> </w:t>
            </w:r>
            <w:r w:rsidRPr="00FB2719">
              <w:rPr>
                <w:bCs/>
                <w:sz w:val="22"/>
                <w:szCs w:val="22"/>
                <w:lang w:val="en-US"/>
              </w:rPr>
              <w:t>karto</w:t>
            </w:r>
          </w:p>
          <w:p w14:paraId="181BDA21" w14:textId="77777777" w:rsidR="00CA08B3" w:rsidRPr="00FB2719" w:rsidRDefault="00CA08B3" w:rsidP="0025420A">
            <w:pPr>
              <w:tabs>
                <w:tab w:val="left" w:pos="567"/>
              </w:tabs>
              <w:spacing w:line="276" w:lineRule="auto"/>
              <w:rPr>
                <w:bCs/>
                <w:sz w:val="22"/>
                <w:szCs w:val="22"/>
                <w:lang w:val="en-US"/>
              </w:rPr>
            </w:pPr>
            <w:r w:rsidRPr="00FB2719">
              <w:rPr>
                <w:bCs/>
                <w:sz w:val="22"/>
                <w:szCs w:val="22"/>
                <w:lang w:val="en-US"/>
              </w:rPr>
              <w:t>C</w:t>
            </w:r>
            <w:r w:rsidRPr="00FB2719">
              <w:rPr>
                <w:bCs/>
                <w:sz w:val="22"/>
                <w:szCs w:val="22"/>
                <w:vertAlign w:val="subscript"/>
                <w:lang w:val="en-US"/>
              </w:rPr>
              <w:t>max</w:t>
            </w:r>
            <w:r w:rsidRPr="00FB2719">
              <w:rPr>
                <w:bCs/>
                <w:sz w:val="22"/>
                <w:szCs w:val="22"/>
                <w:lang w:val="en-US"/>
              </w:rPr>
              <w:t>: ↑ 3,5</w:t>
            </w:r>
            <w:r w:rsidR="0025420A" w:rsidRPr="00FB2719">
              <w:rPr>
                <w:bCs/>
                <w:sz w:val="22"/>
                <w:szCs w:val="22"/>
                <w:lang w:val="en-US"/>
              </w:rPr>
              <w:t> </w:t>
            </w:r>
            <w:r w:rsidRPr="00FB2719">
              <w:rPr>
                <w:bCs/>
                <w:sz w:val="22"/>
                <w:szCs w:val="22"/>
                <w:lang w:val="en-US"/>
              </w:rPr>
              <w:t>karto</w:t>
            </w:r>
          </w:p>
        </w:tc>
        <w:tc>
          <w:tcPr>
            <w:tcW w:w="2988" w:type="dxa"/>
            <w:tcBorders>
              <w:top w:val="single" w:sz="4" w:space="0" w:color="auto"/>
              <w:left w:val="single" w:sz="4" w:space="0" w:color="auto"/>
              <w:bottom w:val="single" w:sz="4" w:space="0" w:color="auto"/>
              <w:right w:val="single" w:sz="4" w:space="0" w:color="auto"/>
            </w:tcBorders>
            <w:hideMark/>
          </w:tcPr>
          <w:p w14:paraId="7F8BF249" w14:textId="77777777" w:rsidR="00CA08B3" w:rsidRPr="00FB2719" w:rsidRDefault="00CA08B3" w:rsidP="0025420A">
            <w:pPr>
              <w:tabs>
                <w:tab w:val="left" w:pos="567"/>
              </w:tabs>
              <w:spacing w:line="276" w:lineRule="auto"/>
              <w:rPr>
                <w:bCs/>
                <w:sz w:val="22"/>
                <w:szCs w:val="22"/>
                <w:lang w:val="en-US"/>
              </w:rPr>
            </w:pPr>
            <w:r w:rsidRPr="00FB2719">
              <w:rPr>
                <w:bCs/>
                <w:sz w:val="22"/>
                <w:szCs w:val="22"/>
                <w:lang w:val="en-US"/>
              </w:rPr>
              <w:t>Lopinavir/Ritonavir Sandoz skiriant kartu su rifabutinu, rekomenduojama pastarojo vaistinio preparato dozė yra po 150</w:t>
            </w:r>
            <w:r w:rsidR="0025420A" w:rsidRPr="00FB2719">
              <w:rPr>
                <w:bCs/>
                <w:sz w:val="22"/>
                <w:szCs w:val="22"/>
                <w:lang w:val="en-US"/>
              </w:rPr>
              <w:t> </w:t>
            </w:r>
            <w:r w:rsidRPr="00FB2719">
              <w:rPr>
                <w:bCs/>
                <w:sz w:val="22"/>
                <w:szCs w:val="22"/>
                <w:lang w:val="en-US"/>
              </w:rPr>
              <w:t>mg 3</w:t>
            </w:r>
            <w:r w:rsidR="0025420A" w:rsidRPr="00FB2719">
              <w:rPr>
                <w:bCs/>
                <w:sz w:val="22"/>
                <w:szCs w:val="22"/>
                <w:lang w:val="en-US"/>
              </w:rPr>
              <w:t> </w:t>
            </w:r>
            <w:r w:rsidRPr="00FB2719">
              <w:rPr>
                <w:bCs/>
                <w:sz w:val="22"/>
                <w:szCs w:val="22"/>
                <w:lang w:val="en-US"/>
              </w:rPr>
              <w:t>kartus per savaitę nustatytomis dienomis (</w:t>
            </w:r>
            <w:proofErr w:type="gramStart"/>
            <w:r w:rsidRPr="00FB2719">
              <w:rPr>
                <w:bCs/>
                <w:sz w:val="22"/>
                <w:szCs w:val="22"/>
                <w:lang w:val="en-US"/>
              </w:rPr>
              <w:t>pvz.,</w:t>
            </w:r>
            <w:proofErr w:type="gramEnd"/>
            <w:r w:rsidRPr="00FB2719">
              <w:rPr>
                <w:bCs/>
                <w:sz w:val="22"/>
                <w:szCs w:val="22"/>
                <w:lang w:val="en-US"/>
              </w:rPr>
              <w:t xml:space="preserve"> pirmadienį, trečiadienį ir penktadienį). Dėl tikėtinos didesnės rifabutino ekspozicijos būtina atidžiau stebėti, ar nepasireiškia su </w:t>
            </w:r>
            <w:r w:rsidRPr="00FB2719">
              <w:rPr>
                <w:bCs/>
                <w:sz w:val="22"/>
                <w:szCs w:val="22"/>
                <w:lang w:val="en-US"/>
              </w:rPr>
              <w:lastRenderedPageBreak/>
              <w:t>rifabutinu susiję nepageidaujamos reakcijos, įskaitant neutropeniją ir uveitą. Pacientams, kurie netoleruoja 150</w:t>
            </w:r>
            <w:r w:rsidR="0025420A" w:rsidRPr="00FB2719">
              <w:rPr>
                <w:bCs/>
                <w:sz w:val="22"/>
                <w:szCs w:val="22"/>
                <w:lang w:val="en-US"/>
              </w:rPr>
              <w:t> </w:t>
            </w:r>
            <w:r w:rsidRPr="00FB2719">
              <w:rPr>
                <w:bCs/>
                <w:sz w:val="22"/>
                <w:szCs w:val="22"/>
                <w:lang w:val="en-US"/>
              </w:rPr>
              <w:t>mg rifabutino dozės 3</w:t>
            </w:r>
            <w:r w:rsidR="0025420A" w:rsidRPr="00FB2719">
              <w:rPr>
                <w:bCs/>
                <w:sz w:val="22"/>
                <w:szCs w:val="22"/>
                <w:lang w:val="en-US"/>
              </w:rPr>
              <w:t> </w:t>
            </w:r>
            <w:r w:rsidRPr="00FB2719">
              <w:rPr>
                <w:bCs/>
                <w:sz w:val="22"/>
                <w:szCs w:val="22"/>
                <w:lang w:val="en-US"/>
              </w:rPr>
              <w:t>kartus per savaitę, ją reikia mažinti iki 150</w:t>
            </w:r>
            <w:r w:rsidR="0025420A" w:rsidRPr="00FB2719">
              <w:rPr>
                <w:bCs/>
                <w:sz w:val="22"/>
                <w:szCs w:val="22"/>
                <w:lang w:val="en-US"/>
              </w:rPr>
              <w:t> </w:t>
            </w:r>
            <w:r w:rsidRPr="00FB2719">
              <w:rPr>
                <w:bCs/>
                <w:sz w:val="22"/>
                <w:szCs w:val="22"/>
                <w:lang w:val="en-US"/>
              </w:rPr>
              <w:t>mg 2</w:t>
            </w:r>
            <w:r w:rsidR="0025420A" w:rsidRPr="00FB2719">
              <w:rPr>
                <w:bCs/>
                <w:sz w:val="22"/>
                <w:szCs w:val="22"/>
                <w:lang w:val="en-US"/>
              </w:rPr>
              <w:t> </w:t>
            </w:r>
            <w:r w:rsidRPr="00FB2719">
              <w:rPr>
                <w:bCs/>
                <w:sz w:val="22"/>
                <w:szCs w:val="22"/>
                <w:lang w:val="en-US"/>
              </w:rPr>
              <w:t>kartus per savaitę, skiriant nustatytomis dienomis. Reikia prisiminti, kad du kartus per savaitę vartojama 150</w:t>
            </w:r>
            <w:r w:rsidR="0025420A" w:rsidRPr="00FB2719">
              <w:rPr>
                <w:bCs/>
                <w:sz w:val="22"/>
                <w:szCs w:val="22"/>
                <w:lang w:val="en-US"/>
              </w:rPr>
              <w:t> </w:t>
            </w:r>
            <w:r w:rsidRPr="00FB2719">
              <w:rPr>
                <w:bCs/>
                <w:sz w:val="22"/>
                <w:szCs w:val="22"/>
                <w:lang w:val="en-US"/>
              </w:rPr>
              <w:t>mg rifabutino dozė gali nesukelti optimalios rifabutino ekspozicijos, todėl gali padidėti atsparumo rifamicinui ir neveiksmingo gydymo rizika. Lopinavir/Ritonavir Sandoz dozės koreguoti nereikia.</w:t>
            </w:r>
          </w:p>
        </w:tc>
      </w:tr>
      <w:tr w:rsidR="00CA08B3" w:rsidRPr="00FB2719" w14:paraId="23637A2A" w14:textId="77777777" w:rsidTr="0064111D">
        <w:tc>
          <w:tcPr>
            <w:tcW w:w="3044" w:type="dxa"/>
            <w:tcBorders>
              <w:top w:val="single" w:sz="4" w:space="0" w:color="auto"/>
              <w:left w:val="single" w:sz="4" w:space="0" w:color="auto"/>
              <w:bottom w:val="single" w:sz="4" w:space="0" w:color="auto"/>
              <w:right w:val="single" w:sz="4" w:space="0" w:color="auto"/>
            </w:tcBorders>
            <w:hideMark/>
          </w:tcPr>
          <w:p w14:paraId="03F4A92B"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lastRenderedPageBreak/>
              <w:t>Rifampicinas</w:t>
            </w:r>
          </w:p>
        </w:tc>
        <w:tc>
          <w:tcPr>
            <w:tcW w:w="2984" w:type="dxa"/>
            <w:tcBorders>
              <w:top w:val="single" w:sz="4" w:space="0" w:color="auto"/>
              <w:left w:val="single" w:sz="4" w:space="0" w:color="auto"/>
              <w:bottom w:val="single" w:sz="4" w:space="0" w:color="auto"/>
              <w:right w:val="single" w:sz="4" w:space="0" w:color="auto"/>
            </w:tcBorders>
            <w:hideMark/>
          </w:tcPr>
          <w:p w14:paraId="5C0A9183" w14:textId="77777777" w:rsidR="00CA08B3" w:rsidRPr="00FB2719" w:rsidRDefault="00CA08B3">
            <w:pPr>
              <w:tabs>
                <w:tab w:val="left" w:pos="567"/>
              </w:tabs>
              <w:spacing w:line="276" w:lineRule="auto"/>
              <w:rPr>
                <w:bCs/>
                <w:sz w:val="22"/>
                <w:szCs w:val="22"/>
                <w:lang w:val="en-US"/>
              </w:rPr>
            </w:pPr>
            <w:r w:rsidRPr="00FB2719">
              <w:rPr>
                <w:bCs/>
                <w:sz w:val="22"/>
                <w:szCs w:val="22"/>
                <w:lang w:val="en-US"/>
              </w:rPr>
              <w:t>Lopinaviras:</w:t>
            </w:r>
          </w:p>
          <w:p w14:paraId="1C7D45F4" w14:textId="77777777" w:rsidR="00CA08B3" w:rsidRPr="00FB2719" w:rsidRDefault="00CA08B3">
            <w:pPr>
              <w:tabs>
                <w:tab w:val="left" w:pos="567"/>
              </w:tabs>
              <w:spacing w:line="276" w:lineRule="auto"/>
              <w:rPr>
                <w:bCs/>
                <w:sz w:val="22"/>
                <w:szCs w:val="22"/>
                <w:lang w:val="en-US"/>
              </w:rPr>
            </w:pPr>
            <w:proofErr w:type="gramStart"/>
            <w:r w:rsidRPr="00FB2719">
              <w:rPr>
                <w:bCs/>
                <w:sz w:val="22"/>
                <w:szCs w:val="22"/>
                <w:lang w:val="en-US"/>
              </w:rPr>
              <w:t>pastebėtas</w:t>
            </w:r>
            <w:proofErr w:type="gramEnd"/>
            <w:r w:rsidRPr="00FB2719">
              <w:rPr>
                <w:bCs/>
                <w:sz w:val="22"/>
                <w:szCs w:val="22"/>
                <w:lang w:val="en-US"/>
              </w:rPr>
              <w:t xml:space="preserve"> didelis lopinaviro koncentracijų sumažėjimas, nes rifampicinas indukuoja CYP3A.</w:t>
            </w:r>
          </w:p>
        </w:tc>
        <w:tc>
          <w:tcPr>
            <w:tcW w:w="2988" w:type="dxa"/>
            <w:tcBorders>
              <w:top w:val="single" w:sz="4" w:space="0" w:color="auto"/>
              <w:left w:val="single" w:sz="4" w:space="0" w:color="auto"/>
              <w:bottom w:val="single" w:sz="4" w:space="0" w:color="auto"/>
              <w:right w:val="single" w:sz="4" w:space="0" w:color="auto"/>
            </w:tcBorders>
            <w:hideMark/>
          </w:tcPr>
          <w:p w14:paraId="0CF162AF" w14:textId="77777777" w:rsidR="00CA08B3" w:rsidRPr="00FB2719" w:rsidRDefault="00CA08B3" w:rsidP="0025420A">
            <w:pPr>
              <w:tabs>
                <w:tab w:val="left" w:pos="567"/>
              </w:tabs>
              <w:spacing w:line="276" w:lineRule="auto"/>
              <w:rPr>
                <w:bCs/>
                <w:sz w:val="22"/>
                <w:szCs w:val="22"/>
                <w:lang w:val="en-US"/>
              </w:rPr>
            </w:pPr>
            <w:r w:rsidRPr="00FB2719">
              <w:rPr>
                <w:bCs/>
                <w:sz w:val="22"/>
                <w:szCs w:val="22"/>
                <w:lang w:val="en-US"/>
              </w:rPr>
              <w:t>Nerekomenduojama Lopinavir/Ritonavir Sandoz vartoti kartu su rifampicinu, nes lopinaviro koncentracijų sumažėjimas gali reikšmingai sumažinti jo gydomąjį poveikį. Lopinavir/Ritonavir Sandoz dozės koregavimas 400</w:t>
            </w:r>
            <w:r w:rsidR="0025420A" w:rsidRPr="00FB2719">
              <w:rPr>
                <w:bCs/>
                <w:sz w:val="22"/>
                <w:szCs w:val="22"/>
                <w:lang w:val="en-US"/>
              </w:rPr>
              <w:t> </w:t>
            </w:r>
            <w:r w:rsidRPr="00FB2719">
              <w:rPr>
                <w:bCs/>
                <w:sz w:val="22"/>
                <w:szCs w:val="22"/>
                <w:lang w:val="en-US"/>
              </w:rPr>
              <w:t>mg/400</w:t>
            </w:r>
            <w:r w:rsidR="0025420A" w:rsidRPr="00FB2719">
              <w:rPr>
                <w:bCs/>
                <w:sz w:val="22"/>
                <w:szCs w:val="22"/>
                <w:lang w:val="en-US"/>
              </w:rPr>
              <w:t> </w:t>
            </w:r>
            <w:r w:rsidRPr="00FB2719">
              <w:rPr>
                <w:bCs/>
                <w:sz w:val="22"/>
                <w:szCs w:val="22"/>
                <w:lang w:val="en-US"/>
              </w:rPr>
              <w:t>mg (t.y. Lopinavir/Ritonavir Sandoz 400/100</w:t>
            </w:r>
            <w:r w:rsidR="0025420A" w:rsidRPr="00FB2719">
              <w:rPr>
                <w:bCs/>
                <w:sz w:val="22"/>
                <w:szCs w:val="22"/>
                <w:lang w:val="en-US"/>
              </w:rPr>
              <w:t> </w:t>
            </w:r>
            <w:r w:rsidRPr="00FB2719">
              <w:rPr>
                <w:bCs/>
                <w:sz w:val="22"/>
                <w:szCs w:val="22"/>
                <w:lang w:val="en-US"/>
              </w:rPr>
              <w:t>mg + ritonaviras 300</w:t>
            </w:r>
            <w:r w:rsidR="0025420A" w:rsidRPr="00FB2719">
              <w:rPr>
                <w:bCs/>
                <w:sz w:val="22"/>
                <w:szCs w:val="22"/>
                <w:lang w:val="en-US"/>
              </w:rPr>
              <w:t> </w:t>
            </w:r>
            <w:r w:rsidRPr="00FB2719">
              <w:rPr>
                <w:bCs/>
                <w:sz w:val="22"/>
                <w:szCs w:val="22"/>
                <w:lang w:val="en-US"/>
              </w:rPr>
              <w:t>mg) du kartus per parą leido kompensuoti rifampicino indukuojantį poveikį CYP 3A4. Vis dėlto, toks dozės koregavimas gali būti susijęs su ALT/AST aktyvumo padidėjimu ir virškinimo trakto sutrikimų padažnėjimu. Taigi, reikia vengti</w:t>
            </w:r>
            <w:r w:rsidRPr="00FB2719">
              <w:rPr>
                <w:sz w:val="22"/>
                <w:szCs w:val="22"/>
                <w:lang w:val="en-US"/>
              </w:rPr>
              <w:t xml:space="preserve"> </w:t>
            </w:r>
            <w:r w:rsidRPr="00FB2719">
              <w:rPr>
                <w:bCs/>
                <w:sz w:val="22"/>
                <w:szCs w:val="22"/>
                <w:lang w:val="en-US"/>
              </w:rPr>
              <w:t>kartu skirti šių vaistinių preparatų, nebent tai neabejotinai būtina. Nusprendus, kad gydyti minėtų vaistinių preparatų deriniu yra būtina, galima skirti didesnę Lopinavir/Ritonavir Sandoz dozę iki 400</w:t>
            </w:r>
            <w:r w:rsidR="0025420A" w:rsidRPr="00FB2719">
              <w:rPr>
                <w:bCs/>
                <w:sz w:val="22"/>
                <w:szCs w:val="22"/>
                <w:lang w:val="en-US"/>
              </w:rPr>
              <w:t> </w:t>
            </w:r>
            <w:r w:rsidRPr="00FB2719">
              <w:rPr>
                <w:bCs/>
                <w:sz w:val="22"/>
                <w:szCs w:val="22"/>
                <w:lang w:val="en-US"/>
              </w:rPr>
              <w:t>mg/400</w:t>
            </w:r>
            <w:r w:rsidR="0025420A" w:rsidRPr="00FB2719">
              <w:rPr>
                <w:bCs/>
                <w:sz w:val="22"/>
                <w:szCs w:val="22"/>
                <w:lang w:val="en-US"/>
              </w:rPr>
              <w:t> </w:t>
            </w:r>
            <w:r w:rsidRPr="00FB2719">
              <w:rPr>
                <w:bCs/>
                <w:sz w:val="22"/>
                <w:szCs w:val="22"/>
                <w:lang w:val="en-US"/>
              </w:rPr>
              <w:t xml:space="preserve">mg du kartus per parą kartu su rifampicinu, atidžiai stebint </w:t>
            </w:r>
            <w:r w:rsidRPr="00FB2719">
              <w:rPr>
                <w:bCs/>
                <w:sz w:val="22"/>
                <w:szCs w:val="22"/>
                <w:lang w:val="en-US"/>
              </w:rPr>
              <w:lastRenderedPageBreak/>
              <w:t>saugumą ir klinikinį poveikį. Lopinavir/Ritonavir Sandoz dozė turi būti didinama titruojant tik po gydymo rifampicinu pradžios (žr. 4.4 skyrių).</w:t>
            </w:r>
          </w:p>
        </w:tc>
      </w:tr>
      <w:tr w:rsidR="00CA08B3" w:rsidRPr="00FB2719" w14:paraId="061209E4" w14:textId="77777777" w:rsidTr="0064111D">
        <w:tc>
          <w:tcPr>
            <w:tcW w:w="9016" w:type="dxa"/>
            <w:gridSpan w:val="3"/>
            <w:tcBorders>
              <w:top w:val="single" w:sz="4" w:space="0" w:color="auto"/>
              <w:left w:val="single" w:sz="4" w:space="0" w:color="auto"/>
              <w:bottom w:val="single" w:sz="4" w:space="0" w:color="auto"/>
              <w:right w:val="single" w:sz="4" w:space="0" w:color="auto"/>
            </w:tcBorders>
            <w:hideMark/>
          </w:tcPr>
          <w:p w14:paraId="3A5265A4" w14:textId="77777777" w:rsidR="00CA08B3" w:rsidRPr="00FB2719" w:rsidRDefault="00CA08B3">
            <w:pPr>
              <w:tabs>
                <w:tab w:val="left" w:pos="567"/>
              </w:tabs>
              <w:spacing w:line="276" w:lineRule="auto"/>
              <w:rPr>
                <w:bCs/>
                <w:i/>
                <w:sz w:val="22"/>
                <w:szCs w:val="22"/>
                <w:lang w:val="en-US"/>
              </w:rPr>
            </w:pPr>
            <w:r w:rsidRPr="00FB2719">
              <w:rPr>
                <w:bCs/>
                <w:i/>
                <w:sz w:val="22"/>
                <w:szCs w:val="22"/>
                <w:lang w:val="en-US"/>
              </w:rPr>
              <w:lastRenderedPageBreak/>
              <w:t>Antipsichoziniai vaistiniai preparatai</w:t>
            </w:r>
          </w:p>
        </w:tc>
      </w:tr>
      <w:tr w:rsidR="00D02F71" w:rsidRPr="00FB2719" w14:paraId="52188DD2" w14:textId="77777777" w:rsidTr="0064111D">
        <w:tc>
          <w:tcPr>
            <w:tcW w:w="3044" w:type="dxa"/>
            <w:tcBorders>
              <w:top w:val="single" w:sz="4" w:space="0" w:color="auto"/>
              <w:left w:val="single" w:sz="4" w:space="0" w:color="auto"/>
              <w:bottom w:val="single" w:sz="4" w:space="0" w:color="auto"/>
              <w:right w:val="single" w:sz="4" w:space="0" w:color="auto"/>
            </w:tcBorders>
          </w:tcPr>
          <w:p w14:paraId="7D1223FA" w14:textId="77777777" w:rsidR="00D02F71" w:rsidRPr="00FB2719" w:rsidRDefault="00D02F71">
            <w:pPr>
              <w:tabs>
                <w:tab w:val="left" w:pos="567"/>
              </w:tabs>
              <w:spacing w:line="276" w:lineRule="auto"/>
              <w:jc w:val="both"/>
              <w:rPr>
                <w:bCs/>
                <w:sz w:val="22"/>
                <w:szCs w:val="22"/>
                <w:lang w:val="en-US"/>
              </w:rPr>
            </w:pPr>
            <w:r w:rsidRPr="00FB2719">
              <w:rPr>
                <w:bCs/>
                <w:sz w:val="22"/>
                <w:szCs w:val="22"/>
                <w:lang w:val="en-US"/>
              </w:rPr>
              <w:t>Lurazidonas</w:t>
            </w:r>
          </w:p>
        </w:tc>
        <w:tc>
          <w:tcPr>
            <w:tcW w:w="2984" w:type="dxa"/>
            <w:tcBorders>
              <w:top w:val="single" w:sz="4" w:space="0" w:color="auto"/>
              <w:left w:val="single" w:sz="4" w:space="0" w:color="auto"/>
              <w:bottom w:val="single" w:sz="4" w:space="0" w:color="auto"/>
              <w:right w:val="single" w:sz="4" w:space="0" w:color="auto"/>
            </w:tcBorders>
          </w:tcPr>
          <w:p w14:paraId="3BFB17D8" w14:textId="77777777" w:rsidR="00D02F71" w:rsidRPr="00FB2719" w:rsidRDefault="00D02F71" w:rsidP="00D02F71">
            <w:pPr>
              <w:tabs>
                <w:tab w:val="left" w:pos="567"/>
              </w:tabs>
              <w:spacing w:line="276" w:lineRule="auto"/>
              <w:rPr>
                <w:bCs/>
                <w:sz w:val="22"/>
                <w:szCs w:val="22"/>
                <w:lang w:val="en-US"/>
              </w:rPr>
            </w:pPr>
            <w:r w:rsidRPr="00FB2719">
              <w:rPr>
                <w:bCs/>
                <w:sz w:val="22"/>
                <w:szCs w:val="22"/>
                <w:lang w:val="en-US"/>
              </w:rPr>
              <w:t>Kadangi lopinaviro / ritonaviro derinys slopina CYP3A, tikėtina, kad padidės lurazidono koncentracijos</w:t>
            </w:r>
          </w:p>
        </w:tc>
        <w:tc>
          <w:tcPr>
            <w:tcW w:w="2988" w:type="dxa"/>
            <w:tcBorders>
              <w:top w:val="single" w:sz="4" w:space="0" w:color="auto"/>
              <w:left w:val="single" w:sz="4" w:space="0" w:color="auto"/>
              <w:bottom w:val="single" w:sz="4" w:space="0" w:color="auto"/>
              <w:right w:val="single" w:sz="4" w:space="0" w:color="auto"/>
            </w:tcBorders>
          </w:tcPr>
          <w:p w14:paraId="2ACE9435" w14:textId="77777777" w:rsidR="00D02F71" w:rsidRPr="00FB2719" w:rsidRDefault="00D02F71" w:rsidP="00D02F71">
            <w:pPr>
              <w:tabs>
                <w:tab w:val="left" w:pos="567"/>
              </w:tabs>
              <w:spacing w:line="276" w:lineRule="auto"/>
              <w:rPr>
                <w:bCs/>
                <w:sz w:val="22"/>
                <w:szCs w:val="22"/>
                <w:lang w:val="en-US"/>
              </w:rPr>
            </w:pPr>
            <w:r w:rsidRPr="00FB2719">
              <w:rPr>
                <w:bCs/>
                <w:sz w:val="22"/>
                <w:szCs w:val="22"/>
                <w:lang w:val="en-US"/>
              </w:rPr>
              <w:t>Vartoti kartu su lurazidonu draudžiama (žr. 4.3 skyrių)</w:t>
            </w:r>
          </w:p>
        </w:tc>
      </w:tr>
      <w:tr w:rsidR="00D02F71" w:rsidRPr="00FB2719" w14:paraId="46457C05" w14:textId="77777777" w:rsidTr="0064111D">
        <w:tc>
          <w:tcPr>
            <w:tcW w:w="3044" w:type="dxa"/>
            <w:tcBorders>
              <w:top w:val="single" w:sz="4" w:space="0" w:color="auto"/>
              <w:left w:val="single" w:sz="4" w:space="0" w:color="auto"/>
              <w:bottom w:val="single" w:sz="4" w:space="0" w:color="auto"/>
              <w:right w:val="single" w:sz="4" w:space="0" w:color="auto"/>
            </w:tcBorders>
          </w:tcPr>
          <w:p w14:paraId="13057F98" w14:textId="77777777" w:rsidR="00D02F71" w:rsidRPr="00FB2719" w:rsidRDefault="00D02F71">
            <w:pPr>
              <w:tabs>
                <w:tab w:val="left" w:pos="567"/>
              </w:tabs>
              <w:spacing w:line="276" w:lineRule="auto"/>
              <w:jc w:val="both"/>
              <w:rPr>
                <w:bCs/>
                <w:sz w:val="22"/>
                <w:szCs w:val="22"/>
                <w:lang w:val="en-US"/>
              </w:rPr>
            </w:pPr>
            <w:r w:rsidRPr="00FB2719">
              <w:rPr>
                <w:bCs/>
                <w:sz w:val="22"/>
                <w:szCs w:val="22"/>
                <w:lang w:val="en-US"/>
              </w:rPr>
              <w:t>Pimozidas</w:t>
            </w:r>
          </w:p>
        </w:tc>
        <w:tc>
          <w:tcPr>
            <w:tcW w:w="2984" w:type="dxa"/>
            <w:tcBorders>
              <w:top w:val="single" w:sz="4" w:space="0" w:color="auto"/>
              <w:left w:val="single" w:sz="4" w:space="0" w:color="auto"/>
              <w:bottom w:val="single" w:sz="4" w:space="0" w:color="auto"/>
              <w:right w:val="single" w:sz="4" w:space="0" w:color="auto"/>
            </w:tcBorders>
          </w:tcPr>
          <w:p w14:paraId="54FC9693" w14:textId="77777777" w:rsidR="00D02F71" w:rsidRPr="00FB2719" w:rsidRDefault="00D02F71" w:rsidP="00D02F71">
            <w:pPr>
              <w:tabs>
                <w:tab w:val="left" w:pos="567"/>
              </w:tabs>
              <w:spacing w:line="276" w:lineRule="auto"/>
              <w:rPr>
                <w:bCs/>
                <w:sz w:val="22"/>
                <w:szCs w:val="22"/>
                <w:lang w:val="en-US"/>
              </w:rPr>
            </w:pPr>
            <w:r w:rsidRPr="00FB2719">
              <w:rPr>
                <w:bCs/>
                <w:sz w:val="22"/>
                <w:szCs w:val="22"/>
                <w:lang w:val="en-US"/>
              </w:rPr>
              <w:t>Kadangi lopinaviro / ritonaviro derinys slopina CYP3A, tikėtina, kad padidės pimozido koncentracijos</w:t>
            </w:r>
          </w:p>
        </w:tc>
        <w:tc>
          <w:tcPr>
            <w:tcW w:w="2988" w:type="dxa"/>
            <w:tcBorders>
              <w:top w:val="single" w:sz="4" w:space="0" w:color="auto"/>
              <w:left w:val="single" w:sz="4" w:space="0" w:color="auto"/>
              <w:bottom w:val="single" w:sz="4" w:space="0" w:color="auto"/>
              <w:right w:val="single" w:sz="4" w:space="0" w:color="auto"/>
            </w:tcBorders>
          </w:tcPr>
          <w:p w14:paraId="7929739E" w14:textId="77777777" w:rsidR="00D02F71" w:rsidRPr="00FB2719" w:rsidRDefault="00D02F71" w:rsidP="00FB2719">
            <w:pPr>
              <w:autoSpaceDE w:val="0"/>
              <w:autoSpaceDN w:val="0"/>
              <w:adjustRightInd w:val="0"/>
              <w:rPr>
                <w:bCs/>
                <w:sz w:val="22"/>
                <w:szCs w:val="22"/>
              </w:rPr>
            </w:pPr>
            <w:r w:rsidRPr="00FB2719">
              <w:rPr>
                <w:rFonts w:eastAsiaTheme="minorHAnsi"/>
                <w:sz w:val="22"/>
                <w:szCs w:val="22"/>
              </w:rPr>
              <w:t>Lopinavir/Ritonavir Sandoz kartu su pimozidu vartoti negalima, nes p</w:t>
            </w:r>
            <w:r w:rsidRPr="00FB2719">
              <w:rPr>
                <w:rFonts w:ascii="TimesNewRomanPSMT" w:eastAsiaTheme="minorHAnsi" w:hAnsi="TimesNewRomanPSMT" w:cs="TimesNewRomanPSMT"/>
                <w:sz w:val="22"/>
                <w:szCs w:val="22"/>
              </w:rPr>
              <w:t xml:space="preserve">lazmoje padidėja pimozido koncentracija. Tuo būdu padidėja sunkių hematologinių sutrikimų ar kitų sunkių nepageidaujamų reiškinių, susijusių su šia veikliąja medžiaga, rizika </w:t>
            </w:r>
            <w:r w:rsidRPr="00FB2719">
              <w:rPr>
                <w:rFonts w:eastAsiaTheme="minorHAnsi"/>
                <w:sz w:val="22"/>
                <w:szCs w:val="22"/>
              </w:rPr>
              <w:t xml:space="preserve">(žr. 4.3 </w:t>
            </w:r>
            <w:r w:rsidRPr="00FB2719">
              <w:rPr>
                <w:rFonts w:ascii="TimesNewRomanPSMT" w:eastAsiaTheme="minorHAnsi" w:hAnsi="TimesNewRomanPSMT" w:cs="TimesNewRomanPSMT"/>
                <w:sz w:val="22"/>
                <w:szCs w:val="22"/>
              </w:rPr>
              <w:t>skyrių).</w:t>
            </w:r>
          </w:p>
        </w:tc>
      </w:tr>
      <w:tr w:rsidR="00CA08B3" w:rsidRPr="00FB2719" w14:paraId="5804202D" w14:textId="77777777" w:rsidTr="0064111D">
        <w:tc>
          <w:tcPr>
            <w:tcW w:w="3044" w:type="dxa"/>
            <w:tcBorders>
              <w:top w:val="single" w:sz="4" w:space="0" w:color="auto"/>
              <w:left w:val="single" w:sz="4" w:space="0" w:color="auto"/>
              <w:bottom w:val="single" w:sz="4" w:space="0" w:color="auto"/>
              <w:right w:val="single" w:sz="4" w:space="0" w:color="auto"/>
            </w:tcBorders>
            <w:hideMark/>
          </w:tcPr>
          <w:p w14:paraId="72B39CF6"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Kvetiapinas</w:t>
            </w:r>
          </w:p>
        </w:tc>
        <w:tc>
          <w:tcPr>
            <w:tcW w:w="2984" w:type="dxa"/>
            <w:tcBorders>
              <w:top w:val="single" w:sz="4" w:space="0" w:color="auto"/>
              <w:left w:val="single" w:sz="4" w:space="0" w:color="auto"/>
              <w:bottom w:val="single" w:sz="4" w:space="0" w:color="auto"/>
              <w:right w:val="single" w:sz="4" w:space="0" w:color="auto"/>
            </w:tcBorders>
            <w:hideMark/>
          </w:tcPr>
          <w:p w14:paraId="6F997EB4" w14:textId="77777777" w:rsidR="00CA08B3" w:rsidRPr="00FB2719" w:rsidRDefault="00CA08B3">
            <w:pPr>
              <w:tabs>
                <w:tab w:val="left" w:pos="567"/>
              </w:tabs>
              <w:spacing w:line="276" w:lineRule="auto"/>
              <w:rPr>
                <w:bCs/>
                <w:sz w:val="22"/>
                <w:szCs w:val="22"/>
                <w:lang w:val="en-US"/>
              </w:rPr>
            </w:pPr>
            <w:r w:rsidRPr="00FB2719">
              <w:rPr>
                <w:bCs/>
                <w:sz w:val="22"/>
                <w:szCs w:val="22"/>
                <w:lang w:val="en-US"/>
              </w:rPr>
              <w:t>Kadangi lopinaviro / ritonaviro derinys slopina CYP3A, tikėtina, kad padidės kvetiapino koncentracijos.</w:t>
            </w:r>
          </w:p>
        </w:tc>
        <w:tc>
          <w:tcPr>
            <w:tcW w:w="2988" w:type="dxa"/>
            <w:tcBorders>
              <w:top w:val="single" w:sz="4" w:space="0" w:color="auto"/>
              <w:left w:val="single" w:sz="4" w:space="0" w:color="auto"/>
              <w:bottom w:val="single" w:sz="4" w:space="0" w:color="auto"/>
              <w:right w:val="single" w:sz="4" w:space="0" w:color="auto"/>
            </w:tcBorders>
            <w:hideMark/>
          </w:tcPr>
          <w:p w14:paraId="6E9EAA9C" w14:textId="77777777" w:rsidR="00CA08B3" w:rsidRPr="00FB2719" w:rsidRDefault="00CA08B3">
            <w:pPr>
              <w:tabs>
                <w:tab w:val="left" w:pos="567"/>
              </w:tabs>
              <w:spacing w:line="276" w:lineRule="auto"/>
              <w:rPr>
                <w:bCs/>
                <w:sz w:val="22"/>
                <w:szCs w:val="22"/>
                <w:lang w:val="en-US"/>
              </w:rPr>
            </w:pPr>
            <w:r w:rsidRPr="00FB2719">
              <w:rPr>
                <w:bCs/>
                <w:sz w:val="22"/>
                <w:szCs w:val="22"/>
                <w:lang w:val="en-US"/>
              </w:rPr>
              <w:t>Negalima Lopinavir/Ritonavir Sandoz vartoti kartu su kvetiapinu, nes gali sustiprėti kvetiapino toksinis poveikis.</w:t>
            </w:r>
          </w:p>
        </w:tc>
      </w:tr>
      <w:tr w:rsidR="00CA08B3" w:rsidRPr="00FB2719" w14:paraId="620F4A8E" w14:textId="77777777" w:rsidTr="0064111D">
        <w:tc>
          <w:tcPr>
            <w:tcW w:w="9016" w:type="dxa"/>
            <w:gridSpan w:val="3"/>
            <w:tcBorders>
              <w:top w:val="single" w:sz="4" w:space="0" w:color="auto"/>
              <w:left w:val="single" w:sz="4" w:space="0" w:color="auto"/>
              <w:bottom w:val="single" w:sz="4" w:space="0" w:color="auto"/>
              <w:right w:val="single" w:sz="4" w:space="0" w:color="auto"/>
            </w:tcBorders>
            <w:hideMark/>
          </w:tcPr>
          <w:p w14:paraId="315341C7" w14:textId="77777777" w:rsidR="00CA08B3" w:rsidRPr="00FB2719" w:rsidRDefault="00CA08B3">
            <w:pPr>
              <w:tabs>
                <w:tab w:val="left" w:pos="567"/>
              </w:tabs>
              <w:spacing w:line="276" w:lineRule="auto"/>
              <w:rPr>
                <w:bCs/>
                <w:i/>
                <w:sz w:val="22"/>
                <w:szCs w:val="22"/>
                <w:lang w:val="en-US"/>
              </w:rPr>
            </w:pPr>
            <w:r w:rsidRPr="00FB2719">
              <w:rPr>
                <w:bCs/>
                <w:i/>
                <w:sz w:val="22"/>
                <w:szCs w:val="22"/>
                <w:lang w:val="en-US"/>
              </w:rPr>
              <w:t>Benzodiazepinai</w:t>
            </w:r>
          </w:p>
        </w:tc>
      </w:tr>
      <w:tr w:rsidR="00CA08B3" w:rsidRPr="00FB2719" w14:paraId="591380F7" w14:textId="77777777" w:rsidTr="0064111D">
        <w:tc>
          <w:tcPr>
            <w:tcW w:w="3044" w:type="dxa"/>
            <w:tcBorders>
              <w:top w:val="single" w:sz="4" w:space="0" w:color="auto"/>
              <w:left w:val="single" w:sz="4" w:space="0" w:color="auto"/>
              <w:bottom w:val="single" w:sz="4" w:space="0" w:color="auto"/>
              <w:right w:val="single" w:sz="4" w:space="0" w:color="auto"/>
            </w:tcBorders>
            <w:hideMark/>
          </w:tcPr>
          <w:p w14:paraId="7FAC0C90"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Midazolamas</w:t>
            </w:r>
          </w:p>
        </w:tc>
        <w:tc>
          <w:tcPr>
            <w:tcW w:w="2984" w:type="dxa"/>
            <w:tcBorders>
              <w:top w:val="single" w:sz="4" w:space="0" w:color="auto"/>
              <w:left w:val="single" w:sz="4" w:space="0" w:color="auto"/>
              <w:bottom w:val="single" w:sz="4" w:space="0" w:color="auto"/>
              <w:right w:val="single" w:sz="4" w:space="0" w:color="auto"/>
            </w:tcBorders>
            <w:hideMark/>
          </w:tcPr>
          <w:p w14:paraId="066AEE7F" w14:textId="77777777" w:rsidR="00CA08B3" w:rsidRPr="00FB2719" w:rsidRDefault="00CA08B3">
            <w:pPr>
              <w:tabs>
                <w:tab w:val="left" w:pos="567"/>
              </w:tabs>
              <w:spacing w:line="276" w:lineRule="auto"/>
              <w:rPr>
                <w:bCs/>
                <w:sz w:val="22"/>
                <w:szCs w:val="22"/>
                <w:lang w:val="es-ES"/>
              </w:rPr>
            </w:pPr>
            <w:r w:rsidRPr="00FB2719">
              <w:rPr>
                <w:bCs/>
                <w:sz w:val="22"/>
                <w:szCs w:val="22"/>
                <w:lang w:val="es-ES"/>
              </w:rPr>
              <w:t>Geriamas midazolamas:</w:t>
            </w:r>
          </w:p>
          <w:p w14:paraId="4F4C2D1E" w14:textId="77777777" w:rsidR="00CA08B3" w:rsidRPr="00FB2719" w:rsidRDefault="00CA08B3">
            <w:pPr>
              <w:tabs>
                <w:tab w:val="left" w:pos="567"/>
              </w:tabs>
              <w:spacing w:line="276" w:lineRule="auto"/>
              <w:rPr>
                <w:bCs/>
                <w:sz w:val="22"/>
                <w:szCs w:val="22"/>
                <w:lang w:val="es-ES"/>
              </w:rPr>
            </w:pPr>
            <w:r w:rsidRPr="00FB2719">
              <w:rPr>
                <w:bCs/>
                <w:sz w:val="22"/>
                <w:szCs w:val="22"/>
                <w:lang w:val="es-ES"/>
              </w:rPr>
              <w:t>AUC: ↑ 13</w:t>
            </w:r>
            <w:r w:rsidR="0025420A" w:rsidRPr="00FB2719">
              <w:rPr>
                <w:bCs/>
                <w:sz w:val="22"/>
                <w:szCs w:val="22"/>
                <w:lang w:val="es-ES"/>
              </w:rPr>
              <w:t> </w:t>
            </w:r>
            <w:r w:rsidRPr="00FB2719">
              <w:rPr>
                <w:bCs/>
                <w:sz w:val="22"/>
                <w:szCs w:val="22"/>
                <w:lang w:val="es-ES"/>
              </w:rPr>
              <w:t>kartų</w:t>
            </w:r>
          </w:p>
          <w:p w14:paraId="386BAD78" w14:textId="77777777" w:rsidR="00CA08B3" w:rsidRPr="00FB2719" w:rsidRDefault="00CA08B3">
            <w:pPr>
              <w:tabs>
                <w:tab w:val="left" w:pos="567"/>
              </w:tabs>
              <w:spacing w:line="276" w:lineRule="auto"/>
              <w:rPr>
                <w:bCs/>
                <w:sz w:val="22"/>
                <w:szCs w:val="22"/>
                <w:lang w:val="es-ES"/>
              </w:rPr>
            </w:pPr>
            <w:r w:rsidRPr="00FB2719">
              <w:rPr>
                <w:bCs/>
                <w:sz w:val="22"/>
                <w:szCs w:val="22"/>
                <w:lang w:val="es-ES"/>
              </w:rPr>
              <w:t>Parenteriniu būdu skiriamas midazolamas:</w:t>
            </w:r>
          </w:p>
          <w:p w14:paraId="15EA98B5" w14:textId="77777777" w:rsidR="00CA08B3" w:rsidRPr="00FB2719" w:rsidRDefault="00CA08B3">
            <w:pPr>
              <w:tabs>
                <w:tab w:val="left" w:pos="567"/>
              </w:tabs>
              <w:spacing w:line="276" w:lineRule="auto"/>
              <w:rPr>
                <w:bCs/>
                <w:sz w:val="22"/>
                <w:szCs w:val="22"/>
                <w:lang w:val="es-ES"/>
              </w:rPr>
            </w:pPr>
            <w:r w:rsidRPr="00FB2719">
              <w:rPr>
                <w:bCs/>
                <w:sz w:val="22"/>
                <w:szCs w:val="22"/>
                <w:lang w:val="es-ES"/>
              </w:rPr>
              <w:t>AUC: ↑ 4</w:t>
            </w:r>
            <w:r w:rsidR="0025420A" w:rsidRPr="00FB2719">
              <w:rPr>
                <w:bCs/>
                <w:sz w:val="22"/>
                <w:szCs w:val="22"/>
                <w:lang w:val="es-ES"/>
              </w:rPr>
              <w:t> </w:t>
            </w:r>
            <w:r w:rsidRPr="00FB2719">
              <w:rPr>
                <w:bCs/>
                <w:sz w:val="22"/>
                <w:szCs w:val="22"/>
                <w:lang w:val="es-ES"/>
              </w:rPr>
              <w:t>kartus</w:t>
            </w:r>
          </w:p>
          <w:p w14:paraId="63F10F80" w14:textId="77777777" w:rsidR="00CA08B3" w:rsidRPr="00FB2719" w:rsidRDefault="00CA08B3">
            <w:pPr>
              <w:tabs>
                <w:tab w:val="left" w:pos="567"/>
              </w:tabs>
              <w:spacing w:line="276" w:lineRule="auto"/>
              <w:rPr>
                <w:bCs/>
                <w:sz w:val="22"/>
                <w:szCs w:val="22"/>
                <w:lang w:val="es-ES"/>
              </w:rPr>
            </w:pPr>
            <w:r w:rsidRPr="00FB2719">
              <w:rPr>
                <w:bCs/>
                <w:sz w:val="22"/>
                <w:szCs w:val="22"/>
                <w:lang w:val="es-ES"/>
              </w:rPr>
              <w:t>dėl CYP3A slopinimo lopinaviru / ritonaviru.</w:t>
            </w:r>
          </w:p>
        </w:tc>
        <w:tc>
          <w:tcPr>
            <w:tcW w:w="2988" w:type="dxa"/>
            <w:tcBorders>
              <w:top w:val="single" w:sz="4" w:space="0" w:color="auto"/>
              <w:left w:val="single" w:sz="4" w:space="0" w:color="auto"/>
              <w:bottom w:val="single" w:sz="4" w:space="0" w:color="auto"/>
              <w:right w:val="single" w:sz="4" w:space="0" w:color="auto"/>
            </w:tcBorders>
            <w:hideMark/>
          </w:tcPr>
          <w:p w14:paraId="31EC80BC" w14:textId="77777777" w:rsidR="00CA08B3" w:rsidRPr="00FB2719" w:rsidRDefault="00CA08B3">
            <w:pPr>
              <w:tabs>
                <w:tab w:val="left" w:pos="567"/>
              </w:tabs>
              <w:spacing w:line="276" w:lineRule="auto"/>
              <w:rPr>
                <w:bCs/>
                <w:sz w:val="22"/>
                <w:szCs w:val="22"/>
                <w:lang w:val="es-ES"/>
              </w:rPr>
            </w:pPr>
            <w:r w:rsidRPr="00FB2719">
              <w:rPr>
                <w:bCs/>
                <w:sz w:val="22"/>
                <w:szCs w:val="22"/>
                <w:lang w:val="es-ES"/>
              </w:rPr>
              <w:t>Lopinavir/Ritonavir Sandoz skirti kartu su geriamuoju midazolamu negalima (žr. 4.3 skyrių), o su parenteriniu būdu skiriamu midazolamu reikia vartoti atsargiai. Jeigu Lopinavir/Ritonavir Sandoz skiriamas kartu su midazolamu, vartojamu parenteriniu būdu, tai reikia daryti intensyviosios terapijos skyriuje ar panašiomis sąlygomis, kur galima užtikrinti atidų klinikinį stebėjimą ir reikiamos skubios pagalbos suteikimą kvėpavimo slopinimo ir (arba) užsitęsusios sedacijos atveju. Turi būti apsvarstytas midazolamo dozės priderinimas, ypač jo vartojant kartotinai.</w:t>
            </w:r>
          </w:p>
        </w:tc>
      </w:tr>
      <w:tr w:rsidR="00CA08B3" w:rsidRPr="00FB2719" w14:paraId="3A532AE6" w14:textId="77777777" w:rsidTr="0064111D">
        <w:tc>
          <w:tcPr>
            <w:tcW w:w="9016" w:type="dxa"/>
            <w:gridSpan w:val="3"/>
            <w:tcBorders>
              <w:top w:val="single" w:sz="4" w:space="0" w:color="auto"/>
              <w:left w:val="single" w:sz="4" w:space="0" w:color="auto"/>
              <w:bottom w:val="single" w:sz="4" w:space="0" w:color="auto"/>
              <w:right w:val="single" w:sz="4" w:space="0" w:color="auto"/>
            </w:tcBorders>
            <w:hideMark/>
          </w:tcPr>
          <w:p w14:paraId="5C47674F" w14:textId="77777777" w:rsidR="00CA08B3" w:rsidRPr="00FB2719" w:rsidRDefault="00CA08B3">
            <w:pPr>
              <w:tabs>
                <w:tab w:val="left" w:pos="567"/>
              </w:tabs>
              <w:spacing w:line="276" w:lineRule="auto"/>
              <w:jc w:val="both"/>
              <w:rPr>
                <w:bCs/>
                <w:i/>
                <w:sz w:val="22"/>
                <w:szCs w:val="22"/>
                <w:lang w:val="it-IT"/>
              </w:rPr>
            </w:pPr>
            <w:r w:rsidRPr="00FB2719">
              <w:rPr>
                <w:bCs/>
                <w:i/>
                <w:sz w:val="22"/>
                <w:szCs w:val="22"/>
                <w:lang w:val="it-IT"/>
              </w:rPr>
              <w:t>Ilgai veikiantys beta</w:t>
            </w:r>
            <w:r w:rsidRPr="00FB2719">
              <w:rPr>
                <w:bCs/>
                <w:i/>
                <w:sz w:val="22"/>
                <w:szCs w:val="22"/>
                <w:vertAlign w:val="subscript"/>
                <w:lang w:val="it-IT"/>
              </w:rPr>
              <w:t>2</w:t>
            </w:r>
            <w:r w:rsidRPr="00FB2719">
              <w:rPr>
                <w:bCs/>
                <w:i/>
                <w:sz w:val="22"/>
                <w:szCs w:val="22"/>
                <w:lang w:val="it-IT"/>
              </w:rPr>
              <w:t xml:space="preserve"> adrenoreceptorių agonistai </w:t>
            </w:r>
          </w:p>
        </w:tc>
      </w:tr>
      <w:tr w:rsidR="00CA08B3" w:rsidRPr="00FB2719" w14:paraId="3AA0B863" w14:textId="77777777" w:rsidTr="0064111D">
        <w:tc>
          <w:tcPr>
            <w:tcW w:w="3044" w:type="dxa"/>
            <w:tcBorders>
              <w:top w:val="single" w:sz="4" w:space="0" w:color="auto"/>
              <w:left w:val="single" w:sz="4" w:space="0" w:color="auto"/>
              <w:bottom w:val="single" w:sz="4" w:space="0" w:color="auto"/>
              <w:right w:val="single" w:sz="4" w:space="0" w:color="auto"/>
            </w:tcBorders>
            <w:hideMark/>
          </w:tcPr>
          <w:p w14:paraId="23A1944B"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lastRenderedPageBreak/>
              <w:t>Salmeterolis</w:t>
            </w:r>
          </w:p>
        </w:tc>
        <w:tc>
          <w:tcPr>
            <w:tcW w:w="2984" w:type="dxa"/>
            <w:tcBorders>
              <w:top w:val="single" w:sz="4" w:space="0" w:color="auto"/>
              <w:left w:val="single" w:sz="4" w:space="0" w:color="auto"/>
              <w:bottom w:val="single" w:sz="4" w:space="0" w:color="auto"/>
              <w:right w:val="single" w:sz="4" w:space="0" w:color="auto"/>
            </w:tcBorders>
            <w:hideMark/>
          </w:tcPr>
          <w:p w14:paraId="08C2D9D1" w14:textId="77777777" w:rsidR="00CA08B3" w:rsidRPr="00FB2719" w:rsidRDefault="00CA08B3">
            <w:pPr>
              <w:tabs>
                <w:tab w:val="left" w:pos="567"/>
              </w:tabs>
              <w:spacing w:line="276" w:lineRule="auto"/>
              <w:rPr>
                <w:bCs/>
                <w:sz w:val="22"/>
                <w:szCs w:val="22"/>
                <w:lang w:val="en-US"/>
              </w:rPr>
            </w:pPr>
            <w:r w:rsidRPr="00FB2719">
              <w:rPr>
                <w:bCs/>
                <w:sz w:val="22"/>
                <w:szCs w:val="22"/>
                <w:lang w:val="en-US"/>
              </w:rPr>
              <w:t>Salmeterolis:</w:t>
            </w:r>
          </w:p>
          <w:p w14:paraId="362ACEDD" w14:textId="77777777" w:rsidR="00CA08B3" w:rsidRPr="00FB2719" w:rsidRDefault="00CA08B3">
            <w:pPr>
              <w:tabs>
                <w:tab w:val="left" w:pos="567"/>
              </w:tabs>
              <w:spacing w:line="276" w:lineRule="auto"/>
              <w:rPr>
                <w:bCs/>
                <w:sz w:val="22"/>
                <w:szCs w:val="22"/>
                <w:lang w:val="en-US"/>
              </w:rPr>
            </w:pPr>
            <w:proofErr w:type="gramStart"/>
            <w:r w:rsidRPr="00FB2719">
              <w:rPr>
                <w:bCs/>
                <w:sz w:val="22"/>
                <w:szCs w:val="22"/>
                <w:lang w:val="en-US"/>
              </w:rPr>
              <w:t>tikėtina</w:t>
            </w:r>
            <w:proofErr w:type="gramEnd"/>
            <w:r w:rsidRPr="00FB2719">
              <w:rPr>
                <w:bCs/>
                <w:sz w:val="22"/>
                <w:szCs w:val="22"/>
                <w:lang w:val="en-US"/>
              </w:rPr>
              <w:t>, kad koncentracijos padidės dėl CYP3A slopinimo lopinaviro / ritonaviro deriniu.</w:t>
            </w:r>
          </w:p>
        </w:tc>
        <w:tc>
          <w:tcPr>
            <w:tcW w:w="2988" w:type="dxa"/>
            <w:tcBorders>
              <w:top w:val="single" w:sz="4" w:space="0" w:color="auto"/>
              <w:left w:val="single" w:sz="4" w:space="0" w:color="auto"/>
              <w:bottom w:val="single" w:sz="4" w:space="0" w:color="auto"/>
              <w:right w:val="single" w:sz="4" w:space="0" w:color="auto"/>
            </w:tcBorders>
            <w:hideMark/>
          </w:tcPr>
          <w:p w14:paraId="234EC702" w14:textId="77777777" w:rsidR="00CA08B3" w:rsidRPr="00FB2719" w:rsidRDefault="00CA08B3">
            <w:pPr>
              <w:tabs>
                <w:tab w:val="left" w:pos="567"/>
              </w:tabs>
              <w:spacing w:line="276" w:lineRule="auto"/>
              <w:rPr>
                <w:bCs/>
                <w:sz w:val="22"/>
                <w:szCs w:val="22"/>
                <w:lang w:val="en-US"/>
              </w:rPr>
            </w:pPr>
            <w:r w:rsidRPr="00FB2719">
              <w:rPr>
                <w:bCs/>
                <w:sz w:val="22"/>
                <w:szCs w:val="22"/>
                <w:lang w:val="en-US"/>
              </w:rPr>
              <w:t>Skiriant šio derinio gali būti didesnė širdies ir kraujagyslių nepageidaujamų reiškinių, susijusių su salmeteroliu, įskaitant pailgėjusį QT intervalą, palpitacijas ir sinusinę tachikardiją, rizika.</w:t>
            </w:r>
          </w:p>
          <w:p w14:paraId="20355F96" w14:textId="77777777" w:rsidR="00CA08B3" w:rsidRPr="00FB2719" w:rsidRDefault="00CA08B3">
            <w:pPr>
              <w:tabs>
                <w:tab w:val="left" w:pos="567"/>
              </w:tabs>
              <w:spacing w:line="276" w:lineRule="auto"/>
              <w:rPr>
                <w:bCs/>
                <w:sz w:val="22"/>
                <w:szCs w:val="22"/>
                <w:lang w:val="en-US"/>
              </w:rPr>
            </w:pPr>
            <w:r w:rsidRPr="00FB2719">
              <w:rPr>
                <w:bCs/>
                <w:sz w:val="22"/>
                <w:szCs w:val="22"/>
                <w:lang w:val="en-US"/>
              </w:rPr>
              <w:t>Taigi, Lopinavir/Ritonavir Sandoz vartoti kartu su salmeteroliu nerekomenduojama (žr. 4.4 skyrių).</w:t>
            </w:r>
          </w:p>
        </w:tc>
      </w:tr>
      <w:tr w:rsidR="00CA08B3" w:rsidRPr="00FB2719" w14:paraId="06E98AC6" w14:textId="77777777" w:rsidTr="0064111D">
        <w:tc>
          <w:tcPr>
            <w:tcW w:w="9016" w:type="dxa"/>
            <w:gridSpan w:val="3"/>
            <w:tcBorders>
              <w:top w:val="single" w:sz="4" w:space="0" w:color="auto"/>
              <w:left w:val="single" w:sz="4" w:space="0" w:color="auto"/>
              <w:bottom w:val="single" w:sz="4" w:space="0" w:color="auto"/>
              <w:right w:val="single" w:sz="4" w:space="0" w:color="auto"/>
            </w:tcBorders>
            <w:hideMark/>
          </w:tcPr>
          <w:p w14:paraId="42CE7EF6" w14:textId="77777777" w:rsidR="00CA08B3" w:rsidRPr="00FB2719" w:rsidRDefault="00CA08B3">
            <w:pPr>
              <w:tabs>
                <w:tab w:val="left" w:pos="567"/>
              </w:tabs>
              <w:spacing w:line="276" w:lineRule="auto"/>
              <w:jc w:val="both"/>
              <w:rPr>
                <w:bCs/>
                <w:i/>
                <w:sz w:val="22"/>
                <w:szCs w:val="22"/>
                <w:lang w:val="en-US"/>
              </w:rPr>
            </w:pPr>
            <w:r w:rsidRPr="00FB2719">
              <w:rPr>
                <w:bCs/>
                <w:i/>
                <w:sz w:val="22"/>
                <w:szCs w:val="22"/>
                <w:lang w:val="en-US"/>
              </w:rPr>
              <w:t>Kalcio kanalų blokatoriai</w:t>
            </w:r>
          </w:p>
        </w:tc>
      </w:tr>
      <w:tr w:rsidR="00CA08B3" w:rsidRPr="00FB2719" w14:paraId="7ACB1922" w14:textId="77777777" w:rsidTr="0064111D">
        <w:tc>
          <w:tcPr>
            <w:tcW w:w="3044" w:type="dxa"/>
            <w:tcBorders>
              <w:top w:val="single" w:sz="4" w:space="0" w:color="auto"/>
              <w:left w:val="single" w:sz="4" w:space="0" w:color="auto"/>
              <w:bottom w:val="single" w:sz="4" w:space="0" w:color="auto"/>
              <w:right w:val="single" w:sz="4" w:space="0" w:color="auto"/>
            </w:tcBorders>
            <w:hideMark/>
          </w:tcPr>
          <w:p w14:paraId="487D7484" w14:textId="77777777" w:rsidR="00CA08B3" w:rsidRPr="00FB2719" w:rsidRDefault="00CA08B3">
            <w:pPr>
              <w:tabs>
                <w:tab w:val="left" w:pos="567"/>
              </w:tabs>
              <w:spacing w:line="276" w:lineRule="auto"/>
              <w:rPr>
                <w:bCs/>
                <w:sz w:val="22"/>
                <w:szCs w:val="22"/>
                <w:lang w:val="en-US"/>
              </w:rPr>
            </w:pPr>
            <w:r w:rsidRPr="00FB2719">
              <w:rPr>
                <w:bCs/>
                <w:sz w:val="22"/>
                <w:szCs w:val="22"/>
                <w:lang w:val="en-US"/>
              </w:rPr>
              <w:t>Felodipinas, nifedipinas ir nikardipinas</w:t>
            </w:r>
          </w:p>
        </w:tc>
        <w:tc>
          <w:tcPr>
            <w:tcW w:w="2984" w:type="dxa"/>
            <w:tcBorders>
              <w:top w:val="single" w:sz="4" w:space="0" w:color="auto"/>
              <w:left w:val="single" w:sz="4" w:space="0" w:color="auto"/>
              <w:bottom w:val="single" w:sz="4" w:space="0" w:color="auto"/>
              <w:right w:val="single" w:sz="4" w:space="0" w:color="auto"/>
            </w:tcBorders>
            <w:hideMark/>
          </w:tcPr>
          <w:p w14:paraId="0FEBDAB3" w14:textId="77777777" w:rsidR="00CA08B3" w:rsidRPr="00FB2719" w:rsidRDefault="00CA08B3">
            <w:pPr>
              <w:tabs>
                <w:tab w:val="left" w:pos="567"/>
              </w:tabs>
              <w:spacing w:line="276" w:lineRule="auto"/>
              <w:rPr>
                <w:bCs/>
                <w:sz w:val="22"/>
                <w:szCs w:val="22"/>
                <w:lang w:val="en-US"/>
              </w:rPr>
            </w:pPr>
            <w:r w:rsidRPr="00FB2719">
              <w:rPr>
                <w:bCs/>
                <w:sz w:val="22"/>
                <w:szCs w:val="22"/>
                <w:lang w:val="en-US"/>
              </w:rPr>
              <w:t>Felodipinas, nifedipinas, nikardipinas:</w:t>
            </w:r>
          </w:p>
          <w:p w14:paraId="6631CA56" w14:textId="77777777" w:rsidR="00CA08B3" w:rsidRPr="00FB2719" w:rsidRDefault="00CA08B3">
            <w:pPr>
              <w:tabs>
                <w:tab w:val="left" w:pos="567"/>
              </w:tabs>
              <w:spacing w:line="276" w:lineRule="auto"/>
              <w:rPr>
                <w:bCs/>
                <w:sz w:val="22"/>
                <w:szCs w:val="22"/>
                <w:lang w:val="en-US"/>
              </w:rPr>
            </w:pPr>
            <w:proofErr w:type="gramStart"/>
            <w:r w:rsidRPr="00FB2719">
              <w:rPr>
                <w:bCs/>
                <w:sz w:val="22"/>
                <w:szCs w:val="22"/>
                <w:lang w:val="en-US"/>
              </w:rPr>
              <w:t>koncentracijos</w:t>
            </w:r>
            <w:proofErr w:type="gramEnd"/>
            <w:r w:rsidRPr="00FB2719">
              <w:rPr>
                <w:bCs/>
                <w:sz w:val="22"/>
                <w:szCs w:val="22"/>
                <w:lang w:val="en-US"/>
              </w:rPr>
              <w:t xml:space="preserve"> gali padidėti dėl CYP3A slopinimo lopinaviro / ritonaviro deriniu.</w:t>
            </w:r>
          </w:p>
        </w:tc>
        <w:tc>
          <w:tcPr>
            <w:tcW w:w="2988" w:type="dxa"/>
            <w:tcBorders>
              <w:top w:val="single" w:sz="4" w:space="0" w:color="auto"/>
              <w:left w:val="single" w:sz="4" w:space="0" w:color="auto"/>
              <w:bottom w:val="single" w:sz="4" w:space="0" w:color="auto"/>
              <w:right w:val="single" w:sz="4" w:space="0" w:color="auto"/>
            </w:tcBorders>
            <w:hideMark/>
          </w:tcPr>
          <w:p w14:paraId="1F2C1FC2" w14:textId="77777777" w:rsidR="00CA08B3" w:rsidRPr="00FB2719" w:rsidRDefault="00CA08B3">
            <w:pPr>
              <w:tabs>
                <w:tab w:val="left" w:pos="567"/>
              </w:tabs>
              <w:spacing w:line="276" w:lineRule="auto"/>
              <w:rPr>
                <w:bCs/>
                <w:sz w:val="22"/>
                <w:szCs w:val="22"/>
                <w:lang w:val="en-US"/>
              </w:rPr>
            </w:pPr>
            <w:r w:rsidRPr="00FB2719">
              <w:rPr>
                <w:bCs/>
                <w:sz w:val="22"/>
                <w:szCs w:val="22"/>
                <w:lang w:val="en-US"/>
              </w:rPr>
              <w:t>Šių vaistinių preparatų skiriant kartu su Lopinavir/Ritonavir Sandoz rekomenduojama stebėti gydomąjį ir nepageidaujamą poveikį.</w:t>
            </w:r>
          </w:p>
        </w:tc>
      </w:tr>
      <w:tr w:rsidR="00CA08B3" w:rsidRPr="00FB2719" w14:paraId="225010FD" w14:textId="77777777" w:rsidTr="0064111D">
        <w:tc>
          <w:tcPr>
            <w:tcW w:w="9016" w:type="dxa"/>
            <w:gridSpan w:val="3"/>
            <w:tcBorders>
              <w:top w:val="single" w:sz="4" w:space="0" w:color="auto"/>
              <w:left w:val="single" w:sz="4" w:space="0" w:color="auto"/>
              <w:bottom w:val="single" w:sz="4" w:space="0" w:color="auto"/>
              <w:right w:val="single" w:sz="4" w:space="0" w:color="auto"/>
            </w:tcBorders>
            <w:hideMark/>
          </w:tcPr>
          <w:p w14:paraId="5C902E60" w14:textId="77777777" w:rsidR="00CA08B3" w:rsidRPr="00FB2719" w:rsidRDefault="00CA08B3">
            <w:pPr>
              <w:tabs>
                <w:tab w:val="left" w:pos="567"/>
              </w:tabs>
              <w:spacing w:line="276" w:lineRule="auto"/>
              <w:jc w:val="both"/>
              <w:rPr>
                <w:bCs/>
                <w:i/>
                <w:sz w:val="22"/>
                <w:szCs w:val="22"/>
                <w:lang w:val="en-US"/>
              </w:rPr>
            </w:pPr>
            <w:r w:rsidRPr="00FB2719">
              <w:rPr>
                <w:bCs/>
                <w:i/>
                <w:sz w:val="22"/>
                <w:szCs w:val="22"/>
                <w:lang w:val="en-US"/>
              </w:rPr>
              <w:t>Kortikosteroidai</w:t>
            </w:r>
          </w:p>
        </w:tc>
      </w:tr>
      <w:tr w:rsidR="00CA08B3" w:rsidRPr="00FB2719" w14:paraId="76AAEC62" w14:textId="77777777" w:rsidTr="0064111D">
        <w:tc>
          <w:tcPr>
            <w:tcW w:w="3044" w:type="dxa"/>
            <w:tcBorders>
              <w:top w:val="single" w:sz="4" w:space="0" w:color="auto"/>
              <w:left w:val="single" w:sz="4" w:space="0" w:color="auto"/>
              <w:bottom w:val="single" w:sz="4" w:space="0" w:color="auto"/>
              <w:right w:val="single" w:sz="4" w:space="0" w:color="auto"/>
            </w:tcBorders>
            <w:hideMark/>
          </w:tcPr>
          <w:p w14:paraId="74A873E7"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Deksametazonas</w:t>
            </w:r>
          </w:p>
        </w:tc>
        <w:tc>
          <w:tcPr>
            <w:tcW w:w="2984" w:type="dxa"/>
            <w:tcBorders>
              <w:top w:val="single" w:sz="4" w:space="0" w:color="auto"/>
              <w:left w:val="single" w:sz="4" w:space="0" w:color="auto"/>
              <w:bottom w:val="single" w:sz="4" w:space="0" w:color="auto"/>
              <w:right w:val="single" w:sz="4" w:space="0" w:color="auto"/>
            </w:tcBorders>
            <w:hideMark/>
          </w:tcPr>
          <w:p w14:paraId="7D735562" w14:textId="77777777" w:rsidR="00CA08B3" w:rsidRPr="00FB2719" w:rsidRDefault="00CA08B3">
            <w:pPr>
              <w:tabs>
                <w:tab w:val="left" w:pos="567"/>
              </w:tabs>
              <w:spacing w:line="276" w:lineRule="auto"/>
              <w:rPr>
                <w:bCs/>
                <w:sz w:val="22"/>
                <w:szCs w:val="22"/>
                <w:lang w:val="en-US"/>
              </w:rPr>
            </w:pPr>
            <w:r w:rsidRPr="00FB2719">
              <w:rPr>
                <w:bCs/>
                <w:sz w:val="22"/>
                <w:szCs w:val="22"/>
                <w:lang w:val="en-US"/>
              </w:rPr>
              <w:t>Lopinaviras:</w:t>
            </w:r>
          </w:p>
          <w:p w14:paraId="4C9F832B" w14:textId="77777777" w:rsidR="00CA08B3" w:rsidRPr="00FB2719" w:rsidRDefault="00CA08B3">
            <w:pPr>
              <w:tabs>
                <w:tab w:val="left" w:pos="567"/>
              </w:tabs>
              <w:spacing w:line="276" w:lineRule="auto"/>
              <w:rPr>
                <w:bCs/>
                <w:sz w:val="22"/>
                <w:szCs w:val="22"/>
                <w:lang w:val="en-US"/>
              </w:rPr>
            </w:pPr>
            <w:proofErr w:type="gramStart"/>
            <w:r w:rsidRPr="00FB2719">
              <w:rPr>
                <w:bCs/>
                <w:sz w:val="22"/>
                <w:szCs w:val="22"/>
                <w:lang w:val="en-US"/>
              </w:rPr>
              <w:t>koncentracijos</w:t>
            </w:r>
            <w:proofErr w:type="gramEnd"/>
            <w:r w:rsidRPr="00FB2719">
              <w:rPr>
                <w:bCs/>
                <w:sz w:val="22"/>
                <w:szCs w:val="22"/>
                <w:lang w:val="en-US"/>
              </w:rPr>
              <w:t xml:space="preserve"> gali sumažėti dėl CYP3A indukavimo deksametazonu.</w:t>
            </w:r>
          </w:p>
        </w:tc>
        <w:tc>
          <w:tcPr>
            <w:tcW w:w="2988" w:type="dxa"/>
            <w:tcBorders>
              <w:top w:val="single" w:sz="4" w:space="0" w:color="auto"/>
              <w:left w:val="single" w:sz="4" w:space="0" w:color="auto"/>
              <w:bottom w:val="single" w:sz="4" w:space="0" w:color="auto"/>
              <w:right w:val="single" w:sz="4" w:space="0" w:color="auto"/>
            </w:tcBorders>
            <w:hideMark/>
          </w:tcPr>
          <w:p w14:paraId="1E77D81F" w14:textId="77777777" w:rsidR="00CA08B3" w:rsidRPr="00FB2719" w:rsidRDefault="00CA08B3">
            <w:pPr>
              <w:tabs>
                <w:tab w:val="left" w:pos="567"/>
              </w:tabs>
              <w:spacing w:line="276" w:lineRule="auto"/>
              <w:rPr>
                <w:bCs/>
                <w:sz w:val="22"/>
                <w:szCs w:val="22"/>
                <w:lang w:val="en-US"/>
              </w:rPr>
            </w:pPr>
            <w:r w:rsidRPr="00FB2719">
              <w:rPr>
                <w:bCs/>
                <w:sz w:val="22"/>
                <w:szCs w:val="22"/>
                <w:lang w:val="en-US"/>
              </w:rPr>
              <w:t>Skiriant kartu su Lopinavir/Ritonavir Sandoz rekomenduojama stebėti klinikinį antivirusinių vaistinių preparatų veiksmingumą.</w:t>
            </w:r>
          </w:p>
        </w:tc>
      </w:tr>
      <w:tr w:rsidR="00CA08B3" w:rsidRPr="00FB2719" w14:paraId="479AE09A" w14:textId="77777777" w:rsidTr="0064111D">
        <w:tc>
          <w:tcPr>
            <w:tcW w:w="3044" w:type="dxa"/>
            <w:tcBorders>
              <w:top w:val="single" w:sz="4" w:space="0" w:color="auto"/>
              <w:left w:val="single" w:sz="4" w:space="0" w:color="auto"/>
              <w:bottom w:val="single" w:sz="4" w:space="0" w:color="auto"/>
              <w:right w:val="single" w:sz="4" w:space="0" w:color="auto"/>
            </w:tcBorders>
          </w:tcPr>
          <w:p w14:paraId="7F8F9BFF" w14:textId="41DF502F" w:rsidR="00CA08B3" w:rsidRPr="00FB2719" w:rsidRDefault="00D02F71">
            <w:pPr>
              <w:tabs>
                <w:tab w:val="left" w:pos="567"/>
              </w:tabs>
              <w:spacing w:line="276" w:lineRule="auto"/>
              <w:jc w:val="both"/>
              <w:rPr>
                <w:bCs/>
                <w:sz w:val="22"/>
                <w:szCs w:val="22"/>
              </w:rPr>
            </w:pPr>
            <w:r w:rsidRPr="00FB2719">
              <w:rPr>
                <w:bCs/>
                <w:sz w:val="22"/>
                <w:szCs w:val="22"/>
              </w:rPr>
              <w:t>Inhaliuojamas, leidžiamas ar į nosį vartojamas flutikazono propionatas, budezonidas, triamcinolonas</w:t>
            </w:r>
            <w:r w:rsidRPr="00FB2719" w:rsidDel="00D02F71">
              <w:rPr>
                <w:bCs/>
                <w:sz w:val="22"/>
                <w:szCs w:val="22"/>
              </w:rPr>
              <w:t xml:space="preserve"> </w:t>
            </w:r>
          </w:p>
          <w:p w14:paraId="436071FC" w14:textId="77777777" w:rsidR="00CA08B3" w:rsidRPr="00FB2719" w:rsidRDefault="00CA08B3" w:rsidP="0025420A">
            <w:pPr>
              <w:tabs>
                <w:tab w:val="left" w:pos="567"/>
              </w:tabs>
              <w:spacing w:line="276" w:lineRule="auto"/>
              <w:jc w:val="both"/>
              <w:rPr>
                <w:bCs/>
                <w:sz w:val="22"/>
                <w:szCs w:val="22"/>
                <w:lang w:val="en-US"/>
              </w:rPr>
            </w:pPr>
            <w:r w:rsidRPr="00FB2719">
              <w:rPr>
                <w:bCs/>
                <w:sz w:val="22"/>
                <w:szCs w:val="22"/>
                <w:lang w:val="en-US"/>
              </w:rPr>
              <w:t>(100</w:t>
            </w:r>
            <w:r w:rsidR="0025420A" w:rsidRPr="00FB2719">
              <w:rPr>
                <w:bCs/>
                <w:sz w:val="22"/>
                <w:szCs w:val="22"/>
                <w:lang w:val="en-US"/>
              </w:rPr>
              <w:t> </w:t>
            </w:r>
            <w:r w:rsidRPr="00FB2719">
              <w:rPr>
                <w:bCs/>
                <w:sz w:val="22"/>
                <w:szCs w:val="22"/>
                <w:lang w:val="en-US"/>
              </w:rPr>
              <w:t>mg ritonaviro BID)</w:t>
            </w:r>
          </w:p>
        </w:tc>
        <w:tc>
          <w:tcPr>
            <w:tcW w:w="2984" w:type="dxa"/>
            <w:tcBorders>
              <w:top w:val="single" w:sz="4" w:space="0" w:color="auto"/>
              <w:left w:val="single" w:sz="4" w:space="0" w:color="auto"/>
              <w:bottom w:val="single" w:sz="4" w:space="0" w:color="auto"/>
              <w:right w:val="single" w:sz="4" w:space="0" w:color="auto"/>
            </w:tcBorders>
            <w:hideMark/>
          </w:tcPr>
          <w:p w14:paraId="66019D32" w14:textId="77777777" w:rsidR="00CA08B3" w:rsidRPr="00FB2719" w:rsidRDefault="00CA08B3">
            <w:pPr>
              <w:tabs>
                <w:tab w:val="left" w:pos="567"/>
              </w:tabs>
              <w:spacing w:line="276" w:lineRule="auto"/>
              <w:rPr>
                <w:bCs/>
                <w:sz w:val="22"/>
                <w:szCs w:val="22"/>
                <w:lang w:val="en-US"/>
              </w:rPr>
            </w:pPr>
            <w:r w:rsidRPr="00FB2719">
              <w:rPr>
                <w:bCs/>
                <w:sz w:val="22"/>
                <w:szCs w:val="22"/>
                <w:lang w:val="en-US"/>
              </w:rPr>
              <w:t>Flutikazono propionatas:</w:t>
            </w:r>
            <w:r w:rsidR="00BE6A56" w:rsidRPr="00FB2719">
              <w:rPr>
                <w:bCs/>
                <w:sz w:val="22"/>
                <w:szCs w:val="22"/>
                <w:lang w:val="en-US"/>
              </w:rPr>
              <w:t xml:space="preserve"> 50 mikrogramų į nosį 4 kartus per parą </w:t>
            </w:r>
          </w:p>
          <w:p w14:paraId="66F88065" w14:textId="2AF54EB3" w:rsidR="00CA08B3" w:rsidRPr="00FB2719" w:rsidRDefault="00BE6A56">
            <w:pPr>
              <w:tabs>
                <w:tab w:val="left" w:pos="567"/>
              </w:tabs>
              <w:spacing w:line="276" w:lineRule="auto"/>
              <w:rPr>
                <w:bCs/>
                <w:sz w:val="22"/>
                <w:szCs w:val="22"/>
                <w:lang w:val="en-US"/>
              </w:rPr>
            </w:pPr>
            <w:r w:rsidRPr="00FB2719">
              <w:rPr>
                <w:bCs/>
                <w:sz w:val="22"/>
                <w:szCs w:val="22"/>
                <w:lang w:val="en-US"/>
              </w:rPr>
              <w:t xml:space="preserve">Plazmos koncentracija </w:t>
            </w:r>
            <w:r w:rsidR="00CA08B3" w:rsidRPr="00FB2719">
              <w:rPr>
                <w:bCs/>
                <w:sz w:val="22"/>
                <w:szCs w:val="22"/>
                <w:lang w:val="en-US"/>
              </w:rPr>
              <w:t>↑</w:t>
            </w:r>
          </w:p>
          <w:p w14:paraId="66629ED8" w14:textId="1FD8F562" w:rsidR="00CA08B3" w:rsidRPr="00FB2719" w:rsidRDefault="00BE6A56">
            <w:pPr>
              <w:tabs>
                <w:tab w:val="left" w:pos="567"/>
              </w:tabs>
              <w:spacing w:line="276" w:lineRule="auto"/>
              <w:rPr>
                <w:bCs/>
                <w:sz w:val="22"/>
                <w:szCs w:val="22"/>
                <w:lang w:val="en-US"/>
              </w:rPr>
            </w:pPr>
            <w:r w:rsidRPr="00FB2719">
              <w:rPr>
                <w:bCs/>
                <w:sz w:val="22"/>
                <w:szCs w:val="22"/>
                <w:lang w:val="en-US"/>
              </w:rPr>
              <w:t xml:space="preserve">Kortizolio </w:t>
            </w:r>
            <w:r w:rsidR="00CA08B3" w:rsidRPr="00FB2719">
              <w:rPr>
                <w:bCs/>
                <w:sz w:val="22"/>
                <w:szCs w:val="22"/>
                <w:lang w:val="en-US"/>
              </w:rPr>
              <w:t>lygis ↓ 86 %</w:t>
            </w:r>
          </w:p>
        </w:tc>
        <w:tc>
          <w:tcPr>
            <w:tcW w:w="2988"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772"/>
            </w:tblGrid>
            <w:tr w:rsidR="00CA08B3" w:rsidRPr="00FB2719" w14:paraId="4A8A2D94" w14:textId="77777777">
              <w:trPr>
                <w:trHeight w:val="3819"/>
              </w:trPr>
              <w:tc>
                <w:tcPr>
                  <w:tcW w:w="0" w:type="auto"/>
                  <w:tcBorders>
                    <w:top w:val="nil"/>
                    <w:left w:val="nil"/>
                    <w:bottom w:val="nil"/>
                    <w:right w:val="nil"/>
                  </w:tcBorders>
                  <w:hideMark/>
                </w:tcPr>
                <w:p w14:paraId="7074C3D8" w14:textId="77777777" w:rsidR="00CA08B3" w:rsidRPr="00FB2719" w:rsidRDefault="00CA08B3">
                  <w:pPr>
                    <w:autoSpaceDE w:val="0"/>
                    <w:autoSpaceDN w:val="0"/>
                    <w:adjustRightInd w:val="0"/>
                    <w:spacing w:line="276" w:lineRule="auto"/>
                    <w:rPr>
                      <w:rFonts w:eastAsia="Calibri"/>
                      <w:color w:val="000000"/>
                      <w:sz w:val="22"/>
                      <w:szCs w:val="22"/>
                      <w:lang w:val="it-IT" w:eastAsia="lt-LT"/>
                    </w:rPr>
                  </w:pPr>
                  <w:r w:rsidRPr="00FB2719">
                    <w:rPr>
                      <w:rFonts w:eastAsia="Calibri"/>
                      <w:color w:val="000000"/>
                      <w:sz w:val="22"/>
                      <w:szCs w:val="22"/>
                      <w:lang w:val="it-IT" w:eastAsia="lt-LT"/>
                    </w:rPr>
                    <w:t>Kai flutikazono propionato inhaliuota, galima tikėtis stipresnio poveikio. Sisteminis kortikosteroidų poveikis, įskaitant Kušingo (</w:t>
                  </w:r>
                  <w:r w:rsidRPr="00FB2719">
                    <w:rPr>
                      <w:rFonts w:eastAsia="Calibri"/>
                      <w:i/>
                      <w:color w:val="000000"/>
                      <w:sz w:val="22"/>
                      <w:szCs w:val="22"/>
                      <w:lang w:val="it-IT" w:eastAsia="lt-LT"/>
                    </w:rPr>
                    <w:t>Cushing</w:t>
                  </w:r>
                  <w:r w:rsidRPr="00FB2719">
                    <w:rPr>
                      <w:rFonts w:eastAsia="Calibri"/>
                      <w:color w:val="000000"/>
                      <w:sz w:val="22"/>
                      <w:szCs w:val="22"/>
                      <w:lang w:val="it-IT" w:eastAsia="lt-LT"/>
                    </w:rPr>
                    <w:t>) sindromą ir antinksčių slopinimą, buvo pastebėtas pacientams, kurie buvo gydomi ritonaviru ir inhaliuojamu ar į nosį vartojamu flutikazono propionatu; tai taip pat gali pasireikšti ir vartojant kitų kortikosteroidų, kurie metabolizuojami dalyvaujant P450 3A, pvz.: budezonido</w:t>
                  </w:r>
                  <w:r w:rsidR="00BE6A56" w:rsidRPr="00FB2719">
                    <w:rPr>
                      <w:rFonts w:eastAsia="Calibri"/>
                      <w:color w:val="000000"/>
                      <w:sz w:val="22"/>
                      <w:szCs w:val="22"/>
                      <w:lang w:val="it-IT" w:eastAsia="lt-LT"/>
                    </w:rPr>
                    <w:t xml:space="preserve"> ir triamcinolono</w:t>
                  </w:r>
                  <w:r w:rsidRPr="00FB2719">
                    <w:rPr>
                      <w:rFonts w:eastAsia="Calibri"/>
                      <w:color w:val="000000"/>
                      <w:sz w:val="22"/>
                      <w:szCs w:val="22"/>
                      <w:lang w:val="it-IT" w:eastAsia="lt-LT"/>
                    </w:rPr>
                    <w:t xml:space="preserve">. Taigi, Lopinavir/Ritonavir Sandoz ir minėtų gliukokortikoidų vartoti kartu nerekomenduojama, nebent galima gydymo nauda yra </w:t>
                  </w:r>
                  <w:r w:rsidRPr="00FB2719">
                    <w:rPr>
                      <w:rFonts w:eastAsia="Calibri"/>
                      <w:color w:val="000000"/>
                      <w:sz w:val="22"/>
                      <w:szCs w:val="22"/>
                      <w:lang w:val="it-IT" w:eastAsia="lt-LT"/>
                    </w:rPr>
                    <w:lastRenderedPageBreak/>
                    <w:t>didesnė už sisteminio kortikosteroidų poveikio riziką (žr. 4.4 skyrių). Turi būti apsvarstyta, ar nereikia mažinti gliukokortikoido dozės atidžiai stebint lokalų ir sisteminį poveikį, arba pereiti prie gliukokortikoido, kuris nėra CYP3A4 substratas (pvz.: beklometazono). Be to, nutraukiant gydymą gliukokortikoidais, progresyvus dozės mažinimas turi būti atliktas per ilgesnį laiką.</w:t>
                  </w:r>
                </w:p>
              </w:tc>
            </w:tr>
          </w:tbl>
          <w:p w14:paraId="32036733" w14:textId="77777777" w:rsidR="00CA08B3" w:rsidRPr="00FB2719" w:rsidRDefault="00CA08B3">
            <w:pPr>
              <w:tabs>
                <w:tab w:val="left" w:pos="567"/>
              </w:tabs>
              <w:spacing w:line="276" w:lineRule="auto"/>
              <w:rPr>
                <w:bCs/>
                <w:sz w:val="22"/>
                <w:szCs w:val="22"/>
                <w:lang w:val="it-IT"/>
              </w:rPr>
            </w:pPr>
          </w:p>
        </w:tc>
      </w:tr>
      <w:tr w:rsidR="00CA08B3" w:rsidRPr="00FB2719" w14:paraId="79B3C878" w14:textId="77777777" w:rsidTr="0064111D">
        <w:tc>
          <w:tcPr>
            <w:tcW w:w="9016" w:type="dxa"/>
            <w:gridSpan w:val="3"/>
            <w:tcBorders>
              <w:top w:val="single" w:sz="4" w:space="0" w:color="auto"/>
              <w:left w:val="single" w:sz="4" w:space="0" w:color="auto"/>
              <w:bottom w:val="single" w:sz="4" w:space="0" w:color="auto"/>
              <w:right w:val="single" w:sz="4" w:space="0" w:color="auto"/>
            </w:tcBorders>
            <w:hideMark/>
          </w:tcPr>
          <w:p w14:paraId="1BA73BF4" w14:textId="77777777" w:rsidR="00CA08B3" w:rsidRPr="00FB2719" w:rsidRDefault="00CA08B3">
            <w:pPr>
              <w:tabs>
                <w:tab w:val="left" w:pos="567"/>
              </w:tabs>
              <w:spacing w:line="276" w:lineRule="auto"/>
              <w:rPr>
                <w:bCs/>
                <w:i/>
                <w:sz w:val="22"/>
                <w:szCs w:val="22"/>
                <w:lang w:val="en-US"/>
              </w:rPr>
            </w:pPr>
            <w:r w:rsidRPr="00FB2719">
              <w:rPr>
                <w:bCs/>
                <w:i/>
                <w:sz w:val="22"/>
                <w:szCs w:val="22"/>
                <w:lang w:val="en-US"/>
              </w:rPr>
              <w:lastRenderedPageBreak/>
              <w:t>Fosfodiesterazės (FDE5) inhibitoriai</w:t>
            </w:r>
          </w:p>
        </w:tc>
      </w:tr>
      <w:tr w:rsidR="00CA08B3" w:rsidRPr="00FB2719" w14:paraId="327297B8" w14:textId="77777777" w:rsidTr="0064111D">
        <w:tc>
          <w:tcPr>
            <w:tcW w:w="3044" w:type="dxa"/>
            <w:tcBorders>
              <w:top w:val="single" w:sz="4" w:space="0" w:color="auto"/>
              <w:left w:val="single" w:sz="4" w:space="0" w:color="auto"/>
              <w:bottom w:val="single" w:sz="4" w:space="0" w:color="auto"/>
              <w:right w:val="single" w:sz="4" w:space="0" w:color="auto"/>
            </w:tcBorders>
            <w:hideMark/>
          </w:tcPr>
          <w:p w14:paraId="011E92B7" w14:textId="77777777" w:rsidR="00CA08B3" w:rsidRPr="00FB2719" w:rsidRDefault="00CA08B3" w:rsidP="0025420A">
            <w:pPr>
              <w:tabs>
                <w:tab w:val="left" w:pos="567"/>
              </w:tabs>
              <w:spacing w:line="276" w:lineRule="auto"/>
              <w:jc w:val="both"/>
              <w:rPr>
                <w:bCs/>
                <w:sz w:val="22"/>
                <w:szCs w:val="22"/>
                <w:lang w:val="en-US"/>
              </w:rPr>
            </w:pPr>
            <w:r w:rsidRPr="00FB2719">
              <w:rPr>
                <w:bCs/>
                <w:sz w:val="22"/>
                <w:szCs w:val="22"/>
                <w:lang w:val="en-US"/>
              </w:rPr>
              <w:t>Avanafilis (kartu su 600</w:t>
            </w:r>
            <w:r w:rsidR="0025420A" w:rsidRPr="00FB2719">
              <w:rPr>
                <w:bCs/>
                <w:sz w:val="22"/>
                <w:szCs w:val="22"/>
                <w:lang w:val="en-US"/>
              </w:rPr>
              <w:t> </w:t>
            </w:r>
            <w:r w:rsidRPr="00FB2719">
              <w:rPr>
                <w:bCs/>
                <w:sz w:val="22"/>
                <w:szCs w:val="22"/>
                <w:lang w:val="en-US"/>
              </w:rPr>
              <w:t>mg ritonaviro du kartus per parą)</w:t>
            </w:r>
          </w:p>
        </w:tc>
        <w:tc>
          <w:tcPr>
            <w:tcW w:w="2984" w:type="dxa"/>
            <w:tcBorders>
              <w:top w:val="single" w:sz="4" w:space="0" w:color="auto"/>
              <w:left w:val="single" w:sz="4" w:space="0" w:color="auto"/>
              <w:bottom w:val="single" w:sz="4" w:space="0" w:color="auto"/>
              <w:right w:val="single" w:sz="4" w:space="0" w:color="auto"/>
            </w:tcBorders>
            <w:hideMark/>
          </w:tcPr>
          <w:p w14:paraId="0CEF3859" w14:textId="77777777" w:rsidR="00CA08B3" w:rsidRPr="00FB2719" w:rsidRDefault="00CA08B3">
            <w:pPr>
              <w:tabs>
                <w:tab w:val="left" w:pos="567"/>
              </w:tabs>
              <w:spacing w:line="276" w:lineRule="auto"/>
              <w:rPr>
                <w:bCs/>
                <w:sz w:val="22"/>
                <w:szCs w:val="22"/>
                <w:lang w:val="en-US"/>
              </w:rPr>
            </w:pPr>
            <w:r w:rsidRPr="00FB2719">
              <w:rPr>
                <w:bCs/>
                <w:sz w:val="22"/>
                <w:szCs w:val="22"/>
                <w:lang w:val="en-US"/>
              </w:rPr>
              <w:t>Avanafilis:</w:t>
            </w:r>
          </w:p>
          <w:p w14:paraId="505154D8" w14:textId="77777777" w:rsidR="00CA08B3" w:rsidRPr="00FB2719" w:rsidRDefault="00CA08B3">
            <w:pPr>
              <w:tabs>
                <w:tab w:val="left" w:pos="567"/>
              </w:tabs>
              <w:spacing w:line="276" w:lineRule="auto"/>
              <w:rPr>
                <w:bCs/>
                <w:sz w:val="22"/>
                <w:szCs w:val="22"/>
                <w:lang w:val="en-US"/>
              </w:rPr>
            </w:pPr>
            <w:r w:rsidRPr="00FB2719">
              <w:rPr>
                <w:bCs/>
                <w:sz w:val="22"/>
                <w:szCs w:val="22"/>
                <w:lang w:val="en-US"/>
              </w:rPr>
              <w:t>AUC: ↑ 13</w:t>
            </w:r>
            <w:r w:rsidR="0025420A" w:rsidRPr="00FB2719">
              <w:rPr>
                <w:bCs/>
                <w:sz w:val="22"/>
                <w:szCs w:val="22"/>
                <w:lang w:val="en-US"/>
              </w:rPr>
              <w:t> </w:t>
            </w:r>
            <w:r w:rsidRPr="00FB2719">
              <w:rPr>
                <w:bCs/>
                <w:sz w:val="22"/>
                <w:szCs w:val="22"/>
                <w:lang w:val="en-US"/>
              </w:rPr>
              <w:t>kartų</w:t>
            </w:r>
          </w:p>
          <w:p w14:paraId="5B30D5BF" w14:textId="77777777" w:rsidR="00CA08B3" w:rsidRPr="00FB2719" w:rsidRDefault="00CA08B3">
            <w:pPr>
              <w:tabs>
                <w:tab w:val="left" w:pos="567"/>
              </w:tabs>
              <w:spacing w:line="276" w:lineRule="auto"/>
              <w:rPr>
                <w:bCs/>
                <w:sz w:val="22"/>
                <w:szCs w:val="22"/>
                <w:lang w:val="it-IT"/>
              </w:rPr>
            </w:pPr>
            <w:r w:rsidRPr="00FB2719">
              <w:rPr>
                <w:bCs/>
                <w:sz w:val="22"/>
                <w:szCs w:val="22"/>
                <w:lang w:val="it-IT"/>
              </w:rPr>
              <w:t>dėl CYP3A slopinimo lopinaviro / ritonaviro deriniu.</w:t>
            </w:r>
          </w:p>
        </w:tc>
        <w:tc>
          <w:tcPr>
            <w:tcW w:w="2988" w:type="dxa"/>
            <w:tcBorders>
              <w:top w:val="single" w:sz="4" w:space="0" w:color="auto"/>
              <w:left w:val="single" w:sz="4" w:space="0" w:color="auto"/>
              <w:bottom w:val="single" w:sz="4" w:space="0" w:color="auto"/>
              <w:right w:val="single" w:sz="4" w:space="0" w:color="auto"/>
            </w:tcBorders>
            <w:hideMark/>
          </w:tcPr>
          <w:p w14:paraId="7B84D880" w14:textId="77777777" w:rsidR="00CA08B3" w:rsidRPr="00FB2719" w:rsidRDefault="00CA08B3">
            <w:pPr>
              <w:tabs>
                <w:tab w:val="left" w:pos="567"/>
              </w:tabs>
              <w:spacing w:line="276" w:lineRule="auto"/>
              <w:rPr>
                <w:bCs/>
                <w:sz w:val="22"/>
                <w:szCs w:val="22"/>
                <w:lang w:val="it-IT"/>
              </w:rPr>
            </w:pPr>
            <w:r w:rsidRPr="00FB2719">
              <w:rPr>
                <w:bCs/>
                <w:sz w:val="22"/>
                <w:szCs w:val="22"/>
                <w:lang w:val="it-IT"/>
              </w:rPr>
              <w:t>Avanafilio vartoti kartu su Lopinavir/Ritonavir Sandoz draudžiama (žr. 4.3 skyrių).</w:t>
            </w:r>
          </w:p>
        </w:tc>
      </w:tr>
      <w:tr w:rsidR="00CA08B3" w:rsidRPr="00FB2719" w14:paraId="72C4543E" w14:textId="77777777" w:rsidTr="0064111D">
        <w:tc>
          <w:tcPr>
            <w:tcW w:w="3044" w:type="dxa"/>
            <w:tcBorders>
              <w:top w:val="single" w:sz="4" w:space="0" w:color="auto"/>
              <w:left w:val="single" w:sz="4" w:space="0" w:color="auto"/>
              <w:bottom w:val="single" w:sz="4" w:space="0" w:color="auto"/>
              <w:right w:val="single" w:sz="4" w:space="0" w:color="auto"/>
            </w:tcBorders>
            <w:hideMark/>
          </w:tcPr>
          <w:p w14:paraId="71333300"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Tadalafilis</w:t>
            </w:r>
          </w:p>
        </w:tc>
        <w:tc>
          <w:tcPr>
            <w:tcW w:w="2984" w:type="dxa"/>
            <w:tcBorders>
              <w:top w:val="single" w:sz="4" w:space="0" w:color="auto"/>
              <w:left w:val="single" w:sz="4" w:space="0" w:color="auto"/>
              <w:bottom w:val="single" w:sz="4" w:space="0" w:color="auto"/>
              <w:right w:val="single" w:sz="4" w:space="0" w:color="auto"/>
            </w:tcBorders>
            <w:hideMark/>
          </w:tcPr>
          <w:p w14:paraId="543879F0" w14:textId="77777777" w:rsidR="00CA08B3" w:rsidRPr="00FB2719" w:rsidRDefault="00CA08B3">
            <w:pPr>
              <w:tabs>
                <w:tab w:val="left" w:pos="567"/>
              </w:tabs>
              <w:spacing w:line="276" w:lineRule="auto"/>
              <w:rPr>
                <w:bCs/>
                <w:sz w:val="22"/>
                <w:szCs w:val="22"/>
                <w:lang w:val="en-US"/>
              </w:rPr>
            </w:pPr>
            <w:r w:rsidRPr="00FB2719">
              <w:rPr>
                <w:bCs/>
                <w:sz w:val="22"/>
                <w:szCs w:val="22"/>
                <w:lang w:val="en-US"/>
              </w:rPr>
              <w:t>Tadalafilis:</w:t>
            </w:r>
          </w:p>
          <w:p w14:paraId="15AADE9B" w14:textId="77777777" w:rsidR="00CA08B3" w:rsidRPr="00FB2719" w:rsidRDefault="00CA08B3">
            <w:pPr>
              <w:tabs>
                <w:tab w:val="left" w:pos="567"/>
              </w:tabs>
              <w:spacing w:line="276" w:lineRule="auto"/>
              <w:rPr>
                <w:bCs/>
                <w:sz w:val="22"/>
                <w:szCs w:val="22"/>
                <w:lang w:val="en-US"/>
              </w:rPr>
            </w:pPr>
            <w:r w:rsidRPr="00FB2719">
              <w:rPr>
                <w:bCs/>
                <w:sz w:val="22"/>
                <w:szCs w:val="22"/>
                <w:lang w:val="en-US"/>
              </w:rPr>
              <w:t>AUC: ↑ 2 kartus</w:t>
            </w:r>
          </w:p>
          <w:p w14:paraId="572AA1CB" w14:textId="77777777" w:rsidR="00CA08B3" w:rsidRPr="00FB2719" w:rsidRDefault="00CA08B3">
            <w:pPr>
              <w:tabs>
                <w:tab w:val="left" w:pos="567"/>
              </w:tabs>
              <w:spacing w:line="276" w:lineRule="auto"/>
              <w:rPr>
                <w:bCs/>
                <w:sz w:val="22"/>
                <w:szCs w:val="22"/>
                <w:lang w:val="it-IT"/>
              </w:rPr>
            </w:pPr>
            <w:r w:rsidRPr="00FB2719">
              <w:rPr>
                <w:bCs/>
                <w:sz w:val="22"/>
                <w:szCs w:val="22"/>
                <w:lang w:val="it-IT"/>
              </w:rPr>
              <w:t>dėl CYP3A4 s</w:t>
            </w:r>
            <w:r w:rsidR="000B09F0" w:rsidRPr="00FB2719">
              <w:rPr>
                <w:bCs/>
                <w:sz w:val="22"/>
                <w:szCs w:val="22"/>
                <w:lang w:val="it-IT"/>
              </w:rPr>
              <w:t>l</w:t>
            </w:r>
            <w:r w:rsidRPr="00FB2719">
              <w:rPr>
                <w:bCs/>
                <w:sz w:val="22"/>
                <w:szCs w:val="22"/>
                <w:lang w:val="it-IT"/>
              </w:rPr>
              <w:t>opinimo lopinaviro / ritonaviro deriniu.</w:t>
            </w:r>
          </w:p>
        </w:tc>
        <w:tc>
          <w:tcPr>
            <w:tcW w:w="2988" w:type="dxa"/>
            <w:tcBorders>
              <w:top w:val="single" w:sz="4" w:space="0" w:color="auto"/>
              <w:left w:val="single" w:sz="4" w:space="0" w:color="auto"/>
              <w:bottom w:val="nil"/>
              <w:right w:val="single" w:sz="4" w:space="0" w:color="auto"/>
            </w:tcBorders>
            <w:hideMark/>
          </w:tcPr>
          <w:p w14:paraId="198DDF83" w14:textId="77777777" w:rsidR="00CA08B3" w:rsidRPr="00FB2719" w:rsidRDefault="00CA08B3">
            <w:pPr>
              <w:tabs>
                <w:tab w:val="left" w:pos="567"/>
              </w:tabs>
              <w:spacing w:line="276" w:lineRule="auto"/>
              <w:rPr>
                <w:bCs/>
                <w:sz w:val="22"/>
                <w:szCs w:val="22"/>
                <w:lang w:val="en-US"/>
              </w:rPr>
            </w:pPr>
            <w:r w:rsidRPr="00FB2719">
              <w:rPr>
                <w:bCs/>
                <w:sz w:val="22"/>
                <w:szCs w:val="22"/>
                <w:u w:val="single"/>
                <w:lang w:val="it-IT"/>
              </w:rPr>
              <w:t>Gydant plautinę arterinę hipertenziją</w:t>
            </w:r>
            <w:r w:rsidRPr="00FB2719">
              <w:rPr>
                <w:bCs/>
                <w:sz w:val="22"/>
                <w:szCs w:val="22"/>
                <w:lang w:val="it-IT"/>
              </w:rPr>
              <w:t xml:space="preserve">: Lopinavir/Ritonavir Sandoz skirti kartu su sildenafiliu draudžiama (žr. 4.3 skyrių). </w:t>
            </w:r>
            <w:r w:rsidRPr="00FB2719">
              <w:rPr>
                <w:bCs/>
                <w:sz w:val="22"/>
                <w:szCs w:val="22"/>
                <w:lang w:val="en-US"/>
              </w:rPr>
              <w:t>Lopinavir/Ritonavir Sandoz skirti kartu su tadalafiliu nerekomenduojama.</w:t>
            </w:r>
          </w:p>
        </w:tc>
      </w:tr>
      <w:tr w:rsidR="00CA08B3" w:rsidRPr="00FB2719" w14:paraId="7AEC9D46" w14:textId="77777777" w:rsidTr="0064111D">
        <w:tc>
          <w:tcPr>
            <w:tcW w:w="3044" w:type="dxa"/>
            <w:tcBorders>
              <w:top w:val="single" w:sz="4" w:space="0" w:color="auto"/>
              <w:left w:val="single" w:sz="4" w:space="0" w:color="auto"/>
              <w:bottom w:val="single" w:sz="4" w:space="0" w:color="auto"/>
              <w:right w:val="single" w:sz="4" w:space="0" w:color="auto"/>
            </w:tcBorders>
            <w:hideMark/>
          </w:tcPr>
          <w:p w14:paraId="70E0BC71"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Sildenafilis</w:t>
            </w:r>
          </w:p>
        </w:tc>
        <w:tc>
          <w:tcPr>
            <w:tcW w:w="2984" w:type="dxa"/>
            <w:tcBorders>
              <w:top w:val="single" w:sz="4" w:space="0" w:color="auto"/>
              <w:left w:val="single" w:sz="4" w:space="0" w:color="auto"/>
              <w:bottom w:val="single" w:sz="4" w:space="0" w:color="auto"/>
              <w:right w:val="single" w:sz="4" w:space="0" w:color="auto"/>
            </w:tcBorders>
            <w:hideMark/>
          </w:tcPr>
          <w:p w14:paraId="78AA26DF" w14:textId="77777777" w:rsidR="00CA08B3" w:rsidRPr="00FB2719" w:rsidRDefault="00CA08B3">
            <w:pPr>
              <w:tabs>
                <w:tab w:val="left" w:pos="567"/>
              </w:tabs>
              <w:spacing w:line="276" w:lineRule="auto"/>
              <w:rPr>
                <w:bCs/>
                <w:sz w:val="22"/>
                <w:szCs w:val="22"/>
                <w:lang w:val="en-US"/>
              </w:rPr>
            </w:pPr>
            <w:r w:rsidRPr="00FB2719">
              <w:rPr>
                <w:bCs/>
                <w:sz w:val="22"/>
                <w:szCs w:val="22"/>
                <w:lang w:val="en-US"/>
              </w:rPr>
              <w:t>Sildenafilis:</w:t>
            </w:r>
          </w:p>
          <w:p w14:paraId="32A2218A" w14:textId="77777777" w:rsidR="00CA08B3" w:rsidRPr="00FB2719" w:rsidRDefault="00CA08B3">
            <w:pPr>
              <w:tabs>
                <w:tab w:val="left" w:pos="567"/>
              </w:tabs>
              <w:spacing w:line="276" w:lineRule="auto"/>
              <w:rPr>
                <w:bCs/>
                <w:sz w:val="22"/>
                <w:szCs w:val="22"/>
                <w:lang w:val="en-US"/>
              </w:rPr>
            </w:pPr>
            <w:r w:rsidRPr="00FB2719">
              <w:rPr>
                <w:bCs/>
                <w:sz w:val="22"/>
                <w:szCs w:val="22"/>
                <w:lang w:val="en-US"/>
              </w:rPr>
              <w:t>AUC: ↑ 11</w:t>
            </w:r>
            <w:r w:rsidR="0025420A" w:rsidRPr="00FB2719">
              <w:rPr>
                <w:bCs/>
                <w:sz w:val="22"/>
                <w:szCs w:val="22"/>
                <w:lang w:val="en-US"/>
              </w:rPr>
              <w:t> </w:t>
            </w:r>
            <w:r w:rsidRPr="00FB2719">
              <w:rPr>
                <w:bCs/>
                <w:sz w:val="22"/>
                <w:szCs w:val="22"/>
                <w:lang w:val="en-US"/>
              </w:rPr>
              <w:t>kartų</w:t>
            </w:r>
          </w:p>
          <w:p w14:paraId="10ED6D99" w14:textId="77777777" w:rsidR="00CA08B3" w:rsidRPr="00FB2719" w:rsidRDefault="00CA08B3">
            <w:pPr>
              <w:tabs>
                <w:tab w:val="left" w:pos="567"/>
              </w:tabs>
              <w:spacing w:line="276" w:lineRule="auto"/>
              <w:rPr>
                <w:bCs/>
                <w:sz w:val="22"/>
                <w:szCs w:val="22"/>
                <w:lang w:val="en-US"/>
              </w:rPr>
            </w:pPr>
            <w:proofErr w:type="gramStart"/>
            <w:r w:rsidRPr="00FB2719">
              <w:rPr>
                <w:bCs/>
                <w:sz w:val="22"/>
                <w:szCs w:val="22"/>
                <w:lang w:val="en-US"/>
              </w:rPr>
              <w:t>dėl</w:t>
            </w:r>
            <w:proofErr w:type="gramEnd"/>
            <w:r w:rsidRPr="00FB2719">
              <w:rPr>
                <w:bCs/>
                <w:sz w:val="22"/>
                <w:szCs w:val="22"/>
                <w:lang w:val="en-US"/>
              </w:rPr>
              <w:t xml:space="preserve"> CYP3A slopinimo lopinaviro / ritonaviro deriniu.</w:t>
            </w:r>
          </w:p>
        </w:tc>
        <w:tc>
          <w:tcPr>
            <w:tcW w:w="2988" w:type="dxa"/>
            <w:tcBorders>
              <w:top w:val="nil"/>
              <w:left w:val="single" w:sz="4" w:space="0" w:color="auto"/>
              <w:bottom w:val="single" w:sz="4" w:space="0" w:color="auto"/>
              <w:right w:val="single" w:sz="4" w:space="0" w:color="auto"/>
            </w:tcBorders>
            <w:hideMark/>
          </w:tcPr>
          <w:p w14:paraId="7F923E7A" w14:textId="77777777" w:rsidR="00CA08B3" w:rsidRPr="00FB2719" w:rsidRDefault="00CA08B3">
            <w:pPr>
              <w:tabs>
                <w:tab w:val="left" w:pos="567"/>
              </w:tabs>
              <w:spacing w:line="276" w:lineRule="auto"/>
              <w:rPr>
                <w:bCs/>
                <w:sz w:val="22"/>
                <w:szCs w:val="22"/>
                <w:lang w:val="en-US"/>
              </w:rPr>
            </w:pPr>
            <w:r w:rsidRPr="00FB2719">
              <w:rPr>
                <w:bCs/>
                <w:sz w:val="22"/>
                <w:szCs w:val="22"/>
                <w:u w:val="single"/>
                <w:lang w:val="en-US"/>
              </w:rPr>
              <w:t>Vartojant nuo erekcijos sutrikimų</w:t>
            </w:r>
            <w:r w:rsidRPr="00FB2719">
              <w:rPr>
                <w:bCs/>
                <w:sz w:val="22"/>
                <w:szCs w:val="22"/>
                <w:lang w:val="en-US"/>
              </w:rPr>
              <w:t>: reikalinga laikytis ypatingo atsargumo skiriant sildenafilio ar tadalafilio pacientams, kurie gydomi Lopinavir / Ritonavir Sandoz. Tokiu atveju reikia atidžiau stebėti dėl galimų nepageidaujamų reiškinių, įskaitant hipotenziją, alpimą, regos pakitimus ir pailgėjusią erekciją (žr.4.4 skyrių).</w:t>
            </w:r>
          </w:p>
          <w:p w14:paraId="2873BB7E" w14:textId="77777777" w:rsidR="00CA08B3" w:rsidRPr="00FB2719" w:rsidRDefault="00CA08B3" w:rsidP="0025420A">
            <w:pPr>
              <w:tabs>
                <w:tab w:val="left" w:pos="567"/>
              </w:tabs>
              <w:spacing w:line="276" w:lineRule="auto"/>
              <w:rPr>
                <w:bCs/>
                <w:sz w:val="22"/>
                <w:szCs w:val="22"/>
                <w:lang w:val="en-US"/>
              </w:rPr>
            </w:pPr>
            <w:r w:rsidRPr="00FB2719">
              <w:rPr>
                <w:bCs/>
                <w:sz w:val="22"/>
                <w:szCs w:val="22"/>
                <w:lang w:val="en-US"/>
              </w:rPr>
              <w:t>Kartu su Lopinavir/Ritonavir Sandoz skiriant sildenafilio, jo dozė turi neviršyti 25 mg per 48</w:t>
            </w:r>
            <w:r w:rsidR="0025420A" w:rsidRPr="00FB2719">
              <w:rPr>
                <w:bCs/>
                <w:sz w:val="22"/>
                <w:szCs w:val="22"/>
                <w:lang w:val="en-US"/>
              </w:rPr>
              <w:t> </w:t>
            </w:r>
            <w:r w:rsidRPr="00FB2719">
              <w:rPr>
                <w:bCs/>
                <w:sz w:val="22"/>
                <w:szCs w:val="22"/>
                <w:lang w:val="en-US"/>
              </w:rPr>
              <w:t>valandas, o tadalafilio dozė turi neviršyti 10</w:t>
            </w:r>
            <w:r w:rsidR="0025420A" w:rsidRPr="00FB2719">
              <w:rPr>
                <w:bCs/>
                <w:sz w:val="22"/>
                <w:szCs w:val="22"/>
                <w:lang w:val="en-US"/>
              </w:rPr>
              <w:t> </w:t>
            </w:r>
            <w:r w:rsidRPr="00FB2719">
              <w:rPr>
                <w:bCs/>
                <w:sz w:val="22"/>
                <w:szCs w:val="22"/>
                <w:lang w:val="en-US"/>
              </w:rPr>
              <w:t>mg kas 72</w:t>
            </w:r>
            <w:r w:rsidR="0025420A" w:rsidRPr="00FB2719">
              <w:rPr>
                <w:bCs/>
                <w:sz w:val="22"/>
                <w:szCs w:val="22"/>
                <w:lang w:val="en-US"/>
              </w:rPr>
              <w:t> </w:t>
            </w:r>
            <w:r w:rsidRPr="00FB2719">
              <w:rPr>
                <w:bCs/>
                <w:sz w:val="22"/>
                <w:szCs w:val="22"/>
                <w:lang w:val="en-US"/>
              </w:rPr>
              <w:t>valandas.</w:t>
            </w:r>
          </w:p>
        </w:tc>
      </w:tr>
      <w:tr w:rsidR="00CA08B3" w:rsidRPr="00FB2719" w14:paraId="22B2A616" w14:textId="77777777" w:rsidTr="0064111D">
        <w:tc>
          <w:tcPr>
            <w:tcW w:w="3044" w:type="dxa"/>
            <w:tcBorders>
              <w:top w:val="single" w:sz="4" w:space="0" w:color="auto"/>
              <w:left w:val="single" w:sz="4" w:space="0" w:color="auto"/>
              <w:bottom w:val="single" w:sz="4" w:space="0" w:color="auto"/>
              <w:right w:val="single" w:sz="4" w:space="0" w:color="auto"/>
            </w:tcBorders>
            <w:hideMark/>
          </w:tcPr>
          <w:p w14:paraId="625A71BA"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lastRenderedPageBreak/>
              <w:t>Vardenafilis</w:t>
            </w:r>
          </w:p>
        </w:tc>
        <w:tc>
          <w:tcPr>
            <w:tcW w:w="2984" w:type="dxa"/>
            <w:tcBorders>
              <w:top w:val="single" w:sz="4" w:space="0" w:color="auto"/>
              <w:left w:val="single" w:sz="4" w:space="0" w:color="auto"/>
              <w:bottom w:val="single" w:sz="4" w:space="0" w:color="auto"/>
              <w:right w:val="single" w:sz="4" w:space="0" w:color="auto"/>
            </w:tcBorders>
            <w:hideMark/>
          </w:tcPr>
          <w:p w14:paraId="42C9CA9B" w14:textId="77777777" w:rsidR="00CA08B3" w:rsidRPr="00FB2719" w:rsidRDefault="00CA08B3">
            <w:pPr>
              <w:tabs>
                <w:tab w:val="left" w:pos="567"/>
              </w:tabs>
              <w:spacing w:line="276" w:lineRule="auto"/>
              <w:rPr>
                <w:bCs/>
                <w:sz w:val="22"/>
                <w:szCs w:val="22"/>
                <w:lang w:val="en-US"/>
              </w:rPr>
            </w:pPr>
            <w:r w:rsidRPr="00FB2719">
              <w:rPr>
                <w:bCs/>
                <w:sz w:val="22"/>
                <w:szCs w:val="22"/>
                <w:lang w:val="en-US"/>
              </w:rPr>
              <w:t>Vardenafilis:</w:t>
            </w:r>
          </w:p>
          <w:p w14:paraId="526E7493" w14:textId="77777777" w:rsidR="00CA08B3" w:rsidRPr="00FB2719" w:rsidRDefault="00CA08B3">
            <w:pPr>
              <w:tabs>
                <w:tab w:val="left" w:pos="567"/>
              </w:tabs>
              <w:spacing w:line="276" w:lineRule="auto"/>
              <w:rPr>
                <w:bCs/>
                <w:sz w:val="22"/>
                <w:szCs w:val="22"/>
                <w:lang w:val="en-US"/>
              </w:rPr>
            </w:pPr>
            <w:r w:rsidRPr="00FB2719">
              <w:rPr>
                <w:bCs/>
                <w:sz w:val="22"/>
                <w:szCs w:val="22"/>
                <w:lang w:val="en-US"/>
              </w:rPr>
              <w:t>AUC: ↑ 49</w:t>
            </w:r>
            <w:r w:rsidR="0025420A" w:rsidRPr="00FB2719">
              <w:rPr>
                <w:bCs/>
                <w:sz w:val="22"/>
                <w:szCs w:val="22"/>
                <w:lang w:val="en-US"/>
              </w:rPr>
              <w:t> </w:t>
            </w:r>
            <w:r w:rsidRPr="00FB2719">
              <w:rPr>
                <w:bCs/>
                <w:sz w:val="22"/>
                <w:szCs w:val="22"/>
                <w:lang w:val="en-US"/>
              </w:rPr>
              <w:t>kartus</w:t>
            </w:r>
          </w:p>
          <w:p w14:paraId="727B0431" w14:textId="77777777" w:rsidR="00CA08B3" w:rsidRPr="00FB2719" w:rsidRDefault="00CA08B3">
            <w:pPr>
              <w:tabs>
                <w:tab w:val="left" w:pos="567"/>
              </w:tabs>
              <w:spacing w:line="276" w:lineRule="auto"/>
              <w:rPr>
                <w:bCs/>
                <w:sz w:val="22"/>
                <w:szCs w:val="22"/>
                <w:lang w:val="en-US"/>
              </w:rPr>
            </w:pPr>
            <w:proofErr w:type="gramStart"/>
            <w:r w:rsidRPr="00FB2719">
              <w:rPr>
                <w:bCs/>
                <w:sz w:val="22"/>
                <w:szCs w:val="22"/>
                <w:lang w:val="en-US"/>
              </w:rPr>
              <w:t>dėl</w:t>
            </w:r>
            <w:proofErr w:type="gramEnd"/>
            <w:r w:rsidRPr="00FB2719">
              <w:rPr>
                <w:bCs/>
                <w:sz w:val="22"/>
                <w:szCs w:val="22"/>
                <w:lang w:val="en-US"/>
              </w:rPr>
              <w:t xml:space="preserve"> CYP3A slopinimo lopinaviro / ritonaviro deriniu.</w:t>
            </w:r>
          </w:p>
        </w:tc>
        <w:tc>
          <w:tcPr>
            <w:tcW w:w="2988" w:type="dxa"/>
            <w:tcBorders>
              <w:top w:val="single" w:sz="4" w:space="0" w:color="auto"/>
              <w:left w:val="single" w:sz="4" w:space="0" w:color="auto"/>
              <w:bottom w:val="single" w:sz="4" w:space="0" w:color="auto"/>
              <w:right w:val="single" w:sz="4" w:space="0" w:color="auto"/>
            </w:tcBorders>
            <w:hideMark/>
          </w:tcPr>
          <w:p w14:paraId="745CAF01" w14:textId="77777777" w:rsidR="00CA08B3" w:rsidRPr="00FB2719" w:rsidRDefault="00CA08B3">
            <w:pPr>
              <w:tabs>
                <w:tab w:val="left" w:pos="567"/>
              </w:tabs>
              <w:spacing w:line="276" w:lineRule="auto"/>
              <w:rPr>
                <w:bCs/>
                <w:sz w:val="22"/>
                <w:szCs w:val="22"/>
                <w:lang w:val="en-US"/>
              </w:rPr>
            </w:pPr>
            <w:r w:rsidRPr="00FB2719">
              <w:rPr>
                <w:bCs/>
                <w:sz w:val="22"/>
                <w:szCs w:val="22"/>
                <w:lang w:val="en-US"/>
              </w:rPr>
              <w:t>Vardenafilio vartoti kartu su Lopinavir/Ritonavir Sandoz draudžiama (žr. 4.3 skyrių).</w:t>
            </w:r>
          </w:p>
        </w:tc>
      </w:tr>
      <w:tr w:rsidR="00BE6A56" w:rsidRPr="00FB2719" w14:paraId="4FD6A105" w14:textId="77777777" w:rsidTr="00FB2719">
        <w:tc>
          <w:tcPr>
            <w:tcW w:w="9016" w:type="dxa"/>
            <w:gridSpan w:val="3"/>
            <w:tcBorders>
              <w:top w:val="single" w:sz="4" w:space="0" w:color="auto"/>
              <w:left w:val="single" w:sz="4" w:space="0" w:color="auto"/>
              <w:bottom w:val="single" w:sz="4" w:space="0" w:color="auto"/>
              <w:right w:val="single" w:sz="4" w:space="0" w:color="auto"/>
            </w:tcBorders>
          </w:tcPr>
          <w:p w14:paraId="3A9A630C" w14:textId="77777777" w:rsidR="00BE6A56" w:rsidRPr="00FB2719" w:rsidRDefault="00BE6A56">
            <w:pPr>
              <w:tabs>
                <w:tab w:val="left" w:pos="567"/>
              </w:tabs>
              <w:spacing w:line="276" w:lineRule="auto"/>
              <w:jc w:val="both"/>
              <w:rPr>
                <w:bCs/>
                <w:i/>
                <w:sz w:val="22"/>
                <w:szCs w:val="22"/>
                <w:lang w:val="en-US"/>
              </w:rPr>
            </w:pPr>
            <w:r w:rsidRPr="00FB2719">
              <w:rPr>
                <w:bCs/>
                <w:i/>
                <w:sz w:val="22"/>
                <w:szCs w:val="22"/>
                <w:lang w:val="en-US"/>
              </w:rPr>
              <w:t>Skalsių alkaloidai</w:t>
            </w:r>
          </w:p>
        </w:tc>
      </w:tr>
      <w:tr w:rsidR="00BE6A56" w:rsidRPr="00FB2719" w14:paraId="59AD59AB" w14:textId="77777777" w:rsidTr="0064111D">
        <w:tc>
          <w:tcPr>
            <w:tcW w:w="3044" w:type="dxa"/>
            <w:tcBorders>
              <w:top w:val="single" w:sz="4" w:space="0" w:color="auto"/>
              <w:left w:val="single" w:sz="4" w:space="0" w:color="auto"/>
              <w:bottom w:val="single" w:sz="4" w:space="0" w:color="auto"/>
              <w:right w:val="single" w:sz="4" w:space="0" w:color="auto"/>
            </w:tcBorders>
          </w:tcPr>
          <w:p w14:paraId="77EC189A" w14:textId="77777777" w:rsidR="00BE6A56" w:rsidRPr="00FB2719" w:rsidRDefault="00BE6A56" w:rsidP="00BE6A56">
            <w:pPr>
              <w:tabs>
                <w:tab w:val="left" w:pos="567"/>
              </w:tabs>
              <w:spacing w:line="276" w:lineRule="auto"/>
              <w:rPr>
                <w:bCs/>
                <w:sz w:val="22"/>
                <w:szCs w:val="22"/>
                <w:lang w:val="en-US"/>
              </w:rPr>
            </w:pPr>
            <w:r w:rsidRPr="00FB2719">
              <w:rPr>
                <w:bCs/>
                <w:sz w:val="22"/>
                <w:szCs w:val="22"/>
                <w:lang w:val="en-US"/>
              </w:rPr>
              <w:t>Dihidroergotaminas,</w:t>
            </w:r>
          </w:p>
          <w:p w14:paraId="3778B957" w14:textId="77777777" w:rsidR="00BE6A56" w:rsidRPr="00FB2719" w:rsidRDefault="00BE6A56" w:rsidP="00BE6A56">
            <w:pPr>
              <w:tabs>
                <w:tab w:val="left" w:pos="567"/>
              </w:tabs>
              <w:spacing w:line="276" w:lineRule="auto"/>
              <w:rPr>
                <w:bCs/>
                <w:sz w:val="22"/>
                <w:szCs w:val="22"/>
                <w:lang w:val="en-US"/>
              </w:rPr>
            </w:pPr>
            <w:r w:rsidRPr="00FB2719">
              <w:rPr>
                <w:bCs/>
                <w:sz w:val="22"/>
                <w:szCs w:val="22"/>
                <w:lang w:val="en-US"/>
              </w:rPr>
              <w:t>ergonovinas,</w:t>
            </w:r>
          </w:p>
          <w:p w14:paraId="2D6B1FF0" w14:textId="77777777" w:rsidR="00BE6A56" w:rsidRPr="00FB2719" w:rsidRDefault="00BE6A56" w:rsidP="00BE6A56">
            <w:pPr>
              <w:tabs>
                <w:tab w:val="left" w:pos="567"/>
              </w:tabs>
              <w:spacing w:line="276" w:lineRule="auto"/>
              <w:rPr>
                <w:bCs/>
                <w:sz w:val="22"/>
                <w:szCs w:val="22"/>
                <w:lang w:val="en-US"/>
              </w:rPr>
            </w:pPr>
            <w:r w:rsidRPr="00FB2719">
              <w:rPr>
                <w:bCs/>
                <w:sz w:val="22"/>
                <w:szCs w:val="22"/>
                <w:lang w:val="en-US"/>
              </w:rPr>
              <w:t>ergotaminas,</w:t>
            </w:r>
          </w:p>
          <w:p w14:paraId="01B51228" w14:textId="77777777" w:rsidR="00BE6A56" w:rsidRPr="00FB2719" w:rsidRDefault="00BE6A56" w:rsidP="00FB2719">
            <w:pPr>
              <w:tabs>
                <w:tab w:val="left" w:pos="567"/>
              </w:tabs>
              <w:spacing w:line="276" w:lineRule="auto"/>
              <w:rPr>
                <w:bCs/>
                <w:sz w:val="22"/>
                <w:szCs w:val="22"/>
                <w:lang w:val="en-US"/>
              </w:rPr>
            </w:pPr>
            <w:r w:rsidRPr="00FB2719">
              <w:rPr>
                <w:bCs/>
                <w:sz w:val="22"/>
                <w:szCs w:val="22"/>
                <w:lang w:val="en-US"/>
              </w:rPr>
              <w:t>metilergonovinas</w:t>
            </w:r>
          </w:p>
        </w:tc>
        <w:tc>
          <w:tcPr>
            <w:tcW w:w="2984" w:type="dxa"/>
            <w:tcBorders>
              <w:top w:val="single" w:sz="4" w:space="0" w:color="auto"/>
              <w:left w:val="single" w:sz="4" w:space="0" w:color="auto"/>
              <w:bottom w:val="single" w:sz="4" w:space="0" w:color="auto"/>
              <w:right w:val="single" w:sz="4" w:space="0" w:color="auto"/>
            </w:tcBorders>
          </w:tcPr>
          <w:p w14:paraId="1A864573" w14:textId="77777777" w:rsidR="00BE6A56" w:rsidRPr="00FB2719" w:rsidRDefault="00BE6A56" w:rsidP="00BE6A56">
            <w:pPr>
              <w:tabs>
                <w:tab w:val="left" w:pos="567"/>
              </w:tabs>
              <w:spacing w:line="276" w:lineRule="auto"/>
              <w:rPr>
                <w:bCs/>
                <w:sz w:val="22"/>
                <w:szCs w:val="22"/>
                <w:lang w:val="en-US"/>
              </w:rPr>
            </w:pPr>
            <w:r w:rsidRPr="00FB2719">
              <w:rPr>
                <w:bCs/>
                <w:sz w:val="22"/>
                <w:szCs w:val="22"/>
                <w:lang w:val="en-US"/>
              </w:rPr>
              <w:t>Dėl CYP3A slopinimo lopinaviru / ritonaviru, gali padidėti koncentracija serume.</w:t>
            </w:r>
          </w:p>
        </w:tc>
        <w:tc>
          <w:tcPr>
            <w:tcW w:w="2988" w:type="dxa"/>
            <w:tcBorders>
              <w:top w:val="single" w:sz="4" w:space="0" w:color="auto"/>
              <w:left w:val="single" w:sz="4" w:space="0" w:color="auto"/>
              <w:bottom w:val="single" w:sz="4" w:space="0" w:color="auto"/>
              <w:right w:val="single" w:sz="4" w:space="0" w:color="auto"/>
            </w:tcBorders>
          </w:tcPr>
          <w:p w14:paraId="2C231A1B" w14:textId="77777777" w:rsidR="00BE6A56" w:rsidRPr="00FB2719" w:rsidRDefault="00BE6A56" w:rsidP="00BE6A56">
            <w:pPr>
              <w:tabs>
                <w:tab w:val="left" w:pos="567"/>
              </w:tabs>
              <w:spacing w:line="276" w:lineRule="auto"/>
              <w:rPr>
                <w:bCs/>
                <w:sz w:val="22"/>
                <w:szCs w:val="22"/>
                <w:lang w:val="en-US"/>
              </w:rPr>
            </w:pPr>
            <w:r w:rsidRPr="00FB2719">
              <w:rPr>
                <w:bCs/>
                <w:sz w:val="22"/>
                <w:szCs w:val="22"/>
                <w:lang w:val="en-US"/>
              </w:rPr>
              <w:t>Skirti Lopinavir/Ritonavir Sandoz kartu su skalsių alkaloidais negalima, nes gali pasireikšti ūmus apsinuodijimas skalsių alkaloidais, įskaitant kraujagyslių spazmą ir išemiją (žr. 4.3 skyrių).</w:t>
            </w:r>
          </w:p>
        </w:tc>
      </w:tr>
      <w:tr w:rsidR="00BE6A56" w:rsidRPr="00FB2719" w14:paraId="7CEB1741" w14:textId="77777777" w:rsidTr="00917D2F">
        <w:tc>
          <w:tcPr>
            <w:tcW w:w="9016" w:type="dxa"/>
            <w:gridSpan w:val="3"/>
            <w:tcBorders>
              <w:top w:val="single" w:sz="4" w:space="0" w:color="auto"/>
              <w:left w:val="single" w:sz="4" w:space="0" w:color="auto"/>
              <w:bottom w:val="single" w:sz="4" w:space="0" w:color="auto"/>
              <w:right w:val="single" w:sz="4" w:space="0" w:color="auto"/>
            </w:tcBorders>
          </w:tcPr>
          <w:p w14:paraId="6A55E97C" w14:textId="77777777" w:rsidR="00BE6A56" w:rsidRPr="00FB2719" w:rsidRDefault="00BE6A56" w:rsidP="00FB2719">
            <w:pPr>
              <w:tabs>
                <w:tab w:val="left" w:pos="567"/>
              </w:tabs>
              <w:spacing w:line="276" w:lineRule="auto"/>
              <w:rPr>
                <w:bCs/>
                <w:i/>
                <w:sz w:val="22"/>
                <w:szCs w:val="22"/>
                <w:lang w:val="en-US"/>
              </w:rPr>
            </w:pPr>
            <w:r w:rsidRPr="00FB2719">
              <w:rPr>
                <w:bCs/>
                <w:i/>
                <w:sz w:val="22"/>
                <w:szCs w:val="22"/>
                <w:lang w:val="en-US"/>
              </w:rPr>
              <w:t>Virškinimo trakto peristaltiką veikiant</w:t>
            </w:r>
            <w:r w:rsidR="006D2636" w:rsidRPr="00FB2719">
              <w:rPr>
                <w:bCs/>
                <w:i/>
                <w:sz w:val="22"/>
                <w:szCs w:val="22"/>
                <w:lang w:val="en-US"/>
              </w:rPr>
              <w:t>i medžiaga</w:t>
            </w:r>
          </w:p>
        </w:tc>
      </w:tr>
      <w:tr w:rsidR="00BE6A56" w:rsidRPr="00FB2719" w14:paraId="7FAC2584" w14:textId="77777777" w:rsidTr="00917D2F">
        <w:tc>
          <w:tcPr>
            <w:tcW w:w="3044" w:type="dxa"/>
            <w:tcBorders>
              <w:top w:val="single" w:sz="4" w:space="0" w:color="auto"/>
              <w:left w:val="single" w:sz="4" w:space="0" w:color="auto"/>
              <w:bottom w:val="single" w:sz="4" w:space="0" w:color="auto"/>
              <w:right w:val="single" w:sz="4" w:space="0" w:color="auto"/>
            </w:tcBorders>
          </w:tcPr>
          <w:p w14:paraId="61E81751" w14:textId="77777777" w:rsidR="00BE6A56" w:rsidRPr="00FB2719" w:rsidRDefault="006D2636" w:rsidP="00FB2719">
            <w:pPr>
              <w:tabs>
                <w:tab w:val="left" w:pos="567"/>
              </w:tabs>
              <w:spacing w:line="276" w:lineRule="auto"/>
              <w:rPr>
                <w:bCs/>
                <w:sz w:val="22"/>
                <w:szCs w:val="22"/>
                <w:lang w:val="en-US"/>
              </w:rPr>
            </w:pPr>
            <w:r w:rsidRPr="00FB2719">
              <w:rPr>
                <w:bCs/>
                <w:sz w:val="22"/>
                <w:szCs w:val="22"/>
                <w:lang w:val="en-US"/>
              </w:rPr>
              <w:t>Cisapridas</w:t>
            </w:r>
          </w:p>
        </w:tc>
        <w:tc>
          <w:tcPr>
            <w:tcW w:w="2984" w:type="dxa"/>
            <w:tcBorders>
              <w:top w:val="single" w:sz="4" w:space="0" w:color="auto"/>
              <w:left w:val="single" w:sz="4" w:space="0" w:color="auto"/>
              <w:bottom w:val="single" w:sz="4" w:space="0" w:color="auto"/>
              <w:right w:val="single" w:sz="4" w:space="0" w:color="auto"/>
            </w:tcBorders>
          </w:tcPr>
          <w:p w14:paraId="1FD35E43" w14:textId="77777777" w:rsidR="00BE6A56" w:rsidRPr="00FB2719" w:rsidRDefault="006D2636" w:rsidP="00BE6A56">
            <w:pPr>
              <w:tabs>
                <w:tab w:val="left" w:pos="567"/>
              </w:tabs>
              <w:spacing w:line="276" w:lineRule="auto"/>
              <w:rPr>
                <w:bCs/>
                <w:sz w:val="22"/>
                <w:szCs w:val="22"/>
                <w:lang w:val="en-US"/>
              </w:rPr>
            </w:pPr>
            <w:r w:rsidRPr="00FB2719">
              <w:rPr>
                <w:bCs/>
                <w:sz w:val="22"/>
                <w:szCs w:val="22"/>
                <w:lang w:val="en-US"/>
              </w:rPr>
              <w:t>Dėl CYP3A slopinimo lopinaviru / ritonaviru, gali padidėti koncentracija serume.</w:t>
            </w:r>
          </w:p>
        </w:tc>
        <w:tc>
          <w:tcPr>
            <w:tcW w:w="2988" w:type="dxa"/>
            <w:tcBorders>
              <w:top w:val="single" w:sz="4" w:space="0" w:color="auto"/>
              <w:left w:val="single" w:sz="4" w:space="0" w:color="auto"/>
              <w:bottom w:val="single" w:sz="4" w:space="0" w:color="auto"/>
              <w:right w:val="single" w:sz="4" w:space="0" w:color="auto"/>
            </w:tcBorders>
          </w:tcPr>
          <w:p w14:paraId="0AD3F008" w14:textId="614A6799" w:rsidR="00BE6A56" w:rsidRPr="00FB2719" w:rsidRDefault="006D2636" w:rsidP="001F0AE6">
            <w:pPr>
              <w:tabs>
                <w:tab w:val="left" w:pos="567"/>
              </w:tabs>
              <w:spacing w:line="276" w:lineRule="auto"/>
              <w:rPr>
                <w:bCs/>
                <w:sz w:val="22"/>
                <w:szCs w:val="22"/>
                <w:lang w:val="en-US"/>
              </w:rPr>
            </w:pPr>
            <w:r w:rsidRPr="00FB2719">
              <w:rPr>
                <w:bCs/>
                <w:sz w:val="22"/>
                <w:szCs w:val="22"/>
                <w:lang w:val="en-US"/>
              </w:rPr>
              <w:t>Skirti Lopinavir/Ritonavir Sandoz kartu su cisapridu negalima, nes gali padidėti su pastarąja medžiaga susijusių sunkių aritmij</w:t>
            </w:r>
            <w:r w:rsidR="001F0AE6" w:rsidRPr="00FB2719">
              <w:rPr>
                <w:bCs/>
                <w:sz w:val="22"/>
                <w:szCs w:val="22"/>
                <w:lang w:val="en-US"/>
              </w:rPr>
              <w:t>ų</w:t>
            </w:r>
            <w:r w:rsidRPr="00FB2719">
              <w:rPr>
                <w:bCs/>
                <w:sz w:val="22"/>
                <w:szCs w:val="22"/>
                <w:lang w:val="en-US"/>
              </w:rPr>
              <w:t xml:space="preserve"> rizika (žr. 4.3 skyrių).</w:t>
            </w:r>
          </w:p>
        </w:tc>
      </w:tr>
      <w:tr w:rsidR="00CA08B3" w:rsidRPr="00FB2719" w14:paraId="412607BC" w14:textId="77777777" w:rsidTr="0064111D">
        <w:tc>
          <w:tcPr>
            <w:tcW w:w="9016" w:type="dxa"/>
            <w:gridSpan w:val="3"/>
            <w:tcBorders>
              <w:top w:val="single" w:sz="4" w:space="0" w:color="auto"/>
              <w:left w:val="single" w:sz="4" w:space="0" w:color="auto"/>
              <w:bottom w:val="single" w:sz="4" w:space="0" w:color="auto"/>
              <w:right w:val="single" w:sz="4" w:space="0" w:color="auto"/>
            </w:tcBorders>
            <w:hideMark/>
          </w:tcPr>
          <w:p w14:paraId="0A282527" w14:textId="7E753EDB" w:rsidR="00CA08B3" w:rsidRPr="00FB2719" w:rsidRDefault="00CA08B3" w:rsidP="006D2636">
            <w:pPr>
              <w:tabs>
                <w:tab w:val="left" w:pos="567"/>
              </w:tabs>
              <w:spacing w:line="276" w:lineRule="auto"/>
              <w:jc w:val="both"/>
              <w:rPr>
                <w:bCs/>
                <w:i/>
                <w:sz w:val="22"/>
                <w:szCs w:val="22"/>
                <w:lang w:val="it-IT"/>
              </w:rPr>
            </w:pPr>
            <w:r w:rsidRPr="00FB2719">
              <w:rPr>
                <w:bCs/>
                <w:i/>
                <w:sz w:val="22"/>
                <w:szCs w:val="22"/>
                <w:lang w:val="it-IT"/>
              </w:rPr>
              <w:t>Hepatito C virus</w:t>
            </w:r>
            <w:r w:rsidR="006D2636" w:rsidRPr="00FB2719">
              <w:rPr>
                <w:bCs/>
                <w:i/>
                <w:sz w:val="22"/>
                <w:szCs w:val="22"/>
                <w:lang w:val="it-IT"/>
              </w:rPr>
              <w:t>ą veikiantys tiesiogiai antivirusiniai vaistiniai preparatai</w:t>
            </w:r>
          </w:p>
        </w:tc>
      </w:tr>
      <w:tr w:rsidR="006D2636" w:rsidRPr="00FB2719" w14:paraId="2901942E" w14:textId="77777777" w:rsidTr="0064111D">
        <w:tc>
          <w:tcPr>
            <w:tcW w:w="3044" w:type="dxa"/>
            <w:tcBorders>
              <w:top w:val="single" w:sz="4" w:space="0" w:color="auto"/>
              <w:left w:val="single" w:sz="4" w:space="0" w:color="auto"/>
              <w:bottom w:val="single" w:sz="4" w:space="0" w:color="auto"/>
              <w:right w:val="single" w:sz="4" w:space="0" w:color="auto"/>
            </w:tcBorders>
          </w:tcPr>
          <w:p w14:paraId="6B038479" w14:textId="77777777" w:rsidR="006D2636" w:rsidRPr="00FB2719" w:rsidRDefault="006D2636" w:rsidP="006D2636">
            <w:pPr>
              <w:tabs>
                <w:tab w:val="left" w:pos="567"/>
              </w:tabs>
              <w:spacing w:line="276" w:lineRule="auto"/>
              <w:jc w:val="both"/>
              <w:rPr>
                <w:bCs/>
                <w:sz w:val="22"/>
                <w:szCs w:val="22"/>
                <w:lang w:val="en-US"/>
              </w:rPr>
            </w:pPr>
            <w:r w:rsidRPr="00FB2719">
              <w:rPr>
                <w:bCs/>
                <w:sz w:val="22"/>
                <w:szCs w:val="22"/>
                <w:lang w:val="en-US"/>
              </w:rPr>
              <w:t>Elbasviras /</w:t>
            </w:r>
            <w:r w:rsidR="00D81DCF" w:rsidRPr="00FB2719">
              <w:rPr>
                <w:bCs/>
                <w:sz w:val="22"/>
                <w:szCs w:val="22"/>
                <w:lang w:val="en-US"/>
              </w:rPr>
              <w:t xml:space="preserve"> </w:t>
            </w:r>
            <w:r w:rsidRPr="00FB2719">
              <w:rPr>
                <w:bCs/>
                <w:sz w:val="22"/>
                <w:szCs w:val="22"/>
                <w:lang w:val="en-US"/>
              </w:rPr>
              <w:t>grazopreviras</w:t>
            </w:r>
          </w:p>
          <w:p w14:paraId="00FDF33F" w14:textId="77777777" w:rsidR="006D2636" w:rsidRPr="00FB2719" w:rsidRDefault="006D2636" w:rsidP="00D81DCF">
            <w:pPr>
              <w:tabs>
                <w:tab w:val="left" w:pos="567"/>
              </w:tabs>
              <w:spacing w:line="276" w:lineRule="auto"/>
              <w:jc w:val="both"/>
              <w:rPr>
                <w:bCs/>
                <w:sz w:val="22"/>
                <w:szCs w:val="22"/>
                <w:lang w:val="en-US"/>
              </w:rPr>
            </w:pPr>
            <w:r w:rsidRPr="00FB2719">
              <w:rPr>
                <w:bCs/>
                <w:sz w:val="22"/>
                <w:szCs w:val="22"/>
                <w:lang w:val="en-US"/>
              </w:rPr>
              <w:t>(50</w:t>
            </w:r>
            <w:r w:rsidR="00D81DCF" w:rsidRPr="00FB2719">
              <w:rPr>
                <w:bCs/>
                <w:sz w:val="22"/>
                <w:szCs w:val="22"/>
                <w:lang w:val="en-US"/>
              </w:rPr>
              <w:t> mg</w:t>
            </w:r>
            <w:r w:rsidRPr="00FB2719">
              <w:rPr>
                <w:bCs/>
                <w:sz w:val="22"/>
                <w:szCs w:val="22"/>
                <w:lang w:val="en-US"/>
              </w:rPr>
              <w:t>/200</w:t>
            </w:r>
            <w:r w:rsidR="00D81DCF" w:rsidRPr="00FB2719">
              <w:rPr>
                <w:bCs/>
                <w:sz w:val="22"/>
                <w:szCs w:val="22"/>
                <w:lang w:val="en-US"/>
              </w:rPr>
              <w:t> </w:t>
            </w:r>
            <w:r w:rsidRPr="00FB2719">
              <w:rPr>
                <w:bCs/>
                <w:sz w:val="22"/>
                <w:szCs w:val="22"/>
                <w:lang w:val="en-US"/>
              </w:rPr>
              <w:t>mg per parą)</w:t>
            </w:r>
          </w:p>
        </w:tc>
        <w:tc>
          <w:tcPr>
            <w:tcW w:w="2984" w:type="dxa"/>
            <w:tcBorders>
              <w:top w:val="single" w:sz="4" w:space="0" w:color="auto"/>
              <w:left w:val="single" w:sz="4" w:space="0" w:color="auto"/>
              <w:bottom w:val="single" w:sz="4" w:space="0" w:color="auto"/>
              <w:right w:val="single" w:sz="4" w:space="0" w:color="auto"/>
            </w:tcBorders>
          </w:tcPr>
          <w:p w14:paraId="296970E9" w14:textId="77777777" w:rsidR="006D2636" w:rsidRPr="00FB2719" w:rsidRDefault="006D2636" w:rsidP="006D2636">
            <w:pPr>
              <w:tabs>
                <w:tab w:val="left" w:pos="567"/>
              </w:tabs>
              <w:spacing w:line="276" w:lineRule="auto"/>
              <w:rPr>
                <w:bCs/>
                <w:sz w:val="22"/>
                <w:szCs w:val="22"/>
                <w:lang w:val="en-US"/>
              </w:rPr>
            </w:pPr>
            <w:r w:rsidRPr="00FB2719">
              <w:rPr>
                <w:bCs/>
                <w:sz w:val="22"/>
                <w:szCs w:val="22"/>
                <w:lang w:val="en-US"/>
              </w:rPr>
              <w:t>Elbasviras:</w:t>
            </w:r>
          </w:p>
          <w:p w14:paraId="4D1D56E3" w14:textId="77777777" w:rsidR="006D2636" w:rsidRPr="00FB2719" w:rsidRDefault="006D2636" w:rsidP="006D2636">
            <w:pPr>
              <w:tabs>
                <w:tab w:val="left" w:pos="567"/>
              </w:tabs>
              <w:spacing w:line="276" w:lineRule="auto"/>
              <w:rPr>
                <w:bCs/>
                <w:sz w:val="22"/>
                <w:szCs w:val="22"/>
                <w:lang w:val="en-US"/>
              </w:rPr>
            </w:pPr>
            <w:r w:rsidRPr="00FB2719">
              <w:rPr>
                <w:bCs/>
                <w:sz w:val="22"/>
                <w:szCs w:val="22"/>
                <w:lang w:val="en-US"/>
              </w:rPr>
              <w:t>AUC: ↑ 2,71 karto</w:t>
            </w:r>
          </w:p>
          <w:p w14:paraId="799B294D" w14:textId="77777777" w:rsidR="006D2636" w:rsidRPr="00FB2719" w:rsidRDefault="006D2636" w:rsidP="006D2636">
            <w:pPr>
              <w:tabs>
                <w:tab w:val="left" w:pos="567"/>
              </w:tabs>
              <w:spacing w:line="276" w:lineRule="auto"/>
              <w:rPr>
                <w:bCs/>
                <w:sz w:val="22"/>
                <w:szCs w:val="22"/>
                <w:lang w:val="en-US"/>
              </w:rPr>
            </w:pPr>
            <w:r w:rsidRPr="00FB2719">
              <w:rPr>
                <w:bCs/>
                <w:sz w:val="22"/>
                <w:szCs w:val="22"/>
                <w:lang w:val="en-US"/>
              </w:rPr>
              <w:t>Cmax: ↑ 1,87 karto</w:t>
            </w:r>
          </w:p>
          <w:p w14:paraId="508C679B" w14:textId="77777777" w:rsidR="006D2636" w:rsidRPr="00FB2719" w:rsidRDefault="006D2636" w:rsidP="006D2636">
            <w:pPr>
              <w:tabs>
                <w:tab w:val="left" w:pos="567"/>
              </w:tabs>
              <w:spacing w:line="276" w:lineRule="auto"/>
              <w:rPr>
                <w:bCs/>
                <w:sz w:val="22"/>
                <w:szCs w:val="22"/>
                <w:lang w:val="en-US"/>
              </w:rPr>
            </w:pPr>
            <w:r w:rsidRPr="00FB2719">
              <w:rPr>
                <w:bCs/>
                <w:sz w:val="22"/>
                <w:szCs w:val="22"/>
                <w:lang w:val="en-US"/>
              </w:rPr>
              <w:t>C24: ↑ 3,58 karto</w:t>
            </w:r>
          </w:p>
          <w:p w14:paraId="356F903B" w14:textId="77777777" w:rsidR="006D2636" w:rsidRPr="00FB2719" w:rsidRDefault="006D2636" w:rsidP="006D2636">
            <w:pPr>
              <w:tabs>
                <w:tab w:val="left" w:pos="567"/>
              </w:tabs>
              <w:spacing w:line="276" w:lineRule="auto"/>
              <w:rPr>
                <w:bCs/>
                <w:sz w:val="22"/>
                <w:szCs w:val="22"/>
                <w:lang w:val="en-US"/>
              </w:rPr>
            </w:pPr>
            <w:r w:rsidRPr="00FB2719">
              <w:rPr>
                <w:bCs/>
                <w:sz w:val="22"/>
                <w:szCs w:val="22"/>
                <w:lang w:val="en-US"/>
              </w:rPr>
              <w:t>Grazopreviras:</w:t>
            </w:r>
          </w:p>
          <w:p w14:paraId="13FD08FE" w14:textId="77777777" w:rsidR="006D2636" w:rsidRPr="00FB2719" w:rsidRDefault="006D2636" w:rsidP="006D2636">
            <w:pPr>
              <w:tabs>
                <w:tab w:val="left" w:pos="567"/>
              </w:tabs>
              <w:spacing w:line="276" w:lineRule="auto"/>
              <w:rPr>
                <w:bCs/>
                <w:sz w:val="22"/>
                <w:szCs w:val="22"/>
                <w:lang w:val="en-US"/>
              </w:rPr>
            </w:pPr>
            <w:r w:rsidRPr="00FB2719">
              <w:rPr>
                <w:bCs/>
                <w:sz w:val="22"/>
                <w:szCs w:val="22"/>
                <w:lang w:val="en-US"/>
              </w:rPr>
              <w:t>AUC: ↑ 11,86 karto</w:t>
            </w:r>
          </w:p>
          <w:p w14:paraId="6D4EBEC7" w14:textId="77777777" w:rsidR="006D2636" w:rsidRPr="00FB2719" w:rsidRDefault="006D2636" w:rsidP="006D2636">
            <w:pPr>
              <w:tabs>
                <w:tab w:val="left" w:pos="567"/>
              </w:tabs>
              <w:spacing w:line="276" w:lineRule="auto"/>
              <w:rPr>
                <w:bCs/>
                <w:sz w:val="22"/>
                <w:szCs w:val="22"/>
                <w:lang w:val="en-US"/>
              </w:rPr>
            </w:pPr>
            <w:r w:rsidRPr="00FB2719">
              <w:rPr>
                <w:bCs/>
                <w:sz w:val="22"/>
                <w:szCs w:val="22"/>
                <w:lang w:val="en-US"/>
              </w:rPr>
              <w:t>Cmax: ↑ 6,31 karto</w:t>
            </w:r>
          </w:p>
          <w:p w14:paraId="00F9D594" w14:textId="77777777" w:rsidR="006D2636" w:rsidRPr="00FB2719" w:rsidRDefault="006D2636" w:rsidP="006D2636">
            <w:pPr>
              <w:tabs>
                <w:tab w:val="left" w:pos="567"/>
              </w:tabs>
              <w:spacing w:line="276" w:lineRule="auto"/>
              <w:rPr>
                <w:bCs/>
                <w:sz w:val="22"/>
                <w:szCs w:val="22"/>
                <w:lang w:val="en-US"/>
              </w:rPr>
            </w:pPr>
            <w:r w:rsidRPr="00FB2719">
              <w:rPr>
                <w:bCs/>
                <w:sz w:val="22"/>
                <w:szCs w:val="22"/>
                <w:lang w:val="en-US"/>
              </w:rPr>
              <w:t>C24: ↑ 20,70 karto</w:t>
            </w:r>
          </w:p>
          <w:p w14:paraId="0B8336DB" w14:textId="77777777" w:rsidR="006D2636" w:rsidRPr="00FB2719" w:rsidRDefault="006D2636" w:rsidP="006D2636">
            <w:pPr>
              <w:tabs>
                <w:tab w:val="left" w:pos="567"/>
              </w:tabs>
              <w:spacing w:line="276" w:lineRule="auto"/>
              <w:rPr>
                <w:bCs/>
                <w:sz w:val="22"/>
                <w:szCs w:val="22"/>
                <w:lang w:val="en-US"/>
              </w:rPr>
            </w:pPr>
            <w:r w:rsidRPr="00FB2719">
              <w:rPr>
                <w:bCs/>
                <w:sz w:val="22"/>
                <w:szCs w:val="22"/>
                <w:lang w:val="en-US"/>
              </w:rPr>
              <w:t>(mechanizmų deriniai, įskaitant</w:t>
            </w:r>
            <w:r w:rsidR="00D81DCF" w:rsidRPr="00FB2719">
              <w:rPr>
                <w:bCs/>
                <w:sz w:val="22"/>
                <w:szCs w:val="22"/>
                <w:lang w:val="en-US"/>
              </w:rPr>
              <w:t xml:space="preserve"> </w:t>
            </w:r>
            <w:r w:rsidRPr="00FB2719">
              <w:rPr>
                <w:bCs/>
                <w:sz w:val="22"/>
                <w:szCs w:val="22"/>
                <w:lang w:val="en-US"/>
              </w:rPr>
              <w:t>CYP3A slopinimą)</w:t>
            </w:r>
          </w:p>
          <w:p w14:paraId="43DC29DB" w14:textId="77777777" w:rsidR="006D2636" w:rsidRPr="00FB2719" w:rsidRDefault="006D2636" w:rsidP="006D2636">
            <w:pPr>
              <w:tabs>
                <w:tab w:val="left" w:pos="567"/>
              </w:tabs>
              <w:spacing w:line="276" w:lineRule="auto"/>
              <w:rPr>
                <w:bCs/>
                <w:sz w:val="22"/>
                <w:szCs w:val="22"/>
                <w:lang w:val="en-US"/>
              </w:rPr>
            </w:pPr>
            <w:r w:rsidRPr="00FB2719">
              <w:rPr>
                <w:bCs/>
                <w:sz w:val="22"/>
                <w:szCs w:val="22"/>
                <w:lang w:val="en-US"/>
              </w:rPr>
              <w:t>Lopinaviras: ↔</w:t>
            </w:r>
          </w:p>
        </w:tc>
        <w:tc>
          <w:tcPr>
            <w:tcW w:w="2988" w:type="dxa"/>
            <w:tcBorders>
              <w:top w:val="single" w:sz="4" w:space="0" w:color="auto"/>
              <w:left w:val="single" w:sz="4" w:space="0" w:color="auto"/>
              <w:bottom w:val="single" w:sz="4" w:space="0" w:color="auto"/>
              <w:right w:val="single" w:sz="4" w:space="0" w:color="auto"/>
            </w:tcBorders>
          </w:tcPr>
          <w:p w14:paraId="703E81AC" w14:textId="77777777" w:rsidR="006D2636" w:rsidRPr="00FB2719" w:rsidRDefault="006D2636" w:rsidP="00D81DCF">
            <w:pPr>
              <w:tabs>
                <w:tab w:val="left" w:pos="567"/>
              </w:tabs>
              <w:spacing w:line="276" w:lineRule="auto"/>
              <w:rPr>
                <w:bCs/>
                <w:sz w:val="22"/>
                <w:szCs w:val="22"/>
                <w:lang w:val="en-US"/>
              </w:rPr>
            </w:pPr>
            <w:r w:rsidRPr="00FB2719">
              <w:rPr>
                <w:bCs/>
                <w:sz w:val="22"/>
                <w:szCs w:val="22"/>
                <w:lang w:val="en-US"/>
              </w:rPr>
              <w:t xml:space="preserve">Elbasviro / grazopreviro kartu su </w:t>
            </w:r>
            <w:r w:rsidR="00D81DCF" w:rsidRPr="00FB2719">
              <w:rPr>
                <w:bCs/>
                <w:sz w:val="22"/>
                <w:szCs w:val="22"/>
                <w:lang w:val="en-US"/>
              </w:rPr>
              <w:t>Lopinavir/Ritonavir Sandoz</w:t>
            </w:r>
            <w:r w:rsidRPr="00FB2719">
              <w:rPr>
                <w:bCs/>
                <w:sz w:val="22"/>
                <w:szCs w:val="22"/>
                <w:lang w:val="en-US"/>
              </w:rPr>
              <w:t xml:space="preserve"> vartoti draudžiama (žr.</w:t>
            </w:r>
            <w:r w:rsidR="00D81DCF" w:rsidRPr="00FB2719">
              <w:rPr>
                <w:bCs/>
                <w:sz w:val="22"/>
                <w:szCs w:val="22"/>
                <w:lang w:val="en-US"/>
              </w:rPr>
              <w:t xml:space="preserve"> </w:t>
            </w:r>
            <w:r w:rsidRPr="00FB2719">
              <w:rPr>
                <w:bCs/>
                <w:sz w:val="22"/>
                <w:szCs w:val="22"/>
                <w:lang w:val="en-US"/>
              </w:rPr>
              <w:t>4.3 skyrių)</w:t>
            </w:r>
          </w:p>
        </w:tc>
      </w:tr>
      <w:tr w:rsidR="006D2636" w:rsidRPr="00FB2719" w14:paraId="7890B2A0" w14:textId="77777777" w:rsidTr="00FB2719">
        <w:tc>
          <w:tcPr>
            <w:tcW w:w="3044" w:type="dxa"/>
            <w:tcBorders>
              <w:top w:val="single" w:sz="4" w:space="0" w:color="auto"/>
              <w:left w:val="single" w:sz="4" w:space="0" w:color="auto"/>
              <w:bottom w:val="single" w:sz="4" w:space="0" w:color="auto"/>
              <w:right w:val="single" w:sz="4" w:space="0" w:color="auto"/>
            </w:tcBorders>
          </w:tcPr>
          <w:p w14:paraId="3C9E6361" w14:textId="77777777" w:rsidR="006D2636" w:rsidRPr="00FB2719" w:rsidRDefault="006D2636" w:rsidP="00FB2719">
            <w:pPr>
              <w:tabs>
                <w:tab w:val="left" w:pos="567"/>
              </w:tabs>
              <w:spacing w:line="276" w:lineRule="auto"/>
              <w:rPr>
                <w:bCs/>
                <w:sz w:val="22"/>
                <w:szCs w:val="22"/>
                <w:lang w:val="en-US"/>
              </w:rPr>
            </w:pPr>
            <w:r w:rsidRPr="00FB2719">
              <w:rPr>
                <w:bCs/>
                <w:sz w:val="22"/>
                <w:szCs w:val="22"/>
                <w:lang w:val="en-US"/>
              </w:rPr>
              <w:t>Ombitasviras /paritapreviras /ritonaviras +</w:t>
            </w:r>
            <w:r w:rsidR="00D81DCF" w:rsidRPr="00FB2719">
              <w:rPr>
                <w:bCs/>
                <w:sz w:val="22"/>
                <w:szCs w:val="22"/>
                <w:lang w:val="en-US"/>
              </w:rPr>
              <w:t xml:space="preserve"> </w:t>
            </w:r>
            <w:r w:rsidRPr="00FB2719">
              <w:rPr>
                <w:bCs/>
                <w:sz w:val="22"/>
                <w:szCs w:val="22"/>
                <w:lang w:val="en-US"/>
              </w:rPr>
              <w:t>dasabuviras</w:t>
            </w:r>
            <w:r w:rsidR="00D81DCF" w:rsidRPr="00FB2719">
              <w:rPr>
                <w:bCs/>
                <w:sz w:val="22"/>
                <w:szCs w:val="22"/>
                <w:lang w:val="en-US"/>
              </w:rPr>
              <w:t xml:space="preserve"> </w:t>
            </w:r>
            <w:r w:rsidRPr="00FB2719">
              <w:rPr>
                <w:bCs/>
                <w:sz w:val="22"/>
                <w:szCs w:val="22"/>
                <w:lang w:val="en-US"/>
              </w:rPr>
              <w:t>(25</w:t>
            </w:r>
            <w:r w:rsidR="00D81DCF" w:rsidRPr="00FB2719">
              <w:rPr>
                <w:bCs/>
                <w:sz w:val="22"/>
                <w:szCs w:val="22"/>
                <w:lang w:val="en-US"/>
              </w:rPr>
              <w:t> mg</w:t>
            </w:r>
            <w:r w:rsidRPr="00FB2719">
              <w:rPr>
                <w:bCs/>
                <w:sz w:val="22"/>
                <w:szCs w:val="22"/>
                <w:lang w:val="en-US"/>
              </w:rPr>
              <w:t>/150</w:t>
            </w:r>
            <w:r w:rsidR="00D81DCF" w:rsidRPr="00FB2719">
              <w:rPr>
                <w:bCs/>
                <w:sz w:val="22"/>
                <w:szCs w:val="22"/>
                <w:lang w:val="en-US"/>
              </w:rPr>
              <w:t> mg</w:t>
            </w:r>
            <w:r w:rsidRPr="00FB2719">
              <w:rPr>
                <w:bCs/>
                <w:sz w:val="22"/>
                <w:szCs w:val="22"/>
                <w:lang w:val="en-US"/>
              </w:rPr>
              <w:t>/100</w:t>
            </w:r>
            <w:r w:rsidR="00D81DCF" w:rsidRPr="00FB2719">
              <w:rPr>
                <w:bCs/>
                <w:sz w:val="22"/>
                <w:szCs w:val="22"/>
                <w:lang w:val="en-US"/>
              </w:rPr>
              <w:t> </w:t>
            </w:r>
            <w:r w:rsidRPr="00FB2719">
              <w:rPr>
                <w:bCs/>
                <w:sz w:val="22"/>
                <w:szCs w:val="22"/>
                <w:lang w:val="en-US"/>
              </w:rPr>
              <w:t>mg kartą</w:t>
            </w:r>
          </w:p>
          <w:p w14:paraId="235762B2" w14:textId="77777777" w:rsidR="006D2636" w:rsidRPr="00FB2719" w:rsidRDefault="006D2636" w:rsidP="006D2636">
            <w:pPr>
              <w:tabs>
                <w:tab w:val="left" w:pos="567"/>
              </w:tabs>
              <w:spacing w:line="276" w:lineRule="auto"/>
              <w:jc w:val="both"/>
              <w:rPr>
                <w:bCs/>
                <w:sz w:val="22"/>
                <w:szCs w:val="22"/>
                <w:lang w:val="en-US"/>
              </w:rPr>
            </w:pPr>
            <w:r w:rsidRPr="00FB2719">
              <w:rPr>
                <w:bCs/>
                <w:sz w:val="22"/>
                <w:szCs w:val="22"/>
                <w:lang w:val="en-US"/>
              </w:rPr>
              <w:t>per parą + 400</w:t>
            </w:r>
            <w:r w:rsidR="00D81DCF" w:rsidRPr="00FB2719">
              <w:rPr>
                <w:bCs/>
                <w:sz w:val="22"/>
                <w:szCs w:val="22"/>
                <w:lang w:val="en-US"/>
              </w:rPr>
              <w:t> </w:t>
            </w:r>
            <w:r w:rsidRPr="00FB2719">
              <w:rPr>
                <w:bCs/>
                <w:sz w:val="22"/>
                <w:szCs w:val="22"/>
                <w:lang w:val="en-US"/>
              </w:rPr>
              <w:t>mg du</w:t>
            </w:r>
            <w:r w:rsidR="00D81DCF" w:rsidRPr="00FB2719">
              <w:rPr>
                <w:bCs/>
                <w:sz w:val="22"/>
                <w:szCs w:val="22"/>
                <w:lang w:val="en-US"/>
              </w:rPr>
              <w:t xml:space="preserve"> </w:t>
            </w:r>
            <w:r w:rsidRPr="00FB2719">
              <w:rPr>
                <w:bCs/>
                <w:sz w:val="22"/>
                <w:szCs w:val="22"/>
                <w:lang w:val="en-US"/>
              </w:rPr>
              <w:t>kartus per parą)</w:t>
            </w:r>
          </w:p>
          <w:p w14:paraId="6A721410" w14:textId="77777777" w:rsidR="006D2636" w:rsidRPr="00FB2719" w:rsidRDefault="006D2636" w:rsidP="006D2636">
            <w:pPr>
              <w:tabs>
                <w:tab w:val="left" w:pos="567"/>
              </w:tabs>
              <w:spacing w:line="276" w:lineRule="auto"/>
              <w:jc w:val="both"/>
              <w:rPr>
                <w:bCs/>
                <w:sz w:val="22"/>
                <w:szCs w:val="22"/>
                <w:lang w:val="en-US"/>
              </w:rPr>
            </w:pPr>
            <w:r w:rsidRPr="00FB2719">
              <w:rPr>
                <w:bCs/>
                <w:sz w:val="22"/>
                <w:szCs w:val="22"/>
                <w:lang w:val="en-US"/>
              </w:rPr>
              <w:t>Lopinaviras / ritonaviras</w:t>
            </w:r>
          </w:p>
          <w:p w14:paraId="35789C01" w14:textId="77777777" w:rsidR="006D2636" w:rsidRPr="00FB2719" w:rsidRDefault="006D2636" w:rsidP="00FB2719">
            <w:pPr>
              <w:tabs>
                <w:tab w:val="left" w:pos="567"/>
              </w:tabs>
              <w:spacing w:line="276" w:lineRule="auto"/>
              <w:rPr>
                <w:bCs/>
                <w:sz w:val="22"/>
                <w:szCs w:val="22"/>
                <w:lang w:val="de-DE"/>
              </w:rPr>
            </w:pPr>
            <w:r w:rsidRPr="00FB2719">
              <w:rPr>
                <w:bCs/>
                <w:sz w:val="22"/>
                <w:szCs w:val="22"/>
                <w:lang w:val="de-DE"/>
              </w:rPr>
              <w:t>400</w:t>
            </w:r>
            <w:r w:rsidR="00D81DCF" w:rsidRPr="00FB2719">
              <w:rPr>
                <w:bCs/>
                <w:sz w:val="22"/>
                <w:szCs w:val="22"/>
                <w:lang w:val="de-DE"/>
              </w:rPr>
              <w:t> mg</w:t>
            </w:r>
            <w:r w:rsidRPr="00FB2719">
              <w:rPr>
                <w:bCs/>
                <w:sz w:val="22"/>
                <w:szCs w:val="22"/>
                <w:lang w:val="de-DE"/>
              </w:rPr>
              <w:t>/100</w:t>
            </w:r>
            <w:r w:rsidR="00D81DCF" w:rsidRPr="00FB2719">
              <w:rPr>
                <w:bCs/>
                <w:sz w:val="22"/>
                <w:szCs w:val="22"/>
                <w:lang w:val="de-DE"/>
              </w:rPr>
              <w:t> </w:t>
            </w:r>
            <w:r w:rsidRPr="00FB2719">
              <w:rPr>
                <w:bCs/>
                <w:sz w:val="22"/>
                <w:szCs w:val="22"/>
                <w:lang w:val="de-DE"/>
              </w:rPr>
              <w:t>mg du kartus</w:t>
            </w:r>
            <w:r w:rsidR="00D81DCF" w:rsidRPr="00FB2719">
              <w:rPr>
                <w:bCs/>
                <w:sz w:val="22"/>
                <w:szCs w:val="22"/>
                <w:lang w:val="de-DE"/>
              </w:rPr>
              <w:t xml:space="preserve"> </w:t>
            </w:r>
            <w:r w:rsidRPr="00FB2719">
              <w:rPr>
                <w:bCs/>
                <w:sz w:val="22"/>
                <w:szCs w:val="22"/>
                <w:lang w:val="de-DE"/>
              </w:rPr>
              <w:t>per parą</w:t>
            </w:r>
          </w:p>
        </w:tc>
        <w:tc>
          <w:tcPr>
            <w:tcW w:w="2984" w:type="dxa"/>
            <w:tcBorders>
              <w:top w:val="single" w:sz="4" w:space="0" w:color="auto"/>
              <w:left w:val="single" w:sz="4" w:space="0" w:color="auto"/>
              <w:bottom w:val="single" w:sz="4" w:space="0" w:color="auto"/>
              <w:right w:val="single" w:sz="4" w:space="0" w:color="auto"/>
            </w:tcBorders>
          </w:tcPr>
          <w:p w14:paraId="6F05A54E" w14:textId="77777777" w:rsidR="006D2636" w:rsidRPr="00FB2719" w:rsidRDefault="006D2636" w:rsidP="006D2636">
            <w:pPr>
              <w:tabs>
                <w:tab w:val="left" w:pos="567"/>
              </w:tabs>
              <w:spacing w:line="276" w:lineRule="auto"/>
              <w:rPr>
                <w:bCs/>
                <w:sz w:val="22"/>
                <w:szCs w:val="22"/>
                <w:lang w:val="de-DE"/>
              </w:rPr>
            </w:pPr>
            <w:r w:rsidRPr="00FB2719">
              <w:rPr>
                <w:bCs/>
                <w:sz w:val="22"/>
                <w:szCs w:val="22"/>
                <w:lang w:val="de-DE"/>
              </w:rPr>
              <w:t>Ombitasviras: ↔</w:t>
            </w:r>
          </w:p>
          <w:p w14:paraId="46A3A476" w14:textId="77777777" w:rsidR="006D2636" w:rsidRPr="00FB2719" w:rsidRDefault="006D2636" w:rsidP="006D2636">
            <w:pPr>
              <w:tabs>
                <w:tab w:val="left" w:pos="567"/>
              </w:tabs>
              <w:spacing w:line="276" w:lineRule="auto"/>
              <w:rPr>
                <w:bCs/>
                <w:sz w:val="22"/>
                <w:szCs w:val="22"/>
                <w:lang w:val="de-DE"/>
              </w:rPr>
            </w:pPr>
            <w:r w:rsidRPr="00FB2719">
              <w:rPr>
                <w:bCs/>
                <w:sz w:val="22"/>
                <w:szCs w:val="22"/>
                <w:lang w:val="de-DE"/>
              </w:rPr>
              <w:t>Paritapreviras:</w:t>
            </w:r>
          </w:p>
          <w:p w14:paraId="0EE917EA" w14:textId="77777777" w:rsidR="006D2636" w:rsidRPr="00FB2719" w:rsidRDefault="006D2636" w:rsidP="006D2636">
            <w:pPr>
              <w:tabs>
                <w:tab w:val="left" w:pos="567"/>
              </w:tabs>
              <w:spacing w:line="276" w:lineRule="auto"/>
              <w:rPr>
                <w:bCs/>
                <w:sz w:val="22"/>
                <w:szCs w:val="22"/>
                <w:lang w:val="de-DE"/>
              </w:rPr>
            </w:pPr>
            <w:r w:rsidRPr="00FB2719">
              <w:rPr>
                <w:bCs/>
                <w:sz w:val="22"/>
                <w:szCs w:val="22"/>
                <w:lang w:val="de-DE"/>
              </w:rPr>
              <w:t>AUC: ↑ 2,17 karto</w:t>
            </w:r>
          </w:p>
          <w:p w14:paraId="1F4725B4" w14:textId="77777777" w:rsidR="006D2636" w:rsidRPr="00FB2719" w:rsidRDefault="006D2636" w:rsidP="006D2636">
            <w:pPr>
              <w:tabs>
                <w:tab w:val="left" w:pos="567"/>
              </w:tabs>
              <w:spacing w:line="276" w:lineRule="auto"/>
              <w:rPr>
                <w:bCs/>
                <w:sz w:val="22"/>
                <w:szCs w:val="22"/>
                <w:lang w:val="de-DE"/>
              </w:rPr>
            </w:pPr>
            <w:r w:rsidRPr="00FB2719">
              <w:rPr>
                <w:bCs/>
                <w:sz w:val="22"/>
                <w:szCs w:val="22"/>
                <w:lang w:val="de-DE"/>
              </w:rPr>
              <w:t>C</w:t>
            </w:r>
            <w:r w:rsidRPr="00FB2719">
              <w:rPr>
                <w:bCs/>
                <w:sz w:val="22"/>
                <w:szCs w:val="22"/>
                <w:vertAlign w:val="subscript"/>
                <w:lang w:val="de-DE"/>
              </w:rPr>
              <w:t>max</w:t>
            </w:r>
            <w:r w:rsidRPr="00FB2719">
              <w:rPr>
                <w:bCs/>
                <w:sz w:val="22"/>
                <w:szCs w:val="22"/>
                <w:lang w:val="de-DE"/>
              </w:rPr>
              <w:t>: ↑ 2,04 karto</w:t>
            </w:r>
          </w:p>
          <w:p w14:paraId="077E3EFD" w14:textId="77777777" w:rsidR="006D2636" w:rsidRPr="00FB2719" w:rsidRDefault="006D2636" w:rsidP="006D2636">
            <w:pPr>
              <w:tabs>
                <w:tab w:val="left" w:pos="567"/>
              </w:tabs>
              <w:spacing w:line="276" w:lineRule="auto"/>
              <w:rPr>
                <w:bCs/>
                <w:sz w:val="22"/>
                <w:szCs w:val="22"/>
                <w:lang w:val="en-US"/>
              </w:rPr>
            </w:pPr>
            <w:r w:rsidRPr="00FB2719">
              <w:rPr>
                <w:bCs/>
                <w:sz w:val="22"/>
                <w:szCs w:val="22"/>
                <w:lang w:val="en-US"/>
              </w:rPr>
              <w:t>C</w:t>
            </w:r>
            <w:r w:rsidRPr="00FB2719">
              <w:rPr>
                <w:bCs/>
                <w:sz w:val="22"/>
                <w:szCs w:val="22"/>
                <w:vertAlign w:val="subscript"/>
                <w:lang w:val="en-US"/>
              </w:rPr>
              <w:t>trough</w:t>
            </w:r>
            <w:r w:rsidRPr="00FB2719">
              <w:rPr>
                <w:bCs/>
                <w:sz w:val="22"/>
                <w:szCs w:val="22"/>
                <w:lang w:val="en-US"/>
              </w:rPr>
              <w:t>: ↑ 2,36 karto</w:t>
            </w:r>
          </w:p>
          <w:p w14:paraId="11432629" w14:textId="77777777" w:rsidR="006D2636" w:rsidRPr="00FB2719" w:rsidRDefault="006D2636" w:rsidP="006D2636">
            <w:pPr>
              <w:tabs>
                <w:tab w:val="left" w:pos="567"/>
              </w:tabs>
              <w:spacing w:line="276" w:lineRule="auto"/>
              <w:rPr>
                <w:bCs/>
                <w:sz w:val="22"/>
                <w:szCs w:val="22"/>
                <w:lang w:val="en-US"/>
              </w:rPr>
            </w:pPr>
            <w:r w:rsidRPr="00FB2719">
              <w:rPr>
                <w:bCs/>
                <w:sz w:val="22"/>
                <w:szCs w:val="22"/>
                <w:lang w:val="en-US"/>
              </w:rPr>
              <w:t xml:space="preserve">(CYP3A / </w:t>
            </w:r>
            <w:r w:rsidR="00D81DCF" w:rsidRPr="00FB2719">
              <w:rPr>
                <w:bCs/>
                <w:sz w:val="22"/>
                <w:szCs w:val="22"/>
                <w:lang w:val="en-US"/>
              </w:rPr>
              <w:t>ištekėjimo</w:t>
            </w:r>
            <w:r w:rsidRPr="00FB2719">
              <w:rPr>
                <w:bCs/>
                <w:sz w:val="22"/>
                <w:szCs w:val="22"/>
                <w:lang w:val="en-US"/>
              </w:rPr>
              <w:t xml:space="preserve"> siurblio</w:t>
            </w:r>
            <w:r w:rsidR="00D81DCF" w:rsidRPr="00FB2719">
              <w:rPr>
                <w:bCs/>
                <w:sz w:val="22"/>
                <w:szCs w:val="22"/>
                <w:lang w:val="en-US"/>
              </w:rPr>
              <w:t xml:space="preserve"> </w:t>
            </w:r>
            <w:r w:rsidRPr="00FB2719">
              <w:rPr>
                <w:bCs/>
                <w:sz w:val="22"/>
                <w:szCs w:val="22"/>
                <w:lang w:val="en-US"/>
              </w:rPr>
              <w:t>slopinimas)</w:t>
            </w:r>
          </w:p>
          <w:p w14:paraId="581BB9DA" w14:textId="77777777" w:rsidR="006D2636" w:rsidRPr="00FB2719" w:rsidRDefault="006D2636" w:rsidP="006D2636">
            <w:pPr>
              <w:tabs>
                <w:tab w:val="left" w:pos="567"/>
              </w:tabs>
              <w:spacing w:line="276" w:lineRule="auto"/>
              <w:rPr>
                <w:bCs/>
                <w:sz w:val="22"/>
                <w:szCs w:val="22"/>
                <w:lang w:val="en-US"/>
              </w:rPr>
            </w:pPr>
            <w:r w:rsidRPr="00FB2719">
              <w:rPr>
                <w:bCs/>
                <w:sz w:val="22"/>
                <w:szCs w:val="22"/>
                <w:lang w:val="en-US"/>
              </w:rPr>
              <w:t>Dasabuviras: ↔</w:t>
            </w:r>
          </w:p>
          <w:p w14:paraId="3AB5BA8F" w14:textId="77777777" w:rsidR="006D2636" w:rsidRPr="00FB2719" w:rsidRDefault="006D2636" w:rsidP="006D2636">
            <w:pPr>
              <w:tabs>
                <w:tab w:val="left" w:pos="567"/>
              </w:tabs>
              <w:spacing w:line="276" w:lineRule="auto"/>
              <w:rPr>
                <w:bCs/>
                <w:sz w:val="22"/>
                <w:szCs w:val="22"/>
                <w:lang w:val="en-US"/>
              </w:rPr>
            </w:pPr>
            <w:r w:rsidRPr="00FB2719">
              <w:rPr>
                <w:bCs/>
                <w:sz w:val="22"/>
                <w:szCs w:val="22"/>
                <w:lang w:val="en-US"/>
              </w:rPr>
              <w:t>Lopinaviras: ↔</w:t>
            </w:r>
          </w:p>
        </w:tc>
        <w:tc>
          <w:tcPr>
            <w:tcW w:w="2988" w:type="dxa"/>
            <w:tcBorders>
              <w:top w:val="single" w:sz="4" w:space="0" w:color="auto"/>
              <w:left w:val="single" w:sz="4" w:space="0" w:color="auto"/>
              <w:bottom w:val="nil"/>
              <w:right w:val="single" w:sz="4" w:space="0" w:color="auto"/>
            </w:tcBorders>
          </w:tcPr>
          <w:p w14:paraId="68C2DC09" w14:textId="77777777" w:rsidR="006D2636" w:rsidRPr="00FB2719" w:rsidRDefault="006D2636" w:rsidP="006D2636">
            <w:pPr>
              <w:tabs>
                <w:tab w:val="left" w:pos="567"/>
              </w:tabs>
              <w:spacing w:line="276" w:lineRule="auto"/>
              <w:rPr>
                <w:bCs/>
                <w:sz w:val="22"/>
                <w:szCs w:val="22"/>
                <w:lang w:val="en-US"/>
              </w:rPr>
            </w:pPr>
            <w:r w:rsidRPr="00FB2719">
              <w:rPr>
                <w:bCs/>
                <w:sz w:val="22"/>
                <w:szCs w:val="22"/>
                <w:lang w:val="en-US"/>
              </w:rPr>
              <w:t xml:space="preserve">Kartu skirti </w:t>
            </w:r>
            <w:r w:rsidR="00D81DCF" w:rsidRPr="00FB2719">
              <w:rPr>
                <w:bCs/>
                <w:sz w:val="22"/>
                <w:szCs w:val="22"/>
                <w:lang w:val="en-US"/>
              </w:rPr>
              <w:t>draudžiama</w:t>
            </w:r>
            <w:r w:rsidRPr="00FB2719">
              <w:rPr>
                <w:bCs/>
                <w:sz w:val="22"/>
                <w:szCs w:val="22"/>
                <w:lang w:val="en-US"/>
              </w:rPr>
              <w:t>.</w:t>
            </w:r>
          </w:p>
          <w:p w14:paraId="1680282D" w14:textId="77777777" w:rsidR="006D2636" w:rsidRPr="00FB2719" w:rsidRDefault="006D2636" w:rsidP="006D2636">
            <w:pPr>
              <w:tabs>
                <w:tab w:val="left" w:pos="567"/>
              </w:tabs>
              <w:spacing w:line="276" w:lineRule="auto"/>
              <w:rPr>
                <w:bCs/>
                <w:sz w:val="22"/>
                <w:szCs w:val="22"/>
                <w:lang w:val="en-US"/>
              </w:rPr>
            </w:pPr>
            <w:r w:rsidRPr="00FB2719">
              <w:rPr>
                <w:bCs/>
                <w:sz w:val="22"/>
                <w:szCs w:val="22"/>
                <w:lang w:val="en-US"/>
              </w:rPr>
              <w:t>Lopinaviras / ritonaviras,</w:t>
            </w:r>
          </w:p>
          <w:p w14:paraId="4D921732" w14:textId="77777777" w:rsidR="006D2636" w:rsidRPr="00FB2719" w:rsidRDefault="006D2636" w:rsidP="00D81DCF">
            <w:pPr>
              <w:tabs>
                <w:tab w:val="left" w:pos="567"/>
              </w:tabs>
              <w:spacing w:line="276" w:lineRule="auto"/>
              <w:rPr>
                <w:bCs/>
                <w:sz w:val="22"/>
                <w:szCs w:val="22"/>
                <w:lang w:val="en-US"/>
              </w:rPr>
            </w:pPr>
            <w:proofErr w:type="gramStart"/>
            <w:r w:rsidRPr="00FB2719">
              <w:rPr>
                <w:bCs/>
                <w:sz w:val="22"/>
                <w:szCs w:val="22"/>
                <w:lang w:val="en-US"/>
              </w:rPr>
              <w:t>vartojamas</w:t>
            </w:r>
            <w:proofErr w:type="gramEnd"/>
            <w:r w:rsidRPr="00FB2719">
              <w:rPr>
                <w:bCs/>
                <w:sz w:val="22"/>
                <w:szCs w:val="22"/>
                <w:lang w:val="en-US"/>
              </w:rPr>
              <w:t xml:space="preserve"> po 800</w:t>
            </w:r>
            <w:r w:rsidR="00D81DCF" w:rsidRPr="00FB2719">
              <w:rPr>
                <w:bCs/>
                <w:sz w:val="22"/>
                <w:szCs w:val="22"/>
                <w:lang w:val="en-US"/>
              </w:rPr>
              <w:t> mg</w:t>
            </w:r>
            <w:r w:rsidRPr="00FB2719">
              <w:rPr>
                <w:bCs/>
                <w:sz w:val="22"/>
                <w:szCs w:val="22"/>
                <w:lang w:val="en-US"/>
              </w:rPr>
              <w:t>/200</w:t>
            </w:r>
            <w:r w:rsidR="00D81DCF" w:rsidRPr="00FB2719">
              <w:rPr>
                <w:bCs/>
                <w:sz w:val="22"/>
                <w:szCs w:val="22"/>
                <w:lang w:val="en-US"/>
              </w:rPr>
              <w:t> </w:t>
            </w:r>
            <w:r w:rsidRPr="00FB2719">
              <w:rPr>
                <w:bCs/>
                <w:sz w:val="22"/>
                <w:szCs w:val="22"/>
                <w:lang w:val="en-US"/>
              </w:rPr>
              <w:t xml:space="preserve"> mg kartą per</w:t>
            </w:r>
            <w:r w:rsidR="00D81DCF" w:rsidRPr="00FB2719">
              <w:rPr>
                <w:bCs/>
                <w:sz w:val="22"/>
                <w:szCs w:val="22"/>
                <w:lang w:val="en-US"/>
              </w:rPr>
              <w:t xml:space="preserve"> </w:t>
            </w:r>
            <w:r w:rsidRPr="00FB2719">
              <w:rPr>
                <w:bCs/>
                <w:sz w:val="22"/>
                <w:szCs w:val="22"/>
                <w:lang w:val="en-US"/>
              </w:rPr>
              <w:t>parą kartu su ombitasviru /</w:t>
            </w:r>
            <w:r w:rsidR="00D81DCF" w:rsidRPr="00FB2719">
              <w:rPr>
                <w:bCs/>
                <w:sz w:val="22"/>
                <w:szCs w:val="22"/>
                <w:lang w:val="en-US"/>
              </w:rPr>
              <w:t xml:space="preserve"> </w:t>
            </w:r>
            <w:r w:rsidRPr="00FB2719">
              <w:rPr>
                <w:bCs/>
                <w:sz w:val="22"/>
                <w:szCs w:val="22"/>
                <w:lang w:val="en-US"/>
              </w:rPr>
              <w:t>paritapreviru/ ritonaviru su arba be</w:t>
            </w:r>
            <w:r w:rsidR="00D81DCF" w:rsidRPr="00FB2719">
              <w:rPr>
                <w:bCs/>
                <w:sz w:val="22"/>
                <w:szCs w:val="22"/>
                <w:lang w:val="en-US"/>
              </w:rPr>
              <w:t xml:space="preserve"> </w:t>
            </w:r>
            <w:r w:rsidRPr="00FB2719">
              <w:rPr>
                <w:bCs/>
                <w:sz w:val="22"/>
                <w:szCs w:val="22"/>
                <w:lang w:val="en-US"/>
              </w:rPr>
              <w:t>dasabuviro. Tiesiogiai virusą</w:t>
            </w:r>
            <w:r w:rsidR="00D81DCF" w:rsidRPr="00FB2719">
              <w:rPr>
                <w:bCs/>
                <w:sz w:val="22"/>
                <w:szCs w:val="22"/>
                <w:lang w:val="en-US"/>
              </w:rPr>
              <w:t xml:space="preserve"> </w:t>
            </w:r>
            <w:r w:rsidRPr="00FB2719">
              <w:rPr>
                <w:bCs/>
                <w:sz w:val="22"/>
                <w:szCs w:val="22"/>
                <w:lang w:val="en-US"/>
              </w:rPr>
              <w:t>veikiančių antivirusinių vaistų ir</w:t>
            </w:r>
            <w:r w:rsidR="00D81DCF" w:rsidRPr="00FB2719">
              <w:rPr>
                <w:bCs/>
                <w:sz w:val="22"/>
                <w:szCs w:val="22"/>
                <w:lang w:val="en-US"/>
              </w:rPr>
              <w:t xml:space="preserve"> </w:t>
            </w:r>
            <w:r w:rsidRPr="00FB2719">
              <w:rPr>
                <w:bCs/>
                <w:sz w:val="22"/>
                <w:szCs w:val="22"/>
                <w:lang w:val="en-US"/>
              </w:rPr>
              <w:t>lopinaviro poveikis buvo panašus į</w:t>
            </w:r>
            <w:r w:rsidR="00D81DCF" w:rsidRPr="00FB2719">
              <w:rPr>
                <w:bCs/>
                <w:sz w:val="22"/>
                <w:szCs w:val="22"/>
                <w:lang w:val="en-US"/>
              </w:rPr>
              <w:t xml:space="preserve"> </w:t>
            </w:r>
            <w:r w:rsidRPr="00FB2719">
              <w:rPr>
                <w:bCs/>
                <w:sz w:val="22"/>
                <w:szCs w:val="22"/>
                <w:lang w:val="en-US"/>
              </w:rPr>
              <w:t>stebėtą dukart per parą vartojant po</w:t>
            </w:r>
            <w:r w:rsidR="00D81DCF" w:rsidRPr="00FB2719">
              <w:rPr>
                <w:bCs/>
                <w:sz w:val="22"/>
                <w:szCs w:val="22"/>
                <w:lang w:val="en-US"/>
              </w:rPr>
              <w:t xml:space="preserve"> </w:t>
            </w:r>
            <w:r w:rsidRPr="00FB2719">
              <w:rPr>
                <w:bCs/>
                <w:sz w:val="22"/>
                <w:szCs w:val="22"/>
                <w:lang w:val="en-US"/>
              </w:rPr>
              <w:t>400</w:t>
            </w:r>
            <w:r w:rsidR="00D81DCF" w:rsidRPr="00FB2719">
              <w:rPr>
                <w:bCs/>
                <w:sz w:val="22"/>
                <w:szCs w:val="22"/>
                <w:lang w:val="en-US"/>
              </w:rPr>
              <w:t> mg</w:t>
            </w:r>
            <w:r w:rsidRPr="00FB2719">
              <w:rPr>
                <w:bCs/>
                <w:sz w:val="22"/>
                <w:szCs w:val="22"/>
                <w:lang w:val="en-US"/>
              </w:rPr>
              <w:t>/100</w:t>
            </w:r>
            <w:r w:rsidR="00D81DCF" w:rsidRPr="00FB2719">
              <w:rPr>
                <w:bCs/>
                <w:sz w:val="22"/>
                <w:szCs w:val="22"/>
                <w:lang w:val="en-US"/>
              </w:rPr>
              <w:t> </w:t>
            </w:r>
            <w:r w:rsidRPr="00FB2719">
              <w:rPr>
                <w:bCs/>
                <w:sz w:val="22"/>
                <w:szCs w:val="22"/>
                <w:lang w:val="en-US"/>
              </w:rPr>
              <w:t>mg lopinaviro / ritonaviro</w:t>
            </w:r>
            <w:r w:rsidR="00D81DCF" w:rsidRPr="00FB2719">
              <w:rPr>
                <w:bCs/>
                <w:sz w:val="22"/>
                <w:szCs w:val="22"/>
                <w:lang w:val="en-US"/>
              </w:rPr>
              <w:t xml:space="preserve"> </w:t>
            </w:r>
            <w:r w:rsidRPr="00FB2719">
              <w:rPr>
                <w:bCs/>
                <w:sz w:val="22"/>
                <w:szCs w:val="22"/>
                <w:lang w:val="en-US"/>
              </w:rPr>
              <w:t>(žr. 4.3 skyrių).</w:t>
            </w:r>
          </w:p>
        </w:tc>
      </w:tr>
      <w:tr w:rsidR="006D2636" w:rsidRPr="00FB2719" w14:paraId="783BB47A" w14:textId="77777777" w:rsidTr="00FB2719">
        <w:tc>
          <w:tcPr>
            <w:tcW w:w="3044" w:type="dxa"/>
            <w:tcBorders>
              <w:top w:val="single" w:sz="4" w:space="0" w:color="auto"/>
              <w:left w:val="single" w:sz="4" w:space="0" w:color="auto"/>
              <w:bottom w:val="single" w:sz="4" w:space="0" w:color="auto"/>
              <w:right w:val="single" w:sz="4" w:space="0" w:color="auto"/>
            </w:tcBorders>
          </w:tcPr>
          <w:p w14:paraId="62219FAE" w14:textId="77777777" w:rsidR="006D2636" w:rsidRPr="00FB2719" w:rsidRDefault="006D2636" w:rsidP="006D2636">
            <w:pPr>
              <w:tabs>
                <w:tab w:val="left" w:pos="567"/>
              </w:tabs>
              <w:spacing w:line="276" w:lineRule="auto"/>
              <w:jc w:val="both"/>
              <w:rPr>
                <w:bCs/>
                <w:sz w:val="22"/>
                <w:szCs w:val="22"/>
                <w:lang w:val="en-US"/>
              </w:rPr>
            </w:pPr>
            <w:r w:rsidRPr="00FB2719">
              <w:rPr>
                <w:bCs/>
                <w:sz w:val="22"/>
                <w:szCs w:val="22"/>
                <w:lang w:val="en-US"/>
              </w:rPr>
              <w:t>Ombitasviras /</w:t>
            </w:r>
            <w:r w:rsidR="00D81DCF" w:rsidRPr="00FB2719">
              <w:rPr>
                <w:bCs/>
                <w:sz w:val="22"/>
                <w:szCs w:val="22"/>
                <w:lang w:val="en-US"/>
              </w:rPr>
              <w:t xml:space="preserve"> </w:t>
            </w:r>
            <w:r w:rsidRPr="00FB2719">
              <w:rPr>
                <w:bCs/>
                <w:sz w:val="22"/>
                <w:szCs w:val="22"/>
                <w:lang w:val="en-US"/>
              </w:rPr>
              <w:t>paritapreviras /</w:t>
            </w:r>
          </w:p>
          <w:p w14:paraId="3EF7C448" w14:textId="77777777" w:rsidR="006D2636" w:rsidRPr="00FB2719" w:rsidRDefault="006D2636" w:rsidP="006D2636">
            <w:pPr>
              <w:tabs>
                <w:tab w:val="left" w:pos="567"/>
              </w:tabs>
              <w:spacing w:line="276" w:lineRule="auto"/>
              <w:jc w:val="both"/>
              <w:rPr>
                <w:bCs/>
                <w:sz w:val="22"/>
                <w:szCs w:val="22"/>
                <w:lang w:val="en-US"/>
              </w:rPr>
            </w:pPr>
            <w:r w:rsidRPr="00FB2719">
              <w:rPr>
                <w:bCs/>
                <w:sz w:val="22"/>
                <w:szCs w:val="22"/>
                <w:lang w:val="en-US"/>
              </w:rPr>
              <w:t>ritonaviras</w:t>
            </w:r>
          </w:p>
          <w:p w14:paraId="4231D17A" w14:textId="77777777" w:rsidR="006D2636" w:rsidRPr="00FB2719" w:rsidRDefault="006D2636" w:rsidP="006D2636">
            <w:pPr>
              <w:tabs>
                <w:tab w:val="left" w:pos="567"/>
              </w:tabs>
              <w:spacing w:line="276" w:lineRule="auto"/>
              <w:jc w:val="both"/>
              <w:rPr>
                <w:bCs/>
                <w:sz w:val="22"/>
                <w:szCs w:val="22"/>
                <w:lang w:val="en-US"/>
              </w:rPr>
            </w:pPr>
            <w:r w:rsidRPr="00FB2719">
              <w:rPr>
                <w:bCs/>
                <w:sz w:val="22"/>
                <w:szCs w:val="22"/>
                <w:lang w:val="en-US"/>
              </w:rPr>
              <w:lastRenderedPageBreak/>
              <w:t>(25</w:t>
            </w:r>
            <w:r w:rsidR="00D81DCF" w:rsidRPr="00FB2719">
              <w:rPr>
                <w:bCs/>
                <w:sz w:val="22"/>
                <w:szCs w:val="22"/>
                <w:lang w:val="en-US"/>
              </w:rPr>
              <w:t> mg</w:t>
            </w:r>
            <w:r w:rsidRPr="00FB2719">
              <w:rPr>
                <w:bCs/>
                <w:sz w:val="22"/>
                <w:szCs w:val="22"/>
                <w:lang w:val="en-US"/>
              </w:rPr>
              <w:t>/150</w:t>
            </w:r>
            <w:r w:rsidR="00D81DCF" w:rsidRPr="00FB2719">
              <w:rPr>
                <w:bCs/>
                <w:sz w:val="22"/>
                <w:szCs w:val="22"/>
                <w:lang w:val="en-US"/>
              </w:rPr>
              <w:t> mg</w:t>
            </w:r>
            <w:r w:rsidRPr="00FB2719">
              <w:rPr>
                <w:bCs/>
                <w:sz w:val="22"/>
                <w:szCs w:val="22"/>
                <w:lang w:val="en-US"/>
              </w:rPr>
              <w:t>/100</w:t>
            </w:r>
            <w:r w:rsidR="00D81DCF" w:rsidRPr="00FB2719">
              <w:rPr>
                <w:bCs/>
                <w:sz w:val="22"/>
                <w:szCs w:val="22"/>
                <w:lang w:val="en-US"/>
              </w:rPr>
              <w:t> </w:t>
            </w:r>
            <w:r w:rsidRPr="00FB2719">
              <w:rPr>
                <w:bCs/>
                <w:sz w:val="22"/>
                <w:szCs w:val="22"/>
                <w:lang w:val="en-US"/>
              </w:rPr>
              <w:t>mg kartą</w:t>
            </w:r>
            <w:r w:rsidR="00D81DCF" w:rsidRPr="00FB2719">
              <w:rPr>
                <w:bCs/>
                <w:sz w:val="22"/>
                <w:szCs w:val="22"/>
                <w:lang w:val="en-US"/>
              </w:rPr>
              <w:t xml:space="preserve"> </w:t>
            </w:r>
            <w:r w:rsidRPr="00FB2719">
              <w:rPr>
                <w:bCs/>
                <w:sz w:val="22"/>
                <w:szCs w:val="22"/>
                <w:lang w:val="en-US"/>
              </w:rPr>
              <w:t>per parą)</w:t>
            </w:r>
          </w:p>
          <w:p w14:paraId="0C3E0E90" w14:textId="77777777" w:rsidR="006D2636" w:rsidRPr="00FB2719" w:rsidRDefault="006D2636" w:rsidP="006D2636">
            <w:pPr>
              <w:tabs>
                <w:tab w:val="left" w:pos="567"/>
              </w:tabs>
              <w:spacing w:line="276" w:lineRule="auto"/>
              <w:jc w:val="both"/>
              <w:rPr>
                <w:bCs/>
                <w:sz w:val="22"/>
                <w:szCs w:val="22"/>
                <w:lang w:val="en-US"/>
              </w:rPr>
            </w:pPr>
            <w:r w:rsidRPr="00FB2719">
              <w:rPr>
                <w:bCs/>
                <w:sz w:val="22"/>
                <w:szCs w:val="22"/>
                <w:lang w:val="en-US"/>
              </w:rPr>
              <w:t>Lopinaviras /</w:t>
            </w:r>
            <w:r w:rsidR="00D81DCF" w:rsidRPr="00FB2719">
              <w:rPr>
                <w:bCs/>
                <w:sz w:val="22"/>
                <w:szCs w:val="22"/>
                <w:lang w:val="en-US"/>
              </w:rPr>
              <w:t xml:space="preserve"> </w:t>
            </w:r>
            <w:r w:rsidRPr="00FB2719">
              <w:rPr>
                <w:bCs/>
                <w:sz w:val="22"/>
                <w:szCs w:val="22"/>
                <w:lang w:val="en-US"/>
              </w:rPr>
              <w:t>ritonaviras</w:t>
            </w:r>
          </w:p>
          <w:p w14:paraId="43C16A9A" w14:textId="77777777" w:rsidR="006D2636" w:rsidRPr="00FB2719" w:rsidRDefault="006D2636" w:rsidP="00D81DCF">
            <w:pPr>
              <w:tabs>
                <w:tab w:val="left" w:pos="567"/>
              </w:tabs>
              <w:spacing w:line="276" w:lineRule="auto"/>
              <w:jc w:val="both"/>
              <w:rPr>
                <w:bCs/>
                <w:sz w:val="22"/>
                <w:szCs w:val="22"/>
                <w:lang w:val="en-US"/>
              </w:rPr>
            </w:pPr>
            <w:r w:rsidRPr="00FB2719">
              <w:rPr>
                <w:bCs/>
                <w:sz w:val="22"/>
                <w:szCs w:val="22"/>
                <w:lang w:val="en-US"/>
              </w:rPr>
              <w:t>400</w:t>
            </w:r>
            <w:r w:rsidR="00D81DCF" w:rsidRPr="00FB2719">
              <w:rPr>
                <w:bCs/>
                <w:sz w:val="22"/>
                <w:szCs w:val="22"/>
                <w:lang w:val="en-US"/>
              </w:rPr>
              <w:t> mg</w:t>
            </w:r>
            <w:r w:rsidRPr="00FB2719">
              <w:rPr>
                <w:bCs/>
                <w:sz w:val="22"/>
                <w:szCs w:val="22"/>
                <w:lang w:val="en-US"/>
              </w:rPr>
              <w:t>/100</w:t>
            </w:r>
            <w:r w:rsidR="00D81DCF" w:rsidRPr="00FB2719">
              <w:rPr>
                <w:bCs/>
                <w:sz w:val="22"/>
                <w:szCs w:val="22"/>
                <w:lang w:val="en-US"/>
              </w:rPr>
              <w:t> </w:t>
            </w:r>
            <w:r w:rsidRPr="00FB2719">
              <w:rPr>
                <w:bCs/>
                <w:sz w:val="22"/>
                <w:szCs w:val="22"/>
                <w:lang w:val="en-US"/>
              </w:rPr>
              <w:t>mg du kartus</w:t>
            </w:r>
            <w:r w:rsidR="00D81DCF" w:rsidRPr="00FB2719">
              <w:rPr>
                <w:bCs/>
                <w:sz w:val="22"/>
                <w:szCs w:val="22"/>
                <w:lang w:val="en-US"/>
              </w:rPr>
              <w:t xml:space="preserve"> </w:t>
            </w:r>
            <w:r w:rsidRPr="00FB2719">
              <w:rPr>
                <w:bCs/>
                <w:sz w:val="22"/>
                <w:szCs w:val="22"/>
                <w:lang w:val="en-US"/>
              </w:rPr>
              <w:t>per parą</w:t>
            </w:r>
          </w:p>
        </w:tc>
        <w:tc>
          <w:tcPr>
            <w:tcW w:w="2984" w:type="dxa"/>
            <w:tcBorders>
              <w:top w:val="single" w:sz="4" w:space="0" w:color="auto"/>
              <w:left w:val="single" w:sz="4" w:space="0" w:color="auto"/>
              <w:bottom w:val="single" w:sz="4" w:space="0" w:color="auto"/>
              <w:right w:val="single" w:sz="4" w:space="0" w:color="auto"/>
            </w:tcBorders>
          </w:tcPr>
          <w:p w14:paraId="6E2369F0" w14:textId="77777777" w:rsidR="00D81DCF" w:rsidRPr="00FB2719" w:rsidRDefault="00D81DCF" w:rsidP="00D81DCF">
            <w:pPr>
              <w:tabs>
                <w:tab w:val="left" w:pos="567"/>
              </w:tabs>
              <w:spacing w:line="276" w:lineRule="auto"/>
              <w:rPr>
                <w:bCs/>
                <w:sz w:val="22"/>
                <w:szCs w:val="22"/>
                <w:lang w:val="en-US"/>
              </w:rPr>
            </w:pPr>
            <w:r w:rsidRPr="00FB2719">
              <w:rPr>
                <w:bCs/>
                <w:sz w:val="22"/>
                <w:szCs w:val="22"/>
                <w:lang w:val="en-US"/>
              </w:rPr>
              <w:lastRenderedPageBreak/>
              <w:t>Ombitasviras: ↔</w:t>
            </w:r>
          </w:p>
          <w:p w14:paraId="5FA40DC7" w14:textId="77777777" w:rsidR="00D81DCF" w:rsidRPr="00FB2719" w:rsidRDefault="00D81DCF" w:rsidP="00D81DCF">
            <w:pPr>
              <w:tabs>
                <w:tab w:val="left" w:pos="567"/>
              </w:tabs>
              <w:spacing w:line="276" w:lineRule="auto"/>
              <w:rPr>
                <w:bCs/>
                <w:sz w:val="22"/>
                <w:szCs w:val="22"/>
                <w:lang w:val="en-US"/>
              </w:rPr>
            </w:pPr>
            <w:r w:rsidRPr="00FB2719">
              <w:rPr>
                <w:bCs/>
                <w:sz w:val="22"/>
                <w:szCs w:val="22"/>
                <w:lang w:val="en-US"/>
              </w:rPr>
              <w:t>Paritapreviras:</w:t>
            </w:r>
          </w:p>
          <w:p w14:paraId="33B17338" w14:textId="77777777" w:rsidR="00D81DCF" w:rsidRPr="00FB2719" w:rsidRDefault="00D81DCF" w:rsidP="00D81DCF">
            <w:pPr>
              <w:tabs>
                <w:tab w:val="left" w:pos="567"/>
              </w:tabs>
              <w:spacing w:line="276" w:lineRule="auto"/>
              <w:rPr>
                <w:bCs/>
                <w:sz w:val="22"/>
                <w:szCs w:val="22"/>
                <w:lang w:val="en-US"/>
              </w:rPr>
            </w:pPr>
            <w:r w:rsidRPr="00FB2719">
              <w:rPr>
                <w:bCs/>
                <w:sz w:val="22"/>
                <w:szCs w:val="22"/>
                <w:lang w:val="en-US"/>
              </w:rPr>
              <w:lastRenderedPageBreak/>
              <w:t>AUC: ↑ 6,10 karto</w:t>
            </w:r>
          </w:p>
          <w:p w14:paraId="399E02B6" w14:textId="77777777" w:rsidR="00D81DCF" w:rsidRPr="00FB2719" w:rsidRDefault="00D81DCF" w:rsidP="00D81DCF">
            <w:pPr>
              <w:tabs>
                <w:tab w:val="left" w:pos="567"/>
              </w:tabs>
              <w:spacing w:line="276" w:lineRule="auto"/>
              <w:rPr>
                <w:bCs/>
                <w:sz w:val="22"/>
                <w:szCs w:val="22"/>
                <w:lang w:val="en-US"/>
              </w:rPr>
            </w:pPr>
            <w:r w:rsidRPr="00FB2719">
              <w:rPr>
                <w:bCs/>
                <w:sz w:val="22"/>
                <w:szCs w:val="22"/>
                <w:lang w:val="en-US"/>
              </w:rPr>
              <w:t>C</w:t>
            </w:r>
            <w:r w:rsidRPr="00FB2719">
              <w:rPr>
                <w:bCs/>
                <w:sz w:val="22"/>
                <w:szCs w:val="22"/>
                <w:vertAlign w:val="subscript"/>
                <w:lang w:val="en-US"/>
              </w:rPr>
              <w:t>max</w:t>
            </w:r>
            <w:r w:rsidRPr="00FB2719">
              <w:rPr>
                <w:bCs/>
                <w:sz w:val="22"/>
                <w:szCs w:val="22"/>
                <w:lang w:val="en-US"/>
              </w:rPr>
              <w:t>: ↑ 4,76 karto</w:t>
            </w:r>
          </w:p>
          <w:p w14:paraId="7DDAD203" w14:textId="77777777" w:rsidR="00D81DCF" w:rsidRPr="00FB2719" w:rsidRDefault="00D81DCF" w:rsidP="00D81DCF">
            <w:pPr>
              <w:tabs>
                <w:tab w:val="left" w:pos="567"/>
              </w:tabs>
              <w:spacing w:line="276" w:lineRule="auto"/>
              <w:rPr>
                <w:bCs/>
                <w:sz w:val="22"/>
                <w:szCs w:val="22"/>
                <w:lang w:val="en-US"/>
              </w:rPr>
            </w:pPr>
            <w:r w:rsidRPr="00FB2719">
              <w:rPr>
                <w:bCs/>
                <w:sz w:val="22"/>
                <w:szCs w:val="22"/>
                <w:lang w:val="en-US"/>
              </w:rPr>
              <w:t>C</w:t>
            </w:r>
            <w:r w:rsidRPr="00FB2719">
              <w:rPr>
                <w:bCs/>
                <w:sz w:val="22"/>
                <w:szCs w:val="22"/>
                <w:vertAlign w:val="subscript"/>
                <w:lang w:val="en-US"/>
              </w:rPr>
              <w:t>trough</w:t>
            </w:r>
            <w:r w:rsidRPr="00FB2719">
              <w:rPr>
                <w:bCs/>
                <w:sz w:val="22"/>
                <w:szCs w:val="22"/>
                <w:lang w:val="en-US"/>
              </w:rPr>
              <w:t>: ↑ 12,33 karto</w:t>
            </w:r>
          </w:p>
          <w:p w14:paraId="4EB7AB62" w14:textId="77777777" w:rsidR="00D81DCF" w:rsidRPr="00FB2719" w:rsidRDefault="00D81DCF" w:rsidP="00D81DCF">
            <w:pPr>
              <w:tabs>
                <w:tab w:val="left" w:pos="567"/>
              </w:tabs>
              <w:spacing w:line="276" w:lineRule="auto"/>
              <w:rPr>
                <w:bCs/>
                <w:sz w:val="22"/>
                <w:szCs w:val="22"/>
                <w:lang w:val="en-US"/>
              </w:rPr>
            </w:pPr>
            <w:r w:rsidRPr="00FB2719">
              <w:rPr>
                <w:bCs/>
                <w:sz w:val="22"/>
                <w:szCs w:val="22"/>
                <w:lang w:val="en-US"/>
              </w:rPr>
              <w:t>(CYP3A / ištekėjimo siurblio</w:t>
            </w:r>
          </w:p>
          <w:p w14:paraId="7736B6D3" w14:textId="77777777" w:rsidR="00D81DCF" w:rsidRPr="00FB2719" w:rsidRDefault="00D81DCF" w:rsidP="00D81DCF">
            <w:pPr>
              <w:tabs>
                <w:tab w:val="left" w:pos="567"/>
              </w:tabs>
              <w:spacing w:line="276" w:lineRule="auto"/>
              <w:rPr>
                <w:bCs/>
                <w:sz w:val="22"/>
                <w:szCs w:val="22"/>
                <w:lang w:val="en-US"/>
              </w:rPr>
            </w:pPr>
            <w:r w:rsidRPr="00FB2719">
              <w:rPr>
                <w:bCs/>
                <w:sz w:val="22"/>
                <w:szCs w:val="22"/>
                <w:lang w:val="en-US"/>
              </w:rPr>
              <w:t>slopinimas)</w:t>
            </w:r>
          </w:p>
          <w:p w14:paraId="0910AFE5" w14:textId="77777777" w:rsidR="006D2636" w:rsidRPr="00FB2719" w:rsidRDefault="00D81DCF" w:rsidP="00D81DCF">
            <w:pPr>
              <w:tabs>
                <w:tab w:val="left" w:pos="567"/>
              </w:tabs>
              <w:spacing w:line="276" w:lineRule="auto"/>
              <w:rPr>
                <w:bCs/>
                <w:sz w:val="22"/>
                <w:szCs w:val="22"/>
                <w:lang w:val="en-US"/>
              </w:rPr>
            </w:pPr>
            <w:r w:rsidRPr="00FB2719">
              <w:rPr>
                <w:bCs/>
                <w:sz w:val="22"/>
                <w:szCs w:val="22"/>
                <w:lang w:val="en-US"/>
              </w:rPr>
              <w:t>Lopinaviras: ↔</w:t>
            </w:r>
          </w:p>
        </w:tc>
        <w:tc>
          <w:tcPr>
            <w:tcW w:w="2988" w:type="dxa"/>
            <w:tcBorders>
              <w:top w:val="nil"/>
              <w:left w:val="single" w:sz="4" w:space="0" w:color="auto"/>
              <w:bottom w:val="single" w:sz="4" w:space="0" w:color="auto"/>
              <w:right w:val="single" w:sz="4" w:space="0" w:color="auto"/>
            </w:tcBorders>
          </w:tcPr>
          <w:p w14:paraId="6038A5C1" w14:textId="77777777" w:rsidR="006D2636" w:rsidRPr="00FB2719" w:rsidRDefault="006D2636">
            <w:pPr>
              <w:tabs>
                <w:tab w:val="left" w:pos="567"/>
              </w:tabs>
              <w:spacing w:line="276" w:lineRule="auto"/>
              <w:rPr>
                <w:bCs/>
                <w:sz w:val="22"/>
                <w:szCs w:val="22"/>
                <w:lang w:val="en-US"/>
              </w:rPr>
            </w:pPr>
          </w:p>
        </w:tc>
      </w:tr>
      <w:tr w:rsidR="006D2636" w:rsidRPr="00FB2719" w14:paraId="5FC1B022" w14:textId="77777777" w:rsidTr="00FB2719">
        <w:tc>
          <w:tcPr>
            <w:tcW w:w="9016" w:type="dxa"/>
            <w:gridSpan w:val="3"/>
            <w:tcBorders>
              <w:top w:val="single" w:sz="4" w:space="0" w:color="auto"/>
              <w:left w:val="single" w:sz="4" w:space="0" w:color="auto"/>
              <w:bottom w:val="single" w:sz="4" w:space="0" w:color="auto"/>
              <w:right w:val="single" w:sz="4" w:space="0" w:color="auto"/>
            </w:tcBorders>
          </w:tcPr>
          <w:p w14:paraId="2587A495" w14:textId="77777777" w:rsidR="006D2636" w:rsidRPr="00FB2719" w:rsidRDefault="006D2636" w:rsidP="006D2636">
            <w:pPr>
              <w:tabs>
                <w:tab w:val="left" w:pos="567"/>
              </w:tabs>
              <w:spacing w:line="276" w:lineRule="auto"/>
              <w:jc w:val="both"/>
              <w:rPr>
                <w:bCs/>
                <w:i/>
                <w:sz w:val="22"/>
                <w:szCs w:val="22"/>
                <w:lang w:val="en-US"/>
              </w:rPr>
            </w:pPr>
            <w:r w:rsidRPr="00FB2719">
              <w:rPr>
                <w:bCs/>
                <w:i/>
                <w:sz w:val="22"/>
                <w:szCs w:val="22"/>
                <w:lang w:val="en-US"/>
              </w:rPr>
              <w:t>Hepatito C viruso proteazės inhibitoriai</w:t>
            </w:r>
          </w:p>
        </w:tc>
      </w:tr>
      <w:tr w:rsidR="00CA08B3" w:rsidRPr="00FB2719" w14:paraId="475475EB" w14:textId="77777777" w:rsidTr="0064111D">
        <w:tc>
          <w:tcPr>
            <w:tcW w:w="3044" w:type="dxa"/>
            <w:tcBorders>
              <w:top w:val="single" w:sz="4" w:space="0" w:color="auto"/>
              <w:left w:val="single" w:sz="4" w:space="0" w:color="auto"/>
              <w:bottom w:val="single" w:sz="4" w:space="0" w:color="auto"/>
              <w:right w:val="single" w:sz="4" w:space="0" w:color="auto"/>
            </w:tcBorders>
            <w:hideMark/>
          </w:tcPr>
          <w:p w14:paraId="248EF78C" w14:textId="77777777" w:rsidR="00CA08B3" w:rsidRPr="00FB2719" w:rsidRDefault="00CA08B3" w:rsidP="0025420A">
            <w:pPr>
              <w:tabs>
                <w:tab w:val="left" w:pos="567"/>
              </w:tabs>
              <w:spacing w:line="276" w:lineRule="auto"/>
              <w:jc w:val="both"/>
              <w:rPr>
                <w:bCs/>
                <w:sz w:val="22"/>
                <w:szCs w:val="22"/>
                <w:lang w:val="en-US"/>
              </w:rPr>
            </w:pPr>
            <w:r w:rsidRPr="00FB2719">
              <w:rPr>
                <w:bCs/>
                <w:sz w:val="22"/>
                <w:szCs w:val="22"/>
                <w:lang w:val="en-US"/>
              </w:rPr>
              <w:t>Bocepreviras 800</w:t>
            </w:r>
            <w:r w:rsidR="0025420A" w:rsidRPr="00FB2719">
              <w:rPr>
                <w:bCs/>
                <w:sz w:val="22"/>
                <w:szCs w:val="22"/>
                <w:lang w:val="en-US"/>
              </w:rPr>
              <w:t> </w:t>
            </w:r>
            <w:r w:rsidRPr="00FB2719">
              <w:rPr>
                <w:bCs/>
                <w:sz w:val="22"/>
                <w:szCs w:val="22"/>
                <w:lang w:val="en-US"/>
              </w:rPr>
              <w:t>mg tris kartus per parą</w:t>
            </w:r>
          </w:p>
        </w:tc>
        <w:tc>
          <w:tcPr>
            <w:tcW w:w="2984" w:type="dxa"/>
            <w:tcBorders>
              <w:top w:val="single" w:sz="4" w:space="0" w:color="auto"/>
              <w:left w:val="single" w:sz="4" w:space="0" w:color="auto"/>
              <w:bottom w:val="single" w:sz="4" w:space="0" w:color="auto"/>
              <w:right w:val="single" w:sz="4" w:space="0" w:color="auto"/>
            </w:tcBorders>
          </w:tcPr>
          <w:p w14:paraId="1BBB7E9E" w14:textId="77777777" w:rsidR="00CA08B3" w:rsidRPr="00FB2719" w:rsidRDefault="00CA08B3">
            <w:pPr>
              <w:tabs>
                <w:tab w:val="left" w:pos="567"/>
              </w:tabs>
              <w:spacing w:line="276" w:lineRule="auto"/>
              <w:rPr>
                <w:bCs/>
                <w:sz w:val="22"/>
                <w:szCs w:val="22"/>
                <w:lang w:val="en-US"/>
              </w:rPr>
            </w:pPr>
            <w:r w:rsidRPr="00FB2719">
              <w:rPr>
                <w:bCs/>
                <w:sz w:val="22"/>
                <w:szCs w:val="22"/>
                <w:lang w:val="en-US"/>
              </w:rPr>
              <w:t>Bocepreviras:</w:t>
            </w:r>
          </w:p>
          <w:p w14:paraId="02F53531" w14:textId="77777777" w:rsidR="00CA08B3" w:rsidRPr="00FB2719" w:rsidRDefault="00CA08B3">
            <w:pPr>
              <w:tabs>
                <w:tab w:val="left" w:pos="567"/>
              </w:tabs>
              <w:spacing w:line="276" w:lineRule="auto"/>
              <w:rPr>
                <w:bCs/>
                <w:sz w:val="22"/>
                <w:szCs w:val="22"/>
                <w:lang w:val="en-US"/>
              </w:rPr>
            </w:pPr>
            <w:r w:rsidRPr="00FB2719">
              <w:rPr>
                <w:bCs/>
                <w:sz w:val="22"/>
                <w:szCs w:val="22"/>
                <w:lang w:val="en-US"/>
              </w:rPr>
              <w:t>AUC: ↓ 45 %</w:t>
            </w:r>
          </w:p>
          <w:p w14:paraId="14063859" w14:textId="77777777" w:rsidR="00CA08B3" w:rsidRPr="00FB2719" w:rsidRDefault="00CA08B3">
            <w:pPr>
              <w:tabs>
                <w:tab w:val="left" w:pos="567"/>
              </w:tabs>
              <w:spacing w:line="276" w:lineRule="auto"/>
              <w:rPr>
                <w:bCs/>
                <w:sz w:val="22"/>
                <w:szCs w:val="22"/>
                <w:lang w:val="en-US"/>
              </w:rPr>
            </w:pPr>
            <w:r w:rsidRPr="00FB2719">
              <w:rPr>
                <w:bCs/>
                <w:sz w:val="22"/>
                <w:szCs w:val="22"/>
                <w:lang w:val="en-US"/>
              </w:rPr>
              <w:t>C</w:t>
            </w:r>
            <w:r w:rsidRPr="00FB2719">
              <w:rPr>
                <w:bCs/>
                <w:sz w:val="22"/>
                <w:szCs w:val="22"/>
                <w:vertAlign w:val="subscript"/>
                <w:lang w:val="en-US"/>
              </w:rPr>
              <w:t>max</w:t>
            </w:r>
            <w:r w:rsidRPr="00FB2719">
              <w:rPr>
                <w:bCs/>
                <w:sz w:val="22"/>
                <w:szCs w:val="22"/>
                <w:lang w:val="en-US"/>
              </w:rPr>
              <w:t>: ↓ 50 %</w:t>
            </w:r>
          </w:p>
          <w:p w14:paraId="4DAC73DE" w14:textId="77777777" w:rsidR="00CA08B3" w:rsidRPr="00FB2719" w:rsidRDefault="00CA08B3">
            <w:pPr>
              <w:tabs>
                <w:tab w:val="left" w:pos="567"/>
              </w:tabs>
              <w:spacing w:line="276" w:lineRule="auto"/>
              <w:rPr>
                <w:bCs/>
                <w:sz w:val="22"/>
                <w:szCs w:val="22"/>
                <w:lang w:val="en-US"/>
              </w:rPr>
            </w:pPr>
            <w:r w:rsidRPr="00FB2719">
              <w:rPr>
                <w:bCs/>
                <w:sz w:val="22"/>
                <w:szCs w:val="22"/>
                <w:lang w:val="en-US"/>
              </w:rPr>
              <w:t>C</w:t>
            </w:r>
            <w:r w:rsidRPr="00FB2719">
              <w:rPr>
                <w:bCs/>
                <w:sz w:val="22"/>
                <w:szCs w:val="22"/>
                <w:vertAlign w:val="subscript"/>
                <w:lang w:val="en-US"/>
              </w:rPr>
              <w:t>min</w:t>
            </w:r>
            <w:r w:rsidRPr="00FB2719">
              <w:rPr>
                <w:bCs/>
                <w:sz w:val="22"/>
                <w:szCs w:val="22"/>
                <w:lang w:val="en-US"/>
              </w:rPr>
              <w:t>: ↓ 57 %</w:t>
            </w:r>
          </w:p>
          <w:p w14:paraId="6BE5EBB4" w14:textId="77777777" w:rsidR="00CA08B3" w:rsidRPr="00FB2719" w:rsidRDefault="00CA08B3">
            <w:pPr>
              <w:tabs>
                <w:tab w:val="left" w:pos="567"/>
              </w:tabs>
              <w:spacing w:line="276" w:lineRule="auto"/>
              <w:rPr>
                <w:bCs/>
                <w:sz w:val="22"/>
                <w:szCs w:val="22"/>
                <w:lang w:val="en-US"/>
              </w:rPr>
            </w:pPr>
          </w:p>
          <w:p w14:paraId="6E905358" w14:textId="77777777" w:rsidR="00CA08B3" w:rsidRPr="00FB2719" w:rsidRDefault="00CA08B3">
            <w:pPr>
              <w:tabs>
                <w:tab w:val="left" w:pos="567"/>
              </w:tabs>
              <w:spacing w:line="276" w:lineRule="auto"/>
              <w:rPr>
                <w:bCs/>
                <w:sz w:val="22"/>
                <w:szCs w:val="22"/>
                <w:lang w:val="en-US"/>
              </w:rPr>
            </w:pPr>
            <w:r w:rsidRPr="00FB2719">
              <w:rPr>
                <w:bCs/>
                <w:sz w:val="22"/>
                <w:szCs w:val="22"/>
                <w:lang w:val="en-US"/>
              </w:rPr>
              <w:t>Lopinaviras:</w:t>
            </w:r>
          </w:p>
          <w:p w14:paraId="31DA5A05" w14:textId="77777777" w:rsidR="00CA08B3" w:rsidRPr="00FB2719" w:rsidRDefault="00CA08B3">
            <w:pPr>
              <w:tabs>
                <w:tab w:val="left" w:pos="567"/>
              </w:tabs>
              <w:spacing w:line="276" w:lineRule="auto"/>
              <w:rPr>
                <w:bCs/>
                <w:sz w:val="22"/>
                <w:szCs w:val="22"/>
                <w:lang w:val="en-US"/>
              </w:rPr>
            </w:pPr>
            <w:r w:rsidRPr="00FB2719">
              <w:rPr>
                <w:bCs/>
                <w:sz w:val="22"/>
                <w:szCs w:val="22"/>
                <w:lang w:val="en-US"/>
              </w:rPr>
              <w:t>AUC: ↓ 34 %</w:t>
            </w:r>
          </w:p>
          <w:p w14:paraId="20BC3FD2" w14:textId="77777777" w:rsidR="00CA08B3" w:rsidRPr="00FB2719" w:rsidRDefault="00CA08B3">
            <w:pPr>
              <w:tabs>
                <w:tab w:val="left" w:pos="567"/>
              </w:tabs>
              <w:spacing w:line="276" w:lineRule="auto"/>
              <w:rPr>
                <w:bCs/>
                <w:sz w:val="22"/>
                <w:szCs w:val="22"/>
                <w:lang w:val="en-US"/>
              </w:rPr>
            </w:pPr>
            <w:r w:rsidRPr="00FB2719">
              <w:rPr>
                <w:bCs/>
                <w:sz w:val="22"/>
                <w:szCs w:val="22"/>
                <w:lang w:val="en-US"/>
              </w:rPr>
              <w:t>C</w:t>
            </w:r>
            <w:r w:rsidRPr="00FB2719">
              <w:rPr>
                <w:bCs/>
                <w:sz w:val="22"/>
                <w:szCs w:val="22"/>
                <w:vertAlign w:val="subscript"/>
                <w:lang w:val="en-US"/>
              </w:rPr>
              <w:t>max</w:t>
            </w:r>
            <w:r w:rsidRPr="00FB2719">
              <w:rPr>
                <w:bCs/>
                <w:sz w:val="22"/>
                <w:szCs w:val="22"/>
                <w:lang w:val="en-US"/>
              </w:rPr>
              <w:t>: ↓ 30 %</w:t>
            </w:r>
          </w:p>
          <w:p w14:paraId="70E91222" w14:textId="77777777" w:rsidR="00CA08B3" w:rsidRPr="00FB2719" w:rsidRDefault="00CA08B3">
            <w:pPr>
              <w:tabs>
                <w:tab w:val="left" w:pos="567"/>
              </w:tabs>
              <w:spacing w:line="276" w:lineRule="auto"/>
              <w:rPr>
                <w:bCs/>
                <w:sz w:val="22"/>
                <w:szCs w:val="22"/>
                <w:lang w:val="en-US"/>
              </w:rPr>
            </w:pPr>
            <w:r w:rsidRPr="00FB2719">
              <w:rPr>
                <w:bCs/>
                <w:sz w:val="22"/>
                <w:szCs w:val="22"/>
                <w:lang w:val="en-US"/>
              </w:rPr>
              <w:t>C</w:t>
            </w:r>
            <w:r w:rsidRPr="00FB2719">
              <w:rPr>
                <w:bCs/>
                <w:sz w:val="22"/>
                <w:szCs w:val="22"/>
                <w:vertAlign w:val="subscript"/>
                <w:lang w:val="en-US"/>
              </w:rPr>
              <w:t>min</w:t>
            </w:r>
            <w:r w:rsidRPr="00FB2719">
              <w:rPr>
                <w:bCs/>
                <w:sz w:val="22"/>
                <w:szCs w:val="22"/>
                <w:lang w:val="en-US"/>
              </w:rPr>
              <w:t>: ↓ 43 %</w:t>
            </w:r>
          </w:p>
        </w:tc>
        <w:tc>
          <w:tcPr>
            <w:tcW w:w="2988" w:type="dxa"/>
            <w:tcBorders>
              <w:top w:val="single" w:sz="4" w:space="0" w:color="auto"/>
              <w:left w:val="single" w:sz="4" w:space="0" w:color="auto"/>
              <w:bottom w:val="single" w:sz="4" w:space="0" w:color="auto"/>
              <w:right w:val="single" w:sz="4" w:space="0" w:color="auto"/>
            </w:tcBorders>
            <w:hideMark/>
          </w:tcPr>
          <w:p w14:paraId="3869A10E" w14:textId="77777777" w:rsidR="00CA08B3" w:rsidRPr="00FB2719" w:rsidRDefault="00CA08B3">
            <w:pPr>
              <w:tabs>
                <w:tab w:val="left" w:pos="567"/>
              </w:tabs>
              <w:spacing w:line="276" w:lineRule="auto"/>
              <w:rPr>
                <w:bCs/>
                <w:sz w:val="22"/>
                <w:szCs w:val="22"/>
                <w:lang w:val="en-US"/>
              </w:rPr>
            </w:pPr>
            <w:r w:rsidRPr="00FB2719">
              <w:rPr>
                <w:bCs/>
                <w:sz w:val="22"/>
                <w:szCs w:val="22"/>
                <w:lang w:val="en-US"/>
              </w:rPr>
              <w:t>Lopinavir/Ritonavir Sandoz vartoti kartu su bocepreviru nerekomenduojama.</w:t>
            </w:r>
          </w:p>
        </w:tc>
      </w:tr>
      <w:tr w:rsidR="00CA08B3" w:rsidRPr="00FB2719" w14:paraId="5F6C996E" w14:textId="77777777" w:rsidTr="0064111D">
        <w:tc>
          <w:tcPr>
            <w:tcW w:w="3044"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828"/>
            </w:tblGrid>
            <w:tr w:rsidR="00CA08B3" w:rsidRPr="00FB2719" w14:paraId="46967E35" w14:textId="77777777">
              <w:trPr>
                <w:trHeight w:val="523"/>
              </w:trPr>
              <w:tc>
                <w:tcPr>
                  <w:tcW w:w="0" w:type="auto"/>
                  <w:tcBorders>
                    <w:top w:val="nil"/>
                    <w:left w:val="nil"/>
                    <w:bottom w:val="nil"/>
                    <w:right w:val="nil"/>
                  </w:tcBorders>
                  <w:hideMark/>
                </w:tcPr>
                <w:p w14:paraId="0E3C9E6D" w14:textId="77777777" w:rsidR="00CA08B3" w:rsidRPr="00FB2719" w:rsidRDefault="00CA08B3" w:rsidP="0025420A">
                  <w:pPr>
                    <w:autoSpaceDE w:val="0"/>
                    <w:autoSpaceDN w:val="0"/>
                    <w:adjustRightInd w:val="0"/>
                    <w:spacing w:line="276" w:lineRule="auto"/>
                    <w:rPr>
                      <w:rFonts w:eastAsia="Calibri"/>
                      <w:color w:val="000000"/>
                      <w:sz w:val="22"/>
                      <w:szCs w:val="22"/>
                      <w:lang w:eastAsia="lt-LT"/>
                    </w:rPr>
                  </w:pPr>
                  <w:r w:rsidRPr="00FB2719">
                    <w:rPr>
                      <w:rFonts w:eastAsia="Calibri"/>
                      <w:color w:val="000000"/>
                      <w:sz w:val="22"/>
                      <w:szCs w:val="22"/>
                      <w:lang w:eastAsia="lt-LT"/>
                    </w:rPr>
                    <w:t>Simepreviras 200</w:t>
                  </w:r>
                  <w:r w:rsidR="0025420A" w:rsidRPr="00FB2719">
                    <w:rPr>
                      <w:rFonts w:eastAsia="Calibri"/>
                      <w:color w:val="000000"/>
                      <w:sz w:val="22"/>
                      <w:szCs w:val="22"/>
                      <w:lang w:eastAsia="lt-LT"/>
                    </w:rPr>
                    <w:t> </w:t>
                  </w:r>
                  <w:r w:rsidRPr="00FB2719">
                    <w:rPr>
                      <w:rFonts w:eastAsia="Calibri"/>
                      <w:color w:val="000000"/>
                      <w:sz w:val="22"/>
                      <w:szCs w:val="22"/>
                      <w:lang w:eastAsia="lt-LT"/>
                    </w:rPr>
                    <w:t>mg kartą per parą (kartu su 100</w:t>
                  </w:r>
                  <w:r w:rsidR="0025420A" w:rsidRPr="00FB2719">
                    <w:rPr>
                      <w:rFonts w:eastAsia="Calibri"/>
                      <w:color w:val="000000"/>
                      <w:sz w:val="22"/>
                      <w:szCs w:val="22"/>
                      <w:lang w:eastAsia="lt-LT"/>
                    </w:rPr>
                    <w:t> </w:t>
                  </w:r>
                  <w:r w:rsidRPr="00FB2719">
                    <w:rPr>
                      <w:rFonts w:eastAsia="Calibri"/>
                      <w:color w:val="000000"/>
                      <w:sz w:val="22"/>
                      <w:szCs w:val="22"/>
                      <w:lang w:eastAsia="lt-LT"/>
                    </w:rPr>
                    <w:t>mg ritonaviro du kartus per parą)</w:t>
                  </w:r>
                </w:p>
              </w:tc>
            </w:tr>
          </w:tbl>
          <w:p w14:paraId="1674A374" w14:textId="77777777" w:rsidR="00CA08B3" w:rsidRPr="00FB2719" w:rsidRDefault="00CA08B3">
            <w:pPr>
              <w:tabs>
                <w:tab w:val="left" w:pos="567"/>
              </w:tabs>
              <w:spacing w:line="276" w:lineRule="auto"/>
              <w:jc w:val="both"/>
              <w:rPr>
                <w:bCs/>
                <w:sz w:val="22"/>
                <w:szCs w:val="22"/>
              </w:rPr>
            </w:pPr>
          </w:p>
        </w:tc>
        <w:tc>
          <w:tcPr>
            <w:tcW w:w="2984" w:type="dxa"/>
            <w:tcBorders>
              <w:top w:val="single" w:sz="4" w:space="0" w:color="auto"/>
              <w:left w:val="single" w:sz="4" w:space="0" w:color="auto"/>
              <w:bottom w:val="single" w:sz="4" w:space="0" w:color="auto"/>
              <w:right w:val="single" w:sz="4" w:space="0" w:color="auto"/>
            </w:tcBorders>
            <w:hideMark/>
          </w:tcPr>
          <w:p w14:paraId="13AF57B5" w14:textId="77777777" w:rsidR="00CA08B3" w:rsidRPr="00FB2719" w:rsidRDefault="00CA08B3">
            <w:pPr>
              <w:tabs>
                <w:tab w:val="left" w:pos="567"/>
              </w:tabs>
              <w:spacing w:line="276" w:lineRule="auto"/>
              <w:rPr>
                <w:bCs/>
                <w:sz w:val="22"/>
                <w:szCs w:val="22"/>
              </w:rPr>
            </w:pPr>
            <w:r w:rsidRPr="00FB2719">
              <w:rPr>
                <w:bCs/>
                <w:sz w:val="22"/>
                <w:szCs w:val="22"/>
              </w:rPr>
              <w:t>Simepreviras:</w:t>
            </w:r>
          </w:p>
          <w:p w14:paraId="48C487EE" w14:textId="77777777" w:rsidR="00CA08B3" w:rsidRPr="00FB2719" w:rsidRDefault="00CA08B3">
            <w:pPr>
              <w:tabs>
                <w:tab w:val="left" w:pos="567"/>
              </w:tabs>
              <w:spacing w:line="276" w:lineRule="auto"/>
              <w:rPr>
                <w:bCs/>
                <w:sz w:val="22"/>
                <w:szCs w:val="22"/>
              </w:rPr>
            </w:pPr>
            <w:r w:rsidRPr="00FB2719">
              <w:rPr>
                <w:bCs/>
                <w:sz w:val="22"/>
                <w:szCs w:val="22"/>
              </w:rPr>
              <w:t>AUC: ↑ 7,2</w:t>
            </w:r>
            <w:r w:rsidR="009B02A4" w:rsidRPr="00FB2719">
              <w:rPr>
                <w:bCs/>
                <w:sz w:val="22"/>
                <w:szCs w:val="22"/>
              </w:rPr>
              <w:t> </w:t>
            </w:r>
            <w:r w:rsidRPr="00FB2719">
              <w:rPr>
                <w:bCs/>
                <w:sz w:val="22"/>
                <w:szCs w:val="22"/>
              </w:rPr>
              <w:t>karto</w:t>
            </w:r>
          </w:p>
          <w:p w14:paraId="369F92BF" w14:textId="77777777" w:rsidR="00CA08B3" w:rsidRPr="00FB2719" w:rsidRDefault="00CA08B3">
            <w:pPr>
              <w:tabs>
                <w:tab w:val="left" w:pos="567"/>
              </w:tabs>
              <w:spacing w:line="276" w:lineRule="auto"/>
              <w:rPr>
                <w:bCs/>
                <w:sz w:val="22"/>
                <w:szCs w:val="22"/>
              </w:rPr>
            </w:pPr>
            <w:r w:rsidRPr="00FB2719">
              <w:rPr>
                <w:bCs/>
                <w:sz w:val="22"/>
                <w:szCs w:val="22"/>
              </w:rPr>
              <w:t>C</w:t>
            </w:r>
            <w:r w:rsidRPr="00FB2719">
              <w:rPr>
                <w:bCs/>
                <w:sz w:val="22"/>
                <w:szCs w:val="22"/>
                <w:vertAlign w:val="subscript"/>
              </w:rPr>
              <w:t>max</w:t>
            </w:r>
            <w:r w:rsidRPr="00FB2719">
              <w:rPr>
                <w:bCs/>
                <w:sz w:val="22"/>
                <w:szCs w:val="22"/>
              </w:rPr>
              <w:t>: ↑ 4,7</w:t>
            </w:r>
            <w:r w:rsidR="009B02A4" w:rsidRPr="00FB2719">
              <w:rPr>
                <w:bCs/>
                <w:sz w:val="22"/>
                <w:szCs w:val="22"/>
              </w:rPr>
              <w:t> </w:t>
            </w:r>
            <w:r w:rsidRPr="00FB2719">
              <w:rPr>
                <w:bCs/>
                <w:sz w:val="22"/>
                <w:szCs w:val="22"/>
              </w:rPr>
              <w:t>karto</w:t>
            </w:r>
          </w:p>
          <w:p w14:paraId="22CD88B3" w14:textId="77777777" w:rsidR="00CA08B3" w:rsidRPr="00FB2719" w:rsidRDefault="00CA08B3" w:rsidP="009B02A4">
            <w:pPr>
              <w:tabs>
                <w:tab w:val="left" w:pos="567"/>
              </w:tabs>
              <w:spacing w:line="276" w:lineRule="auto"/>
              <w:rPr>
                <w:bCs/>
                <w:sz w:val="22"/>
                <w:szCs w:val="22"/>
              </w:rPr>
            </w:pPr>
            <w:r w:rsidRPr="00FB2719">
              <w:rPr>
                <w:bCs/>
                <w:sz w:val="22"/>
                <w:szCs w:val="22"/>
              </w:rPr>
              <w:t>C</w:t>
            </w:r>
            <w:r w:rsidRPr="00FB2719">
              <w:rPr>
                <w:bCs/>
                <w:sz w:val="22"/>
                <w:szCs w:val="22"/>
                <w:vertAlign w:val="subscript"/>
              </w:rPr>
              <w:t>min</w:t>
            </w:r>
            <w:r w:rsidRPr="00FB2719">
              <w:rPr>
                <w:bCs/>
                <w:sz w:val="22"/>
                <w:szCs w:val="22"/>
              </w:rPr>
              <w:t>: ↑ 14,4</w:t>
            </w:r>
            <w:r w:rsidR="009B02A4" w:rsidRPr="00FB2719">
              <w:rPr>
                <w:bCs/>
                <w:sz w:val="22"/>
                <w:szCs w:val="22"/>
              </w:rPr>
              <w:t> </w:t>
            </w:r>
            <w:r w:rsidRPr="00FB2719">
              <w:rPr>
                <w:bCs/>
                <w:sz w:val="22"/>
                <w:szCs w:val="22"/>
              </w:rPr>
              <w:t>karto</w:t>
            </w:r>
          </w:p>
        </w:tc>
        <w:tc>
          <w:tcPr>
            <w:tcW w:w="2988" w:type="dxa"/>
            <w:tcBorders>
              <w:top w:val="single" w:sz="4" w:space="0" w:color="auto"/>
              <w:left w:val="single" w:sz="4" w:space="0" w:color="auto"/>
              <w:bottom w:val="single" w:sz="4" w:space="0" w:color="auto"/>
              <w:right w:val="single" w:sz="4" w:space="0" w:color="auto"/>
            </w:tcBorders>
            <w:hideMark/>
          </w:tcPr>
          <w:p w14:paraId="4201F04D" w14:textId="77777777" w:rsidR="00CA08B3" w:rsidRPr="00FB2719" w:rsidRDefault="00CA08B3">
            <w:pPr>
              <w:tabs>
                <w:tab w:val="left" w:pos="567"/>
              </w:tabs>
              <w:spacing w:line="276" w:lineRule="auto"/>
              <w:rPr>
                <w:bCs/>
                <w:sz w:val="22"/>
                <w:szCs w:val="22"/>
              </w:rPr>
            </w:pPr>
            <w:r w:rsidRPr="00FB2719">
              <w:rPr>
                <w:bCs/>
                <w:sz w:val="22"/>
                <w:szCs w:val="22"/>
              </w:rPr>
              <w:t>Lopinavir/Ritonavir Sandoz vartoti kartu su simepreviru nerekomenduojama.</w:t>
            </w:r>
          </w:p>
        </w:tc>
      </w:tr>
      <w:tr w:rsidR="00CA08B3" w:rsidRPr="00FB2719" w14:paraId="44928D13" w14:textId="77777777" w:rsidTr="0064111D">
        <w:tc>
          <w:tcPr>
            <w:tcW w:w="3044" w:type="dxa"/>
            <w:tcBorders>
              <w:top w:val="single" w:sz="4" w:space="0" w:color="auto"/>
              <w:left w:val="single" w:sz="4" w:space="0" w:color="auto"/>
              <w:bottom w:val="single" w:sz="4" w:space="0" w:color="auto"/>
              <w:right w:val="single" w:sz="4" w:space="0" w:color="auto"/>
            </w:tcBorders>
            <w:hideMark/>
          </w:tcPr>
          <w:p w14:paraId="6446FA88" w14:textId="77777777" w:rsidR="00CA08B3" w:rsidRPr="00FB2719" w:rsidRDefault="00CA08B3" w:rsidP="0025420A">
            <w:pPr>
              <w:tabs>
                <w:tab w:val="left" w:pos="567"/>
              </w:tabs>
              <w:spacing w:line="276" w:lineRule="auto"/>
              <w:jc w:val="both"/>
              <w:rPr>
                <w:bCs/>
                <w:sz w:val="22"/>
                <w:szCs w:val="22"/>
                <w:lang w:val="en-US"/>
              </w:rPr>
            </w:pPr>
            <w:r w:rsidRPr="00FB2719">
              <w:rPr>
                <w:bCs/>
                <w:sz w:val="22"/>
                <w:szCs w:val="22"/>
                <w:lang w:val="en-US"/>
              </w:rPr>
              <w:t>Telapreviras 750</w:t>
            </w:r>
            <w:r w:rsidR="0025420A" w:rsidRPr="00FB2719">
              <w:rPr>
                <w:bCs/>
                <w:sz w:val="22"/>
                <w:szCs w:val="22"/>
                <w:lang w:val="en-US"/>
              </w:rPr>
              <w:t> </w:t>
            </w:r>
            <w:r w:rsidRPr="00FB2719">
              <w:rPr>
                <w:bCs/>
                <w:sz w:val="22"/>
                <w:szCs w:val="22"/>
                <w:lang w:val="en-US"/>
              </w:rPr>
              <w:t>mg tris kartus per parą</w:t>
            </w:r>
          </w:p>
        </w:tc>
        <w:tc>
          <w:tcPr>
            <w:tcW w:w="2984" w:type="dxa"/>
            <w:tcBorders>
              <w:top w:val="single" w:sz="4" w:space="0" w:color="auto"/>
              <w:left w:val="single" w:sz="4" w:space="0" w:color="auto"/>
              <w:bottom w:val="single" w:sz="4" w:space="0" w:color="auto"/>
              <w:right w:val="single" w:sz="4" w:space="0" w:color="auto"/>
            </w:tcBorders>
            <w:hideMark/>
          </w:tcPr>
          <w:p w14:paraId="120630FD" w14:textId="77777777" w:rsidR="00CA08B3" w:rsidRPr="00FB2719" w:rsidRDefault="00CA08B3">
            <w:pPr>
              <w:tabs>
                <w:tab w:val="left" w:pos="567"/>
              </w:tabs>
              <w:spacing w:line="276" w:lineRule="auto"/>
              <w:rPr>
                <w:bCs/>
                <w:sz w:val="22"/>
                <w:szCs w:val="22"/>
                <w:lang w:val="en-US"/>
              </w:rPr>
            </w:pPr>
            <w:r w:rsidRPr="00FB2719">
              <w:rPr>
                <w:bCs/>
                <w:sz w:val="22"/>
                <w:szCs w:val="22"/>
                <w:lang w:val="en-US"/>
              </w:rPr>
              <w:t>Telapreviras:</w:t>
            </w:r>
          </w:p>
          <w:p w14:paraId="12921DE0" w14:textId="77777777" w:rsidR="00CA08B3" w:rsidRPr="00FB2719" w:rsidRDefault="00CA08B3">
            <w:pPr>
              <w:tabs>
                <w:tab w:val="left" w:pos="567"/>
              </w:tabs>
              <w:spacing w:line="276" w:lineRule="auto"/>
              <w:rPr>
                <w:bCs/>
                <w:sz w:val="22"/>
                <w:szCs w:val="22"/>
                <w:lang w:val="en-US"/>
              </w:rPr>
            </w:pPr>
            <w:r w:rsidRPr="00FB2719">
              <w:rPr>
                <w:bCs/>
                <w:sz w:val="22"/>
                <w:szCs w:val="22"/>
                <w:lang w:val="en-US"/>
              </w:rPr>
              <w:t>AUC: ↓ 54 %</w:t>
            </w:r>
          </w:p>
          <w:p w14:paraId="0A90C430" w14:textId="77777777" w:rsidR="00CA08B3" w:rsidRPr="00FB2719" w:rsidRDefault="00CA08B3">
            <w:pPr>
              <w:tabs>
                <w:tab w:val="left" w:pos="567"/>
              </w:tabs>
              <w:spacing w:line="276" w:lineRule="auto"/>
              <w:rPr>
                <w:bCs/>
                <w:sz w:val="22"/>
                <w:szCs w:val="22"/>
                <w:lang w:val="en-US"/>
              </w:rPr>
            </w:pPr>
            <w:r w:rsidRPr="00FB2719">
              <w:rPr>
                <w:bCs/>
                <w:sz w:val="22"/>
                <w:szCs w:val="22"/>
                <w:lang w:val="en-US"/>
              </w:rPr>
              <w:t>C</w:t>
            </w:r>
            <w:r w:rsidRPr="00FB2719">
              <w:rPr>
                <w:bCs/>
                <w:sz w:val="22"/>
                <w:szCs w:val="22"/>
                <w:vertAlign w:val="subscript"/>
                <w:lang w:val="en-US"/>
              </w:rPr>
              <w:t>max</w:t>
            </w:r>
            <w:r w:rsidRPr="00FB2719">
              <w:rPr>
                <w:bCs/>
                <w:sz w:val="22"/>
                <w:szCs w:val="22"/>
                <w:lang w:val="en-US"/>
              </w:rPr>
              <w:t>: ↓ 53 %</w:t>
            </w:r>
          </w:p>
          <w:p w14:paraId="6EC3268C" w14:textId="77777777" w:rsidR="00CA08B3" w:rsidRPr="00FB2719" w:rsidRDefault="00CA08B3">
            <w:pPr>
              <w:tabs>
                <w:tab w:val="left" w:pos="567"/>
              </w:tabs>
              <w:spacing w:line="276" w:lineRule="auto"/>
              <w:rPr>
                <w:bCs/>
                <w:sz w:val="22"/>
                <w:szCs w:val="22"/>
                <w:lang w:val="en-US"/>
              </w:rPr>
            </w:pPr>
            <w:r w:rsidRPr="00FB2719">
              <w:rPr>
                <w:bCs/>
                <w:sz w:val="22"/>
                <w:szCs w:val="22"/>
                <w:lang w:val="en-US"/>
              </w:rPr>
              <w:t>C</w:t>
            </w:r>
            <w:r w:rsidRPr="00FB2719">
              <w:rPr>
                <w:bCs/>
                <w:sz w:val="22"/>
                <w:szCs w:val="22"/>
                <w:vertAlign w:val="subscript"/>
                <w:lang w:val="en-US"/>
              </w:rPr>
              <w:t>min</w:t>
            </w:r>
            <w:r w:rsidRPr="00FB2719">
              <w:rPr>
                <w:bCs/>
                <w:sz w:val="22"/>
                <w:szCs w:val="22"/>
                <w:lang w:val="en-US"/>
              </w:rPr>
              <w:t>: ↓ 52 %</w:t>
            </w:r>
          </w:p>
          <w:p w14:paraId="4FAAC324" w14:textId="77777777" w:rsidR="00CA08B3" w:rsidRPr="00FB2719" w:rsidRDefault="00CA08B3">
            <w:pPr>
              <w:tabs>
                <w:tab w:val="left" w:pos="567"/>
              </w:tabs>
              <w:spacing w:line="276" w:lineRule="auto"/>
              <w:rPr>
                <w:bCs/>
                <w:sz w:val="22"/>
                <w:szCs w:val="22"/>
                <w:lang w:val="en-US"/>
              </w:rPr>
            </w:pPr>
            <w:r w:rsidRPr="00FB2719">
              <w:rPr>
                <w:bCs/>
                <w:sz w:val="22"/>
                <w:szCs w:val="22"/>
                <w:lang w:val="en-US"/>
              </w:rPr>
              <w:t>Lopinaviras: ↔</w:t>
            </w:r>
          </w:p>
        </w:tc>
        <w:tc>
          <w:tcPr>
            <w:tcW w:w="2988" w:type="dxa"/>
            <w:tcBorders>
              <w:top w:val="single" w:sz="4" w:space="0" w:color="auto"/>
              <w:left w:val="single" w:sz="4" w:space="0" w:color="auto"/>
              <w:bottom w:val="single" w:sz="4" w:space="0" w:color="auto"/>
              <w:right w:val="single" w:sz="4" w:space="0" w:color="auto"/>
            </w:tcBorders>
            <w:hideMark/>
          </w:tcPr>
          <w:p w14:paraId="650D26B3" w14:textId="77777777" w:rsidR="00CA08B3" w:rsidRPr="00FB2719" w:rsidRDefault="00CA08B3">
            <w:pPr>
              <w:tabs>
                <w:tab w:val="left" w:pos="567"/>
              </w:tabs>
              <w:spacing w:line="276" w:lineRule="auto"/>
              <w:rPr>
                <w:bCs/>
                <w:sz w:val="22"/>
                <w:szCs w:val="22"/>
                <w:lang w:val="en-US"/>
              </w:rPr>
            </w:pPr>
            <w:r w:rsidRPr="00FB2719">
              <w:rPr>
                <w:bCs/>
                <w:sz w:val="22"/>
                <w:szCs w:val="22"/>
                <w:lang w:val="en-US"/>
              </w:rPr>
              <w:t>Lopinavir/Ritonavir Sandoz vartoti kartu su telapreviru nerekomenduojama.</w:t>
            </w:r>
          </w:p>
        </w:tc>
      </w:tr>
      <w:tr w:rsidR="00CA08B3" w:rsidRPr="00FB2719" w14:paraId="00056E9D" w14:textId="77777777" w:rsidTr="0064111D">
        <w:tc>
          <w:tcPr>
            <w:tcW w:w="9016" w:type="dxa"/>
            <w:gridSpan w:val="3"/>
            <w:tcBorders>
              <w:top w:val="single" w:sz="4" w:space="0" w:color="auto"/>
              <w:left w:val="single" w:sz="4" w:space="0" w:color="auto"/>
              <w:bottom w:val="single" w:sz="4" w:space="0" w:color="auto"/>
              <w:right w:val="single" w:sz="4" w:space="0" w:color="auto"/>
            </w:tcBorders>
            <w:hideMark/>
          </w:tcPr>
          <w:p w14:paraId="453AE8E5" w14:textId="77777777" w:rsidR="00CA08B3" w:rsidRPr="00FB2719" w:rsidRDefault="00CA08B3">
            <w:pPr>
              <w:tabs>
                <w:tab w:val="left" w:pos="567"/>
              </w:tabs>
              <w:spacing w:line="276" w:lineRule="auto"/>
              <w:jc w:val="both"/>
              <w:rPr>
                <w:bCs/>
                <w:i/>
                <w:sz w:val="22"/>
                <w:szCs w:val="22"/>
                <w:lang w:val="en-US"/>
              </w:rPr>
            </w:pPr>
            <w:r w:rsidRPr="00FB2719">
              <w:rPr>
                <w:bCs/>
                <w:i/>
                <w:sz w:val="22"/>
                <w:szCs w:val="22"/>
                <w:lang w:val="en-US"/>
              </w:rPr>
              <w:t>Vaistažolių preparatai</w:t>
            </w:r>
          </w:p>
        </w:tc>
      </w:tr>
      <w:tr w:rsidR="00CA08B3" w:rsidRPr="00FB2719" w14:paraId="5C73C52D" w14:textId="77777777" w:rsidTr="0064111D">
        <w:tc>
          <w:tcPr>
            <w:tcW w:w="3044" w:type="dxa"/>
            <w:tcBorders>
              <w:top w:val="single" w:sz="4" w:space="0" w:color="auto"/>
              <w:left w:val="single" w:sz="4" w:space="0" w:color="auto"/>
              <w:bottom w:val="single" w:sz="4" w:space="0" w:color="auto"/>
              <w:right w:val="single" w:sz="4" w:space="0" w:color="auto"/>
            </w:tcBorders>
            <w:hideMark/>
          </w:tcPr>
          <w:p w14:paraId="6B713335" w14:textId="77777777" w:rsidR="00CA08B3" w:rsidRPr="00FB2719" w:rsidRDefault="00CA08B3">
            <w:pPr>
              <w:tabs>
                <w:tab w:val="left" w:pos="567"/>
              </w:tabs>
              <w:spacing w:line="276" w:lineRule="auto"/>
              <w:rPr>
                <w:bCs/>
                <w:sz w:val="22"/>
                <w:szCs w:val="22"/>
                <w:lang w:val="en-US"/>
              </w:rPr>
            </w:pPr>
            <w:r w:rsidRPr="00FB2719">
              <w:rPr>
                <w:bCs/>
                <w:sz w:val="22"/>
                <w:szCs w:val="22"/>
                <w:lang w:val="en-US"/>
              </w:rPr>
              <w:t>Jonažolės (</w:t>
            </w:r>
            <w:r w:rsidRPr="00FB2719">
              <w:rPr>
                <w:bCs/>
                <w:i/>
                <w:sz w:val="22"/>
                <w:szCs w:val="22"/>
                <w:lang w:val="en-US"/>
              </w:rPr>
              <w:t>Hypericum perforatum</w:t>
            </w:r>
            <w:r w:rsidRPr="00FB2719">
              <w:rPr>
                <w:bCs/>
                <w:sz w:val="22"/>
                <w:szCs w:val="22"/>
                <w:lang w:val="en-US"/>
              </w:rPr>
              <w:t>)</w:t>
            </w:r>
          </w:p>
        </w:tc>
        <w:tc>
          <w:tcPr>
            <w:tcW w:w="2984" w:type="dxa"/>
            <w:tcBorders>
              <w:top w:val="single" w:sz="4" w:space="0" w:color="auto"/>
              <w:left w:val="single" w:sz="4" w:space="0" w:color="auto"/>
              <w:bottom w:val="single" w:sz="4" w:space="0" w:color="auto"/>
              <w:right w:val="single" w:sz="4" w:space="0" w:color="auto"/>
            </w:tcBorders>
            <w:hideMark/>
          </w:tcPr>
          <w:p w14:paraId="70C65E9B" w14:textId="77777777" w:rsidR="00CA08B3" w:rsidRPr="00FB2719" w:rsidRDefault="00CA08B3">
            <w:pPr>
              <w:tabs>
                <w:tab w:val="left" w:pos="567"/>
              </w:tabs>
              <w:spacing w:line="276" w:lineRule="auto"/>
              <w:rPr>
                <w:bCs/>
                <w:sz w:val="22"/>
                <w:szCs w:val="22"/>
                <w:lang w:val="en-US"/>
              </w:rPr>
            </w:pPr>
            <w:r w:rsidRPr="00FB2719">
              <w:rPr>
                <w:bCs/>
                <w:sz w:val="22"/>
                <w:szCs w:val="22"/>
                <w:lang w:val="en-US"/>
              </w:rPr>
              <w:t>Lopinaviras:</w:t>
            </w:r>
          </w:p>
          <w:p w14:paraId="05284CBC" w14:textId="77777777" w:rsidR="00CA08B3" w:rsidRPr="00FB2719" w:rsidRDefault="00CA08B3">
            <w:pPr>
              <w:tabs>
                <w:tab w:val="left" w:pos="567"/>
              </w:tabs>
              <w:spacing w:line="276" w:lineRule="auto"/>
              <w:rPr>
                <w:bCs/>
                <w:sz w:val="22"/>
                <w:szCs w:val="22"/>
                <w:lang w:val="en-US"/>
              </w:rPr>
            </w:pPr>
            <w:proofErr w:type="gramStart"/>
            <w:r w:rsidRPr="00FB2719">
              <w:rPr>
                <w:bCs/>
                <w:sz w:val="22"/>
                <w:szCs w:val="22"/>
                <w:lang w:val="en-US"/>
              </w:rPr>
              <w:t>koncentracijos</w:t>
            </w:r>
            <w:proofErr w:type="gramEnd"/>
            <w:r w:rsidRPr="00FB2719">
              <w:rPr>
                <w:bCs/>
                <w:sz w:val="22"/>
                <w:szCs w:val="22"/>
                <w:lang w:val="en-US"/>
              </w:rPr>
              <w:t xml:space="preserve"> gali sumažėti, dėl CYP3A indukavimo vaistažolių preparatais, kurių sudėtyje yra jonažolių.</w:t>
            </w:r>
          </w:p>
        </w:tc>
        <w:tc>
          <w:tcPr>
            <w:tcW w:w="2988"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772"/>
            </w:tblGrid>
            <w:tr w:rsidR="00CA08B3" w:rsidRPr="00FB2719" w14:paraId="09EBB778" w14:textId="77777777">
              <w:trPr>
                <w:trHeight w:val="531"/>
              </w:trPr>
              <w:tc>
                <w:tcPr>
                  <w:tcW w:w="0" w:type="auto"/>
                  <w:tcBorders>
                    <w:top w:val="nil"/>
                    <w:left w:val="nil"/>
                    <w:bottom w:val="nil"/>
                    <w:right w:val="nil"/>
                  </w:tcBorders>
                  <w:hideMark/>
                </w:tcPr>
                <w:p w14:paraId="7614757A" w14:textId="77777777" w:rsidR="00CA08B3" w:rsidRPr="00FB2719" w:rsidRDefault="00CA08B3" w:rsidP="009B02A4">
                  <w:pPr>
                    <w:autoSpaceDE w:val="0"/>
                    <w:autoSpaceDN w:val="0"/>
                    <w:adjustRightInd w:val="0"/>
                    <w:spacing w:line="276" w:lineRule="auto"/>
                    <w:rPr>
                      <w:rFonts w:eastAsia="Calibri"/>
                      <w:color w:val="000000"/>
                      <w:sz w:val="22"/>
                      <w:szCs w:val="22"/>
                      <w:lang w:val="en-US" w:eastAsia="lt-LT"/>
                    </w:rPr>
                  </w:pPr>
                  <w:r w:rsidRPr="00FB2719">
                    <w:rPr>
                      <w:bCs/>
                      <w:sz w:val="22"/>
                      <w:szCs w:val="22"/>
                      <w:lang w:val="en-US"/>
                    </w:rPr>
                    <w:t>Vaistažolių preparatų, kurių sudėtyje yra jonažolių, negalima skirti kartu su lopinaviru ar ritonaviru. Jeigu pacientai jau gydomi jonažolėmis, reikia nutraukti jų vartojimą ir, jeigu įmanoma, patikrinti virusologinius lygmenis. Nutraukus jonažolių vartojimą gali padidėti lopinaviro ir ritonaviro lygiai. Gali prireikti koreguoti Lopinavir/Ritonavir Sandoz dozę. Po gydymo jonažolėmis nutraukimo indukuojantis poveikis gali išsilaikyti mažiausiai 2</w:t>
                  </w:r>
                  <w:r w:rsidR="009B02A4" w:rsidRPr="00FB2719">
                    <w:rPr>
                      <w:bCs/>
                      <w:sz w:val="22"/>
                      <w:szCs w:val="22"/>
                      <w:lang w:val="en-US"/>
                    </w:rPr>
                    <w:t> </w:t>
                  </w:r>
                  <w:r w:rsidRPr="00FB2719">
                    <w:rPr>
                      <w:bCs/>
                      <w:sz w:val="22"/>
                      <w:szCs w:val="22"/>
                      <w:lang w:val="en-US"/>
                    </w:rPr>
                    <w:t xml:space="preserve">savaites (žr. 4.3 skyrių). Taigi, Lopinavir/Ritonavir </w:t>
                  </w:r>
                  <w:r w:rsidRPr="00FB2719">
                    <w:rPr>
                      <w:bCs/>
                      <w:sz w:val="22"/>
                      <w:szCs w:val="22"/>
                      <w:lang w:val="en-US"/>
                    </w:rPr>
                    <w:lastRenderedPageBreak/>
                    <w:t xml:space="preserve">Sandoz </w:t>
                  </w:r>
                  <w:r w:rsidRPr="00FB2719">
                    <w:rPr>
                      <w:rFonts w:eastAsia="Calibri"/>
                      <w:color w:val="000000"/>
                      <w:sz w:val="22"/>
                      <w:szCs w:val="22"/>
                      <w:lang w:val="en-US" w:eastAsia="lt-LT"/>
                    </w:rPr>
                    <w:t xml:space="preserve">galima </w:t>
                  </w:r>
                  <w:r w:rsidRPr="00FB2719">
                    <w:rPr>
                      <w:bCs/>
                      <w:sz w:val="22"/>
                      <w:szCs w:val="22"/>
                      <w:lang w:val="en-US"/>
                    </w:rPr>
                    <w:t>s</w:t>
                  </w:r>
                  <w:r w:rsidRPr="00FB2719">
                    <w:rPr>
                      <w:rFonts w:eastAsia="Calibri"/>
                      <w:color w:val="000000"/>
                      <w:sz w:val="22"/>
                      <w:szCs w:val="22"/>
                      <w:lang w:val="en-US" w:eastAsia="lt-LT"/>
                    </w:rPr>
                    <w:t>augiai pradėti vartoti tik praėjus 2</w:t>
                  </w:r>
                  <w:r w:rsidR="009B02A4" w:rsidRPr="00FB2719">
                    <w:rPr>
                      <w:rFonts w:eastAsia="Calibri"/>
                      <w:color w:val="000000"/>
                      <w:sz w:val="22"/>
                      <w:szCs w:val="22"/>
                      <w:lang w:val="en-US" w:eastAsia="lt-LT"/>
                    </w:rPr>
                    <w:t> </w:t>
                  </w:r>
                  <w:r w:rsidRPr="00FB2719">
                    <w:rPr>
                      <w:rFonts w:eastAsia="Calibri"/>
                      <w:color w:val="000000"/>
                      <w:sz w:val="22"/>
                      <w:szCs w:val="22"/>
                      <w:lang w:val="en-US" w:eastAsia="lt-LT"/>
                    </w:rPr>
                    <w:t xml:space="preserve">savaitėms po jonažolių nutraukimo. </w:t>
                  </w:r>
                </w:p>
              </w:tc>
            </w:tr>
          </w:tbl>
          <w:p w14:paraId="32EA2AAC" w14:textId="77777777" w:rsidR="00CA08B3" w:rsidRPr="00FB2719" w:rsidRDefault="00CA08B3">
            <w:pPr>
              <w:tabs>
                <w:tab w:val="left" w:pos="567"/>
              </w:tabs>
              <w:spacing w:line="276" w:lineRule="auto"/>
              <w:rPr>
                <w:bCs/>
                <w:sz w:val="22"/>
                <w:szCs w:val="22"/>
                <w:lang w:val="en-US"/>
              </w:rPr>
            </w:pPr>
          </w:p>
        </w:tc>
      </w:tr>
      <w:tr w:rsidR="00CA08B3" w:rsidRPr="00FB2719" w14:paraId="64D69F92" w14:textId="77777777" w:rsidTr="0064111D">
        <w:tc>
          <w:tcPr>
            <w:tcW w:w="9016" w:type="dxa"/>
            <w:gridSpan w:val="3"/>
            <w:tcBorders>
              <w:top w:val="single" w:sz="4" w:space="0" w:color="auto"/>
              <w:left w:val="single" w:sz="4" w:space="0" w:color="auto"/>
              <w:bottom w:val="single" w:sz="4" w:space="0" w:color="auto"/>
              <w:right w:val="single" w:sz="4" w:space="0" w:color="auto"/>
            </w:tcBorders>
            <w:hideMark/>
          </w:tcPr>
          <w:p w14:paraId="60602E21" w14:textId="77777777" w:rsidR="00CA08B3" w:rsidRPr="00FB2719" w:rsidRDefault="00CA08B3">
            <w:pPr>
              <w:tabs>
                <w:tab w:val="left" w:pos="567"/>
              </w:tabs>
              <w:spacing w:line="276" w:lineRule="auto"/>
              <w:jc w:val="both"/>
              <w:rPr>
                <w:bCs/>
                <w:i/>
                <w:sz w:val="22"/>
                <w:szCs w:val="22"/>
                <w:lang w:val="en-US"/>
              </w:rPr>
            </w:pPr>
            <w:r w:rsidRPr="00FB2719">
              <w:rPr>
                <w:bCs/>
                <w:i/>
                <w:sz w:val="22"/>
                <w:szCs w:val="22"/>
                <w:lang w:val="en-US"/>
              </w:rPr>
              <w:lastRenderedPageBreak/>
              <w:t>Imunosupresantai</w:t>
            </w:r>
          </w:p>
        </w:tc>
      </w:tr>
      <w:tr w:rsidR="00CA08B3" w:rsidRPr="00FB2719" w14:paraId="17F79821" w14:textId="77777777" w:rsidTr="0064111D">
        <w:tc>
          <w:tcPr>
            <w:tcW w:w="3044" w:type="dxa"/>
            <w:tcBorders>
              <w:top w:val="single" w:sz="4" w:space="0" w:color="auto"/>
              <w:left w:val="single" w:sz="4" w:space="0" w:color="auto"/>
              <w:bottom w:val="single" w:sz="4" w:space="0" w:color="auto"/>
              <w:right w:val="single" w:sz="4" w:space="0" w:color="auto"/>
            </w:tcBorders>
            <w:hideMark/>
          </w:tcPr>
          <w:p w14:paraId="18B4A059" w14:textId="77777777" w:rsidR="00CA08B3" w:rsidRPr="00FB2719" w:rsidRDefault="00CA08B3">
            <w:pPr>
              <w:tabs>
                <w:tab w:val="left" w:pos="567"/>
              </w:tabs>
              <w:spacing w:line="276" w:lineRule="auto"/>
              <w:rPr>
                <w:bCs/>
                <w:sz w:val="22"/>
                <w:szCs w:val="22"/>
                <w:lang w:val="es-ES"/>
              </w:rPr>
            </w:pPr>
            <w:r w:rsidRPr="00FB2719">
              <w:rPr>
                <w:bCs/>
                <w:sz w:val="22"/>
                <w:szCs w:val="22"/>
                <w:lang w:val="es-ES"/>
              </w:rPr>
              <w:t>Ciklosporinas, sirolimuzas (rapamicinas) ir takrolimuzas</w:t>
            </w:r>
          </w:p>
        </w:tc>
        <w:tc>
          <w:tcPr>
            <w:tcW w:w="2984" w:type="dxa"/>
            <w:tcBorders>
              <w:top w:val="single" w:sz="4" w:space="0" w:color="auto"/>
              <w:left w:val="single" w:sz="4" w:space="0" w:color="auto"/>
              <w:bottom w:val="single" w:sz="4" w:space="0" w:color="auto"/>
              <w:right w:val="single" w:sz="4" w:space="0" w:color="auto"/>
            </w:tcBorders>
            <w:hideMark/>
          </w:tcPr>
          <w:p w14:paraId="647836EB" w14:textId="77777777" w:rsidR="00CA08B3" w:rsidRPr="00FB2719" w:rsidRDefault="00CA08B3">
            <w:pPr>
              <w:tabs>
                <w:tab w:val="left" w:pos="567"/>
              </w:tabs>
              <w:spacing w:line="276" w:lineRule="auto"/>
              <w:rPr>
                <w:bCs/>
                <w:sz w:val="22"/>
                <w:szCs w:val="22"/>
                <w:lang w:val="es-ES"/>
              </w:rPr>
            </w:pPr>
            <w:r w:rsidRPr="00FB2719">
              <w:rPr>
                <w:bCs/>
                <w:sz w:val="22"/>
                <w:szCs w:val="22"/>
                <w:lang w:val="es-ES"/>
              </w:rPr>
              <w:t>Ciklosporinas, sirolimuzas (rapamicinas), takrolimuzas:</w:t>
            </w:r>
          </w:p>
          <w:p w14:paraId="72DFC53C" w14:textId="77777777" w:rsidR="00CA08B3" w:rsidRPr="00FB2719" w:rsidRDefault="00CA08B3">
            <w:pPr>
              <w:tabs>
                <w:tab w:val="left" w:pos="567"/>
              </w:tabs>
              <w:spacing w:line="276" w:lineRule="auto"/>
              <w:rPr>
                <w:bCs/>
                <w:sz w:val="22"/>
                <w:szCs w:val="22"/>
                <w:lang w:val="es-ES"/>
              </w:rPr>
            </w:pPr>
            <w:r w:rsidRPr="00FB2719">
              <w:rPr>
                <w:bCs/>
                <w:sz w:val="22"/>
                <w:szCs w:val="22"/>
                <w:lang w:val="es-ES"/>
              </w:rPr>
              <w:t>gali padidėti koncentracijos dėl CYP3A slopinimo lopinaviro / ritonaviro deriniu.</w:t>
            </w:r>
          </w:p>
        </w:tc>
        <w:tc>
          <w:tcPr>
            <w:tcW w:w="2988" w:type="dxa"/>
            <w:tcBorders>
              <w:top w:val="single" w:sz="4" w:space="0" w:color="auto"/>
              <w:left w:val="single" w:sz="4" w:space="0" w:color="auto"/>
              <w:bottom w:val="single" w:sz="4" w:space="0" w:color="auto"/>
              <w:right w:val="single" w:sz="4" w:space="0" w:color="auto"/>
            </w:tcBorders>
            <w:hideMark/>
          </w:tcPr>
          <w:p w14:paraId="0D9E9645" w14:textId="77777777" w:rsidR="00CA08B3" w:rsidRPr="00FB2719" w:rsidRDefault="00CA08B3">
            <w:pPr>
              <w:tabs>
                <w:tab w:val="left" w:pos="567"/>
              </w:tabs>
              <w:spacing w:line="276" w:lineRule="auto"/>
              <w:rPr>
                <w:bCs/>
                <w:sz w:val="22"/>
                <w:szCs w:val="22"/>
                <w:lang w:val="es-ES"/>
              </w:rPr>
            </w:pPr>
            <w:r w:rsidRPr="00FB2719">
              <w:rPr>
                <w:bCs/>
                <w:sz w:val="22"/>
                <w:szCs w:val="22"/>
                <w:lang w:val="es-ES"/>
              </w:rPr>
              <w:t>Rekomenduojama dažniau matuoti šių vaistinių preparatų koncentracijas plazmoje, kol jos stabilizuosis.</w:t>
            </w:r>
          </w:p>
        </w:tc>
      </w:tr>
      <w:tr w:rsidR="00CA08B3" w:rsidRPr="00FB2719" w14:paraId="16E86A45" w14:textId="77777777" w:rsidTr="0064111D">
        <w:tc>
          <w:tcPr>
            <w:tcW w:w="9016" w:type="dxa"/>
            <w:gridSpan w:val="3"/>
            <w:tcBorders>
              <w:top w:val="single" w:sz="4" w:space="0" w:color="auto"/>
              <w:left w:val="single" w:sz="4" w:space="0" w:color="auto"/>
              <w:bottom w:val="single" w:sz="4" w:space="0" w:color="auto"/>
              <w:right w:val="single" w:sz="4" w:space="0" w:color="auto"/>
            </w:tcBorders>
            <w:hideMark/>
          </w:tcPr>
          <w:p w14:paraId="1093F345" w14:textId="77777777" w:rsidR="00CA08B3" w:rsidRPr="00FB2719" w:rsidRDefault="00CA08B3">
            <w:pPr>
              <w:tabs>
                <w:tab w:val="left" w:pos="567"/>
              </w:tabs>
              <w:spacing w:line="276" w:lineRule="auto"/>
              <w:jc w:val="both"/>
              <w:rPr>
                <w:bCs/>
                <w:i/>
                <w:sz w:val="22"/>
                <w:szCs w:val="22"/>
              </w:rPr>
            </w:pPr>
            <w:r w:rsidRPr="00FB2719">
              <w:rPr>
                <w:bCs/>
                <w:i/>
                <w:sz w:val="22"/>
                <w:szCs w:val="22"/>
              </w:rPr>
              <w:t>Lipidų kiekį mažinantys vaistiniai preparatai</w:t>
            </w:r>
          </w:p>
        </w:tc>
      </w:tr>
      <w:tr w:rsidR="00CA08B3" w:rsidRPr="00FB2719" w14:paraId="27E42FB5" w14:textId="77777777" w:rsidTr="0064111D">
        <w:tc>
          <w:tcPr>
            <w:tcW w:w="3044" w:type="dxa"/>
            <w:tcBorders>
              <w:top w:val="single" w:sz="4" w:space="0" w:color="auto"/>
              <w:left w:val="single" w:sz="4" w:space="0" w:color="auto"/>
              <w:bottom w:val="single" w:sz="4" w:space="0" w:color="auto"/>
              <w:right w:val="single" w:sz="4" w:space="0" w:color="auto"/>
            </w:tcBorders>
            <w:hideMark/>
          </w:tcPr>
          <w:p w14:paraId="6D41A87D"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Lovastatinas ir simvastatinas</w:t>
            </w:r>
          </w:p>
        </w:tc>
        <w:tc>
          <w:tcPr>
            <w:tcW w:w="2984" w:type="dxa"/>
            <w:tcBorders>
              <w:top w:val="single" w:sz="4" w:space="0" w:color="auto"/>
              <w:left w:val="single" w:sz="4" w:space="0" w:color="auto"/>
              <w:bottom w:val="single" w:sz="4" w:space="0" w:color="auto"/>
              <w:right w:val="single" w:sz="4" w:space="0" w:color="auto"/>
            </w:tcBorders>
            <w:hideMark/>
          </w:tcPr>
          <w:p w14:paraId="0AE9B1EF" w14:textId="77777777" w:rsidR="00CA08B3" w:rsidRPr="00FB2719" w:rsidRDefault="00CA08B3">
            <w:pPr>
              <w:tabs>
                <w:tab w:val="left" w:pos="567"/>
              </w:tabs>
              <w:spacing w:line="276" w:lineRule="auto"/>
              <w:rPr>
                <w:bCs/>
                <w:sz w:val="22"/>
                <w:szCs w:val="22"/>
                <w:lang w:val="en-US"/>
              </w:rPr>
            </w:pPr>
            <w:r w:rsidRPr="00FB2719">
              <w:rPr>
                <w:bCs/>
                <w:sz w:val="22"/>
                <w:szCs w:val="22"/>
                <w:lang w:val="en-US"/>
              </w:rPr>
              <w:t>Lovastatinas, simvastatinas:</w:t>
            </w:r>
          </w:p>
          <w:p w14:paraId="425BCE4E" w14:textId="77777777" w:rsidR="00CA08B3" w:rsidRPr="00FB2719" w:rsidRDefault="00CA08B3">
            <w:pPr>
              <w:tabs>
                <w:tab w:val="left" w:pos="567"/>
              </w:tabs>
              <w:spacing w:line="276" w:lineRule="auto"/>
              <w:rPr>
                <w:bCs/>
                <w:sz w:val="22"/>
                <w:szCs w:val="22"/>
                <w:lang w:val="en-US"/>
              </w:rPr>
            </w:pPr>
            <w:r w:rsidRPr="00FB2719">
              <w:rPr>
                <w:bCs/>
                <w:sz w:val="22"/>
                <w:szCs w:val="22"/>
                <w:lang w:val="en-US"/>
              </w:rPr>
              <w:t>Žymus koncentracijų padidėjimas plazmoje dėl CYP3A slopinimo lopinaviro / ritonaviro deriniu.</w:t>
            </w:r>
          </w:p>
        </w:tc>
        <w:tc>
          <w:tcPr>
            <w:tcW w:w="2988" w:type="dxa"/>
            <w:tcBorders>
              <w:top w:val="single" w:sz="4" w:space="0" w:color="auto"/>
              <w:left w:val="single" w:sz="4" w:space="0" w:color="auto"/>
              <w:bottom w:val="single" w:sz="4" w:space="0" w:color="auto"/>
              <w:right w:val="single" w:sz="4" w:space="0" w:color="auto"/>
            </w:tcBorders>
            <w:hideMark/>
          </w:tcPr>
          <w:p w14:paraId="57064DD1" w14:textId="77777777" w:rsidR="00CA08B3" w:rsidRPr="00FB2719" w:rsidRDefault="00CA08B3">
            <w:pPr>
              <w:tabs>
                <w:tab w:val="left" w:pos="567"/>
              </w:tabs>
              <w:spacing w:line="276" w:lineRule="auto"/>
              <w:rPr>
                <w:bCs/>
                <w:sz w:val="22"/>
                <w:szCs w:val="22"/>
                <w:lang w:val="en-US"/>
              </w:rPr>
            </w:pPr>
            <w:r w:rsidRPr="00FB2719">
              <w:rPr>
                <w:bCs/>
                <w:sz w:val="22"/>
                <w:szCs w:val="22"/>
                <w:lang w:val="en-US"/>
              </w:rPr>
              <w:t>Kadangi padidėjusios HMG-KoA reduktazės inhibitorių koncentracijos plazmoje gali sukelti miopatiją, įskaitant rabdomiolizę, šių vaistinių preparatų skirti kartu su Lopinavir/Ritonavir Sandoz draudžiama (žr. 4.3 skyrių).</w:t>
            </w:r>
          </w:p>
        </w:tc>
      </w:tr>
      <w:tr w:rsidR="00CA08B3" w:rsidRPr="00FB2719" w14:paraId="229123A1" w14:textId="77777777" w:rsidTr="0064111D">
        <w:tc>
          <w:tcPr>
            <w:tcW w:w="3044" w:type="dxa"/>
            <w:tcBorders>
              <w:top w:val="single" w:sz="4" w:space="0" w:color="auto"/>
              <w:left w:val="single" w:sz="4" w:space="0" w:color="auto"/>
              <w:bottom w:val="single" w:sz="4" w:space="0" w:color="auto"/>
              <w:right w:val="single" w:sz="4" w:space="0" w:color="auto"/>
            </w:tcBorders>
            <w:hideMark/>
          </w:tcPr>
          <w:p w14:paraId="7806F1FE"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Atorvastatinas</w:t>
            </w:r>
          </w:p>
        </w:tc>
        <w:tc>
          <w:tcPr>
            <w:tcW w:w="2984" w:type="dxa"/>
            <w:tcBorders>
              <w:top w:val="single" w:sz="4" w:space="0" w:color="auto"/>
              <w:left w:val="single" w:sz="4" w:space="0" w:color="auto"/>
              <w:bottom w:val="single" w:sz="4" w:space="0" w:color="auto"/>
              <w:right w:val="single" w:sz="4" w:space="0" w:color="auto"/>
            </w:tcBorders>
            <w:hideMark/>
          </w:tcPr>
          <w:p w14:paraId="3D7E82CD" w14:textId="77777777" w:rsidR="00CA08B3" w:rsidRPr="00FB2719" w:rsidRDefault="00CA08B3">
            <w:pPr>
              <w:tabs>
                <w:tab w:val="left" w:pos="567"/>
              </w:tabs>
              <w:spacing w:line="276" w:lineRule="auto"/>
              <w:rPr>
                <w:bCs/>
                <w:sz w:val="22"/>
                <w:szCs w:val="22"/>
                <w:lang w:val="en-US"/>
              </w:rPr>
            </w:pPr>
            <w:r w:rsidRPr="00FB2719">
              <w:rPr>
                <w:bCs/>
                <w:sz w:val="22"/>
                <w:szCs w:val="22"/>
                <w:lang w:val="en-US"/>
              </w:rPr>
              <w:t>Atorvastatinas:</w:t>
            </w:r>
          </w:p>
          <w:p w14:paraId="396CD11C" w14:textId="77777777" w:rsidR="00CA08B3" w:rsidRPr="00FB2719" w:rsidRDefault="00CA08B3">
            <w:pPr>
              <w:tabs>
                <w:tab w:val="left" w:pos="567"/>
              </w:tabs>
              <w:spacing w:line="276" w:lineRule="auto"/>
              <w:rPr>
                <w:bCs/>
                <w:sz w:val="22"/>
                <w:szCs w:val="22"/>
                <w:lang w:val="en-US"/>
              </w:rPr>
            </w:pPr>
            <w:r w:rsidRPr="00FB2719">
              <w:rPr>
                <w:bCs/>
                <w:sz w:val="22"/>
                <w:szCs w:val="22"/>
                <w:lang w:val="en-US"/>
              </w:rPr>
              <w:t>AUC: ↑ 5,9</w:t>
            </w:r>
            <w:r w:rsidR="009B02A4" w:rsidRPr="00FB2719">
              <w:rPr>
                <w:bCs/>
                <w:sz w:val="22"/>
                <w:szCs w:val="22"/>
                <w:lang w:val="en-US"/>
              </w:rPr>
              <w:t> </w:t>
            </w:r>
            <w:r w:rsidRPr="00FB2719">
              <w:rPr>
                <w:bCs/>
                <w:sz w:val="22"/>
                <w:szCs w:val="22"/>
                <w:lang w:val="en-US"/>
              </w:rPr>
              <w:t>karto</w:t>
            </w:r>
          </w:p>
          <w:p w14:paraId="1E9EE276" w14:textId="77777777" w:rsidR="00CA08B3" w:rsidRPr="00FB2719" w:rsidRDefault="00CA08B3">
            <w:pPr>
              <w:tabs>
                <w:tab w:val="left" w:pos="567"/>
              </w:tabs>
              <w:spacing w:line="276" w:lineRule="auto"/>
              <w:rPr>
                <w:bCs/>
                <w:sz w:val="22"/>
                <w:szCs w:val="22"/>
                <w:lang w:val="en-US"/>
              </w:rPr>
            </w:pPr>
            <w:r w:rsidRPr="00FB2719">
              <w:rPr>
                <w:bCs/>
                <w:sz w:val="22"/>
                <w:szCs w:val="22"/>
                <w:lang w:val="en-US"/>
              </w:rPr>
              <w:t>C</w:t>
            </w:r>
            <w:r w:rsidRPr="00FB2719">
              <w:rPr>
                <w:bCs/>
                <w:sz w:val="22"/>
                <w:szCs w:val="22"/>
                <w:vertAlign w:val="subscript"/>
                <w:lang w:val="en-US"/>
              </w:rPr>
              <w:t>max</w:t>
            </w:r>
            <w:r w:rsidRPr="00FB2719">
              <w:rPr>
                <w:bCs/>
                <w:sz w:val="22"/>
                <w:szCs w:val="22"/>
                <w:lang w:val="en-US"/>
              </w:rPr>
              <w:t>: ↑ 4,7</w:t>
            </w:r>
            <w:r w:rsidR="009B02A4" w:rsidRPr="00FB2719">
              <w:rPr>
                <w:bCs/>
                <w:sz w:val="22"/>
                <w:szCs w:val="22"/>
                <w:lang w:val="en-US"/>
              </w:rPr>
              <w:t> </w:t>
            </w:r>
            <w:r w:rsidRPr="00FB2719">
              <w:rPr>
                <w:bCs/>
                <w:sz w:val="22"/>
                <w:szCs w:val="22"/>
                <w:lang w:val="en-US"/>
              </w:rPr>
              <w:t>karto</w:t>
            </w:r>
          </w:p>
          <w:p w14:paraId="506280B0" w14:textId="77777777" w:rsidR="00CA08B3" w:rsidRPr="00FB2719" w:rsidRDefault="00CA08B3">
            <w:pPr>
              <w:tabs>
                <w:tab w:val="left" w:pos="567"/>
              </w:tabs>
              <w:spacing w:line="276" w:lineRule="auto"/>
              <w:rPr>
                <w:bCs/>
                <w:sz w:val="22"/>
                <w:szCs w:val="22"/>
                <w:lang w:val="en-US"/>
              </w:rPr>
            </w:pPr>
            <w:r w:rsidRPr="00FB2719">
              <w:rPr>
                <w:bCs/>
                <w:sz w:val="22"/>
                <w:szCs w:val="22"/>
                <w:lang w:val="en-US"/>
              </w:rPr>
              <w:t>dėl CYP3A slopinimo lopinaviro / ritonaviro deriniu</w:t>
            </w:r>
          </w:p>
        </w:tc>
        <w:tc>
          <w:tcPr>
            <w:tcW w:w="2988" w:type="dxa"/>
            <w:tcBorders>
              <w:top w:val="single" w:sz="4" w:space="0" w:color="auto"/>
              <w:left w:val="single" w:sz="4" w:space="0" w:color="auto"/>
              <w:bottom w:val="single" w:sz="4" w:space="0" w:color="auto"/>
              <w:right w:val="single" w:sz="4" w:space="0" w:color="auto"/>
            </w:tcBorders>
            <w:hideMark/>
          </w:tcPr>
          <w:p w14:paraId="6DEFC623" w14:textId="77777777" w:rsidR="00CA08B3" w:rsidRPr="00FB2719" w:rsidRDefault="00CA08B3">
            <w:pPr>
              <w:tabs>
                <w:tab w:val="left" w:pos="567"/>
              </w:tabs>
              <w:spacing w:line="276" w:lineRule="auto"/>
              <w:rPr>
                <w:bCs/>
                <w:sz w:val="22"/>
                <w:szCs w:val="22"/>
                <w:lang w:val="en-US"/>
              </w:rPr>
            </w:pPr>
            <w:r w:rsidRPr="00FB2719">
              <w:rPr>
                <w:bCs/>
                <w:sz w:val="22"/>
                <w:szCs w:val="22"/>
                <w:lang w:val="en-US"/>
              </w:rPr>
              <w:t>Lopinavir/Ritonavir Sandoz skirti kartu su atorvastatinu nerekomenduojama. Jei manoma, kad atorvastatino vartoti neabejotinai būtina, reikia skirti pačią mažiausią veiksmingą atorvastatino dozę atidžiai stebint saugumą (žr. 4.4 skyrių).</w:t>
            </w:r>
          </w:p>
        </w:tc>
      </w:tr>
      <w:tr w:rsidR="00CA08B3" w:rsidRPr="00FB2719" w14:paraId="3A01AA36" w14:textId="77777777" w:rsidTr="0064111D">
        <w:tc>
          <w:tcPr>
            <w:tcW w:w="3044" w:type="dxa"/>
            <w:tcBorders>
              <w:top w:val="single" w:sz="4" w:space="0" w:color="auto"/>
              <w:left w:val="single" w:sz="4" w:space="0" w:color="auto"/>
              <w:bottom w:val="single" w:sz="4" w:space="0" w:color="auto"/>
              <w:right w:val="single" w:sz="4" w:space="0" w:color="auto"/>
            </w:tcBorders>
            <w:hideMark/>
          </w:tcPr>
          <w:p w14:paraId="35109528" w14:textId="77777777" w:rsidR="00CA08B3" w:rsidRPr="00FB2719" w:rsidRDefault="00CA08B3" w:rsidP="009B02A4">
            <w:pPr>
              <w:tabs>
                <w:tab w:val="left" w:pos="567"/>
              </w:tabs>
              <w:spacing w:line="276" w:lineRule="auto"/>
              <w:jc w:val="both"/>
              <w:rPr>
                <w:bCs/>
                <w:sz w:val="22"/>
                <w:szCs w:val="22"/>
                <w:lang w:val="en-US"/>
              </w:rPr>
            </w:pPr>
            <w:r w:rsidRPr="00FB2719">
              <w:rPr>
                <w:bCs/>
                <w:sz w:val="22"/>
                <w:szCs w:val="22"/>
                <w:lang w:val="en-US"/>
              </w:rPr>
              <w:t>Rozuvastatinas, 20</w:t>
            </w:r>
            <w:r w:rsidR="009B02A4" w:rsidRPr="00FB2719">
              <w:rPr>
                <w:bCs/>
                <w:sz w:val="22"/>
                <w:szCs w:val="22"/>
                <w:lang w:val="en-US"/>
              </w:rPr>
              <w:t> </w:t>
            </w:r>
            <w:r w:rsidRPr="00FB2719">
              <w:rPr>
                <w:bCs/>
                <w:sz w:val="22"/>
                <w:szCs w:val="22"/>
                <w:lang w:val="en-US"/>
              </w:rPr>
              <w:t>mg QD</w:t>
            </w:r>
          </w:p>
        </w:tc>
        <w:tc>
          <w:tcPr>
            <w:tcW w:w="2984" w:type="dxa"/>
            <w:tcBorders>
              <w:top w:val="single" w:sz="4" w:space="0" w:color="auto"/>
              <w:left w:val="single" w:sz="4" w:space="0" w:color="auto"/>
              <w:bottom w:val="single" w:sz="4" w:space="0" w:color="auto"/>
              <w:right w:val="single" w:sz="4" w:space="0" w:color="auto"/>
            </w:tcBorders>
            <w:hideMark/>
          </w:tcPr>
          <w:p w14:paraId="5836E5D0" w14:textId="77777777" w:rsidR="00CA08B3" w:rsidRPr="00FB2719" w:rsidRDefault="00CA08B3">
            <w:pPr>
              <w:tabs>
                <w:tab w:val="left" w:pos="567"/>
              </w:tabs>
              <w:spacing w:line="276" w:lineRule="auto"/>
              <w:rPr>
                <w:bCs/>
                <w:sz w:val="22"/>
                <w:szCs w:val="22"/>
                <w:lang w:val="en-US"/>
              </w:rPr>
            </w:pPr>
            <w:r w:rsidRPr="00FB2719">
              <w:rPr>
                <w:bCs/>
                <w:sz w:val="22"/>
                <w:szCs w:val="22"/>
                <w:lang w:val="en-US"/>
              </w:rPr>
              <w:t>Rozuvastatinas:</w:t>
            </w:r>
          </w:p>
          <w:p w14:paraId="4D1B44F0" w14:textId="77777777" w:rsidR="00CA08B3" w:rsidRPr="00FB2719" w:rsidRDefault="00CA08B3">
            <w:pPr>
              <w:tabs>
                <w:tab w:val="left" w:pos="567"/>
              </w:tabs>
              <w:spacing w:line="276" w:lineRule="auto"/>
              <w:rPr>
                <w:bCs/>
                <w:sz w:val="22"/>
                <w:szCs w:val="22"/>
                <w:lang w:val="en-US"/>
              </w:rPr>
            </w:pPr>
            <w:r w:rsidRPr="00FB2719">
              <w:rPr>
                <w:bCs/>
                <w:sz w:val="22"/>
                <w:szCs w:val="22"/>
                <w:lang w:val="en-US"/>
              </w:rPr>
              <w:t>AUC: ↑ 2</w:t>
            </w:r>
            <w:r w:rsidR="009B02A4" w:rsidRPr="00FB2719">
              <w:rPr>
                <w:bCs/>
                <w:sz w:val="22"/>
                <w:szCs w:val="22"/>
                <w:lang w:val="en-US"/>
              </w:rPr>
              <w:t> </w:t>
            </w:r>
            <w:r w:rsidRPr="00FB2719">
              <w:rPr>
                <w:bCs/>
                <w:sz w:val="22"/>
                <w:szCs w:val="22"/>
                <w:lang w:val="en-US"/>
              </w:rPr>
              <w:t>kartus</w:t>
            </w:r>
          </w:p>
          <w:p w14:paraId="2A308601" w14:textId="77777777" w:rsidR="00CA08B3" w:rsidRPr="00FB2719" w:rsidRDefault="00CA08B3">
            <w:pPr>
              <w:tabs>
                <w:tab w:val="left" w:pos="567"/>
              </w:tabs>
              <w:spacing w:line="276" w:lineRule="auto"/>
              <w:rPr>
                <w:bCs/>
                <w:sz w:val="22"/>
                <w:szCs w:val="22"/>
                <w:lang w:val="en-US"/>
              </w:rPr>
            </w:pPr>
            <w:r w:rsidRPr="00FB2719">
              <w:rPr>
                <w:bCs/>
                <w:sz w:val="22"/>
                <w:szCs w:val="22"/>
                <w:lang w:val="en-US"/>
              </w:rPr>
              <w:t>C</w:t>
            </w:r>
            <w:r w:rsidRPr="00FB2719">
              <w:rPr>
                <w:bCs/>
                <w:sz w:val="22"/>
                <w:szCs w:val="22"/>
                <w:vertAlign w:val="subscript"/>
                <w:lang w:val="en-US"/>
              </w:rPr>
              <w:t>max</w:t>
            </w:r>
            <w:r w:rsidRPr="00FB2719">
              <w:rPr>
                <w:bCs/>
                <w:sz w:val="22"/>
                <w:szCs w:val="22"/>
                <w:lang w:val="en-US"/>
              </w:rPr>
              <w:t>: ↑ 5</w:t>
            </w:r>
            <w:r w:rsidR="009B02A4" w:rsidRPr="00FB2719">
              <w:rPr>
                <w:bCs/>
                <w:sz w:val="22"/>
                <w:szCs w:val="22"/>
                <w:lang w:val="en-US"/>
              </w:rPr>
              <w:t> </w:t>
            </w:r>
            <w:r w:rsidRPr="00FB2719">
              <w:rPr>
                <w:bCs/>
                <w:sz w:val="22"/>
                <w:szCs w:val="22"/>
                <w:lang w:val="en-US"/>
              </w:rPr>
              <w:t>kartus</w:t>
            </w:r>
          </w:p>
          <w:p w14:paraId="22918D89" w14:textId="77777777" w:rsidR="00CA08B3" w:rsidRPr="00FB2719" w:rsidRDefault="00CA08B3">
            <w:pPr>
              <w:tabs>
                <w:tab w:val="left" w:pos="567"/>
              </w:tabs>
              <w:spacing w:line="276" w:lineRule="auto"/>
              <w:rPr>
                <w:bCs/>
                <w:sz w:val="22"/>
                <w:szCs w:val="22"/>
                <w:lang w:val="en-US"/>
              </w:rPr>
            </w:pPr>
            <w:r w:rsidRPr="00FB2719">
              <w:rPr>
                <w:bCs/>
                <w:sz w:val="22"/>
                <w:szCs w:val="22"/>
                <w:lang w:val="en-US"/>
              </w:rPr>
              <w:t>Nors rozuvastatinas yra labai menkai metabolizuojamas CYP3A4, tačiau buvo pastebėtas jo koncentracijų plazmoje padidėjimas. Manoma, kad šios sąveikos mechanizmas susijęs su transporto baltymų slopinimu.</w:t>
            </w:r>
          </w:p>
        </w:tc>
        <w:tc>
          <w:tcPr>
            <w:tcW w:w="2988" w:type="dxa"/>
            <w:tcBorders>
              <w:top w:val="single" w:sz="4" w:space="0" w:color="auto"/>
              <w:left w:val="single" w:sz="4" w:space="0" w:color="auto"/>
              <w:bottom w:val="single" w:sz="4" w:space="0" w:color="auto"/>
              <w:right w:val="single" w:sz="4" w:space="0" w:color="auto"/>
            </w:tcBorders>
          </w:tcPr>
          <w:p w14:paraId="44EF8AF3" w14:textId="77777777" w:rsidR="00CA08B3" w:rsidRPr="00FB2719" w:rsidRDefault="00CA08B3">
            <w:pPr>
              <w:tabs>
                <w:tab w:val="left" w:pos="567"/>
              </w:tabs>
              <w:spacing w:line="276" w:lineRule="auto"/>
              <w:rPr>
                <w:bCs/>
                <w:sz w:val="22"/>
                <w:szCs w:val="22"/>
                <w:lang w:val="en-US"/>
              </w:rPr>
            </w:pPr>
            <w:r w:rsidRPr="00FB2719">
              <w:rPr>
                <w:bCs/>
                <w:sz w:val="22"/>
                <w:szCs w:val="22"/>
                <w:lang w:val="en-US"/>
              </w:rPr>
              <w:t>Reikia laikytis atsargumo ir pagalvoti apie dozių sumažinimą, jeigu rozuvastatino vartojama kartu su Lopinavir/Ritonavir Sandoz (žr. 4.4 skyrių).</w:t>
            </w:r>
          </w:p>
          <w:p w14:paraId="34B25F60" w14:textId="77777777" w:rsidR="00CA08B3" w:rsidRPr="00FB2719" w:rsidRDefault="00CA08B3">
            <w:pPr>
              <w:tabs>
                <w:tab w:val="left" w:pos="567"/>
              </w:tabs>
              <w:spacing w:line="276" w:lineRule="auto"/>
              <w:rPr>
                <w:bCs/>
                <w:sz w:val="22"/>
                <w:szCs w:val="22"/>
                <w:lang w:val="en-US"/>
              </w:rPr>
            </w:pPr>
          </w:p>
        </w:tc>
      </w:tr>
      <w:tr w:rsidR="00CA08B3" w:rsidRPr="00FB2719" w14:paraId="376D323A" w14:textId="77777777" w:rsidTr="0064111D">
        <w:tc>
          <w:tcPr>
            <w:tcW w:w="3044" w:type="dxa"/>
            <w:tcBorders>
              <w:top w:val="single" w:sz="4" w:space="0" w:color="auto"/>
              <w:left w:val="single" w:sz="4" w:space="0" w:color="auto"/>
              <w:bottom w:val="single" w:sz="4" w:space="0" w:color="auto"/>
              <w:right w:val="single" w:sz="4" w:space="0" w:color="auto"/>
            </w:tcBorders>
            <w:hideMark/>
          </w:tcPr>
          <w:p w14:paraId="6CEBA644"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Fluvastatinas ar pravastatinas</w:t>
            </w:r>
          </w:p>
        </w:tc>
        <w:tc>
          <w:tcPr>
            <w:tcW w:w="2984" w:type="dxa"/>
            <w:tcBorders>
              <w:top w:val="single" w:sz="4" w:space="0" w:color="auto"/>
              <w:left w:val="single" w:sz="4" w:space="0" w:color="auto"/>
              <w:bottom w:val="single" w:sz="4" w:space="0" w:color="auto"/>
              <w:right w:val="single" w:sz="4" w:space="0" w:color="auto"/>
            </w:tcBorders>
            <w:hideMark/>
          </w:tcPr>
          <w:p w14:paraId="275677F0" w14:textId="77777777" w:rsidR="00CA08B3" w:rsidRPr="00FB2719" w:rsidRDefault="00CA08B3">
            <w:pPr>
              <w:tabs>
                <w:tab w:val="left" w:pos="567"/>
              </w:tabs>
              <w:spacing w:line="276" w:lineRule="auto"/>
              <w:rPr>
                <w:bCs/>
                <w:sz w:val="22"/>
                <w:szCs w:val="22"/>
                <w:lang w:val="de-DE"/>
              </w:rPr>
            </w:pPr>
            <w:r w:rsidRPr="00FB2719">
              <w:rPr>
                <w:bCs/>
                <w:sz w:val="22"/>
                <w:szCs w:val="22"/>
                <w:lang w:val="de-DE"/>
              </w:rPr>
              <w:t>Fluvastatinas, pravastatinas:</w:t>
            </w:r>
          </w:p>
          <w:p w14:paraId="3B440822" w14:textId="77777777" w:rsidR="00CA08B3" w:rsidRPr="00FB2719" w:rsidRDefault="00CA08B3">
            <w:pPr>
              <w:tabs>
                <w:tab w:val="left" w:pos="567"/>
              </w:tabs>
              <w:spacing w:line="276" w:lineRule="auto"/>
              <w:rPr>
                <w:bCs/>
                <w:sz w:val="22"/>
                <w:szCs w:val="22"/>
                <w:lang w:val="de-DE"/>
              </w:rPr>
            </w:pPr>
            <w:r w:rsidRPr="00FB2719">
              <w:rPr>
                <w:bCs/>
                <w:sz w:val="22"/>
                <w:szCs w:val="22"/>
                <w:lang w:val="de-DE"/>
              </w:rPr>
              <w:t>klinikinės sąveikos nesitikima.</w:t>
            </w:r>
          </w:p>
          <w:p w14:paraId="3BF8C0F1" w14:textId="77777777" w:rsidR="00CA08B3" w:rsidRPr="00FB2719" w:rsidRDefault="00CA08B3">
            <w:pPr>
              <w:tabs>
                <w:tab w:val="left" w:pos="567"/>
              </w:tabs>
              <w:spacing w:line="276" w:lineRule="auto"/>
              <w:rPr>
                <w:bCs/>
                <w:sz w:val="22"/>
                <w:szCs w:val="22"/>
                <w:lang w:val="it-IT"/>
              </w:rPr>
            </w:pPr>
            <w:r w:rsidRPr="00FB2719">
              <w:rPr>
                <w:bCs/>
                <w:sz w:val="22"/>
                <w:szCs w:val="22"/>
                <w:lang w:val="it-IT"/>
              </w:rPr>
              <w:t>CYP450 pravastatino nemetabolizuoja.</w:t>
            </w:r>
          </w:p>
          <w:p w14:paraId="510EA70E" w14:textId="77777777" w:rsidR="00CA08B3" w:rsidRPr="00FB2719" w:rsidRDefault="00CA08B3">
            <w:pPr>
              <w:tabs>
                <w:tab w:val="left" w:pos="567"/>
              </w:tabs>
              <w:spacing w:line="276" w:lineRule="auto"/>
              <w:rPr>
                <w:bCs/>
                <w:sz w:val="22"/>
                <w:szCs w:val="22"/>
                <w:lang w:val="it-IT"/>
              </w:rPr>
            </w:pPr>
            <w:r w:rsidRPr="00FB2719">
              <w:rPr>
                <w:bCs/>
                <w:sz w:val="22"/>
                <w:szCs w:val="22"/>
                <w:lang w:val="it-IT"/>
              </w:rPr>
              <w:t>Fluvastatiną dalinai metabolizuoja CYP2C9.</w:t>
            </w:r>
          </w:p>
        </w:tc>
        <w:tc>
          <w:tcPr>
            <w:tcW w:w="2988" w:type="dxa"/>
            <w:tcBorders>
              <w:top w:val="single" w:sz="4" w:space="0" w:color="auto"/>
              <w:left w:val="single" w:sz="4" w:space="0" w:color="auto"/>
              <w:bottom w:val="single" w:sz="4" w:space="0" w:color="auto"/>
              <w:right w:val="single" w:sz="4" w:space="0" w:color="auto"/>
            </w:tcBorders>
            <w:hideMark/>
          </w:tcPr>
          <w:p w14:paraId="3A2BA532" w14:textId="77777777" w:rsidR="00CA08B3" w:rsidRPr="00FB2719" w:rsidRDefault="00CA08B3">
            <w:pPr>
              <w:tabs>
                <w:tab w:val="left" w:pos="567"/>
              </w:tabs>
              <w:spacing w:line="276" w:lineRule="auto"/>
              <w:rPr>
                <w:bCs/>
                <w:sz w:val="22"/>
                <w:szCs w:val="22"/>
                <w:lang w:val="it-IT"/>
              </w:rPr>
            </w:pPr>
            <w:r w:rsidRPr="00FB2719">
              <w:rPr>
                <w:bCs/>
                <w:sz w:val="22"/>
                <w:szCs w:val="22"/>
                <w:lang w:val="it-IT"/>
              </w:rPr>
              <w:t>Jei reikalingas gydymas HMG-CoA reduktazės inhibitoriumi, rekomenduojama skirti fluvastatino ar pravastatino.</w:t>
            </w:r>
          </w:p>
        </w:tc>
      </w:tr>
      <w:tr w:rsidR="00CA08B3" w:rsidRPr="00FB2719" w14:paraId="12A9DCE7" w14:textId="77777777" w:rsidTr="0064111D">
        <w:tc>
          <w:tcPr>
            <w:tcW w:w="9016" w:type="dxa"/>
            <w:gridSpan w:val="3"/>
            <w:tcBorders>
              <w:top w:val="single" w:sz="4" w:space="0" w:color="auto"/>
              <w:left w:val="single" w:sz="4" w:space="0" w:color="auto"/>
              <w:bottom w:val="single" w:sz="4" w:space="0" w:color="auto"/>
              <w:right w:val="single" w:sz="4" w:space="0" w:color="auto"/>
            </w:tcBorders>
            <w:hideMark/>
          </w:tcPr>
          <w:p w14:paraId="732CA459" w14:textId="77777777" w:rsidR="00CA08B3" w:rsidRPr="00FB2719" w:rsidRDefault="00CA08B3">
            <w:pPr>
              <w:tabs>
                <w:tab w:val="left" w:pos="567"/>
              </w:tabs>
              <w:spacing w:line="276" w:lineRule="auto"/>
              <w:jc w:val="both"/>
              <w:rPr>
                <w:bCs/>
                <w:i/>
                <w:sz w:val="22"/>
                <w:szCs w:val="22"/>
                <w:lang w:val="en-US"/>
              </w:rPr>
            </w:pPr>
            <w:r w:rsidRPr="00FB2719">
              <w:rPr>
                <w:bCs/>
                <w:i/>
                <w:sz w:val="22"/>
                <w:szCs w:val="22"/>
                <w:lang w:val="en-US"/>
              </w:rPr>
              <w:t>Opioidai</w:t>
            </w:r>
          </w:p>
        </w:tc>
      </w:tr>
      <w:tr w:rsidR="00CA08B3" w:rsidRPr="00FB2719" w14:paraId="74FD1A97" w14:textId="77777777" w:rsidTr="0064111D">
        <w:tc>
          <w:tcPr>
            <w:tcW w:w="3044" w:type="dxa"/>
            <w:tcBorders>
              <w:top w:val="single" w:sz="4" w:space="0" w:color="auto"/>
              <w:left w:val="single" w:sz="4" w:space="0" w:color="auto"/>
              <w:bottom w:val="single" w:sz="4" w:space="0" w:color="auto"/>
              <w:right w:val="single" w:sz="4" w:space="0" w:color="auto"/>
            </w:tcBorders>
            <w:hideMark/>
          </w:tcPr>
          <w:p w14:paraId="198C330E" w14:textId="77777777" w:rsidR="00CA08B3" w:rsidRPr="00FB2719" w:rsidRDefault="00CA08B3" w:rsidP="009B02A4">
            <w:pPr>
              <w:tabs>
                <w:tab w:val="left" w:pos="567"/>
              </w:tabs>
              <w:spacing w:line="276" w:lineRule="auto"/>
              <w:jc w:val="both"/>
              <w:rPr>
                <w:bCs/>
                <w:sz w:val="22"/>
                <w:szCs w:val="22"/>
                <w:lang w:val="en-US"/>
              </w:rPr>
            </w:pPr>
            <w:r w:rsidRPr="00FB2719">
              <w:rPr>
                <w:bCs/>
                <w:sz w:val="22"/>
                <w:szCs w:val="22"/>
                <w:lang w:val="en-US"/>
              </w:rPr>
              <w:t>Buprenorfinas, 16</w:t>
            </w:r>
            <w:r w:rsidR="009B02A4" w:rsidRPr="00FB2719">
              <w:rPr>
                <w:bCs/>
                <w:sz w:val="22"/>
                <w:szCs w:val="22"/>
                <w:lang w:val="en-US"/>
              </w:rPr>
              <w:t> </w:t>
            </w:r>
            <w:r w:rsidRPr="00FB2719">
              <w:rPr>
                <w:bCs/>
                <w:sz w:val="22"/>
                <w:szCs w:val="22"/>
                <w:lang w:val="en-US"/>
              </w:rPr>
              <w:t>mg QD</w:t>
            </w:r>
          </w:p>
        </w:tc>
        <w:tc>
          <w:tcPr>
            <w:tcW w:w="2984" w:type="dxa"/>
            <w:tcBorders>
              <w:top w:val="single" w:sz="4" w:space="0" w:color="auto"/>
              <w:left w:val="single" w:sz="4" w:space="0" w:color="auto"/>
              <w:bottom w:val="single" w:sz="4" w:space="0" w:color="auto"/>
              <w:right w:val="single" w:sz="4" w:space="0" w:color="auto"/>
            </w:tcBorders>
            <w:hideMark/>
          </w:tcPr>
          <w:p w14:paraId="328F6F36" w14:textId="77777777" w:rsidR="00CA08B3" w:rsidRPr="00FB2719" w:rsidRDefault="00CA08B3">
            <w:pPr>
              <w:tabs>
                <w:tab w:val="left" w:pos="567"/>
              </w:tabs>
              <w:spacing w:line="276" w:lineRule="auto"/>
              <w:rPr>
                <w:bCs/>
                <w:sz w:val="22"/>
                <w:szCs w:val="22"/>
                <w:lang w:val="en-US"/>
              </w:rPr>
            </w:pPr>
            <w:r w:rsidRPr="00FB2719">
              <w:rPr>
                <w:bCs/>
                <w:sz w:val="22"/>
                <w:szCs w:val="22"/>
                <w:lang w:val="en-US"/>
              </w:rPr>
              <w:t>Buprenorfinas: ↔</w:t>
            </w:r>
          </w:p>
        </w:tc>
        <w:tc>
          <w:tcPr>
            <w:tcW w:w="2988" w:type="dxa"/>
            <w:tcBorders>
              <w:top w:val="single" w:sz="4" w:space="0" w:color="auto"/>
              <w:left w:val="single" w:sz="4" w:space="0" w:color="auto"/>
              <w:bottom w:val="single" w:sz="4" w:space="0" w:color="auto"/>
              <w:right w:val="single" w:sz="4" w:space="0" w:color="auto"/>
            </w:tcBorders>
            <w:hideMark/>
          </w:tcPr>
          <w:p w14:paraId="43AA3D43" w14:textId="77777777" w:rsidR="00CA08B3" w:rsidRPr="00FB2719" w:rsidRDefault="00CA08B3">
            <w:pPr>
              <w:tabs>
                <w:tab w:val="left" w:pos="567"/>
              </w:tabs>
              <w:spacing w:line="276" w:lineRule="auto"/>
              <w:rPr>
                <w:bCs/>
                <w:sz w:val="22"/>
                <w:szCs w:val="22"/>
                <w:lang w:val="en-US"/>
              </w:rPr>
            </w:pPr>
            <w:r w:rsidRPr="00FB2719">
              <w:rPr>
                <w:bCs/>
                <w:sz w:val="22"/>
                <w:szCs w:val="22"/>
                <w:lang w:val="en-US"/>
              </w:rPr>
              <w:t>Dozės koreguoti nereikia.</w:t>
            </w:r>
          </w:p>
        </w:tc>
      </w:tr>
      <w:tr w:rsidR="00CA08B3" w:rsidRPr="00FB2719" w14:paraId="10B69432" w14:textId="77777777" w:rsidTr="0064111D">
        <w:tc>
          <w:tcPr>
            <w:tcW w:w="3044" w:type="dxa"/>
            <w:tcBorders>
              <w:top w:val="single" w:sz="4" w:space="0" w:color="auto"/>
              <w:left w:val="single" w:sz="4" w:space="0" w:color="auto"/>
              <w:bottom w:val="single" w:sz="4" w:space="0" w:color="auto"/>
              <w:right w:val="single" w:sz="4" w:space="0" w:color="auto"/>
            </w:tcBorders>
            <w:hideMark/>
          </w:tcPr>
          <w:p w14:paraId="2CF1F83C"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lastRenderedPageBreak/>
              <w:t>Metadonas</w:t>
            </w:r>
          </w:p>
        </w:tc>
        <w:tc>
          <w:tcPr>
            <w:tcW w:w="2984" w:type="dxa"/>
            <w:tcBorders>
              <w:top w:val="single" w:sz="4" w:space="0" w:color="auto"/>
              <w:left w:val="single" w:sz="4" w:space="0" w:color="auto"/>
              <w:bottom w:val="single" w:sz="4" w:space="0" w:color="auto"/>
              <w:right w:val="single" w:sz="4" w:space="0" w:color="auto"/>
            </w:tcBorders>
            <w:hideMark/>
          </w:tcPr>
          <w:p w14:paraId="59CCE67E" w14:textId="77777777" w:rsidR="00CA08B3" w:rsidRPr="00FB2719" w:rsidRDefault="00CA08B3">
            <w:pPr>
              <w:tabs>
                <w:tab w:val="left" w:pos="567"/>
              </w:tabs>
              <w:spacing w:line="276" w:lineRule="auto"/>
              <w:rPr>
                <w:bCs/>
                <w:sz w:val="22"/>
                <w:szCs w:val="22"/>
                <w:lang w:val="en-US"/>
              </w:rPr>
            </w:pPr>
            <w:r w:rsidRPr="00FB2719">
              <w:rPr>
                <w:bCs/>
                <w:sz w:val="22"/>
                <w:szCs w:val="22"/>
                <w:lang w:val="en-US"/>
              </w:rPr>
              <w:t>Metadonas: ↓</w:t>
            </w:r>
          </w:p>
        </w:tc>
        <w:tc>
          <w:tcPr>
            <w:tcW w:w="2988" w:type="dxa"/>
            <w:tcBorders>
              <w:top w:val="single" w:sz="4" w:space="0" w:color="auto"/>
              <w:left w:val="single" w:sz="4" w:space="0" w:color="auto"/>
              <w:bottom w:val="single" w:sz="4" w:space="0" w:color="auto"/>
              <w:right w:val="single" w:sz="4" w:space="0" w:color="auto"/>
            </w:tcBorders>
            <w:hideMark/>
          </w:tcPr>
          <w:p w14:paraId="24B361AB" w14:textId="77777777" w:rsidR="00CA08B3" w:rsidRPr="00FB2719" w:rsidRDefault="00CA08B3">
            <w:pPr>
              <w:tabs>
                <w:tab w:val="left" w:pos="567"/>
              </w:tabs>
              <w:spacing w:line="276" w:lineRule="auto"/>
              <w:rPr>
                <w:bCs/>
                <w:sz w:val="22"/>
                <w:szCs w:val="22"/>
                <w:lang w:val="es-ES"/>
              </w:rPr>
            </w:pPr>
            <w:r w:rsidRPr="00FB2719">
              <w:rPr>
                <w:bCs/>
                <w:sz w:val="22"/>
                <w:szCs w:val="22"/>
                <w:lang w:val="es-ES"/>
              </w:rPr>
              <w:t>Rekomenduojama sekti metadono koncentracijas plazmoje.</w:t>
            </w:r>
          </w:p>
        </w:tc>
      </w:tr>
      <w:tr w:rsidR="00CA08B3" w:rsidRPr="00FB2719" w14:paraId="4A47E4C1" w14:textId="77777777" w:rsidTr="0064111D">
        <w:tc>
          <w:tcPr>
            <w:tcW w:w="9016" w:type="dxa"/>
            <w:gridSpan w:val="3"/>
            <w:tcBorders>
              <w:top w:val="single" w:sz="4" w:space="0" w:color="auto"/>
              <w:left w:val="single" w:sz="4" w:space="0" w:color="auto"/>
              <w:bottom w:val="single" w:sz="4" w:space="0" w:color="auto"/>
              <w:right w:val="single" w:sz="4" w:space="0" w:color="auto"/>
            </w:tcBorders>
            <w:hideMark/>
          </w:tcPr>
          <w:p w14:paraId="4760090C" w14:textId="77777777" w:rsidR="00CA08B3" w:rsidRPr="00FB2719" w:rsidRDefault="00CA08B3">
            <w:pPr>
              <w:tabs>
                <w:tab w:val="left" w:pos="567"/>
              </w:tabs>
              <w:spacing w:line="276" w:lineRule="auto"/>
              <w:jc w:val="both"/>
              <w:rPr>
                <w:bCs/>
                <w:i/>
                <w:sz w:val="22"/>
                <w:szCs w:val="22"/>
                <w:lang w:val="en-US"/>
              </w:rPr>
            </w:pPr>
            <w:r w:rsidRPr="00FB2719">
              <w:rPr>
                <w:bCs/>
                <w:i/>
                <w:sz w:val="22"/>
                <w:szCs w:val="22"/>
                <w:lang w:val="en-US"/>
              </w:rPr>
              <w:t>Geriamieji kontraceptikai</w:t>
            </w:r>
          </w:p>
        </w:tc>
      </w:tr>
      <w:tr w:rsidR="00CA08B3" w:rsidRPr="00FB2719" w14:paraId="42847E9A" w14:textId="77777777" w:rsidTr="0064111D">
        <w:tc>
          <w:tcPr>
            <w:tcW w:w="3044" w:type="dxa"/>
            <w:tcBorders>
              <w:top w:val="single" w:sz="4" w:space="0" w:color="auto"/>
              <w:left w:val="single" w:sz="4" w:space="0" w:color="auto"/>
              <w:bottom w:val="single" w:sz="4" w:space="0" w:color="auto"/>
              <w:right w:val="single" w:sz="4" w:space="0" w:color="auto"/>
            </w:tcBorders>
            <w:hideMark/>
          </w:tcPr>
          <w:p w14:paraId="431FA052"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Etinilestradiolis</w:t>
            </w:r>
          </w:p>
        </w:tc>
        <w:tc>
          <w:tcPr>
            <w:tcW w:w="2984" w:type="dxa"/>
            <w:tcBorders>
              <w:top w:val="single" w:sz="4" w:space="0" w:color="auto"/>
              <w:left w:val="single" w:sz="4" w:space="0" w:color="auto"/>
              <w:bottom w:val="single" w:sz="4" w:space="0" w:color="auto"/>
              <w:right w:val="single" w:sz="4" w:space="0" w:color="auto"/>
            </w:tcBorders>
            <w:hideMark/>
          </w:tcPr>
          <w:p w14:paraId="2F564C52" w14:textId="77777777" w:rsidR="00CA08B3" w:rsidRPr="00FB2719" w:rsidRDefault="00CA08B3">
            <w:pPr>
              <w:tabs>
                <w:tab w:val="left" w:pos="567"/>
              </w:tabs>
              <w:spacing w:line="276" w:lineRule="auto"/>
              <w:rPr>
                <w:bCs/>
                <w:sz w:val="22"/>
                <w:szCs w:val="22"/>
                <w:lang w:val="en-US"/>
              </w:rPr>
            </w:pPr>
            <w:r w:rsidRPr="00FB2719">
              <w:rPr>
                <w:bCs/>
                <w:sz w:val="22"/>
                <w:szCs w:val="22"/>
                <w:lang w:val="en-US"/>
              </w:rPr>
              <w:t>Etinilestradiolis: ↓</w:t>
            </w:r>
          </w:p>
        </w:tc>
        <w:tc>
          <w:tcPr>
            <w:tcW w:w="2988" w:type="dxa"/>
            <w:tcBorders>
              <w:top w:val="single" w:sz="4" w:space="0" w:color="auto"/>
              <w:left w:val="single" w:sz="4" w:space="0" w:color="auto"/>
              <w:bottom w:val="single" w:sz="4" w:space="0" w:color="auto"/>
              <w:right w:val="single" w:sz="4" w:space="0" w:color="auto"/>
            </w:tcBorders>
            <w:hideMark/>
          </w:tcPr>
          <w:p w14:paraId="1CBABA29" w14:textId="77777777" w:rsidR="00CA08B3" w:rsidRPr="00FB2719" w:rsidRDefault="00CA08B3">
            <w:pPr>
              <w:tabs>
                <w:tab w:val="left" w:pos="567"/>
              </w:tabs>
              <w:spacing w:line="276" w:lineRule="auto"/>
              <w:rPr>
                <w:bCs/>
                <w:sz w:val="22"/>
                <w:szCs w:val="22"/>
                <w:lang w:val="en-US"/>
              </w:rPr>
            </w:pPr>
            <w:r w:rsidRPr="00FB2719">
              <w:rPr>
                <w:bCs/>
                <w:sz w:val="22"/>
                <w:szCs w:val="22"/>
                <w:lang w:val="en-US"/>
              </w:rPr>
              <w:t xml:space="preserve">Lopinavir/Ritonavir Sandoz vartojimo su kontraceptikais, kurių sudėtyje yra etinilestradiolio (bet kokios farmacinės formos kontraceptiką, </w:t>
            </w:r>
            <w:proofErr w:type="gramStart"/>
            <w:r w:rsidRPr="00FB2719">
              <w:rPr>
                <w:bCs/>
                <w:sz w:val="22"/>
                <w:szCs w:val="22"/>
                <w:lang w:val="en-US"/>
              </w:rPr>
              <w:t>pvz.,</w:t>
            </w:r>
            <w:proofErr w:type="gramEnd"/>
            <w:r w:rsidRPr="00FB2719">
              <w:rPr>
                <w:bCs/>
                <w:sz w:val="22"/>
                <w:szCs w:val="22"/>
                <w:lang w:val="en-US"/>
              </w:rPr>
              <w:t xml:space="preserve"> geriamąjį ar pleistrą), būtina taikyti papildoma kontracepcijos metodą.</w:t>
            </w:r>
          </w:p>
        </w:tc>
      </w:tr>
      <w:tr w:rsidR="00CA08B3" w:rsidRPr="00FB2719" w14:paraId="5878E2F1" w14:textId="77777777" w:rsidTr="0064111D">
        <w:tc>
          <w:tcPr>
            <w:tcW w:w="9016" w:type="dxa"/>
            <w:gridSpan w:val="3"/>
            <w:tcBorders>
              <w:top w:val="single" w:sz="4" w:space="0" w:color="auto"/>
              <w:left w:val="single" w:sz="4" w:space="0" w:color="auto"/>
              <w:bottom w:val="single" w:sz="4" w:space="0" w:color="auto"/>
              <w:right w:val="single" w:sz="4" w:space="0" w:color="auto"/>
            </w:tcBorders>
            <w:hideMark/>
          </w:tcPr>
          <w:p w14:paraId="6FF9AD43" w14:textId="77777777" w:rsidR="00CA08B3" w:rsidRPr="00FB2719" w:rsidRDefault="00CA08B3">
            <w:pPr>
              <w:tabs>
                <w:tab w:val="left" w:pos="567"/>
              </w:tabs>
              <w:spacing w:line="276" w:lineRule="auto"/>
              <w:jc w:val="both"/>
              <w:rPr>
                <w:bCs/>
                <w:i/>
                <w:sz w:val="22"/>
                <w:szCs w:val="22"/>
                <w:lang w:val="en-US"/>
              </w:rPr>
            </w:pPr>
            <w:r w:rsidRPr="00FB2719">
              <w:rPr>
                <w:bCs/>
                <w:i/>
                <w:sz w:val="22"/>
                <w:szCs w:val="22"/>
                <w:lang w:val="en-US"/>
              </w:rPr>
              <w:t>Rūkymo nutraukimo priemonės</w:t>
            </w:r>
          </w:p>
        </w:tc>
      </w:tr>
      <w:tr w:rsidR="00CA08B3" w:rsidRPr="00FB2719" w14:paraId="152A1595" w14:textId="77777777" w:rsidTr="0064111D">
        <w:tc>
          <w:tcPr>
            <w:tcW w:w="3044" w:type="dxa"/>
            <w:tcBorders>
              <w:top w:val="single" w:sz="4" w:space="0" w:color="auto"/>
              <w:left w:val="single" w:sz="4" w:space="0" w:color="auto"/>
              <w:bottom w:val="single" w:sz="4" w:space="0" w:color="auto"/>
              <w:right w:val="single" w:sz="4" w:space="0" w:color="auto"/>
            </w:tcBorders>
            <w:hideMark/>
          </w:tcPr>
          <w:p w14:paraId="30A71E47"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Bupropionas</w:t>
            </w:r>
          </w:p>
        </w:tc>
        <w:tc>
          <w:tcPr>
            <w:tcW w:w="2984" w:type="dxa"/>
            <w:tcBorders>
              <w:top w:val="single" w:sz="4" w:space="0" w:color="auto"/>
              <w:left w:val="single" w:sz="4" w:space="0" w:color="auto"/>
              <w:bottom w:val="single" w:sz="4" w:space="0" w:color="auto"/>
              <w:right w:val="single" w:sz="4" w:space="0" w:color="auto"/>
            </w:tcBorders>
          </w:tcPr>
          <w:p w14:paraId="164164C2" w14:textId="77777777" w:rsidR="00CA08B3" w:rsidRPr="00FB2719" w:rsidRDefault="00CA08B3">
            <w:pPr>
              <w:tabs>
                <w:tab w:val="left" w:pos="567"/>
              </w:tabs>
              <w:spacing w:line="276" w:lineRule="auto"/>
              <w:rPr>
                <w:bCs/>
                <w:sz w:val="22"/>
                <w:szCs w:val="22"/>
                <w:lang w:val="es-ES"/>
              </w:rPr>
            </w:pPr>
            <w:r w:rsidRPr="00FB2719">
              <w:rPr>
                <w:bCs/>
                <w:sz w:val="22"/>
                <w:szCs w:val="22"/>
                <w:lang w:val="es-ES"/>
              </w:rPr>
              <w:t>Bupropionas ir jo aktyvus metabolitas hidroksibupropionas:</w:t>
            </w:r>
          </w:p>
          <w:p w14:paraId="65C32D95" w14:textId="77777777" w:rsidR="00CA08B3" w:rsidRPr="00FB2719" w:rsidRDefault="00CA08B3">
            <w:pPr>
              <w:tabs>
                <w:tab w:val="left" w:pos="567"/>
              </w:tabs>
              <w:spacing w:line="276" w:lineRule="auto"/>
              <w:rPr>
                <w:bCs/>
                <w:sz w:val="22"/>
                <w:szCs w:val="22"/>
                <w:lang w:val="es-ES"/>
              </w:rPr>
            </w:pPr>
            <w:r w:rsidRPr="00FB2719">
              <w:rPr>
                <w:bCs/>
                <w:sz w:val="22"/>
                <w:szCs w:val="22"/>
                <w:lang w:val="es-ES"/>
              </w:rPr>
              <w:t>AUC ir C</w:t>
            </w:r>
            <w:r w:rsidRPr="00FB2719">
              <w:rPr>
                <w:bCs/>
                <w:sz w:val="22"/>
                <w:szCs w:val="22"/>
                <w:vertAlign w:val="subscript"/>
                <w:lang w:val="es-ES"/>
              </w:rPr>
              <w:t>max</w:t>
            </w:r>
            <w:r w:rsidRPr="00FB2719">
              <w:rPr>
                <w:bCs/>
                <w:sz w:val="22"/>
                <w:szCs w:val="22"/>
                <w:lang w:val="es-ES"/>
              </w:rPr>
              <w:t xml:space="preserve"> ↓ ~50</w:t>
            </w:r>
            <w:r w:rsidR="009B02A4" w:rsidRPr="00FB2719">
              <w:rPr>
                <w:bCs/>
                <w:sz w:val="22"/>
                <w:szCs w:val="22"/>
                <w:lang w:val="es-ES"/>
              </w:rPr>
              <w:t> </w:t>
            </w:r>
            <w:r w:rsidRPr="00FB2719">
              <w:rPr>
                <w:bCs/>
                <w:sz w:val="22"/>
                <w:szCs w:val="22"/>
                <w:lang w:val="es-ES"/>
              </w:rPr>
              <w:t>%</w:t>
            </w:r>
          </w:p>
          <w:p w14:paraId="0BB8956F" w14:textId="77777777" w:rsidR="00CA08B3" w:rsidRPr="00FB2719" w:rsidRDefault="00CA08B3">
            <w:pPr>
              <w:tabs>
                <w:tab w:val="left" w:pos="567"/>
              </w:tabs>
              <w:spacing w:line="276" w:lineRule="auto"/>
              <w:rPr>
                <w:bCs/>
                <w:sz w:val="22"/>
                <w:szCs w:val="22"/>
                <w:lang w:val="es-ES"/>
              </w:rPr>
            </w:pPr>
          </w:p>
          <w:p w14:paraId="434970CE" w14:textId="77777777" w:rsidR="00CA08B3" w:rsidRPr="00FB2719" w:rsidRDefault="00CA08B3">
            <w:pPr>
              <w:tabs>
                <w:tab w:val="left" w:pos="567"/>
              </w:tabs>
              <w:spacing w:line="276" w:lineRule="auto"/>
              <w:rPr>
                <w:bCs/>
                <w:sz w:val="22"/>
                <w:szCs w:val="22"/>
                <w:lang w:val="es-ES"/>
              </w:rPr>
            </w:pPr>
            <w:r w:rsidRPr="00FB2719">
              <w:rPr>
                <w:bCs/>
                <w:sz w:val="22"/>
                <w:szCs w:val="22"/>
                <w:lang w:val="es-ES"/>
              </w:rPr>
              <w:t>Šis poveikis gali būti dėl bupropiono metabolizmo indukcijos.</w:t>
            </w:r>
          </w:p>
        </w:tc>
        <w:tc>
          <w:tcPr>
            <w:tcW w:w="2988" w:type="dxa"/>
            <w:tcBorders>
              <w:top w:val="single" w:sz="4" w:space="0" w:color="auto"/>
              <w:left w:val="single" w:sz="4" w:space="0" w:color="auto"/>
              <w:bottom w:val="single" w:sz="4" w:space="0" w:color="auto"/>
              <w:right w:val="single" w:sz="4" w:space="0" w:color="auto"/>
            </w:tcBorders>
            <w:hideMark/>
          </w:tcPr>
          <w:p w14:paraId="7379727D" w14:textId="77777777" w:rsidR="00CA08B3" w:rsidRPr="00FB2719" w:rsidRDefault="00CA08B3">
            <w:pPr>
              <w:tabs>
                <w:tab w:val="left" w:pos="567"/>
              </w:tabs>
              <w:spacing w:line="276" w:lineRule="auto"/>
              <w:rPr>
                <w:bCs/>
                <w:sz w:val="22"/>
                <w:szCs w:val="22"/>
                <w:lang w:val="es-ES"/>
              </w:rPr>
            </w:pPr>
            <w:r w:rsidRPr="00FB2719">
              <w:rPr>
                <w:bCs/>
                <w:sz w:val="22"/>
                <w:szCs w:val="22"/>
                <w:lang w:val="es-ES"/>
              </w:rPr>
              <w:t>Jeigu manoma, kad bupropiono skirti kartu su lopinaviru / ritonaviru yra būtina, tai reikia daryti atidžiai kliniškai stebint bupropiono veiksmingumą ir nedidinti rekomenduojamos dozės, nepaisant pastebėtos indukcijos.</w:t>
            </w:r>
          </w:p>
        </w:tc>
      </w:tr>
      <w:tr w:rsidR="005C58FE" w:rsidRPr="00FB2719" w14:paraId="03FA596B" w14:textId="77777777" w:rsidTr="00FB2719">
        <w:tc>
          <w:tcPr>
            <w:tcW w:w="9016" w:type="dxa"/>
            <w:gridSpan w:val="3"/>
            <w:tcBorders>
              <w:top w:val="single" w:sz="4" w:space="0" w:color="auto"/>
              <w:left w:val="single" w:sz="4" w:space="0" w:color="auto"/>
              <w:bottom w:val="single" w:sz="4" w:space="0" w:color="auto"/>
              <w:right w:val="single" w:sz="4" w:space="0" w:color="auto"/>
            </w:tcBorders>
          </w:tcPr>
          <w:p w14:paraId="0A8AA576" w14:textId="77777777" w:rsidR="005C58FE" w:rsidRPr="00FB2719" w:rsidRDefault="005C58FE" w:rsidP="005C58FE">
            <w:pPr>
              <w:tabs>
                <w:tab w:val="left" w:pos="567"/>
              </w:tabs>
              <w:spacing w:line="276" w:lineRule="auto"/>
              <w:jc w:val="both"/>
              <w:rPr>
                <w:bCs/>
                <w:i/>
                <w:sz w:val="22"/>
                <w:szCs w:val="22"/>
                <w:lang w:val="en-US"/>
              </w:rPr>
            </w:pPr>
            <w:r w:rsidRPr="00FB2719">
              <w:rPr>
                <w:bCs/>
                <w:i/>
                <w:sz w:val="22"/>
                <w:szCs w:val="22"/>
                <w:lang w:val="en-US"/>
              </w:rPr>
              <w:t>Skydliaukės hormone pakeičiamasis gydymas</w:t>
            </w:r>
          </w:p>
        </w:tc>
      </w:tr>
      <w:tr w:rsidR="005C58FE" w:rsidRPr="00FB2719" w14:paraId="071EE66F" w14:textId="77777777" w:rsidTr="0064111D">
        <w:tc>
          <w:tcPr>
            <w:tcW w:w="3044" w:type="dxa"/>
            <w:tcBorders>
              <w:top w:val="single" w:sz="4" w:space="0" w:color="auto"/>
              <w:left w:val="single" w:sz="4" w:space="0" w:color="auto"/>
              <w:bottom w:val="single" w:sz="4" w:space="0" w:color="auto"/>
              <w:right w:val="single" w:sz="4" w:space="0" w:color="auto"/>
            </w:tcBorders>
          </w:tcPr>
          <w:p w14:paraId="3644FE2B" w14:textId="77777777" w:rsidR="005C58FE" w:rsidRPr="00FB2719" w:rsidRDefault="005C58FE">
            <w:pPr>
              <w:tabs>
                <w:tab w:val="left" w:pos="567"/>
              </w:tabs>
              <w:spacing w:line="276" w:lineRule="auto"/>
              <w:jc w:val="both"/>
              <w:rPr>
                <w:bCs/>
                <w:sz w:val="22"/>
                <w:szCs w:val="22"/>
                <w:lang w:val="en-US"/>
              </w:rPr>
            </w:pPr>
            <w:r w:rsidRPr="00FB2719">
              <w:rPr>
                <w:bCs/>
                <w:sz w:val="22"/>
                <w:szCs w:val="22"/>
                <w:lang w:val="en-US"/>
              </w:rPr>
              <w:t>Levotiroksinas</w:t>
            </w:r>
          </w:p>
        </w:tc>
        <w:tc>
          <w:tcPr>
            <w:tcW w:w="2984" w:type="dxa"/>
            <w:tcBorders>
              <w:top w:val="single" w:sz="4" w:space="0" w:color="auto"/>
              <w:left w:val="single" w:sz="4" w:space="0" w:color="auto"/>
              <w:bottom w:val="single" w:sz="4" w:space="0" w:color="auto"/>
              <w:right w:val="single" w:sz="4" w:space="0" w:color="auto"/>
            </w:tcBorders>
          </w:tcPr>
          <w:p w14:paraId="0FD7761D" w14:textId="77777777" w:rsidR="005C58FE" w:rsidRPr="00FB2719" w:rsidRDefault="005C58FE" w:rsidP="00FB2719">
            <w:pPr>
              <w:autoSpaceDE w:val="0"/>
              <w:autoSpaceDN w:val="0"/>
              <w:adjustRightInd w:val="0"/>
              <w:rPr>
                <w:bCs/>
                <w:sz w:val="22"/>
                <w:szCs w:val="22"/>
                <w:lang w:val="es-ES"/>
              </w:rPr>
            </w:pPr>
            <w:r w:rsidRPr="00FB2719">
              <w:rPr>
                <w:rFonts w:ascii="TimesNewRomanPSMT" w:eastAsiaTheme="minorHAnsi" w:hAnsi="TimesNewRomanPSMT" w:cs="TimesNewRomanPSMT"/>
                <w:sz w:val="22"/>
                <w:szCs w:val="22"/>
              </w:rPr>
              <w:t xml:space="preserve">Po vaistinio preparato patekimo į rinką, gauta pranešimų </w:t>
            </w:r>
            <w:r w:rsidRPr="00FB2719">
              <w:rPr>
                <w:rFonts w:eastAsiaTheme="minorHAnsi"/>
                <w:sz w:val="22"/>
                <w:szCs w:val="22"/>
              </w:rPr>
              <w:t xml:space="preserve">apie </w:t>
            </w:r>
            <w:r w:rsidRPr="00FB2719">
              <w:rPr>
                <w:rFonts w:ascii="TimesNewRomanPSMT" w:eastAsiaTheme="minorHAnsi" w:hAnsi="TimesNewRomanPSMT" w:cs="TimesNewRomanPSMT"/>
                <w:sz w:val="22"/>
                <w:szCs w:val="22"/>
              </w:rPr>
              <w:t xml:space="preserve">atvejus, rodančius galimą vaistinių preparatų, kurių sudėtyje yra ritonaviro, sąveiką su </w:t>
            </w:r>
            <w:r w:rsidRPr="00FB2719">
              <w:rPr>
                <w:rFonts w:eastAsiaTheme="minorHAnsi"/>
                <w:sz w:val="22"/>
                <w:szCs w:val="22"/>
              </w:rPr>
              <w:t>levotiroksinu.</w:t>
            </w:r>
          </w:p>
        </w:tc>
        <w:tc>
          <w:tcPr>
            <w:tcW w:w="2988" w:type="dxa"/>
            <w:tcBorders>
              <w:top w:val="single" w:sz="4" w:space="0" w:color="auto"/>
              <w:left w:val="single" w:sz="4" w:space="0" w:color="auto"/>
              <w:bottom w:val="single" w:sz="4" w:space="0" w:color="auto"/>
              <w:right w:val="single" w:sz="4" w:space="0" w:color="auto"/>
            </w:tcBorders>
          </w:tcPr>
          <w:p w14:paraId="57DAFCBE" w14:textId="72F9556F" w:rsidR="005C58FE" w:rsidRPr="00FB2719" w:rsidRDefault="001F0AE6" w:rsidP="005C58FE">
            <w:pPr>
              <w:tabs>
                <w:tab w:val="left" w:pos="567"/>
              </w:tabs>
              <w:spacing w:line="276" w:lineRule="auto"/>
              <w:rPr>
                <w:bCs/>
                <w:sz w:val="22"/>
                <w:szCs w:val="22"/>
                <w:lang w:val="es-ES"/>
              </w:rPr>
            </w:pPr>
            <w:r w:rsidRPr="00FB2719">
              <w:rPr>
                <w:bCs/>
                <w:sz w:val="22"/>
                <w:szCs w:val="22"/>
                <w:lang w:val="es-ES"/>
              </w:rPr>
              <w:t>L</w:t>
            </w:r>
            <w:r w:rsidR="005C58FE" w:rsidRPr="00FB2719">
              <w:rPr>
                <w:bCs/>
                <w:sz w:val="22"/>
                <w:szCs w:val="22"/>
                <w:lang w:val="es-ES"/>
              </w:rPr>
              <w:t xml:space="preserve">evotiroksinu gydomiems pacientams reikia stebėti skydliaukę stimuliuojantį hormoną (TSH – </w:t>
            </w:r>
            <w:r w:rsidR="005C58FE" w:rsidRPr="00FB2719">
              <w:rPr>
                <w:bCs/>
                <w:i/>
                <w:sz w:val="22"/>
                <w:szCs w:val="22"/>
                <w:lang w:val="es-ES"/>
              </w:rPr>
              <w:t>angl. Thyroid-stimulating hormone</w:t>
            </w:r>
            <w:r w:rsidR="005C58FE" w:rsidRPr="00FB2719">
              <w:rPr>
                <w:bCs/>
                <w:sz w:val="22"/>
                <w:szCs w:val="22"/>
                <w:lang w:val="es-ES"/>
              </w:rPr>
              <w:t>) bent jau pirmąjį mėnesį po gydymo lopinaviru / ritonaviru pradžios ir (arba) pabaigos</w:t>
            </w:r>
          </w:p>
        </w:tc>
      </w:tr>
      <w:tr w:rsidR="00CA08B3" w:rsidRPr="00FB2719" w14:paraId="51457859" w14:textId="77777777" w:rsidTr="0064111D">
        <w:tc>
          <w:tcPr>
            <w:tcW w:w="9016" w:type="dxa"/>
            <w:gridSpan w:val="3"/>
            <w:tcBorders>
              <w:top w:val="single" w:sz="4" w:space="0" w:color="auto"/>
              <w:left w:val="single" w:sz="4" w:space="0" w:color="auto"/>
              <w:bottom w:val="single" w:sz="4" w:space="0" w:color="auto"/>
              <w:right w:val="single" w:sz="4" w:space="0" w:color="auto"/>
            </w:tcBorders>
            <w:hideMark/>
          </w:tcPr>
          <w:p w14:paraId="477AE8E5" w14:textId="77777777" w:rsidR="00CA08B3" w:rsidRPr="00FB2719" w:rsidRDefault="00CA08B3">
            <w:pPr>
              <w:tabs>
                <w:tab w:val="left" w:pos="567"/>
              </w:tabs>
              <w:spacing w:line="276" w:lineRule="auto"/>
              <w:jc w:val="both"/>
              <w:rPr>
                <w:bCs/>
                <w:i/>
                <w:sz w:val="22"/>
                <w:szCs w:val="22"/>
                <w:lang w:val="en-US"/>
              </w:rPr>
            </w:pPr>
            <w:r w:rsidRPr="00FB2719">
              <w:rPr>
                <w:bCs/>
                <w:i/>
                <w:sz w:val="22"/>
                <w:szCs w:val="22"/>
                <w:lang w:val="en-US"/>
              </w:rPr>
              <w:t>Kraujagysles plečiantys vaistiniai preparatai</w:t>
            </w:r>
          </w:p>
        </w:tc>
      </w:tr>
      <w:tr w:rsidR="00CA08B3" w:rsidRPr="00FB2719" w14:paraId="144FD88E" w14:textId="77777777" w:rsidTr="0064111D">
        <w:tc>
          <w:tcPr>
            <w:tcW w:w="3044" w:type="dxa"/>
            <w:tcBorders>
              <w:top w:val="single" w:sz="4" w:space="0" w:color="auto"/>
              <w:left w:val="single" w:sz="4" w:space="0" w:color="auto"/>
              <w:bottom w:val="single" w:sz="4" w:space="0" w:color="auto"/>
              <w:right w:val="single" w:sz="4" w:space="0" w:color="auto"/>
            </w:tcBorders>
            <w:hideMark/>
          </w:tcPr>
          <w:p w14:paraId="7126E265" w14:textId="77777777" w:rsidR="00CA08B3" w:rsidRPr="00FB2719" w:rsidRDefault="00CA08B3">
            <w:pPr>
              <w:tabs>
                <w:tab w:val="left" w:pos="567"/>
              </w:tabs>
              <w:spacing w:line="276" w:lineRule="auto"/>
              <w:jc w:val="both"/>
              <w:rPr>
                <w:bCs/>
                <w:sz w:val="22"/>
                <w:szCs w:val="22"/>
                <w:lang w:val="en-US"/>
              </w:rPr>
            </w:pPr>
            <w:r w:rsidRPr="00FB2719">
              <w:rPr>
                <w:bCs/>
                <w:sz w:val="22"/>
                <w:szCs w:val="22"/>
                <w:lang w:val="en-US"/>
              </w:rPr>
              <w:t>Bozentanas</w:t>
            </w:r>
          </w:p>
        </w:tc>
        <w:tc>
          <w:tcPr>
            <w:tcW w:w="2984" w:type="dxa"/>
            <w:tcBorders>
              <w:top w:val="single" w:sz="4" w:space="0" w:color="auto"/>
              <w:left w:val="single" w:sz="4" w:space="0" w:color="auto"/>
              <w:bottom w:val="single" w:sz="4" w:space="0" w:color="auto"/>
              <w:right w:val="single" w:sz="4" w:space="0" w:color="auto"/>
            </w:tcBorders>
          </w:tcPr>
          <w:p w14:paraId="7BC82464" w14:textId="77777777" w:rsidR="00CA08B3" w:rsidRPr="00FB2719" w:rsidRDefault="00CA08B3">
            <w:pPr>
              <w:tabs>
                <w:tab w:val="left" w:pos="567"/>
              </w:tabs>
              <w:spacing w:line="276" w:lineRule="auto"/>
              <w:rPr>
                <w:bCs/>
                <w:sz w:val="22"/>
                <w:szCs w:val="22"/>
                <w:lang w:val="en-US"/>
              </w:rPr>
            </w:pPr>
            <w:r w:rsidRPr="00FB2719">
              <w:rPr>
                <w:bCs/>
                <w:sz w:val="22"/>
                <w:szCs w:val="22"/>
                <w:lang w:val="en-US"/>
              </w:rPr>
              <w:t>Lopinaviras - ritonaviras:</w:t>
            </w:r>
          </w:p>
          <w:p w14:paraId="4828F927" w14:textId="77777777" w:rsidR="00CA08B3" w:rsidRPr="00FB2719" w:rsidRDefault="00CA08B3">
            <w:pPr>
              <w:tabs>
                <w:tab w:val="left" w:pos="567"/>
              </w:tabs>
              <w:spacing w:line="276" w:lineRule="auto"/>
              <w:rPr>
                <w:bCs/>
                <w:sz w:val="22"/>
                <w:szCs w:val="22"/>
                <w:lang w:val="en-US"/>
              </w:rPr>
            </w:pPr>
            <w:r w:rsidRPr="00FB2719">
              <w:rPr>
                <w:bCs/>
                <w:sz w:val="22"/>
                <w:szCs w:val="22"/>
                <w:lang w:val="en-US"/>
              </w:rPr>
              <w:t>Lopinaviro / ritonaviro koncentracijos plazmoje gali sumažėti dėl CYP3A4 indukcijos bozentanu.</w:t>
            </w:r>
          </w:p>
          <w:p w14:paraId="66EB2B80" w14:textId="77777777" w:rsidR="00CA08B3" w:rsidRPr="00FB2719" w:rsidRDefault="00CA08B3">
            <w:pPr>
              <w:tabs>
                <w:tab w:val="left" w:pos="567"/>
              </w:tabs>
              <w:spacing w:line="276" w:lineRule="auto"/>
              <w:rPr>
                <w:bCs/>
                <w:sz w:val="22"/>
                <w:szCs w:val="22"/>
                <w:lang w:val="en-US"/>
              </w:rPr>
            </w:pPr>
          </w:p>
          <w:p w14:paraId="66F0C1A3" w14:textId="77777777" w:rsidR="00CA08B3" w:rsidRPr="00FB2719" w:rsidRDefault="00CA08B3">
            <w:pPr>
              <w:tabs>
                <w:tab w:val="left" w:pos="567"/>
              </w:tabs>
              <w:spacing w:line="276" w:lineRule="auto"/>
              <w:rPr>
                <w:bCs/>
                <w:sz w:val="22"/>
                <w:szCs w:val="22"/>
                <w:lang w:val="en-US"/>
              </w:rPr>
            </w:pPr>
            <w:r w:rsidRPr="00FB2719">
              <w:rPr>
                <w:bCs/>
                <w:sz w:val="22"/>
                <w:szCs w:val="22"/>
                <w:lang w:val="en-US"/>
              </w:rPr>
              <w:t>Bozentanas:</w:t>
            </w:r>
          </w:p>
          <w:p w14:paraId="3D4178E2" w14:textId="77777777" w:rsidR="00CA08B3" w:rsidRPr="00FB2719" w:rsidRDefault="00CA08B3">
            <w:pPr>
              <w:tabs>
                <w:tab w:val="left" w:pos="567"/>
              </w:tabs>
              <w:spacing w:line="276" w:lineRule="auto"/>
              <w:rPr>
                <w:bCs/>
                <w:sz w:val="22"/>
                <w:szCs w:val="22"/>
                <w:lang w:val="en-US"/>
              </w:rPr>
            </w:pPr>
            <w:r w:rsidRPr="00FB2719">
              <w:rPr>
                <w:bCs/>
                <w:sz w:val="22"/>
                <w:szCs w:val="22"/>
                <w:lang w:val="en-US"/>
              </w:rPr>
              <w:t>AUC: ↑ 5</w:t>
            </w:r>
            <w:r w:rsidR="009B02A4" w:rsidRPr="00FB2719">
              <w:rPr>
                <w:bCs/>
                <w:sz w:val="22"/>
                <w:szCs w:val="22"/>
                <w:lang w:val="en-US"/>
              </w:rPr>
              <w:t> </w:t>
            </w:r>
            <w:r w:rsidRPr="00FB2719">
              <w:rPr>
                <w:bCs/>
                <w:sz w:val="22"/>
                <w:szCs w:val="22"/>
                <w:lang w:val="en-US"/>
              </w:rPr>
              <w:t>kartus</w:t>
            </w:r>
          </w:p>
          <w:p w14:paraId="13C75ACF" w14:textId="77777777" w:rsidR="00CA08B3" w:rsidRPr="00FB2719" w:rsidRDefault="00CA08B3">
            <w:pPr>
              <w:tabs>
                <w:tab w:val="left" w:pos="567"/>
              </w:tabs>
              <w:spacing w:line="276" w:lineRule="auto"/>
              <w:rPr>
                <w:bCs/>
                <w:sz w:val="22"/>
                <w:szCs w:val="22"/>
                <w:lang w:val="en-US"/>
              </w:rPr>
            </w:pPr>
            <w:r w:rsidRPr="00FB2719">
              <w:rPr>
                <w:bCs/>
                <w:sz w:val="22"/>
                <w:szCs w:val="22"/>
                <w:lang w:val="en-US"/>
              </w:rPr>
              <w:t>C</w:t>
            </w:r>
            <w:r w:rsidRPr="00FB2719">
              <w:rPr>
                <w:bCs/>
                <w:sz w:val="22"/>
                <w:szCs w:val="22"/>
                <w:vertAlign w:val="subscript"/>
                <w:lang w:val="en-US"/>
              </w:rPr>
              <w:t>max</w:t>
            </w:r>
            <w:r w:rsidRPr="00FB2719">
              <w:rPr>
                <w:bCs/>
                <w:sz w:val="22"/>
                <w:szCs w:val="22"/>
                <w:lang w:val="en-US"/>
              </w:rPr>
              <w:t>: ↑ 6</w:t>
            </w:r>
            <w:r w:rsidR="009B02A4" w:rsidRPr="00FB2719">
              <w:rPr>
                <w:bCs/>
                <w:sz w:val="22"/>
                <w:szCs w:val="22"/>
                <w:lang w:val="en-US"/>
              </w:rPr>
              <w:t> </w:t>
            </w:r>
            <w:r w:rsidRPr="00FB2719">
              <w:rPr>
                <w:bCs/>
                <w:sz w:val="22"/>
                <w:szCs w:val="22"/>
                <w:lang w:val="en-US"/>
              </w:rPr>
              <w:t>kartus</w:t>
            </w:r>
          </w:p>
          <w:p w14:paraId="61F36F78" w14:textId="77777777" w:rsidR="00CA08B3" w:rsidRPr="00FB2719" w:rsidRDefault="00CA08B3">
            <w:pPr>
              <w:tabs>
                <w:tab w:val="left" w:pos="567"/>
              </w:tabs>
              <w:spacing w:line="276" w:lineRule="auto"/>
              <w:rPr>
                <w:bCs/>
                <w:sz w:val="22"/>
                <w:szCs w:val="22"/>
                <w:lang w:val="en-US"/>
              </w:rPr>
            </w:pPr>
            <w:r w:rsidRPr="00FB2719">
              <w:rPr>
                <w:bCs/>
                <w:sz w:val="22"/>
                <w:szCs w:val="22"/>
                <w:lang w:val="en-US"/>
              </w:rPr>
              <w:t>Pradžioje bozentano C</w:t>
            </w:r>
            <w:r w:rsidRPr="00FB2719">
              <w:rPr>
                <w:bCs/>
                <w:sz w:val="22"/>
                <w:szCs w:val="22"/>
                <w:vertAlign w:val="subscript"/>
                <w:lang w:val="en-US"/>
              </w:rPr>
              <w:t>min</w:t>
            </w:r>
            <w:r w:rsidRPr="00FB2719">
              <w:rPr>
                <w:bCs/>
                <w:sz w:val="22"/>
                <w:szCs w:val="22"/>
                <w:lang w:val="en-US"/>
              </w:rPr>
              <w:t xml:space="preserve"> : ↑ maždaug 48</w:t>
            </w:r>
            <w:r w:rsidR="009B02A4" w:rsidRPr="00FB2719">
              <w:rPr>
                <w:bCs/>
                <w:sz w:val="22"/>
                <w:szCs w:val="22"/>
                <w:lang w:val="en-US"/>
              </w:rPr>
              <w:t> </w:t>
            </w:r>
            <w:r w:rsidRPr="00FB2719">
              <w:rPr>
                <w:bCs/>
                <w:sz w:val="22"/>
                <w:szCs w:val="22"/>
                <w:lang w:val="en-US"/>
              </w:rPr>
              <w:t>kartus,</w:t>
            </w:r>
          </w:p>
          <w:p w14:paraId="5308383E" w14:textId="77777777" w:rsidR="00CA08B3" w:rsidRPr="00FB2719" w:rsidRDefault="00CA08B3">
            <w:pPr>
              <w:tabs>
                <w:tab w:val="left" w:pos="567"/>
              </w:tabs>
              <w:spacing w:line="276" w:lineRule="auto"/>
              <w:rPr>
                <w:bCs/>
                <w:sz w:val="22"/>
                <w:szCs w:val="22"/>
                <w:lang w:val="it-IT"/>
              </w:rPr>
            </w:pPr>
            <w:r w:rsidRPr="00FB2719">
              <w:rPr>
                <w:bCs/>
                <w:sz w:val="22"/>
                <w:szCs w:val="22"/>
                <w:lang w:val="it-IT"/>
              </w:rPr>
              <w:t>dėl CYP3A4 slopinimo lopinaviru/ritonaviru</w:t>
            </w:r>
          </w:p>
        </w:tc>
        <w:tc>
          <w:tcPr>
            <w:tcW w:w="2988" w:type="dxa"/>
            <w:tcBorders>
              <w:top w:val="single" w:sz="4" w:space="0" w:color="auto"/>
              <w:left w:val="single" w:sz="4" w:space="0" w:color="auto"/>
              <w:bottom w:val="single" w:sz="4" w:space="0" w:color="auto"/>
              <w:right w:val="single" w:sz="4" w:space="0" w:color="auto"/>
            </w:tcBorders>
            <w:hideMark/>
          </w:tcPr>
          <w:p w14:paraId="7D6280B4" w14:textId="77777777" w:rsidR="00CA08B3" w:rsidRPr="00FB2719" w:rsidRDefault="00CA08B3">
            <w:pPr>
              <w:tabs>
                <w:tab w:val="left" w:pos="567"/>
              </w:tabs>
              <w:spacing w:line="276" w:lineRule="auto"/>
              <w:rPr>
                <w:bCs/>
                <w:sz w:val="22"/>
                <w:szCs w:val="22"/>
                <w:lang w:val="it-IT"/>
              </w:rPr>
            </w:pPr>
            <w:r w:rsidRPr="00FB2719">
              <w:rPr>
                <w:bCs/>
                <w:sz w:val="22"/>
                <w:szCs w:val="22"/>
                <w:lang w:val="it-IT"/>
              </w:rPr>
              <w:t>Lopinavir/Ritonavir Sandoz skiriant kartu su bozentanu reikia laikytis atsargumo.</w:t>
            </w:r>
          </w:p>
          <w:p w14:paraId="46F085F5" w14:textId="77777777" w:rsidR="00CA08B3" w:rsidRPr="00FB2719" w:rsidRDefault="00CA08B3">
            <w:pPr>
              <w:tabs>
                <w:tab w:val="left" w:pos="567"/>
              </w:tabs>
              <w:spacing w:line="276" w:lineRule="auto"/>
              <w:rPr>
                <w:bCs/>
                <w:sz w:val="22"/>
                <w:szCs w:val="22"/>
                <w:lang w:val="it-IT"/>
              </w:rPr>
            </w:pPr>
            <w:r w:rsidRPr="00FB2719">
              <w:rPr>
                <w:bCs/>
                <w:sz w:val="22"/>
                <w:szCs w:val="22"/>
                <w:lang w:val="it-IT"/>
              </w:rPr>
              <w:t>Lopinavir/Ritonavir Sandoz vartojant kartu su bozentanu reikia stebėti ŽIV gydymo efektyvumą ir atidžiai sekti pacientus dėl galimo bozentano toksinio poveikio, ypač pirmąją gydymo minėtų vaistinių preparatų deriniu savaitę.</w:t>
            </w:r>
          </w:p>
        </w:tc>
      </w:tr>
      <w:tr w:rsidR="00C8094F" w:rsidRPr="00FB2719" w14:paraId="0A81464A" w14:textId="77777777" w:rsidTr="0064111D">
        <w:tc>
          <w:tcPr>
            <w:tcW w:w="3044" w:type="dxa"/>
            <w:tcBorders>
              <w:top w:val="single" w:sz="4" w:space="0" w:color="auto"/>
              <w:left w:val="single" w:sz="4" w:space="0" w:color="auto"/>
              <w:bottom w:val="single" w:sz="4" w:space="0" w:color="auto"/>
              <w:right w:val="single" w:sz="4" w:space="0" w:color="auto"/>
            </w:tcBorders>
          </w:tcPr>
          <w:p w14:paraId="56337D2D" w14:textId="77777777" w:rsidR="00C8094F" w:rsidRPr="00FB2719" w:rsidRDefault="00C8094F">
            <w:pPr>
              <w:tabs>
                <w:tab w:val="left" w:pos="567"/>
              </w:tabs>
              <w:spacing w:line="276" w:lineRule="auto"/>
              <w:jc w:val="both"/>
              <w:rPr>
                <w:bCs/>
                <w:sz w:val="22"/>
                <w:szCs w:val="22"/>
                <w:lang w:val="en-US"/>
              </w:rPr>
            </w:pPr>
            <w:r w:rsidRPr="00FB2719">
              <w:rPr>
                <w:bCs/>
                <w:sz w:val="22"/>
                <w:szCs w:val="22"/>
                <w:lang w:val="en-US"/>
              </w:rPr>
              <w:lastRenderedPageBreak/>
              <w:t>Riociguatas</w:t>
            </w:r>
          </w:p>
        </w:tc>
        <w:tc>
          <w:tcPr>
            <w:tcW w:w="2984" w:type="dxa"/>
            <w:tcBorders>
              <w:top w:val="single" w:sz="4" w:space="0" w:color="auto"/>
              <w:left w:val="single" w:sz="4" w:space="0" w:color="auto"/>
              <w:bottom w:val="single" w:sz="4" w:space="0" w:color="auto"/>
              <w:right w:val="single" w:sz="4" w:space="0" w:color="auto"/>
            </w:tcBorders>
          </w:tcPr>
          <w:p w14:paraId="10560D07" w14:textId="77777777" w:rsidR="00C8094F" w:rsidRPr="00FB2719" w:rsidRDefault="00C8094F" w:rsidP="00C8094F">
            <w:pPr>
              <w:tabs>
                <w:tab w:val="left" w:pos="567"/>
              </w:tabs>
              <w:spacing w:line="276" w:lineRule="auto"/>
              <w:rPr>
                <w:bCs/>
                <w:sz w:val="22"/>
                <w:szCs w:val="22"/>
                <w:lang w:val="it-IT"/>
              </w:rPr>
            </w:pPr>
            <w:r w:rsidRPr="00FB2719">
              <w:rPr>
                <w:bCs/>
                <w:sz w:val="22"/>
                <w:szCs w:val="22"/>
                <w:lang w:val="it-IT"/>
              </w:rPr>
              <w:t>Dėl lopinaviro / ritonaviro derinio sukeliamo CYP3A ir P-pg slopinimo gali padidėti</w:t>
            </w:r>
            <w:r w:rsidR="0012743A" w:rsidRPr="00FB2719">
              <w:rPr>
                <w:bCs/>
                <w:sz w:val="22"/>
                <w:szCs w:val="22"/>
                <w:lang w:val="it-IT"/>
              </w:rPr>
              <w:t xml:space="preserve"> </w:t>
            </w:r>
            <w:r w:rsidRPr="00FB2719">
              <w:rPr>
                <w:bCs/>
                <w:sz w:val="22"/>
                <w:szCs w:val="22"/>
                <w:lang w:val="it-IT"/>
              </w:rPr>
              <w:t>koncentracijos serume.</w:t>
            </w:r>
          </w:p>
        </w:tc>
        <w:tc>
          <w:tcPr>
            <w:tcW w:w="2988" w:type="dxa"/>
            <w:tcBorders>
              <w:top w:val="single" w:sz="4" w:space="0" w:color="auto"/>
              <w:left w:val="single" w:sz="4" w:space="0" w:color="auto"/>
              <w:bottom w:val="single" w:sz="4" w:space="0" w:color="auto"/>
              <w:right w:val="single" w:sz="4" w:space="0" w:color="auto"/>
            </w:tcBorders>
          </w:tcPr>
          <w:p w14:paraId="503E8BAD" w14:textId="77777777" w:rsidR="00C8094F" w:rsidRPr="00FB2719" w:rsidRDefault="00C8094F" w:rsidP="00C8094F">
            <w:pPr>
              <w:tabs>
                <w:tab w:val="left" w:pos="567"/>
              </w:tabs>
              <w:spacing w:line="276" w:lineRule="auto"/>
              <w:rPr>
                <w:bCs/>
                <w:sz w:val="22"/>
                <w:szCs w:val="22"/>
                <w:lang w:val="it-IT"/>
              </w:rPr>
            </w:pPr>
            <w:r w:rsidRPr="00FB2719">
              <w:rPr>
                <w:bCs/>
                <w:sz w:val="22"/>
                <w:szCs w:val="22"/>
                <w:lang w:val="it-IT"/>
              </w:rPr>
              <w:t>Riociguato ir lopinaviro / ritonaviro derinio kartu vartoti nerekomenduojama (žr. 4.4 skyrių ir riociguato PCS).</w:t>
            </w:r>
          </w:p>
        </w:tc>
      </w:tr>
      <w:tr w:rsidR="00CA08B3" w:rsidRPr="00FB2719" w14:paraId="664A832F" w14:textId="77777777" w:rsidTr="0064111D">
        <w:tc>
          <w:tcPr>
            <w:tcW w:w="9016" w:type="dxa"/>
            <w:gridSpan w:val="3"/>
            <w:tcBorders>
              <w:top w:val="single" w:sz="4" w:space="0" w:color="auto"/>
              <w:left w:val="single" w:sz="4" w:space="0" w:color="auto"/>
              <w:bottom w:val="single" w:sz="4" w:space="0" w:color="auto"/>
              <w:right w:val="single" w:sz="4" w:space="0" w:color="auto"/>
            </w:tcBorders>
            <w:hideMark/>
          </w:tcPr>
          <w:p w14:paraId="1C724194" w14:textId="77777777" w:rsidR="00CA08B3" w:rsidRPr="00FB2719" w:rsidRDefault="00CA08B3">
            <w:pPr>
              <w:tabs>
                <w:tab w:val="left" w:pos="567"/>
              </w:tabs>
              <w:spacing w:line="276" w:lineRule="auto"/>
              <w:jc w:val="both"/>
              <w:rPr>
                <w:bCs/>
                <w:i/>
                <w:sz w:val="22"/>
                <w:szCs w:val="22"/>
                <w:lang w:val="en-US"/>
              </w:rPr>
            </w:pPr>
            <w:r w:rsidRPr="00FB2719">
              <w:rPr>
                <w:bCs/>
                <w:i/>
                <w:sz w:val="22"/>
                <w:szCs w:val="22"/>
                <w:lang w:val="en-US"/>
              </w:rPr>
              <w:t>Kiti vaistiniai preparatai</w:t>
            </w:r>
          </w:p>
        </w:tc>
      </w:tr>
      <w:tr w:rsidR="00CA08B3" w:rsidRPr="00FB2719" w14:paraId="79EEBE56" w14:textId="77777777" w:rsidTr="0064111D">
        <w:tc>
          <w:tcPr>
            <w:tcW w:w="9016" w:type="dxa"/>
            <w:gridSpan w:val="3"/>
            <w:tcBorders>
              <w:top w:val="single" w:sz="4" w:space="0" w:color="auto"/>
              <w:left w:val="single" w:sz="4" w:space="0" w:color="auto"/>
              <w:bottom w:val="single" w:sz="4" w:space="0" w:color="auto"/>
              <w:right w:val="single" w:sz="4" w:space="0" w:color="auto"/>
            </w:tcBorders>
            <w:hideMark/>
          </w:tcPr>
          <w:p w14:paraId="539799A9" w14:textId="77777777" w:rsidR="00CA08B3" w:rsidRPr="00FB2719" w:rsidRDefault="00CA08B3">
            <w:pPr>
              <w:tabs>
                <w:tab w:val="left" w:pos="567"/>
              </w:tabs>
              <w:spacing w:line="276" w:lineRule="auto"/>
              <w:rPr>
                <w:bCs/>
                <w:sz w:val="22"/>
                <w:szCs w:val="22"/>
              </w:rPr>
            </w:pPr>
            <w:r w:rsidRPr="00FB2719">
              <w:rPr>
                <w:bCs/>
                <w:sz w:val="22"/>
                <w:szCs w:val="22"/>
              </w:rPr>
              <w:t xml:space="preserve">Remiantis žinomomis metabolizmo charkteristikomis, kliniškai reikšmingos lopinaviro / ritonaviro sąveikos su dapsonu, trimetoprimu / sulfametoksazolu, azitromicinu ar flukonazolu yra neįtikėtinos. </w:t>
            </w:r>
          </w:p>
        </w:tc>
      </w:tr>
    </w:tbl>
    <w:p w14:paraId="5708D031" w14:textId="77777777" w:rsidR="00CA08B3" w:rsidRPr="00FB2719" w:rsidRDefault="00CA08B3" w:rsidP="00CA08B3">
      <w:pPr>
        <w:tabs>
          <w:tab w:val="left" w:pos="567"/>
        </w:tabs>
        <w:rPr>
          <w:sz w:val="22"/>
          <w:szCs w:val="22"/>
        </w:rPr>
      </w:pPr>
    </w:p>
    <w:p w14:paraId="0827D7D3" w14:textId="77777777" w:rsidR="00CA08B3" w:rsidRPr="00FB2719" w:rsidRDefault="00CA08B3" w:rsidP="00CA08B3">
      <w:pPr>
        <w:tabs>
          <w:tab w:val="left" w:pos="567"/>
        </w:tabs>
        <w:rPr>
          <w:b/>
          <w:bCs/>
          <w:sz w:val="22"/>
          <w:szCs w:val="22"/>
        </w:rPr>
      </w:pPr>
      <w:r w:rsidRPr="00FB2719">
        <w:rPr>
          <w:b/>
          <w:bCs/>
          <w:sz w:val="22"/>
          <w:szCs w:val="22"/>
        </w:rPr>
        <w:t>4.6</w:t>
      </w:r>
      <w:r w:rsidRPr="00FB2719">
        <w:rPr>
          <w:b/>
          <w:bCs/>
          <w:sz w:val="22"/>
          <w:szCs w:val="22"/>
        </w:rPr>
        <w:tab/>
        <w:t>Vaisingumas, nėštumo ir žindymo laikotarpis</w:t>
      </w:r>
    </w:p>
    <w:p w14:paraId="7B8F5BF7" w14:textId="77777777" w:rsidR="00CA08B3" w:rsidRPr="00FB2719" w:rsidRDefault="00CA08B3" w:rsidP="00CA08B3">
      <w:pPr>
        <w:tabs>
          <w:tab w:val="left" w:pos="567"/>
        </w:tabs>
        <w:rPr>
          <w:b/>
          <w:bCs/>
          <w:sz w:val="22"/>
          <w:szCs w:val="22"/>
        </w:rPr>
      </w:pPr>
    </w:p>
    <w:p w14:paraId="45C81A47" w14:textId="77777777" w:rsidR="00CA08B3" w:rsidRPr="00FB2719" w:rsidRDefault="00CA08B3" w:rsidP="00CA08B3">
      <w:pPr>
        <w:autoSpaceDE w:val="0"/>
        <w:autoSpaceDN w:val="0"/>
        <w:adjustRightInd w:val="0"/>
        <w:rPr>
          <w:rFonts w:eastAsia="Calibri"/>
          <w:color w:val="000000"/>
          <w:sz w:val="22"/>
          <w:szCs w:val="22"/>
          <w:u w:val="single"/>
          <w:lang w:eastAsia="lt-LT"/>
        </w:rPr>
      </w:pPr>
      <w:r w:rsidRPr="00FB2719">
        <w:rPr>
          <w:rFonts w:eastAsia="Calibri"/>
          <w:color w:val="000000"/>
          <w:sz w:val="22"/>
          <w:szCs w:val="22"/>
          <w:u w:val="single"/>
          <w:lang w:eastAsia="lt-LT"/>
        </w:rPr>
        <w:t xml:space="preserve">Nėštumas </w:t>
      </w:r>
    </w:p>
    <w:p w14:paraId="28A4DFE6" w14:textId="77777777" w:rsidR="00CA08B3" w:rsidRPr="00FB2719" w:rsidRDefault="00CA08B3" w:rsidP="00CA08B3">
      <w:pPr>
        <w:autoSpaceDE w:val="0"/>
        <w:autoSpaceDN w:val="0"/>
        <w:adjustRightInd w:val="0"/>
        <w:rPr>
          <w:rFonts w:eastAsia="Calibri"/>
          <w:color w:val="000000"/>
          <w:sz w:val="22"/>
          <w:szCs w:val="22"/>
          <w:lang w:eastAsia="lt-LT"/>
        </w:rPr>
      </w:pPr>
      <w:r w:rsidRPr="00FB2719">
        <w:rPr>
          <w:rFonts w:eastAsia="Calibri"/>
          <w:color w:val="000000"/>
          <w:sz w:val="22"/>
          <w:szCs w:val="22"/>
          <w:lang w:eastAsia="lt-LT"/>
        </w:rPr>
        <w:t xml:space="preserve">Kad būtų galima charakterizuoti gydymo saugumą vaisiui, turi būti taikoma bendra taisyklė: nusprendus skirti antiretrovirusinį gydymą ŽIV infekuotai nėščiai moteriai, ir tokiu būdu sumažinti ŽIV vertikalaus perdavimo riziką naujagimiui, turi būti atsižvelgta į duomenis, gautus tiek iš tyrimų atliktų su gyvūnais, tiek iš klinikinės patirties su nėščiomis moterimis. </w:t>
      </w:r>
    </w:p>
    <w:p w14:paraId="582E46AE" w14:textId="77777777" w:rsidR="00CA08B3" w:rsidRPr="00FB2719" w:rsidRDefault="00CA08B3" w:rsidP="00CA08B3">
      <w:pPr>
        <w:autoSpaceDE w:val="0"/>
        <w:autoSpaceDN w:val="0"/>
        <w:adjustRightInd w:val="0"/>
        <w:rPr>
          <w:rFonts w:eastAsia="Calibri"/>
          <w:color w:val="000000"/>
          <w:sz w:val="22"/>
          <w:szCs w:val="22"/>
          <w:lang w:eastAsia="lt-LT"/>
        </w:rPr>
      </w:pPr>
      <w:r w:rsidRPr="00FB2719">
        <w:rPr>
          <w:rFonts w:eastAsia="Calibri"/>
          <w:color w:val="000000"/>
          <w:sz w:val="22"/>
          <w:szCs w:val="22"/>
          <w:lang w:eastAsia="lt-LT"/>
        </w:rPr>
        <w:t xml:space="preserve">Lopinaviro / ritonaviro derinio poveikis buvo įvertintas daugiau nei 3000 nėščių moterų, įskaitant daugiau nei 1000 nėščių moterų pirmojo trimestro metu. </w:t>
      </w:r>
    </w:p>
    <w:p w14:paraId="025A7009" w14:textId="624F8985" w:rsidR="005C58FE" w:rsidRPr="00FB2719" w:rsidRDefault="005C58FE" w:rsidP="00C8094F">
      <w:pPr>
        <w:tabs>
          <w:tab w:val="left" w:pos="567"/>
        </w:tabs>
        <w:rPr>
          <w:rFonts w:eastAsia="Calibri"/>
          <w:color w:val="000000"/>
          <w:sz w:val="22"/>
          <w:szCs w:val="22"/>
          <w:lang w:eastAsia="lt-LT"/>
        </w:rPr>
      </w:pPr>
    </w:p>
    <w:p w14:paraId="6288AF2E" w14:textId="77777777" w:rsidR="005C58FE" w:rsidRPr="00FB2719" w:rsidRDefault="005C58FE" w:rsidP="00C8094F">
      <w:pPr>
        <w:tabs>
          <w:tab w:val="left" w:pos="567"/>
        </w:tabs>
        <w:rPr>
          <w:rFonts w:eastAsia="Calibri"/>
          <w:color w:val="000000"/>
          <w:sz w:val="22"/>
          <w:szCs w:val="22"/>
          <w:lang w:eastAsia="lt-LT"/>
        </w:rPr>
      </w:pPr>
    </w:p>
    <w:p w14:paraId="30B57478" w14:textId="77777777" w:rsidR="00CA08B3" w:rsidRPr="00FB2719" w:rsidRDefault="00CA08B3" w:rsidP="00C8094F">
      <w:pPr>
        <w:tabs>
          <w:tab w:val="left" w:pos="567"/>
        </w:tabs>
        <w:rPr>
          <w:rFonts w:eastAsia="Calibri"/>
          <w:color w:val="000000"/>
          <w:sz w:val="22"/>
          <w:szCs w:val="22"/>
          <w:lang w:eastAsia="lt-LT"/>
        </w:rPr>
      </w:pPr>
      <w:r w:rsidRPr="00FB2719">
        <w:rPr>
          <w:rFonts w:eastAsia="Calibri"/>
          <w:color w:val="000000"/>
          <w:sz w:val="22"/>
          <w:szCs w:val="22"/>
          <w:lang w:eastAsia="lt-LT"/>
        </w:rPr>
        <w:t xml:space="preserve">Vaistiniam preparatui patekus į rinką jo poveikis nėščiosioms sekamas dėka Antiretrovirusino Nėščiųjų Registro, kuris pripažintas nuo 1989 sausio mėn., jo duomenimis daugiau kaip </w:t>
      </w:r>
      <w:r w:rsidR="00C8094F" w:rsidRPr="00FB2719">
        <w:rPr>
          <w:rFonts w:eastAsia="Calibri"/>
          <w:color w:val="000000"/>
          <w:sz w:val="22"/>
          <w:szCs w:val="22"/>
          <w:lang w:eastAsia="lt-LT"/>
        </w:rPr>
        <w:t>10</w:t>
      </w:r>
      <w:r w:rsidRPr="00FB2719">
        <w:rPr>
          <w:rFonts w:eastAsia="Calibri"/>
          <w:color w:val="000000"/>
          <w:sz w:val="22"/>
          <w:szCs w:val="22"/>
          <w:lang w:eastAsia="lt-LT"/>
        </w:rPr>
        <w:t xml:space="preserve">00 moterų, kurioms Lopinavir/Ritonavir Sandoz ekspozicija taikyta pirmojo trimestro metu, apsigimimų rizikos padidėjimo nepastebėta. Apsigimimų paplitimas, taikant ekspoziciją lopinaviru bet kuriuo nėštumo trimestro metu, nesiskiria nuo jų paplitimo bendroje populiacijoje. Bendros etiologijos apsigimimų struktūros nepastebėta. Tyrimai su gyvūnais parodė toksiškumą reprodukcijai (žr. 5.3 skyrių). Remiantis minėtais duomenimis, apsigimimų rizika žmonėms </w:t>
      </w:r>
      <w:r w:rsidR="00C8094F" w:rsidRPr="00FB2719">
        <w:rPr>
          <w:rFonts w:eastAsia="Calibri"/>
          <w:color w:val="000000"/>
          <w:sz w:val="22"/>
          <w:szCs w:val="22"/>
          <w:lang w:eastAsia="lt-LT"/>
        </w:rPr>
        <w:t xml:space="preserve">nėra </w:t>
      </w:r>
      <w:r w:rsidRPr="00FB2719">
        <w:rPr>
          <w:rFonts w:eastAsia="Calibri"/>
          <w:color w:val="000000"/>
          <w:sz w:val="22"/>
          <w:szCs w:val="22"/>
          <w:lang w:eastAsia="lt-LT"/>
        </w:rPr>
        <w:t xml:space="preserve">tikėtina. </w:t>
      </w:r>
      <w:r w:rsidR="00C8094F" w:rsidRPr="00FB2719">
        <w:rPr>
          <w:rFonts w:eastAsia="Calibri"/>
          <w:color w:val="000000"/>
          <w:sz w:val="22"/>
          <w:szCs w:val="22"/>
          <w:lang w:eastAsia="lt-LT"/>
        </w:rPr>
        <w:t>Lopinavirą galima vartoti nėštumo metu, jei kliniškai reikalinga.</w:t>
      </w:r>
    </w:p>
    <w:p w14:paraId="3C41FAA2" w14:textId="77777777" w:rsidR="00CA08B3" w:rsidRPr="00FB2719" w:rsidRDefault="00CA08B3" w:rsidP="00CA08B3">
      <w:pPr>
        <w:tabs>
          <w:tab w:val="left" w:pos="567"/>
        </w:tabs>
        <w:rPr>
          <w:i/>
          <w:iCs/>
          <w:sz w:val="22"/>
          <w:szCs w:val="22"/>
          <w:u w:val="single"/>
        </w:rPr>
      </w:pPr>
    </w:p>
    <w:p w14:paraId="4A38E6ED" w14:textId="77777777" w:rsidR="00CA08B3" w:rsidRPr="00FB2719" w:rsidRDefault="00CA08B3" w:rsidP="00CA08B3">
      <w:pPr>
        <w:autoSpaceDE w:val="0"/>
        <w:autoSpaceDN w:val="0"/>
        <w:adjustRightInd w:val="0"/>
        <w:rPr>
          <w:rFonts w:eastAsia="Calibri"/>
          <w:color w:val="000000"/>
          <w:sz w:val="22"/>
          <w:szCs w:val="22"/>
          <w:u w:val="single"/>
          <w:lang w:eastAsia="lt-LT"/>
        </w:rPr>
      </w:pPr>
      <w:r w:rsidRPr="00FB2719">
        <w:rPr>
          <w:rFonts w:eastAsia="Calibri"/>
          <w:color w:val="000000"/>
          <w:sz w:val="22"/>
          <w:szCs w:val="22"/>
          <w:u w:val="single"/>
          <w:lang w:eastAsia="lt-LT"/>
        </w:rPr>
        <w:t xml:space="preserve">Žindymas </w:t>
      </w:r>
    </w:p>
    <w:p w14:paraId="03FFF648" w14:textId="77777777" w:rsidR="00CA08B3" w:rsidRPr="00FB2719" w:rsidRDefault="00CA08B3" w:rsidP="00CA08B3">
      <w:pPr>
        <w:autoSpaceDE w:val="0"/>
        <w:autoSpaceDN w:val="0"/>
        <w:adjustRightInd w:val="0"/>
        <w:rPr>
          <w:rFonts w:eastAsia="Calibri"/>
          <w:color w:val="000000"/>
          <w:sz w:val="22"/>
          <w:szCs w:val="22"/>
          <w:lang w:eastAsia="lt-LT"/>
        </w:rPr>
      </w:pPr>
      <w:r w:rsidRPr="00FB2719">
        <w:rPr>
          <w:rFonts w:eastAsia="Calibri"/>
          <w:color w:val="000000"/>
          <w:sz w:val="22"/>
          <w:szCs w:val="22"/>
          <w:lang w:eastAsia="lt-LT"/>
        </w:rPr>
        <w:t xml:space="preserve">Tyrimai su žiurkėmis parodė, kad lopinaviro išsiskiria į pieną. Nėra žinoma, ar šio vaistinio preparato patenka į moters pieną. Kaip bendra taisyklė, infekuotoms ŽIV moterims rekomenduojama jokiomis aplinkybėmis nežindyti vaikų, kad būtų išvengta ŽIV perdavimo. </w:t>
      </w:r>
    </w:p>
    <w:p w14:paraId="0D97D604" w14:textId="77777777" w:rsidR="00CA08B3" w:rsidRPr="00FB2719" w:rsidRDefault="00CA08B3" w:rsidP="00CA08B3">
      <w:pPr>
        <w:autoSpaceDE w:val="0"/>
        <w:autoSpaceDN w:val="0"/>
        <w:adjustRightInd w:val="0"/>
        <w:rPr>
          <w:rFonts w:eastAsia="Calibri"/>
          <w:color w:val="000000"/>
          <w:sz w:val="22"/>
          <w:szCs w:val="22"/>
          <w:lang w:eastAsia="lt-LT"/>
        </w:rPr>
      </w:pPr>
    </w:p>
    <w:p w14:paraId="14FA113A" w14:textId="77777777" w:rsidR="00CA08B3" w:rsidRPr="00FB2719" w:rsidRDefault="00CA08B3" w:rsidP="00CA08B3">
      <w:pPr>
        <w:autoSpaceDE w:val="0"/>
        <w:autoSpaceDN w:val="0"/>
        <w:adjustRightInd w:val="0"/>
        <w:rPr>
          <w:rFonts w:eastAsia="Calibri"/>
          <w:color w:val="000000"/>
          <w:sz w:val="22"/>
          <w:szCs w:val="22"/>
          <w:u w:val="single"/>
          <w:lang w:eastAsia="lt-LT"/>
        </w:rPr>
      </w:pPr>
      <w:r w:rsidRPr="00FB2719">
        <w:rPr>
          <w:rFonts w:eastAsia="Calibri"/>
          <w:color w:val="000000"/>
          <w:sz w:val="22"/>
          <w:szCs w:val="22"/>
          <w:u w:val="single"/>
          <w:lang w:eastAsia="lt-LT"/>
        </w:rPr>
        <w:t xml:space="preserve">Vaisingumas </w:t>
      </w:r>
    </w:p>
    <w:p w14:paraId="58739345" w14:textId="77777777" w:rsidR="00CA08B3" w:rsidRPr="00FB2719" w:rsidRDefault="00CA08B3" w:rsidP="00CA08B3">
      <w:pPr>
        <w:tabs>
          <w:tab w:val="left" w:pos="567"/>
        </w:tabs>
        <w:rPr>
          <w:sz w:val="22"/>
          <w:szCs w:val="22"/>
        </w:rPr>
      </w:pPr>
      <w:r w:rsidRPr="00FB2719">
        <w:rPr>
          <w:rFonts w:eastAsia="Calibri"/>
          <w:color w:val="000000"/>
          <w:sz w:val="22"/>
          <w:szCs w:val="22"/>
          <w:lang w:eastAsia="lt-LT"/>
        </w:rPr>
        <w:t>Tyrimai su gyvūnais parodė, kad jokio poveikio vaisingumui nėra. Duomenų žmonėms apie lopinaviro / ritonaviro poveikį vaisingumui nėra.</w:t>
      </w:r>
    </w:p>
    <w:p w14:paraId="64E5968E" w14:textId="77777777" w:rsidR="00CA08B3" w:rsidRPr="00FB2719" w:rsidRDefault="00CA08B3" w:rsidP="00CA08B3">
      <w:pPr>
        <w:tabs>
          <w:tab w:val="left" w:pos="567"/>
        </w:tabs>
        <w:rPr>
          <w:sz w:val="22"/>
          <w:szCs w:val="22"/>
        </w:rPr>
      </w:pPr>
    </w:p>
    <w:p w14:paraId="56CDB348" w14:textId="77777777" w:rsidR="00CA08B3" w:rsidRPr="00FB2719" w:rsidRDefault="00CA08B3" w:rsidP="00CA08B3">
      <w:pPr>
        <w:tabs>
          <w:tab w:val="left" w:pos="567"/>
        </w:tabs>
        <w:rPr>
          <w:b/>
          <w:sz w:val="22"/>
          <w:szCs w:val="22"/>
        </w:rPr>
      </w:pPr>
      <w:r w:rsidRPr="00FB2719">
        <w:rPr>
          <w:b/>
          <w:sz w:val="22"/>
          <w:szCs w:val="22"/>
        </w:rPr>
        <w:t>4.7</w:t>
      </w:r>
      <w:r w:rsidRPr="00FB2719">
        <w:rPr>
          <w:b/>
          <w:sz w:val="22"/>
          <w:szCs w:val="22"/>
        </w:rPr>
        <w:tab/>
        <w:t>Poveikis gebėjimui vairuoti ir valdyti mechanizmus</w:t>
      </w:r>
    </w:p>
    <w:p w14:paraId="2C63A800" w14:textId="77777777" w:rsidR="00CA08B3" w:rsidRPr="00FB2719" w:rsidRDefault="00CA08B3" w:rsidP="00CA08B3">
      <w:pPr>
        <w:tabs>
          <w:tab w:val="left" w:pos="567"/>
        </w:tabs>
        <w:rPr>
          <w:sz w:val="22"/>
          <w:szCs w:val="22"/>
        </w:rPr>
      </w:pPr>
    </w:p>
    <w:p w14:paraId="0630CF7C" w14:textId="77777777" w:rsidR="00CA08B3" w:rsidRPr="00FB2719" w:rsidRDefault="00CA08B3" w:rsidP="00CA08B3">
      <w:pPr>
        <w:tabs>
          <w:tab w:val="left" w:pos="567"/>
        </w:tabs>
        <w:rPr>
          <w:sz w:val="22"/>
          <w:szCs w:val="22"/>
        </w:rPr>
      </w:pPr>
      <w:r w:rsidRPr="00FB2719">
        <w:rPr>
          <w:sz w:val="22"/>
          <w:szCs w:val="22"/>
        </w:rPr>
        <w:t xml:space="preserve">Poveikio gebėjimui vairuoti ir valdyti mechanizmus tyrimų neatlikta. Pacientai turi būti informuoti, kad gydymo </w:t>
      </w:r>
      <w:r w:rsidRPr="00FB2719">
        <w:rPr>
          <w:rFonts w:eastAsia="Calibri"/>
          <w:color w:val="000000"/>
          <w:sz w:val="22"/>
          <w:szCs w:val="22"/>
          <w:lang w:eastAsia="lt-LT"/>
        </w:rPr>
        <w:t>lopinaviro / ritonaviro</w:t>
      </w:r>
      <w:r w:rsidRPr="00FB2719">
        <w:rPr>
          <w:sz w:val="22"/>
          <w:szCs w:val="22"/>
        </w:rPr>
        <w:t xml:space="preserve"> deriniu metu buvo pranešimų apie pykinimą (žr. 4.8 skyrių).</w:t>
      </w:r>
    </w:p>
    <w:p w14:paraId="19948677" w14:textId="77777777" w:rsidR="00CA08B3" w:rsidRPr="00FB2719" w:rsidRDefault="00CA08B3" w:rsidP="00CA08B3">
      <w:pPr>
        <w:tabs>
          <w:tab w:val="left" w:pos="567"/>
        </w:tabs>
        <w:rPr>
          <w:sz w:val="22"/>
          <w:szCs w:val="22"/>
        </w:rPr>
      </w:pPr>
    </w:p>
    <w:p w14:paraId="71F74278" w14:textId="77777777" w:rsidR="00CA08B3" w:rsidRPr="00FB2719" w:rsidRDefault="00CA08B3" w:rsidP="00CA08B3">
      <w:pPr>
        <w:tabs>
          <w:tab w:val="left" w:pos="567"/>
        </w:tabs>
        <w:jc w:val="both"/>
        <w:rPr>
          <w:b/>
          <w:bCs/>
          <w:sz w:val="22"/>
          <w:szCs w:val="22"/>
        </w:rPr>
      </w:pPr>
      <w:r w:rsidRPr="00FB2719">
        <w:rPr>
          <w:b/>
          <w:bCs/>
          <w:sz w:val="22"/>
          <w:szCs w:val="22"/>
        </w:rPr>
        <w:t>4.8</w:t>
      </w:r>
      <w:r w:rsidRPr="00FB2719">
        <w:rPr>
          <w:b/>
          <w:bCs/>
          <w:sz w:val="22"/>
          <w:szCs w:val="22"/>
        </w:rPr>
        <w:tab/>
        <w:t>Nepageidaujamas poveikis</w:t>
      </w:r>
    </w:p>
    <w:p w14:paraId="35BDDB1F" w14:textId="77777777" w:rsidR="00CA08B3" w:rsidRPr="00FB2719" w:rsidRDefault="00CA08B3" w:rsidP="00CA08B3">
      <w:pPr>
        <w:tabs>
          <w:tab w:val="left" w:pos="567"/>
        </w:tabs>
        <w:jc w:val="both"/>
        <w:rPr>
          <w:b/>
          <w:bCs/>
          <w:sz w:val="22"/>
          <w:szCs w:val="22"/>
        </w:rPr>
      </w:pPr>
    </w:p>
    <w:p w14:paraId="4F8C12E5" w14:textId="77777777" w:rsidR="00CA08B3" w:rsidRPr="00FB2719" w:rsidRDefault="00CA08B3" w:rsidP="00CA08B3">
      <w:pPr>
        <w:tabs>
          <w:tab w:val="left" w:pos="567"/>
        </w:tabs>
        <w:jc w:val="both"/>
        <w:rPr>
          <w:b/>
          <w:bCs/>
          <w:sz w:val="22"/>
          <w:szCs w:val="22"/>
          <w:u w:val="single"/>
        </w:rPr>
      </w:pPr>
      <w:r w:rsidRPr="00FB2719">
        <w:rPr>
          <w:iCs/>
          <w:snapToGrid w:val="0"/>
          <w:sz w:val="22"/>
          <w:szCs w:val="22"/>
          <w:u w:val="single"/>
          <w:lang w:eastAsia="lt-LT"/>
        </w:rPr>
        <w:t>a. Saugumo duomenų santrauka</w:t>
      </w:r>
    </w:p>
    <w:p w14:paraId="4BBDC4D7" w14:textId="77777777" w:rsidR="00CA08B3" w:rsidRPr="00FB2719" w:rsidRDefault="00CA08B3" w:rsidP="00CA08B3">
      <w:pPr>
        <w:tabs>
          <w:tab w:val="left" w:pos="567"/>
        </w:tabs>
        <w:rPr>
          <w:sz w:val="22"/>
          <w:szCs w:val="22"/>
        </w:rPr>
      </w:pPr>
    </w:p>
    <w:p w14:paraId="4A354A4A" w14:textId="205B9972" w:rsidR="00CA08B3" w:rsidRPr="00FB2719" w:rsidRDefault="00CA08B3" w:rsidP="00CA08B3">
      <w:pPr>
        <w:tabs>
          <w:tab w:val="left" w:pos="567"/>
        </w:tabs>
        <w:rPr>
          <w:sz w:val="22"/>
          <w:szCs w:val="22"/>
        </w:rPr>
      </w:pPr>
      <w:r w:rsidRPr="00FB2719">
        <w:rPr>
          <w:sz w:val="22"/>
          <w:szCs w:val="22"/>
        </w:rPr>
        <w:t>Lopinaviro / ritonaviro derinio saugumas tirtas II/IV fazės klinikinių tyrimų metu. Šiuose tyrimuose dalyvavo daugiau nei 2600 pacientų, iš kurių daugiau nei 700 vartojo 800/200</w:t>
      </w:r>
      <w:r w:rsidR="009B02A4" w:rsidRPr="00FB2719">
        <w:rPr>
          <w:sz w:val="22"/>
          <w:szCs w:val="22"/>
        </w:rPr>
        <w:t> </w:t>
      </w:r>
      <w:r w:rsidRPr="00FB2719">
        <w:rPr>
          <w:sz w:val="22"/>
          <w:szCs w:val="22"/>
        </w:rPr>
        <w:t>mg (6</w:t>
      </w:r>
      <w:r w:rsidR="009B02A4" w:rsidRPr="00FB2719">
        <w:rPr>
          <w:sz w:val="22"/>
          <w:szCs w:val="22"/>
        </w:rPr>
        <w:t> </w:t>
      </w:r>
      <w:r w:rsidRPr="00FB2719">
        <w:rPr>
          <w:sz w:val="22"/>
          <w:szCs w:val="22"/>
        </w:rPr>
        <w:t>kapsules arba 4</w:t>
      </w:r>
      <w:r w:rsidR="009B02A4" w:rsidRPr="00FB2719">
        <w:rPr>
          <w:sz w:val="22"/>
          <w:szCs w:val="22"/>
        </w:rPr>
        <w:t> </w:t>
      </w:r>
      <w:r w:rsidR="0012743A" w:rsidRPr="00FB2719">
        <w:rPr>
          <w:sz w:val="22"/>
          <w:szCs w:val="22"/>
        </w:rPr>
        <w:t xml:space="preserve"> </w:t>
      </w:r>
      <w:r w:rsidRPr="00FB2719">
        <w:rPr>
          <w:sz w:val="22"/>
          <w:szCs w:val="22"/>
        </w:rPr>
        <w:t>tabletes) dozę vieną kartą per parą. Kartu su nukleozidų atvirkštinės transkriptazės inhibitoriais, kai kurių tyrimų metu lopinaviro / ritonaviro derinys buvo vartojamas kartu su efavirenzu ar nevirapinu.</w:t>
      </w:r>
    </w:p>
    <w:p w14:paraId="796FDF15" w14:textId="77777777" w:rsidR="00CA08B3" w:rsidRPr="00FB2719" w:rsidRDefault="00CA08B3" w:rsidP="00CA08B3">
      <w:pPr>
        <w:tabs>
          <w:tab w:val="left" w:pos="567"/>
        </w:tabs>
        <w:rPr>
          <w:sz w:val="22"/>
          <w:szCs w:val="22"/>
        </w:rPr>
      </w:pPr>
    </w:p>
    <w:p w14:paraId="53CE1F8A" w14:textId="77777777" w:rsidR="00CA08B3" w:rsidRPr="00FB2719" w:rsidRDefault="00CA08B3" w:rsidP="00CA08B3">
      <w:pPr>
        <w:tabs>
          <w:tab w:val="left" w:pos="567"/>
        </w:tabs>
        <w:rPr>
          <w:sz w:val="22"/>
          <w:szCs w:val="22"/>
        </w:rPr>
      </w:pPr>
      <w:r w:rsidRPr="00FB2719">
        <w:rPr>
          <w:sz w:val="22"/>
          <w:szCs w:val="22"/>
        </w:rPr>
        <w:lastRenderedPageBreak/>
        <w:t>Klinikinių tyrimų metu dažniausia su lopinaviro / ritonaviro deriniu susijusi nepageidaujama reakcija buvo viduriavimas, pykinimas, vėmimas, hipertrigliceridemija ir hipercholesterolemija. Didesnė rizika, kad atsiras viduriavimas, jei Lopinavir/Ritonavir Sandoz vartojama vieną kartą per parą. Viduriavimas, pykinimas ir vėmimas gali pasireikšti gydymo pradžioje, o hipertrigliceridemija ir hipercholesterolemija vėliau. II-IV tyrimo fazės metu 7 % pacientų tyrimą nutraukė anksčiau dėl skubaus gydymo reikalaujančių nepageidaujamų reiškinių.</w:t>
      </w:r>
    </w:p>
    <w:p w14:paraId="259CD52A" w14:textId="77777777" w:rsidR="00CA08B3" w:rsidRPr="00FB2719" w:rsidRDefault="00CA08B3" w:rsidP="00CA08B3">
      <w:pPr>
        <w:tabs>
          <w:tab w:val="left" w:pos="567"/>
        </w:tabs>
        <w:rPr>
          <w:sz w:val="22"/>
          <w:szCs w:val="22"/>
        </w:rPr>
      </w:pPr>
      <w:r w:rsidRPr="00FB2719">
        <w:rPr>
          <w:sz w:val="22"/>
          <w:szCs w:val="22"/>
        </w:rPr>
        <w:t>Svarbu paminėti, kad gauta pranešimų apie kasos uždegimo atvejus lopinaviro / ritonaviro derinio vartojantiems pacientams, taip pat tiems, kuriems išsivystė hipertrigliceridemija. Be to, retai gauta pranešimų apie PER intervalo pailgėjimą gydymo lopinaviro / ritonaviro derinio metu (žr. 4.4 skyrių).</w:t>
      </w:r>
    </w:p>
    <w:p w14:paraId="0CAA728B" w14:textId="77777777" w:rsidR="00CA08B3" w:rsidRPr="00FB2719" w:rsidRDefault="00CA08B3" w:rsidP="00CA08B3">
      <w:pPr>
        <w:tabs>
          <w:tab w:val="left" w:pos="567"/>
        </w:tabs>
        <w:rPr>
          <w:sz w:val="22"/>
          <w:szCs w:val="22"/>
        </w:rPr>
      </w:pPr>
    </w:p>
    <w:p w14:paraId="01F90083" w14:textId="77777777" w:rsidR="00CA08B3" w:rsidRPr="00FB2719" w:rsidRDefault="00CA08B3" w:rsidP="00CA08B3">
      <w:pPr>
        <w:tabs>
          <w:tab w:val="left" w:pos="567"/>
        </w:tabs>
        <w:rPr>
          <w:sz w:val="22"/>
          <w:szCs w:val="22"/>
          <w:u w:val="single"/>
        </w:rPr>
      </w:pPr>
      <w:r w:rsidRPr="00FB2719">
        <w:rPr>
          <w:sz w:val="22"/>
          <w:szCs w:val="22"/>
          <w:u w:val="single"/>
        </w:rPr>
        <w:t>b. Nepageidaujamų reakcijų santrauka lentelėje</w:t>
      </w:r>
    </w:p>
    <w:p w14:paraId="4895560A" w14:textId="77777777" w:rsidR="00CA08B3" w:rsidRPr="00FB2719" w:rsidRDefault="00CA08B3" w:rsidP="00CA08B3">
      <w:pPr>
        <w:tabs>
          <w:tab w:val="left" w:pos="567"/>
        </w:tabs>
        <w:rPr>
          <w:sz w:val="22"/>
          <w:szCs w:val="22"/>
        </w:rPr>
      </w:pPr>
    </w:p>
    <w:p w14:paraId="24129D2C" w14:textId="77777777" w:rsidR="00CA08B3" w:rsidRPr="00FB2719" w:rsidRDefault="00CA08B3" w:rsidP="00CA08B3">
      <w:pPr>
        <w:tabs>
          <w:tab w:val="left" w:pos="567"/>
        </w:tabs>
        <w:rPr>
          <w:i/>
          <w:sz w:val="22"/>
          <w:szCs w:val="22"/>
        </w:rPr>
      </w:pPr>
      <w:r w:rsidRPr="00FB2719">
        <w:rPr>
          <w:i/>
          <w:sz w:val="22"/>
          <w:szCs w:val="22"/>
        </w:rPr>
        <w:t>Klinikinių tyrimų metu ir po vaistinio preparato patekimo į rinką pastebėtos nepageidaujamos reakcijos suaugusiesiems ir vaikams.</w:t>
      </w:r>
    </w:p>
    <w:p w14:paraId="79245BCD" w14:textId="77777777" w:rsidR="00CA08B3" w:rsidRPr="00FB2719" w:rsidRDefault="00CA08B3" w:rsidP="00CA08B3">
      <w:pPr>
        <w:tabs>
          <w:tab w:val="left" w:pos="567"/>
        </w:tabs>
        <w:rPr>
          <w:sz w:val="22"/>
          <w:szCs w:val="22"/>
        </w:rPr>
      </w:pPr>
    </w:p>
    <w:p w14:paraId="02E2B7DF" w14:textId="77777777" w:rsidR="00CA08B3" w:rsidRPr="00FB2719" w:rsidRDefault="00CA08B3" w:rsidP="00CA08B3">
      <w:pPr>
        <w:tabs>
          <w:tab w:val="left" w:pos="567"/>
        </w:tabs>
        <w:rPr>
          <w:sz w:val="22"/>
          <w:szCs w:val="22"/>
        </w:rPr>
      </w:pPr>
      <w:r w:rsidRPr="00FB2719">
        <w:rPr>
          <w:sz w:val="22"/>
          <w:szCs w:val="22"/>
        </w:rPr>
        <w:t>Toliau išvardyti nepageidaujami reiškiniai buvo identifikuoti kaip nepageidaujamos reakcijos. Dažnio kategorijos apima visus pastebėtus vidutinio sunkumo ir sunkius nepageidaujamus reiškinius, neatsižvelgiant į individualų priežasčių įvertinimą. Nepageidaujamos reakcijos išvardytos pagal organų sistemas. Kiekvienoje dažnio grupėje nepageidaujamas poveikis pateikiamas mažėjančio sunkumo tvarka.</w:t>
      </w:r>
      <w:r w:rsidRPr="00FB2719">
        <w:rPr>
          <w:snapToGrid w:val="0"/>
          <w:sz w:val="22"/>
          <w:szCs w:val="22"/>
        </w:rPr>
        <w:t xml:space="preserve"> Nepageidaujamo poveikio dažnis apibūdinamas taip: labai dažnas (≥ 1/10), dažnas (nuo ≥ 1/100 iki &lt; 1/10), nedažnas (nuo ≥ 1/1000 iki &lt; 1/100), retas (nuo ≥ 1/10000 iki &lt; 1/1000), labai retas (&lt; 1/10000) ir nežinomas (negali būti apskaičiuotas pagal turimus duomenis)</w:t>
      </w:r>
      <w:r w:rsidRPr="00FB2719">
        <w:rPr>
          <w:sz w:val="22"/>
          <w:szCs w:val="22"/>
        </w:rPr>
        <w:t>.</w:t>
      </w:r>
    </w:p>
    <w:p w14:paraId="4EB484CF" w14:textId="77777777" w:rsidR="00CA08B3" w:rsidRPr="00FB2719" w:rsidRDefault="00CA08B3" w:rsidP="00CA08B3">
      <w:pPr>
        <w:tabs>
          <w:tab w:val="left" w:pos="567"/>
        </w:tabs>
        <w:rPr>
          <w:sz w:val="22"/>
          <w:szCs w:val="22"/>
        </w:rPr>
      </w:pPr>
    </w:p>
    <w:p w14:paraId="7E57C5C6" w14:textId="77777777" w:rsidR="00CA08B3" w:rsidRPr="00FB2719" w:rsidRDefault="00CA08B3" w:rsidP="00CA08B3">
      <w:pPr>
        <w:tabs>
          <w:tab w:val="left" w:pos="567"/>
        </w:tabs>
        <w:rPr>
          <w:sz w:val="22"/>
          <w:szCs w:val="22"/>
        </w:rPr>
      </w:pPr>
      <w:r w:rsidRPr="00FB2719">
        <w:rPr>
          <w:sz w:val="22"/>
          <w:szCs w:val="22"/>
        </w:rPr>
        <w:t>Reiškiniai, kurių dažnis nurodytas kaip „nežinomas“ buvo nustatyti stebėjimo po vaistinio preparato patekimo į rinką metu.</w:t>
      </w:r>
    </w:p>
    <w:p w14:paraId="084B4634" w14:textId="77777777" w:rsidR="00CA08B3" w:rsidRPr="00FB2719" w:rsidRDefault="00CA08B3" w:rsidP="00CA08B3">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410"/>
        <w:gridCol w:w="5000"/>
      </w:tblGrid>
      <w:tr w:rsidR="00CA08B3" w:rsidRPr="00FB2719" w14:paraId="4AAFB357" w14:textId="77777777" w:rsidTr="00CA08B3">
        <w:tc>
          <w:tcPr>
            <w:tcW w:w="9039" w:type="dxa"/>
            <w:gridSpan w:val="3"/>
            <w:tcBorders>
              <w:top w:val="single" w:sz="4" w:space="0" w:color="auto"/>
              <w:left w:val="single" w:sz="4" w:space="0" w:color="auto"/>
              <w:bottom w:val="single" w:sz="4" w:space="0" w:color="auto"/>
              <w:right w:val="single" w:sz="4" w:space="0" w:color="auto"/>
            </w:tcBorders>
            <w:hideMark/>
          </w:tcPr>
          <w:p w14:paraId="4AD0E360" w14:textId="77777777" w:rsidR="00CA08B3" w:rsidRPr="00FB2719" w:rsidRDefault="00CA08B3">
            <w:pPr>
              <w:tabs>
                <w:tab w:val="left" w:pos="567"/>
              </w:tabs>
              <w:spacing w:line="276" w:lineRule="auto"/>
              <w:rPr>
                <w:b/>
                <w:i/>
                <w:sz w:val="22"/>
                <w:szCs w:val="22"/>
              </w:rPr>
            </w:pPr>
            <w:r w:rsidRPr="00FB2719">
              <w:rPr>
                <w:b/>
                <w:i/>
                <w:sz w:val="22"/>
                <w:szCs w:val="22"/>
              </w:rPr>
              <w:t>Nepageidaujamas poveikis klinikinių tyrimų metu ir po vaistinio preparato patekimo į rinką suaugusiesiems</w:t>
            </w:r>
          </w:p>
        </w:tc>
      </w:tr>
      <w:tr w:rsidR="00CA08B3" w:rsidRPr="00FB2719" w14:paraId="24507342" w14:textId="77777777" w:rsidTr="00CA08B3">
        <w:tc>
          <w:tcPr>
            <w:tcW w:w="2613" w:type="dxa"/>
            <w:tcBorders>
              <w:top w:val="single" w:sz="4" w:space="0" w:color="auto"/>
              <w:left w:val="single" w:sz="4" w:space="0" w:color="auto"/>
              <w:bottom w:val="single" w:sz="4" w:space="0" w:color="auto"/>
              <w:right w:val="single" w:sz="4" w:space="0" w:color="auto"/>
            </w:tcBorders>
            <w:hideMark/>
          </w:tcPr>
          <w:p w14:paraId="517FE5CC" w14:textId="77777777" w:rsidR="00CA08B3" w:rsidRPr="00FB2719" w:rsidRDefault="00CA08B3">
            <w:pPr>
              <w:tabs>
                <w:tab w:val="left" w:pos="567"/>
              </w:tabs>
              <w:spacing w:line="276" w:lineRule="auto"/>
              <w:rPr>
                <w:b/>
                <w:sz w:val="22"/>
                <w:szCs w:val="22"/>
                <w:lang w:val="en-US"/>
              </w:rPr>
            </w:pPr>
            <w:r w:rsidRPr="00FB2719">
              <w:rPr>
                <w:b/>
                <w:sz w:val="22"/>
                <w:szCs w:val="22"/>
                <w:lang w:val="en-US"/>
              </w:rPr>
              <w:t>Organų sistemų klasė</w:t>
            </w:r>
          </w:p>
        </w:tc>
        <w:tc>
          <w:tcPr>
            <w:tcW w:w="1411" w:type="dxa"/>
            <w:tcBorders>
              <w:top w:val="single" w:sz="4" w:space="0" w:color="auto"/>
              <w:left w:val="single" w:sz="4" w:space="0" w:color="auto"/>
              <w:bottom w:val="single" w:sz="4" w:space="0" w:color="auto"/>
              <w:right w:val="single" w:sz="4" w:space="0" w:color="auto"/>
            </w:tcBorders>
            <w:hideMark/>
          </w:tcPr>
          <w:p w14:paraId="329FB11B" w14:textId="77777777" w:rsidR="00CA08B3" w:rsidRPr="00FB2719" w:rsidRDefault="00CA08B3">
            <w:pPr>
              <w:tabs>
                <w:tab w:val="left" w:pos="567"/>
              </w:tabs>
              <w:spacing w:line="276" w:lineRule="auto"/>
              <w:rPr>
                <w:b/>
                <w:sz w:val="22"/>
                <w:szCs w:val="22"/>
                <w:lang w:val="en-US"/>
              </w:rPr>
            </w:pPr>
            <w:r w:rsidRPr="00FB2719">
              <w:rPr>
                <w:b/>
                <w:sz w:val="22"/>
                <w:szCs w:val="22"/>
                <w:lang w:val="en-US"/>
              </w:rPr>
              <w:t>Dažnis</w:t>
            </w:r>
          </w:p>
        </w:tc>
        <w:tc>
          <w:tcPr>
            <w:tcW w:w="5015" w:type="dxa"/>
            <w:tcBorders>
              <w:top w:val="single" w:sz="4" w:space="0" w:color="auto"/>
              <w:left w:val="single" w:sz="4" w:space="0" w:color="auto"/>
              <w:bottom w:val="single" w:sz="4" w:space="0" w:color="auto"/>
              <w:right w:val="single" w:sz="4" w:space="0" w:color="auto"/>
            </w:tcBorders>
            <w:hideMark/>
          </w:tcPr>
          <w:p w14:paraId="335A2529" w14:textId="77777777" w:rsidR="00CA08B3" w:rsidRPr="00FB2719" w:rsidRDefault="00CA08B3">
            <w:pPr>
              <w:tabs>
                <w:tab w:val="left" w:pos="567"/>
              </w:tabs>
              <w:spacing w:line="276" w:lineRule="auto"/>
              <w:rPr>
                <w:b/>
                <w:sz w:val="22"/>
                <w:szCs w:val="22"/>
                <w:lang w:val="en-US"/>
              </w:rPr>
            </w:pPr>
            <w:r w:rsidRPr="00FB2719">
              <w:rPr>
                <w:b/>
                <w:sz w:val="22"/>
                <w:szCs w:val="22"/>
                <w:lang w:val="en-US"/>
              </w:rPr>
              <w:t>Nepageidaujama reakcija</w:t>
            </w:r>
          </w:p>
        </w:tc>
      </w:tr>
      <w:tr w:rsidR="00CA08B3" w:rsidRPr="00FB2719" w14:paraId="3851DA28" w14:textId="77777777" w:rsidTr="00CA08B3">
        <w:tc>
          <w:tcPr>
            <w:tcW w:w="2613" w:type="dxa"/>
            <w:tcBorders>
              <w:top w:val="single" w:sz="4" w:space="0" w:color="auto"/>
              <w:left w:val="single" w:sz="4" w:space="0" w:color="auto"/>
              <w:bottom w:val="single" w:sz="4" w:space="0" w:color="auto"/>
              <w:right w:val="single" w:sz="4" w:space="0" w:color="auto"/>
            </w:tcBorders>
            <w:hideMark/>
          </w:tcPr>
          <w:p w14:paraId="3D626AE4" w14:textId="77777777" w:rsidR="00CA08B3" w:rsidRPr="00FB2719" w:rsidRDefault="00CA08B3">
            <w:pPr>
              <w:tabs>
                <w:tab w:val="left" w:pos="567"/>
              </w:tabs>
              <w:spacing w:line="276" w:lineRule="auto"/>
              <w:rPr>
                <w:sz w:val="22"/>
                <w:szCs w:val="22"/>
                <w:lang w:val="en-US"/>
              </w:rPr>
            </w:pPr>
            <w:r w:rsidRPr="00FB2719">
              <w:rPr>
                <w:sz w:val="22"/>
                <w:szCs w:val="22"/>
                <w:lang w:val="en-US"/>
              </w:rPr>
              <w:t>Infekcijos ir infestacijos</w:t>
            </w:r>
          </w:p>
        </w:tc>
        <w:tc>
          <w:tcPr>
            <w:tcW w:w="1411" w:type="dxa"/>
            <w:tcBorders>
              <w:top w:val="single" w:sz="4" w:space="0" w:color="auto"/>
              <w:left w:val="single" w:sz="4" w:space="0" w:color="auto"/>
              <w:bottom w:val="single" w:sz="4" w:space="0" w:color="auto"/>
              <w:right w:val="single" w:sz="4" w:space="0" w:color="auto"/>
            </w:tcBorders>
          </w:tcPr>
          <w:p w14:paraId="03AB8459" w14:textId="77777777" w:rsidR="00CA08B3" w:rsidRPr="00FB2719" w:rsidRDefault="00CA08B3">
            <w:pPr>
              <w:tabs>
                <w:tab w:val="left" w:pos="567"/>
              </w:tabs>
              <w:spacing w:line="276" w:lineRule="auto"/>
              <w:rPr>
                <w:sz w:val="22"/>
                <w:szCs w:val="22"/>
                <w:lang w:val="en-US"/>
              </w:rPr>
            </w:pPr>
            <w:r w:rsidRPr="00FB2719">
              <w:rPr>
                <w:sz w:val="22"/>
                <w:szCs w:val="22"/>
                <w:lang w:val="en-US"/>
              </w:rPr>
              <w:t>Labai dažnas</w:t>
            </w:r>
          </w:p>
          <w:p w14:paraId="660103CD" w14:textId="77777777" w:rsidR="00CA08B3" w:rsidRPr="00FB2719" w:rsidRDefault="00CA08B3">
            <w:pPr>
              <w:tabs>
                <w:tab w:val="left" w:pos="567"/>
              </w:tabs>
              <w:spacing w:line="276" w:lineRule="auto"/>
              <w:rPr>
                <w:sz w:val="22"/>
                <w:szCs w:val="22"/>
                <w:lang w:val="en-US"/>
              </w:rPr>
            </w:pPr>
          </w:p>
          <w:p w14:paraId="4FFBB586" w14:textId="77777777" w:rsidR="00CA08B3" w:rsidRPr="00FB2719" w:rsidRDefault="00CA08B3">
            <w:pPr>
              <w:tabs>
                <w:tab w:val="left" w:pos="567"/>
              </w:tabs>
              <w:spacing w:line="276" w:lineRule="auto"/>
              <w:rPr>
                <w:sz w:val="22"/>
                <w:szCs w:val="22"/>
                <w:lang w:val="en-US"/>
              </w:rPr>
            </w:pPr>
            <w:r w:rsidRPr="00FB2719">
              <w:rPr>
                <w:sz w:val="22"/>
                <w:szCs w:val="22"/>
                <w:lang w:val="en-US"/>
              </w:rPr>
              <w:t>Dažnas</w:t>
            </w:r>
          </w:p>
        </w:tc>
        <w:tc>
          <w:tcPr>
            <w:tcW w:w="5015" w:type="dxa"/>
            <w:tcBorders>
              <w:top w:val="single" w:sz="4" w:space="0" w:color="auto"/>
              <w:left w:val="single" w:sz="4" w:space="0" w:color="auto"/>
              <w:bottom w:val="single" w:sz="4" w:space="0" w:color="auto"/>
              <w:right w:val="single" w:sz="4" w:space="0" w:color="auto"/>
            </w:tcBorders>
          </w:tcPr>
          <w:p w14:paraId="066FBEA8" w14:textId="77777777" w:rsidR="00CA08B3" w:rsidRPr="00FB2719" w:rsidRDefault="00CA08B3">
            <w:pPr>
              <w:tabs>
                <w:tab w:val="left" w:pos="567"/>
              </w:tabs>
              <w:spacing w:line="276" w:lineRule="auto"/>
              <w:rPr>
                <w:sz w:val="22"/>
                <w:szCs w:val="22"/>
                <w:lang w:val="en-US"/>
              </w:rPr>
            </w:pPr>
            <w:r w:rsidRPr="00FB2719">
              <w:rPr>
                <w:sz w:val="22"/>
                <w:szCs w:val="22"/>
                <w:lang w:val="en-US"/>
              </w:rPr>
              <w:t>Viršutinių kvėpavimo takų infekcijos.</w:t>
            </w:r>
          </w:p>
          <w:p w14:paraId="07F1F8DE" w14:textId="77777777" w:rsidR="00CA08B3" w:rsidRPr="00FB2719" w:rsidRDefault="00CA08B3">
            <w:pPr>
              <w:tabs>
                <w:tab w:val="left" w:pos="567"/>
              </w:tabs>
              <w:spacing w:line="276" w:lineRule="auto"/>
              <w:rPr>
                <w:sz w:val="22"/>
                <w:szCs w:val="22"/>
                <w:lang w:val="en-US"/>
              </w:rPr>
            </w:pPr>
          </w:p>
          <w:p w14:paraId="68E51B36" w14:textId="77777777" w:rsidR="00CA08B3" w:rsidRPr="00FB2719" w:rsidRDefault="00CA08B3">
            <w:pPr>
              <w:tabs>
                <w:tab w:val="left" w:pos="567"/>
              </w:tabs>
              <w:spacing w:line="276" w:lineRule="auto"/>
              <w:rPr>
                <w:sz w:val="22"/>
                <w:szCs w:val="22"/>
                <w:lang w:val="en-US"/>
              </w:rPr>
            </w:pPr>
            <w:r w:rsidRPr="00FB2719">
              <w:rPr>
                <w:sz w:val="22"/>
                <w:szCs w:val="22"/>
                <w:lang w:val="en-US"/>
              </w:rPr>
              <w:t>Apatinių kvėpavimo takų infekcija, odos infekcijos, įskaitant celiulitą, folikulitą ir furunkulus.</w:t>
            </w:r>
          </w:p>
        </w:tc>
      </w:tr>
      <w:tr w:rsidR="00CA08B3" w:rsidRPr="00FB2719" w14:paraId="222210C9" w14:textId="77777777" w:rsidTr="00CA08B3">
        <w:tc>
          <w:tcPr>
            <w:tcW w:w="2613" w:type="dxa"/>
            <w:tcBorders>
              <w:top w:val="single" w:sz="4" w:space="0" w:color="auto"/>
              <w:left w:val="single" w:sz="4" w:space="0" w:color="auto"/>
              <w:bottom w:val="single" w:sz="4" w:space="0" w:color="auto"/>
              <w:right w:val="single" w:sz="4" w:space="0" w:color="auto"/>
            </w:tcBorders>
            <w:hideMark/>
          </w:tcPr>
          <w:p w14:paraId="372B0DD1" w14:textId="77777777" w:rsidR="00CA08B3" w:rsidRPr="00FB2719" w:rsidRDefault="00CA08B3">
            <w:pPr>
              <w:tabs>
                <w:tab w:val="left" w:pos="567"/>
              </w:tabs>
              <w:spacing w:line="276" w:lineRule="auto"/>
              <w:rPr>
                <w:sz w:val="22"/>
                <w:szCs w:val="22"/>
                <w:lang w:val="es-ES"/>
              </w:rPr>
            </w:pPr>
            <w:r w:rsidRPr="00FB2719">
              <w:rPr>
                <w:sz w:val="22"/>
                <w:szCs w:val="22"/>
                <w:lang w:val="es-ES"/>
              </w:rPr>
              <w:t>Kraujo ir limfinės sistemos sutrikimai</w:t>
            </w:r>
          </w:p>
        </w:tc>
        <w:tc>
          <w:tcPr>
            <w:tcW w:w="1411" w:type="dxa"/>
            <w:tcBorders>
              <w:top w:val="single" w:sz="4" w:space="0" w:color="auto"/>
              <w:left w:val="single" w:sz="4" w:space="0" w:color="auto"/>
              <w:bottom w:val="single" w:sz="4" w:space="0" w:color="auto"/>
              <w:right w:val="single" w:sz="4" w:space="0" w:color="auto"/>
            </w:tcBorders>
            <w:hideMark/>
          </w:tcPr>
          <w:p w14:paraId="09BDEA3D" w14:textId="77777777" w:rsidR="00CA08B3" w:rsidRPr="00FB2719" w:rsidRDefault="00CA08B3">
            <w:pPr>
              <w:tabs>
                <w:tab w:val="left" w:pos="567"/>
              </w:tabs>
              <w:spacing w:line="276" w:lineRule="auto"/>
              <w:rPr>
                <w:sz w:val="22"/>
                <w:szCs w:val="22"/>
                <w:lang w:val="en-US"/>
              </w:rPr>
            </w:pPr>
            <w:r w:rsidRPr="00FB2719">
              <w:rPr>
                <w:sz w:val="22"/>
                <w:szCs w:val="22"/>
                <w:lang w:val="en-US"/>
              </w:rPr>
              <w:t>Dažnas</w:t>
            </w:r>
          </w:p>
        </w:tc>
        <w:tc>
          <w:tcPr>
            <w:tcW w:w="5015" w:type="dxa"/>
            <w:tcBorders>
              <w:top w:val="single" w:sz="4" w:space="0" w:color="auto"/>
              <w:left w:val="single" w:sz="4" w:space="0" w:color="auto"/>
              <w:bottom w:val="single" w:sz="4" w:space="0" w:color="auto"/>
              <w:right w:val="single" w:sz="4" w:space="0" w:color="auto"/>
            </w:tcBorders>
            <w:hideMark/>
          </w:tcPr>
          <w:p w14:paraId="55CFDB6F" w14:textId="77777777" w:rsidR="00CA08B3" w:rsidRPr="00FB2719" w:rsidRDefault="00CA08B3">
            <w:pPr>
              <w:tabs>
                <w:tab w:val="left" w:pos="567"/>
              </w:tabs>
              <w:spacing w:line="276" w:lineRule="auto"/>
              <w:rPr>
                <w:sz w:val="22"/>
                <w:szCs w:val="22"/>
                <w:lang w:val="en-US"/>
              </w:rPr>
            </w:pPr>
            <w:r w:rsidRPr="00FB2719">
              <w:rPr>
                <w:sz w:val="22"/>
                <w:szCs w:val="22"/>
                <w:lang w:val="en-US"/>
              </w:rPr>
              <w:t>Anemija, leukopenija, neutropenija, limfadenopatija.</w:t>
            </w:r>
          </w:p>
        </w:tc>
      </w:tr>
      <w:tr w:rsidR="00CA08B3" w:rsidRPr="00FB2719" w14:paraId="39B08CC0" w14:textId="77777777" w:rsidTr="00CA08B3">
        <w:tc>
          <w:tcPr>
            <w:tcW w:w="2613" w:type="dxa"/>
            <w:tcBorders>
              <w:top w:val="single" w:sz="4" w:space="0" w:color="auto"/>
              <w:left w:val="single" w:sz="4" w:space="0" w:color="auto"/>
              <w:bottom w:val="single" w:sz="4" w:space="0" w:color="auto"/>
              <w:right w:val="single" w:sz="4" w:space="0" w:color="auto"/>
            </w:tcBorders>
            <w:hideMark/>
          </w:tcPr>
          <w:p w14:paraId="0FEAB23C" w14:textId="77777777" w:rsidR="00CA08B3" w:rsidRPr="00FB2719" w:rsidRDefault="00CA08B3">
            <w:pPr>
              <w:tabs>
                <w:tab w:val="left" w:pos="567"/>
              </w:tabs>
              <w:spacing w:line="276" w:lineRule="auto"/>
              <w:rPr>
                <w:sz w:val="22"/>
                <w:szCs w:val="22"/>
                <w:lang w:val="en-US"/>
              </w:rPr>
            </w:pPr>
            <w:r w:rsidRPr="00FB2719">
              <w:rPr>
                <w:sz w:val="22"/>
                <w:szCs w:val="22"/>
                <w:lang w:val="en-US"/>
              </w:rPr>
              <w:t>Imuninės sistemos sutrikimai</w:t>
            </w:r>
          </w:p>
        </w:tc>
        <w:tc>
          <w:tcPr>
            <w:tcW w:w="1411" w:type="dxa"/>
            <w:tcBorders>
              <w:top w:val="single" w:sz="4" w:space="0" w:color="auto"/>
              <w:left w:val="single" w:sz="4" w:space="0" w:color="auto"/>
              <w:bottom w:val="single" w:sz="4" w:space="0" w:color="auto"/>
              <w:right w:val="single" w:sz="4" w:space="0" w:color="auto"/>
            </w:tcBorders>
          </w:tcPr>
          <w:p w14:paraId="39C458A7" w14:textId="77777777" w:rsidR="00CA08B3" w:rsidRPr="00FB2719" w:rsidRDefault="00CA08B3">
            <w:pPr>
              <w:tabs>
                <w:tab w:val="left" w:pos="567"/>
              </w:tabs>
              <w:spacing w:line="276" w:lineRule="auto"/>
              <w:rPr>
                <w:sz w:val="22"/>
                <w:szCs w:val="22"/>
                <w:lang w:val="en-US"/>
              </w:rPr>
            </w:pPr>
            <w:r w:rsidRPr="00FB2719">
              <w:rPr>
                <w:sz w:val="22"/>
                <w:szCs w:val="22"/>
                <w:lang w:val="en-US"/>
              </w:rPr>
              <w:t>Dažnas</w:t>
            </w:r>
          </w:p>
          <w:p w14:paraId="3C89C2A1" w14:textId="77777777" w:rsidR="00CA08B3" w:rsidRPr="00FB2719" w:rsidRDefault="00CA08B3">
            <w:pPr>
              <w:tabs>
                <w:tab w:val="left" w:pos="567"/>
              </w:tabs>
              <w:spacing w:line="276" w:lineRule="auto"/>
              <w:rPr>
                <w:sz w:val="22"/>
                <w:szCs w:val="22"/>
                <w:lang w:val="en-US"/>
              </w:rPr>
            </w:pPr>
          </w:p>
          <w:p w14:paraId="0BFC6AAA" w14:textId="77777777" w:rsidR="00CA08B3" w:rsidRPr="00FB2719" w:rsidRDefault="00CA08B3">
            <w:pPr>
              <w:tabs>
                <w:tab w:val="left" w:pos="567"/>
              </w:tabs>
              <w:spacing w:line="276" w:lineRule="auto"/>
              <w:rPr>
                <w:sz w:val="22"/>
                <w:szCs w:val="22"/>
                <w:lang w:val="en-US"/>
              </w:rPr>
            </w:pPr>
            <w:r w:rsidRPr="00FB2719">
              <w:rPr>
                <w:sz w:val="22"/>
                <w:szCs w:val="22"/>
                <w:lang w:val="en-US"/>
              </w:rPr>
              <w:t>Nedažnas</w:t>
            </w:r>
          </w:p>
        </w:tc>
        <w:tc>
          <w:tcPr>
            <w:tcW w:w="5015" w:type="dxa"/>
            <w:tcBorders>
              <w:top w:val="single" w:sz="4" w:space="0" w:color="auto"/>
              <w:left w:val="single" w:sz="4" w:space="0" w:color="auto"/>
              <w:bottom w:val="single" w:sz="4" w:space="0" w:color="auto"/>
              <w:right w:val="single" w:sz="4" w:space="0" w:color="auto"/>
            </w:tcBorders>
          </w:tcPr>
          <w:p w14:paraId="6D94BCDE" w14:textId="77777777" w:rsidR="00C8094F" w:rsidRPr="00FB2719" w:rsidRDefault="00CA08B3" w:rsidP="00C8094F">
            <w:pPr>
              <w:tabs>
                <w:tab w:val="left" w:pos="567"/>
              </w:tabs>
              <w:spacing w:line="276" w:lineRule="auto"/>
              <w:rPr>
                <w:sz w:val="22"/>
                <w:szCs w:val="22"/>
                <w:lang w:val="en-US"/>
              </w:rPr>
            </w:pPr>
            <w:r w:rsidRPr="00FB2719">
              <w:rPr>
                <w:sz w:val="22"/>
                <w:szCs w:val="22"/>
                <w:lang w:val="en-US"/>
              </w:rPr>
              <w:t>Padidėjusio jautrumo reakcijos, įskaitant dilgėlinę</w:t>
            </w:r>
            <w:r w:rsidR="00C8094F" w:rsidRPr="00FB2719">
              <w:rPr>
                <w:sz w:val="22"/>
                <w:szCs w:val="22"/>
                <w:lang w:val="en-US"/>
              </w:rPr>
              <w:t xml:space="preserve"> ir</w:t>
            </w:r>
          </w:p>
          <w:p w14:paraId="7E1E8AEE" w14:textId="77777777" w:rsidR="00C8094F" w:rsidRPr="00FB2719" w:rsidRDefault="00C8094F" w:rsidP="00C8094F">
            <w:pPr>
              <w:tabs>
                <w:tab w:val="left" w:pos="567"/>
              </w:tabs>
              <w:spacing w:line="276" w:lineRule="auto"/>
              <w:rPr>
                <w:sz w:val="22"/>
                <w:szCs w:val="22"/>
                <w:lang w:val="de-DE"/>
              </w:rPr>
            </w:pPr>
            <w:r w:rsidRPr="00FB2719">
              <w:rPr>
                <w:sz w:val="22"/>
                <w:szCs w:val="22"/>
                <w:lang w:val="de-DE"/>
              </w:rPr>
              <w:t>angioneurozinę edemą</w:t>
            </w:r>
            <w:r w:rsidR="00701016" w:rsidRPr="00FB2719">
              <w:rPr>
                <w:sz w:val="22"/>
                <w:szCs w:val="22"/>
                <w:lang w:val="de-DE"/>
              </w:rPr>
              <w:t>.</w:t>
            </w:r>
          </w:p>
          <w:p w14:paraId="74C4B715" w14:textId="77777777" w:rsidR="00CA08B3" w:rsidRPr="00FB2719" w:rsidRDefault="00C8094F">
            <w:pPr>
              <w:tabs>
                <w:tab w:val="left" w:pos="567"/>
              </w:tabs>
              <w:spacing w:line="276" w:lineRule="auto"/>
              <w:rPr>
                <w:sz w:val="22"/>
                <w:szCs w:val="22"/>
                <w:lang w:val="de-DE"/>
              </w:rPr>
            </w:pPr>
            <w:r w:rsidRPr="00FB2719">
              <w:rPr>
                <w:sz w:val="22"/>
                <w:szCs w:val="22"/>
                <w:lang w:val="de-DE"/>
              </w:rPr>
              <w:t>Imuniteto atsistatymo uždegiminis sindromas</w:t>
            </w:r>
            <w:r w:rsidR="00701016" w:rsidRPr="00FB2719">
              <w:rPr>
                <w:sz w:val="22"/>
                <w:szCs w:val="22"/>
                <w:lang w:val="de-DE"/>
              </w:rPr>
              <w:t>.</w:t>
            </w:r>
          </w:p>
        </w:tc>
      </w:tr>
      <w:tr w:rsidR="00CA08B3" w:rsidRPr="00FB2719" w14:paraId="0A15E690" w14:textId="77777777" w:rsidTr="00CA08B3">
        <w:tc>
          <w:tcPr>
            <w:tcW w:w="2613" w:type="dxa"/>
            <w:tcBorders>
              <w:top w:val="single" w:sz="4" w:space="0" w:color="auto"/>
              <w:left w:val="single" w:sz="4" w:space="0" w:color="auto"/>
              <w:bottom w:val="single" w:sz="4" w:space="0" w:color="auto"/>
              <w:right w:val="single" w:sz="4" w:space="0" w:color="auto"/>
            </w:tcBorders>
            <w:hideMark/>
          </w:tcPr>
          <w:p w14:paraId="45147FC9" w14:textId="77777777" w:rsidR="00CA08B3" w:rsidRPr="00FB2719" w:rsidRDefault="00CA08B3">
            <w:pPr>
              <w:tabs>
                <w:tab w:val="left" w:pos="567"/>
              </w:tabs>
              <w:spacing w:line="276" w:lineRule="auto"/>
              <w:rPr>
                <w:sz w:val="22"/>
                <w:szCs w:val="22"/>
                <w:lang w:val="en-US"/>
              </w:rPr>
            </w:pPr>
            <w:r w:rsidRPr="00FB2719">
              <w:rPr>
                <w:sz w:val="22"/>
                <w:szCs w:val="22"/>
                <w:lang w:val="en-US"/>
              </w:rPr>
              <w:t>Endokrininiai sutrikimai</w:t>
            </w:r>
          </w:p>
        </w:tc>
        <w:tc>
          <w:tcPr>
            <w:tcW w:w="1411" w:type="dxa"/>
            <w:tcBorders>
              <w:top w:val="single" w:sz="4" w:space="0" w:color="auto"/>
              <w:left w:val="single" w:sz="4" w:space="0" w:color="auto"/>
              <w:bottom w:val="single" w:sz="4" w:space="0" w:color="auto"/>
              <w:right w:val="single" w:sz="4" w:space="0" w:color="auto"/>
            </w:tcBorders>
            <w:hideMark/>
          </w:tcPr>
          <w:p w14:paraId="3E771A49" w14:textId="77777777" w:rsidR="00CA08B3" w:rsidRPr="00FB2719" w:rsidRDefault="00CA08B3">
            <w:pPr>
              <w:tabs>
                <w:tab w:val="left" w:pos="567"/>
              </w:tabs>
              <w:spacing w:line="276" w:lineRule="auto"/>
              <w:rPr>
                <w:sz w:val="22"/>
                <w:szCs w:val="22"/>
                <w:lang w:val="en-US"/>
              </w:rPr>
            </w:pPr>
            <w:r w:rsidRPr="00FB2719">
              <w:rPr>
                <w:sz w:val="22"/>
                <w:szCs w:val="22"/>
                <w:lang w:val="en-US"/>
              </w:rPr>
              <w:t>Nedažnas</w:t>
            </w:r>
          </w:p>
        </w:tc>
        <w:tc>
          <w:tcPr>
            <w:tcW w:w="5015"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762"/>
            </w:tblGrid>
            <w:tr w:rsidR="00CA08B3" w:rsidRPr="00FB2719" w14:paraId="5A4828E7" w14:textId="77777777">
              <w:trPr>
                <w:trHeight w:val="147"/>
              </w:trPr>
              <w:tc>
                <w:tcPr>
                  <w:tcW w:w="0" w:type="auto"/>
                  <w:tcBorders>
                    <w:top w:val="nil"/>
                    <w:left w:val="nil"/>
                    <w:bottom w:val="nil"/>
                    <w:right w:val="nil"/>
                  </w:tcBorders>
                  <w:hideMark/>
                </w:tcPr>
                <w:p w14:paraId="7A383B4E" w14:textId="77777777" w:rsidR="00CA08B3" w:rsidRPr="00FB2719" w:rsidRDefault="00CA08B3">
                  <w:pPr>
                    <w:autoSpaceDE w:val="0"/>
                    <w:autoSpaceDN w:val="0"/>
                    <w:adjustRightInd w:val="0"/>
                    <w:spacing w:line="276" w:lineRule="auto"/>
                    <w:rPr>
                      <w:rFonts w:eastAsia="Calibri"/>
                      <w:color w:val="000000"/>
                      <w:sz w:val="22"/>
                      <w:szCs w:val="22"/>
                      <w:lang w:val="en-US" w:eastAsia="lt-LT"/>
                    </w:rPr>
                  </w:pPr>
                  <w:r w:rsidRPr="00FB2719">
                    <w:rPr>
                      <w:rFonts w:eastAsia="Calibri"/>
                      <w:color w:val="000000"/>
                      <w:sz w:val="22"/>
                      <w:szCs w:val="22"/>
                      <w:lang w:val="en-US" w:eastAsia="lt-LT"/>
                    </w:rPr>
                    <w:t xml:space="preserve">Hipogonadizmas. </w:t>
                  </w:r>
                </w:p>
              </w:tc>
            </w:tr>
          </w:tbl>
          <w:p w14:paraId="1D5612A4" w14:textId="77777777" w:rsidR="00CA08B3" w:rsidRPr="00FB2719" w:rsidRDefault="00CA08B3">
            <w:pPr>
              <w:tabs>
                <w:tab w:val="left" w:pos="567"/>
              </w:tabs>
              <w:spacing w:line="276" w:lineRule="auto"/>
              <w:rPr>
                <w:sz w:val="22"/>
                <w:szCs w:val="22"/>
                <w:lang w:val="en-US"/>
              </w:rPr>
            </w:pPr>
          </w:p>
        </w:tc>
      </w:tr>
      <w:tr w:rsidR="00CA08B3" w:rsidRPr="00FB2719" w14:paraId="49E71C57" w14:textId="77777777" w:rsidTr="00CA08B3">
        <w:tc>
          <w:tcPr>
            <w:tcW w:w="2613" w:type="dxa"/>
            <w:tcBorders>
              <w:top w:val="single" w:sz="4" w:space="0" w:color="auto"/>
              <w:left w:val="single" w:sz="4" w:space="0" w:color="auto"/>
              <w:bottom w:val="single" w:sz="4" w:space="0" w:color="auto"/>
              <w:right w:val="single" w:sz="4" w:space="0" w:color="auto"/>
            </w:tcBorders>
            <w:hideMark/>
          </w:tcPr>
          <w:p w14:paraId="053AD2A5" w14:textId="77777777" w:rsidR="00CA08B3" w:rsidRPr="00FB2719" w:rsidRDefault="00CA08B3">
            <w:pPr>
              <w:tabs>
                <w:tab w:val="left" w:pos="567"/>
              </w:tabs>
              <w:spacing w:line="276" w:lineRule="auto"/>
              <w:rPr>
                <w:sz w:val="22"/>
                <w:szCs w:val="22"/>
                <w:lang w:val="en-US"/>
              </w:rPr>
            </w:pPr>
            <w:r w:rsidRPr="00FB2719">
              <w:rPr>
                <w:sz w:val="22"/>
                <w:szCs w:val="22"/>
                <w:lang w:val="en-US"/>
              </w:rPr>
              <w:t>Metabolizmo ir mitybos sutrikimai</w:t>
            </w:r>
          </w:p>
        </w:tc>
        <w:tc>
          <w:tcPr>
            <w:tcW w:w="1411" w:type="dxa"/>
            <w:tcBorders>
              <w:top w:val="single" w:sz="4" w:space="0" w:color="auto"/>
              <w:left w:val="single" w:sz="4" w:space="0" w:color="auto"/>
              <w:bottom w:val="single" w:sz="4" w:space="0" w:color="auto"/>
              <w:right w:val="single" w:sz="4" w:space="0" w:color="auto"/>
            </w:tcBorders>
          </w:tcPr>
          <w:p w14:paraId="3CAFBD7D" w14:textId="77777777" w:rsidR="00CA08B3" w:rsidRPr="00FB2719" w:rsidRDefault="00CA08B3">
            <w:pPr>
              <w:tabs>
                <w:tab w:val="left" w:pos="567"/>
              </w:tabs>
              <w:spacing w:line="276" w:lineRule="auto"/>
              <w:rPr>
                <w:sz w:val="22"/>
                <w:szCs w:val="22"/>
                <w:lang w:val="en-US"/>
              </w:rPr>
            </w:pPr>
            <w:r w:rsidRPr="00FB2719">
              <w:rPr>
                <w:sz w:val="22"/>
                <w:szCs w:val="22"/>
                <w:lang w:val="en-US"/>
              </w:rPr>
              <w:t>Dažnas</w:t>
            </w:r>
          </w:p>
          <w:p w14:paraId="3D052B11" w14:textId="77777777" w:rsidR="00CA08B3" w:rsidRPr="00FB2719" w:rsidRDefault="00CA08B3">
            <w:pPr>
              <w:tabs>
                <w:tab w:val="left" w:pos="567"/>
              </w:tabs>
              <w:spacing w:line="276" w:lineRule="auto"/>
              <w:rPr>
                <w:sz w:val="22"/>
                <w:szCs w:val="22"/>
                <w:lang w:val="en-US"/>
              </w:rPr>
            </w:pPr>
          </w:p>
          <w:p w14:paraId="0A521008" w14:textId="77777777" w:rsidR="00CA08B3" w:rsidRPr="00FB2719" w:rsidRDefault="00CA08B3">
            <w:pPr>
              <w:tabs>
                <w:tab w:val="left" w:pos="567"/>
              </w:tabs>
              <w:spacing w:line="276" w:lineRule="auto"/>
              <w:rPr>
                <w:sz w:val="22"/>
                <w:szCs w:val="22"/>
                <w:lang w:val="en-US"/>
              </w:rPr>
            </w:pPr>
          </w:p>
          <w:p w14:paraId="093DC91E" w14:textId="77777777" w:rsidR="00CA08B3" w:rsidRPr="00FB2719" w:rsidRDefault="00CA08B3">
            <w:pPr>
              <w:tabs>
                <w:tab w:val="left" w:pos="567"/>
              </w:tabs>
              <w:spacing w:line="276" w:lineRule="auto"/>
              <w:rPr>
                <w:sz w:val="22"/>
                <w:szCs w:val="22"/>
                <w:lang w:val="en-US"/>
              </w:rPr>
            </w:pPr>
          </w:p>
          <w:p w14:paraId="22593EF2" w14:textId="77777777" w:rsidR="00CA08B3" w:rsidRPr="00FB2719" w:rsidRDefault="00CA08B3">
            <w:pPr>
              <w:tabs>
                <w:tab w:val="left" w:pos="567"/>
              </w:tabs>
              <w:spacing w:line="276" w:lineRule="auto"/>
              <w:rPr>
                <w:sz w:val="22"/>
                <w:szCs w:val="22"/>
                <w:lang w:val="en-US"/>
              </w:rPr>
            </w:pPr>
            <w:r w:rsidRPr="00FB2719">
              <w:rPr>
                <w:sz w:val="22"/>
                <w:szCs w:val="22"/>
                <w:lang w:val="en-US"/>
              </w:rPr>
              <w:t>Nedažnas</w:t>
            </w:r>
          </w:p>
        </w:tc>
        <w:tc>
          <w:tcPr>
            <w:tcW w:w="5015" w:type="dxa"/>
            <w:tcBorders>
              <w:top w:val="single" w:sz="4" w:space="0" w:color="auto"/>
              <w:left w:val="single" w:sz="4" w:space="0" w:color="auto"/>
              <w:bottom w:val="single" w:sz="4" w:space="0" w:color="auto"/>
              <w:right w:val="single" w:sz="4" w:space="0" w:color="auto"/>
            </w:tcBorders>
          </w:tcPr>
          <w:p w14:paraId="54D0827C" w14:textId="77777777" w:rsidR="00CA08B3" w:rsidRPr="00FB2719" w:rsidRDefault="00CA08B3">
            <w:pPr>
              <w:tabs>
                <w:tab w:val="left" w:pos="567"/>
              </w:tabs>
              <w:spacing w:line="276" w:lineRule="auto"/>
              <w:rPr>
                <w:sz w:val="22"/>
                <w:szCs w:val="22"/>
                <w:lang w:val="en-US"/>
              </w:rPr>
            </w:pPr>
            <w:r w:rsidRPr="00FB2719">
              <w:rPr>
                <w:sz w:val="22"/>
                <w:szCs w:val="22"/>
                <w:lang w:val="en-US"/>
              </w:rPr>
              <w:t>Gliukozės kraujyje sutrikimai, įskaitant cukrinį diabetą, hipertrigliceridemija, hipercholesterolemija, svorio kritimas, apetito sumažėjimas.</w:t>
            </w:r>
          </w:p>
          <w:p w14:paraId="5E2AAE34" w14:textId="77777777" w:rsidR="00CA08B3" w:rsidRPr="00FB2719" w:rsidRDefault="00CA08B3">
            <w:pPr>
              <w:tabs>
                <w:tab w:val="left" w:pos="567"/>
              </w:tabs>
              <w:spacing w:line="276" w:lineRule="auto"/>
              <w:rPr>
                <w:sz w:val="22"/>
                <w:szCs w:val="22"/>
                <w:lang w:val="en-US"/>
              </w:rPr>
            </w:pPr>
          </w:p>
          <w:p w14:paraId="2669F4F5" w14:textId="77777777" w:rsidR="00CA08B3" w:rsidRPr="00FB2719" w:rsidRDefault="00CA08B3">
            <w:pPr>
              <w:tabs>
                <w:tab w:val="left" w:pos="567"/>
              </w:tabs>
              <w:spacing w:line="276" w:lineRule="auto"/>
              <w:rPr>
                <w:sz w:val="22"/>
                <w:szCs w:val="22"/>
                <w:lang w:val="en-US"/>
              </w:rPr>
            </w:pPr>
            <w:r w:rsidRPr="00FB2719">
              <w:rPr>
                <w:sz w:val="22"/>
                <w:szCs w:val="22"/>
                <w:lang w:val="en-US"/>
              </w:rPr>
              <w:t>Padidėjęs kūno svoris, padidėjęs apetitas.</w:t>
            </w:r>
          </w:p>
        </w:tc>
      </w:tr>
      <w:tr w:rsidR="00CA08B3" w:rsidRPr="00FB2719" w14:paraId="6577B860" w14:textId="77777777" w:rsidTr="00CA08B3">
        <w:tc>
          <w:tcPr>
            <w:tcW w:w="2613" w:type="dxa"/>
            <w:tcBorders>
              <w:top w:val="single" w:sz="4" w:space="0" w:color="auto"/>
              <w:left w:val="single" w:sz="4" w:space="0" w:color="auto"/>
              <w:bottom w:val="single" w:sz="4" w:space="0" w:color="auto"/>
              <w:right w:val="single" w:sz="4" w:space="0" w:color="auto"/>
            </w:tcBorders>
            <w:hideMark/>
          </w:tcPr>
          <w:p w14:paraId="42371E6E" w14:textId="77777777" w:rsidR="00CA08B3" w:rsidRPr="00FB2719" w:rsidRDefault="00CA08B3">
            <w:pPr>
              <w:tabs>
                <w:tab w:val="left" w:pos="567"/>
              </w:tabs>
              <w:spacing w:line="276" w:lineRule="auto"/>
              <w:rPr>
                <w:sz w:val="22"/>
                <w:szCs w:val="22"/>
                <w:lang w:val="en-US"/>
              </w:rPr>
            </w:pPr>
            <w:r w:rsidRPr="00FB2719">
              <w:rPr>
                <w:sz w:val="22"/>
                <w:szCs w:val="22"/>
                <w:lang w:val="en-US"/>
              </w:rPr>
              <w:t>Psichikos sutrikimai</w:t>
            </w:r>
          </w:p>
        </w:tc>
        <w:tc>
          <w:tcPr>
            <w:tcW w:w="1411" w:type="dxa"/>
            <w:tcBorders>
              <w:top w:val="single" w:sz="4" w:space="0" w:color="auto"/>
              <w:left w:val="single" w:sz="4" w:space="0" w:color="auto"/>
              <w:bottom w:val="single" w:sz="4" w:space="0" w:color="auto"/>
              <w:right w:val="single" w:sz="4" w:space="0" w:color="auto"/>
            </w:tcBorders>
          </w:tcPr>
          <w:p w14:paraId="57974038" w14:textId="77777777" w:rsidR="00CA08B3" w:rsidRPr="00FB2719" w:rsidRDefault="00CA08B3">
            <w:pPr>
              <w:tabs>
                <w:tab w:val="left" w:pos="567"/>
              </w:tabs>
              <w:spacing w:line="276" w:lineRule="auto"/>
              <w:rPr>
                <w:sz w:val="22"/>
                <w:szCs w:val="22"/>
                <w:lang w:val="en-US"/>
              </w:rPr>
            </w:pPr>
            <w:r w:rsidRPr="00FB2719">
              <w:rPr>
                <w:sz w:val="22"/>
                <w:szCs w:val="22"/>
                <w:lang w:val="en-US"/>
              </w:rPr>
              <w:t>Dažnas</w:t>
            </w:r>
          </w:p>
          <w:p w14:paraId="60879183" w14:textId="77777777" w:rsidR="00CA08B3" w:rsidRPr="00FB2719" w:rsidRDefault="00CA08B3">
            <w:pPr>
              <w:tabs>
                <w:tab w:val="left" w:pos="567"/>
              </w:tabs>
              <w:spacing w:line="276" w:lineRule="auto"/>
              <w:rPr>
                <w:sz w:val="22"/>
                <w:szCs w:val="22"/>
                <w:lang w:val="en-US"/>
              </w:rPr>
            </w:pPr>
          </w:p>
          <w:p w14:paraId="4BE64161" w14:textId="77777777" w:rsidR="00CA08B3" w:rsidRPr="00FB2719" w:rsidRDefault="00CA08B3">
            <w:pPr>
              <w:tabs>
                <w:tab w:val="left" w:pos="567"/>
              </w:tabs>
              <w:spacing w:line="276" w:lineRule="auto"/>
              <w:rPr>
                <w:sz w:val="22"/>
                <w:szCs w:val="22"/>
                <w:lang w:val="en-US"/>
              </w:rPr>
            </w:pPr>
            <w:r w:rsidRPr="00FB2719">
              <w:rPr>
                <w:sz w:val="22"/>
                <w:szCs w:val="22"/>
                <w:lang w:val="en-US"/>
              </w:rPr>
              <w:t>Nedažnas</w:t>
            </w:r>
          </w:p>
        </w:tc>
        <w:tc>
          <w:tcPr>
            <w:tcW w:w="5015" w:type="dxa"/>
            <w:tcBorders>
              <w:top w:val="single" w:sz="4" w:space="0" w:color="auto"/>
              <w:left w:val="single" w:sz="4" w:space="0" w:color="auto"/>
              <w:bottom w:val="single" w:sz="4" w:space="0" w:color="auto"/>
              <w:right w:val="single" w:sz="4" w:space="0" w:color="auto"/>
            </w:tcBorders>
          </w:tcPr>
          <w:p w14:paraId="5B670A91" w14:textId="77777777" w:rsidR="00CA08B3" w:rsidRPr="00FB2719" w:rsidRDefault="00CA08B3">
            <w:pPr>
              <w:tabs>
                <w:tab w:val="left" w:pos="567"/>
              </w:tabs>
              <w:spacing w:line="276" w:lineRule="auto"/>
              <w:rPr>
                <w:sz w:val="22"/>
                <w:szCs w:val="22"/>
                <w:lang w:val="en-US"/>
              </w:rPr>
            </w:pPr>
            <w:r w:rsidRPr="00FB2719">
              <w:rPr>
                <w:sz w:val="22"/>
                <w:szCs w:val="22"/>
                <w:lang w:val="en-US"/>
              </w:rPr>
              <w:t>Nerimas.</w:t>
            </w:r>
          </w:p>
          <w:p w14:paraId="1B0D3ED6" w14:textId="77777777" w:rsidR="00CA08B3" w:rsidRPr="00FB2719" w:rsidRDefault="00CA08B3">
            <w:pPr>
              <w:tabs>
                <w:tab w:val="left" w:pos="567"/>
              </w:tabs>
              <w:spacing w:line="276" w:lineRule="auto"/>
              <w:rPr>
                <w:sz w:val="22"/>
                <w:szCs w:val="22"/>
                <w:lang w:val="en-US"/>
              </w:rPr>
            </w:pPr>
          </w:p>
          <w:p w14:paraId="66304945" w14:textId="77777777" w:rsidR="00CA08B3" w:rsidRPr="00FB2719" w:rsidRDefault="00CA08B3">
            <w:pPr>
              <w:tabs>
                <w:tab w:val="left" w:pos="567"/>
              </w:tabs>
              <w:spacing w:line="276" w:lineRule="auto"/>
              <w:rPr>
                <w:sz w:val="22"/>
                <w:szCs w:val="22"/>
                <w:lang w:val="en-US"/>
              </w:rPr>
            </w:pPr>
            <w:r w:rsidRPr="00FB2719">
              <w:rPr>
                <w:sz w:val="22"/>
                <w:szCs w:val="22"/>
                <w:lang w:val="en-US"/>
              </w:rPr>
              <w:t>Nenormalūs sapnai, sumažėjęs lytinis potraukis.</w:t>
            </w:r>
          </w:p>
        </w:tc>
      </w:tr>
      <w:tr w:rsidR="00CA08B3" w:rsidRPr="00FB2719" w14:paraId="572D92D9" w14:textId="77777777" w:rsidTr="00CA08B3">
        <w:tc>
          <w:tcPr>
            <w:tcW w:w="2613" w:type="dxa"/>
            <w:tcBorders>
              <w:top w:val="single" w:sz="4" w:space="0" w:color="auto"/>
              <w:left w:val="single" w:sz="4" w:space="0" w:color="auto"/>
              <w:bottom w:val="single" w:sz="4" w:space="0" w:color="auto"/>
              <w:right w:val="single" w:sz="4" w:space="0" w:color="auto"/>
            </w:tcBorders>
            <w:hideMark/>
          </w:tcPr>
          <w:p w14:paraId="3CE932B0" w14:textId="77777777" w:rsidR="00CA08B3" w:rsidRPr="00FB2719" w:rsidRDefault="00CA08B3">
            <w:pPr>
              <w:tabs>
                <w:tab w:val="left" w:pos="567"/>
              </w:tabs>
              <w:spacing w:line="276" w:lineRule="auto"/>
              <w:rPr>
                <w:sz w:val="22"/>
                <w:szCs w:val="22"/>
                <w:lang w:val="en-US"/>
              </w:rPr>
            </w:pPr>
            <w:r w:rsidRPr="00FB2719">
              <w:rPr>
                <w:sz w:val="22"/>
                <w:szCs w:val="22"/>
                <w:lang w:val="en-US"/>
              </w:rPr>
              <w:t>Nervų sistemos sutrikimai</w:t>
            </w:r>
          </w:p>
        </w:tc>
        <w:tc>
          <w:tcPr>
            <w:tcW w:w="1411" w:type="dxa"/>
            <w:tcBorders>
              <w:top w:val="single" w:sz="4" w:space="0" w:color="auto"/>
              <w:left w:val="single" w:sz="4" w:space="0" w:color="auto"/>
              <w:bottom w:val="single" w:sz="4" w:space="0" w:color="auto"/>
              <w:right w:val="single" w:sz="4" w:space="0" w:color="auto"/>
            </w:tcBorders>
          </w:tcPr>
          <w:p w14:paraId="594A4E6C" w14:textId="77777777" w:rsidR="00CA08B3" w:rsidRPr="00FB2719" w:rsidRDefault="00CA08B3">
            <w:pPr>
              <w:tabs>
                <w:tab w:val="left" w:pos="567"/>
              </w:tabs>
              <w:spacing w:line="276" w:lineRule="auto"/>
              <w:rPr>
                <w:sz w:val="22"/>
                <w:szCs w:val="22"/>
                <w:lang w:val="en-US"/>
              </w:rPr>
            </w:pPr>
            <w:r w:rsidRPr="00FB2719">
              <w:rPr>
                <w:sz w:val="22"/>
                <w:szCs w:val="22"/>
                <w:lang w:val="en-US"/>
              </w:rPr>
              <w:t>Dažnas</w:t>
            </w:r>
          </w:p>
          <w:p w14:paraId="12AF5FD3" w14:textId="77777777" w:rsidR="00CA08B3" w:rsidRPr="00FB2719" w:rsidRDefault="00CA08B3">
            <w:pPr>
              <w:tabs>
                <w:tab w:val="left" w:pos="567"/>
              </w:tabs>
              <w:spacing w:line="276" w:lineRule="auto"/>
              <w:rPr>
                <w:sz w:val="22"/>
                <w:szCs w:val="22"/>
                <w:lang w:val="en-US"/>
              </w:rPr>
            </w:pPr>
          </w:p>
          <w:p w14:paraId="6CFBEC47" w14:textId="77777777" w:rsidR="00CA08B3" w:rsidRPr="00FB2719" w:rsidRDefault="00CA08B3">
            <w:pPr>
              <w:tabs>
                <w:tab w:val="left" w:pos="567"/>
              </w:tabs>
              <w:spacing w:line="276" w:lineRule="auto"/>
              <w:rPr>
                <w:sz w:val="22"/>
                <w:szCs w:val="22"/>
                <w:lang w:val="en-US"/>
              </w:rPr>
            </w:pPr>
          </w:p>
          <w:p w14:paraId="17A45CB4" w14:textId="77777777" w:rsidR="00CA08B3" w:rsidRPr="00FB2719" w:rsidRDefault="00CA08B3">
            <w:pPr>
              <w:tabs>
                <w:tab w:val="left" w:pos="567"/>
              </w:tabs>
              <w:spacing w:line="276" w:lineRule="auto"/>
              <w:rPr>
                <w:sz w:val="22"/>
                <w:szCs w:val="22"/>
                <w:lang w:val="en-US"/>
              </w:rPr>
            </w:pPr>
            <w:r w:rsidRPr="00FB2719">
              <w:rPr>
                <w:sz w:val="22"/>
                <w:szCs w:val="22"/>
                <w:lang w:val="en-US"/>
              </w:rPr>
              <w:t>Nedažnas</w:t>
            </w:r>
          </w:p>
        </w:tc>
        <w:tc>
          <w:tcPr>
            <w:tcW w:w="5015" w:type="dxa"/>
            <w:tcBorders>
              <w:top w:val="single" w:sz="4" w:space="0" w:color="auto"/>
              <w:left w:val="single" w:sz="4" w:space="0" w:color="auto"/>
              <w:bottom w:val="single" w:sz="4" w:space="0" w:color="auto"/>
              <w:right w:val="single" w:sz="4" w:space="0" w:color="auto"/>
            </w:tcBorders>
          </w:tcPr>
          <w:p w14:paraId="17851114" w14:textId="77777777" w:rsidR="00CA08B3" w:rsidRPr="00FB2719" w:rsidRDefault="00CA08B3">
            <w:pPr>
              <w:tabs>
                <w:tab w:val="left" w:pos="567"/>
              </w:tabs>
              <w:spacing w:line="276" w:lineRule="auto"/>
              <w:rPr>
                <w:sz w:val="22"/>
                <w:szCs w:val="22"/>
                <w:lang w:val="en-US"/>
              </w:rPr>
            </w:pPr>
            <w:r w:rsidRPr="00FB2719">
              <w:rPr>
                <w:sz w:val="22"/>
                <w:szCs w:val="22"/>
                <w:lang w:val="en-US"/>
              </w:rPr>
              <w:t>Galvos skausmas (įskaitant migreną), neuropatija (įskaitant periferinę neuropatiją), svaigulys, nemiga.</w:t>
            </w:r>
          </w:p>
          <w:p w14:paraId="66ECDBC5" w14:textId="77777777" w:rsidR="00CA08B3" w:rsidRPr="00FB2719" w:rsidRDefault="00CA08B3">
            <w:pPr>
              <w:tabs>
                <w:tab w:val="left" w:pos="567"/>
              </w:tabs>
              <w:spacing w:line="276" w:lineRule="auto"/>
              <w:rPr>
                <w:sz w:val="22"/>
                <w:szCs w:val="22"/>
                <w:lang w:val="en-US"/>
              </w:rPr>
            </w:pPr>
          </w:p>
          <w:p w14:paraId="27B7F48D" w14:textId="77777777" w:rsidR="00CA08B3" w:rsidRPr="00FB2719" w:rsidRDefault="00CA08B3">
            <w:pPr>
              <w:tabs>
                <w:tab w:val="left" w:pos="567"/>
              </w:tabs>
              <w:spacing w:line="276" w:lineRule="auto"/>
              <w:rPr>
                <w:sz w:val="22"/>
                <w:szCs w:val="22"/>
                <w:lang w:val="en-US"/>
              </w:rPr>
            </w:pPr>
            <w:r w:rsidRPr="00FB2719">
              <w:rPr>
                <w:sz w:val="22"/>
                <w:szCs w:val="22"/>
                <w:lang w:val="en-US"/>
              </w:rPr>
              <w:lastRenderedPageBreak/>
              <w:t>Cerebrovaskulinis priepuolis, traukuliai, skonio sutrikimas, skonio jutimo nebuvimas, tremoras.</w:t>
            </w:r>
          </w:p>
        </w:tc>
      </w:tr>
      <w:tr w:rsidR="00CA08B3" w:rsidRPr="00FB2719" w14:paraId="5929799D" w14:textId="77777777" w:rsidTr="00CA08B3">
        <w:tc>
          <w:tcPr>
            <w:tcW w:w="2613" w:type="dxa"/>
            <w:tcBorders>
              <w:top w:val="single" w:sz="4" w:space="0" w:color="auto"/>
              <w:left w:val="single" w:sz="4" w:space="0" w:color="auto"/>
              <w:bottom w:val="single" w:sz="4" w:space="0" w:color="auto"/>
              <w:right w:val="single" w:sz="4" w:space="0" w:color="auto"/>
            </w:tcBorders>
            <w:hideMark/>
          </w:tcPr>
          <w:p w14:paraId="0A676F91" w14:textId="77777777" w:rsidR="00CA08B3" w:rsidRPr="00FB2719" w:rsidRDefault="00CA08B3">
            <w:pPr>
              <w:tabs>
                <w:tab w:val="left" w:pos="567"/>
              </w:tabs>
              <w:spacing w:line="276" w:lineRule="auto"/>
              <w:rPr>
                <w:sz w:val="22"/>
                <w:szCs w:val="22"/>
                <w:lang w:val="en-US"/>
              </w:rPr>
            </w:pPr>
            <w:r w:rsidRPr="00FB2719">
              <w:rPr>
                <w:sz w:val="22"/>
                <w:szCs w:val="22"/>
                <w:lang w:val="en-US"/>
              </w:rPr>
              <w:lastRenderedPageBreak/>
              <w:t>Akių sutrikimai</w:t>
            </w:r>
          </w:p>
        </w:tc>
        <w:tc>
          <w:tcPr>
            <w:tcW w:w="1411" w:type="dxa"/>
            <w:tcBorders>
              <w:top w:val="single" w:sz="4" w:space="0" w:color="auto"/>
              <w:left w:val="single" w:sz="4" w:space="0" w:color="auto"/>
              <w:bottom w:val="single" w:sz="4" w:space="0" w:color="auto"/>
              <w:right w:val="single" w:sz="4" w:space="0" w:color="auto"/>
            </w:tcBorders>
            <w:hideMark/>
          </w:tcPr>
          <w:p w14:paraId="3D2FD442" w14:textId="77777777" w:rsidR="00CA08B3" w:rsidRPr="00FB2719" w:rsidRDefault="00CA08B3">
            <w:pPr>
              <w:tabs>
                <w:tab w:val="left" w:pos="567"/>
              </w:tabs>
              <w:spacing w:line="276" w:lineRule="auto"/>
              <w:rPr>
                <w:sz w:val="22"/>
                <w:szCs w:val="22"/>
                <w:lang w:val="en-US"/>
              </w:rPr>
            </w:pPr>
            <w:r w:rsidRPr="00FB2719">
              <w:rPr>
                <w:sz w:val="22"/>
                <w:szCs w:val="22"/>
                <w:lang w:val="en-US"/>
              </w:rPr>
              <w:t>Nedažnas</w:t>
            </w:r>
          </w:p>
        </w:tc>
        <w:tc>
          <w:tcPr>
            <w:tcW w:w="5015" w:type="dxa"/>
            <w:tcBorders>
              <w:top w:val="single" w:sz="4" w:space="0" w:color="auto"/>
              <w:left w:val="single" w:sz="4" w:space="0" w:color="auto"/>
              <w:bottom w:val="single" w:sz="4" w:space="0" w:color="auto"/>
              <w:right w:val="single" w:sz="4" w:space="0" w:color="auto"/>
            </w:tcBorders>
            <w:hideMark/>
          </w:tcPr>
          <w:p w14:paraId="6EEEC5DC" w14:textId="77777777" w:rsidR="00CA08B3" w:rsidRPr="00FB2719" w:rsidRDefault="00CA08B3">
            <w:pPr>
              <w:tabs>
                <w:tab w:val="left" w:pos="567"/>
              </w:tabs>
              <w:spacing w:line="276" w:lineRule="auto"/>
              <w:rPr>
                <w:sz w:val="22"/>
                <w:szCs w:val="22"/>
                <w:lang w:val="en-US"/>
              </w:rPr>
            </w:pPr>
            <w:r w:rsidRPr="00FB2719">
              <w:rPr>
                <w:sz w:val="22"/>
                <w:szCs w:val="22"/>
                <w:lang w:val="en-US"/>
              </w:rPr>
              <w:t>Susilpnėjęs regėjimas.</w:t>
            </w:r>
          </w:p>
        </w:tc>
      </w:tr>
      <w:tr w:rsidR="00CA08B3" w:rsidRPr="00FB2719" w14:paraId="795AFC70" w14:textId="77777777" w:rsidTr="00CA08B3">
        <w:tc>
          <w:tcPr>
            <w:tcW w:w="2613" w:type="dxa"/>
            <w:tcBorders>
              <w:top w:val="single" w:sz="4" w:space="0" w:color="auto"/>
              <w:left w:val="single" w:sz="4" w:space="0" w:color="auto"/>
              <w:bottom w:val="single" w:sz="4" w:space="0" w:color="auto"/>
              <w:right w:val="single" w:sz="4" w:space="0" w:color="auto"/>
            </w:tcBorders>
            <w:hideMark/>
          </w:tcPr>
          <w:p w14:paraId="272B5D12" w14:textId="77777777" w:rsidR="00CA08B3" w:rsidRPr="00FB2719" w:rsidRDefault="00CA08B3">
            <w:pPr>
              <w:tabs>
                <w:tab w:val="left" w:pos="567"/>
              </w:tabs>
              <w:spacing w:line="276" w:lineRule="auto"/>
              <w:rPr>
                <w:sz w:val="22"/>
                <w:szCs w:val="22"/>
                <w:lang w:val="en-US"/>
              </w:rPr>
            </w:pPr>
            <w:r w:rsidRPr="00FB2719">
              <w:rPr>
                <w:sz w:val="22"/>
                <w:szCs w:val="22"/>
                <w:lang w:val="en-US"/>
              </w:rPr>
              <w:t>Ausų ir labirintų sutrikimai</w:t>
            </w:r>
          </w:p>
        </w:tc>
        <w:tc>
          <w:tcPr>
            <w:tcW w:w="1411" w:type="dxa"/>
            <w:tcBorders>
              <w:top w:val="single" w:sz="4" w:space="0" w:color="auto"/>
              <w:left w:val="single" w:sz="4" w:space="0" w:color="auto"/>
              <w:bottom w:val="single" w:sz="4" w:space="0" w:color="auto"/>
              <w:right w:val="single" w:sz="4" w:space="0" w:color="auto"/>
            </w:tcBorders>
            <w:hideMark/>
          </w:tcPr>
          <w:p w14:paraId="459E37A2" w14:textId="77777777" w:rsidR="00CA08B3" w:rsidRPr="00FB2719" w:rsidRDefault="00CA08B3">
            <w:pPr>
              <w:tabs>
                <w:tab w:val="left" w:pos="567"/>
              </w:tabs>
              <w:spacing w:line="276" w:lineRule="auto"/>
              <w:rPr>
                <w:sz w:val="22"/>
                <w:szCs w:val="22"/>
                <w:lang w:val="en-US"/>
              </w:rPr>
            </w:pPr>
            <w:r w:rsidRPr="00FB2719">
              <w:rPr>
                <w:sz w:val="22"/>
                <w:szCs w:val="22"/>
                <w:lang w:val="en-US"/>
              </w:rPr>
              <w:t>Nedažnas</w:t>
            </w:r>
          </w:p>
        </w:tc>
        <w:tc>
          <w:tcPr>
            <w:tcW w:w="5015" w:type="dxa"/>
            <w:tcBorders>
              <w:top w:val="single" w:sz="4" w:space="0" w:color="auto"/>
              <w:left w:val="single" w:sz="4" w:space="0" w:color="auto"/>
              <w:bottom w:val="single" w:sz="4" w:space="0" w:color="auto"/>
              <w:right w:val="single" w:sz="4" w:space="0" w:color="auto"/>
            </w:tcBorders>
            <w:hideMark/>
          </w:tcPr>
          <w:p w14:paraId="61C90F40" w14:textId="77777777" w:rsidR="00CA08B3" w:rsidRPr="00FB2719" w:rsidRDefault="00CA08B3">
            <w:pPr>
              <w:tabs>
                <w:tab w:val="left" w:pos="567"/>
              </w:tabs>
              <w:spacing w:line="276" w:lineRule="auto"/>
              <w:rPr>
                <w:sz w:val="22"/>
                <w:szCs w:val="22"/>
                <w:lang w:val="en-US"/>
              </w:rPr>
            </w:pPr>
            <w:r w:rsidRPr="00FB2719">
              <w:rPr>
                <w:sz w:val="22"/>
                <w:szCs w:val="22"/>
                <w:lang w:val="en-US"/>
              </w:rPr>
              <w:t>Ūžesys, galvos svaigimas (</w:t>
            </w:r>
            <w:r w:rsidRPr="00FB2719">
              <w:rPr>
                <w:i/>
                <w:sz w:val="22"/>
                <w:szCs w:val="22"/>
                <w:lang w:val="en-US"/>
              </w:rPr>
              <w:t>vertigo</w:t>
            </w:r>
            <w:r w:rsidRPr="00FB2719">
              <w:rPr>
                <w:sz w:val="22"/>
                <w:szCs w:val="22"/>
                <w:lang w:val="en-US"/>
              </w:rPr>
              <w:t>).</w:t>
            </w:r>
          </w:p>
        </w:tc>
      </w:tr>
      <w:tr w:rsidR="00CA08B3" w:rsidRPr="00FB2719" w14:paraId="7AF4A7ED" w14:textId="77777777" w:rsidTr="00CA08B3">
        <w:tc>
          <w:tcPr>
            <w:tcW w:w="2613" w:type="dxa"/>
            <w:tcBorders>
              <w:top w:val="single" w:sz="4" w:space="0" w:color="auto"/>
              <w:left w:val="single" w:sz="4" w:space="0" w:color="auto"/>
              <w:bottom w:val="single" w:sz="4" w:space="0" w:color="auto"/>
              <w:right w:val="single" w:sz="4" w:space="0" w:color="auto"/>
            </w:tcBorders>
            <w:hideMark/>
          </w:tcPr>
          <w:p w14:paraId="32934DFF" w14:textId="77777777" w:rsidR="00CA08B3" w:rsidRPr="00FB2719" w:rsidRDefault="00CA08B3">
            <w:pPr>
              <w:tabs>
                <w:tab w:val="left" w:pos="567"/>
              </w:tabs>
              <w:spacing w:line="276" w:lineRule="auto"/>
              <w:rPr>
                <w:sz w:val="22"/>
                <w:szCs w:val="22"/>
                <w:lang w:val="en-US"/>
              </w:rPr>
            </w:pPr>
            <w:r w:rsidRPr="00FB2719">
              <w:rPr>
                <w:sz w:val="22"/>
                <w:szCs w:val="22"/>
                <w:lang w:val="en-US"/>
              </w:rPr>
              <w:t>Širdies sutrikimai</w:t>
            </w:r>
          </w:p>
        </w:tc>
        <w:tc>
          <w:tcPr>
            <w:tcW w:w="1411" w:type="dxa"/>
            <w:tcBorders>
              <w:top w:val="single" w:sz="4" w:space="0" w:color="auto"/>
              <w:left w:val="single" w:sz="4" w:space="0" w:color="auto"/>
              <w:bottom w:val="single" w:sz="4" w:space="0" w:color="auto"/>
              <w:right w:val="single" w:sz="4" w:space="0" w:color="auto"/>
            </w:tcBorders>
          </w:tcPr>
          <w:p w14:paraId="58240C79" w14:textId="77777777" w:rsidR="00CA08B3" w:rsidRPr="00FB2719" w:rsidRDefault="00CA08B3">
            <w:pPr>
              <w:tabs>
                <w:tab w:val="left" w:pos="567"/>
              </w:tabs>
              <w:spacing w:line="276" w:lineRule="auto"/>
              <w:rPr>
                <w:sz w:val="22"/>
                <w:szCs w:val="22"/>
                <w:lang w:val="en-US"/>
              </w:rPr>
            </w:pPr>
            <w:r w:rsidRPr="00FB2719">
              <w:rPr>
                <w:sz w:val="22"/>
                <w:szCs w:val="22"/>
                <w:lang w:val="en-US"/>
              </w:rPr>
              <w:t>Nedažnas</w:t>
            </w:r>
          </w:p>
          <w:p w14:paraId="79FF59D1" w14:textId="77777777" w:rsidR="00CA08B3" w:rsidRPr="00FB2719" w:rsidRDefault="00CA08B3">
            <w:pPr>
              <w:tabs>
                <w:tab w:val="left" w:pos="567"/>
              </w:tabs>
              <w:spacing w:line="276" w:lineRule="auto"/>
              <w:rPr>
                <w:sz w:val="22"/>
                <w:szCs w:val="22"/>
                <w:lang w:val="en-US"/>
              </w:rPr>
            </w:pPr>
          </w:p>
          <w:p w14:paraId="54259B4A" w14:textId="77777777" w:rsidR="00CA08B3" w:rsidRPr="00FB2719" w:rsidRDefault="00CA08B3">
            <w:pPr>
              <w:tabs>
                <w:tab w:val="left" w:pos="567"/>
              </w:tabs>
              <w:spacing w:line="276" w:lineRule="auto"/>
              <w:rPr>
                <w:sz w:val="22"/>
                <w:szCs w:val="22"/>
                <w:lang w:val="en-US"/>
              </w:rPr>
            </w:pPr>
          </w:p>
        </w:tc>
        <w:tc>
          <w:tcPr>
            <w:tcW w:w="5015" w:type="dxa"/>
            <w:tcBorders>
              <w:top w:val="single" w:sz="4" w:space="0" w:color="auto"/>
              <w:left w:val="single" w:sz="4" w:space="0" w:color="auto"/>
              <w:bottom w:val="single" w:sz="4" w:space="0" w:color="auto"/>
              <w:right w:val="single" w:sz="4" w:space="0" w:color="auto"/>
            </w:tcBorders>
            <w:hideMark/>
          </w:tcPr>
          <w:p w14:paraId="41C3432B" w14:textId="77777777" w:rsidR="00CA08B3" w:rsidRPr="00FB2719" w:rsidRDefault="00CA08B3">
            <w:pPr>
              <w:tabs>
                <w:tab w:val="left" w:pos="567"/>
              </w:tabs>
              <w:spacing w:line="276" w:lineRule="auto"/>
              <w:rPr>
                <w:sz w:val="22"/>
                <w:szCs w:val="22"/>
                <w:lang w:val="en-US"/>
              </w:rPr>
            </w:pPr>
            <w:r w:rsidRPr="00FB2719">
              <w:rPr>
                <w:sz w:val="22"/>
                <w:szCs w:val="22"/>
                <w:lang w:val="en-US"/>
              </w:rPr>
              <w:t>Aterosklerozės sukeltas miokardo infarktas, atrioventrikulinė blokada, triburio vožtuvo nepakankamumas.</w:t>
            </w:r>
          </w:p>
        </w:tc>
      </w:tr>
      <w:tr w:rsidR="00CA08B3" w:rsidRPr="00FB2719" w14:paraId="6AD276C4" w14:textId="77777777" w:rsidTr="00CA08B3">
        <w:tc>
          <w:tcPr>
            <w:tcW w:w="2613" w:type="dxa"/>
            <w:tcBorders>
              <w:top w:val="single" w:sz="4" w:space="0" w:color="auto"/>
              <w:left w:val="single" w:sz="4" w:space="0" w:color="auto"/>
              <w:bottom w:val="single" w:sz="4" w:space="0" w:color="auto"/>
              <w:right w:val="single" w:sz="4" w:space="0" w:color="auto"/>
            </w:tcBorders>
            <w:hideMark/>
          </w:tcPr>
          <w:p w14:paraId="16DB311A" w14:textId="77777777" w:rsidR="00CA08B3" w:rsidRPr="00FB2719" w:rsidRDefault="00CA08B3">
            <w:pPr>
              <w:tabs>
                <w:tab w:val="left" w:pos="567"/>
              </w:tabs>
              <w:spacing w:line="276" w:lineRule="auto"/>
              <w:rPr>
                <w:sz w:val="22"/>
                <w:szCs w:val="22"/>
                <w:lang w:val="en-US"/>
              </w:rPr>
            </w:pPr>
            <w:r w:rsidRPr="00FB2719">
              <w:rPr>
                <w:sz w:val="22"/>
                <w:szCs w:val="22"/>
                <w:lang w:val="en-US"/>
              </w:rPr>
              <w:t>Kraujagyslių sutrikimai</w:t>
            </w:r>
          </w:p>
        </w:tc>
        <w:tc>
          <w:tcPr>
            <w:tcW w:w="1411" w:type="dxa"/>
            <w:tcBorders>
              <w:top w:val="single" w:sz="4" w:space="0" w:color="auto"/>
              <w:left w:val="single" w:sz="4" w:space="0" w:color="auto"/>
              <w:bottom w:val="single" w:sz="4" w:space="0" w:color="auto"/>
              <w:right w:val="single" w:sz="4" w:space="0" w:color="auto"/>
            </w:tcBorders>
          </w:tcPr>
          <w:p w14:paraId="71F76B9D" w14:textId="77777777" w:rsidR="00CA08B3" w:rsidRPr="00FB2719" w:rsidRDefault="00CA08B3">
            <w:pPr>
              <w:tabs>
                <w:tab w:val="left" w:pos="567"/>
              </w:tabs>
              <w:spacing w:line="276" w:lineRule="auto"/>
              <w:rPr>
                <w:sz w:val="22"/>
                <w:szCs w:val="22"/>
                <w:lang w:val="en-US"/>
              </w:rPr>
            </w:pPr>
            <w:r w:rsidRPr="00FB2719">
              <w:rPr>
                <w:sz w:val="22"/>
                <w:szCs w:val="22"/>
                <w:lang w:val="en-US"/>
              </w:rPr>
              <w:t>Dažnas</w:t>
            </w:r>
          </w:p>
          <w:p w14:paraId="3BE85694" w14:textId="77777777" w:rsidR="00CA08B3" w:rsidRPr="00FB2719" w:rsidRDefault="00CA08B3">
            <w:pPr>
              <w:tabs>
                <w:tab w:val="left" w:pos="567"/>
              </w:tabs>
              <w:spacing w:line="276" w:lineRule="auto"/>
              <w:rPr>
                <w:sz w:val="22"/>
                <w:szCs w:val="22"/>
                <w:lang w:val="en-US"/>
              </w:rPr>
            </w:pPr>
          </w:p>
          <w:p w14:paraId="5B4E3F02" w14:textId="77777777" w:rsidR="00CA08B3" w:rsidRPr="00FB2719" w:rsidRDefault="00CA08B3">
            <w:pPr>
              <w:tabs>
                <w:tab w:val="left" w:pos="567"/>
              </w:tabs>
              <w:spacing w:line="276" w:lineRule="auto"/>
              <w:rPr>
                <w:sz w:val="22"/>
                <w:szCs w:val="22"/>
                <w:lang w:val="en-US"/>
              </w:rPr>
            </w:pPr>
            <w:r w:rsidRPr="00FB2719">
              <w:rPr>
                <w:sz w:val="22"/>
                <w:szCs w:val="22"/>
                <w:lang w:val="en-US"/>
              </w:rPr>
              <w:t>Nedažnas</w:t>
            </w:r>
          </w:p>
        </w:tc>
        <w:tc>
          <w:tcPr>
            <w:tcW w:w="5015" w:type="dxa"/>
            <w:tcBorders>
              <w:top w:val="single" w:sz="4" w:space="0" w:color="auto"/>
              <w:left w:val="single" w:sz="4" w:space="0" w:color="auto"/>
              <w:bottom w:val="single" w:sz="4" w:space="0" w:color="auto"/>
              <w:right w:val="single" w:sz="4" w:space="0" w:color="auto"/>
            </w:tcBorders>
          </w:tcPr>
          <w:p w14:paraId="63D4285C" w14:textId="77777777" w:rsidR="00CA08B3" w:rsidRPr="00FB2719" w:rsidRDefault="00CA08B3">
            <w:pPr>
              <w:tabs>
                <w:tab w:val="left" w:pos="567"/>
              </w:tabs>
              <w:spacing w:line="276" w:lineRule="auto"/>
              <w:rPr>
                <w:sz w:val="22"/>
                <w:szCs w:val="22"/>
                <w:lang w:val="en-US"/>
              </w:rPr>
            </w:pPr>
            <w:r w:rsidRPr="00FB2719">
              <w:rPr>
                <w:sz w:val="22"/>
                <w:szCs w:val="22"/>
                <w:lang w:val="en-US"/>
              </w:rPr>
              <w:t>Hipertenzija.</w:t>
            </w:r>
          </w:p>
          <w:p w14:paraId="5D1D3C31" w14:textId="77777777" w:rsidR="00CA08B3" w:rsidRPr="00FB2719" w:rsidRDefault="00CA08B3">
            <w:pPr>
              <w:tabs>
                <w:tab w:val="left" w:pos="567"/>
              </w:tabs>
              <w:spacing w:line="276" w:lineRule="auto"/>
              <w:rPr>
                <w:sz w:val="22"/>
                <w:szCs w:val="22"/>
                <w:lang w:val="en-US"/>
              </w:rPr>
            </w:pPr>
          </w:p>
          <w:p w14:paraId="459B1DC9" w14:textId="77777777" w:rsidR="00CA08B3" w:rsidRPr="00FB2719" w:rsidRDefault="00CA08B3">
            <w:pPr>
              <w:tabs>
                <w:tab w:val="left" w:pos="567"/>
              </w:tabs>
              <w:spacing w:line="276" w:lineRule="auto"/>
              <w:rPr>
                <w:sz w:val="22"/>
                <w:szCs w:val="22"/>
                <w:lang w:val="en-US"/>
              </w:rPr>
            </w:pPr>
            <w:r w:rsidRPr="00FB2719">
              <w:rPr>
                <w:sz w:val="22"/>
                <w:szCs w:val="22"/>
                <w:lang w:val="en-US"/>
              </w:rPr>
              <w:t>Giliųjų venų trombozė.</w:t>
            </w:r>
          </w:p>
        </w:tc>
      </w:tr>
      <w:tr w:rsidR="00CA08B3" w:rsidRPr="00FB2719" w14:paraId="3BB5EBE9" w14:textId="77777777" w:rsidTr="00CA08B3">
        <w:tc>
          <w:tcPr>
            <w:tcW w:w="2613" w:type="dxa"/>
            <w:tcBorders>
              <w:top w:val="single" w:sz="4" w:space="0" w:color="auto"/>
              <w:left w:val="single" w:sz="4" w:space="0" w:color="auto"/>
              <w:bottom w:val="single" w:sz="4" w:space="0" w:color="auto"/>
              <w:right w:val="single" w:sz="4" w:space="0" w:color="auto"/>
            </w:tcBorders>
            <w:hideMark/>
          </w:tcPr>
          <w:p w14:paraId="272339BC" w14:textId="77777777" w:rsidR="00CA08B3" w:rsidRPr="00FB2719" w:rsidRDefault="00CA08B3">
            <w:pPr>
              <w:tabs>
                <w:tab w:val="left" w:pos="567"/>
              </w:tabs>
              <w:spacing w:line="276" w:lineRule="auto"/>
              <w:rPr>
                <w:sz w:val="22"/>
                <w:szCs w:val="22"/>
                <w:lang w:val="en-US"/>
              </w:rPr>
            </w:pPr>
            <w:r w:rsidRPr="00FB2719">
              <w:rPr>
                <w:sz w:val="22"/>
                <w:szCs w:val="22"/>
                <w:lang w:val="en-US"/>
              </w:rPr>
              <w:t>Virškinimo trakto sutrikimai</w:t>
            </w:r>
          </w:p>
        </w:tc>
        <w:tc>
          <w:tcPr>
            <w:tcW w:w="1411" w:type="dxa"/>
            <w:tcBorders>
              <w:top w:val="single" w:sz="4" w:space="0" w:color="auto"/>
              <w:left w:val="single" w:sz="4" w:space="0" w:color="auto"/>
              <w:bottom w:val="single" w:sz="4" w:space="0" w:color="auto"/>
              <w:right w:val="single" w:sz="4" w:space="0" w:color="auto"/>
            </w:tcBorders>
          </w:tcPr>
          <w:p w14:paraId="0D6AB6F1" w14:textId="77777777" w:rsidR="00CA08B3" w:rsidRPr="00FB2719" w:rsidRDefault="00CA08B3">
            <w:pPr>
              <w:tabs>
                <w:tab w:val="left" w:pos="567"/>
              </w:tabs>
              <w:spacing w:line="276" w:lineRule="auto"/>
              <w:rPr>
                <w:sz w:val="22"/>
                <w:szCs w:val="22"/>
                <w:lang w:val="en-US"/>
              </w:rPr>
            </w:pPr>
            <w:r w:rsidRPr="00FB2719">
              <w:rPr>
                <w:sz w:val="22"/>
                <w:szCs w:val="22"/>
                <w:lang w:val="en-US"/>
              </w:rPr>
              <w:t>Labai dažnas</w:t>
            </w:r>
          </w:p>
          <w:p w14:paraId="51F906A1" w14:textId="77777777" w:rsidR="00CA08B3" w:rsidRPr="00FB2719" w:rsidRDefault="00CA08B3">
            <w:pPr>
              <w:tabs>
                <w:tab w:val="left" w:pos="567"/>
              </w:tabs>
              <w:spacing w:line="276" w:lineRule="auto"/>
              <w:rPr>
                <w:sz w:val="22"/>
                <w:szCs w:val="22"/>
                <w:lang w:val="en-US"/>
              </w:rPr>
            </w:pPr>
          </w:p>
          <w:p w14:paraId="5980287A" w14:textId="77777777" w:rsidR="00CA08B3" w:rsidRPr="00FB2719" w:rsidRDefault="00CA08B3">
            <w:pPr>
              <w:tabs>
                <w:tab w:val="left" w:pos="567"/>
              </w:tabs>
              <w:spacing w:line="276" w:lineRule="auto"/>
              <w:rPr>
                <w:sz w:val="22"/>
                <w:szCs w:val="22"/>
                <w:lang w:val="en-US"/>
              </w:rPr>
            </w:pPr>
            <w:r w:rsidRPr="00FB2719">
              <w:rPr>
                <w:sz w:val="22"/>
                <w:szCs w:val="22"/>
                <w:lang w:val="en-US"/>
              </w:rPr>
              <w:t>Dažnas</w:t>
            </w:r>
          </w:p>
          <w:p w14:paraId="249DAFEE" w14:textId="77777777" w:rsidR="00CA08B3" w:rsidRPr="00FB2719" w:rsidRDefault="00CA08B3">
            <w:pPr>
              <w:tabs>
                <w:tab w:val="left" w:pos="567"/>
              </w:tabs>
              <w:spacing w:line="276" w:lineRule="auto"/>
              <w:rPr>
                <w:sz w:val="22"/>
                <w:szCs w:val="22"/>
                <w:lang w:val="en-US"/>
              </w:rPr>
            </w:pPr>
          </w:p>
          <w:p w14:paraId="50730E9C" w14:textId="77777777" w:rsidR="00CA08B3" w:rsidRPr="00FB2719" w:rsidRDefault="00CA08B3">
            <w:pPr>
              <w:tabs>
                <w:tab w:val="left" w:pos="567"/>
              </w:tabs>
              <w:spacing w:line="276" w:lineRule="auto"/>
              <w:rPr>
                <w:sz w:val="22"/>
                <w:szCs w:val="22"/>
                <w:lang w:val="en-US"/>
              </w:rPr>
            </w:pPr>
          </w:p>
          <w:p w14:paraId="690445A5" w14:textId="77777777" w:rsidR="00CA08B3" w:rsidRPr="00FB2719" w:rsidRDefault="00CA08B3">
            <w:pPr>
              <w:tabs>
                <w:tab w:val="left" w:pos="567"/>
              </w:tabs>
              <w:spacing w:line="276" w:lineRule="auto"/>
              <w:rPr>
                <w:sz w:val="22"/>
                <w:szCs w:val="22"/>
                <w:lang w:val="en-US"/>
              </w:rPr>
            </w:pPr>
          </w:p>
          <w:p w14:paraId="63F0B603" w14:textId="77777777" w:rsidR="00CA08B3" w:rsidRPr="00FB2719" w:rsidRDefault="00CA08B3">
            <w:pPr>
              <w:tabs>
                <w:tab w:val="left" w:pos="567"/>
              </w:tabs>
              <w:spacing w:line="276" w:lineRule="auto"/>
              <w:rPr>
                <w:sz w:val="22"/>
                <w:szCs w:val="22"/>
                <w:lang w:val="en-US"/>
              </w:rPr>
            </w:pPr>
          </w:p>
          <w:p w14:paraId="24838096" w14:textId="77777777" w:rsidR="00CA08B3" w:rsidRPr="00FB2719" w:rsidRDefault="00CA08B3">
            <w:pPr>
              <w:tabs>
                <w:tab w:val="left" w:pos="567"/>
              </w:tabs>
              <w:spacing w:line="276" w:lineRule="auto"/>
              <w:rPr>
                <w:sz w:val="22"/>
                <w:szCs w:val="22"/>
                <w:lang w:val="en-US"/>
              </w:rPr>
            </w:pPr>
            <w:r w:rsidRPr="00FB2719">
              <w:rPr>
                <w:sz w:val="22"/>
                <w:szCs w:val="22"/>
                <w:lang w:val="en-US"/>
              </w:rPr>
              <w:t>Nedažnas</w:t>
            </w:r>
          </w:p>
          <w:p w14:paraId="63E8B8C1" w14:textId="77777777" w:rsidR="00CA08B3" w:rsidRPr="00FB2719" w:rsidRDefault="00CA08B3">
            <w:pPr>
              <w:tabs>
                <w:tab w:val="left" w:pos="567"/>
              </w:tabs>
              <w:spacing w:line="276" w:lineRule="auto"/>
              <w:rPr>
                <w:sz w:val="22"/>
                <w:szCs w:val="22"/>
                <w:lang w:val="en-US"/>
              </w:rPr>
            </w:pPr>
          </w:p>
        </w:tc>
        <w:tc>
          <w:tcPr>
            <w:tcW w:w="5015" w:type="dxa"/>
            <w:tcBorders>
              <w:top w:val="single" w:sz="4" w:space="0" w:color="auto"/>
              <w:left w:val="single" w:sz="4" w:space="0" w:color="auto"/>
              <w:bottom w:val="single" w:sz="4" w:space="0" w:color="auto"/>
              <w:right w:val="single" w:sz="4" w:space="0" w:color="auto"/>
            </w:tcBorders>
          </w:tcPr>
          <w:p w14:paraId="7204C224" w14:textId="77777777" w:rsidR="00CA08B3" w:rsidRPr="00FB2719" w:rsidRDefault="00CA08B3">
            <w:pPr>
              <w:tabs>
                <w:tab w:val="left" w:pos="567"/>
              </w:tabs>
              <w:spacing w:line="276" w:lineRule="auto"/>
              <w:rPr>
                <w:sz w:val="22"/>
                <w:szCs w:val="22"/>
                <w:lang w:val="en-US"/>
              </w:rPr>
            </w:pPr>
            <w:r w:rsidRPr="00FB2719">
              <w:rPr>
                <w:sz w:val="22"/>
                <w:szCs w:val="22"/>
                <w:lang w:val="en-US"/>
              </w:rPr>
              <w:t>Viduriavimas, pykinimas.</w:t>
            </w:r>
          </w:p>
          <w:p w14:paraId="3B98CCD9" w14:textId="77777777" w:rsidR="00CA08B3" w:rsidRPr="00FB2719" w:rsidRDefault="00CA08B3">
            <w:pPr>
              <w:tabs>
                <w:tab w:val="left" w:pos="567"/>
              </w:tabs>
              <w:spacing w:line="276" w:lineRule="auto"/>
              <w:rPr>
                <w:sz w:val="22"/>
                <w:szCs w:val="22"/>
                <w:lang w:val="en-US"/>
              </w:rPr>
            </w:pPr>
          </w:p>
          <w:p w14:paraId="6FF77EB7" w14:textId="77777777" w:rsidR="00CA08B3" w:rsidRPr="00FB2719" w:rsidRDefault="00CA08B3">
            <w:pPr>
              <w:tabs>
                <w:tab w:val="left" w:pos="567"/>
              </w:tabs>
              <w:spacing w:line="276" w:lineRule="auto"/>
              <w:rPr>
                <w:sz w:val="22"/>
                <w:szCs w:val="22"/>
                <w:lang w:val="en-US"/>
              </w:rPr>
            </w:pPr>
            <w:r w:rsidRPr="00FB2719">
              <w:rPr>
                <w:sz w:val="22"/>
                <w:szCs w:val="22"/>
                <w:lang w:val="en-US"/>
              </w:rPr>
              <w:t>Pankreatitas</w:t>
            </w:r>
            <w:r w:rsidRPr="00FB2719">
              <w:rPr>
                <w:sz w:val="22"/>
                <w:szCs w:val="22"/>
                <w:vertAlign w:val="superscript"/>
                <w:lang w:val="en-US"/>
              </w:rPr>
              <w:t>1</w:t>
            </w:r>
            <w:r w:rsidRPr="00FB2719">
              <w:rPr>
                <w:sz w:val="22"/>
                <w:szCs w:val="22"/>
                <w:lang w:val="en-US"/>
              </w:rPr>
              <w:t>, vėmimas, gastroezofaginio refliukso liga, gastroenteritas ir kolitas, pilvo skausmai (viršutinės ir apatinės dalies), pilvo pūtimas, dispepsija, hemorojus, dujų susikaupimas žarnyne.</w:t>
            </w:r>
          </w:p>
          <w:p w14:paraId="04C5232D" w14:textId="77777777" w:rsidR="00CA08B3" w:rsidRPr="00FB2719" w:rsidRDefault="00CA08B3">
            <w:pPr>
              <w:tabs>
                <w:tab w:val="left" w:pos="567"/>
              </w:tabs>
              <w:spacing w:line="276" w:lineRule="auto"/>
              <w:rPr>
                <w:sz w:val="22"/>
                <w:szCs w:val="22"/>
                <w:lang w:val="en-US"/>
              </w:rPr>
            </w:pPr>
          </w:p>
          <w:p w14:paraId="19E33005" w14:textId="33F530EF" w:rsidR="00CA08B3" w:rsidRPr="00FB2719" w:rsidRDefault="00CA08B3" w:rsidP="00D5541E">
            <w:pPr>
              <w:tabs>
                <w:tab w:val="left" w:pos="567"/>
              </w:tabs>
              <w:spacing w:line="276" w:lineRule="auto"/>
              <w:rPr>
                <w:sz w:val="22"/>
                <w:szCs w:val="22"/>
                <w:lang w:val="en-US"/>
              </w:rPr>
            </w:pPr>
            <w:r w:rsidRPr="00FB2719">
              <w:rPr>
                <w:sz w:val="22"/>
                <w:szCs w:val="22"/>
                <w:lang w:val="en-US"/>
              </w:rPr>
              <w:t>Kraujavimas iš virškinimo trakto, įskaitant kraujavimą iš virškinimo trakto opos, dvylikapirštės žarnos uždegimas, gastritas ir kraujavimas iš tiesiosios žarnos, stomatitas ir burnos ertmės opos, išmatų nelaikymas, vidurių užkietėjimas, burnos sausmė.</w:t>
            </w:r>
          </w:p>
        </w:tc>
      </w:tr>
      <w:tr w:rsidR="00CA08B3" w:rsidRPr="00FB2719" w14:paraId="5711FCBB" w14:textId="77777777" w:rsidTr="00CA08B3">
        <w:tc>
          <w:tcPr>
            <w:tcW w:w="2613" w:type="dxa"/>
            <w:tcBorders>
              <w:top w:val="single" w:sz="4" w:space="0" w:color="auto"/>
              <w:left w:val="single" w:sz="4" w:space="0" w:color="auto"/>
              <w:bottom w:val="single" w:sz="4" w:space="0" w:color="auto"/>
              <w:right w:val="single" w:sz="4" w:space="0" w:color="auto"/>
            </w:tcBorders>
            <w:hideMark/>
          </w:tcPr>
          <w:p w14:paraId="4D28170C" w14:textId="77777777" w:rsidR="00CA08B3" w:rsidRPr="00FB2719" w:rsidRDefault="00CA08B3">
            <w:pPr>
              <w:tabs>
                <w:tab w:val="left" w:pos="567"/>
              </w:tabs>
              <w:spacing w:line="276" w:lineRule="auto"/>
              <w:rPr>
                <w:sz w:val="22"/>
                <w:szCs w:val="22"/>
              </w:rPr>
            </w:pPr>
            <w:r w:rsidRPr="00FB2719">
              <w:rPr>
                <w:sz w:val="22"/>
                <w:szCs w:val="22"/>
              </w:rPr>
              <w:t>Kepenų, tulžies pūslės ir latakų sutrikimai</w:t>
            </w:r>
          </w:p>
        </w:tc>
        <w:tc>
          <w:tcPr>
            <w:tcW w:w="1411" w:type="dxa"/>
            <w:tcBorders>
              <w:top w:val="single" w:sz="4" w:space="0" w:color="auto"/>
              <w:left w:val="single" w:sz="4" w:space="0" w:color="auto"/>
              <w:bottom w:val="single" w:sz="4" w:space="0" w:color="auto"/>
              <w:right w:val="single" w:sz="4" w:space="0" w:color="auto"/>
            </w:tcBorders>
          </w:tcPr>
          <w:p w14:paraId="1608F331" w14:textId="77777777" w:rsidR="00CA08B3" w:rsidRPr="00FB2719" w:rsidRDefault="00CA08B3">
            <w:pPr>
              <w:tabs>
                <w:tab w:val="left" w:pos="567"/>
              </w:tabs>
              <w:spacing w:line="276" w:lineRule="auto"/>
              <w:rPr>
                <w:sz w:val="22"/>
                <w:szCs w:val="22"/>
                <w:lang w:val="en-US"/>
              </w:rPr>
            </w:pPr>
            <w:r w:rsidRPr="00FB2719">
              <w:rPr>
                <w:sz w:val="22"/>
                <w:szCs w:val="22"/>
                <w:lang w:val="en-US"/>
              </w:rPr>
              <w:t>Dažnas</w:t>
            </w:r>
          </w:p>
          <w:p w14:paraId="70664B61" w14:textId="77777777" w:rsidR="00CA08B3" w:rsidRPr="00FB2719" w:rsidRDefault="00CA08B3">
            <w:pPr>
              <w:tabs>
                <w:tab w:val="left" w:pos="567"/>
              </w:tabs>
              <w:spacing w:line="276" w:lineRule="auto"/>
              <w:rPr>
                <w:sz w:val="22"/>
                <w:szCs w:val="22"/>
                <w:lang w:val="en-US"/>
              </w:rPr>
            </w:pPr>
          </w:p>
          <w:p w14:paraId="1F66CB5D" w14:textId="77777777" w:rsidR="00CA08B3" w:rsidRPr="00FB2719" w:rsidRDefault="00CA08B3">
            <w:pPr>
              <w:tabs>
                <w:tab w:val="left" w:pos="567"/>
              </w:tabs>
              <w:spacing w:line="276" w:lineRule="auto"/>
              <w:rPr>
                <w:sz w:val="22"/>
                <w:szCs w:val="22"/>
                <w:lang w:val="en-US"/>
              </w:rPr>
            </w:pPr>
          </w:p>
          <w:p w14:paraId="459483D4" w14:textId="77777777" w:rsidR="00CA08B3" w:rsidRPr="00FB2719" w:rsidRDefault="00CA08B3">
            <w:pPr>
              <w:tabs>
                <w:tab w:val="left" w:pos="567"/>
              </w:tabs>
              <w:spacing w:line="276" w:lineRule="auto"/>
              <w:rPr>
                <w:sz w:val="22"/>
                <w:szCs w:val="22"/>
                <w:lang w:val="en-US"/>
              </w:rPr>
            </w:pPr>
            <w:r w:rsidRPr="00FB2719">
              <w:rPr>
                <w:sz w:val="22"/>
                <w:szCs w:val="22"/>
                <w:lang w:val="en-US"/>
              </w:rPr>
              <w:t>Nedažnas</w:t>
            </w:r>
          </w:p>
          <w:p w14:paraId="6D923C12" w14:textId="77777777" w:rsidR="00CA08B3" w:rsidRPr="00FB2719" w:rsidRDefault="00CA08B3">
            <w:pPr>
              <w:tabs>
                <w:tab w:val="left" w:pos="567"/>
              </w:tabs>
              <w:spacing w:line="276" w:lineRule="auto"/>
              <w:rPr>
                <w:sz w:val="22"/>
                <w:szCs w:val="22"/>
                <w:lang w:val="en-US"/>
              </w:rPr>
            </w:pPr>
          </w:p>
          <w:p w14:paraId="1E177980" w14:textId="77777777" w:rsidR="00CA08B3" w:rsidRPr="00FB2719" w:rsidRDefault="00CA08B3">
            <w:pPr>
              <w:tabs>
                <w:tab w:val="left" w:pos="567"/>
              </w:tabs>
              <w:spacing w:line="276" w:lineRule="auto"/>
              <w:rPr>
                <w:sz w:val="22"/>
                <w:szCs w:val="22"/>
                <w:lang w:val="en-US"/>
              </w:rPr>
            </w:pPr>
          </w:p>
          <w:p w14:paraId="059CD9D4" w14:textId="77777777" w:rsidR="00CA08B3" w:rsidRPr="00FB2719" w:rsidRDefault="00CA08B3">
            <w:pPr>
              <w:tabs>
                <w:tab w:val="left" w:pos="567"/>
              </w:tabs>
              <w:spacing w:line="276" w:lineRule="auto"/>
              <w:rPr>
                <w:sz w:val="22"/>
                <w:szCs w:val="22"/>
                <w:lang w:val="en-US"/>
              </w:rPr>
            </w:pPr>
            <w:r w:rsidRPr="00FB2719">
              <w:rPr>
                <w:sz w:val="22"/>
                <w:szCs w:val="22"/>
                <w:lang w:val="en-US"/>
              </w:rPr>
              <w:t>Dažnis nežinomas</w:t>
            </w:r>
          </w:p>
        </w:tc>
        <w:tc>
          <w:tcPr>
            <w:tcW w:w="5015" w:type="dxa"/>
            <w:tcBorders>
              <w:top w:val="single" w:sz="4" w:space="0" w:color="auto"/>
              <w:left w:val="single" w:sz="4" w:space="0" w:color="auto"/>
              <w:bottom w:val="single" w:sz="4" w:space="0" w:color="auto"/>
              <w:right w:val="single" w:sz="4" w:space="0" w:color="auto"/>
            </w:tcBorders>
          </w:tcPr>
          <w:p w14:paraId="6D5D4193" w14:textId="77777777" w:rsidR="00CA08B3" w:rsidRPr="00FB2719" w:rsidRDefault="00CA08B3">
            <w:pPr>
              <w:tabs>
                <w:tab w:val="left" w:pos="567"/>
              </w:tabs>
              <w:spacing w:line="276" w:lineRule="auto"/>
              <w:rPr>
                <w:sz w:val="22"/>
                <w:szCs w:val="22"/>
                <w:lang w:val="en-US"/>
              </w:rPr>
            </w:pPr>
            <w:r w:rsidRPr="00FB2719">
              <w:rPr>
                <w:sz w:val="22"/>
                <w:szCs w:val="22"/>
                <w:lang w:val="en-US"/>
              </w:rPr>
              <w:t>Hepatitas, įskaitant AST, ALT ir GGT aktyvumo padidėjimą.</w:t>
            </w:r>
          </w:p>
          <w:p w14:paraId="2DA9A102" w14:textId="77777777" w:rsidR="00CA08B3" w:rsidRPr="00FB2719" w:rsidRDefault="00CA08B3">
            <w:pPr>
              <w:tabs>
                <w:tab w:val="left" w:pos="567"/>
              </w:tabs>
              <w:spacing w:line="276" w:lineRule="auto"/>
              <w:rPr>
                <w:sz w:val="22"/>
                <w:szCs w:val="22"/>
                <w:lang w:val="en-US"/>
              </w:rPr>
            </w:pPr>
          </w:p>
          <w:p w14:paraId="5F92A643" w14:textId="77777777" w:rsidR="00CA08B3" w:rsidRPr="00FB2719" w:rsidRDefault="00CA08B3">
            <w:pPr>
              <w:tabs>
                <w:tab w:val="left" w:pos="567"/>
              </w:tabs>
              <w:spacing w:line="276" w:lineRule="auto"/>
              <w:rPr>
                <w:sz w:val="22"/>
                <w:szCs w:val="22"/>
                <w:lang w:val="en-US"/>
              </w:rPr>
            </w:pPr>
            <w:r w:rsidRPr="00FB2719">
              <w:rPr>
                <w:sz w:val="22"/>
                <w:szCs w:val="22"/>
                <w:lang w:val="en-US"/>
              </w:rPr>
              <w:t>Kepenų suriebėjimas, hepatomegalija, cholangitas, hiperbilirubinemija.</w:t>
            </w:r>
          </w:p>
          <w:p w14:paraId="18013EB2" w14:textId="77777777" w:rsidR="00CA08B3" w:rsidRPr="00FB2719" w:rsidRDefault="00CA08B3">
            <w:pPr>
              <w:tabs>
                <w:tab w:val="left" w:pos="567"/>
              </w:tabs>
              <w:spacing w:line="276" w:lineRule="auto"/>
              <w:rPr>
                <w:sz w:val="22"/>
                <w:szCs w:val="22"/>
                <w:lang w:val="en-US"/>
              </w:rPr>
            </w:pPr>
          </w:p>
          <w:p w14:paraId="02CEEACA" w14:textId="77777777" w:rsidR="00CA08B3" w:rsidRPr="00FB2719" w:rsidRDefault="00CA08B3">
            <w:pPr>
              <w:tabs>
                <w:tab w:val="left" w:pos="567"/>
              </w:tabs>
              <w:spacing w:line="276" w:lineRule="auto"/>
              <w:rPr>
                <w:sz w:val="22"/>
                <w:szCs w:val="22"/>
                <w:lang w:val="en-US"/>
              </w:rPr>
            </w:pPr>
            <w:r w:rsidRPr="00FB2719">
              <w:rPr>
                <w:sz w:val="22"/>
                <w:szCs w:val="22"/>
                <w:lang w:val="en-US"/>
              </w:rPr>
              <w:t>Gelta.</w:t>
            </w:r>
          </w:p>
        </w:tc>
      </w:tr>
      <w:tr w:rsidR="00CA08B3" w:rsidRPr="00FB2719" w14:paraId="34C1FAB3" w14:textId="77777777" w:rsidTr="00CA08B3">
        <w:tc>
          <w:tcPr>
            <w:tcW w:w="2613" w:type="dxa"/>
            <w:tcBorders>
              <w:top w:val="single" w:sz="4" w:space="0" w:color="auto"/>
              <w:left w:val="single" w:sz="4" w:space="0" w:color="auto"/>
              <w:bottom w:val="single" w:sz="4" w:space="0" w:color="auto"/>
              <w:right w:val="single" w:sz="4" w:space="0" w:color="auto"/>
            </w:tcBorders>
            <w:hideMark/>
          </w:tcPr>
          <w:p w14:paraId="6819785C" w14:textId="77777777" w:rsidR="00CA08B3" w:rsidRPr="00FB2719" w:rsidRDefault="00CA08B3">
            <w:pPr>
              <w:tabs>
                <w:tab w:val="left" w:pos="567"/>
              </w:tabs>
              <w:spacing w:line="276" w:lineRule="auto"/>
              <w:rPr>
                <w:sz w:val="22"/>
                <w:szCs w:val="22"/>
                <w:lang w:val="it-IT"/>
              </w:rPr>
            </w:pPr>
            <w:r w:rsidRPr="00FB2719">
              <w:rPr>
                <w:sz w:val="22"/>
                <w:szCs w:val="22"/>
                <w:lang w:val="it-IT"/>
              </w:rPr>
              <w:t>Odos ir poodinio audinio sutrikimai</w:t>
            </w:r>
          </w:p>
        </w:tc>
        <w:tc>
          <w:tcPr>
            <w:tcW w:w="1411" w:type="dxa"/>
            <w:tcBorders>
              <w:top w:val="single" w:sz="4" w:space="0" w:color="auto"/>
              <w:left w:val="single" w:sz="4" w:space="0" w:color="auto"/>
              <w:bottom w:val="single" w:sz="4" w:space="0" w:color="auto"/>
              <w:right w:val="single" w:sz="4" w:space="0" w:color="auto"/>
            </w:tcBorders>
          </w:tcPr>
          <w:p w14:paraId="342B5DE1" w14:textId="77777777" w:rsidR="00CA08B3" w:rsidRPr="00FB2719" w:rsidRDefault="00CA08B3">
            <w:pPr>
              <w:tabs>
                <w:tab w:val="left" w:pos="567"/>
              </w:tabs>
              <w:spacing w:line="276" w:lineRule="auto"/>
              <w:rPr>
                <w:sz w:val="22"/>
                <w:szCs w:val="22"/>
                <w:lang w:val="en-US"/>
              </w:rPr>
            </w:pPr>
            <w:r w:rsidRPr="00FB2719">
              <w:rPr>
                <w:sz w:val="22"/>
                <w:szCs w:val="22"/>
                <w:lang w:val="en-US"/>
              </w:rPr>
              <w:t>Dažnas</w:t>
            </w:r>
          </w:p>
          <w:p w14:paraId="7EBD4F42" w14:textId="77777777" w:rsidR="00CA08B3" w:rsidRPr="00FB2719" w:rsidRDefault="00CA08B3">
            <w:pPr>
              <w:tabs>
                <w:tab w:val="left" w:pos="567"/>
              </w:tabs>
              <w:spacing w:line="276" w:lineRule="auto"/>
              <w:rPr>
                <w:sz w:val="22"/>
                <w:szCs w:val="22"/>
                <w:lang w:val="en-US"/>
              </w:rPr>
            </w:pPr>
          </w:p>
          <w:p w14:paraId="3F96A4F7" w14:textId="77777777" w:rsidR="00CA08B3" w:rsidRPr="00FB2719" w:rsidRDefault="00CA08B3">
            <w:pPr>
              <w:tabs>
                <w:tab w:val="left" w:pos="567"/>
              </w:tabs>
              <w:spacing w:line="276" w:lineRule="auto"/>
              <w:rPr>
                <w:sz w:val="22"/>
                <w:szCs w:val="22"/>
                <w:lang w:val="en-US"/>
              </w:rPr>
            </w:pPr>
          </w:p>
          <w:p w14:paraId="114379AA" w14:textId="77777777" w:rsidR="00CA08B3" w:rsidRPr="00FB2719" w:rsidRDefault="00CA08B3">
            <w:pPr>
              <w:tabs>
                <w:tab w:val="left" w:pos="567"/>
              </w:tabs>
              <w:spacing w:line="276" w:lineRule="auto"/>
              <w:rPr>
                <w:sz w:val="22"/>
                <w:szCs w:val="22"/>
                <w:lang w:val="en-US"/>
              </w:rPr>
            </w:pPr>
          </w:p>
          <w:p w14:paraId="4A442EB3" w14:textId="77777777" w:rsidR="00CA08B3" w:rsidRPr="00FB2719" w:rsidRDefault="00CA08B3">
            <w:pPr>
              <w:tabs>
                <w:tab w:val="left" w:pos="567"/>
              </w:tabs>
              <w:spacing w:line="276" w:lineRule="auto"/>
              <w:rPr>
                <w:sz w:val="22"/>
                <w:szCs w:val="22"/>
                <w:lang w:val="en-US"/>
              </w:rPr>
            </w:pPr>
            <w:r w:rsidRPr="00FB2719">
              <w:rPr>
                <w:sz w:val="22"/>
                <w:szCs w:val="22"/>
                <w:lang w:val="en-US"/>
              </w:rPr>
              <w:t>Nedažnas</w:t>
            </w:r>
          </w:p>
          <w:p w14:paraId="34C0595A" w14:textId="77777777" w:rsidR="00CA08B3" w:rsidRPr="00FB2719" w:rsidRDefault="00CA08B3">
            <w:pPr>
              <w:tabs>
                <w:tab w:val="left" w:pos="567"/>
              </w:tabs>
              <w:spacing w:line="276" w:lineRule="auto"/>
              <w:rPr>
                <w:sz w:val="22"/>
                <w:szCs w:val="22"/>
                <w:lang w:val="en-US"/>
              </w:rPr>
            </w:pPr>
          </w:p>
          <w:p w14:paraId="5230A0BE" w14:textId="77777777" w:rsidR="00CA08B3" w:rsidRPr="00FB2719" w:rsidRDefault="00CA08B3">
            <w:pPr>
              <w:tabs>
                <w:tab w:val="left" w:pos="567"/>
              </w:tabs>
              <w:spacing w:line="276" w:lineRule="auto"/>
              <w:rPr>
                <w:sz w:val="22"/>
                <w:szCs w:val="22"/>
                <w:lang w:val="en-US"/>
              </w:rPr>
            </w:pPr>
          </w:p>
          <w:p w14:paraId="2E938B11" w14:textId="77777777" w:rsidR="00CA08B3" w:rsidRPr="00FB2719" w:rsidRDefault="00CA08B3">
            <w:pPr>
              <w:tabs>
                <w:tab w:val="left" w:pos="567"/>
              </w:tabs>
              <w:spacing w:line="276" w:lineRule="auto"/>
              <w:rPr>
                <w:sz w:val="22"/>
                <w:szCs w:val="22"/>
                <w:lang w:val="en-US"/>
              </w:rPr>
            </w:pPr>
            <w:r w:rsidRPr="00FB2719">
              <w:rPr>
                <w:sz w:val="22"/>
                <w:szCs w:val="22"/>
                <w:lang w:val="en-US"/>
              </w:rPr>
              <w:t>Dažnis nežinomas</w:t>
            </w:r>
          </w:p>
        </w:tc>
        <w:tc>
          <w:tcPr>
            <w:tcW w:w="5015" w:type="dxa"/>
            <w:tcBorders>
              <w:top w:val="single" w:sz="4" w:space="0" w:color="auto"/>
              <w:left w:val="single" w:sz="4" w:space="0" w:color="auto"/>
              <w:bottom w:val="single" w:sz="4" w:space="0" w:color="auto"/>
              <w:right w:val="single" w:sz="4" w:space="0" w:color="auto"/>
            </w:tcBorders>
          </w:tcPr>
          <w:p w14:paraId="6D4AD02F" w14:textId="77777777" w:rsidR="00CA08B3" w:rsidRPr="00FB2719" w:rsidRDefault="00C8094F">
            <w:pPr>
              <w:tabs>
                <w:tab w:val="left" w:pos="567"/>
              </w:tabs>
              <w:spacing w:line="276" w:lineRule="auto"/>
              <w:rPr>
                <w:sz w:val="22"/>
                <w:szCs w:val="22"/>
                <w:lang w:val="en-US"/>
              </w:rPr>
            </w:pPr>
            <w:r w:rsidRPr="00FB2719">
              <w:rPr>
                <w:sz w:val="22"/>
                <w:szCs w:val="22"/>
                <w:lang w:val="en-US"/>
              </w:rPr>
              <w:t>B</w:t>
            </w:r>
            <w:r w:rsidR="00CA08B3" w:rsidRPr="00FB2719">
              <w:rPr>
                <w:sz w:val="22"/>
                <w:szCs w:val="22"/>
                <w:lang w:val="en-US"/>
              </w:rPr>
              <w:t>ėrimas, įskaitant makulopapulinį išbėrimą, dermatitas/ išbėrimas, įskaitant egzemą ir seborėjinį dermatitą, naktinis prakaitavimas, niežulys.</w:t>
            </w:r>
          </w:p>
          <w:p w14:paraId="6A218013" w14:textId="77777777" w:rsidR="00CA08B3" w:rsidRPr="00FB2719" w:rsidRDefault="00CA08B3">
            <w:pPr>
              <w:tabs>
                <w:tab w:val="left" w:pos="567"/>
              </w:tabs>
              <w:spacing w:line="276" w:lineRule="auto"/>
              <w:rPr>
                <w:sz w:val="22"/>
                <w:szCs w:val="22"/>
                <w:lang w:val="en-US"/>
              </w:rPr>
            </w:pPr>
          </w:p>
          <w:p w14:paraId="223B536A" w14:textId="77777777" w:rsidR="00CA08B3" w:rsidRPr="00FB2719" w:rsidRDefault="00CA08B3">
            <w:pPr>
              <w:tabs>
                <w:tab w:val="left" w:pos="567"/>
              </w:tabs>
              <w:spacing w:line="276" w:lineRule="auto"/>
              <w:rPr>
                <w:sz w:val="22"/>
                <w:szCs w:val="22"/>
                <w:lang w:val="en-US"/>
              </w:rPr>
            </w:pPr>
            <w:r w:rsidRPr="00FB2719">
              <w:rPr>
                <w:sz w:val="22"/>
                <w:szCs w:val="22"/>
                <w:lang w:val="en-US"/>
              </w:rPr>
              <w:t>Plaukų slinkimas, kapiliaritas, vaskulitas.</w:t>
            </w:r>
          </w:p>
          <w:p w14:paraId="58FBBC4F" w14:textId="77777777" w:rsidR="00CA08B3" w:rsidRPr="00FB2719" w:rsidRDefault="00CA08B3">
            <w:pPr>
              <w:tabs>
                <w:tab w:val="left" w:pos="567"/>
              </w:tabs>
              <w:spacing w:line="276" w:lineRule="auto"/>
              <w:rPr>
                <w:sz w:val="22"/>
                <w:szCs w:val="22"/>
                <w:lang w:val="en-US"/>
              </w:rPr>
            </w:pPr>
          </w:p>
          <w:p w14:paraId="4C740262" w14:textId="77777777" w:rsidR="00CA08B3" w:rsidRPr="00FB2719" w:rsidRDefault="00CA08B3">
            <w:pPr>
              <w:tabs>
                <w:tab w:val="left" w:pos="567"/>
              </w:tabs>
              <w:spacing w:line="276" w:lineRule="auto"/>
              <w:rPr>
                <w:sz w:val="22"/>
                <w:szCs w:val="22"/>
                <w:lang w:val="en-US"/>
              </w:rPr>
            </w:pPr>
          </w:p>
          <w:p w14:paraId="198C41B8" w14:textId="77777777" w:rsidR="00CA08B3" w:rsidRPr="00FB2719" w:rsidRDefault="00CA08B3">
            <w:pPr>
              <w:tabs>
                <w:tab w:val="left" w:pos="567"/>
              </w:tabs>
              <w:spacing w:line="276" w:lineRule="auto"/>
              <w:rPr>
                <w:sz w:val="22"/>
                <w:szCs w:val="22"/>
                <w:lang w:val="en-US"/>
              </w:rPr>
            </w:pPr>
            <w:r w:rsidRPr="00FB2719">
              <w:rPr>
                <w:sz w:val="22"/>
                <w:szCs w:val="22"/>
                <w:lang w:val="en-US"/>
              </w:rPr>
              <w:t>Stivenso-Džonsono (</w:t>
            </w:r>
            <w:r w:rsidRPr="00FB2719">
              <w:rPr>
                <w:i/>
                <w:sz w:val="22"/>
                <w:szCs w:val="22"/>
                <w:lang w:val="en-US"/>
              </w:rPr>
              <w:t>Stevens-Johnson</w:t>
            </w:r>
            <w:r w:rsidRPr="00FB2719">
              <w:rPr>
                <w:sz w:val="22"/>
                <w:szCs w:val="22"/>
                <w:lang w:val="en-US"/>
              </w:rPr>
              <w:t>) sindromas, daugiaformė eritema.</w:t>
            </w:r>
          </w:p>
        </w:tc>
      </w:tr>
      <w:tr w:rsidR="00CA08B3" w:rsidRPr="00FB2719" w14:paraId="1A62C095" w14:textId="77777777" w:rsidTr="00CA08B3">
        <w:tc>
          <w:tcPr>
            <w:tcW w:w="2613" w:type="dxa"/>
            <w:tcBorders>
              <w:top w:val="single" w:sz="4" w:space="0" w:color="auto"/>
              <w:left w:val="single" w:sz="4" w:space="0" w:color="auto"/>
              <w:bottom w:val="single" w:sz="4" w:space="0" w:color="auto"/>
              <w:right w:val="single" w:sz="4" w:space="0" w:color="auto"/>
            </w:tcBorders>
            <w:hideMark/>
          </w:tcPr>
          <w:p w14:paraId="10BB6A1D" w14:textId="77777777" w:rsidR="00CA08B3" w:rsidRPr="00FB2719" w:rsidRDefault="00CA08B3">
            <w:pPr>
              <w:tabs>
                <w:tab w:val="left" w:pos="567"/>
              </w:tabs>
              <w:spacing w:line="276" w:lineRule="auto"/>
              <w:rPr>
                <w:sz w:val="22"/>
                <w:szCs w:val="22"/>
                <w:lang w:val="it-IT"/>
              </w:rPr>
            </w:pPr>
            <w:r w:rsidRPr="00FB2719">
              <w:rPr>
                <w:sz w:val="22"/>
                <w:szCs w:val="22"/>
                <w:lang w:val="it-IT"/>
              </w:rPr>
              <w:t>Skeleto, raumenų ir jungiamojo audinio sutrikimai</w:t>
            </w:r>
          </w:p>
        </w:tc>
        <w:tc>
          <w:tcPr>
            <w:tcW w:w="1411" w:type="dxa"/>
            <w:tcBorders>
              <w:top w:val="single" w:sz="4" w:space="0" w:color="auto"/>
              <w:left w:val="single" w:sz="4" w:space="0" w:color="auto"/>
              <w:bottom w:val="single" w:sz="4" w:space="0" w:color="auto"/>
              <w:right w:val="single" w:sz="4" w:space="0" w:color="auto"/>
            </w:tcBorders>
          </w:tcPr>
          <w:p w14:paraId="00E2A026" w14:textId="77777777" w:rsidR="00CA08B3" w:rsidRPr="00FB2719" w:rsidRDefault="00CA08B3">
            <w:pPr>
              <w:tabs>
                <w:tab w:val="left" w:pos="567"/>
              </w:tabs>
              <w:spacing w:line="276" w:lineRule="auto"/>
              <w:rPr>
                <w:sz w:val="22"/>
                <w:szCs w:val="22"/>
                <w:lang w:val="en-US"/>
              </w:rPr>
            </w:pPr>
            <w:r w:rsidRPr="00FB2719">
              <w:rPr>
                <w:sz w:val="22"/>
                <w:szCs w:val="22"/>
                <w:lang w:val="en-US"/>
              </w:rPr>
              <w:t>Dažnas</w:t>
            </w:r>
          </w:p>
          <w:p w14:paraId="11267B78" w14:textId="77777777" w:rsidR="00CA08B3" w:rsidRPr="00FB2719" w:rsidRDefault="00CA08B3">
            <w:pPr>
              <w:tabs>
                <w:tab w:val="left" w:pos="567"/>
              </w:tabs>
              <w:spacing w:line="276" w:lineRule="auto"/>
              <w:rPr>
                <w:sz w:val="22"/>
                <w:szCs w:val="22"/>
                <w:lang w:val="en-US"/>
              </w:rPr>
            </w:pPr>
          </w:p>
          <w:p w14:paraId="0C5B5DC6" w14:textId="77777777" w:rsidR="00CA08B3" w:rsidRPr="00FB2719" w:rsidRDefault="00CA08B3">
            <w:pPr>
              <w:tabs>
                <w:tab w:val="left" w:pos="567"/>
              </w:tabs>
              <w:spacing w:line="276" w:lineRule="auto"/>
              <w:rPr>
                <w:sz w:val="22"/>
                <w:szCs w:val="22"/>
                <w:lang w:val="en-US"/>
              </w:rPr>
            </w:pPr>
          </w:p>
          <w:p w14:paraId="2829363B" w14:textId="77777777" w:rsidR="00CA08B3" w:rsidRPr="00FB2719" w:rsidRDefault="00CA08B3">
            <w:pPr>
              <w:tabs>
                <w:tab w:val="left" w:pos="567"/>
              </w:tabs>
              <w:spacing w:line="276" w:lineRule="auto"/>
              <w:rPr>
                <w:sz w:val="22"/>
                <w:szCs w:val="22"/>
                <w:lang w:val="en-US"/>
              </w:rPr>
            </w:pPr>
          </w:p>
          <w:p w14:paraId="50124798" w14:textId="77777777" w:rsidR="00CA08B3" w:rsidRPr="00FB2719" w:rsidRDefault="00CA08B3">
            <w:pPr>
              <w:tabs>
                <w:tab w:val="left" w:pos="567"/>
              </w:tabs>
              <w:spacing w:line="276" w:lineRule="auto"/>
              <w:rPr>
                <w:sz w:val="22"/>
                <w:szCs w:val="22"/>
                <w:lang w:val="en-US"/>
              </w:rPr>
            </w:pPr>
            <w:r w:rsidRPr="00FB2719">
              <w:rPr>
                <w:sz w:val="22"/>
                <w:szCs w:val="22"/>
                <w:lang w:val="en-US"/>
              </w:rPr>
              <w:t>Nedažnas</w:t>
            </w:r>
          </w:p>
        </w:tc>
        <w:tc>
          <w:tcPr>
            <w:tcW w:w="5015" w:type="dxa"/>
            <w:tcBorders>
              <w:top w:val="single" w:sz="4" w:space="0" w:color="auto"/>
              <w:left w:val="single" w:sz="4" w:space="0" w:color="auto"/>
              <w:bottom w:val="single" w:sz="4" w:space="0" w:color="auto"/>
              <w:right w:val="single" w:sz="4" w:space="0" w:color="auto"/>
            </w:tcBorders>
          </w:tcPr>
          <w:p w14:paraId="68515F5B" w14:textId="77777777" w:rsidR="00CA08B3" w:rsidRPr="00FB2719" w:rsidRDefault="00CA08B3">
            <w:pPr>
              <w:tabs>
                <w:tab w:val="left" w:pos="567"/>
              </w:tabs>
              <w:spacing w:line="276" w:lineRule="auto"/>
              <w:rPr>
                <w:sz w:val="22"/>
                <w:szCs w:val="22"/>
                <w:lang w:val="en-US"/>
              </w:rPr>
            </w:pPr>
            <w:r w:rsidRPr="00FB2719">
              <w:rPr>
                <w:sz w:val="22"/>
                <w:szCs w:val="22"/>
                <w:lang w:val="en-US"/>
              </w:rPr>
              <w:t>Mialgija, kaulų ir raumenų skausmas, įskaitant artralgiją ir nugaros skausmą, raumenų pažeidimai, tokie, kaip silpnumas ir spazmai.</w:t>
            </w:r>
          </w:p>
          <w:p w14:paraId="14C41302" w14:textId="77777777" w:rsidR="00CA08B3" w:rsidRPr="00FB2719" w:rsidRDefault="00CA08B3">
            <w:pPr>
              <w:tabs>
                <w:tab w:val="left" w:pos="567"/>
              </w:tabs>
              <w:spacing w:line="276" w:lineRule="auto"/>
              <w:rPr>
                <w:sz w:val="22"/>
                <w:szCs w:val="22"/>
                <w:lang w:val="en-US"/>
              </w:rPr>
            </w:pPr>
          </w:p>
          <w:p w14:paraId="4119EB40" w14:textId="77777777" w:rsidR="00CA08B3" w:rsidRPr="00FB2719" w:rsidRDefault="00CA08B3">
            <w:pPr>
              <w:tabs>
                <w:tab w:val="left" w:pos="567"/>
              </w:tabs>
              <w:spacing w:line="276" w:lineRule="auto"/>
              <w:rPr>
                <w:sz w:val="22"/>
                <w:szCs w:val="22"/>
                <w:lang w:val="en-US"/>
              </w:rPr>
            </w:pPr>
            <w:r w:rsidRPr="00FB2719">
              <w:rPr>
                <w:sz w:val="22"/>
                <w:szCs w:val="22"/>
                <w:lang w:val="en-US"/>
              </w:rPr>
              <w:t>Rabdomiolizė, osteonekrozė.</w:t>
            </w:r>
          </w:p>
        </w:tc>
      </w:tr>
      <w:tr w:rsidR="00CA08B3" w:rsidRPr="00FB2719" w14:paraId="470B4D18" w14:textId="77777777" w:rsidTr="00CA08B3">
        <w:tc>
          <w:tcPr>
            <w:tcW w:w="2613" w:type="dxa"/>
            <w:tcBorders>
              <w:top w:val="single" w:sz="4" w:space="0" w:color="auto"/>
              <w:left w:val="single" w:sz="4" w:space="0" w:color="auto"/>
              <w:bottom w:val="single" w:sz="4" w:space="0" w:color="auto"/>
              <w:right w:val="single" w:sz="4" w:space="0" w:color="auto"/>
            </w:tcBorders>
            <w:hideMark/>
          </w:tcPr>
          <w:p w14:paraId="5982CECC" w14:textId="77777777" w:rsidR="00CA08B3" w:rsidRPr="00FB2719" w:rsidRDefault="00CA08B3">
            <w:pPr>
              <w:tabs>
                <w:tab w:val="left" w:pos="567"/>
              </w:tabs>
              <w:spacing w:line="276" w:lineRule="auto"/>
              <w:rPr>
                <w:sz w:val="22"/>
                <w:szCs w:val="22"/>
              </w:rPr>
            </w:pPr>
            <w:r w:rsidRPr="00FB2719">
              <w:rPr>
                <w:sz w:val="22"/>
                <w:szCs w:val="22"/>
              </w:rPr>
              <w:lastRenderedPageBreak/>
              <w:t>Inkstų ir šlapimo takų sutrikimai</w:t>
            </w:r>
          </w:p>
        </w:tc>
        <w:tc>
          <w:tcPr>
            <w:tcW w:w="1411" w:type="dxa"/>
            <w:tcBorders>
              <w:top w:val="single" w:sz="4" w:space="0" w:color="auto"/>
              <w:left w:val="single" w:sz="4" w:space="0" w:color="auto"/>
              <w:bottom w:val="single" w:sz="4" w:space="0" w:color="auto"/>
              <w:right w:val="single" w:sz="4" w:space="0" w:color="auto"/>
            </w:tcBorders>
            <w:hideMark/>
          </w:tcPr>
          <w:p w14:paraId="0A444A92" w14:textId="77777777" w:rsidR="00CA08B3" w:rsidRPr="00FB2719" w:rsidRDefault="00CA08B3">
            <w:pPr>
              <w:tabs>
                <w:tab w:val="left" w:pos="567"/>
              </w:tabs>
              <w:spacing w:line="276" w:lineRule="auto"/>
              <w:rPr>
                <w:sz w:val="22"/>
                <w:szCs w:val="22"/>
                <w:lang w:val="en-US"/>
              </w:rPr>
            </w:pPr>
            <w:r w:rsidRPr="00FB2719">
              <w:rPr>
                <w:sz w:val="22"/>
                <w:szCs w:val="22"/>
                <w:lang w:val="en-US"/>
              </w:rPr>
              <w:t>Nedažnas</w:t>
            </w:r>
          </w:p>
        </w:tc>
        <w:tc>
          <w:tcPr>
            <w:tcW w:w="5015" w:type="dxa"/>
            <w:tcBorders>
              <w:top w:val="single" w:sz="4" w:space="0" w:color="auto"/>
              <w:left w:val="single" w:sz="4" w:space="0" w:color="auto"/>
              <w:bottom w:val="single" w:sz="4" w:space="0" w:color="auto"/>
              <w:right w:val="single" w:sz="4" w:space="0" w:color="auto"/>
            </w:tcBorders>
            <w:hideMark/>
          </w:tcPr>
          <w:p w14:paraId="78ED6A13" w14:textId="77777777" w:rsidR="00CA08B3" w:rsidRPr="00FB2719" w:rsidRDefault="00CA08B3">
            <w:pPr>
              <w:tabs>
                <w:tab w:val="left" w:pos="567"/>
              </w:tabs>
              <w:spacing w:line="276" w:lineRule="auto"/>
              <w:rPr>
                <w:sz w:val="22"/>
                <w:szCs w:val="22"/>
                <w:lang w:val="es-ES"/>
              </w:rPr>
            </w:pPr>
            <w:r w:rsidRPr="00FB2719">
              <w:rPr>
                <w:sz w:val="22"/>
                <w:szCs w:val="22"/>
                <w:lang w:val="es-ES"/>
              </w:rPr>
              <w:t>Sumažėjęs kreatinino klirensas, nefritas, hematurija.</w:t>
            </w:r>
          </w:p>
        </w:tc>
      </w:tr>
      <w:tr w:rsidR="00CA08B3" w:rsidRPr="00FB2719" w14:paraId="53A43AD0" w14:textId="77777777" w:rsidTr="00CA08B3">
        <w:tc>
          <w:tcPr>
            <w:tcW w:w="2613" w:type="dxa"/>
            <w:tcBorders>
              <w:top w:val="single" w:sz="4" w:space="0" w:color="auto"/>
              <w:left w:val="single" w:sz="4" w:space="0" w:color="auto"/>
              <w:bottom w:val="single" w:sz="4" w:space="0" w:color="auto"/>
              <w:right w:val="single" w:sz="4" w:space="0" w:color="auto"/>
            </w:tcBorders>
            <w:hideMark/>
          </w:tcPr>
          <w:p w14:paraId="179964AB" w14:textId="77777777" w:rsidR="00CA08B3" w:rsidRPr="00FB2719" w:rsidRDefault="00CA08B3">
            <w:pPr>
              <w:tabs>
                <w:tab w:val="left" w:pos="567"/>
              </w:tabs>
              <w:spacing w:line="276" w:lineRule="auto"/>
              <w:rPr>
                <w:sz w:val="22"/>
                <w:szCs w:val="22"/>
                <w:lang w:val="es-ES"/>
              </w:rPr>
            </w:pPr>
            <w:r w:rsidRPr="00FB2719">
              <w:rPr>
                <w:sz w:val="22"/>
                <w:szCs w:val="22"/>
                <w:lang w:val="es-ES"/>
              </w:rPr>
              <w:t>Lytinės sistemos ir krūties sutrikimai</w:t>
            </w:r>
          </w:p>
        </w:tc>
        <w:tc>
          <w:tcPr>
            <w:tcW w:w="1411" w:type="dxa"/>
            <w:tcBorders>
              <w:top w:val="single" w:sz="4" w:space="0" w:color="auto"/>
              <w:left w:val="single" w:sz="4" w:space="0" w:color="auto"/>
              <w:bottom w:val="single" w:sz="4" w:space="0" w:color="auto"/>
              <w:right w:val="single" w:sz="4" w:space="0" w:color="auto"/>
            </w:tcBorders>
            <w:hideMark/>
          </w:tcPr>
          <w:p w14:paraId="72B7AA84" w14:textId="77777777" w:rsidR="00CA08B3" w:rsidRPr="00FB2719" w:rsidRDefault="00CA08B3">
            <w:pPr>
              <w:tabs>
                <w:tab w:val="left" w:pos="567"/>
              </w:tabs>
              <w:spacing w:line="276" w:lineRule="auto"/>
              <w:rPr>
                <w:sz w:val="22"/>
                <w:szCs w:val="22"/>
                <w:lang w:val="en-US"/>
              </w:rPr>
            </w:pPr>
            <w:r w:rsidRPr="00FB2719">
              <w:rPr>
                <w:sz w:val="22"/>
                <w:szCs w:val="22"/>
                <w:lang w:val="en-US"/>
              </w:rPr>
              <w:t>Dažnas</w:t>
            </w:r>
          </w:p>
        </w:tc>
        <w:tc>
          <w:tcPr>
            <w:tcW w:w="5015" w:type="dxa"/>
            <w:tcBorders>
              <w:top w:val="single" w:sz="4" w:space="0" w:color="auto"/>
              <w:left w:val="single" w:sz="4" w:space="0" w:color="auto"/>
              <w:bottom w:val="single" w:sz="4" w:space="0" w:color="auto"/>
              <w:right w:val="single" w:sz="4" w:space="0" w:color="auto"/>
            </w:tcBorders>
            <w:hideMark/>
          </w:tcPr>
          <w:p w14:paraId="0B158537" w14:textId="77777777" w:rsidR="00CA08B3" w:rsidRPr="00FB2719" w:rsidRDefault="00CA08B3">
            <w:pPr>
              <w:tabs>
                <w:tab w:val="left" w:pos="567"/>
              </w:tabs>
              <w:spacing w:line="276" w:lineRule="auto"/>
              <w:rPr>
                <w:sz w:val="22"/>
                <w:szCs w:val="22"/>
                <w:lang w:val="en-US"/>
              </w:rPr>
            </w:pPr>
            <w:r w:rsidRPr="00FB2719">
              <w:rPr>
                <w:sz w:val="22"/>
                <w:szCs w:val="22"/>
                <w:lang w:val="en-US"/>
              </w:rPr>
              <w:t>Erekcijos sutrikimas, mėnesinių sutrikimai - amenorėja, menoragija.</w:t>
            </w:r>
          </w:p>
        </w:tc>
      </w:tr>
      <w:tr w:rsidR="00CA08B3" w:rsidRPr="00FB2719" w14:paraId="5D35D394" w14:textId="77777777" w:rsidTr="00CA08B3">
        <w:tc>
          <w:tcPr>
            <w:tcW w:w="2613" w:type="dxa"/>
            <w:tcBorders>
              <w:top w:val="single" w:sz="4" w:space="0" w:color="auto"/>
              <w:left w:val="single" w:sz="4" w:space="0" w:color="auto"/>
              <w:bottom w:val="single" w:sz="4" w:space="0" w:color="auto"/>
              <w:right w:val="single" w:sz="4" w:space="0" w:color="auto"/>
            </w:tcBorders>
            <w:hideMark/>
          </w:tcPr>
          <w:p w14:paraId="5E71215E" w14:textId="77777777" w:rsidR="00CA08B3" w:rsidRPr="00FB2719" w:rsidRDefault="00CA08B3">
            <w:pPr>
              <w:tabs>
                <w:tab w:val="left" w:pos="567"/>
              </w:tabs>
              <w:spacing w:line="276" w:lineRule="auto"/>
              <w:rPr>
                <w:sz w:val="22"/>
                <w:szCs w:val="22"/>
              </w:rPr>
            </w:pPr>
            <w:r w:rsidRPr="00FB2719">
              <w:rPr>
                <w:sz w:val="22"/>
                <w:szCs w:val="22"/>
              </w:rPr>
              <w:t>Bendrieji sutrikimai ir vartojimo vietos pažeidimai</w:t>
            </w:r>
          </w:p>
        </w:tc>
        <w:tc>
          <w:tcPr>
            <w:tcW w:w="1411" w:type="dxa"/>
            <w:tcBorders>
              <w:top w:val="single" w:sz="4" w:space="0" w:color="auto"/>
              <w:left w:val="single" w:sz="4" w:space="0" w:color="auto"/>
              <w:bottom w:val="single" w:sz="4" w:space="0" w:color="auto"/>
              <w:right w:val="single" w:sz="4" w:space="0" w:color="auto"/>
            </w:tcBorders>
            <w:hideMark/>
          </w:tcPr>
          <w:p w14:paraId="3519EAE4" w14:textId="77777777" w:rsidR="00CA08B3" w:rsidRPr="00FB2719" w:rsidRDefault="00CA08B3">
            <w:pPr>
              <w:tabs>
                <w:tab w:val="left" w:pos="567"/>
              </w:tabs>
              <w:spacing w:line="276" w:lineRule="auto"/>
              <w:rPr>
                <w:sz w:val="22"/>
                <w:szCs w:val="22"/>
                <w:lang w:val="en-US"/>
              </w:rPr>
            </w:pPr>
            <w:r w:rsidRPr="00FB2719">
              <w:rPr>
                <w:sz w:val="22"/>
                <w:szCs w:val="22"/>
                <w:lang w:val="en-US"/>
              </w:rPr>
              <w:t>Dažnas</w:t>
            </w:r>
          </w:p>
        </w:tc>
        <w:tc>
          <w:tcPr>
            <w:tcW w:w="5015" w:type="dxa"/>
            <w:tcBorders>
              <w:top w:val="single" w:sz="4" w:space="0" w:color="auto"/>
              <w:left w:val="single" w:sz="4" w:space="0" w:color="auto"/>
              <w:bottom w:val="single" w:sz="4" w:space="0" w:color="auto"/>
              <w:right w:val="single" w:sz="4" w:space="0" w:color="auto"/>
            </w:tcBorders>
            <w:hideMark/>
          </w:tcPr>
          <w:p w14:paraId="3E54FB34" w14:textId="77777777" w:rsidR="00CA08B3" w:rsidRPr="00FB2719" w:rsidRDefault="00CA08B3">
            <w:pPr>
              <w:tabs>
                <w:tab w:val="left" w:pos="567"/>
              </w:tabs>
              <w:spacing w:line="276" w:lineRule="auto"/>
              <w:rPr>
                <w:sz w:val="22"/>
                <w:szCs w:val="22"/>
                <w:lang w:val="en-US"/>
              </w:rPr>
            </w:pPr>
            <w:r w:rsidRPr="00FB2719">
              <w:rPr>
                <w:sz w:val="22"/>
                <w:szCs w:val="22"/>
                <w:lang w:val="en-US"/>
              </w:rPr>
              <w:t>Nuovargis, įskaitant asteniją.</w:t>
            </w:r>
          </w:p>
        </w:tc>
      </w:tr>
    </w:tbl>
    <w:p w14:paraId="7502BEDC" w14:textId="77777777" w:rsidR="00CA08B3" w:rsidRPr="00FB2719" w:rsidRDefault="00CA08B3" w:rsidP="00CA08B3">
      <w:pPr>
        <w:tabs>
          <w:tab w:val="left" w:pos="567"/>
        </w:tabs>
        <w:rPr>
          <w:sz w:val="22"/>
          <w:szCs w:val="22"/>
        </w:rPr>
      </w:pPr>
      <w:r w:rsidRPr="00FB2719">
        <w:rPr>
          <w:sz w:val="22"/>
          <w:szCs w:val="22"/>
          <w:vertAlign w:val="superscript"/>
        </w:rPr>
        <w:t>1</w:t>
      </w:r>
      <w:r w:rsidRPr="00FB2719">
        <w:rPr>
          <w:sz w:val="22"/>
          <w:szCs w:val="22"/>
        </w:rPr>
        <w:t xml:space="preserve"> Žr. 4.4 skyriaus poskyrius „Kasos uždegimas“ ir „Padidėjęs lipidų kiekis“.</w:t>
      </w:r>
    </w:p>
    <w:p w14:paraId="056105EC" w14:textId="77777777" w:rsidR="00CA08B3" w:rsidRPr="00FB2719" w:rsidRDefault="00CA08B3" w:rsidP="00CA08B3">
      <w:pPr>
        <w:tabs>
          <w:tab w:val="left" w:pos="567"/>
        </w:tabs>
        <w:rPr>
          <w:sz w:val="22"/>
          <w:szCs w:val="22"/>
        </w:rPr>
      </w:pPr>
    </w:p>
    <w:p w14:paraId="762CD5EB" w14:textId="77777777" w:rsidR="00CA08B3" w:rsidRPr="00FB2719" w:rsidRDefault="00CA08B3" w:rsidP="00CA08B3">
      <w:pPr>
        <w:tabs>
          <w:tab w:val="left" w:pos="567"/>
        </w:tabs>
        <w:rPr>
          <w:sz w:val="22"/>
          <w:szCs w:val="22"/>
          <w:u w:val="single"/>
        </w:rPr>
      </w:pPr>
      <w:r w:rsidRPr="00FB2719">
        <w:rPr>
          <w:sz w:val="22"/>
          <w:szCs w:val="22"/>
          <w:u w:val="single"/>
        </w:rPr>
        <w:t>c. Atrinktų nepageidaujamų reakcijų apibūdinimas</w:t>
      </w:r>
    </w:p>
    <w:p w14:paraId="31179880" w14:textId="77777777" w:rsidR="00CA08B3" w:rsidRPr="00FB2719" w:rsidRDefault="00CA08B3" w:rsidP="00CA08B3">
      <w:pPr>
        <w:tabs>
          <w:tab w:val="left" w:pos="567"/>
        </w:tabs>
        <w:rPr>
          <w:sz w:val="22"/>
          <w:szCs w:val="22"/>
        </w:rPr>
      </w:pPr>
    </w:p>
    <w:p w14:paraId="7142315A" w14:textId="77777777" w:rsidR="00CA08B3" w:rsidRPr="00FB2719" w:rsidRDefault="00CA08B3" w:rsidP="00CA08B3">
      <w:pPr>
        <w:tabs>
          <w:tab w:val="left" w:pos="567"/>
        </w:tabs>
        <w:rPr>
          <w:sz w:val="22"/>
          <w:szCs w:val="22"/>
        </w:rPr>
      </w:pPr>
      <w:r w:rsidRPr="00FB2719">
        <w:rPr>
          <w:sz w:val="22"/>
          <w:szCs w:val="22"/>
        </w:rPr>
        <w:t>Gauta pranešimų, kad pacientams gydytiems ritonaviru, kuriems buvo paskirtos flutikazono propionato inhaliacijos arba jo skirta į nosį, pasireiškė Kušingo (</w:t>
      </w:r>
      <w:r w:rsidRPr="00FB2719">
        <w:rPr>
          <w:i/>
          <w:sz w:val="22"/>
          <w:szCs w:val="22"/>
        </w:rPr>
        <w:t>Cushing</w:t>
      </w:r>
      <w:r w:rsidRPr="00FB2719">
        <w:rPr>
          <w:sz w:val="22"/>
          <w:szCs w:val="22"/>
        </w:rPr>
        <w:t>) sindromas; tai gali pasireikšti ir vartojant kitų kortikosteroidų, kuriuose metabolizuoja P450 3A, pvz., budezonido (žr. 4.4 ir 4.5 skyrius).</w:t>
      </w:r>
    </w:p>
    <w:p w14:paraId="136C3525" w14:textId="77777777" w:rsidR="00C8094F" w:rsidRPr="00FB2719" w:rsidRDefault="00C8094F" w:rsidP="00CA08B3">
      <w:pPr>
        <w:tabs>
          <w:tab w:val="left" w:pos="567"/>
        </w:tabs>
        <w:rPr>
          <w:sz w:val="22"/>
          <w:szCs w:val="22"/>
        </w:rPr>
      </w:pPr>
    </w:p>
    <w:p w14:paraId="393F9233" w14:textId="77777777" w:rsidR="00CA08B3" w:rsidRPr="00FB2719" w:rsidRDefault="00CA08B3" w:rsidP="00CA08B3">
      <w:pPr>
        <w:tabs>
          <w:tab w:val="left" w:pos="567"/>
        </w:tabs>
        <w:rPr>
          <w:sz w:val="22"/>
          <w:szCs w:val="22"/>
        </w:rPr>
      </w:pPr>
      <w:r w:rsidRPr="00FB2719">
        <w:rPr>
          <w:sz w:val="22"/>
          <w:szCs w:val="22"/>
        </w:rPr>
        <w:t>Gauta pranešimų apie padidėjusį kreatinfosfokinazės kiekį, mialgiją, miozitą ir, retai, rabdomiolizę, vartojant proteazių inhibitorių, ypač deriniuose su nukleozidų atvirkštinės transkriptazės inhibitoriais.</w:t>
      </w:r>
    </w:p>
    <w:p w14:paraId="56D88C7D" w14:textId="77777777" w:rsidR="00C8094F" w:rsidRPr="00FB2719" w:rsidRDefault="00C8094F" w:rsidP="00C8094F">
      <w:pPr>
        <w:autoSpaceDE w:val="0"/>
        <w:autoSpaceDN w:val="0"/>
        <w:adjustRightInd w:val="0"/>
        <w:rPr>
          <w:rFonts w:eastAsiaTheme="minorHAnsi"/>
          <w:i/>
          <w:iCs/>
          <w:sz w:val="22"/>
          <w:szCs w:val="22"/>
        </w:rPr>
      </w:pPr>
    </w:p>
    <w:p w14:paraId="4C9268B5" w14:textId="77777777" w:rsidR="00C8094F" w:rsidRPr="00FB2719" w:rsidRDefault="00C8094F" w:rsidP="00C8094F">
      <w:pPr>
        <w:autoSpaceDE w:val="0"/>
        <w:autoSpaceDN w:val="0"/>
        <w:adjustRightInd w:val="0"/>
        <w:rPr>
          <w:rFonts w:eastAsiaTheme="minorHAnsi"/>
          <w:i/>
          <w:iCs/>
          <w:sz w:val="22"/>
          <w:szCs w:val="22"/>
        </w:rPr>
      </w:pPr>
      <w:r w:rsidRPr="00FB2719">
        <w:rPr>
          <w:rFonts w:eastAsiaTheme="minorHAnsi"/>
          <w:i/>
          <w:iCs/>
          <w:sz w:val="22"/>
          <w:szCs w:val="22"/>
        </w:rPr>
        <w:t>Metabolizmo rodmenys</w:t>
      </w:r>
    </w:p>
    <w:p w14:paraId="27C7C4AB" w14:textId="77777777" w:rsidR="00CA08B3" w:rsidRPr="00FB2719" w:rsidRDefault="00C8094F" w:rsidP="00AD237C">
      <w:pPr>
        <w:autoSpaceDE w:val="0"/>
        <w:autoSpaceDN w:val="0"/>
        <w:adjustRightInd w:val="0"/>
        <w:rPr>
          <w:sz w:val="22"/>
          <w:szCs w:val="22"/>
        </w:rPr>
      </w:pPr>
      <w:r w:rsidRPr="00FB2719">
        <w:rPr>
          <w:sz w:val="22"/>
          <w:szCs w:val="22"/>
        </w:rPr>
        <w:t>Gydymo antiretrovirusiniais preparatais metu gali padid</w:t>
      </w:r>
      <w:r w:rsidR="00895257" w:rsidRPr="00FB2719">
        <w:rPr>
          <w:sz w:val="22"/>
          <w:szCs w:val="22"/>
        </w:rPr>
        <w:t xml:space="preserve">ėti </w:t>
      </w:r>
      <w:r w:rsidRPr="00FB2719">
        <w:rPr>
          <w:sz w:val="22"/>
          <w:szCs w:val="22"/>
        </w:rPr>
        <w:t>k</w:t>
      </w:r>
      <w:r w:rsidR="00895257" w:rsidRPr="00FB2719">
        <w:rPr>
          <w:sz w:val="22"/>
          <w:szCs w:val="22"/>
        </w:rPr>
        <w:t>ūno masė ir lipidų bei gliukozės</w:t>
      </w:r>
      <w:r w:rsidRPr="00FB2719">
        <w:rPr>
          <w:sz w:val="22"/>
          <w:szCs w:val="22"/>
        </w:rPr>
        <w:t xml:space="preserve"> koncentracijos kraujyje (žr. 4.4 skyrių).</w:t>
      </w:r>
    </w:p>
    <w:p w14:paraId="35D09097" w14:textId="77777777" w:rsidR="00CA08B3" w:rsidRPr="00FB2719" w:rsidRDefault="00CA08B3" w:rsidP="00CA08B3">
      <w:pPr>
        <w:tabs>
          <w:tab w:val="left" w:pos="567"/>
        </w:tabs>
        <w:rPr>
          <w:sz w:val="22"/>
          <w:szCs w:val="22"/>
        </w:rPr>
      </w:pPr>
    </w:p>
    <w:p w14:paraId="1D47BABD" w14:textId="751A73FE" w:rsidR="00CA08B3" w:rsidRPr="00FB2719" w:rsidRDefault="00CA08B3" w:rsidP="00CA08B3">
      <w:pPr>
        <w:tabs>
          <w:tab w:val="left" w:pos="567"/>
        </w:tabs>
        <w:rPr>
          <w:sz w:val="22"/>
          <w:szCs w:val="22"/>
        </w:rPr>
      </w:pPr>
      <w:r w:rsidRPr="00FB2719">
        <w:rPr>
          <w:sz w:val="22"/>
          <w:szCs w:val="22"/>
        </w:rPr>
        <w:t>ŽIV infekuotiems pacientams, kuriems yra sunkus imuninės sistemos nepakankamumas, pradėjus taikyti kombinuotą antiretrovirusinį gydymą, gali pasireikšti uždegiminės reakcijos į besimptomines ar likusias oportunistines infekcijas. Taip pat buvo gauta pranešimų apie autoimuninius sutrikimus (tokius kaip Greivso (</w:t>
      </w:r>
      <w:r w:rsidRPr="00FB2719">
        <w:rPr>
          <w:i/>
          <w:sz w:val="22"/>
          <w:szCs w:val="22"/>
        </w:rPr>
        <w:t>Graves</w:t>
      </w:r>
      <w:r w:rsidRPr="00FB2719">
        <w:rPr>
          <w:sz w:val="22"/>
          <w:szCs w:val="22"/>
        </w:rPr>
        <w:t>) liga</w:t>
      </w:r>
      <w:r w:rsidR="005A5BF8" w:rsidRPr="00FB2719">
        <w:rPr>
          <w:sz w:val="22"/>
          <w:szCs w:val="22"/>
        </w:rPr>
        <w:t xml:space="preserve"> ir autoimuninis hepatitas</w:t>
      </w:r>
      <w:r w:rsidRPr="00FB2719">
        <w:rPr>
          <w:sz w:val="22"/>
          <w:szCs w:val="22"/>
        </w:rPr>
        <w:t>), nors autoimuninių sutrikimų pradžios laikas pranešimuose labai įvairus, ir šių sutrikimų gali atsirasti po daugelio mėnesių nuo gydymo paskyrimo pradžios (žr. 4.4 skyrių).</w:t>
      </w:r>
    </w:p>
    <w:p w14:paraId="63D39BE1" w14:textId="77777777" w:rsidR="00CA08B3" w:rsidRPr="00FB2719" w:rsidRDefault="00CA08B3" w:rsidP="00CA08B3">
      <w:pPr>
        <w:tabs>
          <w:tab w:val="left" w:pos="567"/>
        </w:tabs>
        <w:rPr>
          <w:sz w:val="22"/>
          <w:szCs w:val="22"/>
        </w:rPr>
      </w:pPr>
    </w:p>
    <w:p w14:paraId="481001EC" w14:textId="77777777" w:rsidR="00CA08B3" w:rsidRPr="00FB2719" w:rsidRDefault="00CA08B3" w:rsidP="00CA08B3">
      <w:pPr>
        <w:tabs>
          <w:tab w:val="left" w:pos="567"/>
        </w:tabs>
        <w:rPr>
          <w:sz w:val="22"/>
          <w:szCs w:val="22"/>
        </w:rPr>
      </w:pPr>
      <w:r w:rsidRPr="00FB2719">
        <w:rPr>
          <w:sz w:val="22"/>
          <w:szCs w:val="22"/>
        </w:rPr>
        <w:t>Buvo gauta pranešimų apie kaulų nekrozę, dažniausiai pacientams, kurie yra didelės rizikos grupėje, kurių ŽIV liga yra pažengusi ar kuriems ilgai taikomas kombinuotas antiretrovirusinis gydymas. Šio reiškinio dažnis nežinomas (žr. 4.4 skyrių).</w:t>
      </w:r>
    </w:p>
    <w:p w14:paraId="292685E4" w14:textId="77777777" w:rsidR="00CA08B3" w:rsidRPr="00FB2719" w:rsidRDefault="00CA08B3" w:rsidP="00CA08B3">
      <w:pPr>
        <w:tabs>
          <w:tab w:val="left" w:pos="567"/>
        </w:tabs>
        <w:rPr>
          <w:sz w:val="22"/>
          <w:szCs w:val="22"/>
        </w:rPr>
      </w:pPr>
    </w:p>
    <w:p w14:paraId="45EB366C" w14:textId="77777777" w:rsidR="00CA08B3" w:rsidRPr="00FB2719" w:rsidRDefault="00CA08B3" w:rsidP="00CA08B3">
      <w:pPr>
        <w:tabs>
          <w:tab w:val="left" w:pos="567"/>
        </w:tabs>
        <w:rPr>
          <w:sz w:val="22"/>
          <w:szCs w:val="22"/>
          <w:u w:val="single"/>
        </w:rPr>
      </w:pPr>
      <w:r w:rsidRPr="00FB2719">
        <w:rPr>
          <w:sz w:val="22"/>
          <w:szCs w:val="22"/>
          <w:u w:val="single"/>
        </w:rPr>
        <w:t>d. Vaikų populiacija</w:t>
      </w:r>
    </w:p>
    <w:p w14:paraId="6B93A8B8" w14:textId="77777777" w:rsidR="00CA08B3" w:rsidRPr="00FB2719" w:rsidRDefault="00CA08B3" w:rsidP="00CA08B3">
      <w:pPr>
        <w:tabs>
          <w:tab w:val="left" w:pos="567"/>
        </w:tabs>
        <w:rPr>
          <w:sz w:val="22"/>
          <w:szCs w:val="22"/>
        </w:rPr>
      </w:pPr>
    </w:p>
    <w:p w14:paraId="1ABC92BB" w14:textId="77777777" w:rsidR="00CA08B3" w:rsidRPr="00FB2719" w:rsidRDefault="00CA08B3" w:rsidP="00CA08B3">
      <w:pPr>
        <w:tabs>
          <w:tab w:val="left" w:pos="567"/>
        </w:tabs>
        <w:rPr>
          <w:sz w:val="22"/>
          <w:szCs w:val="22"/>
        </w:rPr>
      </w:pPr>
      <w:r w:rsidRPr="00FB2719">
        <w:rPr>
          <w:sz w:val="22"/>
          <w:szCs w:val="22"/>
        </w:rPr>
        <w:t>2</w:t>
      </w:r>
      <w:r w:rsidR="009B02A4" w:rsidRPr="00FB2719">
        <w:rPr>
          <w:sz w:val="22"/>
          <w:szCs w:val="22"/>
        </w:rPr>
        <w:t> </w:t>
      </w:r>
      <w:r w:rsidRPr="00FB2719">
        <w:rPr>
          <w:sz w:val="22"/>
          <w:szCs w:val="22"/>
        </w:rPr>
        <w:t>metų amžiaus arba vyresniems vaikams ir suaugusiesiems saugumo charakteristikos pobūdis yra panašus (žr. lentelę b poskyryje).</w:t>
      </w:r>
    </w:p>
    <w:p w14:paraId="4F55DB63" w14:textId="77777777" w:rsidR="00CA08B3" w:rsidRPr="00FB2719" w:rsidRDefault="00CA08B3" w:rsidP="00CA08B3">
      <w:pPr>
        <w:tabs>
          <w:tab w:val="left" w:pos="567"/>
        </w:tabs>
        <w:rPr>
          <w:sz w:val="22"/>
          <w:szCs w:val="22"/>
        </w:rPr>
      </w:pPr>
    </w:p>
    <w:p w14:paraId="2BCE3B6F" w14:textId="77777777" w:rsidR="00CA08B3" w:rsidRPr="00FB2719" w:rsidRDefault="00CA08B3" w:rsidP="00CA08B3">
      <w:pPr>
        <w:autoSpaceDE w:val="0"/>
        <w:autoSpaceDN w:val="0"/>
        <w:adjustRightInd w:val="0"/>
        <w:rPr>
          <w:sz w:val="22"/>
          <w:szCs w:val="22"/>
          <w:u w:val="single"/>
        </w:rPr>
      </w:pPr>
      <w:r w:rsidRPr="00FB2719">
        <w:rPr>
          <w:sz w:val="22"/>
          <w:szCs w:val="22"/>
          <w:u w:val="single"/>
        </w:rPr>
        <w:t>Pranešimas apie įtariamas nepageidaujamas reakcijas</w:t>
      </w:r>
    </w:p>
    <w:p w14:paraId="21CADC54" w14:textId="77777777" w:rsidR="00CA08B3" w:rsidRPr="00FB2719" w:rsidRDefault="00CA08B3" w:rsidP="00CA08B3">
      <w:pPr>
        <w:autoSpaceDE w:val="0"/>
        <w:autoSpaceDN w:val="0"/>
        <w:adjustRightInd w:val="0"/>
        <w:rPr>
          <w:sz w:val="22"/>
          <w:szCs w:val="22"/>
        </w:rPr>
      </w:pPr>
      <w:r w:rsidRPr="00FB2719">
        <w:rPr>
          <w:sz w:val="22"/>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6" w:history="1">
        <w:r w:rsidRPr="00FB2719">
          <w:rPr>
            <w:rStyle w:val="Hipersaitas"/>
            <w:rFonts w:eastAsia="SimSun"/>
            <w:sz w:val="22"/>
            <w:szCs w:val="22"/>
          </w:rPr>
          <w:t>www.vvkt.lt</w:t>
        </w:r>
      </w:hyperlink>
      <w:r w:rsidRPr="00FB2719">
        <w:rPr>
          <w:sz w:val="22"/>
          <w:szCs w:val="22"/>
        </w:rPr>
        <w:t>/ esančią formą, ir pateik</w:t>
      </w:r>
      <w:r w:rsidR="00CF6C09" w:rsidRPr="00FB2719">
        <w:rPr>
          <w:sz w:val="22"/>
          <w:szCs w:val="22"/>
        </w:rPr>
        <w:t>t</w:t>
      </w:r>
      <w:r w:rsidRPr="00FB2719">
        <w:rPr>
          <w:sz w:val="22"/>
          <w:szCs w:val="22"/>
        </w:rPr>
        <w:t>i ją Valstybinei vaistų kontrolės tarnybai prie Lietuvos Respublikos sveikatos apsaugos ministerijos</w:t>
      </w:r>
      <w:r w:rsidRPr="00FB2719">
        <w:t xml:space="preserve"> </w:t>
      </w:r>
      <w:r w:rsidRPr="00FB2719">
        <w:rPr>
          <w:sz w:val="22"/>
          <w:szCs w:val="22"/>
        </w:rPr>
        <w:t>vienu iš šių būdų: raštu (adresu Žirmūnų g. 139A, LT 09120 Vilnius), faksu (nemokamu fakso numeriu (8 800) 20 131), elektroniniu paštu (adresu NepageidaujamaR@vvkt.lt), per interneto svetainę (adresu http://www.vvkt.lt).</w:t>
      </w:r>
    </w:p>
    <w:p w14:paraId="7E735588" w14:textId="77777777" w:rsidR="00CA08B3" w:rsidRPr="00FB2719" w:rsidRDefault="00CA08B3" w:rsidP="00CA08B3">
      <w:pPr>
        <w:tabs>
          <w:tab w:val="left" w:pos="567"/>
        </w:tabs>
        <w:rPr>
          <w:sz w:val="22"/>
          <w:szCs w:val="22"/>
        </w:rPr>
      </w:pPr>
    </w:p>
    <w:p w14:paraId="29A54C80" w14:textId="77777777" w:rsidR="00CA08B3" w:rsidRPr="00FB2719" w:rsidRDefault="00CA08B3" w:rsidP="00CA08B3">
      <w:pPr>
        <w:tabs>
          <w:tab w:val="left" w:pos="567"/>
        </w:tabs>
        <w:rPr>
          <w:b/>
          <w:bCs/>
          <w:sz w:val="22"/>
          <w:szCs w:val="22"/>
        </w:rPr>
      </w:pPr>
      <w:r w:rsidRPr="00FB2719">
        <w:rPr>
          <w:b/>
          <w:bCs/>
          <w:sz w:val="22"/>
          <w:szCs w:val="22"/>
        </w:rPr>
        <w:t>4.9</w:t>
      </w:r>
      <w:r w:rsidRPr="00FB2719">
        <w:rPr>
          <w:b/>
          <w:bCs/>
          <w:sz w:val="22"/>
          <w:szCs w:val="22"/>
        </w:rPr>
        <w:tab/>
        <w:t>Perdozavimas</w:t>
      </w:r>
    </w:p>
    <w:p w14:paraId="45749B59" w14:textId="77777777" w:rsidR="00CA08B3" w:rsidRPr="00FB2719" w:rsidRDefault="00CA08B3" w:rsidP="00CA08B3">
      <w:pPr>
        <w:tabs>
          <w:tab w:val="left" w:pos="567"/>
        </w:tabs>
        <w:rPr>
          <w:b/>
          <w:bCs/>
          <w:sz w:val="22"/>
          <w:szCs w:val="22"/>
        </w:rPr>
      </w:pPr>
    </w:p>
    <w:p w14:paraId="25787ECC" w14:textId="77777777" w:rsidR="00CA08B3" w:rsidRPr="00FB2719" w:rsidRDefault="00CA08B3" w:rsidP="00CA08B3">
      <w:pPr>
        <w:tabs>
          <w:tab w:val="left" w:pos="567"/>
        </w:tabs>
        <w:rPr>
          <w:sz w:val="22"/>
          <w:szCs w:val="22"/>
        </w:rPr>
      </w:pPr>
      <w:r w:rsidRPr="00FB2719">
        <w:rPr>
          <w:sz w:val="22"/>
          <w:szCs w:val="22"/>
        </w:rPr>
        <w:t>Kol kas dar mažai yra patirties žmonėms apie ūminį lopinaviro / ritonaviro derinio perdozavimą.</w:t>
      </w:r>
    </w:p>
    <w:p w14:paraId="1AA52D4E" w14:textId="77777777" w:rsidR="00CA08B3" w:rsidRPr="00FB2719" w:rsidRDefault="00CA08B3" w:rsidP="00CA08B3">
      <w:pPr>
        <w:tabs>
          <w:tab w:val="left" w:pos="567"/>
        </w:tabs>
        <w:rPr>
          <w:sz w:val="22"/>
          <w:szCs w:val="22"/>
        </w:rPr>
      </w:pPr>
    </w:p>
    <w:p w14:paraId="4DC7D0F8" w14:textId="77777777" w:rsidR="00CA08B3" w:rsidRPr="00FB2719" w:rsidRDefault="00CA08B3" w:rsidP="00CA08B3">
      <w:pPr>
        <w:tabs>
          <w:tab w:val="left" w:pos="567"/>
        </w:tabs>
        <w:rPr>
          <w:sz w:val="22"/>
          <w:szCs w:val="22"/>
        </w:rPr>
      </w:pPr>
      <w:r w:rsidRPr="00FB2719">
        <w:rPr>
          <w:sz w:val="22"/>
          <w:szCs w:val="22"/>
        </w:rPr>
        <w:lastRenderedPageBreak/>
        <w:t>Nepageidaujami klinikiniai požymiai, pastebėti šunims, buvo seilėtekis, vėmimas ir viduriavimas / nenormalios išmatos. Pelėms, žiurkėms ar šunims pastebėti toksiškumo požymiai buvo šie: sumažėjęs aktyvumas, ataksija, išsekimas, dehidracija ir tremoras.</w:t>
      </w:r>
    </w:p>
    <w:p w14:paraId="05A88673" w14:textId="77777777" w:rsidR="00CA08B3" w:rsidRPr="00FB2719" w:rsidRDefault="00CA08B3" w:rsidP="00CA08B3">
      <w:pPr>
        <w:tabs>
          <w:tab w:val="left" w:pos="567"/>
        </w:tabs>
        <w:rPr>
          <w:sz w:val="22"/>
          <w:szCs w:val="22"/>
        </w:rPr>
      </w:pPr>
    </w:p>
    <w:p w14:paraId="2D3AA0C7" w14:textId="77777777" w:rsidR="00CA08B3" w:rsidRPr="00FB2719" w:rsidRDefault="00CA08B3" w:rsidP="00CA08B3">
      <w:pPr>
        <w:tabs>
          <w:tab w:val="left" w:pos="567"/>
        </w:tabs>
        <w:rPr>
          <w:sz w:val="22"/>
          <w:szCs w:val="22"/>
        </w:rPr>
      </w:pPr>
      <w:r w:rsidRPr="00FB2719">
        <w:rPr>
          <w:sz w:val="22"/>
          <w:szCs w:val="22"/>
        </w:rPr>
        <w:t>Perdozavus lopinaviro / ritonaviro derinio</w:t>
      </w:r>
      <w:r w:rsidR="00701016" w:rsidRPr="00FB2719">
        <w:rPr>
          <w:sz w:val="22"/>
          <w:szCs w:val="22"/>
        </w:rPr>
        <w:t>,</w:t>
      </w:r>
      <w:r w:rsidRPr="00FB2719">
        <w:rPr>
          <w:sz w:val="22"/>
          <w:szCs w:val="22"/>
        </w:rPr>
        <w:t xml:space="preserve"> </w:t>
      </w:r>
      <w:r w:rsidR="00701016" w:rsidRPr="00FB2719">
        <w:rPr>
          <w:sz w:val="22"/>
          <w:szCs w:val="22"/>
        </w:rPr>
        <w:t>s</w:t>
      </w:r>
      <w:r w:rsidRPr="00FB2719">
        <w:rPr>
          <w:sz w:val="22"/>
          <w:szCs w:val="22"/>
        </w:rPr>
        <w:t xml:space="preserve">pecifinio priešnuodžio nėra. Perdozavus lopinaviro / ritonaviro derinio, taikomos bendrosios palaikomosios priemonės, įskaitant gyvybinių požymių sekimą ir paciento klinikinės būklės įvertinimą. vertinimas. Prireikus neabsorbuotą veikliąją medžiagą galima pašalinti sukeliant vėmimą ar išplaunant skrandį. Neabsorbuotai medžiagai pašalinti taip pat galima duoti aktyvintos anglies. Kadangi Lopinavir/Ritonavir Sandoz labai baltymo, mažai tikėtina, kad dializė reikšmingai pašalintų veikliąją medžiagą. </w:t>
      </w:r>
    </w:p>
    <w:p w14:paraId="3D36B235" w14:textId="77777777" w:rsidR="00CA08B3" w:rsidRPr="00FB2719" w:rsidRDefault="00CA08B3" w:rsidP="00CA08B3">
      <w:pPr>
        <w:tabs>
          <w:tab w:val="left" w:pos="567"/>
        </w:tabs>
        <w:rPr>
          <w:sz w:val="22"/>
          <w:szCs w:val="22"/>
        </w:rPr>
      </w:pPr>
    </w:p>
    <w:p w14:paraId="765F72C4" w14:textId="77777777" w:rsidR="00CA08B3" w:rsidRPr="00FB2719" w:rsidRDefault="00CA08B3" w:rsidP="00CA08B3">
      <w:pPr>
        <w:tabs>
          <w:tab w:val="left" w:pos="567"/>
        </w:tabs>
        <w:rPr>
          <w:sz w:val="22"/>
          <w:szCs w:val="22"/>
        </w:rPr>
      </w:pPr>
    </w:p>
    <w:p w14:paraId="46C2CF66" w14:textId="77777777" w:rsidR="00CA08B3" w:rsidRPr="00FB2719" w:rsidRDefault="00CA08B3" w:rsidP="00CA08B3">
      <w:pPr>
        <w:tabs>
          <w:tab w:val="left" w:pos="567"/>
        </w:tabs>
        <w:rPr>
          <w:b/>
          <w:bCs/>
          <w:sz w:val="22"/>
          <w:szCs w:val="22"/>
        </w:rPr>
      </w:pPr>
      <w:r w:rsidRPr="00FB2719">
        <w:rPr>
          <w:b/>
          <w:bCs/>
          <w:sz w:val="22"/>
          <w:szCs w:val="22"/>
        </w:rPr>
        <w:t>5.</w:t>
      </w:r>
      <w:r w:rsidRPr="00FB2719">
        <w:rPr>
          <w:b/>
          <w:bCs/>
          <w:sz w:val="22"/>
          <w:szCs w:val="22"/>
        </w:rPr>
        <w:tab/>
        <w:t>FARMAKOLOGINĖS SAVYBĖS</w:t>
      </w:r>
    </w:p>
    <w:p w14:paraId="3A9B622F" w14:textId="77777777" w:rsidR="00CA08B3" w:rsidRPr="00FB2719" w:rsidRDefault="00CA08B3" w:rsidP="00CA08B3">
      <w:pPr>
        <w:tabs>
          <w:tab w:val="left" w:pos="567"/>
        </w:tabs>
        <w:rPr>
          <w:sz w:val="22"/>
          <w:szCs w:val="22"/>
        </w:rPr>
      </w:pPr>
    </w:p>
    <w:p w14:paraId="76126EA7" w14:textId="77777777" w:rsidR="00CA08B3" w:rsidRPr="00FB2719" w:rsidRDefault="00CA08B3" w:rsidP="00CA08B3">
      <w:pPr>
        <w:tabs>
          <w:tab w:val="left" w:pos="567"/>
        </w:tabs>
        <w:rPr>
          <w:b/>
          <w:bCs/>
          <w:sz w:val="22"/>
          <w:szCs w:val="22"/>
        </w:rPr>
      </w:pPr>
      <w:r w:rsidRPr="00FB2719">
        <w:rPr>
          <w:b/>
          <w:bCs/>
          <w:sz w:val="22"/>
          <w:szCs w:val="22"/>
        </w:rPr>
        <w:t>5.1</w:t>
      </w:r>
      <w:r w:rsidRPr="00FB2719">
        <w:rPr>
          <w:b/>
          <w:bCs/>
          <w:sz w:val="22"/>
          <w:szCs w:val="22"/>
        </w:rPr>
        <w:tab/>
        <w:t>Farmakodinaminės savybės</w:t>
      </w:r>
    </w:p>
    <w:p w14:paraId="3C2BE4BE" w14:textId="77777777" w:rsidR="00CA08B3" w:rsidRPr="00FB2719" w:rsidRDefault="00CA08B3" w:rsidP="00CA08B3">
      <w:pPr>
        <w:tabs>
          <w:tab w:val="left" w:pos="567"/>
        </w:tabs>
        <w:rPr>
          <w:b/>
          <w:bCs/>
          <w:sz w:val="22"/>
          <w:szCs w:val="22"/>
        </w:rPr>
      </w:pPr>
    </w:p>
    <w:p w14:paraId="7AF33266" w14:textId="77777777" w:rsidR="00CA08B3" w:rsidRPr="00FB2719" w:rsidRDefault="00CA08B3" w:rsidP="00CA08B3">
      <w:pPr>
        <w:tabs>
          <w:tab w:val="left" w:pos="567"/>
        </w:tabs>
        <w:rPr>
          <w:sz w:val="22"/>
          <w:szCs w:val="22"/>
        </w:rPr>
      </w:pPr>
      <w:r w:rsidRPr="00FB2719">
        <w:rPr>
          <w:sz w:val="22"/>
        </w:rPr>
        <w:t>Farmakoterapinė grupė</w:t>
      </w:r>
      <w:r w:rsidRPr="00FB2719">
        <w:rPr>
          <w:sz w:val="22"/>
          <w:szCs w:val="22"/>
        </w:rPr>
        <w:t xml:space="preserve"> – sisteminio poveikio antivirusiniai vaist</w:t>
      </w:r>
      <w:r w:rsidR="00BB3B4D" w:rsidRPr="00FB2719">
        <w:rPr>
          <w:sz w:val="22"/>
          <w:szCs w:val="22"/>
        </w:rPr>
        <w:t>iniai preparat</w:t>
      </w:r>
      <w:r w:rsidRPr="00FB2719">
        <w:rPr>
          <w:sz w:val="22"/>
          <w:szCs w:val="22"/>
        </w:rPr>
        <w:t>ai, antivirusiniai vaist</w:t>
      </w:r>
      <w:r w:rsidR="00701016" w:rsidRPr="00FB2719">
        <w:rPr>
          <w:sz w:val="22"/>
          <w:szCs w:val="22"/>
        </w:rPr>
        <w:t>iniai preparat</w:t>
      </w:r>
      <w:r w:rsidRPr="00FB2719">
        <w:rPr>
          <w:sz w:val="22"/>
          <w:szCs w:val="22"/>
        </w:rPr>
        <w:t>ai ŽIV infekcijai gydyti, deriniai, ATC kodas – J05AR10.</w:t>
      </w:r>
    </w:p>
    <w:p w14:paraId="5EE16A0A" w14:textId="77777777" w:rsidR="00CA08B3" w:rsidRPr="00FB2719" w:rsidRDefault="00CA08B3" w:rsidP="00CA08B3">
      <w:pPr>
        <w:tabs>
          <w:tab w:val="left" w:pos="567"/>
        </w:tabs>
        <w:rPr>
          <w:sz w:val="22"/>
          <w:szCs w:val="22"/>
        </w:rPr>
      </w:pPr>
    </w:p>
    <w:p w14:paraId="08ADEC8F" w14:textId="77777777" w:rsidR="0021404B" w:rsidRPr="00FB2719" w:rsidRDefault="00CA08B3" w:rsidP="00CA08B3">
      <w:pPr>
        <w:tabs>
          <w:tab w:val="left" w:pos="567"/>
        </w:tabs>
        <w:rPr>
          <w:sz w:val="22"/>
          <w:szCs w:val="22"/>
        </w:rPr>
      </w:pPr>
      <w:r w:rsidRPr="00FB2719">
        <w:rPr>
          <w:i/>
          <w:sz w:val="22"/>
          <w:szCs w:val="22"/>
          <w:u w:val="single"/>
        </w:rPr>
        <w:t>Veikimo mechanizmas</w:t>
      </w:r>
    </w:p>
    <w:p w14:paraId="1358E525" w14:textId="77777777" w:rsidR="00CA08B3" w:rsidRPr="00FB2719" w:rsidRDefault="00CA08B3" w:rsidP="00CA08B3">
      <w:pPr>
        <w:tabs>
          <w:tab w:val="left" w:pos="567"/>
        </w:tabs>
        <w:rPr>
          <w:sz w:val="22"/>
          <w:szCs w:val="22"/>
        </w:rPr>
      </w:pPr>
      <w:r w:rsidRPr="00FB2719">
        <w:rPr>
          <w:sz w:val="22"/>
          <w:szCs w:val="22"/>
        </w:rPr>
        <w:t xml:space="preserve">Antivirusinis Lopinavir/Ritonavir Sandoz aktyvumas priklauso nuo lopinaviro. Lopinaviras yra ŽIV-1 ir ŽIV-2 proteazių inhibitorius. ŽIV proteazės slopinimas užkerta kelią </w:t>
      </w:r>
      <w:r w:rsidRPr="00FB2719">
        <w:rPr>
          <w:i/>
          <w:sz w:val="22"/>
          <w:szCs w:val="22"/>
        </w:rPr>
        <w:t>gag-pol</w:t>
      </w:r>
      <w:r w:rsidRPr="00FB2719">
        <w:rPr>
          <w:sz w:val="22"/>
          <w:szCs w:val="22"/>
        </w:rPr>
        <w:t xml:space="preserve"> poliproteino skilimui, todėl formuojasi nesubrendęs, neužkrečiamas virusas.</w:t>
      </w:r>
    </w:p>
    <w:p w14:paraId="545B82F3" w14:textId="77777777" w:rsidR="00CA08B3" w:rsidRPr="00FB2719" w:rsidRDefault="00CA08B3" w:rsidP="00CA08B3">
      <w:pPr>
        <w:tabs>
          <w:tab w:val="left" w:pos="567"/>
        </w:tabs>
        <w:rPr>
          <w:sz w:val="22"/>
          <w:szCs w:val="22"/>
        </w:rPr>
      </w:pPr>
    </w:p>
    <w:p w14:paraId="55BB7B31" w14:textId="77777777" w:rsidR="0021404B" w:rsidRPr="00FB2719" w:rsidRDefault="00CA08B3" w:rsidP="00CA08B3">
      <w:pPr>
        <w:tabs>
          <w:tab w:val="left" w:pos="567"/>
        </w:tabs>
        <w:rPr>
          <w:sz w:val="22"/>
          <w:szCs w:val="22"/>
        </w:rPr>
      </w:pPr>
      <w:r w:rsidRPr="00FB2719">
        <w:rPr>
          <w:i/>
          <w:sz w:val="22"/>
          <w:u w:val="single"/>
        </w:rPr>
        <w:t>Pokyčiai elektrokardiogramoje</w:t>
      </w:r>
    </w:p>
    <w:p w14:paraId="1471FB9E" w14:textId="12E0BF5A" w:rsidR="00CA08B3" w:rsidRPr="00FB2719" w:rsidRDefault="00CA08B3" w:rsidP="00CA08B3">
      <w:pPr>
        <w:tabs>
          <w:tab w:val="left" w:pos="567"/>
        </w:tabs>
        <w:rPr>
          <w:sz w:val="22"/>
          <w:szCs w:val="22"/>
        </w:rPr>
      </w:pPr>
      <w:r w:rsidRPr="00FB2719">
        <w:rPr>
          <w:sz w:val="22"/>
          <w:szCs w:val="22"/>
        </w:rPr>
        <w:t xml:space="preserve">QTcF (koreguotas pagal </w:t>
      </w:r>
      <w:r w:rsidRPr="00FB2719">
        <w:rPr>
          <w:i/>
          <w:sz w:val="22"/>
          <w:szCs w:val="22"/>
        </w:rPr>
        <w:t>Fridericia</w:t>
      </w:r>
      <w:r w:rsidRPr="00FB2719">
        <w:rPr>
          <w:sz w:val="22"/>
          <w:szCs w:val="22"/>
        </w:rPr>
        <w:t>) buvo įvertintas atsitiktinės atrankos metodu atlikto, placebu ir aktyviu preparatu (moksifloksacinas 400</w:t>
      </w:r>
      <w:r w:rsidR="009B02A4" w:rsidRPr="00FB2719">
        <w:rPr>
          <w:sz w:val="22"/>
          <w:szCs w:val="22"/>
        </w:rPr>
        <w:t> </w:t>
      </w:r>
      <w:r w:rsidRPr="00FB2719">
        <w:rPr>
          <w:sz w:val="22"/>
          <w:szCs w:val="22"/>
        </w:rPr>
        <w:t>mg vieną kartą per parą) kontroliuojamo, kryžminio tyrimo, kuriame dalyvavusiems 39 sveikiems suaugusiesiems 3-ąją parą per 12</w:t>
      </w:r>
      <w:r w:rsidR="009B02A4" w:rsidRPr="00FB2719">
        <w:rPr>
          <w:sz w:val="22"/>
          <w:szCs w:val="22"/>
        </w:rPr>
        <w:t> </w:t>
      </w:r>
      <w:r w:rsidRPr="00FB2719">
        <w:rPr>
          <w:sz w:val="22"/>
          <w:szCs w:val="22"/>
        </w:rPr>
        <w:t>valandų buvo atlikta po 10 matavimų, metu. Didžiausias vidutinis (95</w:t>
      </w:r>
      <w:r w:rsidR="009B02A4" w:rsidRPr="00FB2719">
        <w:rPr>
          <w:sz w:val="22"/>
          <w:szCs w:val="22"/>
        </w:rPr>
        <w:t> </w:t>
      </w:r>
      <w:r w:rsidRPr="00FB2719">
        <w:rPr>
          <w:sz w:val="22"/>
          <w:szCs w:val="22"/>
        </w:rPr>
        <w:t>% viršutinė pasikliautinio intervalo riba) QTcF skirtumas, lyginant su placebo grupe, buvo 3,6 (6,3) ir 13,1(15,8), kai LPV/r dozė, atitinkamai, buvo 400</w:t>
      </w:r>
      <w:r w:rsidR="001E5E80" w:rsidRPr="00FB2719">
        <w:rPr>
          <w:sz w:val="22"/>
          <w:szCs w:val="22"/>
        </w:rPr>
        <w:t> mg</w:t>
      </w:r>
      <w:r w:rsidRPr="00FB2719">
        <w:rPr>
          <w:sz w:val="22"/>
          <w:szCs w:val="22"/>
        </w:rPr>
        <w:t>/100</w:t>
      </w:r>
      <w:r w:rsidR="009B02A4" w:rsidRPr="00FB2719">
        <w:rPr>
          <w:sz w:val="22"/>
          <w:szCs w:val="22"/>
        </w:rPr>
        <w:t> </w:t>
      </w:r>
      <w:r w:rsidRPr="00FB2719">
        <w:rPr>
          <w:sz w:val="22"/>
          <w:szCs w:val="22"/>
        </w:rPr>
        <w:t xml:space="preserve">mg du kartus per parą arba didesnė už gydomąją </w:t>
      </w:r>
      <w:r w:rsidR="001E5E80" w:rsidRPr="00FB2719">
        <w:rPr>
          <w:sz w:val="22"/>
          <w:szCs w:val="22"/>
        </w:rPr>
        <w:t>–</w:t>
      </w:r>
      <w:r w:rsidRPr="00FB2719">
        <w:rPr>
          <w:sz w:val="22"/>
          <w:szCs w:val="22"/>
        </w:rPr>
        <w:t xml:space="preserve"> 800</w:t>
      </w:r>
      <w:r w:rsidR="001E5E80" w:rsidRPr="00FB2719">
        <w:rPr>
          <w:sz w:val="22"/>
          <w:szCs w:val="22"/>
        </w:rPr>
        <w:t> mg</w:t>
      </w:r>
      <w:r w:rsidRPr="00FB2719">
        <w:rPr>
          <w:sz w:val="22"/>
          <w:szCs w:val="22"/>
        </w:rPr>
        <w:t>/200</w:t>
      </w:r>
      <w:r w:rsidR="009B02A4" w:rsidRPr="00FB2719">
        <w:rPr>
          <w:sz w:val="22"/>
          <w:szCs w:val="22"/>
        </w:rPr>
        <w:t> </w:t>
      </w:r>
      <w:r w:rsidRPr="00FB2719">
        <w:rPr>
          <w:sz w:val="22"/>
          <w:szCs w:val="22"/>
        </w:rPr>
        <w:t>mg du kartus per parą. Didelių lopinaviro ir ritonaviro dozių (800</w:t>
      </w:r>
      <w:r w:rsidR="001E5E80" w:rsidRPr="00FB2719">
        <w:rPr>
          <w:sz w:val="22"/>
          <w:szCs w:val="22"/>
        </w:rPr>
        <w:t> mg</w:t>
      </w:r>
      <w:r w:rsidRPr="00FB2719">
        <w:rPr>
          <w:sz w:val="22"/>
          <w:szCs w:val="22"/>
        </w:rPr>
        <w:t>/200</w:t>
      </w:r>
      <w:r w:rsidR="009B02A4" w:rsidRPr="00FB2719">
        <w:rPr>
          <w:sz w:val="22"/>
          <w:szCs w:val="22"/>
        </w:rPr>
        <w:t> </w:t>
      </w:r>
      <w:r w:rsidRPr="00FB2719">
        <w:rPr>
          <w:sz w:val="22"/>
          <w:szCs w:val="22"/>
        </w:rPr>
        <w:t>mg du kartus per parą) sukeltas QRS intervalo pailgėjimas nuo 6</w:t>
      </w:r>
      <w:r w:rsidR="009B02A4" w:rsidRPr="00FB2719">
        <w:rPr>
          <w:sz w:val="22"/>
          <w:szCs w:val="22"/>
        </w:rPr>
        <w:t> </w:t>
      </w:r>
      <w:r w:rsidRPr="00FB2719">
        <w:rPr>
          <w:sz w:val="22"/>
          <w:szCs w:val="22"/>
        </w:rPr>
        <w:t>ms iki 9,5</w:t>
      </w:r>
      <w:r w:rsidR="009B02A4" w:rsidRPr="00FB2719">
        <w:rPr>
          <w:sz w:val="22"/>
          <w:szCs w:val="22"/>
        </w:rPr>
        <w:t> </w:t>
      </w:r>
      <w:r w:rsidRPr="00FB2719">
        <w:rPr>
          <w:sz w:val="22"/>
          <w:szCs w:val="22"/>
        </w:rPr>
        <w:t>ms prisideda prie QT pailgėjimo. Skiriant šiais dviem gydymo režimais 3-ąją parą susidarė vidutiniškai 1,5 ir 3 kartus didesnės koncentracijos, lyginant su ta pusiausvyrine koncentracija, kuri susidaro vartojant rekomenduojamas LPV/r dozes vieną arba du kartus per parą. Nei vienam asmeniui QTcF nepailgėjo ≥</w:t>
      </w:r>
      <w:r w:rsidR="009B02A4" w:rsidRPr="00FB2719">
        <w:rPr>
          <w:sz w:val="22"/>
          <w:szCs w:val="22"/>
        </w:rPr>
        <w:t> </w:t>
      </w:r>
      <w:r w:rsidRPr="00FB2719">
        <w:rPr>
          <w:sz w:val="22"/>
          <w:szCs w:val="22"/>
        </w:rPr>
        <w:t>60</w:t>
      </w:r>
      <w:r w:rsidR="009B02A4" w:rsidRPr="00FB2719">
        <w:rPr>
          <w:sz w:val="22"/>
          <w:szCs w:val="22"/>
        </w:rPr>
        <w:t> </w:t>
      </w:r>
      <w:r w:rsidRPr="00FB2719">
        <w:rPr>
          <w:sz w:val="22"/>
          <w:szCs w:val="22"/>
        </w:rPr>
        <w:t>ms, lyginant su pradine verte, ar nepailgėjo tiek, kad viršytų galimai kliniškai reikšmingą 500</w:t>
      </w:r>
      <w:r w:rsidR="009B02A4" w:rsidRPr="00FB2719">
        <w:rPr>
          <w:sz w:val="22"/>
          <w:szCs w:val="22"/>
        </w:rPr>
        <w:t> </w:t>
      </w:r>
      <w:r w:rsidRPr="00FB2719">
        <w:rPr>
          <w:sz w:val="22"/>
          <w:szCs w:val="22"/>
        </w:rPr>
        <w:t>ms ribą.</w:t>
      </w:r>
    </w:p>
    <w:p w14:paraId="73CE96B1" w14:textId="77777777" w:rsidR="00CA08B3" w:rsidRPr="00FB2719" w:rsidRDefault="00CA08B3" w:rsidP="00CA08B3">
      <w:pPr>
        <w:tabs>
          <w:tab w:val="left" w:pos="567"/>
        </w:tabs>
        <w:rPr>
          <w:sz w:val="22"/>
          <w:szCs w:val="22"/>
        </w:rPr>
      </w:pPr>
      <w:r w:rsidRPr="00FB2719">
        <w:rPr>
          <w:sz w:val="22"/>
          <w:szCs w:val="22"/>
        </w:rPr>
        <w:t>To paties tyrimo 3-ąją parą lopinavirą ir ritonavirą vartojusiems asmenims stebėtas nedidelis PR intervalo pailgėjimas. Vidutinis PR intervalo trukmės pokytis, lyginant su pradine verte, svyravo nuo 11,6</w:t>
      </w:r>
      <w:r w:rsidR="009B02A4" w:rsidRPr="00FB2719">
        <w:rPr>
          <w:sz w:val="22"/>
          <w:szCs w:val="22"/>
        </w:rPr>
        <w:t> </w:t>
      </w:r>
      <w:r w:rsidRPr="00FB2719">
        <w:rPr>
          <w:sz w:val="22"/>
          <w:szCs w:val="22"/>
        </w:rPr>
        <w:t>ms iki 24,4</w:t>
      </w:r>
      <w:r w:rsidR="009B02A4" w:rsidRPr="00FB2719">
        <w:rPr>
          <w:sz w:val="22"/>
          <w:szCs w:val="22"/>
        </w:rPr>
        <w:t> </w:t>
      </w:r>
      <w:r w:rsidRPr="00FB2719">
        <w:rPr>
          <w:sz w:val="22"/>
          <w:szCs w:val="22"/>
        </w:rPr>
        <w:t>ms per 12</w:t>
      </w:r>
      <w:r w:rsidR="009B02A4" w:rsidRPr="00FB2719">
        <w:rPr>
          <w:sz w:val="22"/>
          <w:szCs w:val="22"/>
        </w:rPr>
        <w:t> </w:t>
      </w:r>
      <w:r w:rsidRPr="00FB2719">
        <w:rPr>
          <w:sz w:val="22"/>
          <w:szCs w:val="22"/>
        </w:rPr>
        <w:t>val. po dozės pavartojimo. Didžiausia PR intervalo trukmė buvo 286</w:t>
      </w:r>
      <w:r w:rsidR="009B02A4" w:rsidRPr="00FB2719">
        <w:rPr>
          <w:sz w:val="22"/>
          <w:szCs w:val="22"/>
        </w:rPr>
        <w:t> </w:t>
      </w:r>
      <w:r w:rsidRPr="00FB2719">
        <w:rPr>
          <w:sz w:val="22"/>
          <w:szCs w:val="22"/>
        </w:rPr>
        <w:t>ms, antro ar trečio laipsnio širdies blokados nepastebėta (žr. 4.4 skyrių).</w:t>
      </w:r>
    </w:p>
    <w:p w14:paraId="5777EA47" w14:textId="77777777" w:rsidR="00CA08B3" w:rsidRPr="00FB2719" w:rsidRDefault="00CA08B3" w:rsidP="00CA08B3">
      <w:pPr>
        <w:tabs>
          <w:tab w:val="left" w:pos="567"/>
        </w:tabs>
        <w:rPr>
          <w:i/>
          <w:sz w:val="22"/>
          <w:szCs w:val="22"/>
        </w:rPr>
      </w:pPr>
    </w:p>
    <w:p w14:paraId="2E6387E0" w14:textId="77777777" w:rsidR="0021404B" w:rsidRPr="00FB2719" w:rsidRDefault="00CA08B3" w:rsidP="00CA08B3">
      <w:pPr>
        <w:tabs>
          <w:tab w:val="left" w:pos="567"/>
        </w:tabs>
        <w:rPr>
          <w:sz w:val="22"/>
          <w:szCs w:val="22"/>
        </w:rPr>
      </w:pPr>
      <w:r w:rsidRPr="00FB2719">
        <w:rPr>
          <w:i/>
          <w:sz w:val="22"/>
          <w:szCs w:val="22"/>
          <w:u w:val="single"/>
        </w:rPr>
        <w:t>Antivirusinis poveikis in vitro</w:t>
      </w:r>
    </w:p>
    <w:p w14:paraId="3B606D4C" w14:textId="77777777" w:rsidR="00CA08B3" w:rsidRPr="00FB2719" w:rsidRDefault="00CA08B3" w:rsidP="00CA08B3">
      <w:pPr>
        <w:tabs>
          <w:tab w:val="left" w:pos="567"/>
        </w:tabs>
        <w:rPr>
          <w:sz w:val="22"/>
          <w:szCs w:val="22"/>
        </w:rPr>
      </w:pPr>
      <w:r w:rsidRPr="00FB2719">
        <w:rPr>
          <w:sz w:val="22"/>
          <w:szCs w:val="22"/>
        </w:rPr>
        <w:t xml:space="preserve">Antivirusinis lopinaviro poveikis </w:t>
      </w:r>
      <w:r w:rsidRPr="00FB2719">
        <w:rPr>
          <w:i/>
          <w:sz w:val="22"/>
          <w:szCs w:val="22"/>
        </w:rPr>
        <w:t>in vitro</w:t>
      </w:r>
      <w:r w:rsidRPr="00FB2719">
        <w:rPr>
          <w:sz w:val="22"/>
          <w:szCs w:val="22"/>
        </w:rPr>
        <w:t xml:space="preserve"> laboratorinėms ir klinikinėms ŽIV padermėms tirtas atitinkamai ūmiai infekuotuose limfoblastinėse ląstelėse ir periferinio kraujo limfocituose. Be žmogaus serumo, vidutinė slopinamoji lopinaviro koncentracija (IC</w:t>
      </w:r>
      <w:r w:rsidRPr="00FB2719">
        <w:rPr>
          <w:sz w:val="22"/>
          <w:szCs w:val="22"/>
          <w:vertAlign w:val="subscript"/>
        </w:rPr>
        <w:t>50</w:t>
      </w:r>
      <w:r w:rsidRPr="00FB2719">
        <w:rPr>
          <w:sz w:val="22"/>
          <w:szCs w:val="22"/>
        </w:rPr>
        <w:t>) penkioms skirtingoms laboratorinėms ŽIV-1 padermėms buvo 19</w:t>
      </w:r>
      <w:r w:rsidR="009B02A4" w:rsidRPr="00FB2719">
        <w:rPr>
          <w:sz w:val="22"/>
          <w:szCs w:val="22"/>
        </w:rPr>
        <w:t> </w:t>
      </w:r>
      <w:r w:rsidRPr="00FB2719">
        <w:rPr>
          <w:sz w:val="22"/>
          <w:szCs w:val="22"/>
        </w:rPr>
        <w:t>nM. Be žmogaus serumo ir esant 50</w:t>
      </w:r>
      <w:r w:rsidR="009B02A4" w:rsidRPr="00FB2719">
        <w:rPr>
          <w:sz w:val="22"/>
          <w:szCs w:val="22"/>
        </w:rPr>
        <w:t> </w:t>
      </w:r>
      <w:r w:rsidRPr="00FB2719">
        <w:rPr>
          <w:sz w:val="22"/>
          <w:szCs w:val="22"/>
        </w:rPr>
        <w:t>% žmogaus serumo koncentracijai, vidutinė lopinaviro IC</w:t>
      </w:r>
      <w:r w:rsidRPr="00FB2719">
        <w:rPr>
          <w:sz w:val="22"/>
          <w:szCs w:val="22"/>
          <w:vertAlign w:val="subscript"/>
        </w:rPr>
        <w:t>50</w:t>
      </w:r>
      <w:r w:rsidRPr="00FB2719">
        <w:rPr>
          <w:sz w:val="22"/>
          <w:szCs w:val="22"/>
        </w:rPr>
        <w:t xml:space="preserve"> ŽIV-1</w:t>
      </w:r>
      <w:r w:rsidRPr="00FB2719">
        <w:rPr>
          <w:sz w:val="22"/>
          <w:szCs w:val="22"/>
          <w:vertAlign w:val="subscript"/>
        </w:rPr>
        <w:t>IIIB</w:t>
      </w:r>
      <w:r w:rsidRPr="00FB2719">
        <w:rPr>
          <w:sz w:val="22"/>
          <w:szCs w:val="22"/>
        </w:rPr>
        <w:t xml:space="preserve"> MT4 ląstelėse buvo atitinkamai 17</w:t>
      </w:r>
      <w:r w:rsidR="009B02A4" w:rsidRPr="00FB2719">
        <w:rPr>
          <w:sz w:val="22"/>
          <w:szCs w:val="22"/>
        </w:rPr>
        <w:t> </w:t>
      </w:r>
      <w:r w:rsidRPr="00FB2719">
        <w:rPr>
          <w:sz w:val="22"/>
          <w:szCs w:val="22"/>
        </w:rPr>
        <w:t>nM ir 102</w:t>
      </w:r>
      <w:r w:rsidR="009B02A4" w:rsidRPr="00FB2719">
        <w:rPr>
          <w:sz w:val="22"/>
          <w:szCs w:val="22"/>
        </w:rPr>
        <w:t> </w:t>
      </w:r>
      <w:r w:rsidRPr="00FB2719">
        <w:rPr>
          <w:sz w:val="22"/>
          <w:szCs w:val="22"/>
        </w:rPr>
        <w:t>nM. Be žmogaus serumo, vidutinė lopinaviro IC</w:t>
      </w:r>
      <w:r w:rsidRPr="00FB2719">
        <w:rPr>
          <w:sz w:val="22"/>
          <w:szCs w:val="22"/>
          <w:vertAlign w:val="subscript"/>
        </w:rPr>
        <w:t>50</w:t>
      </w:r>
      <w:r w:rsidRPr="00FB2719">
        <w:rPr>
          <w:sz w:val="22"/>
          <w:szCs w:val="22"/>
        </w:rPr>
        <w:t xml:space="preserve"> keliems klinikiniams ŽIV-1 izoliatams buvo 6,5</w:t>
      </w:r>
      <w:r w:rsidR="009B02A4" w:rsidRPr="00FB2719">
        <w:rPr>
          <w:sz w:val="22"/>
          <w:szCs w:val="22"/>
        </w:rPr>
        <w:t> </w:t>
      </w:r>
      <w:r w:rsidRPr="00FB2719">
        <w:rPr>
          <w:sz w:val="22"/>
          <w:szCs w:val="22"/>
        </w:rPr>
        <w:t>nM.</w:t>
      </w:r>
    </w:p>
    <w:p w14:paraId="7D4DDD0A" w14:textId="77777777" w:rsidR="00CA08B3" w:rsidRPr="00FB2719" w:rsidRDefault="00CA08B3" w:rsidP="00CA08B3">
      <w:pPr>
        <w:tabs>
          <w:tab w:val="left" w:pos="567"/>
        </w:tabs>
        <w:rPr>
          <w:sz w:val="22"/>
          <w:szCs w:val="22"/>
        </w:rPr>
      </w:pPr>
    </w:p>
    <w:p w14:paraId="30FD134D" w14:textId="77777777" w:rsidR="00D5541E" w:rsidRPr="00FB2719" w:rsidRDefault="00D5541E" w:rsidP="00CA08B3">
      <w:pPr>
        <w:tabs>
          <w:tab w:val="left" w:pos="567"/>
        </w:tabs>
        <w:rPr>
          <w:sz w:val="22"/>
          <w:szCs w:val="22"/>
          <w:u w:val="single"/>
        </w:rPr>
      </w:pPr>
    </w:p>
    <w:p w14:paraId="2F25C012" w14:textId="77777777" w:rsidR="00CA08B3" w:rsidRPr="00FB2719" w:rsidRDefault="00CA08B3" w:rsidP="00CA08B3">
      <w:pPr>
        <w:tabs>
          <w:tab w:val="left" w:pos="567"/>
        </w:tabs>
        <w:rPr>
          <w:sz w:val="22"/>
          <w:szCs w:val="22"/>
          <w:u w:val="single"/>
        </w:rPr>
      </w:pPr>
      <w:r w:rsidRPr="00FB2719">
        <w:rPr>
          <w:sz w:val="22"/>
          <w:szCs w:val="22"/>
          <w:u w:val="single"/>
        </w:rPr>
        <w:t>Atsparumas</w:t>
      </w:r>
    </w:p>
    <w:p w14:paraId="56463AB2" w14:textId="77777777" w:rsidR="00CA08B3" w:rsidRPr="00FB2719" w:rsidRDefault="00CA08B3" w:rsidP="00CA08B3">
      <w:pPr>
        <w:tabs>
          <w:tab w:val="left" w:pos="567"/>
        </w:tabs>
        <w:rPr>
          <w:i/>
          <w:sz w:val="22"/>
          <w:szCs w:val="22"/>
        </w:rPr>
      </w:pPr>
      <w:r w:rsidRPr="00FB2719">
        <w:rPr>
          <w:i/>
          <w:sz w:val="22"/>
          <w:szCs w:val="22"/>
        </w:rPr>
        <w:t>Atsparumo atranka in vitro</w:t>
      </w:r>
    </w:p>
    <w:p w14:paraId="5F46956E" w14:textId="77777777" w:rsidR="00CA08B3" w:rsidRPr="00FB2719" w:rsidRDefault="00CA08B3" w:rsidP="00CA08B3">
      <w:pPr>
        <w:tabs>
          <w:tab w:val="left" w:pos="567"/>
        </w:tabs>
        <w:rPr>
          <w:sz w:val="22"/>
          <w:szCs w:val="22"/>
        </w:rPr>
      </w:pPr>
      <w:r w:rsidRPr="00FB2719">
        <w:rPr>
          <w:i/>
          <w:sz w:val="22"/>
        </w:rPr>
        <w:t>In vitro</w:t>
      </w:r>
      <w:r w:rsidRPr="00FB2719">
        <w:rPr>
          <w:sz w:val="22"/>
          <w:szCs w:val="22"/>
        </w:rPr>
        <w:t xml:space="preserve"> buvo atrinkti ŽIV-1 izoliatai, kurių jautrumas lopinavirui buvo sumažėjęs. ŽIV-1 pasažo </w:t>
      </w:r>
      <w:r w:rsidRPr="00FB2719">
        <w:rPr>
          <w:i/>
          <w:sz w:val="22"/>
          <w:szCs w:val="22"/>
        </w:rPr>
        <w:t>in vitro</w:t>
      </w:r>
      <w:r w:rsidRPr="00FB2719">
        <w:rPr>
          <w:sz w:val="22"/>
          <w:szCs w:val="22"/>
        </w:rPr>
        <w:t xml:space="preserve"> metu su vienu lopinaviru ir su lopinaviru bei ritonaviru koncentracijų santykis atitiko plazmos </w:t>
      </w:r>
      <w:r w:rsidRPr="00FB2719">
        <w:rPr>
          <w:sz w:val="22"/>
          <w:szCs w:val="22"/>
        </w:rPr>
        <w:lastRenderedPageBreak/>
        <w:t xml:space="preserve">koncentracijų, kurios nustatytos gydymo lopinaviro / ritonaviro deriniu metu, santykį. Genotipinė ir fenotipinė virusų, atrinktų šiais pasažais, analizė rodo, kad ritonaviras, esant tokiam koncentracijų santykiui, neturėjo išmatuojamos įtakos lopinavirui atsparių virusų selekcijai. </w:t>
      </w:r>
      <w:r w:rsidRPr="00FB2719">
        <w:rPr>
          <w:i/>
          <w:sz w:val="22"/>
          <w:szCs w:val="22"/>
        </w:rPr>
        <w:t>In vitro</w:t>
      </w:r>
      <w:r w:rsidRPr="00FB2719">
        <w:rPr>
          <w:sz w:val="22"/>
          <w:szCs w:val="22"/>
        </w:rPr>
        <w:t xml:space="preserve"> nustatytas fenotipinis kryžminis atsparumas tarp lopinaviro ir kitų proteazės inhibitorių rodo, kad sumažėjęs jautrumas lopinavirui glaudžiai koreliuoja su sumažėjusiu jautrumu ritonavirui, indinavirui, bet nekoreliuoja su sumažėjusiu jautrumu amprenavirui, sakvinavirui ir nelfinavirui.</w:t>
      </w:r>
    </w:p>
    <w:p w14:paraId="31DF83D7" w14:textId="77777777" w:rsidR="00CA08B3" w:rsidRPr="00FB2719" w:rsidRDefault="00CA08B3" w:rsidP="00CA08B3">
      <w:pPr>
        <w:tabs>
          <w:tab w:val="left" w:pos="567"/>
        </w:tabs>
        <w:rPr>
          <w:sz w:val="22"/>
          <w:szCs w:val="22"/>
        </w:rPr>
      </w:pPr>
    </w:p>
    <w:p w14:paraId="66D191A4" w14:textId="77777777" w:rsidR="00CA08B3" w:rsidRPr="00FB2719" w:rsidRDefault="00CA08B3" w:rsidP="00CA08B3">
      <w:pPr>
        <w:tabs>
          <w:tab w:val="left" w:pos="567"/>
        </w:tabs>
        <w:rPr>
          <w:i/>
          <w:sz w:val="22"/>
          <w:szCs w:val="22"/>
        </w:rPr>
      </w:pPr>
      <w:r w:rsidRPr="00FB2719">
        <w:rPr>
          <w:i/>
          <w:sz w:val="22"/>
          <w:szCs w:val="22"/>
        </w:rPr>
        <w:t>Anksčiau ARV negydytų pacientų atsparumo analizė</w:t>
      </w:r>
    </w:p>
    <w:p w14:paraId="10CD25CF" w14:textId="77777777" w:rsidR="00CA08B3" w:rsidRPr="00FB2719" w:rsidRDefault="00CA08B3" w:rsidP="00CA08B3">
      <w:pPr>
        <w:tabs>
          <w:tab w:val="left" w:pos="567"/>
        </w:tabs>
        <w:rPr>
          <w:sz w:val="22"/>
          <w:szCs w:val="22"/>
        </w:rPr>
      </w:pPr>
      <w:r w:rsidRPr="00FB2719">
        <w:rPr>
          <w:sz w:val="22"/>
          <w:szCs w:val="22"/>
        </w:rPr>
        <w:t>Klinikinių tyrimų metu, atliktų su ribotu izoliatų skaičiumi, anksčiau negydytiems pacientams, kurie nebuvo atsparūs proteazių inhibitoriams tyrimo pradžioje, atsparumo lopinavirui nenustatyta. Smulkiau žr. detaliame klinikinio tyrimo aprašyme.</w:t>
      </w:r>
    </w:p>
    <w:p w14:paraId="293038E3" w14:textId="77777777" w:rsidR="00CA08B3" w:rsidRPr="00FB2719" w:rsidRDefault="00CA08B3" w:rsidP="00CA08B3">
      <w:pPr>
        <w:tabs>
          <w:tab w:val="left" w:pos="567"/>
        </w:tabs>
        <w:rPr>
          <w:sz w:val="22"/>
          <w:szCs w:val="22"/>
        </w:rPr>
      </w:pPr>
    </w:p>
    <w:p w14:paraId="3A032944" w14:textId="77777777" w:rsidR="00CA08B3" w:rsidRPr="00FB2719" w:rsidRDefault="00CA08B3" w:rsidP="00CA08B3">
      <w:pPr>
        <w:tabs>
          <w:tab w:val="left" w:pos="567"/>
        </w:tabs>
        <w:rPr>
          <w:i/>
          <w:sz w:val="22"/>
          <w:szCs w:val="22"/>
        </w:rPr>
      </w:pPr>
      <w:r w:rsidRPr="00FB2719">
        <w:rPr>
          <w:i/>
          <w:sz w:val="22"/>
          <w:szCs w:val="22"/>
        </w:rPr>
        <w:t>PI vartojusių pacientų atsparumo analizė</w:t>
      </w:r>
    </w:p>
    <w:p w14:paraId="2652F683" w14:textId="77777777" w:rsidR="00CA08B3" w:rsidRPr="00FB2719" w:rsidRDefault="00CA08B3" w:rsidP="00CA08B3">
      <w:pPr>
        <w:tabs>
          <w:tab w:val="left" w:pos="567"/>
        </w:tabs>
        <w:rPr>
          <w:sz w:val="22"/>
          <w:szCs w:val="22"/>
        </w:rPr>
      </w:pPr>
      <w:r w:rsidRPr="00FB2719">
        <w:rPr>
          <w:sz w:val="22"/>
          <w:szCs w:val="22"/>
        </w:rPr>
        <w:t>Atrenkant pacientus</w:t>
      </w:r>
      <w:r w:rsidR="00FB3752" w:rsidRPr="00FB2719">
        <w:rPr>
          <w:sz w:val="22"/>
          <w:szCs w:val="22"/>
        </w:rPr>
        <w:t>,</w:t>
      </w:r>
      <w:r w:rsidRPr="00FB2719">
        <w:rPr>
          <w:sz w:val="22"/>
          <w:szCs w:val="22"/>
        </w:rPr>
        <w:t xml:space="preserve"> atsparius lopinavirui, kuriems ankstesnis gydymas proteazės inhibitoriumi buvo nesėkmingas, šis atsparumas buvo apibūdinamas analizuojant išilginius izoliatus iš 19</w:t>
      </w:r>
      <w:r w:rsidR="009B02A4" w:rsidRPr="00FB2719">
        <w:rPr>
          <w:sz w:val="22"/>
          <w:szCs w:val="22"/>
        </w:rPr>
        <w:t> </w:t>
      </w:r>
      <w:r w:rsidRPr="00FB2719">
        <w:rPr>
          <w:sz w:val="22"/>
          <w:szCs w:val="22"/>
        </w:rPr>
        <w:t xml:space="preserve">proteazių inhibitoriais gydytų asmenų 2 II fazės ir viename III fazės tyrimuose, pas kuriuos buvo nepilnai nuslopinti virusai arba virusai išliko po pradinio atsako į gydymą lopinaviro / ritonaviro deriniu ir kurių </w:t>
      </w:r>
      <w:r w:rsidRPr="00FB2719">
        <w:rPr>
          <w:i/>
          <w:sz w:val="22"/>
          <w:szCs w:val="22"/>
        </w:rPr>
        <w:t>in vitro</w:t>
      </w:r>
      <w:r w:rsidRPr="00FB2719">
        <w:rPr>
          <w:sz w:val="22"/>
          <w:szCs w:val="22"/>
        </w:rPr>
        <w:t xml:space="preserve"> atsparumas laipsniškai didėjo nuo pradinio virusų lygio iki jų rikošeto (apibrėžiamo, kaip naujų mutacijų atsiradimas arba fenotipinio imlumo lopinavirui pasikeitimas 2</w:t>
      </w:r>
      <w:r w:rsidR="009B02A4" w:rsidRPr="00FB2719">
        <w:rPr>
          <w:sz w:val="22"/>
          <w:szCs w:val="22"/>
        </w:rPr>
        <w:t> </w:t>
      </w:r>
      <w:r w:rsidRPr="00FB2719">
        <w:rPr>
          <w:sz w:val="22"/>
          <w:szCs w:val="22"/>
        </w:rPr>
        <w:t>kartus). Laipsniškas atsparumo didėjimas dažniausiai buvo stebimas asmenims, kurių pradiniuose izoliatuose buvo keletas su proteazių inhibitoriais susijusių mutacijų, bet imlumas lopinavirui iš pradžių buvo sumažėjęs &lt;</w:t>
      </w:r>
      <w:r w:rsidR="009B02A4" w:rsidRPr="00FB2719">
        <w:rPr>
          <w:sz w:val="22"/>
          <w:szCs w:val="22"/>
        </w:rPr>
        <w:t> </w:t>
      </w:r>
      <w:r w:rsidRPr="00FB2719">
        <w:rPr>
          <w:sz w:val="22"/>
          <w:szCs w:val="22"/>
        </w:rPr>
        <w:t>40</w:t>
      </w:r>
      <w:r w:rsidR="009B02A4" w:rsidRPr="00FB2719">
        <w:rPr>
          <w:sz w:val="22"/>
          <w:szCs w:val="22"/>
        </w:rPr>
        <w:t> </w:t>
      </w:r>
      <w:r w:rsidRPr="00FB2719">
        <w:rPr>
          <w:sz w:val="22"/>
          <w:szCs w:val="22"/>
        </w:rPr>
        <w:t>kartų. Dažniausiai atsirado V82A, I54V ir M46I mutacijos. Taip pat buvo pastebėta L33F, I50V ir V32I derinio su I47V/A mutacijų. Su 19</w:t>
      </w:r>
      <w:r w:rsidR="009B02A4" w:rsidRPr="00FB2719">
        <w:rPr>
          <w:sz w:val="22"/>
          <w:szCs w:val="22"/>
        </w:rPr>
        <w:t> </w:t>
      </w:r>
      <w:r w:rsidRPr="00FB2719">
        <w:rPr>
          <w:sz w:val="22"/>
          <w:szCs w:val="22"/>
        </w:rPr>
        <w:t>izoliatų buvo gautas IC</w:t>
      </w:r>
      <w:r w:rsidRPr="00FB2719">
        <w:rPr>
          <w:sz w:val="22"/>
          <w:szCs w:val="22"/>
          <w:vertAlign w:val="subscript"/>
        </w:rPr>
        <w:t>50</w:t>
      </w:r>
      <w:r w:rsidRPr="00FB2719">
        <w:rPr>
          <w:sz w:val="22"/>
          <w:szCs w:val="22"/>
        </w:rPr>
        <w:t xml:space="preserve"> padidėjimas 4,3</w:t>
      </w:r>
      <w:r w:rsidR="009B02A4" w:rsidRPr="00FB2719">
        <w:rPr>
          <w:sz w:val="22"/>
          <w:szCs w:val="22"/>
        </w:rPr>
        <w:t> </w:t>
      </w:r>
      <w:r w:rsidRPr="00FB2719">
        <w:rPr>
          <w:sz w:val="22"/>
          <w:szCs w:val="22"/>
        </w:rPr>
        <w:t>karto, lyginant su pradiniais izoliatais (nuo 6,2 iki 43</w:t>
      </w:r>
      <w:r w:rsidR="009B02A4" w:rsidRPr="00FB2719">
        <w:rPr>
          <w:sz w:val="22"/>
          <w:szCs w:val="22"/>
        </w:rPr>
        <w:t> </w:t>
      </w:r>
      <w:r w:rsidRPr="00FB2719">
        <w:rPr>
          <w:sz w:val="22"/>
          <w:szCs w:val="22"/>
        </w:rPr>
        <w:t>kartų, palyginti su laukinio tipo virusu).</w:t>
      </w:r>
    </w:p>
    <w:p w14:paraId="57C7CD24" w14:textId="77777777" w:rsidR="00CA08B3" w:rsidRPr="00FB2719" w:rsidRDefault="00CA08B3" w:rsidP="00CA08B3">
      <w:pPr>
        <w:tabs>
          <w:tab w:val="left" w:pos="567"/>
        </w:tabs>
        <w:rPr>
          <w:sz w:val="22"/>
          <w:szCs w:val="22"/>
        </w:rPr>
      </w:pPr>
    </w:p>
    <w:p w14:paraId="2715B7D8" w14:textId="77777777" w:rsidR="00CA08B3" w:rsidRPr="00FB2719" w:rsidRDefault="00CA08B3" w:rsidP="00CA08B3">
      <w:pPr>
        <w:tabs>
          <w:tab w:val="left" w:pos="567"/>
        </w:tabs>
        <w:rPr>
          <w:i/>
          <w:sz w:val="22"/>
          <w:szCs w:val="22"/>
        </w:rPr>
      </w:pPr>
      <w:r w:rsidRPr="00FB2719">
        <w:rPr>
          <w:i/>
          <w:sz w:val="22"/>
          <w:szCs w:val="22"/>
        </w:rPr>
        <w:t>Sumažėjusio fenotipinio jautrumo lopinavirui genotipiniai koreliatai virusuose, atrinktuose kitais proteazės inhibitoriais</w:t>
      </w:r>
    </w:p>
    <w:p w14:paraId="073AA42D" w14:textId="77777777" w:rsidR="00CA08B3" w:rsidRPr="00FB2719" w:rsidRDefault="00CA08B3" w:rsidP="00CA08B3">
      <w:pPr>
        <w:tabs>
          <w:tab w:val="left" w:pos="567"/>
        </w:tabs>
        <w:rPr>
          <w:sz w:val="22"/>
          <w:szCs w:val="22"/>
        </w:rPr>
      </w:pPr>
      <w:r w:rsidRPr="00FB2719">
        <w:rPr>
          <w:sz w:val="22"/>
          <w:szCs w:val="22"/>
        </w:rPr>
        <w:t xml:space="preserve">Buvo įvertintas antivirusinis lopinaviro aktyvumas </w:t>
      </w:r>
      <w:r w:rsidRPr="00FB2719">
        <w:rPr>
          <w:i/>
          <w:sz w:val="22"/>
          <w:szCs w:val="22"/>
        </w:rPr>
        <w:t>in vitro</w:t>
      </w:r>
      <w:r w:rsidRPr="00FB2719">
        <w:rPr>
          <w:sz w:val="22"/>
          <w:szCs w:val="22"/>
        </w:rPr>
        <w:t xml:space="preserve"> 112</w:t>
      </w:r>
      <w:r w:rsidR="009B02A4" w:rsidRPr="00FB2719">
        <w:rPr>
          <w:sz w:val="22"/>
          <w:szCs w:val="22"/>
        </w:rPr>
        <w:t> </w:t>
      </w:r>
      <w:r w:rsidRPr="00FB2719">
        <w:rPr>
          <w:sz w:val="22"/>
          <w:szCs w:val="22"/>
        </w:rPr>
        <w:t xml:space="preserve">klinikinių izoliatų, išskirtų iš pacientų, kuriems gydymas vienu ar daugiau proteazės inhibitorių buvo neveiksmingas. Šio tyrimo metu nustatyta ŽIV proteazės mutacijų, susijusių su sumažėjusiu </w:t>
      </w:r>
      <w:r w:rsidRPr="00FB2719">
        <w:rPr>
          <w:i/>
          <w:sz w:val="22"/>
          <w:szCs w:val="22"/>
        </w:rPr>
        <w:t>in vitro</w:t>
      </w:r>
      <w:r w:rsidRPr="00FB2719">
        <w:rPr>
          <w:sz w:val="22"/>
          <w:szCs w:val="22"/>
        </w:rPr>
        <w:t xml:space="preserve"> jautrumu lopinavirui: L10F/I/R/V, K20M/R, L24I, M46I/L, F53L, I54L/T/V, L63P, A71I/L/T/V, V82A/F/T, I84V ir L90M. Lopinaviro EC</w:t>
      </w:r>
      <w:r w:rsidRPr="00FB2719">
        <w:rPr>
          <w:sz w:val="22"/>
          <w:szCs w:val="22"/>
          <w:vertAlign w:val="subscript"/>
        </w:rPr>
        <w:t>50</w:t>
      </w:r>
      <w:r w:rsidRPr="00FB2719">
        <w:rPr>
          <w:sz w:val="22"/>
          <w:szCs w:val="22"/>
        </w:rPr>
        <w:t xml:space="preserve"> mediana izoliatams su 0-3, 4-5, 6-7 ir 8-10 mutacijomis, kai amino rūgščių seka tokia, kaip nurodyta aukščiau, buvo atitinkamai 0,8, 2,7, 13,5 ir 44,0 kartų didesnė negu EC</w:t>
      </w:r>
      <w:r w:rsidRPr="00FB2719">
        <w:rPr>
          <w:sz w:val="22"/>
          <w:szCs w:val="22"/>
          <w:vertAlign w:val="subscript"/>
        </w:rPr>
        <w:t>50</w:t>
      </w:r>
      <w:r w:rsidRPr="00FB2719">
        <w:rPr>
          <w:sz w:val="22"/>
          <w:szCs w:val="22"/>
        </w:rPr>
        <w:t xml:space="preserve"> laukinio tipo ŽIV. Visiems 16</w:t>
      </w:r>
      <w:r w:rsidR="009B02A4" w:rsidRPr="00FB2719">
        <w:rPr>
          <w:sz w:val="22"/>
          <w:szCs w:val="22"/>
        </w:rPr>
        <w:t> </w:t>
      </w:r>
      <w:r w:rsidRPr="00FB2719">
        <w:rPr>
          <w:sz w:val="22"/>
          <w:szCs w:val="22"/>
        </w:rPr>
        <w:t>virusų, kurių jautrumas buvo pakitęs &gt;</w:t>
      </w:r>
      <w:r w:rsidR="009B02A4" w:rsidRPr="00FB2719">
        <w:rPr>
          <w:sz w:val="22"/>
          <w:szCs w:val="22"/>
        </w:rPr>
        <w:t> </w:t>
      </w:r>
      <w:r w:rsidRPr="00FB2719">
        <w:rPr>
          <w:sz w:val="22"/>
          <w:szCs w:val="22"/>
        </w:rPr>
        <w:t>20</w:t>
      </w:r>
      <w:r w:rsidR="009B02A4" w:rsidRPr="00FB2719">
        <w:rPr>
          <w:sz w:val="22"/>
          <w:szCs w:val="22"/>
        </w:rPr>
        <w:t> </w:t>
      </w:r>
      <w:r w:rsidRPr="00FB2719">
        <w:rPr>
          <w:sz w:val="22"/>
          <w:szCs w:val="22"/>
        </w:rPr>
        <w:t>kartų, mutacijų buvo 10, 54, 63 plius 82 ir (arba) 84 pozicijose. Be to, jie turėjo 3</w:t>
      </w:r>
      <w:r w:rsidR="009B02A4" w:rsidRPr="00FB2719">
        <w:rPr>
          <w:sz w:val="22"/>
          <w:szCs w:val="22"/>
        </w:rPr>
        <w:t> </w:t>
      </w:r>
      <w:r w:rsidRPr="00FB2719">
        <w:rPr>
          <w:sz w:val="22"/>
          <w:szCs w:val="22"/>
        </w:rPr>
        <w:t>mutacijų medianą 20, 24, 46, 53, 71 ir 90 amino rūgščių pozicijose. Be anksčiau aprašytų mutacijų išlikusiuose izoliatuose su sumažėjusiu imlumu lopinavirui, gautuose iš proteazių inhibitorius gydytų pacientų, gydytų lopinaviro / ritonaviro deriniu, buvo stebimos V321 ir I47A mutacijos, ir I47A bei L76V mutacijos, pastebėtos rikošeto izoliatuose su sumažėjusiu imlumu lopinavirui, pacientams, kurie buvo gydomi lopinaviro / ritonaviro deriniu.</w:t>
      </w:r>
    </w:p>
    <w:p w14:paraId="6FB9097E" w14:textId="77777777" w:rsidR="00CA08B3" w:rsidRPr="00FB2719" w:rsidRDefault="00CA08B3" w:rsidP="00CA08B3">
      <w:pPr>
        <w:tabs>
          <w:tab w:val="left" w:pos="567"/>
        </w:tabs>
        <w:rPr>
          <w:sz w:val="22"/>
          <w:szCs w:val="22"/>
        </w:rPr>
      </w:pPr>
    </w:p>
    <w:p w14:paraId="28AE1AFD" w14:textId="77777777" w:rsidR="00CA08B3" w:rsidRPr="00FB2719" w:rsidRDefault="00CA08B3" w:rsidP="00CA08B3">
      <w:pPr>
        <w:tabs>
          <w:tab w:val="left" w:pos="567"/>
        </w:tabs>
        <w:rPr>
          <w:sz w:val="22"/>
          <w:szCs w:val="22"/>
        </w:rPr>
      </w:pPr>
      <w:r w:rsidRPr="00FB2719">
        <w:rPr>
          <w:sz w:val="22"/>
          <w:szCs w:val="22"/>
        </w:rPr>
        <w:t>Išvados dėl tam tikrų mutacijų ar mutacijų nuokrypių patikimumo gali keistis atsiradus papildomiems duomenims, todėl, analizuojant atsparumo tyrimų rezultatus, visada rekomenduojama peržiūrėti naujausius duomenis įvertinimo sistemose.</w:t>
      </w:r>
    </w:p>
    <w:p w14:paraId="3A4E2B43" w14:textId="77777777" w:rsidR="00CA08B3" w:rsidRPr="00FB2719" w:rsidRDefault="00CA08B3" w:rsidP="00CA08B3">
      <w:pPr>
        <w:tabs>
          <w:tab w:val="left" w:pos="567"/>
        </w:tabs>
        <w:rPr>
          <w:sz w:val="22"/>
          <w:szCs w:val="22"/>
        </w:rPr>
      </w:pPr>
    </w:p>
    <w:p w14:paraId="63DE6A87" w14:textId="77777777" w:rsidR="0021404B" w:rsidRPr="00FB2719" w:rsidRDefault="00CA08B3" w:rsidP="00CA08B3">
      <w:pPr>
        <w:tabs>
          <w:tab w:val="left" w:pos="567"/>
        </w:tabs>
        <w:rPr>
          <w:sz w:val="22"/>
          <w:szCs w:val="22"/>
        </w:rPr>
      </w:pPr>
      <w:r w:rsidRPr="00FB2719">
        <w:rPr>
          <w:i/>
          <w:sz w:val="22"/>
          <w:szCs w:val="22"/>
        </w:rPr>
        <w:t>Antivirusinis Lopinavir/Ritonavir Sandoz aktyvumas pacientams, kuriems gydymas proteazės inhibitoriumi buvo neveiksmingas</w:t>
      </w:r>
    </w:p>
    <w:p w14:paraId="66A997EE" w14:textId="77777777" w:rsidR="00CA08B3" w:rsidRPr="00FB2719" w:rsidRDefault="0021404B" w:rsidP="00CA08B3">
      <w:pPr>
        <w:tabs>
          <w:tab w:val="left" w:pos="567"/>
        </w:tabs>
        <w:rPr>
          <w:sz w:val="22"/>
          <w:szCs w:val="22"/>
        </w:rPr>
      </w:pPr>
      <w:r w:rsidRPr="00FB2719">
        <w:rPr>
          <w:sz w:val="22"/>
          <w:szCs w:val="22"/>
        </w:rPr>
        <w:t>S</w:t>
      </w:r>
      <w:r w:rsidR="00CA08B3" w:rsidRPr="00FB2719">
        <w:rPr>
          <w:sz w:val="22"/>
          <w:szCs w:val="22"/>
        </w:rPr>
        <w:t xml:space="preserve">umažėjusio jautrumo lopinavirui </w:t>
      </w:r>
      <w:r w:rsidR="00CA08B3" w:rsidRPr="00FB2719">
        <w:rPr>
          <w:i/>
          <w:sz w:val="22"/>
          <w:szCs w:val="22"/>
        </w:rPr>
        <w:t>in vitro</w:t>
      </w:r>
      <w:r w:rsidR="00CA08B3" w:rsidRPr="00FB2719">
        <w:rPr>
          <w:sz w:val="22"/>
          <w:szCs w:val="22"/>
        </w:rPr>
        <w:t xml:space="preserve"> klinikinė svarba buvo tirta 56</w:t>
      </w:r>
      <w:r w:rsidR="009B02A4" w:rsidRPr="00FB2719">
        <w:rPr>
          <w:sz w:val="22"/>
          <w:szCs w:val="22"/>
        </w:rPr>
        <w:t> </w:t>
      </w:r>
      <w:r w:rsidR="00CA08B3" w:rsidRPr="00FB2719">
        <w:rPr>
          <w:sz w:val="22"/>
          <w:szCs w:val="22"/>
        </w:rPr>
        <w:t>pacientams, kuriems ankstesnis gydymas keliais proteazės inhibitoriais buvo neveiksmingas, vertinant virusologinį atsaką į gydymą lopinaviro / ritonaviro deriniu, ir atsižvelgiant į pradinį viruso genotipą bei fenotipą. Lopinaviro EC</w:t>
      </w:r>
      <w:r w:rsidR="00CA08B3" w:rsidRPr="00FB2719">
        <w:rPr>
          <w:sz w:val="22"/>
          <w:szCs w:val="22"/>
          <w:vertAlign w:val="subscript"/>
        </w:rPr>
        <w:t>50</w:t>
      </w:r>
      <w:r w:rsidR="00CA08B3" w:rsidRPr="00FB2719">
        <w:rPr>
          <w:sz w:val="22"/>
          <w:szCs w:val="22"/>
        </w:rPr>
        <w:t xml:space="preserve"> 56</w:t>
      </w:r>
      <w:r w:rsidR="009B02A4" w:rsidRPr="00FB2719">
        <w:rPr>
          <w:sz w:val="22"/>
          <w:szCs w:val="22"/>
        </w:rPr>
        <w:t> </w:t>
      </w:r>
      <w:r w:rsidR="00CA08B3" w:rsidRPr="00FB2719">
        <w:rPr>
          <w:sz w:val="22"/>
          <w:szCs w:val="22"/>
        </w:rPr>
        <w:t>pradiniams viruso izoliatams buvo 0,6-96</w:t>
      </w:r>
      <w:r w:rsidR="009B02A4" w:rsidRPr="00FB2719">
        <w:rPr>
          <w:sz w:val="22"/>
          <w:szCs w:val="22"/>
        </w:rPr>
        <w:t> </w:t>
      </w:r>
      <w:r w:rsidR="00CA08B3" w:rsidRPr="00FB2719">
        <w:rPr>
          <w:sz w:val="22"/>
          <w:szCs w:val="22"/>
        </w:rPr>
        <w:t>kartus didesnė, negu EC</w:t>
      </w:r>
      <w:r w:rsidR="00CA08B3" w:rsidRPr="00FB2719">
        <w:rPr>
          <w:sz w:val="22"/>
          <w:szCs w:val="22"/>
          <w:vertAlign w:val="subscript"/>
        </w:rPr>
        <w:t>50</w:t>
      </w:r>
      <w:r w:rsidR="00CA08B3" w:rsidRPr="00FB2719">
        <w:rPr>
          <w:sz w:val="22"/>
          <w:szCs w:val="22"/>
        </w:rPr>
        <w:t xml:space="preserve"> prieš laukinio tipo ŽIV. Po 48</w:t>
      </w:r>
      <w:r w:rsidR="009B02A4" w:rsidRPr="00FB2719">
        <w:rPr>
          <w:sz w:val="22"/>
          <w:szCs w:val="22"/>
        </w:rPr>
        <w:t> </w:t>
      </w:r>
      <w:r w:rsidR="00CA08B3" w:rsidRPr="00FB2719">
        <w:rPr>
          <w:sz w:val="22"/>
          <w:szCs w:val="22"/>
        </w:rPr>
        <w:t>gydymo lopinaviro / ritonaviro deriniu, efavirenzu ir nukleozidiniu atvirkštinės transkriptazės inhibitoriumi savaičių plazmos ŽIV RNR ≤</w:t>
      </w:r>
      <w:r w:rsidR="009B02A4" w:rsidRPr="00FB2719">
        <w:rPr>
          <w:sz w:val="22"/>
          <w:szCs w:val="22"/>
        </w:rPr>
        <w:t> </w:t>
      </w:r>
      <w:r w:rsidR="00CA08B3" w:rsidRPr="00FB2719">
        <w:rPr>
          <w:sz w:val="22"/>
          <w:szCs w:val="22"/>
        </w:rPr>
        <w:t>400</w:t>
      </w:r>
      <w:r w:rsidR="009B02A4" w:rsidRPr="00FB2719">
        <w:rPr>
          <w:sz w:val="22"/>
          <w:szCs w:val="22"/>
        </w:rPr>
        <w:t> </w:t>
      </w:r>
      <w:r w:rsidR="00CA08B3" w:rsidRPr="00FB2719">
        <w:rPr>
          <w:sz w:val="22"/>
          <w:szCs w:val="22"/>
        </w:rPr>
        <w:t>kopijų/ml nustatyta 93 % (25/27), 73</w:t>
      </w:r>
      <w:r w:rsidR="009B02A4" w:rsidRPr="00FB2719">
        <w:rPr>
          <w:sz w:val="22"/>
          <w:szCs w:val="22"/>
        </w:rPr>
        <w:t> </w:t>
      </w:r>
      <w:r w:rsidR="00CA08B3" w:rsidRPr="00FB2719">
        <w:rPr>
          <w:sz w:val="22"/>
          <w:szCs w:val="22"/>
        </w:rPr>
        <w:t>% (11/15) ir 25</w:t>
      </w:r>
      <w:r w:rsidR="009B02A4" w:rsidRPr="00FB2719">
        <w:rPr>
          <w:sz w:val="22"/>
          <w:szCs w:val="22"/>
        </w:rPr>
        <w:t> </w:t>
      </w:r>
      <w:r w:rsidR="00CA08B3" w:rsidRPr="00FB2719">
        <w:rPr>
          <w:sz w:val="22"/>
          <w:szCs w:val="22"/>
        </w:rPr>
        <w:t>% (2/8) pacientų, kurių pradinis jautrumo sumažėjimas lopinavirui buvo atitinkamai &lt;</w:t>
      </w:r>
      <w:r w:rsidR="009B02A4" w:rsidRPr="00FB2719">
        <w:rPr>
          <w:sz w:val="22"/>
          <w:szCs w:val="22"/>
        </w:rPr>
        <w:t> </w:t>
      </w:r>
      <w:r w:rsidR="00CA08B3" w:rsidRPr="00FB2719">
        <w:rPr>
          <w:sz w:val="22"/>
          <w:szCs w:val="22"/>
        </w:rPr>
        <w:t>10</w:t>
      </w:r>
      <w:r w:rsidR="009B02A4" w:rsidRPr="00FB2719">
        <w:rPr>
          <w:sz w:val="22"/>
          <w:szCs w:val="22"/>
        </w:rPr>
        <w:t> </w:t>
      </w:r>
      <w:r w:rsidR="00CA08B3" w:rsidRPr="00FB2719">
        <w:rPr>
          <w:sz w:val="22"/>
          <w:szCs w:val="22"/>
        </w:rPr>
        <w:t>kartų, 10-40</w:t>
      </w:r>
      <w:r w:rsidR="009B02A4" w:rsidRPr="00FB2719">
        <w:rPr>
          <w:sz w:val="22"/>
          <w:szCs w:val="22"/>
        </w:rPr>
        <w:t> </w:t>
      </w:r>
      <w:r w:rsidR="00CA08B3" w:rsidRPr="00FB2719">
        <w:rPr>
          <w:sz w:val="22"/>
          <w:szCs w:val="22"/>
        </w:rPr>
        <w:t>kartų ir &gt;</w:t>
      </w:r>
      <w:r w:rsidR="009B02A4" w:rsidRPr="00FB2719">
        <w:rPr>
          <w:sz w:val="22"/>
          <w:szCs w:val="22"/>
        </w:rPr>
        <w:t> </w:t>
      </w:r>
      <w:r w:rsidR="00CA08B3" w:rsidRPr="00FB2719">
        <w:rPr>
          <w:sz w:val="22"/>
          <w:szCs w:val="22"/>
        </w:rPr>
        <w:t>40</w:t>
      </w:r>
      <w:r w:rsidR="009B02A4" w:rsidRPr="00FB2719">
        <w:rPr>
          <w:sz w:val="22"/>
          <w:szCs w:val="22"/>
        </w:rPr>
        <w:t> </w:t>
      </w:r>
      <w:r w:rsidR="00CA08B3" w:rsidRPr="00FB2719">
        <w:rPr>
          <w:sz w:val="22"/>
          <w:szCs w:val="22"/>
        </w:rPr>
        <w:t>kartų. Be to, virusologinis atsakas nustatytas 91 % (21/23), 71</w:t>
      </w:r>
      <w:r w:rsidR="009B02A4" w:rsidRPr="00FB2719">
        <w:rPr>
          <w:sz w:val="22"/>
          <w:szCs w:val="22"/>
        </w:rPr>
        <w:t> </w:t>
      </w:r>
      <w:r w:rsidR="00CA08B3" w:rsidRPr="00FB2719">
        <w:rPr>
          <w:sz w:val="22"/>
          <w:szCs w:val="22"/>
        </w:rPr>
        <w:t>% (15/21) ir 33</w:t>
      </w:r>
      <w:r w:rsidR="009B02A4" w:rsidRPr="00FB2719">
        <w:rPr>
          <w:sz w:val="22"/>
          <w:szCs w:val="22"/>
        </w:rPr>
        <w:t> </w:t>
      </w:r>
      <w:r w:rsidR="00CA08B3" w:rsidRPr="00FB2719">
        <w:rPr>
          <w:sz w:val="22"/>
          <w:szCs w:val="22"/>
        </w:rPr>
        <w:t xml:space="preserve">% (2/6) pacientų, kuriems buvo 0-5, 6-7 ir 8-10 aukščiau minėtų ŽIV proteazės </w:t>
      </w:r>
      <w:r w:rsidR="00CA08B3" w:rsidRPr="00FB2719">
        <w:rPr>
          <w:sz w:val="22"/>
          <w:szCs w:val="22"/>
        </w:rPr>
        <w:lastRenderedPageBreak/>
        <w:t xml:space="preserve">mutacijų, susijusių su sumažėjusiu lopinaviro jautrumu </w:t>
      </w:r>
      <w:r w:rsidR="00CA08B3" w:rsidRPr="00FB2719">
        <w:rPr>
          <w:i/>
          <w:sz w:val="22"/>
          <w:szCs w:val="22"/>
        </w:rPr>
        <w:t>in vitro</w:t>
      </w:r>
      <w:r w:rsidR="00CA08B3" w:rsidRPr="00FB2719">
        <w:rPr>
          <w:sz w:val="22"/>
          <w:szCs w:val="22"/>
        </w:rPr>
        <w:t>. Kadangi šiems pacientams anksčiau nebuvo ekspozicijos lopinaviro / ritonaviro deriniu ar efavirenzu, dalį atsako galima priskirti antivirusiniam efavirenzo aktyvumui, ypač asmenims, infekuotiems labai atspariais lopinavirui virusais. Šiame tyrime nebuvo lopinaviro / ritonaviro derinio nevartojusių kontrolinės grupės pacientų.</w:t>
      </w:r>
    </w:p>
    <w:p w14:paraId="13366BF7" w14:textId="77777777" w:rsidR="00CA08B3" w:rsidRPr="00FB2719" w:rsidRDefault="00CA08B3" w:rsidP="00CA08B3">
      <w:pPr>
        <w:tabs>
          <w:tab w:val="left" w:pos="567"/>
        </w:tabs>
        <w:rPr>
          <w:sz w:val="22"/>
          <w:szCs w:val="22"/>
        </w:rPr>
      </w:pPr>
    </w:p>
    <w:p w14:paraId="29D8A8CA" w14:textId="77777777" w:rsidR="0021404B" w:rsidRPr="00FB2719" w:rsidRDefault="00CA08B3" w:rsidP="00CA08B3">
      <w:pPr>
        <w:tabs>
          <w:tab w:val="left" w:pos="567"/>
        </w:tabs>
        <w:rPr>
          <w:sz w:val="22"/>
          <w:szCs w:val="22"/>
        </w:rPr>
      </w:pPr>
      <w:r w:rsidRPr="00FB2719">
        <w:rPr>
          <w:i/>
          <w:sz w:val="22"/>
          <w:szCs w:val="22"/>
        </w:rPr>
        <w:t>Kryžminis atsparumas</w:t>
      </w:r>
    </w:p>
    <w:p w14:paraId="77D020DA" w14:textId="77777777" w:rsidR="00CA08B3" w:rsidRPr="00FB2719" w:rsidRDefault="00CA08B3" w:rsidP="00CA08B3">
      <w:pPr>
        <w:tabs>
          <w:tab w:val="left" w:pos="567"/>
        </w:tabs>
        <w:rPr>
          <w:sz w:val="22"/>
          <w:szCs w:val="22"/>
        </w:rPr>
      </w:pPr>
      <w:r w:rsidRPr="00FB2719">
        <w:rPr>
          <w:sz w:val="22"/>
          <w:szCs w:val="22"/>
        </w:rPr>
        <w:t>Kitų proteazės inhibitorių aktyvumas izoliatams, kuriems išsivystė didėjantis atsparumas lopinavirui po gydymo lopinaviro / ritonaviro deriniu pacientams, gydytiems proteazės inhibitoriumi: lopinaviro / ritonaviro derinio 3-jų II fazės ir vieno III fazės tyrimų, atliktų su proteazių inhibitoriais gydytais pacientais, metu kryžminio atsparumo kitiems proteazių inhibitoriams buvimas buvo tiriamas 18-oje rikošeto izoliatų, kuriuose pasireiškė atsparumo lopinavirui vystymasis. Vidutinis šių 18</w:t>
      </w:r>
      <w:r w:rsidR="009B02A4" w:rsidRPr="00FB2719">
        <w:rPr>
          <w:sz w:val="22"/>
          <w:szCs w:val="22"/>
        </w:rPr>
        <w:t> </w:t>
      </w:r>
      <w:r w:rsidRPr="00FB2719">
        <w:rPr>
          <w:sz w:val="22"/>
          <w:szCs w:val="22"/>
        </w:rPr>
        <w:t>izoliatų lopinaviro IC</w:t>
      </w:r>
      <w:r w:rsidRPr="00FB2719">
        <w:rPr>
          <w:sz w:val="22"/>
          <w:szCs w:val="22"/>
          <w:vertAlign w:val="subscript"/>
        </w:rPr>
        <w:t>50</w:t>
      </w:r>
      <w:r w:rsidRPr="00FB2719">
        <w:rPr>
          <w:sz w:val="22"/>
          <w:szCs w:val="22"/>
        </w:rPr>
        <w:t xml:space="preserve"> padidėjimas nuo pradinio lygio iki virusų rikošeto lygio buvo atitinkamai nuo 6,9 iki 63</w:t>
      </w:r>
      <w:r w:rsidR="009B02A4" w:rsidRPr="00FB2719">
        <w:rPr>
          <w:sz w:val="22"/>
          <w:szCs w:val="22"/>
        </w:rPr>
        <w:t> </w:t>
      </w:r>
      <w:r w:rsidRPr="00FB2719">
        <w:rPr>
          <w:sz w:val="22"/>
          <w:szCs w:val="22"/>
        </w:rPr>
        <w:t>kartų, lyginant su laukinio tipo virusu. Apskritai, rikošeto izoliatuose reikšmingas kryžminis atsparumas indinavirui, sakvinavirui ir atazanavirui išliko (jei prieš tyrimą buvo kryžminis atsparumas) arba atsirado. Buvo pastebėtas nedidelis amprenaviro aktyvumo sumažėjimas, tyrimo pradžios ir rikošeto izoliatuose IC</w:t>
      </w:r>
      <w:r w:rsidRPr="00FB2719">
        <w:rPr>
          <w:sz w:val="22"/>
          <w:szCs w:val="22"/>
          <w:vertAlign w:val="subscript"/>
        </w:rPr>
        <w:t>50</w:t>
      </w:r>
      <w:r w:rsidRPr="00FB2719">
        <w:rPr>
          <w:sz w:val="22"/>
          <w:szCs w:val="22"/>
        </w:rPr>
        <w:t xml:space="preserve"> vidutiniškai padidėjo atitinkamai nuo 3,7 iki 8</w:t>
      </w:r>
      <w:r w:rsidR="009B02A4" w:rsidRPr="00FB2719">
        <w:rPr>
          <w:sz w:val="22"/>
          <w:szCs w:val="22"/>
        </w:rPr>
        <w:t> </w:t>
      </w:r>
      <w:r w:rsidRPr="00FB2719">
        <w:rPr>
          <w:sz w:val="22"/>
          <w:szCs w:val="22"/>
        </w:rPr>
        <w:t>kartų. Izoliatai liko jautrūs tipranavirui, vidutinis IC</w:t>
      </w:r>
      <w:r w:rsidRPr="00FB2719">
        <w:rPr>
          <w:sz w:val="22"/>
          <w:szCs w:val="22"/>
          <w:vertAlign w:val="subscript"/>
        </w:rPr>
        <w:t>50</w:t>
      </w:r>
      <w:r w:rsidRPr="00FB2719">
        <w:rPr>
          <w:sz w:val="22"/>
          <w:szCs w:val="22"/>
        </w:rPr>
        <w:t xml:space="preserve"> padidėjimas tyrimo pradžios ir rikošeto izoliatuose buvo atitinkamai nuo 1,9 iki 1,8</w:t>
      </w:r>
      <w:r w:rsidR="009B02A4" w:rsidRPr="00FB2719">
        <w:rPr>
          <w:sz w:val="22"/>
          <w:szCs w:val="22"/>
        </w:rPr>
        <w:t> </w:t>
      </w:r>
      <w:r w:rsidRPr="00FB2719">
        <w:rPr>
          <w:sz w:val="22"/>
          <w:szCs w:val="22"/>
        </w:rPr>
        <w:t>karto, lyginant su laukinio tipo virusu. Papildomos informacijos apie tipranaviro vartojimą, įskaitant genotipinius atsako prognostinius požymius, gydant lopinavirui atsparią ŽIV-1 infekciją, žiūrėkite tipranaviro Preparato charakteristikų santraukoje.</w:t>
      </w:r>
    </w:p>
    <w:p w14:paraId="06893260" w14:textId="77777777" w:rsidR="00CA08B3" w:rsidRPr="00FB2719" w:rsidRDefault="00CA08B3" w:rsidP="00CA08B3">
      <w:pPr>
        <w:tabs>
          <w:tab w:val="left" w:pos="567"/>
        </w:tabs>
        <w:rPr>
          <w:sz w:val="22"/>
          <w:szCs w:val="22"/>
        </w:rPr>
      </w:pPr>
    </w:p>
    <w:p w14:paraId="585E44FF" w14:textId="77777777" w:rsidR="00CA08B3" w:rsidRPr="00FB2719" w:rsidRDefault="00CA08B3" w:rsidP="00CA08B3">
      <w:pPr>
        <w:tabs>
          <w:tab w:val="left" w:pos="567"/>
        </w:tabs>
        <w:rPr>
          <w:i/>
          <w:sz w:val="22"/>
          <w:szCs w:val="22"/>
          <w:u w:val="single"/>
        </w:rPr>
      </w:pPr>
      <w:r w:rsidRPr="00FB2719">
        <w:rPr>
          <w:i/>
          <w:sz w:val="22"/>
          <w:szCs w:val="22"/>
          <w:u w:val="single"/>
        </w:rPr>
        <w:t>Klinikiniai rezultatai</w:t>
      </w:r>
    </w:p>
    <w:p w14:paraId="3389C65A" w14:textId="77777777" w:rsidR="0021404B" w:rsidRPr="00FB2719" w:rsidRDefault="0021404B" w:rsidP="00CA08B3">
      <w:pPr>
        <w:tabs>
          <w:tab w:val="left" w:pos="567"/>
        </w:tabs>
        <w:rPr>
          <w:sz w:val="22"/>
          <w:szCs w:val="22"/>
        </w:rPr>
      </w:pPr>
    </w:p>
    <w:p w14:paraId="478B2AC2" w14:textId="77777777" w:rsidR="00CA08B3" w:rsidRPr="00FB2719" w:rsidRDefault="00CA08B3" w:rsidP="00CA08B3">
      <w:pPr>
        <w:tabs>
          <w:tab w:val="left" w:pos="567"/>
        </w:tabs>
        <w:rPr>
          <w:sz w:val="22"/>
          <w:szCs w:val="22"/>
        </w:rPr>
      </w:pPr>
      <w:r w:rsidRPr="00FB2719">
        <w:rPr>
          <w:sz w:val="22"/>
          <w:szCs w:val="22"/>
        </w:rPr>
        <w:t>Lopinaviro / ritonaviro derinio (kartu su kitais antiretrovirusiniais vaistiniais preparatais) poveikis biologiniams žymenims (plazmos ŽIV RNR kiekiui ir CD 4+ T ląstelių skaičiui) buvo tirtas 48- 360 savaičių trukusių kontroliuojamų lopinaviro / ritonaviro derinio tyrimų metu.</w:t>
      </w:r>
    </w:p>
    <w:p w14:paraId="40F439EE" w14:textId="77777777" w:rsidR="00CA08B3" w:rsidRPr="00FB2719" w:rsidRDefault="00CA08B3" w:rsidP="00CA08B3">
      <w:pPr>
        <w:tabs>
          <w:tab w:val="left" w:pos="567"/>
        </w:tabs>
        <w:rPr>
          <w:sz w:val="22"/>
          <w:szCs w:val="22"/>
        </w:rPr>
      </w:pPr>
    </w:p>
    <w:p w14:paraId="745F370D" w14:textId="77777777" w:rsidR="00CA08B3" w:rsidRPr="00FB2719" w:rsidRDefault="00CA08B3" w:rsidP="00CA08B3">
      <w:pPr>
        <w:tabs>
          <w:tab w:val="left" w:pos="567"/>
        </w:tabs>
        <w:rPr>
          <w:i/>
          <w:sz w:val="22"/>
          <w:szCs w:val="22"/>
        </w:rPr>
      </w:pPr>
      <w:r w:rsidRPr="00FB2719">
        <w:rPr>
          <w:i/>
          <w:sz w:val="22"/>
          <w:szCs w:val="22"/>
        </w:rPr>
        <w:t>Vartojimas suaugusiesiems</w:t>
      </w:r>
    </w:p>
    <w:p w14:paraId="03CFD487" w14:textId="77777777" w:rsidR="0021404B" w:rsidRPr="00FB2719" w:rsidRDefault="0021404B" w:rsidP="00CA08B3">
      <w:pPr>
        <w:tabs>
          <w:tab w:val="left" w:pos="567"/>
        </w:tabs>
        <w:rPr>
          <w:sz w:val="22"/>
          <w:szCs w:val="22"/>
        </w:rPr>
      </w:pPr>
    </w:p>
    <w:p w14:paraId="5718FA9C" w14:textId="77777777" w:rsidR="00CA08B3" w:rsidRPr="00FB2719" w:rsidRDefault="00CA08B3" w:rsidP="00CA08B3">
      <w:pPr>
        <w:tabs>
          <w:tab w:val="left" w:pos="567"/>
        </w:tabs>
        <w:rPr>
          <w:sz w:val="22"/>
          <w:szCs w:val="22"/>
          <w:u w:val="single"/>
        </w:rPr>
      </w:pPr>
      <w:r w:rsidRPr="00FB2719">
        <w:rPr>
          <w:sz w:val="22"/>
          <w:szCs w:val="22"/>
          <w:u w:val="single"/>
        </w:rPr>
        <w:t>Pacientams, kuriems antiretrovirusinis gydymas anksčiau netaikytas</w:t>
      </w:r>
    </w:p>
    <w:p w14:paraId="74531C05" w14:textId="77777777" w:rsidR="0021404B" w:rsidRPr="00FB2719" w:rsidRDefault="0021404B" w:rsidP="00CA08B3">
      <w:pPr>
        <w:tabs>
          <w:tab w:val="left" w:pos="567"/>
        </w:tabs>
        <w:rPr>
          <w:bCs/>
          <w:sz w:val="22"/>
          <w:szCs w:val="22"/>
        </w:rPr>
      </w:pPr>
    </w:p>
    <w:p w14:paraId="3366D47E" w14:textId="77777777" w:rsidR="00CA08B3" w:rsidRPr="00FB2719" w:rsidRDefault="00CA08B3" w:rsidP="00CA08B3">
      <w:pPr>
        <w:tabs>
          <w:tab w:val="left" w:pos="567"/>
        </w:tabs>
        <w:rPr>
          <w:bCs/>
          <w:sz w:val="22"/>
          <w:szCs w:val="22"/>
        </w:rPr>
      </w:pPr>
      <w:r w:rsidRPr="00FB2719">
        <w:rPr>
          <w:bCs/>
          <w:sz w:val="22"/>
          <w:szCs w:val="22"/>
        </w:rPr>
        <w:t>M98-863 buvo randomizuotas, dvigubai aklas 653 antiretrovirusiniais vaistiniais preparatais negydytų pacientų tyrimas, kurio metu lygintas lopinaviro / ritonaviro derinio (400</w:t>
      </w:r>
      <w:r w:rsidR="001E5E80" w:rsidRPr="00FB2719">
        <w:rPr>
          <w:bCs/>
          <w:sz w:val="22"/>
          <w:szCs w:val="22"/>
        </w:rPr>
        <w:t> mg</w:t>
      </w:r>
      <w:r w:rsidRPr="00FB2719">
        <w:rPr>
          <w:bCs/>
          <w:sz w:val="22"/>
          <w:szCs w:val="22"/>
        </w:rPr>
        <w:t>/100</w:t>
      </w:r>
      <w:r w:rsidR="009B02A4" w:rsidRPr="00FB2719">
        <w:rPr>
          <w:bCs/>
          <w:sz w:val="22"/>
          <w:szCs w:val="22"/>
        </w:rPr>
        <w:t> </w:t>
      </w:r>
      <w:r w:rsidRPr="00FB2719">
        <w:rPr>
          <w:bCs/>
          <w:sz w:val="22"/>
          <w:szCs w:val="22"/>
        </w:rPr>
        <w:t>mg du kartus per parą) ir nelfinaviro (750</w:t>
      </w:r>
      <w:r w:rsidR="009B02A4" w:rsidRPr="00FB2719">
        <w:rPr>
          <w:bCs/>
          <w:sz w:val="22"/>
          <w:szCs w:val="22"/>
        </w:rPr>
        <w:t> </w:t>
      </w:r>
      <w:r w:rsidRPr="00FB2719">
        <w:rPr>
          <w:bCs/>
          <w:sz w:val="22"/>
          <w:szCs w:val="22"/>
        </w:rPr>
        <w:t>mg tris kartus per parą), vartojamo kartu su stavudinu ir lamivudinu, antiretrovirusinis veiksmingumas. Vidutinis CD4+ T-ląstelių skaičius tyrimo pradžioje buvo 259</w:t>
      </w:r>
      <w:r w:rsidR="009B02A4" w:rsidRPr="00FB2719">
        <w:rPr>
          <w:bCs/>
          <w:sz w:val="22"/>
          <w:szCs w:val="22"/>
        </w:rPr>
        <w:t> </w:t>
      </w:r>
      <w:r w:rsidRPr="00FB2719">
        <w:rPr>
          <w:bCs/>
          <w:sz w:val="22"/>
          <w:szCs w:val="22"/>
        </w:rPr>
        <w:t>ląstelių/mm</w:t>
      </w:r>
      <w:r w:rsidRPr="00FB2719">
        <w:rPr>
          <w:bCs/>
          <w:sz w:val="22"/>
          <w:szCs w:val="22"/>
          <w:vertAlign w:val="superscript"/>
        </w:rPr>
        <w:t>3</w:t>
      </w:r>
      <w:r w:rsidRPr="00FB2719">
        <w:rPr>
          <w:bCs/>
          <w:sz w:val="22"/>
          <w:szCs w:val="22"/>
        </w:rPr>
        <w:t xml:space="preserve"> (ribos: nuo 2 iki 949</w:t>
      </w:r>
      <w:r w:rsidR="009B02A4" w:rsidRPr="00FB2719">
        <w:rPr>
          <w:bCs/>
          <w:sz w:val="22"/>
          <w:szCs w:val="22"/>
        </w:rPr>
        <w:t> </w:t>
      </w:r>
      <w:r w:rsidRPr="00FB2719">
        <w:rPr>
          <w:bCs/>
          <w:sz w:val="22"/>
          <w:szCs w:val="22"/>
        </w:rPr>
        <w:t>ląstelių/ mm</w:t>
      </w:r>
      <w:r w:rsidRPr="00FB2719">
        <w:rPr>
          <w:bCs/>
          <w:sz w:val="22"/>
          <w:szCs w:val="22"/>
          <w:vertAlign w:val="superscript"/>
        </w:rPr>
        <w:t>3</w:t>
      </w:r>
      <w:r w:rsidRPr="00FB2719">
        <w:rPr>
          <w:bCs/>
          <w:sz w:val="22"/>
          <w:szCs w:val="22"/>
        </w:rPr>
        <w:t>), o vidutinis plazmos ŽIV-1 RNR tyrimo pradžioje buvo 4,9</w:t>
      </w:r>
      <w:r w:rsidR="00237548" w:rsidRPr="00FB2719">
        <w:rPr>
          <w:bCs/>
          <w:sz w:val="22"/>
          <w:szCs w:val="22"/>
        </w:rPr>
        <w:t> </w:t>
      </w:r>
      <w:r w:rsidRPr="00FB2719">
        <w:rPr>
          <w:bCs/>
          <w:sz w:val="22"/>
          <w:szCs w:val="22"/>
        </w:rPr>
        <w:t>log</w:t>
      </w:r>
      <w:r w:rsidRPr="00FB2719">
        <w:rPr>
          <w:bCs/>
          <w:sz w:val="22"/>
          <w:szCs w:val="22"/>
          <w:vertAlign w:val="subscript"/>
        </w:rPr>
        <w:t>10</w:t>
      </w:r>
      <w:r w:rsidR="00237548" w:rsidRPr="00FB2719">
        <w:rPr>
          <w:bCs/>
          <w:sz w:val="22"/>
          <w:szCs w:val="22"/>
        </w:rPr>
        <w:t> </w:t>
      </w:r>
      <w:r w:rsidRPr="00FB2719">
        <w:rPr>
          <w:bCs/>
          <w:sz w:val="22"/>
          <w:szCs w:val="22"/>
        </w:rPr>
        <w:t>kopijos/ml (ribos: nuo 2,6 iki 6,8</w:t>
      </w:r>
      <w:r w:rsidR="00237548" w:rsidRPr="00FB2719">
        <w:rPr>
          <w:bCs/>
          <w:sz w:val="22"/>
          <w:szCs w:val="22"/>
        </w:rPr>
        <w:t> </w:t>
      </w:r>
      <w:r w:rsidRPr="00FB2719">
        <w:rPr>
          <w:bCs/>
          <w:sz w:val="22"/>
          <w:szCs w:val="22"/>
        </w:rPr>
        <w:t>log</w:t>
      </w:r>
      <w:r w:rsidRPr="00FB2719">
        <w:rPr>
          <w:bCs/>
          <w:sz w:val="22"/>
          <w:szCs w:val="22"/>
          <w:vertAlign w:val="subscript"/>
        </w:rPr>
        <w:t>10</w:t>
      </w:r>
      <w:r w:rsidR="00237548" w:rsidRPr="00FB2719">
        <w:rPr>
          <w:bCs/>
          <w:sz w:val="22"/>
          <w:szCs w:val="22"/>
        </w:rPr>
        <w:t> </w:t>
      </w:r>
      <w:r w:rsidRPr="00FB2719">
        <w:rPr>
          <w:bCs/>
          <w:sz w:val="22"/>
          <w:szCs w:val="22"/>
        </w:rPr>
        <w:t>kopijos/ml).</w:t>
      </w:r>
    </w:p>
    <w:p w14:paraId="0AF2B62D" w14:textId="77777777" w:rsidR="00CA08B3" w:rsidRPr="00FB2719" w:rsidRDefault="00CA08B3" w:rsidP="00CA08B3">
      <w:pPr>
        <w:tabs>
          <w:tab w:val="left" w:pos="567"/>
        </w:tabs>
        <w:rPr>
          <w:bCs/>
          <w:sz w:val="22"/>
          <w:szCs w:val="22"/>
        </w:rPr>
      </w:pPr>
    </w:p>
    <w:p w14:paraId="1C438C01" w14:textId="77777777" w:rsidR="00CA08B3" w:rsidRPr="00FB2719" w:rsidRDefault="00CA08B3" w:rsidP="00CA08B3">
      <w:pPr>
        <w:tabs>
          <w:tab w:val="left" w:pos="567"/>
        </w:tabs>
        <w:rPr>
          <w:bCs/>
          <w:sz w:val="22"/>
          <w:szCs w:val="22"/>
        </w:rPr>
      </w:pPr>
      <w:r w:rsidRPr="00FB2719">
        <w:rPr>
          <w:bCs/>
          <w:sz w:val="22"/>
          <w:szCs w:val="22"/>
        </w:rPr>
        <w:t>1 lentelė</w:t>
      </w:r>
    </w:p>
    <w:p w14:paraId="665EC9EB" w14:textId="77777777" w:rsidR="00CA08B3" w:rsidRPr="00FB2719" w:rsidRDefault="00CA08B3" w:rsidP="00CA08B3">
      <w:pPr>
        <w:tabs>
          <w:tab w:val="left" w:pos="567"/>
        </w:tabs>
        <w:rPr>
          <w:bCs/>
          <w:sz w:val="22"/>
          <w:szCs w:val="22"/>
        </w:rPr>
      </w:pPr>
    </w:p>
    <w:tbl>
      <w:tblPr>
        <w:tblW w:w="0" w:type="auto"/>
        <w:tblInd w:w="147" w:type="dxa"/>
        <w:tblLayout w:type="fixed"/>
        <w:tblCellMar>
          <w:left w:w="0" w:type="dxa"/>
          <w:right w:w="0" w:type="dxa"/>
        </w:tblCellMar>
        <w:tblLook w:val="04A0" w:firstRow="1" w:lastRow="0" w:firstColumn="1" w:lastColumn="0" w:noHBand="0" w:noVBand="1"/>
      </w:tblPr>
      <w:tblGrid>
        <w:gridCol w:w="4394"/>
        <w:gridCol w:w="2552"/>
        <w:gridCol w:w="1984"/>
      </w:tblGrid>
      <w:tr w:rsidR="00CA08B3" w:rsidRPr="00FB2719" w14:paraId="3C2FB724" w14:textId="77777777" w:rsidTr="00CA08B3">
        <w:trPr>
          <w:trHeight w:val="503"/>
        </w:trPr>
        <w:tc>
          <w:tcPr>
            <w:tcW w:w="8930" w:type="dxa"/>
            <w:gridSpan w:val="3"/>
            <w:tcBorders>
              <w:top w:val="single" w:sz="4" w:space="0" w:color="000000"/>
              <w:left w:val="single" w:sz="4" w:space="0" w:color="000000"/>
              <w:bottom w:val="single" w:sz="4" w:space="0" w:color="000000"/>
              <w:right w:val="single" w:sz="4" w:space="0" w:color="000000"/>
            </w:tcBorders>
          </w:tcPr>
          <w:p w14:paraId="5D75281E" w14:textId="77777777" w:rsidR="00CA08B3" w:rsidRPr="00FB2719" w:rsidRDefault="00CA08B3">
            <w:pPr>
              <w:autoSpaceDE w:val="0"/>
              <w:autoSpaceDN w:val="0"/>
              <w:adjustRightInd w:val="0"/>
              <w:spacing w:before="8" w:line="110" w:lineRule="exact"/>
              <w:ind w:left="8"/>
              <w:rPr>
                <w:sz w:val="22"/>
                <w:szCs w:val="22"/>
              </w:rPr>
            </w:pPr>
          </w:p>
          <w:p w14:paraId="7290E861" w14:textId="77777777" w:rsidR="00CA08B3" w:rsidRPr="00FB2719" w:rsidRDefault="00CA08B3">
            <w:pPr>
              <w:autoSpaceDE w:val="0"/>
              <w:autoSpaceDN w:val="0"/>
              <w:adjustRightInd w:val="0"/>
              <w:spacing w:line="276" w:lineRule="auto"/>
              <w:ind w:left="8" w:right="-20"/>
              <w:jc w:val="center"/>
              <w:rPr>
                <w:sz w:val="22"/>
                <w:szCs w:val="22"/>
              </w:rPr>
            </w:pPr>
            <w:r w:rsidRPr="00FB2719">
              <w:rPr>
                <w:b/>
                <w:bCs/>
                <w:sz w:val="22"/>
                <w:szCs w:val="22"/>
              </w:rPr>
              <w:t>M 98-863 tyrimo rezultatai 48-ąją savaitę</w:t>
            </w:r>
          </w:p>
        </w:tc>
      </w:tr>
      <w:tr w:rsidR="00CA08B3" w:rsidRPr="00FB2719" w14:paraId="68BB786F" w14:textId="77777777" w:rsidTr="00CA08B3">
        <w:trPr>
          <w:trHeight w:hRule="exact" w:val="583"/>
        </w:trPr>
        <w:tc>
          <w:tcPr>
            <w:tcW w:w="4394" w:type="dxa"/>
            <w:tcBorders>
              <w:top w:val="single" w:sz="4" w:space="0" w:color="000000"/>
              <w:left w:val="single" w:sz="4" w:space="0" w:color="000000"/>
              <w:bottom w:val="single" w:sz="4" w:space="0" w:color="000000"/>
              <w:right w:val="single" w:sz="4" w:space="0" w:color="000000"/>
            </w:tcBorders>
          </w:tcPr>
          <w:p w14:paraId="0D91BB1F" w14:textId="77777777" w:rsidR="00CA08B3" w:rsidRPr="00FB2719" w:rsidRDefault="00CA08B3">
            <w:pPr>
              <w:autoSpaceDE w:val="0"/>
              <w:autoSpaceDN w:val="0"/>
              <w:adjustRightInd w:val="0"/>
              <w:spacing w:line="276" w:lineRule="auto"/>
              <w:ind w:left="8"/>
              <w:rPr>
                <w:sz w:val="22"/>
                <w:szCs w:val="22"/>
              </w:rPr>
            </w:pPr>
          </w:p>
        </w:tc>
        <w:tc>
          <w:tcPr>
            <w:tcW w:w="2552" w:type="dxa"/>
            <w:tcBorders>
              <w:top w:val="single" w:sz="4" w:space="0" w:color="000000"/>
              <w:left w:val="single" w:sz="4" w:space="0" w:color="000000"/>
              <w:bottom w:val="single" w:sz="4" w:space="0" w:color="000000"/>
              <w:right w:val="single" w:sz="4" w:space="0" w:color="000000"/>
            </w:tcBorders>
            <w:hideMark/>
          </w:tcPr>
          <w:p w14:paraId="2AC43BFA" w14:textId="77777777" w:rsidR="00CA08B3" w:rsidRPr="00FB2719" w:rsidRDefault="00CA08B3">
            <w:pPr>
              <w:autoSpaceDE w:val="0"/>
              <w:autoSpaceDN w:val="0"/>
              <w:adjustRightInd w:val="0"/>
              <w:spacing w:line="251" w:lineRule="exact"/>
              <w:ind w:left="8" w:right="-20"/>
              <w:jc w:val="center"/>
              <w:rPr>
                <w:sz w:val="22"/>
                <w:szCs w:val="22"/>
                <w:lang w:val="en-US"/>
              </w:rPr>
            </w:pPr>
            <w:r w:rsidRPr="00FB2719">
              <w:rPr>
                <w:sz w:val="22"/>
                <w:szCs w:val="22"/>
                <w:lang w:val="en-US"/>
              </w:rPr>
              <w:t xml:space="preserve">Lopinaviro / ritonaviro derinys </w:t>
            </w:r>
            <w:r w:rsidRPr="00FB2719">
              <w:rPr>
                <w:sz w:val="22"/>
                <w:lang w:val="en-US"/>
              </w:rPr>
              <w:t>(</w:t>
            </w:r>
            <w:r w:rsidRPr="00FB2719">
              <w:rPr>
                <w:bCs/>
                <w:sz w:val="22"/>
                <w:szCs w:val="22"/>
                <w:lang w:val="en-US"/>
              </w:rPr>
              <w:t>N</w:t>
            </w:r>
            <w:r w:rsidRPr="00FB2719">
              <w:rPr>
                <w:bCs/>
                <w:spacing w:val="1"/>
                <w:sz w:val="22"/>
                <w:szCs w:val="22"/>
                <w:lang w:val="en-US"/>
              </w:rPr>
              <w:t>=326)</w:t>
            </w:r>
          </w:p>
        </w:tc>
        <w:tc>
          <w:tcPr>
            <w:tcW w:w="1984" w:type="dxa"/>
            <w:tcBorders>
              <w:top w:val="single" w:sz="4" w:space="0" w:color="000000"/>
              <w:left w:val="single" w:sz="4" w:space="0" w:color="000000"/>
              <w:bottom w:val="single" w:sz="4" w:space="0" w:color="000000"/>
              <w:right w:val="single" w:sz="4" w:space="0" w:color="000000"/>
            </w:tcBorders>
            <w:hideMark/>
          </w:tcPr>
          <w:p w14:paraId="453DA3A3" w14:textId="77777777" w:rsidR="00CA08B3" w:rsidRPr="00FB2719" w:rsidRDefault="00CA08B3">
            <w:pPr>
              <w:autoSpaceDE w:val="0"/>
              <w:autoSpaceDN w:val="0"/>
              <w:adjustRightInd w:val="0"/>
              <w:spacing w:line="251" w:lineRule="exact"/>
              <w:ind w:left="8" w:right="-20"/>
              <w:rPr>
                <w:sz w:val="22"/>
                <w:szCs w:val="22"/>
                <w:lang w:val="en-US"/>
              </w:rPr>
            </w:pPr>
            <w:r w:rsidRPr="00FB2719">
              <w:rPr>
                <w:bCs/>
                <w:sz w:val="22"/>
                <w:szCs w:val="22"/>
                <w:lang w:val="en-US"/>
              </w:rPr>
              <w:t>Nelfin</w:t>
            </w:r>
            <w:r w:rsidRPr="00FB2719">
              <w:rPr>
                <w:bCs/>
                <w:spacing w:val="1"/>
                <w:sz w:val="22"/>
                <w:szCs w:val="22"/>
                <w:lang w:val="en-US"/>
              </w:rPr>
              <w:t>av</w:t>
            </w:r>
            <w:r w:rsidRPr="00FB2719">
              <w:rPr>
                <w:bCs/>
                <w:sz w:val="22"/>
                <w:szCs w:val="22"/>
                <w:lang w:val="en-US"/>
              </w:rPr>
              <w:t>iras</w:t>
            </w:r>
            <w:r w:rsidRPr="00FB2719">
              <w:rPr>
                <w:bCs/>
                <w:spacing w:val="-10"/>
                <w:sz w:val="22"/>
                <w:szCs w:val="22"/>
                <w:lang w:val="en-US"/>
              </w:rPr>
              <w:t xml:space="preserve"> </w:t>
            </w:r>
            <w:r w:rsidRPr="00FB2719">
              <w:rPr>
                <w:bCs/>
                <w:sz w:val="22"/>
                <w:szCs w:val="22"/>
                <w:lang w:val="en-US"/>
              </w:rPr>
              <w:t>(N=</w:t>
            </w:r>
            <w:r w:rsidRPr="00FB2719">
              <w:rPr>
                <w:bCs/>
                <w:spacing w:val="1"/>
                <w:sz w:val="22"/>
                <w:szCs w:val="22"/>
                <w:lang w:val="en-US"/>
              </w:rPr>
              <w:t>327</w:t>
            </w:r>
            <w:r w:rsidRPr="00FB2719">
              <w:rPr>
                <w:bCs/>
                <w:sz w:val="22"/>
                <w:szCs w:val="22"/>
                <w:lang w:val="en-US"/>
              </w:rPr>
              <w:t>)</w:t>
            </w:r>
          </w:p>
        </w:tc>
      </w:tr>
      <w:tr w:rsidR="00CA08B3" w:rsidRPr="00FB2719" w14:paraId="38C48132" w14:textId="77777777" w:rsidTr="00CA08B3">
        <w:trPr>
          <w:trHeight w:hRule="exact" w:val="264"/>
        </w:trPr>
        <w:tc>
          <w:tcPr>
            <w:tcW w:w="4394" w:type="dxa"/>
            <w:tcBorders>
              <w:top w:val="single" w:sz="4" w:space="0" w:color="000000"/>
              <w:left w:val="single" w:sz="4" w:space="0" w:color="000000"/>
              <w:bottom w:val="single" w:sz="4" w:space="0" w:color="000000"/>
              <w:right w:val="single" w:sz="4" w:space="0" w:color="000000"/>
            </w:tcBorders>
            <w:hideMark/>
          </w:tcPr>
          <w:p w14:paraId="7B081A74" w14:textId="77777777" w:rsidR="00CA08B3" w:rsidRPr="00FB2719" w:rsidRDefault="00CA08B3" w:rsidP="00237548">
            <w:pPr>
              <w:autoSpaceDE w:val="0"/>
              <w:autoSpaceDN w:val="0"/>
              <w:adjustRightInd w:val="0"/>
              <w:spacing w:line="251" w:lineRule="exact"/>
              <w:ind w:left="8" w:right="-20"/>
              <w:rPr>
                <w:sz w:val="22"/>
                <w:szCs w:val="22"/>
                <w:lang w:val="en-US"/>
              </w:rPr>
            </w:pPr>
            <w:r w:rsidRPr="00FB2719">
              <w:rPr>
                <w:sz w:val="22"/>
                <w:szCs w:val="22"/>
                <w:lang w:val="en-US"/>
              </w:rPr>
              <w:t>ŽIV RNR &lt;</w:t>
            </w:r>
            <w:r w:rsidR="00237548" w:rsidRPr="00FB2719">
              <w:rPr>
                <w:sz w:val="22"/>
                <w:szCs w:val="22"/>
                <w:lang w:val="en-US"/>
              </w:rPr>
              <w:t> </w:t>
            </w:r>
            <w:r w:rsidRPr="00FB2719">
              <w:rPr>
                <w:sz w:val="22"/>
                <w:szCs w:val="22"/>
                <w:lang w:val="en-US"/>
              </w:rPr>
              <w:t>400</w:t>
            </w:r>
            <w:r w:rsidR="00237548" w:rsidRPr="00FB2719">
              <w:rPr>
                <w:sz w:val="22"/>
                <w:szCs w:val="22"/>
                <w:lang w:val="en-US"/>
              </w:rPr>
              <w:t> </w:t>
            </w:r>
            <w:r w:rsidRPr="00FB2719">
              <w:rPr>
                <w:sz w:val="22"/>
                <w:szCs w:val="22"/>
                <w:lang w:val="en-US"/>
              </w:rPr>
              <w:t>kopijų/ml*</w:t>
            </w:r>
          </w:p>
        </w:tc>
        <w:tc>
          <w:tcPr>
            <w:tcW w:w="2552" w:type="dxa"/>
            <w:tcBorders>
              <w:top w:val="single" w:sz="4" w:space="0" w:color="000000"/>
              <w:left w:val="single" w:sz="4" w:space="0" w:color="000000"/>
              <w:bottom w:val="single" w:sz="4" w:space="0" w:color="000000"/>
              <w:right w:val="single" w:sz="4" w:space="0" w:color="000000"/>
            </w:tcBorders>
            <w:hideMark/>
          </w:tcPr>
          <w:p w14:paraId="00EBD612" w14:textId="77777777" w:rsidR="00CA08B3" w:rsidRPr="00FB2719" w:rsidRDefault="00CA08B3">
            <w:pPr>
              <w:autoSpaceDE w:val="0"/>
              <w:autoSpaceDN w:val="0"/>
              <w:adjustRightInd w:val="0"/>
              <w:spacing w:line="251" w:lineRule="exact"/>
              <w:ind w:left="8" w:right="-20"/>
              <w:jc w:val="center"/>
              <w:rPr>
                <w:spacing w:val="-1"/>
                <w:sz w:val="22"/>
                <w:szCs w:val="22"/>
                <w:lang w:val="en-US"/>
              </w:rPr>
            </w:pPr>
            <w:r w:rsidRPr="00FB2719">
              <w:rPr>
                <w:spacing w:val="-1"/>
                <w:sz w:val="22"/>
                <w:szCs w:val="22"/>
                <w:lang w:val="en-US"/>
              </w:rPr>
              <w:t>75 %</w:t>
            </w:r>
          </w:p>
        </w:tc>
        <w:tc>
          <w:tcPr>
            <w:tcW w:w="1984" w:type="dxa"/>
            <w:tcBorders>
              <w:top w:val="single" w:sz="4" w:space="0" w:color="000000"/>
              <w:left w:val="single" w:sz="4" w:space="0" w:color="000000"/>
              <w:bottom w:val="single" w:sz="4" w:space="0" w:color="000000"/>
              <w:right w:val="single" w:sz="4" w:space="0" w:color="000000"/>
            </w:tcBorders>
            <w:hideMark/>
          </w:tcPr>
          <w:p w14:paraId="728022D0" w14:textId="77777777" w:rsidR="00CA08B3" w:rsidRPr="00FB2719" w:rsidRDefault="00CA08B3">
            <w:pPr>
              <w:autoSpaceDE w:val="0"/>
              <w:autoSpaceDN w:val="0"/>
              <w:adjustRightInd w:val="0"/>
              <w:spacing w:line="251" w:lineRule="exact"/>
              <w:ind w:left="8" w:right="-20"/>
              <w:jc w:val="center"/>
              <w:rPr>
                <w:spacing w:val="-1"/>
                <w:sz w:val="22"/>
                <w:szCs w:val="22"/>
                <w:lang w:val="en-US"/>
              </w:rPr>
            </w:pPr>
            <w:r w:rsidRPr="00FB2719">
              <w:rPr>
                <w:spacing w:val="-1"/>
                <w:sz w:val="22"/>
                <w:szCs w:val="22"/>
                <w:lang w:val="en-US"/>
              </w:rPr>
              <w:t>63 %</w:t>
            </w:r>
          </w:p>
        </w:tc>
      </w:tr>
      <w:tr w:rsidR="00CA08B3" w:rsidRPr="00FB2719" w14:paraId="6CAC4D6E" w14:textId="77777777" w:rsidTr="00CA08B3">
        <w:trPr>
          <w:trHeight w:hRule="exact" w:val="263"/>
        </w:trPr>
        <w:tc>
          <w:tcPr>
            <w:tcW w:w="4394" w:type="dxa"/>
            <w:tcBorders>
              <w:top w:val="single" w:sz="4" w:space="0" w:color="000000"/>
              <w:left w:val="single" w:sz="4" w:space="0" w:color="000000"/>
              <w:bottom w:val="single" w:sz="4" w:space="0" w:color="000000"/>
              <w:right w:val="single" w:sz="4" w:space="0" w:color="000000"/>
            </w:tcBorders>
            <w:hideMark/>
          </w:tcPr>
          <w:p w14:paraId="659D354D" w14:textId="77777777" w:rsidR="00CA08B3" w:rsidRPr="00FB2719" w:rsidRDefault="00CA08B3" w:rsidP="00237548">
            <w:pPr>
              <w:autoSpaceDE w:val="0"/>
              <w:autoSpaceDN w:val="0"/>
              <w:adjustRightInd w:val="0"/>
              <w:spacing w:line="251" w:lineRule="exact"/>
              <w:ind w:left="8" w:right="-20"/>
              <w:rPr>
                <w:sz w:val="22"/>
                <w:szCs w:val="22"/>
                <w:lang w:val="en-US"/>
              </w:rPr>
            </w:pPr>
            <w:r w:rsidRPr="00FB2719">
              <w:rPr>
                <w:sz w:val="22"/>
                <w:szCs w:val="22"/>
                <w:lang w:val="en-US"/>
              </w:rPr>
              <w:t>ŽIV RNR &lt;</w:t>
            </w:r>
            <w:r w:rsidR="00237548" w:rsidRPr="00FB2719">
              <w:rPr>
                <w:sz w:val="22"/>
                <w:szCs w:val="22"/>
                <w:lang w:val="en-US"/>
              </w:rPr>
              <w:t> </w:t>
            </w:r>
            <w:r w:rsidRPr="00FB2719">
              <w:rPr>
                <w:sz w:val="22"/>
                <w:szCs w:val="22"/>
                <w:lang w:val="en-US"/>
              </w:rPr>
              <w:t>50</w:t>
            </w:r>
            <w:r w:rsidR="00237548" w:rsidRPr="00FB2719">
              <w:rPr>
                <w:sz w:val="22"/>
                <w:szCs w:val="22"/>
                <w:lang w:val="en-US"/>
              </w:rPr>
              <w:t> </w:t>
            </w:r>
            <w:r w:rsidRPr="00FB2719">
              <w:rPr>
                <w:sz w:val="22"/>
                <w:szCs w:val="22"/>
                <w:lang w:val="en-US"/>
              </w:rPr>
              <w:t>kopijų/ml*†</w:t>
            </w:r>
          </w:p>
        </w:tc>
        <w:tc>
          <w:tcPr>
            <w:tcW w:w="2552" w:type="dxa"/>
            <w:tcBorders>
              <w:top w:val="single" w:sz="4" w:space="0" w:color="000000"/>
              <w:left w:val="single" w:sz="4" w:space="0" w:color="000000"/>
              <w:bottom w:val="single" w:sz="4" w:space="0" w:color="000000"/>
              <w:right w:val="single" w:sz="4" w:space="0" w:color="000000"/>
            </w:tcBorders>
            <w:hideMark/>
          </w:tcPr>
          <w:p w14:paraId="5B12B884" w14:textId="77777777" w:rsidR="00CA08B3" w:rsidRPr="00FB2719" w:rsidRDefault="00CA08B3">
            <w:pPr>
              <w:autoSpaceDE w:val="0"/>
              <w:autoSpaceDN w:val="0"/>
              <w:adjustRightInd w:val="0"/>
              <w:spacing w:line="251" w:lineRule="exact"/>
              <w:ind w:left="8" w:right="-20"/>
              <w:jc w:val="center"/>
              <w:rPr>
                <w:spacing w:val="-1"/>
                <w:sz w:val="22"/>
                <w:szCs w:val="22"/>
                <w:lang w:val="en-US"/>
              </w:rPr>
            </w:pPr>
            <w:r w:rsidRPr="00FB2719">
              <w:rPr>
                <w:spacing w:val="-1"/>
                <w:sz w:val="22"/>
                <w:szCs w:val="22"/>
                <w:lang w:val="en-US"/>
              </w:rPr>
              <w:t>67</w:t>
            </w:r>
            <w:r w:rsidRPr="00FB2719">
              <w:rPr>
                <w:lang w:val="en-US"/>
              </w:rPr>
              <w:t> </w:t>
            </w:r>
            <w:r w:rsidRPr="00FB2719">
              <w:rPr>
                <w:spacing w:val="-1"/>
                <w:sz w:val="22"/>
                <w:szCs w:val="22"/>
                <w:lang w:val="en-US"/>
              </w:rPr>
              <w:t>%</w:t>
            </w:r>
          </w:p>
        </w:tc>
        <w:tc>
          <w:tcPr>
            <w:tcW w:w="1984" w:type="dxa"/>
            <w:tcBorders>
              <w:top w:val="single" w:sz="4" w:space="0" w:color="000000"/>
              <w:left w:val="single" w:sz="4" w:space="0" w:color="000000"/>
              <w:bottom w:val="single" w:sz="4" w:space="0" w:color="000000"/>
              <w:right w:val="single" w:sz="4" w:space="0" w:color="000000"/>
            </w:tcBorders>
            <w:hideMark/>
          </w:tcPr>
          <w:p w14:paraId="783D8F38" w14:textId="77777777" w:rsidR="00CA08B3" w:rsidRPr="00FB2719" w:rsidRDefault="00CA08B3">
            <w:pPr>
              <w:autoSpaceDE w:val="0"/>
              <w:autoSpaceDN w:val="0"/>
              <w:adjustRightInd w:val="0"/>
              <w:spacing w:line="251" w:lineRule="exact"/>
              <w:ind w:left="8" w:right="-20"/>
              <w:jc w:val="center"/>
              <w:rPr>
                <w:spacing w:val="-1"/>
                <w:sz w:val="22"/>
                <w:szCs w:val="22"/>
                <w:lang w:val="en-US"/>
              </w:rPr>
            </w:pPr>
            <w:r w:rsidRPr="00FB2719">
              <w:rPr>
                <w:spacing w:val="-1"/>
                <w:sz w:val="22"/>
                <w:szCs w:val="22"/>
                <w:lang w:val="en-US"/>
              </w:rPr>
              <w:t>52 %</w:t>
            </w:r>
          </w:p>
        </w:tc>
      </w:tr>
      <w:tr w:rsidR="00CA08B3" w:rsidRPr="00FB2719" w14:paraId="7A34D76E" w14:textId="77777777" w:rsidTr="00CA08B3">
        <w:trPr>
          <w:trHeight w:hRule="exact" w:val="741"/>
        </w:trPr>
        <w:tc>
          <w:tcPr>
            <w:tcW w:w="4394" w:type="dxa"/>
            <w:tcBorders>
              <w:top w:val="single" w:sz="4" w:space="0" w:color="000000"/>
              <w:left w:val="single" w:sz="4" w:space="0" w:color="000000"/>
              <w:bottom w:val="single" w:sz="4" w:space="0" w:color="000000"/>
              <w:right w:val="single" w:sz="4" w:space="0" w:color="000000"/>
            </w:tcBorders>
            <w:hideMark/>
          </w:tcPr>
          <w:p w14:paraId="292358FE" w14:textId="77777777" w:rsidR="00CA08B3" w:rsidRPr="00FB2719" w:rsidRDefault="00CA08B3">
            <w:pPr>
              <w:autoSpaceDE w:val="0"/>
              <w:autoSpaceDN w:val="0"/>
              <w:adjustRightInd w:val="0"/>
              <w:spacing w:line="251" w:lineRule="exact"/>
              <w:ind w:left="8" w:right="-20"/>
              <w:rPr>
                <w:sz w:val="22"/>
                <w:szCs w:val="22"/>
              </w:rPr>
            </w:pPr>
            <w:r w:rsidRPr="00FB2719">
              <w:rPr>
                <w:sz w:val="22"/>
                <w:szCs w:val="22"/>
              </w:rPr>
              <w:t>CD4+T-ląstelių skaičiaus vidutinis padidėjimas nuo tyrimo pradžios (ląstelių/mm</w:t>
            </w:r>
            <w:r w:rsidRPr="00FB2719">
              <w:rPr>
                <w:sz w:val="22"/>
                <w:szCs w:val="22"/>
                <w:vertAlign w:val="superscript"/>
              </w:rPr>
              <w:t>3</w:t>
            </w:r>
            <w:r w:rsidRPr="00FB2719">
              <w:rPr>
                <w:sz w:val="22"/>
                <w:szCs w:val="22"/>
              </w:rPr>
              <w:t>)</w:t>
            </w:r>
          </w:p>
        </w:tc>
        <w:tc>
          <w:tcPr>
            <w:tcW w:w="2552" w:type="dxa"/>
            <w:tcBorders>
              <w:top w:val="single" w:sz="4" w:space="0" w:color="000000"/>
              <w:left w:val="single" w:sz="4" w:space="0" w:color="000000"/>
              <w:bottom w:val="single" w:sz="4" w:space="0" w:color="000000"/>
              <w:right w:val="single" w:sz="4" w:space="0" w:color="000000"/>
            </w:tcBorders>
          </w:tcPr>
          <w:p w14:paraId="4C19CEA1" w14:textId="77777777" w:rsidR="00CA08B3" w:rsidRPr="00FB2719" w:rsidRDefault="00CA08B3">
            <w:pPr>
              <w:autoSpaceDE w:val="0"/>
              <w:autoSpaceDN w:val="0"/>
              <w:adjustRightInd w:val="0"/>
              <w:spacing w:line="251" w:lineRule="exact"/>
              <w:ind w:left="8" w:right="-20"/>
              <w:jc w:val="center"/>
              <w:rPr>
                <w:spacing w:val="-1"/>
                <w:sz w:val="22"/>
                <w:szCs w:val="22"/>
              </w:rPr>
            </w:pPr>
          </w:p>
          <w:p w14:paraId="1518E5D6" w14:textId="77777777" w:rsidR="00CA08B3" w:rsidRPr="00FB2719" w:rsidRDefault="00CA08B3">
            <w:pPr>
              <w:autoSpaceDE w:val="0"/>
              <w:autoSpaceDN w:val="0"/>
              <w:adjustRightInd w:val="0"/>
              <w:spacing w:line="251" w:lineRule="exact"/>
              <w:ind w:left="8" w:right="-20"/>
              <w:jc w:val="center"/>
              <w:rPr>
                <w:spacing w:val="-1"/>
                <w:sz w:val="22"/>
                <w:szCs w:val="22"/>
                <w:lang w:val="en-US"/>
              </w:rPr>
            </w:pPr>
            <w:r w:rsidRPr="00FB2719">
              <w:rPr>
                <w:spacing w:val="-1"/>
                <w:sz w:val="22"/>
                <w:szCs w:val="22"/>
                <w:lang w:val="en-US"/>
              </w:rPr>
              <w:t>207</w:t>
            </w:r>
          </w:p>
        </w:tc>
        <w:tc>
          <w:tcPr>
            <w:tcW w:w="1984" w:type="dxa"/>
            <w:tcBorders>
              <w:top w:val="single" w:sz="4" w:space="0" w:color="000000"/>
              <w:left w:val="single" w:sz="4" w:space="0" w:color="000000"/>
              <w:bottom w:val="single" w:sz="4" w:space="0" w:color="000000"/>
              <w:right w:val="single" w:sz="4" w:space="0" w:color="000000"/>
            </w:tcBorders>
          </w:tcPr>
          <w:p w14:paraId="7735F311" w14:textId="77777777" w:rsidR="00CA08B3" w:rsidRPr="00FB2719" w:rsidRDefault="00CA08B3">
            <w:pPr>
              <w:autoSpaceDE w:val="0"/>
              <w:autoSpaceDN w:val="0"/>
              <w:adjustRightInd w:val="0"/>
              <w:spacing w:line="251" w:lineRule="exact"/>
              <w:ind w:left="8" w:right="-20"/>
              <w:jc w:val="center"/>
              <w:rPr>
                <w:spacing w:val="-1"/>
                <w:sz w:val="22"/>
                <w:szCs w:val="22"/>
                <w:lang w:val="en-US"/>
              </w:rPr>
            </w:pPr>
          </w:p>
          <w:p w14:paraId="6BBAD972" w14:textId="77777777" w:rsidR="00CA08B3" w:rsidRPr="00FB2719" w:rsidRDefault="00CA08B3">
            <w:pPr>
              <w:autoSpaceDE w:val="0"/>
              <w:autoSpaceDN w:val="0"/>
              <w:adjustRightInd w:val="0"/>
              <w:spacing w:line="251" w:lineRule="exact"/>
              <w:ind w:left="8" w:right="-20"/>
              <w:jc w:val="center"/>
              <w:rPr>
                <w:spacing w:val="-1"/>
                <w:sz w:val="22"/>
                <w:szCs w:val="22"/>
                <w:lang w:val="en-US"/>
              </w:rPr>
            </w:pPr>
            <w:r w:rsidRPr="00FB2719">
              <w:rPr>
                <w:spacing w:val="-1"/>
                <w:sz w:val="22"/>
                <w:szCs w:val="22"/>
                <w:lang w:val="en-US"/>
              </w:rPr>
              <w:t>195</w:t>
            </w:r>
          </w:p>
        </w:tc>
      </w:tr>
    </w:tbl>
    <w:p w14:paraId="5839A240" w14:textId="77777777" w:rsidR="00CA08B3" w:rsidRPr="00FB2719" w:rsidRDefault="00CA08B3" w:rsidP="00CA08B3">
      <w:pPr>
        <w:tabs>
          <w:tab w:val="left" w:pos="567"/>
        </w:tabs>
        <w:rPr>
          <w:b/>
          <w:bCs/>
          <w:sz w:val="22"/>
          <w:szCs w:val="22"/>
        </w:rPr>
      </w:pPr>
    </w:p>
    <w:p w14:paraId="361264DE" w14:textId="77777777" w:rsidR="00CA08B3" w:rsidRPr="00FB2719" w:rsidRDefault="00CA08B3" w:rsidP="00CA08B3">
      <w:pPr>
        <w:autoSpaceDE w:val="0"/>
        <w:autoSpaceDN w:val="0"/>
        <w:adjustRightInd w:val="0"/>
        <w:rPr>
          <w:rFonts w:eastAsia="Calibri"/>
          <w:color w:val="000000"/>
          <w:sz w:val="22"/>
          <w:szCs w:val="22"/>
          <w:lang w:eastAsia="lt-LT"/>
        </w:rPr>
      </w:pPr>
      <w:r w:rsidRPr="00FB2719">
        <w:rPr>
          <w:rFonts w:eastAsia="Calibri"/>
          <w:color w:val="000000"/>
          <w:sz w:val="22"/>
          <w:szCs w:val="22"/>
          <w:lang w:eastAsia="lt-LT"/>
        </w:rPr>
        <w:t>* ITT analizėje buvo pacientai, kurių duomenų trūko ir jie buvo įvertinti kaip pacientai, kuriems virusologinio atsako nebuvo.</w:t>
      </w:r>
    </w:p>
    <w:p w14:paraId="7AB45689" w14:textId="77777777" w:rsidR="00CA08B3" w:rsidRPr="00FB2719" w:rsidRDefault="00CA08B3" w:rsidP="00CA08B3">
      <w:pPr>
        <w:autoSpaceDE w:val="0"/>
        <w:autoSpaceDN w:val="0"/>
        <w:adjustRightInd w:val="0"/>
        <w:rPr>
          <w:rFonts w:eastAsia="Calibri"/>
          <w:color w:val="000000"/>
          <w:sz w:val="22"/>
          <w:szCs w:val="22"/>
          <w:lang w:eastAsia="lt-LT"/>
        </w:rPr>
      </w:pPr>
      <w:r w:rsidRPr="00FB2719">
        <w:rPr>
          <w:rFonts w:eastAsia="Calibri"/>
          <w:color w:val="000000"/>
          <w:sz w:val="22"/>
          <w:szCs w:val="22"/>
          <w:lang w:eastAsia="lt-LT"/>
        </w:rPr>
        <w:t xml:space="preserve">† p&lt;0,001 </w:t>
      </w:r>
    </w:p>
    <w:p w14:paraId="7368C751" w14:textId="77777777" w:rsidR="00CA08B3" w:rsidRPr="00FB2719" w:rsidRDefault="00CA08B3" w:rsidP="00CA08B3">
      <w:pPr>
        <w:autoSpaceDE w:val="0"/>
        <w:autoSpaceDN w:val="0"/>
        <w:adjustRightInd w:val="0"/>
        <w:rPr>
          <w:rFonts w:eastAsia="Calibri"/>
          <w:color w:val="000000"/>
          <w:sz w:val="22"/>
          <w:szCs w:val="22"/>
          <w:lang w:eastAsia="lt-LT"/>
        </w:rPr>
      </w:pPr>
    </w:p>
    <w:p w14:paraId="15B370E1" w14:textId="77777777" w:rsidR="00CA08B3" w:rsidRPr="00FB2719" w:rsidRDefault="00CA08B3" w:rsidP="00CA08B3">
      <w:pPr>
        <w:autoSpaceDE w:val="0"/>
        <w:autoSpaceDN w:val="0"/>
        <w:adjustRightInd w:val="0"/>
        <w:rPr>
          <w:rFonts w:eastAsia="Calibri"/>
          <w:color w:val="000000"/>
          <w:sz w:val="22"/>
          <w:szCs w:val="22"/>
          <w:lang w:eastAsia="lt-LT"/>
        </w:rPr>
      </w:pPr>
      <w:r w:rsidRPr="00FB2719">
        <w:rPr>
          <w:rFonts w:eastAsia="Calibri"/>
          <w:color w:val="000000"/>
          <w:sz w:val="22"/>
          <w:szCs w:val="22"/>
          <w:lang w:eastAsia="lt-LT"/>
        </w:rPr>
        <w:t>113 nelfinaviru gydytų pacientų ir 74 lopinaviro / ritonaviro deriniu gydytų pacientų ŽIV RNR buvo daugiau nei 400</w:t>
      </w:r>
      <w:r w:rsidR="00237548" w:rsidRPr="00FB2719">
        <w:rPr>
          <w:rFonts w:eastAsia="Calibri"/>
          <w:color w:val="000000"/>
          <w:sz w:val="22"/>
          <w:szCs w:val="22"/>
          <w:lang w:eastAsia="lt-LT"/>
        </w:rPr>
        <w:t> </w:t>
      </w:r>
      <w:r w:rsidRPr="00FB2719">
        <w:rPr>
          <w:rFonts w:eastAsia="Calibri"/>
          <w:color w:val="000000"/>
          <w:sz w:val="22"/>
          <w:szCs w:val="22"/>
          <w:lang w:eastAsia="lt-LT"/>
        </w:rPr>
        <w:t>kopijų/ml 24-96 gydymo savaitėmis. Iš jų 96 gydytiems nelfinaviru ir 51 lopinaviro / ritonaviro deriniu paimti izoliatai atsparumo tyrimams. Atsparumas nelfinavirui apibrėžtas kaip D30N ir L90M mutacijų buvimas proteazėje, jis nustatytas 41/96 (43</w:t>
      </w:r>
      <w:r w:rsidR="00237548" w:rsidRPr="00FB2719">
        <w:rPr>
          <w:rFonts w:eastAsia="Calibri"/>
          <w:color w:val="000000"/>
          <w:sz w:val="22"/>
          <w:szCs w:val="22"/>
          <w:lang w:eastAsia="lt-LT"/>
        </w:rPr>
        <w:t> </w:t>
      </w:r>
      <w:r w:rsidRPr="00FB2719">
        <w:rPr>
          <w:rFonts w:eastAsia="Calibri"/>
          <w:color w:val="000000"/>
          <w:sz w:val="22"/>
          <w:szCs w:val="22"/>
          <w:lang w:eastAsia="lt-LT"/>
        </w:rPr>
        <w:t>%) pacientų. Atsparumas lopinavirui apibrėžtas kaip bet kokių pirminių ar aktyvios mutacijų vietos buvimas proteazėje (žr. aukščiau), jų nustatytas 0/51 (0</w:t>
      </w:r>
      <w:r w:rsidR="00237548" w:rsidRPr="00FB2719">
        <w:rPr>
          <w:rFonts w:eastAsia="Calibri"/>
          <w:color w:val="000000"/>
          <w:sz w:val="22"/>
          <w:szCs w:val="22"/>
          <w:lang w:eastAsia="lt-LT"/>
        </w:rPr>
        <w:t> </w:t>
      </w:r>
      <w:r w:rsidRPr="00FB2719">
        <w:rPr>
          <w:rFonts w:eastAsia="Calibri"/>
          <w:color w:val="000000"/>
          <w:sz w:val="22"/>
          <w:szCs w:val="22"/>
          <w:lang w:eastAsia="lt-LT"/>
        </w:rPr>
        <w:t xml:space="preserve">%) pacientų. Atsparumo nebuvimas lopinavirui buvo patvirtintas ir fenotipine analize. </w:t>
      </w:r>
    </w:p>
    <w:p w14:paraId="1FFE245C" w14:textId="77777777" w:rsidR="00CA08B3" w:rsidRPr="00FB2719" w:rsidRDefault="00CA08B3" w:rsidP="00CA08B3">
      <w:pPr>
        <w:autoSpaceDE w:val="0"/>
        <w:autoSpaceDN w:val="0"/>
        <w:adjustRightInd w:val="0"/>
        <w:rPr>
          <w:rFonts w:eastAsia="Calibri"/>
          <w:color w:val="000000"/>
          <w:sz w:val="22"/>
          <w:szCs w:val="22"/>
          <w:lang w:eastAsia="lt-LT"/>
        </w:rPr>
      </w:pPr>
      <w:r w:rsidRPr="00FB2719">
        <w:rPr>
          <w:rFonts w:eastAsia="Calibri"/>
          <w:color w:val="000000"/>
          <w:sz w:val="22"/>
          <w:szCs w:val="22"/>
          <w:lang w:eastAsia="lt-LT"/>
        </w:rPr>
        <w:t>M05-730 buvo atliktas atsitiktinės atrankos metodu, atviras, daugiacentrinis lyginamasis tyrimas, kurio metu buvo tiriami 664 anksčiau negydyti antiretrovirusiniais vaistiniais preparatais pacientai, kuriems skirta lopinaviro / ritonaviro derinio 800</w:t>
      </w:r>
      <w:r w:rsidR="001E5E80" w:rsidRPr="00FB2719">
        <w:rPr>
          <w:rFonts w:eastAsia="Calibri"/>
          <w:color w:val="000000"/>
          <w:sz w:val="22"/>
          <w:szCs w:val="22"/>
          <w:lang w:eastAsia="lt-LT"/>
        </w:rPr>
        <w:t> mg</w:t>
      </w:r>
      <w:r w:rsidRPr="00FB2719">
        <w:rPr>
          <w:rFonts w:eastAsia="Calibri"/>
          <w:color w:val="000000"/>
          <w:sz w:val="22"/>
          <w:szCs w:val="22"/>
          <w:lang w:eastAsia="lt-LT"/>
        </w:rPr>
        <w:t>/200</w:t>
      </w:r>
      <w:r w:rsidR="00237548" w:rsidRPr="00FB2719">
        <w:rPr>
          <w:rFonts w:eastAsia="Calibri"/>
          <w:color w:val="000000"/>
          <w:sz w:val="22"/>
          <w:szCs w:val="22"/>
          <w:lang w:eastAsia="lt-LT"/>
        </w:rPr>
        <w:t> </w:t>
      </w:r>
      <w:r w:rsidRPr="00FB2719">
        <w:rPr>
          <w:rFonts w:eastAsia="Calibri"/>
          <w:color w:val="000000"/>
          <w:sz w:val="22"/>
          <w:szCs w:val="22"/>
          <w:lang w:eastAsia="lt-LT"/>
        </w:rPr>
        <w:t>mg vieną kartą per parą su tenofoviru DF ir emtricitabinu arba lopinaviro / ritonaviro derinio 400</w:t>
      </w:r>
      <w:r w:rsidR="001E5E80" w:rsidRPr="00FB2719">
        <w:rPr>
          <w:rFonts w:eastAsia="Calibri"/>
          <w:color w:val="000000"/>
          <w:sz w:val="22"/>
          <w:szCs w:val="22"/>
          <w:lang w:eastAsia="lt-LT"/>
        </w:rPr>
        <w:t> mg</w:t>
      </w:r>
      <w:r w:rsidRPr="00FB2719">
        <w:rPr>
          <w:rFonts w:eastAsia="Calibri"/>
          <w:color w:val="000000"/>
          <w:sz w:val="22"/>
          <w:szCs w:val="22"/>
          <w:lang w:eastAsia="lt-LT"/>
        </w:rPr>
        <w:t>/100</w:t>
      </w:r>
      <w:r w:rsidR="00237548" w:rsidRPr="00FB2719">
        <w:rPr>
          <w:rFonts w:eastAsia="Calibri"/>
          <w:color w:val="000000"/>
          <w:sz w:val="22"/>
          <w:szCs w:val="22"/>
          <w:lang w:eastAsia="lt-LT"/>
        </w:rPr>
        <w:t> </w:t>
      </w:r>
      <w:r w:rsidRPr="00FB2719">
        <w:rPr>
          <w:rFonts w:eastAsia="Calibri"/>
          <w:color w:val="000000"/>
          <w:sz w:val="22"/>
          <w:szCs w:val="22"/>
          <w:lang w:eastAsia="lt-LT"/>
        </w:rPr>
        <w:t>mg du kartus per parą su tenofoviru DF ir emtricitabinu. Atsižvelgiant į farmakokinetinę lopinaviro / ritonaviro derinio sąveiką su tenofoviru (žr. 4.5 skyrių), šio tyrimo rezultatų gal negalima griežtai ekstrapoliuoti, jeigu yra taikomi kitokie pagrindiniai lopinaviro / ritonaviro derinio dozavimo režimai. Pacientai buvo atsitiktinės atrankos būdu suskirstyti į grupe</w:t>
      </w:r>
      <w:r w:rsidR="00774503" w:rsidRPr="00FB2719">
        <w:rPr>
          <w:rFonts w:eastAsia="Calibri"/>
          <w:color w:val="000000"/>
          <w:sz w:val="22"/>
          <w:szCs w:val="22"/>
          <w:lang w:eastAsia="lt-LT"/>
        </w:rPr>
        <w:t>s</w:t>
      </w:r>
      <w:r w:rsidRPr="00FB2719">
        <w:rPr>
          <w:rFonts w:eastAsia="Calibri"/>
          <w:color w:val="000000"/>
          <w:sz w:val="22"/>
          <w:szCs w:val="22"/>
          <w:lang w:eastAsia="lt-LT"/>
        </w:rPr>
        <w:t xml:space="preserve"> santykiu 1:1 vartoti lopinaviro / ritonaviro derinio 800/200</w:t>
      </w:r>
      <w:r w:rsidR="00237548" w:rsidRPr="00FB2719">
        <w:rPr>
          <w:rFonts w:eastAsia="Calibri"/>
          <w:color w:val="000000"/>
          <w:sz w:val="22"/>
          <w:szCs w:val="22"/>
          <w:lang w:eastAsia="lt-LT"/>
        </w:rPr>
        <w:t> </w:t>
      </w:r>
      <w:r w:rsidRPr="00FB2719">
        <w:rPr>
          <w:rFonts w:eastAsia="Calibri"/>
          <w:color w:val="000000"/>
          <w:sz w:val="22"/>
          <w:szCs w:val="22"/>
          <w:lang w:eastAsia="lt-LT"/>
        </w:rPr>
        <w:t>mg dozę kartą per parą (n=333) arba lopinaviro / ritonaviro derinio 400</w:t>
      </w:r>
      <w:r w:rsidR="001E5E80" w:rsidRPr="00FB2719">
        <w:rPr>
          <w:rFonts w:eastAsia="Calibri"/>
          <w:color w:val="000000"/>
          <w:sz w:val="22"/>
          <w:szCs w:val="22"/>
          <w:lang w:eastAsia="lt-LT"/>
        </w:rPr>
        <w:t> mg</w:t>
      </w:r>
      <w:r w:rsidRPr="00FB2719">
        <w:rPr>
          <w:rFonts w:eastAsia="Calibri"/>
          <w:color w:val="000000"/>
          <w:sz w:val="22"/>
          <w:szCs w:val="22"/>
          <w:lang w:eastAsia="lt-LT"/>
        </w:rPr>
        <w:t>/100</w:t>
      </w:r>
      <w:r w:rsidR="00237548" w:rsidRPr="00FB2719">
        <w:rPr>
          <w:rFonts w:eastAsia="Calibri"/>
          <w:color w:val="000000"/>
          <w:sz w:val="22"/>
          <w:szCs w:val="22"/>
          <w:lang w:eastAsia="lt-LT"/>
        </w:rPr>
        <w:t> </w:t>
      </w:r>
      <w:r w:rsidRPr="00FB2719">
        <w:rPr>
          <w:rFonts w:eastAsia="Calibri"/>
          <w:color w:val="000000"/>
          <w:sz w:val="22"/>
          <w:szCs w:val="22"/>
          <w:lang w:eastAsia="lt-LT"/>
        </w:rPr>
        <w:t>mg dozę du kartus per parą (n=331). Smulkesnis padalinimas kiekvienoje grupėje buvo 1:1 (tabletės ar minkštos kapsulės). Pacientams buvo skirtos tabletės arba minkštos kapsulės 8</w:t>
      </w:r>
      <w:r w:rsidR="00237548" w:rsidRPr="00FB2719">
        <w:rPr>
          <w:rFonts w:eastAsia="Calibri"/>
          <w:color w:val="000000"/>
          <w:sz w:val="22"/>
          <w:szCs w:val="22"/>
          <w:lang w:eastAsia="lt-LT"/>
        </w:rPr>
        <w:t> </w:t>
      </w:r>
      <w:r w:rsidRPr="00FB2719">
        <w:rPr>
          <w:rFonts w:eastAsia="Calibri"/>
          <w:color w:val="000000"/>
          <w:sz w:val="22"/>
          <w:szCs w:val="22"/>
          <w:lang w:eastAsia="lt-LT"/>
        </w:rPr>
        <w:t>savaites, po to, iki tyrimo pabaigos, visiems likusiems tyrime pacientams skirtos tabletės vieną kartą arba du kartus per parą. Pacientams skirta 200</w:t>
      </w:r>
      <w:r w:rsidR="00237548" w:rsidRPr="00FB2719">
        <w:rPr>
          <w:rFonts w:eastAsia="Calibri"/>
          <w:color w:val="000000"/>
          <w:sz w:val="22"/>
          <w:szCs w:val="22"/>
          <w:lang w:eastAsia="lt-LT"/>
        </w:rPr>
        <w:t> </w:t>
      </w:r>
      <w:r w:rsidRPr="00FB2719">
        <w:rPr>
          <w:rFonts w:eastAsia="Calibri"/>
          <w:color w:val="000000"/>
          <w:sz w:val="22"/>
          <w:szCs w:val="22"/>
          <w:lang w:eastAsia="lt-LT"/>
        </w:rPr>
        <w:t>mg emtricitabino vieną kartą per parą ir 300</w:t>
      </w:r>
      <w:r w:rsidR="00237548" w:rsidRPr="00FB2719">
        <w:rPr>
          <w:rFonts w:eastAsia="Calibri"/>
          <w:color w:val="000000"/>
          <w:sz w:val="22"/>
          <w:szCs w:val="22"/>
          <w:lang w:eastAsia="lt-LT"/>
        </w:rPr>
        <w:t> </w:t>
      </w:r>
      <w:r w:rsidRPr="00FB2719">
        <w:rPr>
          <w:rFonts w:eastAsia="Calibri"/>
          <w:color w:val="000000"/>
          <w:sz w:val="22"/>
          <w:szCs w:val="22"/>
          <w:lang w:eastAsia="lt-LT"/>
        </w:rPr>
        <w:t>mg tenofoviro DF vieną kartą per parą. Protokole buvo apibrėžta, kad dozavimas vieną kartą per parą, palyginti su dozavimu du kartus per parą, nebus laikomas prastesniu, jei skirtumo tarp reagavusių pacientų (vieną kartą per parą minus du kartus per parą) apatinė 95 % patikimumo intervalo riba 48</w:t>
      </w:r>
      <w:r w:rsidR="00237548" w:rsidRPr="00FB2719">
        <w:rPr>
          <w:rFonts w:eastAsia="Calibri"/>
          <w:color w:val="000000"/>
          <w:sz w:val="22"/>
          <w:szCs w:val="22"/>
          <w:lang w:eastAsia="lt-LT"/>
        </w:rPr>
        <w:t> </w:t>
      </w:r>
      <w:r w:rsidRPr="00FB2719">
        <w:rPr>
          <w:rFonts w:eastAsia="Calibri"/>
          <w:color w:val="000000"/>
          <w:sz w:val="22"/>
          <w:szCs w:val="22"/>
          <w:lang w:eastAsia="lt-LT"/>
        </w:rPr>
        <w:t>savaitę nepasieks -12 %.Vidutinis tyrime dalyvavusių pacientų amžius buvo 39</w:t>
      </w:r>
      <w:r w:rsidR="00237548" w:rsidRPr="00FB2719">
        <w:rPr>
          <w:rFonts w:eastAsia="Calibri"/>
          <w:color w:val="000000"/>
          <w:sz w:val="22"/>
          <w:szCs w:val="22"/>
          <w:lang w:eastAsia="lt-LT"/>
        </w:rPr>
        <w:t> </w:t>
      </w:r>
      <w:r w:rsidRPr="00FB2719">
        <w:rPr>
          <w:rFonts w:eastAsia="Calibri"/>
          <w:color w:val="000000"/>
          <w:sz w:val="22"/>
          <w:szCs w:val="22"/>
          <w:lang w:eastAsia="lt-LT"/>
        </w:rPr>
        <w:t>metai ( nuo 19 iki 71); 75 % baltosios rasės ir 78 % vyrai. Pradiniame taške CD4+T ląstelių skaičius buvo 216</w:t>
      </w:r>
      <w:r w:rsidR="00237548" w:rsidRPr="00FB2719">
        <w:rPr>
          <w:rFonts w:eastAsia="Calibri"/>
          <w:color w:val="000000"/>
          <w:sz w:val="22"/>
          <w:szCs w:val="22"/>
          <w:lang w:eastAsia="lt-LT"/>
        </w:rPr>
        <w:t> </w:t>
      </w:r>
      <w:r w:rsidRPr="00FB2719">
        <w:rPr>
          <w:rFonts w:eastAsia="Calibri"/>
          <w:color w:val="000000"/>
          <w:sz w:val="22"/>
          <w:szCs w:val="22"/>
          <w:lang w:eastAsia="lt-LT"/>
        </w:rPr>
        <w:t>ląstelių/ mm</w:t>
      </w:r>
      <w:r w:rsidRPr="00FB2719">
        <w:rPr>
          <w:rFonts w:eastAsia="Calibri"/>
          <w:color w:val="000000"/>
          <w:sz w:val="22"/>
          <w:szCs w:val="22"/>
          <w:vertAlign w:val="superscript"/>
          <w:lang w:eastAsia="lt-LT"/>
        </w:rPr>
        <w:t>3</w:t>
      </w:r>
      <w:r w:rsidRPr="00FB2719">
        <w:rPr>
          <w:rFonts w:eastAsia="Calibri"/>
          <w:color w:val="000000"/>
          <w:sz w:val="22"/>
          <w:szCs w:val="22"/>
          <w:lang w:eastAsia="lt-LT"/>
        </w:rPr>
        <w:t xml:space="preserve"> (diapazonas nuo 20 iki 775</w:t>
      </w:r>
      <w:r w:rsidR="00237548" w:rsidRPr="00FB2719">
        <w:rPr>
          <w:rFonts w:eastAsia="Calibri"/>
          <w:color w:val="000000"/>
          <w:sz w:val="22"/>
          <w:szCs w:val="22"/>
          <w:lang w:eastAsia="lt-LT"/>
        </w:rPr>
        <w:t> </w:t>
      </w:r>
      <w:r w:rsidRPr="00FB2719">
        <w:rPr>
          <w:rFonts w:eastAsia="Calibri"/>
          <w:color w:val="000000"/>
          <w:sz w:val="22"/>
          <w:szCs w:val="22"/>
          <w:lang w:eastAsia="lt-LT"/>
        </w:rPr>
        <w:t>ląstelių/mm</w:t>
      </w:r>
      <w:r w:rsidRPr="00FB2719">
        <w:rPr>
          <w:rFonts w:eastAsia="Calibri"/>
          <w:color w:val="000000"/>
          <w:sz w:val="22"/>
          <w:szCs w:val="22"/>
          <w:vertAlign w:val="superscript"/>
          <w:lang w:eastAsia="lt-LT"/>
        </w:rPr>
        <w:t>3</w:t>
      </w:r>
      <w:r w:rsidRPr="00FB2719">
        <w:rPr>
          <w:rFonts w:eastAsia="Calibri"/>
          <w:color w:val="000000"/>
          <w:sz w:val="22"/>
          <w:szCs w:val="22"/>
          <w:lang w:eastAsia="lt-LT"/>
        </w:rPr>
        <w:t>) ir plazmos ŽIV-1 DNR buvo 5,0</w:t>
      </w:r>
      <w:r w:rsidR="00237548" w:rsidRPr="00FB2719">
        <w:rPr>
          <w:rFonts w:eastAsia="Calibri"/>
          <w:color w:val="000000"/>
          <w:sz w:val="22"/>
          <w:szCs w:val="22"/>
          <w:lang w:eastAsia="lt-LT"/>
        </w:rPr>
        <w:t> </w:t>
      </w:r>
      <w:r w:rsidRPr="00FB2719">
        <w:rPr>
          <w:rFonts w:eastAsia="Calibri"/>
          <w:color w:val="000000"/>
          <w:sz w:val="22"/>
          <w:szCs w:val="22"/>
          <w:lang w:eastAsia="lt-LT"/>
        </w:rPr>
        <w:t>log</w:t>
      </w:r>
      <w:r w:rsidRPr="00FB2719">
        <w:rPr>
          <w:rFonts w:eastAsia="Calibri"/>
          <w:color w:val="000000"/>
          <w:sz w:val="22"/>
          <w:szCs w:val="22"/>
          <w:vertAlign w:val="subscript"/>
          <w:lang w:eastAsia="lt-LT"/>
        </w:rPr>
        <w:t>10</w:t>
      </w:r>
      <w:r w:rsidR="00237548" w:rsidRPr="00FB2719">
        <w:rPr>
          <w:rFonts w:eastAsia="Calibri"/>
          <w:color w:val="000000"/>
          <w:sz w:val="22"/>
          <w:szCs w:val="22"/>
          <w:lang w:eastAsia="lt-LT"/>
        </w:rPr>
        <w:t> </w:t>
      </w:r>
      <w:r w:rsidRPr="00FB2719">
        <w:rPr>
          <w:rFonts w:eastAsia="Calibri"/>
          <w:color w:val="000000"/>
          <w:sz w:val="22"/>
          <w:szCs w:val="22"/>
          <w:lang w:eastAsia="lt-LT"/>
        </w:rPr>
        <w:t>kopijos/ml (diapazonas nuo 1,7 iki 7,0</w:t>
      </w:r>
      <w:r w:rsidR="00237548" w:rsidRPr="00FB2719">
        <w:rPr>
          <w:rFonts w:eastAsia="Calibri"/>
          <w:color w:val="000000"/>
          <w:sz w:val="22"/>
          <w:szCs w:val="22"/>
          <w:lang w:eastAsia="lt-LT"/>
        </w:rPr>
        <w:t> </w:t>
      </w:r>
      <w:r w:rsidRPr="00FB2719">
        <w:rPr>
          <w:rFonts w:eastAsia="Calibri"/>
          <w:color w:val="000000"/>
          <w:sz w:val="22"/>
          <w:szCs w:val="22"/>
          <w:lang w:eastAsia="lt-LT"/>
        </w:rPr>
        <w:t>log</w:t>
      </w:r>
      <w:r w:rsidRPr="00FB2719">
        <w:rPr>
          <w:rFonts w:eastAsia="Calibri"/>
          <w:color w:val="000000"/>
          <w:sz w:val="22"/>
          <w:szCs w:val="22"/>
          <w:vertAlign w:val="subscript"/>
          <w:lang w:eastAsia="lt-LT"/>
        </w:rPr>
        <w:t>10</w:t>
      </w:r>
      <w:r w:rsidR="00237548" w:rsidRPr="00FB2719">
        <w:rPr>
          <w:rFonts w:eastAsia="Calibri"/>
          <w:color w:val="000000"/>
          <w:sz w:val="22"/>
          <w:szCs w:val="22"/>
          <w:lang w:eastAsia="lt-LT"/>
        </w:rPr>
        <w:t> </w:t>
      </w:r>
      <w:r w:rsidRPr="00FB2719">
        <w:rPr>
          <w:rFonts w:eastAsia="Calibri"/>
          <w:color w:val="000000"/>
          <w:sz w:val="22"/>
          <w:szCs w:val="22"/>
          <w:lang w:eastAsia="lt-LT"/>
        </w:rPr>
        <w:t xml:space="preserve">kopijų/ml). </w:t>
      </w:r>
    </w:p>
    <w:p w14:paraId="73C58EDF" w14:textId="77777777" w:rsidR="00CA08B3" w:rsidRPr="00FB2719" w:rsidRDefault="00CA08B3" w:rsidP="00CA08B3">
      <w:pPr>
        <w:tabs>
          <w:tab w:val="left" w:pos="567"/>
        </w:tabs>
        <w:rPr>
          <w:rFonts w:eastAsia="Calibri"/>
          <w:color w:val="000000"/>
          <w:sz w:val="22"/>
          <w:szCs w:val="22"/>
          <w:lang w:eastAsia="lt-LT"/>
        </w:rPr>
      </w:pPr>
    </w:p>
    <w:p w14:paraId="7D06FCB7" w14:textId="77777777" w:rsidR="00CA08B3" w:rsidRPr="00FB2719" w:rsidRDefault="00CA08B3" w:rsidP="00CA08B3">
      <w:pPr>
        <w:tabs>
          <w:tab w:val="left" w:pos="567"/>
        </w:tabs>
        <w:rPr>
          <w:b/>
          <w:bCs/>
          <w:sz w:val="22"/>
          <w:szCs w:val="22"/>
        </w:rPr>
      </w:pPr>
      <w:r w:rsidRPr="00FB2719">
        <w:rPr>
          <w:rFonts w:eastAsia="Calibri"/>
          <w:color w:val="000000"/>
          <w:sz w:val="22"/>
          <w:szCs w:val="22"/>
          <w:lang w:eastAsia="lt-LT"/>
        </w:rPr>
        <w:t>2 lentelė</w:t>
      </w:r>
    </w:p>
    <w:tbl>
      <w:tblPr>
        <w:tblW w:w="5000" w:type="pct"/>
        <w:tblCellMar>
          <w:left w:w="0" w:type="dxa"/>
          <w:right w:w="0" w:type="dxa"/>
        </w:tblCellMar>
        <w:tblLook w:val="04A0" w:firstRow="1" w:lastRow="0" w:firstColumn="1" w:lastColumn="0" w:noHBand="0" w:noVBand="1"/>
      </w:tblPr>
      <w:tblGrid>
        <w:gridCol w:w="3840"/>
        <w:gridCol w:w="796"/>
        <w:gridCol w:w="796"/>
        <w:gridCol w:w="996"/>
        <w:gridCol w:w="796"/>
        <w:gridCol w:w="796"/>
        <w:gridCol w:w="996"/>
      </w:tblGrid>
      <w:tr w:rsidR="00CA08B3" w:rsidRPr="00FB2719" w14:paraId="7CFEB744" w14:textId="77777777" w:rsidTr="00CA08B3">
        <w:trPr>
          <w:trHeight w:val="20"/>
        </w:trPr>
        <w:tc>
          <w:tcPr>
            <w:tcW w:w="5000" w:type="pct"/>
            <w:gridSpan w:val="7"/>
            <w:tcBorders>
              <w:top w:val="single" w:sz="4" w:space="0" w:color="000000"/>
              <w:left w:val="single" w:sz="4" w:space="0" w:color="000000"/>
              <w:bottom w:val="single" w:sz="4" w:space="0" w:color="000000"/>
              <w:right w:val="single" w:sz="4" w:space="0" w:color="000000"/>
            </w:tcBorders>
          </w:tcPr>
          <w:p w14:paraId="1019F47D" w14:textId="77777777" w:rsidR="00CA08B3" w:rsidRPr="00FB2719" w:rsidRDefault="00CA08B3">
            <w:pPr>
              <w:autoSpaceDE w:val="0"/>
              <w:autoSpaceDN w:val="0"/>
              <w:adjustRightInd w:val="0"/>
              <w:spacing w:line="276" w:lineRule="auto"/>
              <w:ind w:left="8"/>
              <w:rPr>
                <w:sz w:val="22"/>
                <w:szCs w:val="22"/>
                <w:u w:val="single"/>
              </w:rPr>
            </w:pPr>
          </w:p>
          <w:p w14:paraId="4EC52A90" w14:textId="77777777" w:rsidR="00CA08B3" w:rsidRPr="00FB2719" w:rsidRDefault="00CA08B3">
            <w:pPr>
              <w:autoSpaceDE w:val="0"/>
              <w:autoSpaceDN w:val="0"/>
              <w:adjustRightInd w:val="0"/>
              <w:spacing w:line="276" w:lineRule="auto"/>
              <w:ind w:left="8"/>
              <w:jc w:val="center"/>
              <w:rPr>
                <w:b/>
                <w:sz w:val="22"/>
                <w:szCs w:val="22"/>
                <w:u w:val="single"/>
              </w:rPr>
            </w:pPr>
            <w:r w:rsidRPr="00FB2719">
              <w:rPr>
                <w:b/>
                <w:sz w:val="22"/>
                <w:szCs w:val="22"/>
                <w:u w:val="single"/>
              </w:rPr>
              <w:t>Virusologinis tiriamųjų atsakas tyrimo metu 48 ir 96 savaitę</w:t>
            </w:r>
          </w:p>
        </w:tc>
      </w:tr>
      <w:tr w:rsidR="00CA08B3" w:rsidRPr="00FB2719" w14:paraId="4978257C" w14:textId="77777777" w:rsidTr="00CA08B3">
        <w:trPr>
          <w:trHeight w:val="20"/>
        </w:trPr>
        <w:tc>
          <w:tcPr>
            <w:tcW w:w="2174" w:type="pct"/>
            <w:tcBorders>
              <w:top w:val="single" w:sz="4" w:space="0" w:color="000000"/>
              <w:left w:val="single" w:sz="4" w:space="0" w:color="000000"/>
              <w:bottom w:val="single" w:sz="4" w:space="0" w:color="000000"/>
              <w:right w:val="single" w:sz="4" w:space="0" w:color="000000"/>
            </w:tcBorders>
          </w:tcPr>
          <w:p w14:paraId="52C9AD8E" w14:textId="77777777" w:rsidR="00CA08B3" w:rsidRPr="00FB2719" w:rsidRDefault="00CA08B3">
            <w:pPr>
              <w:autoSpaceDE w:val="0"/>
              <w:autoSpaceDN w:val="0"/>
              <w:adjustRightInd w:val="0"/>
              <w:spacing w:line="276" w:lineRule="auto"/>
              <w:ind w:left="8"/>
              <w:rPr>
                <w:sz w:val="22"/>
                <w:szCs w:val="22"/>
                <w:u w:val="single"/>
              </w:rPr>
            </w:pPr>
          </w:p>
        </w:tc>
        <w:tc>
          <w:tcPr>
            <w:tcW w:w="1404" w:type="pct"/>
            <w:gridSpan w:val="3"/>
            <w:tcBorders>
              <w:top w:val="single" w:sz="4" w:space="0" w:color="000000"/>
              <w:left w:val="single" w:sz="4" w:space="0" w:color="000000"/>
              <w:bottom w:val="single" w:sz="4" w:space="0" w:color="000000"/>
              <w:right w:val="single" w:sz="4" w:space="0" w:color="000000"/>
            </w:tcBorders>
            <w:hideMark/>
          </w:tcPr>
          <w:p w14:paraId="1E13F22F" w14:textId="77777777" w:rsidR="00CA08B3" w:rsidRPr="00FB2719" w:rsidRDefault="00CA08B3">
            <w:pPr>
              <w:autoSpaceDE w:val="0"/>
              <w:autoSpaceDN w:val="0"/>
              <w:adjustRightInd w:val="0"/>
              <w:spacing w:line="276" w:lineRule="auto"/>
              <w:ind w:left="8" w:right="1207"/>
              <w:jc w:val="center"/>
              <w:rPr>
                <w:sz w:val="22"/>
                <w:szCs w:val="22"/>
                <w:u w:val="single"/>
                <w:lang w:val="en-US"/>
              </w:rPr>
            </w:pPr>
            <w:r w:rsidRPr="00FB2719">
              <w:rPr>
                <w:b/>
                <w:bCs/>
                <w:spacing w:val="1"/>
                <w:w w:val="99"/>
                <w:sz w:val="22"/>
                <w:szCs w:val="22"/>
                <w:u w:val="single"/>
                <w:lang w:val="en-US"/>
              </w:rPr>
              <w:t>4</w:t>
            </w:r>
            <w:r w:rsidRPr="00FB2719">
              <w:rPr>
                <w:b/>
                <w:bCs/>
                <w:w w:val="99"/>
                <w:sz w:val="22"/>
                <w:szCs w:val="22"/>
                <w:u w:val="single"/>
                <w:lang w:val="en-US"/>
              </w:rPr>
              <w:t>8 savaitė</w:t>
            </w:r>
          </w:p>
        </w:tc>
        <w:tc>
          <w:tcPr>
            <w:tcW w:w="1422" w:type="pct"/>
            <w:gridSpan w:val="3"/>
            <w:tcBorders>
              <w:top w:val="single" w:sz="4" w:space="0" w:color="000000"/>
              <w:left w:val="single" w:sz="4" w:space="0" w:color="000000"/>
              <w:bottom w:val="single" w:sz="4" w:space="0" w:color="000000"/>
              <w:right w:val="single" w:sz="4" w:space="0" w:color="000000"/>
            </w:tcBorders>
            <w:hideMark/>
          </w:tcPr>
          <w:p w14:paraId="7E3EC77E" w14:textId="77777777" w:rsidR="00CA08B3" w:rsidRPr="00FB2719" w:rsidRDefault="00CA08B3">
            <w:pPr>
              <w:autoSpaceDE w:val="0"/>
              <w:autoSpaceDN w:val="0"/>
              <w:adjustRightInd w:val="0"/>
              <w:spacing w:line="276" w:lineRule="auto"/>
              <w:ind w:left="8" w:right="1159"/>
              <w:jc w:val="center"/>
              <w:rPr>
                <w:sz w:val="22"/>
                <w:szCs w:val="22"/>
                <w:u w:val="single"/>
                <w:lang w:val="en-US"/>
              </w:rPr>
            </w:pPr>
            <w:r w:rsidRPr="00FB2719">
              <w:rPr>
                <w:b/>
                <w:bCs/>
                <w:spacing w:val="1"/>
                <w:w w:val="99"/>
                <w:sz w:val="22"/>
                <w:szCs w:val="22"/>
                <w:u w:val="single"/>
                <w:lang w:val="en-US"/>
              </w:rPr>
              <w:t>9</w:t>
            </w:r>
            <w:r w:rsidRPr="00FB2719">
              <w:rPr>
                <w:b/>
                <w:bCs/>
                <w:w w:val="99"/>
                <w:sz w:val="22"/>
                <w:szCs w:val="22"/>
                <w:u w:val="single"/>
                <w:lang w:val="en-US"/>
              </w:rPr>
              <w:t>6 savaitė</w:t>
            </w:r>
          </w:p>
        </w:tc>
      </w:tr>
      <w:tr w:rsidR="00CA08B3" w:rsidRPr="00FB2719" w14:paraId="59C93ACF" w14:textId="77777777" w:rsidTr="00CA08B3">
        <w:trPr>
          <w:trHeight w:val="20"/>
        </w:trPr>
        <w:tc>
          <w:tcPr>
            <w:tcW w:w="2174" w:type="pct"/>
            <w:tcBorders>
              <w:top w:val="single" w:sz="4" w:space="0" w:color="000000"/>
              <w:left w:val="single" w:sz="4" w:space="0" w:color="000000"/>
              <w:bottom w:val="single" w:sz="4" w:space="0" w:color="000000"/>
              <w:right w:val="single" w:sz="4" w:space="0" w:color="000000"/>
            </w:tcBorders>
          </w:tcPr>
          <w:p w14:paraId="2142D180" w14:textId="77777777" w:rsidR="00CA08B3" w:rsidRPr="00FB2719" w:rsidRDefault="00CA08B3">
            <w:pPr>
              <w:autoSpaceDE w:val="0"/>
              <w:autoSpaceDN w:val="0"/>
              <w:adjustRightInd w:val="0"/>
              <w:spacing w:line="276" w:lineRule="auto"/>
              <w:ind w:left="8"/>
              <w:rPr>
                <w:sz w:val="22"/>
                <w:szCs w:val="22"/>
                <w:u w:val="single"/>
                <w:lang w:val="en-US"/>
              </w:rPr>
            </w:pPr>
          </w:p>
        </w:tc>
        <w:tc>
          <w:tcPr>
            <w:tcW w:w="417" w:type="pct"/>
            <w:tcBorders>
              <w:top w:val="single" w:sz="4" w:space="0" w:color="000000"/>
              <w:left w:val="single" w:sz="4" w:space="0" w:color="000000"/>
              <w:bottom w:val="single" w:sz="4" w:space="0" w:color="000000"/>
              <w:right w:val="single" w:sz="4" w:space="0" w:color="000000"/>
            </w:tcBorders>
            <w:hideMark/>
          </w:tcPr>
          <w:p w14:paraId="1B6BF1F8" w14:textId="77777777" w:rsidR="00CA08B3" w:rsidRPr="00FB2719" w:rsidRDefault="00CA08B3">
            <w:pPr>
              <w:autoSpaceDE w:val="0"/>
              <w:autoSpaceDN w:val="0"/>
              <w:adjustRightInd w:val="0"/>
              <w:spacing w:line="276" w:lineRule="auto"/>
              <w:ind w:left="8" w:right="-20"/>
              <w:rPr>
                <w:sz w:val="22"/>
                <w:szCs w:val="22"/>
                <w:u w:val="single"/>
                <w:lang w:val="en-US"/>
              </w:rPr>
            </w:pPr>
            <w:r w:rsidRPr="00FB2719">
              <w:rPr>
                <w:b/>
                <w:bCs/>
                <w:sz w:val="22"/>
                <w:szCs w:val="22"/>
                <w:u w:val="single"/>
                <w:lang w:val="en-US"/>
              </w:rPr>
              <w:t>QD</w:t>
            </w:r>
          </w:p>
        </w:tc>
        <w:tc>
          <w:tcPr>
            <w:tcW w:w="417" w:type="pct"/>
            <w:tcBorders>
              <w:top w:val="single" w:sz="4" w:space="0" w:color="000000"/>
              <w:left w:val="single" w:sz="4" w:space="0" w:color="000000"/>
              <w:bottom w:val="single" w:sz="4" w:space="0" w:color="000000"/>
              <w:right w:val="single" w:sz="4" w:space="0" w:color="000000"/>
            </w:tcBorders>
            <w:hideMark/>
          </w:tcPr>
          <w:p w14:paraId="172E821A" w14:textId="77777777" w:rsidR="00CA08B3" w:rsidRPr="00FB2719" w:rsidRDefault="00CA08B3">
            <w:pPr>
              <w:autoSpaceDE w:val="0"/>
              <w:autoSpaceDN w:val="0"/>
              <w:adjustRightInd w:val="0"/>
              <w:spacing w:line="276" w:lineRule="auto"/>
              <w:ind w:left="8" w:right="-20"/>
              <w:rPr>
                <w:sz w:val="22"/>
                <w:szCs w:val="22"/>
                <w:u w:val="single"/>
                <w:lang w:val="en-US"/>
              </w:rPr>
            </w:pPr>
            <w:r w:rsidRPr="00FB2719">
              <w:rPr>
                <w:b/>
                <w:bCs/>
                <w:sz w:val="22"/>
                <w:szCs w:val="22"/>
                <w:u w:val="single"/>
                <w:lang w:val="en-US"/>
              </w:rPr>
              <w:t>BID</w:t>
            </w:r>
          </w:p>
        </w:tc>
        <w:tc>
          <w:tcPr>
            <w:tcW w:w="569" w:type="pct"/>
            <w:tcBorders>
              <w:top w:val="single" w:sz="4" w:space="0" w:color="000000"/>
              <w:left w:val="single" w:sz="4" w:space="0" w:color="000000"/>
              <w:bottom w:val="single" w:sz="4" w:space="0" w:color="000000"/>
              <w:right w:val="single" w:sz="4" w:space="0" w:color="000000"/>
            </w:tcBorders>
            <w:hideMark/>
          </w:tcPr>
          <w:p w14:paraId="6E41CC1A" w14:textId="77777777" w:rsidR="00CA08B3" w:rsidRPr="00FB2719" w:rsidRDefault="00CA08B3">
            <w:pPr>
              <w:autoSpaceDE w:val="0"/>
              <w:autoSpaceDN w:val="0"/>
              <w:adjustRightInd w:val="0"/>
              <w:spacing w:line="276" w:lineRule="auto"/>
              <w:ind w:left="8" w:right="-20"/>
              <w:rPr>
                <w:sz w:val="22"/>
                <w:szCs w:val="22"/>
                <w:u w:val="single"/>
                <w:lang w:val="en-US"/>
              </w:rPr>
            </w:pPr>
            <w:r w:rsidRPr="00FB2719">
              <w:rPr>
                <w:b/>
                <w:bCs/>
                <w:sz w:val="22"/>
                <w:szCs w:val="22"/>
                <w:u w:val="single"/>
                <w:lang w:val="en-US"/>
              </w:rPr>
              <w:t>Skirtumas</w:t>
            </w:r>
          </w:p>
          <w:p w14:paraId="6D3FE52C" w14:textId="77777777" w:rsidR="00CA08B3" w:rsidRPr="00FB2719" w:rsidRDefault="00CA08B3">
            <w:pPr>
              <w:autoSpaceDE w:val="0"/>
              <w:autoSpaceDN w:val="0"/>
              <w:adjustRightInd w:val="0"/>
              <w:spacing w:line="276" w:lineRule="auto"/>
              <w:ind w:left="8" w:right="-20"/>
              <w:rPr>
                <w:sz w:val="22"/>
                <w:szCs w:val="22"/>
                <w:u w:val="single"/>
                <w:lang w:val="en-US"/>
              </w:rPr>
            </w:pPr>
            <w:r w:rsidRPr="00FB2719">
              <w:rPr>
                <w:b/>
                <w:bCs/>
                <w:sz w:val="22"/>
                <w:szCs w:val="22"/>
                <w:u w:val="single"/>
                <w:lang w:val="en-US"/>
              </w:rPr>
              <w:t>[</w:t>
            </w:r>
            <w:r w:rsidRPr="00FB2719">
              <w:rPr>
                <w:b/>
                <w:bCs/>
                <w:spacing w:val="1"/>
                <w:sz w:val="22"/>
                <w:szCs w:val="22"/>
                <w:u w:val="single"/>
                <w:lang w:val="en-US"/>
              </w:rPr>
              <w:t>95 </w:t>
            </w:r>
            <w:r w:rsidRPr="00FB2719">
              <w:rPr>
                <w:b/>
                <w:bCs/>
                <w:sz w:val="22"/>
                <w:szCs w:val="22"/>
                <w:u w:val="single"/>
                <w:lang w:val="en-US"/>
              </w:rPr>
              <w:t>%</w:t>
            </w:r>
            <w:r w:rsidRPr="00FB2719">
              <w:rPr>
                <w:b/>
                <w:bCs/>
                <w:spacing w:val="-6"/>
                <w:sz w:val="22"/>
                <w:szCs w:val="22"/>
                <w:u w:val="single"/>
                <w:lang w:val="en-US"/>
              </w:rPr>
              <w:t xml:space="preserve"> </w:t>
            </w:r>
            <w:r w:rsidRPr="00FB2719">
              <w:rPr>
                <w:b/>
                <w:bCs/>
                <w:sz w:val="22"/>
                <w:szCs w:val="22"/>
                <w:u w:val="single"/>
                <w:lang w:val="en-US"/>
              </w:rPr>
              <w:t>PI]</w:t>
            </w:r>
          </w:p>
        </w:tc>
        <w:tc>
          <w:tcPr>
            <w:tcW w:w="417" w:type="pct"/>
            <w:tcBorders>
              <w:top w:val="single" w:sz="4" w:space="0" w:color="000000"/>
              <w:left w:val="single" w:sz="4" w:space="0" w:color="000000"/>
              <w:bottom w:val="single" w:sz="4" w:space="0" w:color="000000"/>
              <w:right w:val="single" w:sz="4" w:space="0" w:color="000000"/>
            </w:tcBorders>
            <w:hideMark/>
          </w:tcPr>
          <w:p w14:paraId="4747C032" w14:textId="77777777" w:rsidR="00CA08B3" w:rsidRPr="00FB2719" w:rsidRDefault="00CA08B3">
            <w:pPr>
              <w:autoSpaceDE w:val="0"/>
              <w:autoSpaceDN w:val="0"/>
              <w:adjustRightInd w:val="0"/>
              <w:spacing w:line="276" w:lineRule="auto"/>
              <w:ind w:left="8" w:right="-20"/>
              <w:rPr>
                <w:sz w:val="22"/>
                <w:szCs w:val="22"/>
                <w:u w:val="single"/>
                <w:lang w:val="en-US"/>
              </w:rPr>
            </w:pPr>
            <w:r w:rsidRPr="00FB2719">
              <w:rPr>
                <w:b/>
                <w:bCs/>
                <w:sz w:val="22"/>
                <w:szCs w:val="22"/>
                <w:u w:val="single"/>
                <w:lang w:val="en-US"/>
              </w:rPr>
              <w:t>QD</w:t>
            </w:r>
          </w:p>
        </w:tc>
        <w:tc>
          <w:tcPr>
            <w:tcW w:w="417" w:type="pct"/>
            <w:tcBorders>
              <w:top w:val="single" w:sz="4" w:space="0" w:color="000000"/>
              <w:left w:val="single" w:sz="4" w:space="0" w:color="000000"/>
              <w:bottom w:val="single" w:sz="4" w:space="0" w:color="000000"/>
              <w:right w:val="single" w:sz="4" w:space="0" w:color="000000"/>
            </w:tcBorders>
            <w:hideMark/>
          </w:tcPr>
          <w:p w14:paraId="26A517B5" w14:textId="77777777" w:rsidR="00CA08B3" w:rsidRPr="00FB2719" w:rsidRDefault="00CA08B3">
            <w:pPr>
              <w:autoSpaceDE w:val="0"/>
              <w:autoSpaceDN w:val="0"/>
              <w:adjustRightInd w:val="0"/>
              <w:spacing w:line="276" w:lineRule="auto"/>
              <w:ind w:left="8" w:right="-20"/>
              <w:rPr>
                <w:sz w:val="22"/>
                <w:szCs w:val="22"/>
                <w:u w:val="single"/>
                <w:lang w:val="en-US"/>
              </w:rPr>
            </w:pPr>
            <w:r w:rsidRPr="00FB2719">
              <w:rPr>
                <w:b/>
                <w:bCs/>
                <w:sz w:val="22"/>
                <w:szCs w:val="22"/>
                <w:u w:val="single"/>
                <w:lang w:val="en-US"/>
              </w:rPr>
              <w:t>BID</w:t>
            </w:r>
          </w:p>
        </w:tc>
        <w:tc>
          <w:tcPr>
            <w:tcW w:w="587" w:type="pct"/>
            <w:tcBorders>
              <w:top w:val="single" w:sz="4" w:space="0" w:color="000000"/>
              <w:left w:val="single" w:sz="4" w:space="0" w:color="000000"/>
              <w:bottom w:val="single" w:sz="4" w:space="0" w:color="000000"/>
              <w:right w:val="single" w:sz="4" w:space="0" w:color="000000"/>
            </w:tcBorders>
            <w:hideMark/>
          </w:tcPr>
          <w:p w14:paraId="268B308E" w14:textId="77777777" w:rsidR="00CA08B3" w:rsidRPr="00FB2719" w:rsidRDefault="00CA08B3">
            <w:pPr>
              <w:autoSpaceDE w:val="0"/>
              <w:autoSpaceDN w:val="0"/>
              <w:adjustRightInd w:val="0"/>
              <w:spacing w:line="276" w:lineRule="auto"/>
              <w:ind w:left="8" w:right="-20"/>
              <w:rPr>
                <w:sz w:val="22"/>
                <w:szCs w:val="22"/>
                <w:u w:val="single"/>
                <w:lang w:val="en-US"/>
              </w:rPr>
            </w:pPr>
            <w:r w:rsidRPr="00FB2719">
              <w:rPr>
                <w:b/>
                <w:bCs/>
                <w:sz w:val="22"/>
                <w:szCs w:val="22"/>
                <w:u w:val="single"/>
                <w:lang w:val="en-US"/>
              </w:rPr>
              <w:t>Skirtumas</w:t>
            </w:r>
          </w:p>
          <w:p w14:paraId="44D27B19" w14:textId="77777777" w:rsidR="00CA08B3" w:rsidRPr="00FB2719" w:rsidRDefault="00CA08B3">
            <w:pPr>
              <w:autoSpaceDE w:val="0"/>
              <w:autoSpaceDN w:val="0"/>
              <w:adjustRightInd w:val="0"/>
              <w:spacing w:line="276" w:lineRule="auto"/>
              <w:ind w:left="8" w:right="-20"/>
              <w:rPr>
                <w:sz w:val="22"/>
                <w:szCs w:val="22"/>
                <w:u w:val="single"/>
                <w:lang w:val="en-US"/>
              </w:rPr>
            </w:pPr>
            <w:r w:rsidRPr="00FB2719">
              <w:rPr>
                <w:b/>
                <w:bCs/>
                <w:sz w:val="22"/>
                <w:szCs w:val="22"/>
                <w:u w:val="single"/>
                <w:lang w:val="en-US"/>
              </w:rPr>
              <w:t>[</w:t>
            </w:r>
            <w:r w:rsidRPr="00FB2719">
              <w:rPr>
                <w:b/>
                <w:bCs/>
                <w:spacing w:val="1"/>
                <w:sz w:val="22"/>
                <w:szCs w:val="22"/>
                <w:u w:val="single"/>
                <w:lang w:val="en-US"/>
              </w:rPr>
              <w:t>95 </w:t>
            </w:r>
            <w:r w:rsidRPr="00FB2719">
              <w:rPr>
                <w:b/>
                <w:bCs/>
                <w:sz w:val="22"/>
                <w:szCs w:val="22"/>
                <w:u w:val="single"/>
                <w:lang w:val="en-US"/>
              </w:rPr>
              <w:t>%</w:t>
            </w:r>
            <w:r w:rsidRPr="00FB2719">
              <w:rPr>
                <w:b/>
                <w:bCs/>
                <w:spacing w:val="-6"/>
                <w:sz w:val="22"/>
                <w:szCs w:val="22"/>
                <w:u w:val="single"/>
                <w:lang w:val="en-US"/>
              </w:rPr>
              <w:t xml:space="preserve"> </w:t>
            </w:r>
            <w:r w:rsidRPr="00FB2719">
              <w:rPr>
                <w:b/>
                <w:bCs/>
                <w:sz w:val="22"/>
                <w:szCs w:val="22"/>
                <w:u w:val="single"/>
                <w:lang w:val="en-US"/>
              </w:rPr>
              <w:t>PI]</w:t>
            </w:r>
          </w:p>
        </w:tc>
      </w:tr>
      <w:tr w:rsidR="00CA08B3" w:rsidRPr="00FB2719" w14:paraId="2060CEC0" w14:textId="77777777" w:rsidTr="00CA08B3">
        <w:trPr>
          <w:trHeight w:val="20"/>
        </w:trPr>
        <w:tc>
          <w:tcPr>
            <w:tcW w:w="2174" w:type="pct"/>
            <w:tcBorders>
              <w:top w:val="single" w:sz="4" w:space="0" w:color="000000"/>
              <w:left w:val="single" w:sz="4" w:space="0" w:color="000000"/>
              <w:bottom w:val="single" w:sz="4" w:space="0" w:color="000000"/>
              <w:right w:val="single" w:sz="4" w:space="0" w:color="000000"/>
            </w:tcBorders>
            <w:hideMark/>
          </w:tcPr>
          <w:p w14:paraId="17E1F10A" w14:textId="77777777" w:rsidR="00CA08B3" w:rsidRPr="00FB2719" w:rsidRDefault="00CA08B3">
            <w:pPr>
              <w:autoSpaceDE w:val="0"/>
              <w:autoSpaceDN w:val="0"/>
              <w:adjustRightInd w:val="0"/>
              <w:spacing w:line="276" w:lineRule="auto"/>
              <w:ind w:left="8" w:right="-20"/>
              <w:rPr>
                <w:sz w:val="22"/>
                <w:szCs w:val="22"/>
                <w:u w:val="single"/>
                <w:lang w:val="en-US"/>
              </w:rPr>
            </w:pPr>
            <w:r w:rsidRPr="00FB2719">
              <w:rPr>
                <w:sz w:val="22"/>
                <w:szCs w:val="22"/>
                <w:u w:val="single"/>
                <w:lang w:val="en-US"/>
              </w:rPr>
              <w:t>NC= Nesėkmė</w:t>
            </w:r>
          </w:p>
        </w:tc>
        <w:tc>
          <w:tcPr>
            <w:tcW w:w="417" w:type="pct"/>
            <w:tcBorders>
              <w:top w:val="single" w:sz="4" w:space="0" w:color="000000"/>
              <w:left w:val="single" w:sz="4" w:space="0" w:color="000000"/>
              <w:bottom w:val="single" w:sz="4" w:space="0" w:color="000000"/>
              <w:right w:val="single" w:sz="4" w:space="0" w:color="000000"/>
            </w:tcBorders>
            <w:hideMark/>
          </w:tcPr>
          <w:p w14:paraId="51E8DE4E" w14:textId="77777777" w:rsidR="00CA08B3" w:rsidRPr="00FB2719" w:rsidRDefault="00CA08B3">
            <w:pPr>
              <w:autoSpaceDE w:val="0"/>
              <w:autoSpaceDN w:val="0"/>
              <w:adjustRightInd w:val="0"/>
              <w:spacing w:line="276" w:lineRule="auto"/>
              <w:ind w:left="8" w:right="-20"/>
              <w:rPr>
                <w:spacing w:val="1"/>
                <w:sz w:val="22"/>
                <w:szCs w:val="22"/>
                <w:lang w:val="en-US"/>
              </w:rPr>
            </w:pPr>
            <w:r w:rsidRPr="00FB2719">
              <w:rPr>
                <w:spacing w:val="1"/>
                <w:sz w:val="22"/>
                <w:szCs w:val="22"/>
                <w:lang w:val="en-US"/>
              </w:rPr>
              <w:t>257/333</w:t>
            </w:r>
          </w:p>
          <w:p w14:paraId="6DA52FB9" w14:textId="77777777" w:rsidR="00CA08B3" w:rsidRPr="00FB2719" w:rsidRDefault="00CA08B3">
            <w:pPr>
              <w:autoSpaceDE w:val="0"/>
              <w:autoSpaceDN w:val="0"/>
              <w:adjustRightInd w:val="0"/>
              <w:spacing w:line="276" w:lineRule="auto"/>
              <w:ind w:left="8" w:right="-20"/>
              <w:jc w:val="center"/>
              <w:rPr>
                <w:spacing w:val="1"/>
                <w:sz w:val="22"/>
                <w:szCs w:val="22"/>
                <w:lang w:val="en-US"/>
              </w:rPr>
            </w:pPr>
            <w:r w:rsidRPr="00FB2719">
              <w:rPr>
                <w:spacing w:val="1"/>
                <w:sz w:val="22"/>
                <w:szCs w:val="22"/>
                <w:lang w:val="en-US"/>
              </w:rPr>
              <w:t>(77</w:t>
            </w:r>
            <w:proofErr w:type="gramStart"/>
            <w:r w:rsidRPr="00FB2719">
              <w:rPr>
                <w:spacing w:val="1"/>
                <w:sz w:val="22"/>
                <w:szCs w:val="22"/>
                <w:lang w:val="en-US"/>
              </w:rPr>
              <w:t>,2</w:t>
            </w:r>
            <w:proofErr w:type="gramEnd"/>
            <w:r w:rsidRPr="00FB2719">
              <w:rPr>
                <w:spacing w:val="1"/>
                <w:sz w:val="22"/>
                <w:szCs w:val="22"/>
                <w:lang w:val="en-US"/>
              </w:rPr>
              <w:t> %)</w:t>
            </w:r>
          </w:p>
        </w:tc>
        <w:tc>
          <w:tcPr>
            <w:tcW w:w="417" w:type="pct"/>
            <w:tcBorders>
              <w:top w:val="single" w:sz="4" w:space="0" w:color="000000"/>
              <w:left w:val="single" w:sz="4" w:space="0" w:color="000000"/>
              <w:bottom w:val="single" w:sz="4" w:space="0" w:color="000000"/>
              <w:right w:val="single" w:sz="4" w:space="0" w:color="000000"/>
            </w:tcBorders>
            <w:hideMark/>
          </w:tcPr>
          <w:p w14:paraId="7524C0CB" w14:textId="77777777" w:rsidR="00CA08B3" w:rsidRPr="00FB2719" w:rsidRDefault="00CA08B3">
            <w:pPr>
              <w:autoSpaceDE w:val="0"/>
              <w:autoSpaceDN w:val="0"/>
              <w:adjustRightInd w:val="0"/>
              <w:spacing w:line="276" w:lineRule="auto"/>
              <w:ind w:left="8" w:right="-20"/>
              <w:jc w:val="center"/>
              <w:rPr>
                <w:spacing w:val="1"/>
                <w:sz w:val="22"/>
                <w:szCs w:val="22"/>
                <w:lang w:val="en-US"/>
              </w:rPr>
            </w:pPr>
            <w:r w:rsidRPr="00FB2719">
              <w:rPr>
                <w:spacing w:val="1"/>
                <w:sz w:val="22"/>
                <w:szCs w:val="22"/>
                <w:lang w:val="en-US"/>
              </w:rPr>
              <w:t>251/331</w:t>
            </w:r>
          </w:p>
          <w:p w14:paraId="1E051DDD" w14:textId="77777777" w:rsidR="00CA08B3" w:rsidRPr="00FB2719" w:rsidRDefault="00CA08B3">
            <w:pPr>
              <w:autoSpaceDE w:val="0"/>
              <w:autoSpaceDN w:val="0"/>
              <w:adjustRightInd w:val="0"/>
              <w:spacing w:line="276" w:lineRule="auto"/>
              <w:ind w:left="8" w:right="-20"/>
              <w:jc w:val="center"/>
              <w:rPr>
                <w:spacing w:val="1"/>
                <w:sz w:val="22"/>
                <w:szCs w:val="22"/>
                <w:lang w:val="en-US"/>
              </w:rPr>
            </w:pPr>
            <w:r w:rsidRPr="00FB2719">
              <w:rPr>
                <w:spacing w:val="1"/>
                <w:sz w:val="22"/>
                <w:szCs w:val="22"/>
                <w:lang w:val="en-US"/>
              </w:rPr>
              <w:t>(75</w:t>
            </w:r>
            <w:proofErr w:type="gramStart"/>
            <w:r w:rsidRPr="00FB2719">
              <w:rPr>
                <w:spacing w:val="1"/>
                <w:sz w:val="22"/>
                <w:szCs w:val="22"/>
                <w:lang w:val="en-US"/>
              </w:rPr>
              <w:t>,8</w:t>
            </w:r>
            <w:proofErr w:type="gramEnd"/>
            <w:r w:rsidRPr="00FB2719">
              <w:rPr>
                <w:spacing w:val="1"/>
                <w:sz w:val="22"/>
                <w:szCs w:val="22"/>
                <w:lang w:val="en-US"/>
              </w:rPr>
              <w:t> %)</w:t>
            </w:r>
          </w:p>
        </w:tc>
        <w:tc>
          <w:tcPr>
            <w:tcW w:w="569" w:type="pct"/>
            <w:tcBorders>
              <w:top w:val="single" w:sz="4" w:space="0" w:color="000000"/>
              <w:left w:val="single" w:sz="4" w:space="0" w:color="000000"/>
              <w:bottom w:val="single" w:sz="4" w:space="0" w:color="000000"/>
              <w:right w:val="single" w:sz="4" w:space="0" w:color="000000"/>
            </w:tcBorders>
            <w:hideMark/>
          </w:tcPr>
          <w:p w14:paraId="45577356" w14:textId="77777777" w:rsidR="00CA08B3" w:rsidRPr="00FB2719" w:rsidRDefault="00CA08B3">
            <w:pPr>
              <w:autoSpaceDE w:val="0"/>
              <w:autoSpaceDN w:val="0"/>
              <w:adjustRightInd w:val="0"/>
              <w:spacing w:line="276" w:lineRule="auto"/>
              <w:ind w:left="8" w:right="324"/>
              <w:jc w:val="center"/>
              <w:rPr>
                <w:spacing w:val="1"/>
                <w:sz w:val="22"/>
                <w:szCs w:val="22"/>
                <w:lang w:val="en-US"/>
              </w:rPr>
            </w:pPr>
            <w:r w:rsidRPr="00FB2719">
              <w:rPr>
                <w:spacing w:val="1"/>
                <w:sz w:val="22"/>
                <w:szCs w:val="22"/>
                <w:lang w:val="en-US"/>
              </w:rPr>
              <w:t>1,3 %</w:t>
            </w:r>
          </w:p>
          <w:p w14:paraId="46F09218" w14:textId="77777777" w:rsidR="00CA08B3" w:rsidRPr="00FB2719" w:rsidRDefault="00CA08B3">
            <w:pPr>
              <w:autoSpaceDE w:val="0"/>
              <w:autoSpaceDN w:val="0"/>
              <w:adjustRightInd w:val="0"/>
              <w:spacing w:line="276" w:lineRule="auto"/>
              <w:ind w:left="8" w:right="140"/>
              <w:jc w:val="center"/>
              <w:rPr>
                <w:spacing w:val="1"/>
                <w:sz w:val="22"/>
                <w:szCs w:val="22"/>
                <w:lang w:val="en-US"/>
              </w:rPr>
            </w:pPr>
            <w:r w:rsidRPr="00FB2719">
              <w:rPr>
                <w:spacing w:val="1"/>
                <w:sz w:val="22"/>
                <w:szCs w:val="22"/>
                <w:lang w:val="en-US"/>
              </w:rPr>
              <w:t>[-5,1, 7,8]</w:t>
            </w:r>
          </w:p>
        </w:tc>
        <w:tc>
          <w:tcPr>
            <w:tcW w:w="417" w:type="pct"/>
            <w:tcBorders>
              <w:top w:val="single" w:sz="4" w:space="0" w:color="000000"/>
              <w:left w:val="single" w:sz="4" w:space="0" w:color="000000"/>
              <w:bottom w:val="single" w:sz="4" w:space="0" w:color="000000"/>
              <w:right w:val="single" w:sz="4" w:space="0" w:color="000000"/>
            </w:tcBorders>
            <w:hideMark/>
          </w:tcPr>
          <w:p w14:paraId="1621731F" w14:textId="77777777" w:rsidR="00CA08B3" w:rsidRPr="00FB2719" w:rsidRDefault="00CA08B3">
            <w:pPr>
              <w:autoSpaceDE w:val="0"/>
              <w:autoSpaceDN w:val="0"/>
              <w:adjustRightInd w:val="0"/>
              <w:spacing w:line="276" w:lineRule="auto"/>
              <w:ind w:left="8" w:right="-20"/>
              <w:jc w:val="center"/>
              <w:rPr>
                <w:spacing w:val="1"/>
                <w:sz w:val="22"/>
                <w:szCs w:val="22"/>
                <w:lang w:val="en-US"/>
              </w:rPr>
            </w:pPr>
            <w:r w:rsidRPr="00FB2719">
              <w:rPr>
                <w:spacing w:val="1"/>
                <w:sz w:val="22"/>
                <w:szCs w:val="22"/>
                <w:lang w:val="en-US"/>
              </w:rPr>
              <w:t>216/333</w:t>
            </w:r>
          </w:p>
          <w:p w14:paraId="1C4A1BEB" w14:textId="77777777" w:rsidR="00CA08B3" w:rsidRPr="00FB2719" w:rsidRDefault="00CA08B3">
            <w:pPr>
              <w:autoSpaceDE w:val="0"/>
              <w:autoSpaceDN w:val="0"/>
              <w:adjustRightInd w:val="0"/>
              <w:spacing w:line="276" w:lineRule="auto"/>
              <w:ind w:left="8" w:right="-20"/>
              <w:jc w:val="center"/>
              <w:rPr>
                <w:spacing w:val="1"/>
                <w:sz w:val="22"/>
                <w:szCs w:val="22"/>
                <w:lang w:val="en-US"/>
              </w:rPr>
            </w:pPr>
            <w:r w:rsidRPr="00FB2719">
              <w:rPr>
                <w:spacing w:val="1"/>
                <w:sz w:val="22"/>
                <w:szCs w:val="22"/>
                <w:lang w:val="en-US"/>
              </w:rPr>
              <w:t>(64</w:t>
            </w:r>
            <w:proofErr w:type="gramStart"/>
            <w:r w:rsidRPr="00FB2719">
              <w:rPr>
                <w:spacing w:val="1"/>
                <w:sz w:val="22"/>
                <w:szCs w:val="22"/>
                <w:lang w:val="en-US"/>
              </w:rPr>
              <w:t>,9</w:t>
            </w:r>
            <w:proofErr w:type="gramEnd"/>
            <w:r w:rsidRPr="00FB2719">
              <w:rPr>
                <w:spacing w:val="1"/>
                <w:sz w:val="22"/>
                <w:szCs w:val="22"/>
                <w:lang w:val="en-US"/>
              </w:rPr>
              <w:t> %)</w:t>
            </w:r>
          </w:p>
        </w:tc>
        <w:tc>
          <w:tcPr>
            <w:tcW w:w="417" w:type="pct"/>
            <w:tcBorders>
              <w:top w:val="single" w:sz="4" w:space="0" w:color="000000"/>
              <w:left w:val="single" w:sz="4" w:space="0" w:color="000000"/>
              <w:bottom w:val="single" w:sz="4" w:space="0" w:color="000000"/>
              <w:right w:val="single" w:sz="4" w:space="0" w:color="000000"/>
            </w:tcBorders>
            <w:hideMark/>
          </w:tcPr>
          <w:p w14:paraId="621DCDED" w14:textId="77777777" w:rsidR="00CA08B3" w:rsidRPr="00FB2719" w:rsidRDefault="00CA08B3">
            <w:pPr>
              <w:autoSpaceDE w:val="0"/>
              <w:autoSpaceDN w:val="0"/>
              <w:adjustRightInd w:val="0"/>
              <w:spacing w:line="276" w:lineRule="auto"/>
              <w:ind w:left="8" w:right="-20"/>
              <w:jc w:val="center"/>
              <w:rPr>
                <w:spacing w:val="1"/>
                <w:sz w:val="22"/>
                <w:szCs w:val="22"/>
                <w:lang w:val="en-US"/>
              </w:rPr>
            </w:pPr>
            <w:r w:rsidRPr="00FB2719">
              <w:rPr>
                <w:spacing w:val="1"/>
                <w:sz w:val="22"/>
                <w:szCs w:val="22"/>
                <w:lang w:val="en-US"/>
              </w:rPr>
              <w:t>229/331</w:t>
            </w:r>
          </w:p>
          <w:p w14:paraId="2C71E8D9" w14:textId="77777777" w:rsidR="00CA08B3" w:rsidRPr="00FB2719" w:rsidRDefault="00CA08B3">
            <w:pPr>
              <w:autoSpaceDE w:val="0"/>
              <w:autoSpaceDN w:val="0"/>
              <w:adjustRightInd w:val="0"/>
              <w:spacing w:line="276" w:lineRule="auto"/>
              <w:ind w:left="8" w:right="-20"/>
              <w:jc w:val="center"/>
              <w:rPr>
                <w:spacing w:val="1"/>
                <w:sz w:val="22"/>
                <w:szCs w:val="22"/>
                <w:lang w:val="en-US"/>
              </w:rPr>
            </w:pPr>
            <w:r w:rsidRPr="00FB2719">
              <w:rPr>
                <w:spacing w:val="1"/>
                <w:sz w:val="22"/>
                <w:szCs w:val="22"/>
                <w:lang w:val="en-US"/>
              </w:rPr>
              <w:t>(69</w:t>
            </w:r>
            <w:proofErr w:type="gramStart"/>
            <w:r w:rsidRPr="00FB2719">
              <w:rPr>
                <w:spacing w:val="1"/>
                <w:sz w:val="22"/>
                <w:szCs w:val="22"/>
                <w:lang w:val="en-US"/>
              </w:rPr>
              <w:t>,2</w:t>
            </w:r>
            <w:proofErr w:type="gramEnd"/>
            <w:r w:rsidRPr="00FB2719">
              <w:rPr>
                <w:spacing w:val="1"/>
                <w:sz w:val="22"/>
                <w:szCs w:val="22"/>
                <w:lang w:val="en-US"/>
              </w:rPr>
              <w:t> %)</w:t>
            </w:r>
          </w:p>
        </w:tc>
        <w:tc>
          <w:tcPr>
            <w:tcW w:w="587" w:type="pct"/>
            <w:tcBorders>
              <w:top w:val="single" w:sz="4" w:space="0" w:color="000000"/>
              <w:left w:val="single" w:sz="4" w:space="0" w:color="000000"/>
              <w:bottom w:val="single" w:sz="4" w:space="0" w:color="000000"/>
              <w:right w:val="single" w:sz="4" w:space="0" w:color="000000"/>
            </w:tcBorders>
            <w:hideMark/>
          </w:tcPr>
          <w:p w14:paraId="28FE87F4" w14:textId="77777777" w:rsidR="00CA08B3" w:rsidRPr="00FB2719" w:rsidRDefault="00CA08B3">
            <w:pPr>
              <w:autoSpaceDE w:val="0"/>
              <w:autoSpaceDN w:val="0"/>
              <w:adjustRightInd w:val="0"/>
              <w:spacing w:line="276" w:lineRule="auto"/>
              <w:ind w:left="8" w:right="338"/>
              <w:jc w:val="center"/>
              <w:rPr>
                <w:spacing w:val="1"/>
                <w:sz w:val="22"/>
                <w:szCs w:val="22"/>
                <w:lang w:val="en-US"/>
              </w:rPr>
            </w:pPr>
            <w:r w:rsidRPr="00FB2719">
              <w:rPr>
                <w:spacing w:val="1"/>
                <w:sz w:val="22"/>
                <w:szCs w:val="22"/>
                <w:lang w:val="en-US"/>
              </w:rPr>
              <w:t>-4,3 %</w:t>
            </w:r>
          </w:p>
          <w:p w14:paraId="47B25B2E" w14:textId="77777777" w:rsidR="00CA08B3" w:rsidRPr="00FB2719" w:rsidRDefault="00CA08B3" w:rsidP="00774503">
            <w:pPr>
              <w:autoSpaceDE w:val="0"/>
              <w:autoSpaceDN w:val="0"/>
              <w:adjustRightInd w:val="0"/>
              <w:spacing w:line="276" w:lineRule="auto"/>
              <w:ind w:left="8" w:right="108"/>
              <w:jc w:val="center"/>
              <w:rPr>
                <w:spacing w:val="1"/>
                <w:sz w:val="22"/>
                <w:szCs w:val="22"/>
                <w:lang w:val="en-US"/>
              </w:rPr>
            </w:pPr>
            <w:r w:rsidRPr="00FB2719">
              <w:rPr>
                <w:spacing w:val="1"/>
                <w:sz w:val="22"/>
                <w:szCs w:val="22"/>
                <w:lang w:val="en-US"/>
              </w:rPr>
              <w:t>[-11</w:t>
            </w:r>
            <w:r w:rsidR="00774503" w:rsidRPr="00FB2719">
              <w:rPr>
                <w:spacing w:val="1"/>
                <w:sz w:val="22"/>
                <w:szCs w:val="22"/>
                <w:lang w:val="en-US"/>
              </w:rPr>
              <w:t>,</w:t>
            </w:r>
            <w:r w:rsidRPr="00FB2719">
              <w:rPr>
                <w:spacing w:val="1"/>
                <w:sz w:val="22"/>
                <w:szCs w:val="22"/>
                <w:lang w:val="en-US"/>
              </w:rPr>
              <w:t>5, 2</w:t>
            </w:r>
            <w:r w:rsidR="00774503" w:rsidRPr="00FB2719">
              <w:rPr>
                <w:spacing w:val="1"/>
                <w:sz w:val="22"/>
                <w:szCs w:val="22"/>
                <w:lang w:val="en-US"/>
              </w:rPr>
              <w:t>,</w:t>
            </w:r>
            <w:r w:rsidRPr="00FB2719">
              <w:rPr>
                <w:spacing w:val="1"/>
                <w:sz w:val="22"/>
                <w:szCs w:val="22"/>
                <w:lang w:val="en-US"/>
              </w:rPr>
              <w:t>8]</w:t>
            </w:r>
          </w:p>
        </w:tc>
      </w:tr>
      <w:tr w:rsidR="00CA08B3" w:rsidRPr="00FB2719" w14:paraId="1280CD93" w14:textId="77777777" w:rsidTr="00CA08B3">
        <w:trPr>
          <w:trHeight w:val="20"/>
        </w:trPr>
        <w:tc>
          <w:tcPr>
            <w:tcW w:w="2174" w:type="pct"/>
            <w:tcBorders>
              <w:top w:val="single" w:sz="4" w:space="0" w:color="000000"/>
              <w:left w:val="single" w:sz="4" w:space="0" w:color="000000"/>
              <w:bottom w:val="single" w:sz="4" w:space="0" w:color="000000"/>
              <w:right w:val="single" w:sz="4" w:space="0" w:color="000000"/>
            </w:tcBorders>
            <w:hideMark/>
          </w:tcPr>
          <w:p w14:paraId="3CE869D3" w14:textId="77777777" w:rsidR="00CA08B3" w:rsidRPr="00FB2719" w:rsidRDefault="00CA08B3">
            <w:pPr>
              <w:autoSpaceDE w:val="0"/>
              <w:autoSpaceDN w:val="0"/>
              <w:adjustRightInd w:val="0"/>
              <w:spacing w:line="276" w:lineRule="auto"/>
              <w:ind w:left="8" w:right="-20"/>
              <w:rPr>
                <w:sz w:val="22"/>
                <w:szCs w:val="22"/>
                <w:u w:val="single"/>
                <w:lang w:val="en-US"/>
              </w:rPr>
            </w:pPr>
            <w:r w:rsidRPr="00FB2719">
              <w:rPr>
                <w:sz w:val="22"/>
                <w:szCs w:val="22"/>
                <w:u w:val="single"/>
                <w:lang w:val="en-US"/>
              </w:rPr>
              <w:t>Stebėti duomenys</w:t>
            </w:r>
          </w:p>
        </w:tc>
        <w:tc>
          <w:tcPr>
            <w:tcW w:w="417" w:type="pct"/>
            <w:tcBorders>
              <w:top w:val="single" w:sz="4" w:space="0" w:color="000000"/>
              <w:left w:val="single" w:sz="4" w:space="0" w:color="000000"/>
              <w:bottom w:val="single" w:sz="4" w:space="0" w:color="000000"/>
              <w:right w:val="single" w:sz="4" w:space="0" w:color="000000"/>
            </w:tcBorders>
            <w:hideMark/>
          </w:tcPr>
          <w:p w14:paraId="3B30A7D5" w14:textId="77777777" w:rsidR="00CA08B3" w:rsidRPr="00FB2719" w:rsidRDefault="00CA08B3">
            <w:pPr>
              <w:autoSpaceDE w:val="0"/>
              <w:autoSpaceDN w:val="0"/>
              <w:adjustRightInd w:val="0"/>
              <w:spacing w:line="276" w:lineRule="auto"/>
              <w:ind w:left="8" w:right="-20"/>
              <w:jc w:val="center"/>
              <w:rPr>
                <w:spacing w:val="1"/>
                <w:sz w:val="22"/>
                <w:szCs w:val="22"/>
                <w:lang w:val="en-US"/>
              </w:rPr>
            </w:pPr>
            <w:r w:rsidRPr="00FB2719">
              <w:rPr>
                <w:spacing w:val="1"/>
                <w:sz w:val="22"/>
                <w:szCs w:val="22"/>
                <w:lang w:val="en-US"/>
              </w:rPr>
              <w:t>257/295</w:t>
            </w:r>
          </w:p>
          <w:p w14:paraId="54A36A99" w14:textId="77777777" w:rsidR="00CA08B3" w:rsidRPr="00FB2719" w:rsidRDefault="00CA08B3">
            <w:pPr>
              <w:autoSpaceDE w:val="0"/>
              <w:autoSpaceDN w:val="0"/>
              <w:adjustRightInd w:val="0"/>
              <w:spacing w:line="276" w:lineRule="auto"/>
              <w:ind w:left="8" w:right="-20"/>
              <w:jc w:val="center"/>
              <w:rPr>
                <w:spacing w:val="1"/>
                <w:sz w:val="22"/>
                <w:szCs w:val="22"/>
                <w:lang w:val="en-US"/>
              </w:rPr>
            </w:pPr>
            <w:r w:rsidRPr="00FB2719">
              <w:rPr>
                <w:spacing w:val="1"/>
                <w:sz w:val="22"/>
                <w:szCs w:val="22"/>
                <w:lang w:val="en-US"/>
              </w:rPr>
              <w:t>(87</w:t>
            </w:r>
            <w:proofErr w:type="gramStart"/>
            <w:r w:rsidRPr="00FB2719">
              <w:rPr>
                <w:spacing w:val="1"/>
                <w:sz w:val="22"/>
                <w:szCs w:val="22"/>
                <w:lang w:val="en-US"/>
              </w:rPr>
              <w:t>,1</w:t>
            </w:r>
            <w:proofErr w:type="gramEnd"/>
            <w:r w:rsidRPr="00FB2719">
              <w:rPr>
                <w:spacing w:val="1"/>
                <w:sz w:val="22"/>
                <w:szCs w:val="22"/>
                <w:lang w:val="en-US"/>
              </w:rPr>
              <w:t> %)</w:t>
            </w:r>
          </w:p>
        </w:tc>
        <w:tc>
          <w:tcPr>
            <w:tcW w:w="417" w:type="pct"/>
            <w:tcBorders>
              <w:top w:val="single" w:sz="4" w:space="0" w:color="000000"/>
              <w:left w:val="single" w:sz="4" w:space="0" w:color="000000"/>
              <w:bottom w:val="single" w:sz="4" w:space="0" w:color="000000"/>
              <w:right w:val="single" w:sz="4" w:space="0" w:color="000000"/>
            </w:tcBorders>
            <w:hideMark/>
          </w:tcPr>
          <w:p w14:paraId="1C3D4FB8" w14:textId="77777777" w:rsidR="00CA08B3" w:rsidRPr="00FB2719" w:rsidRDefault="00CA08B3">
            <w:pPr>
              <w:autoSpaceDE w:val="0"/>
              <w:autoSpaceDN w:val="0"/>
              <w:adjustRightInd w:val="0"/>
              <w:spacing w:line="276" w:lineRule="auto"/>
              <w:ind w:left="8" w:right="-20"/>
              <w:jc w:val="center"/>
              <w:rPr>
                <w:spacing w:val="1"/>
                <w:sz w:val="22"/>
                <w:szCs w:val="22"/>
                <w:lang w:val="en-US"/>
              </w:rPr>
            </w:pPr>
            <w:r w:rsidRPr="00FB2719">
              <w:rPr>
                <w:spacing w:val="1"/>
                <w:sz w:val="22"/>
                <w:szCs w:val="22"/>
                <w:lang w:val="en-US"/>
              </w:rPr>
              <w:t>250/280</w:t>
            </w:r>
          </w:p>
          <w:p w14:paraId="7727FB0A" w14:textId="77777777" w:rsidR="00CA08B3" w:rsidRPr="00FB2719" w:rsidRDefault="00CA08B3">
            <w:pPr>
              <w:autoSpaceDE w:val="0"/>
              <w:autoSpaceDN w:val="0"/>
              <w:adjustRightInd w:val="0"/>
              <w:spacing w:line="276" w:lineRule="auto"/>
              <w:ind w:left="8" w:right="-20"/>
              <w:jc w:val="center"/>
              <w:rPr>
                <w:spacing w:val="1"/>
                <w:sz w:val="22"/>
                <w:szCs w:val="22"/>
                <w:lang w:val="en-US"/>
              </w:rPr>
            </w:pPr>
            <w:r w:rsidRPr="00FB2719">
              <w:rPr>
                <w:spacing w:val="1"/>
                <w:sz w:val="22"/>
                <w:szCs w:val="22"/>
                <w:lang w:val="en-US"/>
              </w:rPr>
              <w:t>(89</w:t>
            </w:r>
            <w:proofErr w:type="gramStart"/>
            <w:r w:rsidRPr="00FB2719">
              <w:rPr>
                <w:spacing w:val="1"/>
                <w:sz w:val="22"/>
                <w:szCs w:val="22"/>
                <w:lang w:val="en-US"/>
              </w:rPr>
              <w:t>,3</w:t>
            </w:r>
            <w:proofErr w:type="gramEnd"/>
            <w:r w:rsidRPr="00FB2719">
              <w:rPr>
                <w:spacing w:val="1"/>
                <w:sz w:val="22"/>
                <w:szCs w:val="22"/>
                <w:lang w:val="en-US"/>
              </w:rPr>
              <w:t> %)</w:t>
            </w:r>
          </w:p>
        </w:tc>
        <w:tc>
          <w:tcPr>
            <w:tcW w:w="569" w:type="pct"/>
            <w:tcBorders>
              <w:top w:val="single" w:sz="4" w:space="0" w:color="000000"/>
              <w:left w:val="single" w:sz="4" w:space="0" w:color="000000"/>
              <w:bottom w:val="single" w:sz="4" w:space="0" w:color="000000"/>
              <w:right w:val="single" w:sz="4" w:space="0" w:color="000000"/>
            </w:tcBorders>
            <w:hideMark/>
          </w:tcPr>
          <w:p w14:paraId="53D6AD7C" w14:textId="77777777" w:rsidR="00CA08B3" w:rsidRPr="00FB2719" w:rsidRDefault="00CA08B3">
            <w:pPr>
              <w:autoSpaceDE w:val="0"/>
              <w:autoSpaceDN w:val="0"/>
              <w:adjustRightInd w:val="0"/>
              <w:spacing w:line="276" w:lineRule="auto"/>
              <w:ind w:left="8" w:right="315"/>
              <w:jc w:val="center"/>
              <w:rPr>
                <w:spacing w:val="1"/>
                <w:sz w:val="22"/>
                <w:szCs w:val="22"/>
                <w:lang w:val="en-US"/>
              </w:rPr>
            </w:pPr>
            <w:r w:rsidRPr="00FB2719">
              <w:rPr>
                <w:spacing w:val="1"/>
                <w:sz w:val="22"/>
                <w:szCs w:val="22"/>
                <w:lang w:val="en-US"/>
              </w:rPr>
              <w:t>-2,2 %</w:t>
            </w:r>
          </w:p>
          <w:p w14:paraId="6DCA5BD0" w14:textId="77777777" w:rsidR="00CA08B3" w:rsidRPr="00FB2719" w:rsidRDefault="00CA08B3">
            <w:pPr>
              <w:autoSpaceDE w:val="0"/>
              <w:autoSpaceDN w:val="0"/>
              <w:adjustRightInd w:val="0"/>
              <w:spacing w:line="276" w:lineRule="auto"/>
              <w:ind w:left="8" w:right="140"/>
              <w:jc w:val="center"/>
              <w:rPr>
                <w:spacing w:val="1"/>
                <w:sz w:val="22"/>
                <w:szCs w:val="22"/>
                <w:lang w:val="en-US"/>
              </w:rPr>
            </w:pPr>
            <w:r w:rsidRPr="00FB2719">
              <w:rPr>
                <w:spacing w:val="1"/>
                <w:sz w:val="22"/>
                <w:szCs w:val="22"/>
                <w:lang w:val="en-US"/>
              </w:rPr>
              <w:t>[-7,4, 3,1]</w:t>
            </w:r>
          </w:p>
        </w:tc>
        <w:tc>
          <w:tcPr>
            <w:tcW w:w="417" w:type="pct"/>
            <w:tcBorders>
              <w:top w:val="single" w:sz="4" w:space="0" w:color="000000"/>
              <w:left w:val="single" w:sz="4" w:space="0" w:color="000000"/>
              <w:bottom w:val="single" w:sz="4" w:space="0" w:color="000000"/>
              <w:right w:val="single" w:sz="4" w:space="0" w:color="000000"/>
            </w:tcBorders>
            <w:hideMark/>
          </w:tcPr>
          <w:p w14:paraId="07313EBD" w14:textId="77777777" w:rsidR="00CA08B3" w:rsidRPr="00FB2719" w:rsidRDefault="00CA08B3">
            <w:pPr>
              <w:autoSpaceDE w:val="0"/>
              <w:autoSpaceDN w:val="0"/>
              <w:adjustRightInd w:val="0"/>
              <w:spacing w:line="276" w:lineRule="auto"/>
              <w:ind w:left="8" w:right="-20"/>
              <w:jc w:val="center"/>
              <w:rPr>
                <w:spacing w:val="1"/>
                <w:sz w:val="22"/>
                <w:szCs w:val="22"/>
                <w:lang w:val="en-US"/>
              </w:rPr>
            </w:pPr>
            <w:r w:rsidRPr="00FB2719">
              <w:rPr>
                <w:spacing w:val="1"/>
                <w:sz w:val="22"/>
                <w:szCs w:val="22"/>
                <w:lang w:val="en-US"/>
              </w:rPr>
              <w:t>216/247</w:t>
            </w:r>
          </w:p>
          <w:p w14:paraId="07409C06" w14:textId="77777777" w:rsidR="00CA08B3" w:rsidRPr="00FB2719" w:rsidRDefault="00CA08B3">
            <w:pPr>
              <w:autoSpaceDE w:val="0"/>
              <w:autoSpaceDN w:val="0"/>
              <w:adjustRightInd w:val="0"/>
              <w:spacing w:line="276" w:lineRule="auto"/>
              <w:ind w:left="8" w:right="-20"/>
              <w:jc w:val="center"/>
              <w:rPr>
                <w:spacing w:val="1"/>
                <w:sz w:val="22"/>
                <w:szCs w:val="22"/>
                <w:lang w:val="en-US"/>
              </w:rPr>
            </w:pPr>
            <w:r w:rsidRPr="00FB2719">
              <w:rPr>
                <w:spacing w:val="1"/>
                <w:sz w:val="22"/>
                <w:szCs w:val="22"/>
                <w:lang w:val="en-US"/>
              </w:rPr>
              <w:t>(87</w:t>
            </w:r>
            <w:proofErr w:type="gramStart"/>
            <w:r w:rsidRPr="00FB2719">
              <w:rPr>
                <w:spacing w:val="1"/>
                <w:sz w:val="22"/>
                <w:szCs w:val="22"/>
                <w:lang w:val="en-US"/>
              </w:rPr>
              <w:t>,4</w:t>
            </w:r>
            <w:proofErr w:type="gramEnd"/>
            <w:r w:rsidRPr="00FB2719">
              <w:rPr>
                <w:spacing w:val="1"/>
                <w:sz w:val="22"/>
                <w:szCs w:val="22"/>
                <w:lang w:val="en-US"/>
              </w:rPr>
              <w:t> %)</w:t>
            </w:r>
          </w:p>
        </w:tc>
        <w:tc>
          <w:tcPr>
            <w:tcW w:w="417" w:type="pct"/>
            <w:tcBorders>
              <w:top w:val="single" w:sz="4" w:space="0" w:color="000000"/>
              <w:left w:val="single" w:sz="4" w:space="0" w:color="000000"/>
              <w:bottom w:val="single" w:sz="4" w:space="0" w:color="000000"/>
              <w:right w:val="single" w:sz="4" w:space="0" w:color="000000"/>
            </w:tcBorders>
            <w:hideMark/>
          </w:tcPr>
          <w:p w14:paraId="54AE50F8" w14:textId="77777777" w:rsidR="00CA08B3" w:rsidRPr="00FB2719" w:rsidRDefault="00CA08B3">
            <w:pPr>
              <w:autoSpaceDE w:val="0"/>
              <w:autoSpaceDN w:val="0"/>
              <w:adjustRightInd w:val="0"/>
              <w:spacing w:line="276" w:lineRule="auto"/>
              <w:ind w:left="8" w:right="-20"/>
              <w:jc w:val="center"/>
              <w:rPr>
                <w:spacing w:val="1"/>
                <w:sz w:val="22"/>
                <w:szCs w:val="22"/>
                <w:lang w:val="en-US"/>
              </w:rPr>
            </w:pPr>
            <w:r w:rsidRPr="00FB2719">
              <w:rPr>
                <w:spacing w:val="1"/>
                <w:sz w:val="22"/>
                <w:szCs w:val="22"/>
                <w:lang w:val="en-US"/>
              </w:rPr>
              <w:t>229/248</w:t>
            </w:r>
          </w:p>
          <w:p w14:paraId="3E651C2D" w14:textId="77777777" w:rsidR="00CA08B3" w:rsidRPr="00FB2719" w:rsidRDefault="00CA08B3">
            <w:pPr>
              <w:autoSpaceDE w:val="0"/>
              <w:autoSpaceDN w:val="0"/>
              <w:adjustRightInd w:val="0"/>
              <w:spacing w:line="276" w:lineRule="auto"/>
              <w:ind w:left="8" w:right="-20"/>
              <w:jc w:val="center"/>
              <w:rPr>
                <w:spacing w:val="1"/>
                <w:sz w:val="22"/>
                <w:szCs w:val="22"/>
                <w:lang w:val="en-US"/>
              </w:rPr>
            </w:pPr>
            <w:r w:rsidRPr="00FB2719">
              <w:rPr>
                <w:spacing w:val="1"/>
                <w:sz w:val="22"/>
                <w:szCs w:val="22"/>
                <w:lang w:val="en-US"/>
              </w:rPr>
              <w:t>(92</w:t>
            </w:r>
            <w:proofErr w:type="gramStart"/>
            <w:r w:rsidRPr="00FB2719">
              <w:rPr>
                <w:spacing w:val="1"/>
                <w:sz w:val="22"/>
                <w:szCs w:val="22"/>
                <w:lang w:val="en-US"/>
              </w:rPr>
              <w:t>,3</w:t>
            </w:r>
            <w:proofErr w:type="gramEnd"/>
            <w:r w:rsidRPr="00FB2719">
              <w:rPr>
                <w:spacing w:val="1"/>
                <w:sz w:val="22"/>
                <w:szCs w:val="22"/>
                <w:lang w:val="en-US"/>
              </w:rPr>
              <w:t> %)</w:t>
            </w:r>
          </w:p>
        </w:tc>
        <w:tc>
          <w:tcPr>
            <w:tcW w:w="587" w:type="pct"/>
            <w:tcBorders>
              <w:top w:val="single" w:sz="4" w:space="0" w:color="000000"/>
              <w:left w:val="single" w:sz="4" w:space="0" w:color="000000"/>
              <w:bottom w:val="single" w:sz="4" w:space="0" w:color="000000"/>
              <w:right w:val="single" w:sz="4" w:space="0" w:color="000000"/>
            </w:tcBorders>
            <w:hideMark/>
          </w:tcPr>
          <w:p w14:paraId="47F6BB45" w14:textId="77777777" w:rsidR="00CA08B3" w:rsidRPr="00FB2719" w:rsidRDefault="00CA08B3">
            <w:pPr>
              <w:autoSpaceDE w:val="0"/>
              <w:autoSpaceDN w:val="0"/>
              <w:adjustRightInd w:val="0"/>
              <w:spacing w:line="276" w:lineRule="auto"/>
              <w:ind w:left="8" w:right="337"/>
              <w:jc w:val="center"/>
              <w:rPr>
                <w:spacing w:val="1"/>
                <w:sz w:val="22"/>
                <w:szCs w:val="22"/>
                <w:lang w:val="en-US"/>
              </w:rPr>
            </w:pPr>
            <w:r w:rsidRPr="00FB2719">
              <w:rPr>
                <w:spacing w:val="1"/>
                <w:sz w:val="22"/>
                <w:szCs w:val="22"/>
                <w:lang w:val="en-US"/>
              </w:rPr>
              <w:t>-4,9 %</w:t>
            </w:r>
          </w:p>
          <w:p w14:paraId="5F7B267F" w14:textId="77777777" w:rsidR="00CA08B3" w:rsidRPr="00FB2719" w:rsidRDefault="00CA08B3">
            <w:pPr>
              <w:autoSpaceDE w:val="0"/>
              <w:autoSpaceDN w:val="0"/>
              <w:adjustRightInd w:val="0"/>
              <w:spacing w:line="276" w:lineRule="auto"/>
              <w:ind w:left="8" w:right="108"/>
              <w:jc w:val="center"/>
              <w:rPr>
                <w:spacing w:val="1"/>
                <w:sz w:val="22"/>
                <w:szCs w:val="22"/>
                <w:lang w:val="en-US"/>
              </w:rPr>
            </w:pPr>
            <w:r w:rsidRPr="00FB2719">
              <w:rPr>
                <w:spacing w:val="1"/>
                <w:sz w:val="22"/>
                <w:szCs w:val="22"/>
                <w:lang w:val="en-US"/>
              </w:rPr>
              <w:t>[-10,2, 0,4]</w:t>
            </w:r>
          </w:p>
        </w:tc>
      </w:tr>
      <w:tr w:rsidR="00CA08B3" w:rsidRPr="00FB2719" w14:paraId="30B4F2CB" w14:textId="77777777" w:rsidTr="00CA08B3">
        <w:trPr>
          <w:trHeight w:val="20"/>
        </w:trPr>
        <w:tc>
          <w:tcPr>
            <w:tcW w:w="2174" w:type="pct"/>
            <w:tcBorders>
              <w:top w:val="single" w:sz="4" w:space="0" w:color="000000"/>
              <w:left w:val="single" w:sz="4" w:space="0" w:color="000000"/>
              <w:bottom w:val="single" w:sz="4" w:space="0" w:color="000000"/>
              <w:right w:val="single" w:sz="4" w:space="0" w:color="000000"/>
            </w:tcBorders>
            <w:hideMark/>
          </w:tcPr>
          <w:p w14:paraId="725B4868" w14:textId="77777777" w:rsidR="00CA08B3" w:rsidRPr="00FB2719" w:rsidRDefault="00CA08B3">
            <w:pPr>
              <w:autoSpaceDE w:val="0"/>
              <w:autoSpaceDN w:val="0"/>
              <w:adjustRightInd w:val="0"/>
              <w:spacing w:line="276" w:lineRule="auto"/>
              <w:ind w:left="8" w:right="96"/>
              <w:rPr>
                <w:sz w:val="22"/>
                <w:szCs w:val="22"/>
                <w:u w:val="single"/>
              </w:rPr>
            </w:pPr>
            <w:r w:rsidRPr="00FB2719">
              <w:rPr>
                <w:sz w:val="22"/>
                <w:szCs w:val="22"/>
              </w:rPr>
              <w:t>Vidutinis CD4+ T-ląstelių skaičiaus padidėjimas nuo tyrimo pradžios (ląstelių/mm</w:t>
            </w:r>
            <w:r w:rsidRPr="00FB2719">
              <w:rPr>
                <w:spacing w:val="1"/>
                <w:sz w:val="22"/>
                <w:szCs w:val="22"/>
                <w:vertAlign w:val="superscript"/>
              </w:rPr>
              <w:t>3</w:t>
            </w:r>
            <w:r w:rsidRPr="00FB2719">
              <w:rPr>
                <w:sz w:val="22"/>
                <w:szCs w:val="22"/>
              </w:rPr>
              <w:t>)</w:t>
            </w:r>
          </w:p>
        </w:tc>
        <w:tc>
          <w:tcPr>
            <w:tcW w:w="417" w:type="pct"/>
            <w:tcBorders>
              <w:top w:val="single" w:sz="4" w:space="0" w:color="000000"/>
              <w:left w:val="single" w:sz="4" w:space="0" w:color="000000"/>
              <w:bottom w:val="single" w:sz="4" w:space="0" w:color="000000"/>
              <w:right w:val="single" w:sz="4" w:space="0" w:color="000000"/>
            </w:tcBorders>
            <w:hideMark/>
          </w:tcPr>
          <w:p w14:paraId="32F5ACFA" w14:textId="77777777" w:rsidR="00CA08B3" w:rsidRPr="00FB2719" w:rsidRDefault="00CA08B3">
            <w:pPr>
              <w:autoSpaceDE w:val="0"/>
              <w:autoSpaceDN w:val="0"/>
              <w:adjustRightInd w:val="0"/>
              <w:spacing w:line="276" w:lineRule="auto"/>
              <w:ind w:left="8" w:right="-20"/>
              <w:jc w:val="center"/>
              <w:rPr>
                <w:spacing w:val="1"/>
                <w:sz w:val="22"/>
                <w:szCs w:val="22"/>
                <w:lang w:val="en-US"/>
              </w:rPr>
            </w:pPr>
            <w:r w:rsidRPr="00FB2719">
              <w:rPr>
                <w:spacing w:val="1"/>
                <w:sz w:val="22"/>
                <w:szCs w:val="22"/>
                <w:lang w:val="en-US"/>
              </w:rPr>
              <w:t>186</w:t>
            </w:r>
          </w:p>
        </w:tc>
        <w:tc>
          <w:tcPr>
            <w:tcW w:w="417" w:type="pct"/>
            <w:tcBorders>
              <w:top w:val="single" w:sz="4" w:space="0" w:color="000000"/>
              <w:left w:val="single" w:sz="4" w:space="0" w:color="000000"/>
              <w:bottom w:val="single" w:sz="4" w:space="0" w:color="000000"/>
              <w:right w:val="single" w:sz="4" w:space="0" w:color="000000"/>
            </w:tcBorders>
            <w:hideMark/>
          </w:tcPr>
          <w:p w14:paraId="15F9BB94" w14:textId="77777777" w:rsidR="00CA08B3" w:rsidRPr="00FB2719" w:rsidRDefault="00CA08B3">
            <w:pPr>
              <w:autoSpaceDE w:val="0"/>
              <w:autoSpaceDN w:val="0"/>
              <w:adjustRightInd w:val="0"/>
              <w:spacing w:line="276" w:lineRule="auto"/>
              <w:ind w:left="8" w:right="-20"/>
              <w:jc w:val="center"/>
              <w:rPr>
                <w:spacing w:val="1"/>
                <w:sz w:val="22"/>
                <w:szCs w:val="22"/>
                <w:lang w:val="en-US"/>
              </w:rPr>
            </w:pPr>
            <w:r w:rsidRPr="00FB2719">
              <w:rPr>
                <w:spacing w:val="1"/>
                <w:sz w:val="22"/>
                <w:szCs w:val="22"/>
                <w:lang w:val="en-US"/>
              </w:rPr>
              <w:t>198</w:t>
            </w:r>
          </w:p>
        </w:tc>
        <w:tc>
          <w:tcPr>
            <w:tcW w:w="569" w:type="pct"/>
            <w:tcBorders>
              <w:top w:val="single" w:sz="4" w:space="0" w:color="000000"/>
              <w:left w:val="single" w:sz="4" w:space="0" w:color="000000"/>
              <w:bottom w:val="single" w:sz="4" w:space="0" w:color="000000"/>
              <w:right w:val="single" w:sz="4" w:space="0" w:color="000000"/>
            </w:tcBorders>
          </w:tcPr>
          <w:p w14:paraId="289DDE8E" w14:textId="77777777" w:rsidR="00CA08B3" w:rsidRPr="00FB2719" w:rsidRDefault="00CA08B3">
            <w:pPr>
              <w:autoSpaceDE w:val="0"/>
              <w:autoSpaceDN w:val="0"/>
              <w:adjustRightInd w:val="0"/>
              <w:spacing w:line="276" w:lineRule="auto"/>
              <w:ind w:left="8"/>
              <w:jc w:val="center"/>
              <w:rPr>
                <w:spacing w:val="1"/>
                <w:sz w:val="22"/>
                <w:szCs w:val="22"/>
                <w:lang w:val="en-US"/>
              </w:rPr>
            </w:pPr>
          </w:p>
        </w:tc>
        <w:tc>
          <w:tcPr>
            <w:tcW w:w="417" w:type="pct"/>
            <w:tcBorders>
              <w:top w:val="single" w:sz="4" w:space="0" w:color="000000"/>
              <w:left w:val="single" w:sz="4" w:space="0" w:color="000000"/>
              <w:bottom w:val="single" w:sz="4" w:space="0" w:color="000000"/>
              <w:right w:val="single" w:sz="4" w:space="0" w:color="000000"/>
            </w:tcBorders>
            <w:hideMark/>
          </w:tcPr>
          <w:p w14:paraId="4B6FB37E" w14:textId="77777777" w:rsidR="00CA08B3" w:rsidRPr="00FB2719" w:rsidRDefault="00CA08B3">
            <w:pPr>
              <w:autoSpaceDE w:val="0"/>
              <w:autoSpaceDN w:val="0"/>
              <w:adjustRightInd w:val="0"/>
              <w:spacing w:line="276" w:lineRule="auto"/>
              <w:ind w:left="8" w:right="-20"/>
              <w:jc w:val="center"/>
              <w:rPr>
                <w:spacing w:val="1"/>
                <w:sz w:val="22"/>
                <w:szCs w:val="22"/>
                <w:lang w:val="en-US"/>
              </w:rPr>
            </w:pPr>
            <w:r w:rsidRPr="00FB2719">
              <w:rPr>
                <w:spacing w:val="1"/>
                <w:sz w:val="22"/>
                <w:szCs w:val="22"/>
                <w:lang w:val="en-US"/>
              </w:rPr>
              <w:t>238</w:t>
            </w:r>
          </w:p>
        </w:tc>
        <w:tc>
          <w:tcPr>
            <w:tcW w:w="417" w:type="pct"/>
            <w:tcBorders>
              <w:top w:val="single" w:sz="4" w:space="0" w:color="000000"/>
              <w:left w:val="single" w:sz="4" w:space="0" w:color="000000"/>
              <w:bottom w:val="single" w:sz="4" w:space="0" w:color="000000"/>
              <w:right w:val="single" w:sz="4" w:space="0" w:color="000000"/>
            </w:tcBorders>
            <w:hideMark/>
          </w:tcPr>
          <w:p w14:paraId="1745D4AC" w14:textId="77777777" w:rsidR="00CA08B3" w:rsidRPr="00FB2719" w:rsidRDefault="00CA08B3">
            <w:pPr>
              <w:autoSpaceDE w:val="0"/>
              <w:autoSpaceDN w:val="0"/>
              <w:adjustRightInd w:val="0"/>
              <w:spacing w:line="276" w:lineRule="auto"/>
              <w:ind w:left="8" w:right="-20"/>
              <w:jc w:val="center"/>
              <w:rPr>
                <w:spacing w:val="1"/>
                <w:sz w:val="22"/>
                <w:szCs w:val="22"/>
                <w:lang w:val="en-US"/>
              </w:rPr>
            </w:pPr>
            <w:r w:rsidRPr="00FB2719">
              <w:rPr>
                <w:spacing w:val="1"/>
                <w:sz w:val="22"/>
                <w:szCs w:val="22"/>
                <w:lang w:val="en-US"/>
              </w:rPr>
              <w:t>254</w:t>
            </w:r>
          </w:p>
        </w:tc>
        <w:tc>
          <w:tcPr>
            <w:tcW w:w="587" w:type="pct"/>
            <w:tcBorders>
              <w:top w:val="single" w:sz="4" w:space="0" w:color="000000"/>
              <w:left w:val="single" w:sz="4" w:space="0" w:color="000000"/>
              <w:bottom w:val="single" w:sz="4" w:space="0" w:color="000000"/>
              <w:right w:val="single" w:sz="4" w:space="0" w:color="000000"/>
            </w:tcBorders>
          </w:tcPr>
          <w:p w14:paraId="6CFC9389" w14:textId="77777777" w:rsidR="00CA08B3" w:rsidRPr="00FB2719" w:rsidRDefault="00CA08B3">
            <w:pPr>
              <w:autoSpaceDE w:val="0"/>
              <w:autoSpaceDN w:val="0"/>
              <w:adjustRightInd w:val="0"/>
              <w:spacing w:line="276" w:lineRule="auto"/>
              <w:ind w:left="8"/>
              <w:jc w:val="center"/>
              <w:rPr>
                <w:spacing w:val="1"/>
                <w:sz w:val="22"/>
                <w:szCs w:val="22"/>
                <w:lang w:val="en-US"/>
              </w:rPr>
            </w:pPr>
          </w:p>
        </w:tc>
      </w:tr>
    </w:tbl>
    <w:p w14:paraId="28D331AF" w14:textId="77777777" w:rsidR="00CA08B3" w:rsidRPr="00FB2719" w:rsidRDefault="00CA08B3" w:rsidP="00CA08B3">
      <w:pPr>
        <w:tabs>
          <w:tab w:val="left" w:pos="567"/>
        </w:tabs>
        <w:rPr>
          <w:bCs/>
          <w:sz w:val="22"/>
          <w:szCs w:val="22"/>
        </w:rPr>
      </w:pPr>
    </w:p>
    <w:p w14:paraId="4925DB8B" w14:textId="77777777" w:rsidR="00CA08B3" w:rsidRPr="00FB2719" w:rsidRDefault="00CA08B3" w:rsidP="00CA08B3">
      <w:pPr>
        <w:tabs>
          <w:tab w:val="left" w:pos="567"/>
        </w:tabs>
        <w:rPr>
          <w:bCs/>
          <w:sz w:val="22"/>
          <w:szCs w:val="22"/>
        </w:rPr>
      </w:pPr>
      <w:r w:rsidRPr="00FB2719">
        <w:rPr>
          <w:bCs/>
          <w:sz w:val="22"/>
          <w:szCs w:val="22"/>
        </w:rPr>
        <w:t>Per 96</w:t>
      </w:r>
      <w:r w:rsidR="00237548" w:rsidRPr="00FB2719">
        <w:rPr>
          <w:bCs/>
          <w:sz w:val="22"/>
          <w:szCs w:val="22"/>
        </w:rPr>
        <w:t> </w:t>
      </w:r>
      <w:r w:rsidRPr="00FB2719">
        <w:rPr>
          <w:bCs/>
          <w:sz w:val="22"/>
          <w:szCs w:val="22"/>
        </w:rPr>
        <w:t>savaites buvo galima atlikti genotipo tyrimus 25</w:t>
      </w:r>
      <w:r w:rsidR="00237548" w:rsidRPr="00FB2719">
        <w:rPr>
          <w:bCs/>
          <w:sz w:val="22"/>
          <w:szCs w:val="22"/>
        </w:rPr>
        <w:t> </w:t>
      </w:r>
      <w:r w:rsidRPr="00FB2719">
        <w:rPr>
          <w:bCs/>
          <w:sz w:val="22"/>
          <w:szCs w:val="22"/>
        </w:rPr>
        <w:t>pacientams iš QD grupės ir 26 iš BID grupės, kurių virusologinis atsakas buvo nepakankamas. QD grupėje nebuvo nustatyta atsparumo lopinavirui, o BID grupėje 1</w:t>
      </w:r>
      <w:r w:rsidR="00237548" w:rsidRPr="00FB2719">
        <w:rPr>
          <w:bCs/>
          <w:sz w:val="22"/>
          <w:szCs w:val="22"/>
        </w:rPr>
        <w:t> </w:t>
      </w:r>
      <w:r w:rsidRPr="00FB2719">
        <w:rPr>
          <w:bCs/>
          <w:sz w:val="22"/>
          <w:szCs w:val="22"/>
        </w:rPr>
        <w:t>pacientui, kuriam buvo reikšmingas atsparumas proteazės inhibitoriui prieš tyrimą, tyrimo metu nustatytas papildomas atsparumas ir lopinavirui.</w:t>
      </w:r>
    </w:p>
    <w:p w14:paraId="4C643C96" w14:textId="77777777" w:rsidR="00CA08B3" w:rsidRPr="00FB2719" w:rsidRDefault="00CA08B3" w:rsidP="00CA08B3">
      <w:pPr>
        <w:tabs>
          <w:tab w:val="left" w:pos="567"/>
        </w:tabs>
        <w:rPr>
          <w:bCs/>
          <w:sz w:val="22"/>
          <w:szCs w:val="22"/>
        </w:rPr>
      </w:pPr>
    </w:p>
    <w:p w14:paraId="3C751F35" w14:textId="77777777" w:rsidR="00CA08B3" w:rsidRPr="00FB2719" w:rsidRDefault="00CA08B3" w:rsidP="00CA08B3">
      <w:pPr>
        <w:tabs>
          <w:tab w:val="left" w:pos="567"/>
        </w:tabs>
        <w:rPr>
          <w:bCs/>
          <w:sz w:val="22"/>
          <w:szCs w:val="22"/>
        </w:rPr>
      </w:pPr>
      <w:r w:rsidRPr="00FB2719">
        <w:rPr>
          <w:bCs/>
          <w:sz w:val="22"/>
          <w:szCs w:val="22"/>
        </w:rPr>
        <w:t>Išliekantis virusologinis atsakas į lopinaviro / ritonaviro derinį (kartu su</w:t>
      </w:r>
      <w:r w:rsidR="0021404B" w:rsidRPr="00FB2719">
        <w:rPr>
          <w:bCs/>
          <w:sz w:val="22"/>
          <w:szCs w:val="22"/>
        </w:rPr>
        <w:t xml:space="preserve"> </w:t>
      </w:r>
      <w:r w:rsidRPr="00FB2719">
        <w:rPr>
          <w:bCs/>
          <w:sz w:val="22"/>
          <w:szCs w:val="22"/>
        </w:rPr>
        <w:t xml:space="preserve">nukleozidiniais/nukleotidiniais atvirkštinės transkriptazės inhibitoriais) taip pat pastebėtas nedidelės </w:t>
      </w:r>
      <w:r w:rsidRPr="00FB2719">
        <w:rPr>
          <w:bCs/>
          <w:sz w:val="22"/>
          <w:szCs w:val="22"/>
        </w:rPr>
        <w:lastRenderedPageBreak/>
        <w:t>apimties II fazės 360</w:t>
      </w:r>
      <w:r w:rsidR="00237548" w:rsidRPr="00FB2719">
        <w:rPr>
          <w:bCs/>
          <w:sz w:val="22"/>
          <w:szCs w:val="22"/>
        </w:rPr>
        <w:t> </w:t>
      </w:r>
      <w:r w:rsidRPr="00FB2719">
        <w:rPr>
          <w:bCs/>
          <w:sz w:val="22"/>
          <w:szCs w:val="22"/>
        </w:rPr>
        <w:t>savaičių tyrimo (M97-720) metu. Atliekant tyrimą, šimtas pacientų nuo pradžios buvo gydomi lopinaviro / ritonaviro deriniu (įskaitant 51 pacientą, vartojusį po 400</w:t>
      </w:r>
      <w:r w:rsidR="001E5E80" w:rsidRPr="00FB2719">
        <w:rPr>
          <w:bCs/>
          <w:sz w:val="22"/>
          <w:szCs w:val="22"/>
        </w:rPr>
        <w:t> mg</w:t>
      </w:r>
      <w:r w:rsidRPr="00FB2719">
        <w:rPr>
          <w:bCs/>
          <w:sz w:val="22"/>
          <w:szCs w:val="22"/>
        </w:rPr>
        <w:t>/100</w:t>
      </w:r>
      <w:r w:rsidR="00237548" w:rsidRPr="00FB2719">
        <w:rPr>
          <w:bCs/>
          <w:sz w:val="22"/>
          <w:szCs w:val="22"/>
        </w:rPr>
        <w:t> </w:t>
      </w:r>
      <w:r w:rsidRPr="00FB2719">
        <w:rPr>
          <w:bCs/>
          <w:sz w:val="22"/>
          <w:szCs w:val="22"/>
        </w:rPr>
        <w:t>mg du kartus per parą ir 49</w:t>
      </w:r>
      <w:r w:rsidR="00237548" w:rsidRPr="00FB2719">
        <w:rPr>
          <w:bCs/>
          <w:sz w:val="22"/>
          <w:szCs w:val="22"/>
        </w:rPr>
        <w:t> </w:t>
      </w:r>
      <w:r w:rsidRPr="00FB2719">
        <w:rPr>
          <w:bCs/>
          <w:sz w:val="22"/>
          <w:szCs w:val="22"/>
        </w:rPr>
        <w:t>pacientus, kurie vartojo po 200</w:t>
      </w:r>
      <w:r w:rsidR="001E5E80" w:rsidRPr="00FB2719">
        <w:rPr>
          <w:bCs/>
          <w:sz w:val="22"/>
          <w:szCs w:val="22"/>
        </w:rPr>
        <w:t> mg</w:t>
      </w:r>
      <w:r w:rsidRPr="00FB2719">
        <w:rPr>
          <w:bCs/>
          <w:sz w:val="22"/>
          <w:szCs w:val="22"/>
        </w:rPr>
        <w:t>/100</w:t>
      </w:r>
      <w:r w:rsidR="00237548" w:rsidRPr="00FB2719">
        <w:rPr>
          <w:bCs/>
          <w:sz w:val="22"/>
          <w:szCs w:val="22"/>
        </w:rPr>
        <w:t> </w:t>
      </w:r>
      <w:r w:rsidRPr="00FB2719">
        <w:rPr>
          <w:bCs/>
          <w:sz w:val="22"/>
          <w:szCs w:val="22"/>
        </w:rPr>
        <w:t>mg du kartus per parą arba po 400</w:t>
      </w:r>
      <w:r w:rsidR="001E5E80" w:rsidRPr="00FB2719">
        <w:rPr>
          <w:bCs/>
          <w:sz w:val="22"/>
          <w:szCs w:val="22"/>
        </w:rPr>
        <w:t> mg</w:t>
      </w:r>
      <w:r w:rsidRPr="00FB2719">
        <w:rPr>
          <w:bCs/>
          <w:sz w:val="22"/>
          <w:szCs w:val="22"/>
        </w:rPr>
        <w:t>/200</w:t>
      </w:r>
      <w:r w:rsidR="00237548" w:rsidRPr="00FB2719">
        <w:rPr>
          <w:bCs/>
          <w:sz w:val="22"/>
          <w:szCs w:val="22"/>
        </w:rPr>
        <w:t> </w:t>
      </w:r>
      <w:r w:rsidRPr="00FB2719">
        <w:rPr>
          <w:bCs/>
          <w:sz w:val="22"/>
          <w:szCs w:val="22"/>
        </w:rPr>
        <w:t>mg du kartus per parą). Visiems pacientams lopinaviro / ritonaviro derinio tyrimą pakeitus į atvirąjį, dozė pakeista į 400</w:t>
      </w:r>
      <w:r w:rsidR="001E5E80" w:rsidRPr="00FB2719">
        <w:rPr>
          <w:bCs/>
          <w:sz w:val="22"/>
          <w:szCs w:val="22"/>
        </w:rPr>
        <w:t> mg</w:t>
      </w:r>
      <w:r w:rsidRPr="00FB2719">
        <w:rPr>
          <w:bCs/>
          <w:sz w:val="22"/>
          <w:szCs w:val="22"/>
        </w:rPr>
        <w:t>/100</w:t>
      </w:r>
      <w:r w:rsidR="00237548" w:rsidRPr="00FB2719">
        <w:rPr>
          <w:bCs/>
          <w:sz w:val="22"/>
          <w:szCs w:val="22"/>
        </w:rPr>
        <w:t> </w:t>
      </w:r>
      <w:r w:rsidRPr="00FB2719">
        <w:rPr>
          <w:bCs/>
          <w:sz w:val="22"/>
          <w:szCs w:val="22"/>
        </w:rPr>
        <w:t>mg, du kartus per parą, nuo 48 iki 72</w:t>
      </w:r>
      <w:r w:rsidR="00237548" w:rsidRPr="00FB2719">
        <w:rPr>
          <w:bCs/>
          <w:sz w:val="22"/>
          <w:szCs w:val="22"/>
        </w:rPr>
        <w:t> </w:t>
      </w:r>
      <w:r w:rsidRPr="00FB2719">
        <w:rPr>
          <w:bCs/>
          <w:sz w:val="22"/>
          <w:szCs w:val="22"/>
        </w:rPr>
        <w:t>savaitės. Trisdešimt devyni (39</w:t>
      </w:r>
      <w:r w:rsidR="00237548" w:rsidRPr="00FB2719">
        <w:rPr>
          <w:bCs/>
          <w:sz w:val="22"/>
          <w:szCs w:val="22"/>
        </w:rPr>
        <w:t> </w:t>
      </w:r>
      <w:r w:rsidRPr="00FB2719">
        <w:rPr>
          <w:bCs/>
          <w:sz w:val="22"/>
          <w:szCs w:val="22"/>
        </w:rPr>
        <w:t>%) pacientai nutraukė tyrimą, įskaitant 16 (16 %), kurie pasitraukė iš tyrimo dėl pašalinių reiškinių, iš jų vienas buvo susijęs su mirtina išeitimi. Šešiasdešimt vienas pacientas užbaigė tyrimą (per visą tyrimo laikotarpį 35</w:t>
      </w:r>
      <w:r w:rsidR="00237548" w:rsidRPr="00FB2719">
        <w:rPr>
          <w:bCs/>
          <w:sz w:val="22"/>
          <w:szCs w:val="22"/>
        </w:rPr>
        <w:t> </w:t>
      </w:r>
      <w:r w:rsidRPr="00FB2719">
        <w:rPr>
          <w:bCs/>
          <w:sz w:val="22"/>
          <w:szCs w:val="22"/>
        </w:rPr>
        <w:t>pacientai vartojo rekomenduojamą 400</w:t>
      </w:r>
      <w:r w:rsidR="001E5E80" w:rsidRPr="00FB2719">
        <w:rPr>
          <w:bCs/>
          <w:sz w:val="22"/>
          <w:szCs w:val="22"/>
        </w:rPr>
        <w:t> mg</w:t>
      </w:r>
      <w:r w:rsidRPr="00FB2719">
        <w:rPr>
          <w:bCs/>
          <w:sz w:val="22"/>
          <w:szCs w:val="22"/>
        </w:rPr>
        <w:t>/100</w:t>
      </w:r>
      <w:r w:rsidR="00237548" w:rsidRPr="00FB2719">
        <w:rPr>
          <w:bCs/>
          <w:sz w:val="22"/>
          <w:szCs w:val="22"/>
        </w:rPr>
        <w:t> </w:t>
      </w:r>
      <w:r w:rsidRPr="00FB2719">
        <w:rPr>
          <w:bCs/>
          <w:sz w:val="22"/>
          <w:szCs w:val="22"/>
        </w:rPr>
        <w:t>mg dozę du kartus per parą).</w:t>
      </w:r>
    </w:p>
    <w:p w14:paraId="743B107D" w14:textId="77777777" w:rsidR="00CA08B3" w:rsidRPr="00FB2719" w:rsidRDefault="00CA08B3" w:rsidP="00CA08B3">
      <w:pPr>
        <w:tabs>
          <w:tab w:val="left" w:pos="567"/>
        </w:tabs>
        <w:rPr>
          <w:bCs/>
          <w:sz w:val="22"/>
          <w:szCs w:val="22"/>
        </w:rPr>
      </w:pPr>
    </w:p>
    <w:p w14:paraId="18F47C41" w14:textId="77777777" w:rsidR="00CA08B3" w:rsidRPr="00FB2719" w:rsidRDefault="00CA08B3" w:rsidP="00CA08B3">
      <w:pPr>
        <w:tabs>
          <w:tab w:val="left" w:pos="567"/>
        </w:tabs>
        <w:rPr>
          <w:bCs/>
          <w:sz w:val="22"/>
          <w:szCs w:val="22"/>
        </w:rPr>
      </w:pPr>
      <w:r w:rsidRPr="00FB2719">
        <w:rPr>
          <w:bCs/>
          <w:sz w:val="22"/>
          <w:szCs w:val="22"/>
        </w:rPr>
        <w:t>3 lentelė</w:t>
      </w:r>
    </w:p>
    <w:tbl>
      <w:tblPr>
        <w:tblW w:w="0" w:type="auto"/>
        <w:tblInd w:w="289" w:type="dxa"/>
        <w:tblLayout w:type="fixed"/>
        <w:tblCellMar>
          <w:left w:w="0" w:type="dxa"/>
          <w:right w:w="0" w:type="dxa"/>
        </w:tblCellMar>
        <w:tblLook w:val="04A0" w:firstRow="1" w:lastRow="0" w:firstColumn="1" w:lastColumn="0" w:noHBand="0" w:noVBand="1"/>
      </w:tblPr>
      <w:tblGrid>
        <w:gridCol w:w="6184"/>
        <w:gridCol w:w="2463"/>
      </w:tblGrid>
      <w:tr w:rsidR="00CA08B3" w:rsidRPr="00FB2719" w14:paraId="06DE3809" w14:textId="77777777" w:rsidTr="00CA08B3">
        <w:trPr>
          <w:trHeight w:val="503"/>
        </w:trPr>
        <w:tc>
          <w:tcPr>
            <w:tcW w:w="8647" w:type="dxa"/>
            <w:gridSpan w:val="2"/>
            <w:tcBorders>
              <w:top w:val="single" w:sz="4" w:space="0" w:color="000000"/>
              <w:left w:val="single" w:sz="4" w:space="0" w:color="000000"/>
              <w:bottom w:val="single" w:sz="4" w:space="0" w:color="000000"/>
              <w:right w:val="single" w:sz="4" w:space="0" w:color="000000"/>
            </w:tcBorders>
          </w:tcPr>
          <w:p w14:paraId="764F925E" w14:textId="77777777" w:rsidR="00CA08B3" w:rsidRPr="00FB2719" w:rsidRDefault="00CA08B3">
            <w:pPr>
              <w:autoSpaceDE w:val="0"/>
              <w:autoSpaceDN w:val="0"/>
              <w:adjustRightInd w:val="0"/>
              <w:spacing w:before="8" w:line="110" w:lineRule="exact"/>
              <w:ind w:left="8"/>
              <w:rPr>
                <w:sz w:val="22"/>
                <w:szCs w:val="22"/>
              </w:rPr>
            </w:pPr>
          </w:p>
          <w:p w14:paraId="65AF084C" w14:textId="77777777" w:rsidR="00CA08B3" w:rsidRPr="00FB2719" w:rsidRDefault="00CA08B3">
            <w:pPr>
              <w:autoSpaceDE w:val="0"/>
              <w:autoSpaceDN w:val="0"/>
              <w:adjustRightInd w:val="0"/>
              <w:spacing w:line="276" w:lineRule="auto"/>
              <w:ind w:left="8" w:right="-20"/>
              <w:jc w:val="center"/>
              <w:rPr>
                <w:sz w:val="22"/>
                <w:szCs w:val="22"/>
              </w:rPr>
            </w:pPr>
            <w:r w:rsidRPr="00FB2719">
              <w:rPr>
                <w:b/>
                <w:bCs/>
                <w:sz w:val="22"/>
                <w:szCs w:val="22"/>
              </w:rPr>
              <w:t>M97-720 tyrimo rezultatai 360-ąją savaitę</w:t>
            </w:r>
          </w:p>
        </w:tc>
      </w:tr>
      <w:tr w:rsidR="00CA08B3" w:rsidRPr="00FB2719" w14:paraId="797C8121" w14:textId="77777777" w:rsidTr="00CA08B3">
        <w:trPr>
          <w:trHeight w:hRule="exact" w:val="490"/>
        </w:trPr>
        <w:tc>
          <w:tcPr>
            <w:tcW w:w="6184" w:type="dxa"/>
            <w:tcBorders>
              <w:top w:val="single" w:sz="4" w:space="0" w:color="000000"/>
              <w:left w:val="single" w:sz="4" w:space="0" w:color="000000"/>
              <w:bottom w:val="single" w:sz="4" w:space="0" w:color="000000"/>
              <w:right w:val="single" w:sz="4" w:space="0" w:color="000000"/>
            </w:tcBorders>
          </w:tcPr>
          <w:p w14:paraId="16185E61" w14:textId="77777777" w:rsidR="00CA08B3" w:rsidRPr="00FB2719" w:rsidRDefault="00CA08B3">
            <w:pPr>
              <w:autoSpaceDE w:val="0"/>
              <w:autoSpaceDN w:val="0"/>
              <w:adjustRightInd w:val="0"/>
              <w:spacing w:line="276" w:lineRule="auto"/>
              <w:ind w:left="8"/>
              <w:rPr>
                <w:sz w:val="22"/>
                <w:szCs w:val="22"/>
              </w:rPr>
            </w:pPr>
          </w:p>
        </w:tc>
        <w:tc>
          <w:tcPr>
            <w:tcW w:w="2463" w:type="dxa"/>
            <w:tcBorders>
              <w:top w:val="single" w:sz="4" w:space="0" w:color="000000"/>
              <w:left w:val="single" w:sz="4" w:space="0" w:color="000000"/>
              <w:bottom w:val="single" w:sz="4" w:space="0" w:color="000000"/>
              <w:right w:val="single" w:sz="4" w:space="0" w:color="000000"/>
            </w:tcBorders>
            <w:hideMark/>
          </w:tcPr>
          <w:p w14:paraId="3FE9700D" w14:textId="77777777" w:rsidR="00CA08B3" w:rsidRPr="00FB2719" w:rsidRDefault="00CA08B3">
            <w:pPr>
              <w:autoSpaceDE w:val="0"/>
              <w:autoSpaceDN w:val="0"/>
              <w:adjustRightInd w:val="0"/>
              <w:spacing w:line="251" w:lineRule="exact"/>
              <w:ind w:left="8" w:right="-20"/>
              <w:rPr>
                <w:b/>
                <w:sz w:val="22"/>
                <w:szCs w:val="22"/>
                <w:lang w:val="en-US"/>
              </w:rPr>
            </w:pPr>
            <w:r w:rsidRPr="00FB2719">
              <w:rPr>
                <w:b/>
                <w:sz w:val="22"/>
                <w:szCs w:val="22"/>
                <w:lang w:val="en-US"/>
              </w:rPr>
              <w:t>Lopinaviro / ritonaviro derinys</w:t>
            </w:r>
            <w:r w:rsidRPr="00FB2719">
              <w:rPr>
                <w:b/>
                <w:bCs/>
                <w:spacing w:val="-6"/>
                <w:sz w:val="22"/>
                <w:szCs w:val="22"/>
                <w:lang w:val="en-US"/>
              </w:rPr>
              <w:t xml:space="preserve"> </w:t>
            </w:r>
            <w:r w:rsidRPr="00FB2719">
              <w:rPr>
                <w:b/>
                <w:bCs/>
                <w:sz w:val="22"/>
                <w:szCs w:val="22"/>
                <w:lang w:val="en-US"/>
              </w:rPr>
              <w:t>(N</w:t>
            </w:r>
            <w:r w:rsidRPr="00FB2719">
              <w:rPr>
                <w:b/>
                <w:bCs/>
                <w:spacing w:val="1"/>
                <w:sz w:val="22"/>
                <w:szCs w:val="22"/>
                <w:lang w:val="en-US"/>
              </w:rPr>
              <w:t>=100)</w:t>
            </w:r>
          </w:p>
        </w:tc>
      </w:tr>
      <w:tr w:rsidR="00CA08B3" w:rsidRPr="00FB2719" w14:paraId="2ACE26A7" w14:textId="77777777" w:rsidTr="00CA08B3">
        <w:trPr>
          <w:trHeight w:hRule="exact" w:val="263"/>
        </w:trPr>
        <w:tc>
          <w:tcPr>
            <w:tcW w:w="6184" w:type="dxa"/>
            <w:tcBorders>
              <w:top w:val="single" w:sz="4" w:space="0" w:color="000000"/>
              <w:left w:val="single" w:sz="4" w:space="0" w:color="000000"/>
              <w:bottom w:val="single" w:sz="4" w:space="0" w:color="000000"/>
              <w:right w:val="single" w:sz="4" w:space="0" w:color="000000"/>
            </w:tcBorders>
            <w:hideMark/>
          </w:tcPr>
          <w:p w14:paraId="3872CA19" w14:textId="77777777" w:rsidR="00CA08B3" w:rsidRPr="00FB2719" w:rsidRDefault="00CA08B3" w:rsidP="00237548">
            <w:pPr>
              <w:autoSpaceDE w:val="0"/>
              <w:autoSpaceDN w:val="0"/>
              <w:adjustRightInd w:val="0"/>
              <w:spacing w:line="251" w:lineRule="exact"/>
              <w:ind w:left="8" w:right="-20"/>
              <w:rPr>
                <w:spacing w:val="1"/>
                <w:sz w:val="22"/>
                <w:szCs w:val="22"/>
                <w:lang w:val="en-US"/>
              </w:rPr>
            </w:pPr>
            <w:r w:rsidRPr="00FB2719">
              <w:rPr>
                <w:spacing w:val="1"/>
                <w:sz w:val="22"/>
                <w:szCs w:val="22"/>
                <w:lang w:val="en-US"/>
              </w:rPr>
              <w:t>ŽIV RNR &lt;</w:t>
            </w:r>
            <w:r w:rsidR="00237548" w:rsidRPr="00FB2719">
              <w:rPr>
                <w:spacing w:val="1"/>
                <w:sz w:val="22"/>
                <w:szCs w:val="22"/>
                <w:lang w:val="en-US"/>
              </w:rPr>
              <w:t> </w:t>
            </w:r>
            <w:r w:rsidRPr="00FB2719">
              <w:rPr>
                <w:spacing w:val="1"/>
                <w:sz w:val="22"/>
                <w:szCs w:val="22"/>
                <w:lang w:val="en-US"/>
              </w:rPr>
              <w:t>400</w:t>
            </w:r>
            <w:r w:rsidR="00237548" w:rsidRPr="00FB2719">
              <w:rPr>
                <w:spacing w:val="1"/>
                <w:sz w:val="22"/>
                <w:szCs w:val="22"/>
                <w:lang w:val="en-US"/>
              </w:rPr>
              <w:t> </w:t>
            </w:r>
            <w:r w:rsidRPr="00FB2719">
              <w:rPr>
                <w:spacing w:val="1"/>
                <w:sz w:val="22"/>
                <w:szCs w:val="22"/>
                <w:lang w:val="en-US"/>
              </w:rPr>
              <w:t>kopijų/ml</w:t>
            </w:r>
          </w:p>
        </w:tc>
        <w:tc>
          <w:tcPr>
            <w:tcW w:w="2463" w:type="dxa"/>
            <w:tcBorders>
              <w:top w:val="single" w:sz="4" w:space="0" w:color="000000"/>
              <w:left w:val="single" w:sz="4" w:space="0" w:color="000000"/>
              <w:bottom w:val="single" w:sz="4" w:space="0" w:color="000000"/>
              <w:right w:val="single" w:sz="4" w:space="0" w:color="000000"/>
            </w:tcBorders>
            <w:hideMark/>
          </w:tcPr>
          <w:p w14:paraId="26BFE558" w14:textId="77777777" w:rsidR="00CA08B3" w:rsidRPr="00FB2719" w:rsidRDefault="00CA08B3">
            <w:pPr>
              <w:autoSpaceDE w:val="0"/>
              <w:autoSpaceDN w:val="0"/>
              <w:adjustRightInd w:val="0"/>
              <w:spacing w:line="251" w:lineRule="exact"/>
              <w:ind w:left="8" w:right="815"/>
              <w:jc w:val="center"/>
              <w:rPr>
                <w:spacing w:val="1"/>
                <w:sz w:val="22"/>
                <w:szCs w:val="22"/>
                <w:lang w:val="en-US"/>
              </w:rPr>
            </w:pPr>
            <w:r w:rsidRPr="00FB2719">
              <w:rPr>
                <w:spacing w:val="1"/>
                <w:sz w:val="22"/>
                <w:szCs w:val="22"/>
                <w:lang w:val="en-US"/>
              </w:rPr>
              <w:t>61 %</w:t>
            </w:r>
          </w:p>
        </w:tc>
      </w:tr>
      <w:tr w:rsidR="00CA08B3" w:rsidRPr="00FB2719" w14:paraId="7F92D318" w14:textId="77777777" w:rsidTr="00CA08B3">
        <w:trPr>
          <w:trHeight w:hRule="exact" w:val="263"/>
        </w:trPr>
        <w:tc>
          <w:tcPr>
            <w:tcW w:w="6184" w:type="dxa"/>
            <w:tcBorders>
              <w:top w:val="single" w:sz="4" w:space="0" w:color="000000"/>
              <w:left w:val="single" w:sz="4" w:space="0" w:color="000000"/>
              <w:bottom w:val="single" w:sz="4" w:space="0" w:color="000000"/>
              <w:right w:val="single" w:sz="4" w:space="0" w:color="000000"/>
            </w:tcBorders>
            <w:hideMark/>
          </w:tcPr>
          <w:p w14:paraId="41ADABA9" w14:textId="77777777" w:rsidR="00CA08B3" w:rsidRPr="00FB2719" w:rsidRDefault="00CA08B3" w:rsidP="00237548">
            <w:pPr>
              <w:autoSpaceDE w:val="0"/>
              <w:autoSpaceDN w:val="0"/>
              <w:adjustRightInd w:val="0"/>
              <w:spacing w:line="251" w:lineRule="exact"/>
              <w:ind w:left="8" w:right="-20"/>
              <w:rPr>
                <w:spacing w:val="1"/>
                <w:sz w:val="22"/>
                <w:szCs w:val="22"/>
                <w:lang w:val="en-US"/>
              </w:rPr>
            </w:pPr>
            <w:r w:rsidRPr="00FB2719">
              <w:rPr>
                <w:spacing w:val="1"/>
                <w:sz w:val="22"/>
                <w:szCs w:val="22"/>
                <w:lang w:val="en-US"/>
              </w:rPr>
              <w:t>ŽIV RNR &lt;</w:t>
            </w:r>
            <w:r w:rsidR="00237548" w:rsidRPr="00FB2719">
              <w:rPr>
                <w:spacing w:val="1"/>
                <w:sz w:val="22"/>
                <w:szCs w:val="22"/>
                <w:lang w:val="en-US"/>
              </w:rPr>
              <w:t> </w:t>
            </w:r>
            <w:r w:rsidRPr="00FB2719">
              <w:rPr>
                <w:spacing w:val="1"/>
                <w:sz w:val="22"/>
                <w:szCs w:val="22"/>
                <w:lang w:val="en-US"/>
              </w:rPr>
              <w:t>50</w:t>
            </w:r>
            <w:r w:rsidR="00237548" w:rsidRPr="00FB2719">
              <w:rPr>
                <w:spacing w:val="1"/>
                <w:sz w:val="22"/>
                <w:szCs w:val="22"/>
                <w:lang w:val="en-US"/>
              </w:rPr>
              <w:t> </w:t>
            </w:r>
            <w:r w:rsidRPr="00FB2719">
              <w:rPr>
                <w:spacing w:val="1"/>
                <w:sz w:val="22"/>
                <w:szCs w:val="22"/>
                <w:lang w:val="en-US"/>
              </w:rPr>
              <w:t>kopijų/ml</w:t>
            </w:r>
          </w:p>
        </w:tc>
        <w:tc>
          <w:tcPr>
            <w:tcW w:w="2463" w:type="dxa"/>
            <w:tcBorders>
              <w:top w:val="single" w:sz="4" w:space="0" w:color="000000"/>
              <w:left w:val="single" w:sz="4" w:space="0" w:color="000000"/>
              <w:bottom w:val="single" w:sz="4" w:space="0" w:color="000000"/>
              <w:right w:val="single" w:sz="4" w:space="0" w:color="000000"/>
            </w:tcBorders>
            <w:hideMark/>
          </w:tcPr>
          <w:p w14:paraId="3E9F47D0" w14:textId="77777777" w:rsidR="00CA08B3" w:rsidRPr="00FB2719" w:rsidRDefault="00CA08B3">
            <w:pPr>
              <w:autoSpaceDE w:val="0"/>
              <w:autoSpaceDN w:val="0"/>
              <w:adjustRightInd w:val="0"/>
              <w:spacing w:line="251" w:lineRule="exact"/>
              <w:ind w:left="8" w:right="815"/>
              <w:jc w:val="center"/>
              <w:rPr>
                <w:spacing w:val="1"/>
                <w:sz w:val="22"/>
                <w:szCs w:val="22"/>
                <w:lang w:val="en-US"/>
              </w:rPr>
            </w:pPr>
            <w:r w:rsidRPr="00FB2719">
              <w:rPr>
                <w:spacing w:val="1"/>
                <w:sz w:val="22"/>
                <w:szCs w:val="22"/>
                <w:lang w:val="en-US"/>
              </w:rPr>
              <w:t>59 %</w:t>
            </w:r>
          </w:p>
        </w:tc>
      </w:tr>
      <w:tr w:rsidR="00CA08B3" w:rsidRPr="00FB2719" w14:paraId="1681CCA8" w14:textId="77777777" w:rsidTr="00CA08B3">
        <w:trPr>
          <w:trHeight w:hRule="exact" w:val="529"/>
        </w:trPr>
        <w:tc>
          <w:tcPr>
            <w:tcW w:w="6184" w:type="dxa"/>
            <w:tcBorders>
              <w:top w:val="single" w:sz="4" w:space="0" w:color="000000"/>
              <w:left w:val="single" w:sz="4" w:space="0" w:color="000000"/>
              <w:bottom w:val="single" w:sz="4" w:space="0" w:color="000000"/>
              <w:right w:val="single" w:sz="4" w:space="0" w:color="000000"/>
            </w:tcBorders>
            <w:hideMark/>
          </w:tcPr>
          <w:p w14:paraId="3EB94C6F" w14:textId="77777777" w:rsidR="00CA08B3" w:rsidRPr="00FB2719" w:rsidRDefault="00CA08B3">
            <w:pPr>
              <w:autoSpaceDE w:val="0"/>
              <w:autoSpaceDN w:val="0"/>
              <w:adjustRightInd w:val="0"/>
              <w:spacing w:line="251" w:lineRule="exact"/>
              <w:ind w:left="8" w:right="-20"/>
              <w:rPr>
                <w:spacing w:val="1"/>
                <w:sz w:val="22"/>
                <w:szCs w:val="22"/>
              </w:rPr>
            </w:pPr>
            <w:r w:rsidRPr="00FB2719">
              <w:rPr>
                <w:spacing w:val="1"/>
                <w:sz w:val="22"/>
                <w:szCs w:val="22"/>
              </w:rPr>
              <w:t>CD4+T-ląstelių skaičiaus vidutinis padidėjimas nuo tyrimo pradžios (ląstelių/mm</w:t>
            </w:r>
            <w:r w:rsidRPr="00FB2719">
              <w:rPr>
                <w:spacing w:val="1"/>
                <w:sz w:val="22"/>
                <w:szCs w:val="22"/>
                <w:vertAlign w:val="superscript"/>
              </w:rPr>
              <w:t>3</w:t>
            </w:r>
            <w:r w:rsidRPr="00FB2719">
              <w:rPr>
                <w:spacing w:val="1"/>
                <w:sz w:val="22"/>
                <w:szCs w:val="22"/>
              </w:rPr>
              <w:t>)</w:t>
            </w:r>
          </w:p>
        </w:tc>
        <w:tc>
          <w:tcPr>
            <w:tcW w:w="2463" w:type="dxa"/>
            <w:tcBorders>
              <w:top w:val="single" w:sz="4" w:space="0" w:color="000000"/>
              <w:left w:val="single" w:sz="4" w:space="0" w:color="000000"/>
              <w:bottom w:val="single" w:sz="4" w:space="0" w:color="000000"/>
              <w:right w:val="single" w:sz="4" w:space="0" w:color="000000"/>
            </w:tcBorders>
            <w:hideMark/>
          </w:tcPr>
          <w:p w14:paraId="65B61CF5" w14:textId="77777777" w:rsidR="00CA08B3" w:rsidRPr="00FB2719" w:rsidRDefault="00CA08B3">
            <w:pPr>
              <w:autoSpaceDE w:val="0"/>
              <w:autoSpaceDN w:val="0"/>
              <w:adjustRightInd w:val="0"/>
              <w:spacing w:line="251" w:lineRule="exact"/>
              <w:ind w:left="8" w:right="849"/>
              <w:jc w:val="center"/>
              <w:rPr>
                <w:spacing w:val="1"/>
                <w:sz w:val="22"/>
                <w:szCs w:val="22"/>
                <w:lang w:val="en-US"/>
              </w:rPr>
            </w:pPr>
            <w:r w:rsidRPr="00FB2719">
              <w:rPr>
                <w:spacing w:val="1"/>
                <w:sz w:val="22"/>
                <w:szCs w:val="22"/>
                <w:lang w:val="en-US"/>
              </w:rPr>
              <w:t>501</w:t>
            </w:r>
          </w:p>
        </w:tc>
      </w:tr>
    </w:tbl>
    <w:p w14:paraId="0C9500DB" w14:textId="77777777" w:rsidR="00CA08B3" w:rsidRPr="00FB2719" w:rsidRDefault="00CA08B3" w:rsidP="00CA08B3">
      <w:pPr>
        <w:tabs>
          <w:tab w:val="left" w:pos="567"/>
        </w:tabs>
        <w:rPr>
          <w:bCs/>
          <w:sz w:val="22"/>
          <w:szCs w:val="22"/>
        </w:rPr>
      </w:pPr>
    </w:p>
    <w:p w14:paraId="4B4E9166" w14:textId="77777777" w:rsidR="00CA08B3" w:rsidRPr="00FB2719" w:rsidRDefault="00CA08B3" w:rsidP="00CA08B3">
      <w:pPr>
        <w:tabs>
          <w:tab w:val="left" w:pos="567"/>
        </w:tabs>
        <w:rPr>
          <w:bCs/>
          <w:sz w:val="22"/>
          <w:szCs w:val="22"/>
        </w:rPr>
      </w:pPr>
      <w:r w:rsidRPr="00FB2719">
        <w:rPr>
          <w:bCs/>
          <w:sz w:val="22"/>
          <w:szCs w:val="22"/>
        </w:rPr>
        <w:t>Per 360 gydymo savaites genotipinė virusų izoliatų analizė sėkmingai atlikta 19 iš 28</w:t>
      </w:r>
      <w:r w:rsidR="00237548" w:rsidRPr="00FB2719">
        <w:rPr>
          <w:bCs/>
          <w:sz w:val="22"/>
          <w:szCs w:val="22"/>
        </w:rPr>
        <w:t> </w:t>
      </w:r>
      <w:r w:rsidRPr="00FB2719">
        <w:rPr>
          <w:bCs/>
          <w:sz w:val="22"/>
          <w:szCs w:val="22"/>
        </w:rPr>
        <w:t>pacientų, kurių ŽIV RNR buvo daugiau nei 400</w:t>
      </w:r>
      <w:r w:rsidR="00237548" w:rsidRPr="00FB2719">
        <w:rPr>
          <w:bCs/>
          <w:sz w:val="22"/>
          <w:szCs w:val="22"/>
        </w:rPr>
        <w:t> </w:t>
      </w:r>
      <w:r w:rsidRPr="00FB2719">
        <w:rPr>
          <w:bCs/>
          <w:sz w:val="22"/>
          <w:szCs w:val="22"/>
        </w:rPr>
        <w:t>kopijų/ml, ir tyrimas parodė, kad pirminių ar aktyvių proteazės mutacijų (aminorūgščių 8, 30, 32, 46, 47, 48, 50, 82, 84 ir 90 pozicijose) arba proteazės inhibitorių fenotipinio atsparumo nėra.</w:t>
      </w:r>
    </w:p>
    <w:p w14:paraId="202CC69B" w14:textId="77777777" w:rsidR="00CA08B3" w:rsidRPr="00FB2719" w:rsidRDefault="00CA08B3" w:rsidP="00CA08B3">
      <w:pPr>
        <w:tabs>
          <w:tab w:val="left" w:pos="567"/>
        </w:tabs>
        <w:rPr>
          <w:bCs/>
          <w:sz w:val="22"/>
          <w:szCs w:val="22"/>
        </w:rPr>
      </w:pPr>
    </w:p>
    <w:p w14:paraId="70CBE5E6" w14:textId="77777777" w:rsidR="00CA08B3" w:rsidRPr="00FB2719" w:rsidRDefault="00CA08B3" w:rsidP="00CA08B3">
      <w:pPr>
        <w:tabs>
          <w:tab w:val="left" w:pos="567"/>
        </w:tabs>
        <w:rPr>
          <w:bCs/>
          <w:sz w:val="22"/>
          <w:szCs w:val="22"/>
          <w:u w:val="single"/>
        </w:rPr>
      </w:pPr>
      <w:r w:rsidRPr="00FB2719">
        <w:rPr>
          <w:bCs/>
          <w:sz w:val="22"/>
          <w:szCs w:val="22"/>
          <w:u w:val="single"/>
        </w:rPr>
        <w:t>Pacientai, kuriems anksčiau taikytas antiretrovirusinis gydymas</w:t>
      </w:r>
    </w:p>
    <w:p w14:paraId="593F8E3B" w14:textId="77777777" w:rsidR="0021404B" w:rsidRPr="00FB2719" w:rsidRDefault="0021404B" w:rsidP="00CA08B3">
      <w:pPr>
        <w:tabs>
          <w:tab w:val="left" w:pos="567"/>
        </w:tabs>
        <w:rPr>
          <w:bCs/>
          <w:sz w:val="22"/>
          <w:szCs w:val="22"/>
        </w:rPr>
      </w:pPr>
    </w:p>
    <w:p w14:paraId="76405A00" w14:textId="77777777" w:rsidR="00CA08B3" w:rsidRPr="00FB2719" w:rsidRDefault="00CA08B3" w:rsidP="00CA08B3">
      <w:pPr>
        <w:tabs>
          <w:tab w:val="left" w:pos="567"/>
        </w:tabs>
        <w:rPr>
          <w:bCs/>
          <w:sz w:val="22"/>
          <w:szCs w:val="22"/>
        </w:rPr>
      </w:pPr>
      <w:r w:rsidRPr="00FB2719">
        <w:rPr>
          <w:bCs/>
          <w:sz w:val="22"/>
          <w:szCs w:val="22"/>
        </w:rPr>
        <w:t>M06-802 buvo atviras tyrimas, atliktas atsitiktinės atrankos metodu. Jo metu 599 pacientams, kuriems yra nustatyta virusų apkrova ir taikomas antivirusinis gydymas, buvo palygintas lopinaviro/ritonaviro derinio tablečių dozės skyrimo du kartus per parą ir kartą per parą saugumas, toleravimas ir antivirusinis aktyvumas. Pacientams anksčiau nebuvo taikytas gydymas lopinaviro / ritonaviro deriniu. Jie buvo suskirstyti atsitiktinės atrankos metodu santykiu 1:1 ir vartojo arba lopinaviro / ritonaviro 800</w:t>
      </w:r>
      <w:r w:rsidR="001E5E80" w:rsidRPr="00FB2719">
        <w:rPr>
          <w:bCs/>
          <w:sz w:val="22"/>
          <w:szCs w:val="22"/>
        </w:rPr>
        <w:t> mg</w:t>
      </w:r>
      <w:r w:rsidRPr="00FB2719">
        <w:rPr>
          <w:bCs/>
          <w:sz w:val="22"/>
          <w:szCs w:val="22"/>
        </w:rPr>
        <w:t>/200</w:t>
      </w:r>
      <w:r w:rsidR="00237548" w:rsidRPr="00FB2719">
        <w:rPr>
          <w:bCs/>
          <w:sz w:val="22"/>
          <w:szCs w:val="22"/>
        </w:rPr>
        <w:t> </w:t>
      </w:r>
      <w:r w:rsidRPr="00FB2719">
        <w:rPr>
          <w:bCs/>
          <w:sz w:val="22"/>
          <w:szCs w:val="22"/>
        </w:rPr>
        <w:t>mg derinio vieną kartą per parą (n=300), arba lopinaviro / ritonaviro 400</w:t>
      </w:r>
      <w:r w:rsidR="001E5E80" w:rsidRPr="00FB2719">
        <w:rPr>
          <w:bCs/>
          <w:sz w:val="22"/>
          <w:szCs w:val="22"/>
        </w:rPr>
        <w:t> mg</w:t>
      </w:r>
      <w:r w:rsidRPr="00FB2719">
        <w:rPr>
          <w:bCs/>
          <w:sz w:val="22"/>
          <w:szCs w:val="22"/>
        </w:rPr>
        <w:t>/100</w:t>
      </w:r>
      <w:r w:rsidR="00237548" w:rsidRPr="00FB2719">
        <w:rPr>
          <w:bCs/>
          <w:sz w:val="22"/>
          <w:szCs w:val="22"/>
        </w:rPr>
        <w:t> </w:t>
      </w:r>
      <w:r w:rsidRPr="00FB2719">
        <w:rPr>
          <w:bCs/>
          <w:sz w:val="22"/>
          <w:szCs w:val="22"/>
        </w:rPr>
        <w:t>mg derinio du kartus per parą (n=299). Pacientams buvo paskirti bent du nukleozidų/nukleotidų atvirkštinės transkriptazės inhibitoriai, kuriuos parinko tyrėjas. Daugiau negu pusė į tyrimą įtrauktų pacientų niekada nebuvo vartoję proteazės inhibitorių (PI) ir apie 80 % pacientų turėjo virusus su mažiau nei 3 PI mutacijomis. Vidutinis į tyrimą įtrauktų pacientų amžius buvo 41</w:t>
      </w:r>
      <w:r w:rsidR="00237548" w:rsidRPr="00FB2719">
        <w:rPr>
          <w:bCs/>
          <w:sz w:val="22"/>
          <w:szCs w:val="22"/>
        </w:rPr>
        <w:t> </w:t>
      </w:r>
      <w:r w:rsidRPr="00FB2719">
        <w:rPr>
          <w:bCs/>
          <w:sz w:val="22"/>
          <w:szCs w:val="22"/>
        </w:rPr>
        <w:t>metai (svyravimas tarp 21 ir 73); 51 % baltaodžių ir 66 % vyrų. Pradinė CD4+ vertė buvo 254</w:t>
      </w:r>
      <w:r w:rsidR="00237548" w:rsidRPr="00FB2719">
        <w:rPr>
          <w:bCs/>
          <w:sz w:val="22"/>
          <w:szCs w:val="22"/>
        </w:rPr>
        <w:t> </w:t>
      </w:r>
      <w:r w:rsidRPr="00FB2719">
        <w:rPr>
          <w:bCs/>
          <w:sz w:val="22"/>
          <w:szCs w:val="22"/>
        </w:rPr>
        <w:t>ląstelių/mm</w:t>
      </w:r>
      <w:r w:rsidRPr="00FB2719">
        <w:rPr>
          <w:bCs/>
          <w:sz w:val="22"/>
          <w:szCs w:val="22"/>
          <w:vertAlign w:val="superscript"/>
        </w:rPr>
        <w:t>3</w:t>
      </w:r>
      <w:r w:rsidRPr="00FB2719">
        <w:rPr>
          <w:bCs/>
          <w:sz w:val="22"/>
          <w:szCs w:val="22"/>
        </w:rPr>
        <w:t xml:space="preserve"> (diapazonas: nuo 4 iki 952</w:t>
      </w:r>
      <w:r w:rsidR="00237548" w:rsidRPr="00FB2719">
        <w:rPr>
          <w:bCs/>
          <w:sz w:val="22"/>
          <w:szCs w:val="22"/>
        </w:rPr>
        <w:t> </w:t>
      </w:r>
      <w:r w:rsidRPr="00FB2719">
        <w:rPr>
          <w:bCs/>
          <w:sz w:val="22"/>
          <w:szCs w:val="22"/>
        </w:rPr>
        <w:t>ląstelių/mm</w:t>
      </w:r>
      <w:r w:rsidRPr="00FB2719">
        <w:rPr>
          <w:bCs/>
          <w:sz w:val="22"/>
          <w:szCs w:val="22"/>
          <w:vertAlign w:val="superscript"/>
        </w:rPr>
        <w:t>3</w:t>
      </w:r>
      <w:r w:rsidRPr="00FB2719">
        <w:rPr>
          <w:bCs/>
          <w:sz w:val="22"/>
          <w:szCs w:val="22"/>
        </w:rPr>
        <w:t>) ir vidutinė plazmos ŽIV-1 RNR tyrimo pradžioje buvo 4,3</w:t>
      </w:r>
      <w:r w:rsidR="00237548" w:rsidRPr="00FB2719">
        <w:rPr>
          <w:bCs/>
          <w:sz w:val="22"/>
          <w:szCs w:val="22"/>
        </w:rPr>
        <w:t> </w:t>
      </w:r>
      <w:r w:rsidRPr="00FB2719">
        <w:rPr>
          <w:bCs/>
          <w:sz w:val="22"/>
          <w:szCs w:val="22"/>
        </w:rPr>
        <w:t>log</w:t>
      </w:r>
      <w:r w:rsidRPr="00FB2719">
        <w:rPr>
          <w:bCs/>
          <w:sz w:val="22"/>
          <w:szCs w:val="22"/>
          <w:vertAlign w:val="subscript"/>
        </w:rPr>
        <w:t>10</w:t>
      </w:r>
      <w:r w:rsidR="00237548" w:rsidRPr="00FB2719">
        <w:rPr>
          <w:bCs/>
          <w:sz w:val="22"/>
          <w:szCs w:val="22"/>
        </w:rPr>
        <w:t> </w:t>
      </w:r>
      <w:r w:rsidRPr="00FB2719">
        <w:rPr>
          <w:bCs/>
          <w:sz w:val="22"/>
          <w:szCs w:val="22"/>
        </w:rPr>
        <w:t>kopijos/ml (diapazonas: nuo 1,7 iki 6,6</w:t>
      </w:r>
      <w:r w:rsidR="007708A2" w:rsidRPr="00FB2719">
        <w:rPr>
          <w:bCs/>
          <w:sz w:val="22"/>
          <w:szCs w:val="22"/>
        </w:rPr>
        <w:t> </w:t>
      </w:r>
      <w:r w:rsidRPr="00FB2719">
        <w:rPr>
          <w:bCs/>
          <w:sz w:val="22"/>
          <w:szCs w:val="22"/>
        </w:rPr>
        <w:t>log</w:t>
      </w:r>
      <w:r w:rsidRPr="00FB2719">
        <w:rPr>
          <w:bCs/>
          <w:sz w:val="22"/>
          <w:szCs w:val="22"/>
          <w:vertAlign w:val="subscript"/>
        </w:rPr>
        <w:t>10</w:t>
      </w:r>
      <w:r w:rsidR="007708A2" w:rsidRPr="00FB2719">
        <w:rPr>
          <w:bCs/>
          <w:sz w:val="22"/>
          <w:szCs w:val="22"/>
        </w:rPr>
        <w:t> </w:t>
      </w:r>
      <w:r w:rsidRPr="00FB2719">
        <w:rPr>
          <w:bCs/>
          <w:sz w:val="22"/>
          <w:szCs w:val="22"/>
        </w:rPr>
        <w:t>kopijų/ml). Apie 85 % pacientų buvo &lt;</w:t>
      </w:r>
      <w:r w:rsidR="007708A2" w:rsidRPr="00FB2719">
        <w:rPr>
          <w:bCs/>
          <w:sz w:val="22"/>
          <w:szCs w:val="22"/>
        </w:rPr>
        <w:t> </w:t>
      </w:r>
      <w:r w:rsidRPr="00FB2719">
        <w:rPr>
          <w:bCs/>
          <w:sz w:val="22"/>
          <w:szCs w:val="22"/>
        </w:rPr>
        <w:t>100000</w:t>
      </w:r>
      <w:r w:rsidR="007708A2" w:rsidRPr="00FB2719">
        <w:rPr>
          <w:bCs/>
          <w:sz w:val="22"/>
          <w:szCs w:val="22"/>
        </w:rPr>
        <w:t> </w:t>
      </w:r>
      <w:r w:rsidRPr="00FB2719">
        <w:rPr>
          <w:bCs/>
          <w:sz w:val="22"/>
          <w:szCs w:val="22"/>
        </w:rPr>
        <w:t>virusų kopijų/ml.</w:t>
      </w:r>
    </w:p>
    <w:p w14:paraId="1DC9B9C6" w14:textId="77777777" w:rsidR="00CA08B3" w:rsidRPr="00FB2719" w:rsidRDefault="00CA08B3" w:rsidP="00CA08B3">
      <w:pPr>
        <w:tabs>
          <w:tab w:val="left" w:pos="567"/>
        </w:tabs>
        <w:rPr>
          <w:bCs/>
          <w:sz w:val="22"/>
          <w:szCs w:val="22"/>
        </w:rPr>
      </w:pPr>
    </w:p>
    <w:p w14:paraId="5EE89980" w14:textId="77777777" w:rsidR="00CA08B3" w:rsidRPr="00FB2719" w:rsidRDefault="00CA08B3" w:rsidP="00CA08B3">
      <w:pPr>
        <w:tabs>
          <w:tab w:val="left" w:pos="567"/>
        </w:tabs>
        <w:rPr>
          <w:bCs/>
          <w:sz w:val="22"/>
          <w:szCs w:val="22"/>
        </w:rPr>
      </w:pPr>
      <w:r w:rsidRPr="00FB2719">
        <w:rPr>
          <w:bCs/>
          <w:sz w:val="22"/>
          <w:szCs w:val="22"/>
        </w:rPr>
        <w:t>4 lentelė</w:t>
      </w:r>
    </w:p>
    <w:tbl>
      <w:tblPr>
        <w:tblW w:w="0" w:type="auto"/>
        <w:tblInd w:w="575" w:type="dxa"/>
        <w:tblCellMar>
          <w:left w:w="0" w:type="dxa"/>
          <w:right w:w="0" w:type="dxa"/>
        </w:tblCellMar>
        <w:tblLook w:val="04A0" w:firstRow="1" w:lastRow="0" w:firstColumn="1" w:lastColumn="0" w:noHBand="0" w:noVBand="1"/>
      </w:tblPr>
      <w:tblGrid>
        <w:gridCol w:w="4839"/>
        <w:gridCol w:w="977"/>
        <w:gridCol w:w="923"/>
        <w:gridCol w:w="1696"/>
      </w:tblGrid>
      <w:tr w:rsidR="00CA08B3" w:rsidRPr="00FB2719" w14:paraId="76A6AF6B" w14:textId="77777777" w:rsidTr="00CA08B3">
        <w:trPr>
          <w:trHeight w:val="20"/>
        </w:trPr>
        <w:tc>
          <w:tcPr>
            <w:tcW w:w="8511" w:type="dxa"/>
            <w:gridSpan w:val="4"/>
            <w:tcBorders>
              <w:top w:val="single" w:sz="8" w:space="0" w:color="000000"/>
              <w:left w:val="single" w:sz="6" w:space="0" w:color="000000"/>
              <w:bottom w:val="single" w:sz="8" w:space="0" w:color="000000"/>
              <w:right w:val="single" w:sz="6" w:space="0" w:color="000000"/>
            </w:tcBorders>
          </w:tcPr>
          <w:p w14:paraId="1C55A2A9" w14:textId="77777777" w:rsidR="00CA08B3" w:rsidRPr="00FB2719" w:rsidRDefault="00CA08B3">
            <w:pPr>
              <w:autoSpaceDE w:val="0"/>
              <w:autoSpaceDN w:val="0"/>
              <w:adjustRightInd w:val="0"/>
              <w:spacing w:line="276" w:lineRule="auto"/>
              <w:ind w:left="8" w:right="-20"/>
              <w:jc w:val="center"/>
              <w:rPr>
                <w:b/>
                <w:bCs/>
                <w:sz w:val="22"/>
                <w:szCs w:val="22"/>
                <w:lang w:val="en-US"/>
              </w:rPr>
            </w:pPr>
            <w:r w:rsidRPr="00FB2719">
              <w:rPr>
                <w:b/>
                <w:bCs/>
                <w:sz w:val="22"/>
                <w:szCs w:val="22"/>
                <w:lang w:val="en-US"/>
              </w:rPr>
              <w:t>802 tyrimo virusologinis atsakas 48-ąją savaitę</w:t>
            </w:r>
          </w:p>
          <w:p w14:paraId="1C4DFB19" w14:textId="77777777" w:rsidR="00CA08B3" w:rsidRPr="00FB2719" w:rsidRDefault="00CA08B3">
            <w:pPr>
              <w:autoSpaceDE w:val="0"/>
              <w:autoSpaceDN w:val="0"/>
              <w:adjustRightInd w:val="0"/>
              <w:spacing w:line="276" w:lineRule="auto"/>
              <w:ind w:left="8" w:right="-20"/>
              <w:jc w:val="center"/>
              <w:rPr>
                <w:sz w:val="22"/>
                <w:szCs w:val="22"/>
                <w:lang w:val="en-US"/>
              </w:rPr>
            </w:pPr>
          </w:p>
        </w:tc>
      </w:tr>
      <w:tr w:rsidR="00CA08B3" w:rsidRPr="00FB2719" w14:paraId="0494035C" w14:textId="77777777" w:rsidTr="00CA08B3">
        <w:trPr>
          <w:trHeight w:val="20"/>
        </w:trPr>
        <w:tc>
          <w:tcPr>
            <w:tcW w:w="4899" w:type="dxa"/>
            <w:tcBorders>
              <w:top w:val="single" w:sz="8" w:space="0" w:color="000000"/>
              <w:left w:val="single" w:sz="6" w:space="0" w:color="000000"/>
              <w:bottom w:val="single" w:sz="8" w:space="0" w:color="000000"/>
              <w:right w:val="single" w:sz="6" w:space="0" w:color="000000"/>
            </w:tcBorders>
          </w:tcPr>
          <w:p w14:paraId="73A484B1" w14:textId="77777777" w:rsidR="00CA08B3" w:rsidRPr="00FB2719" w:rsidRDefault="00CA08B3">
            <w:pPr>
              <w:autoSpaceDE w:val="0"/>
              <w:autoSpaceDN w:val="0"/>
              <w:adjustRightInd w:val="0"/>
              <w:spacing w:line="276" w:lineRule="auto"/>
              <w:ind w:left="8"/>
              <w:rPr>
                <w:sz w:val="22"/>
                <w:szCs w:val="22"/>
                <w:lang w:val="en-US"/>
              </w:rPr>
            </w:pPr>
          </w:p>
        </w:tc>
        <w:tc>
          <w:tcPr>
            <w:tcW w:w="980" w:type="dxa"/>
            <w:tcBorders>
              <w:top w:val="single" w:sz="8" w:space="0" w:color="000000"/>
              <w:left w:val="single" w:sz="6" w:space="0" w:color="000000"/>
              <w:bottom w:val="single" w:sz="8" w:space="0" w:color="000000"/>
              <w:right w:val="single" w:sz="6" w:space="0" w:color="000000"/>
            </w:tcBorders>
            <w:hideMark/>
          </w:tcPr>
          <w:p w14:paraId="09837F01" w14:textId="77777777" w:rsidR="00CA08B3" w:rsidRPr="00FB2719" w:rsidRDefault="00CA08B3">
            <w:pPr>
              <w:autoSpaceDE w:val="0"/>
              <w:autoSpaceDN w:val="0"/>
              <w:adjustRightInd w:val="0"/>
              <w:spacing w:line="276" w:lineRule="auto"/>
              <w:ind w:left="8" w:right="372"/>
              <w:jc w:val="center"/>
              <w:rPr>
                <w:sz w:val="22"/>
                <w:szCs w:val="22"/>
                <w:lang w:val="en-US"/>
              </w:rPr>
            </w:pPr>
            <w:r w:rsidRPr="00FB2719">
              <w:rPr>
                <w:b/>
                <w:bCs/>
                <w:w w:val="99"/>
                <w:sz w:val="22"/>
                <w:szCs w:val="22"/>
                <w:lang w:val="en-US"/>
              </w:rPr>
              <w:t>QD</w:t>
            </w:r>
          </w:p>
        </w:tc>
        <w:tc>
          <w:tcPr>
            <w:tcW w:w="925" w:type="dxa"/>
            <w:tcBorders>
              <w:top w:val="single" w:sz="8" w:space="0" w:color="000000"/>
              <w:left w:val="single" w:sz="6" w:space="0" w:color="000000"/>
              <w:bottom w:val="single" w:sz="8" w:space="0" w:color="000000"/>
              <w:right w:val="single" w:sz="6" w:space="0" w:color="000000"/>
            </w:tcBorders>
            <w:hideMark/>
          </w:tcPr>
          <w:p w14:paraId="14ABF0DA" w14:textId="77777777" w:rsidR="00CA08B3" w:rsidRPr="00FB2719" w:rsidRDefault="00CA08B3">
            <w:pPr>
              <w:autoSpaceDE w:val="0"/>
              <w:autoSpaceDN w:val="0"/>
              <w:adjustRightInd w:val="0"/>
              <w:spacing w:line="276" w:lineRule="auto"/>
              <w:ind w:left="8" w:right="-20"/>
              <w:rPr>
                <w:sz w:val="22"/>
                <w:szCs w:val="22"/>
                <w:lang w:val="en-US"/>
              </w:rPr>
            </w:pPr>
            <w:r w:rsidRPr="00FB2719">
              <w:rPr>
                <w:b/>
                <w:bCs/>
                <w:sz w:val="22"/>
                <w:szCs w:val="22"/>
                <w:lang w:val="en-US"/>
              </w:rPr>
              <w:t>BID</w:t>
            </w:r>
          </w:p>
        </w:tc>
        <w:tc>
          <w:tcPr>
            <w:tcW w:w="1707" w:type="dxa"/>
            <w:tcBorders>
              <w:top w:val="single" w:sz="8" w:space="0" w:color="000000"/>
              <w:left w:val="single" w:sz="6" w:space="0" w:color="000000"/>
              <w:bottom w:val="single" w:sz="8" w:space="0" w:color="000000"/>
              <w:right w:val="single" w:sz="6" w:space="0" w:color="000000"/>
            </w:tcBorders>
            <w:hideMark/>
          </w:tcPr>
          <w:p w14:paraId="2343AA79" w14:textId="77777777" w:rsidR="00CA08B3" w:rsidRPr="00FB2719" w:rsidRDefault="00CA08B3">
            <w:pPr>
              <w:autoSpaceDE w:val="0"/>
              <w:autoSpaceDN w:val="0"/>
              <w:adjustRightInd w:val="0"/>
              <w:spacing w:line="276" w:lineRule="auto"/>
              <w:ind w:left="8" w:right="-20"/>
              <w:rPr>
                <w:sz w:val="22"/>
                <w:szCs w:val="22"/>
                <w:lang w:val="en-US"/>
              </w:rPr>
            </w:pPr>
            <w:r w:rsidRPr="00FB2719">
              <w:rPr>
                <w:b/>
                <w:bCs/>
                <w:sz w:val="22"/>
                <w:szCs w:val="22"/>
                <w:lang w:val="en-US"/>
              </w:rPr>
              <w:t>Skirtumas</w:t>
            </w:r>
          </w:p>
          <w:p w14:paraId="75EF9E2C" w14:textId="77777777" w:rsidR="00CA08B3" w:rsidRPr="00FB2719" w:rsidRDefault="00CA08B3">
            <w:pPr>
              <w:autoSpaceDE w:val="0"/>
              <w:autoSpaceDN w:val="0"/>
              <w:adjustRightInd w:val="0"/>
              <w:spacing w:line="276" w:lineRule="auto"/>
              <w:ind w:left="8" w:right="-20"/>
              <w:rPr>
                <w:sz w:val="22"/>
                <w:szCs w:val="22"/>
                <w:lang w:val="en-US"/>
              </w:rPr>
            </w:pPr>
            <w:r w:rsidRPr="00FB2719">
              <w:rPr>
                <w:b/>
                <w:bCs/>
                <w:sz w:val="22"/>
                <w:szCs w:val="22"/>
                <w:lang w:val="en-US"/>
              </w:rPr>
              <w:t>[</w:t>
            </w:r>
            <w:r w:rsidRPr="00FB2719">
              <w:rPr>
                <w:b/>
                <w:bCs/>
                <w:spacing w:val="1"/>
                <w:sz w:val="22"/>
                <w:szCs w:val="22"/>
                <w:lang w:val="en-US"/>
              </w:rPr>
              <w:t>95 </w:t>
            </w:r>
            <w:r w:rsidRPr="00FB2719">
              <w:rPr>
                <w:b/>
                <w:bCs/>
                <w:sz w:val="22"/>
                <w:szCs w:val="22"/>
                <w:lang w:val="en-US"/>
              </w:rPr>
              <w:t>%</w:t>
            </w:r>
            <w:r w:rsidRPr="00FB2719">
              <w:rPr>
                <w:b/>
                <w:bCs/>
                <w:spacing w:val="-5"/>
                <w:sz w:val="22"/>
                <w:szCs w:val="22"/>
                <w:lang w:val="en-US"/>
              </w:rPr>
              <w:t xml:space="preserve"> </w:t>
            </w:r>
            <w:r w:rsidRPr="00FB2719">
              <w:rPr>
                <w:b/>
                <w:bCs/>
                <w:sz w:val="22"/>
                <w:szCs w:val="22"/>
                <w:lang w:val="en-US"/>
              </w:rPr>
              <w:t>CI]</w:t>
            </w:r>
          </w:p>
        </w:tc>
      </w:tr>
      <w:tr w:rsidR="00CA08B3" w:rsidRPr="00FB2719" w14:paraId="73F0E807" w14:textId="77777777" w:rsidTr="00CA08B3">
        <w:trPr>
          <w:trHeight w:val="20"/>
        </w:trPr>
        <w:tc>
          <w:tcPr>
            <w:tcW w:w="4899" w:type="dxa"/>
            <w:tcBorders>
              <w:top w:val="single" w:sz="8" w:space="0" w:color="000000"/>
              <w:left w:val="single" w:sz="6" w:space="0" w:color="000000"/>
              <w:bottom w:val="single" w:sz="8" w:space="0" w:color="000000"/>
              <w:right w:val="single" w:sz="6" w:space="0" w:color="000000"/>
            </w:tcBorders>
            <w:hideMark/>
          </w:tcPr>
          <w:p w14:paraId="3D51A030" w14:textId="77777777" w:rsidR="00CA08B3" w:rsidRPr="00FB2719" w:rsidRDefault="00CA08B3" w:rsidP="007708A2">
            <w:pPr>
              <w:autoSpaceDE w:val="0"/>
              <w:autoSpaceDN w:val="0"/>
              <w:adjustRightInd w:val="0"/>
              <w:spacing w:line="276" w:lineRule="auto"/>
              <w:ind w:left="8" w:right="-20"/>
              <w:rPr>
                <w:sz w:val="22"/>
                <w:szCs w:val="22"/>
                <w:lang w:val="en-US"/>
              </w:rPr>
            </w:pPr>
            <w:r w:rsidRPr="00FB2719">
              <w:rPr>
                <w:sz w:val="22"/>
                <w:szCs w:val="22"/>
                <w:lang w:val="en-US"/>
              </w:rPr>
              <w:t>NC=Nesėkmė</w:t>
            </w:r>
          </w:p>
        </w:tc>
        <w:tc>
          <w:tcPr>
            <w:tcW w:w="980" w:type="dxa"/>
            <w:tcBorders>
              <w:top w:val="single" w:sz="8" w:space="0" w:color="000000"/>
              <w:left w:val="single" w:sz="6" w:space="0" w:color="000000"/>
              <w:bottom w:val="single" w:sz="8" w:space="0" w:color="000000"/>
              <w:right w:val="single" w:sz="6" w:space="0" w:color="000000"/>
            </w:tcBorders>
            <w:hideMark/>
          </w:tcPr>
          <w:p w14:paraId="7F7B1B03" w14:textId="77777777" w:rsidR="00CA08B3" w:rsidRPr="00FB2719" w:rsidRDefault="00CA08B3">
            <w:pPr>
              <w:autoSpaceDE w:val="0"/>
              <w:autoSpaceDN w:val="0"/>
              <w:adjustRightInd w:val="0"/>
              <w:spacing w:line="276" w:lineRule="auto"/>
              <w:ind w:left="8" w:right="-20"/>
              <w:rPr>
                <w:sz w:val="22"/>
                <w:szCs w:val="22"/>
                <w:lang w:val="en-US"/>
              </w:rPr>
            </w:pPr>
            <w:r w:rsidRPr="00FB2719">
              <w:rPr>
                <w:sz w:val="22"/>
                <w:szCs w:val="22"/>
                <w:lang w:val="en-US"/>
              </w:rPr>
              <w:t>171/300</w:t>
            </w:r>
          </w:p>
          <w:p w14:paraId="30C85088" w14:textId="77777777" w:rsidR="00CA08B3" w:rsidRPr="00FB2719" w:rsidRDefault="00CA08B3">
            <w:pPr>
              <w:autoSpaceDE w:val="0"/>
              <w:autoSpaceDN w:val="0"/>
              <w:adjustRightInd w:val="0"/>
              <w:spacing w:line="276" w:lineRule="auto"/>
              <w:ind w:left="8" w:right="-20"/>
              <w:rPr>
                <w:sz w:val="22"/>
                <w:szCs w:val="22"/>
                <w:lang w:val="en-US"/>
              </w:rPr>
            </w:pPr>
            <w:r w:rsidRPr="00FB2719">
              <w:rPr>
                <w:sz w:val="22"/>
                <w:szCs w:val="22"/>
                <w:lang w:val="en-US"/>
              </w:rPr>
              <w:t>(57 %)</w:t>
            </w:r>
          </w:p>
        </w:tc>
        <w:tc>
          <w:tcPr>
            <w:tcW w:w="925" w:type="dxa"/>
            <w:tcBorders>
              <w:top w:val="single" w:sz="8" w:space="0" w:color="000000"/>
              <w:left w:val="single" w:sz="6" w:space="0" w:color="000000"/>
              <w:bottom w:val="single" w:sz="8" w:space="0" w:color="000000"/>
              <w:right w:val="single" w:sz="6" w:space="0" w:color="000000"/>
            </w:tcBorders>
            <w:hideMark/>
          </w:tcPr>
          <w:p w14:paraId="0FC6306D" w14:textId="77777777" w:rsidR="00CA08B3" w:rsidRPr="00FB2719" w:rsidRDefault="00CA08B3">
            <w:pPr>
              <w:autoSpaceDE w:val="0"/>
              <w:autoSpaceDN w:val="0"/>
              <w:adjustRightInd w:val="0"/>
              <w:spacing w:line="276" w:lineRule="auto"/>
              <w:ind w:left="8" w:right="-20"/>
              <w:rPr>
                <w:sz w:val="22"/>
                <w:szCs w:val="22"/>
                <w:lang w:val="en-US"/>
              </w:rPr>
            </w:pPr>
            <w:r w:rsidRPr="00FB2719">
              <w:rPr>
                <w:sz w:val="22"/>
                <w:szCs w:val="22"/>
                <w:lang w:val="en-US"/>
              </w:rPr>
              <w:t>161/299</w:t>
            </w:r>
          </w:p>
          <w:p w14:paraId="413C6FDC" w14:textId="77777777" w:rsidR="00CA08B3" w:rsidRPr="00FB2719" w:rsidRDefault="00CA08B3">
            <w:pPr>
              <w:autoSpaceDE w:val="0"/>
              <w:autoSpaceDN w:val="0"/>
              <w:adjustRightInd w:val="0"/>
              <w:spacing w:line="276" w:lineRule="auto"/>
              <w:ind w:left="8" w:right="-20"/>
              <w:rPr>
                <w:sz w:val="22"/>
                <w:szCs w:val="22"/>
                <w:lang w:val="en-US"/>
              </w:rPr>
            </w:pPr>
            <w:r w:rsidRPr="00FB2719">
              <w:rPr>
                <w:sz w:val="22"/>
                <w:szCs w:val="22"/>
                <w:lang w:val="en-US"/>
              </w:rPr>
              <w:t>(53</w:t>
            </w:r>
            <w:proofErr w:type="gramStart"/>
            <w:r w:rsidRPr="00FB2719">
              <w:rPr>
                <w:sz w:val="22"/>
                <w:szCs w:val="22"/>
                <w:lang w:val="en-US"/>
              </w:rPr>
              <w:t>,8</w:t>
            </w:r>
            <w:proofErr w:type="gramEnd"/>
            <w:r w:rsidRPr="00FB2719">
              <w:rPr>
                <w:sz w:val="22"/>
                <w:szCs w:val="22"/>
                <w:lang w:val="en-US"/>
              </w:rPr>
              <w:t> %)</w:t>
            </w:r>
          </w:p>
        </w:tc>
        <w:tc>
          <w:tcPr>
            <w:tcW w:w="1707" w:type="dxa"/>
            <w:tcBorders>
              <w:top w:val="single" w:sz="8" w:space="0" w:color="000000"/>
              <w:left w:val="single" w:sz="6" w:space="0" w:color="000000"/>
              <w:bottom w:val="single" w:sz="8" w:space="0" w:color="000000"/>
              <w:right w:val="single" w:sz="6" w:space="0" w:color="000000"/>
            </w:tcBorders>
            <w:hideMark/>
          </w:tcPr>
          <w:p w14:paraId="469C0F7B" w14:textId="77777777" w:rsidR="00CA08B3" w:rsidRPr="00FB2719" w:rsidRDefault="00CA08B3">
            <w:pPr>
              <w:autoSpaceDE w:val="0"/>
              <w:autoSpaceDN w:val="0"/>
              <w:adjustRightInd w:val="0"/>
              <w:spacing w:line="276" w:lineRule="auto"/>
              <w:ind w:left="8" w:right="515"/>
              <w:jc w:val="center"/>
              <w:rPr>
                <w:sz w:val="22"/>
                <w:szCs w:val="22"/>
                <w:lang w:val="en-US"/>
              </w:rPr>
            </w:pPr>
            <w:r w:rsidRPr="00FB2719">
              <w:rPr>
                <w:sz w:val="22"/>
                <w:szCs w:val="22"/>
                <w:lang w:val="en-US"/>
              </w:rPr>
              <w:t>3,2 %</w:t>
            </w:r>
          </w:p>
          <w:p w14:paraId="6C0AC33D" w14:textId="77777777" w:rsidR="00CA08B3" w:rsidRPr="00FB2719" w:rsidRDefault="00CA08B3">
            <w:pPr>
              <w:autoSpaceDE w:val="0"/>
              <w:autoSpaceDN w:val="0"/>
              <w:adjustRightInd w:val="0"/>
              <w:spacing w:line="276" w:lineRule="auto"/>
              <w:ind w:left="8" w:right="67"/>
              <w:jc w:val="center"/>
              <w:rPr>
                <w:sz w:val="22"/>
                <w:szCs w:val="22"/>
                <w:lang w:val="en-US"/>
              </w:rPr>
            </w:pPr>
            <w:r w:rsidRPr="00FB2719">
              <w:rPr>
                <w:sz w:val="22"/>
                <w:szCs w:val="22"/>
                <w:lang w:val="en-US"/>
              </w:rPr>
              <w:t>[-4,8 %, 11,1 %]</w:t>
            </w:r>
          </w:p>
        </w:tc>
      </w:tr>
      <w:tr w:rsidR="00CA08B3" w:rsidRPr="00FB2719" w14:paraId="3171E88A" w14:textId="77777777" w:rsidTr="00CA08B3">
        <w:trPr>
          <w:trHeight w:val="20"/>
        </w:trPr>
        <w:tc>
          <w:tcPr>
            <w:tcW w:w="4899" w:type="dxa"/>
            <w:tcBorders>
              <w:top w:val="single" w:sz="8" w:space="0" w:color="000000"/>
              <w:left w:val="single" w:sz="6" w:space="0" w:color="000000"/>
              <w:bottom w:val="single" w:sz="8" w:space="0" w:color="000000"/>
              <w:right w:val="single" w:sz="6" w:space="0" w:color="000000"/>
            </w:tcBorders>
            <w:hideMark/>
          </w:tcPr>
          <w:p w14:paraId="7C0251E5" w14:textId="77777777" w:rsidR="00CA08B3" w:rsidRPr="00FB2719" w:rsidRDefault="00CA08B3">
            <w:pPr>
              <w:autoSpaceDE w:val="0"/>
              <w:autoSpaceDN w:val="0"/>
              <w:adjustRightInd w:val="0"/>
              <w:spacing w:line="276" w:lineRule="auto"/>
              <w:ind w:left="8" w:right="-20"/>
              <w:rPr>
                <w:sz w:val="22"/>
                <w:szCs w:val="22"/>
                <w:lang w:val="en-US"/>
              </w:rPr>
            </w:pPr>
            <w:r w:rsidRPr="00FB2719">
              <w:rPr>
                <w:sz w:val="22"/>
                <w:szCs w:val="22"/>
                <w:lang w:val="en-US"/>
              </w:rPr>
              <w:t>Stebėti duomenys</w:t>
            </w:r>
          </w:p>
        </w:tc>
        <w:tc>
          <w:tcPr>
            <w:tcW w:w="980" w:type="dxa"/>
            <w:tcBorders>
              <w:top w:val="single" w:sz="8" w:space="0" w:color="000000"/>
              <w:left w:val="single" w:sz="6" w:space="0" w:color="000000"/>
              <w:bottom w:val="single" w:sz="8" w:space="0" w:color="000000"/>
              <w:right w:val="single" w:sz="6" w:space="0" w:color="000000"/>
            </w:tcBorders>
            <w:hideMark/>
          </w:tcPr>
          <w:p w14:paraId="000CBA0D" w14:textId="77777777" w:rsidR="00CA08B3" w:rsidRPr="00FB2719" w:rsidRDefault="00CA08B3">
            <w:pPr>
              <w:autoSpaceDE w:val="0"/>
              <w:autoSpaceDN w:val="0"/>
              <w:adjustRightInd w:val="0"/>
              <w:spacing w:line="276" w:lineRule="auto"/>
              <w:ind w:left="8" w:right="-20"/>
              <w:rPr>
                <w:sz w:val="22"/>
                <w:szCs w:val="22"/>
                <w:lang w:val="en-US"/>
              </w:rPr>
            </w:pPr>
            <w:r w:rsidRPr="00FB2719">
              <w:rPr>
                <w:sz w:val="22"/>
                <w:szCs w:val="22"/>
                <w:lang w:val="en-US"/>
              </w:rPr>
              <w:t>171/225</w:t>
            </w:r>
          </w:p>
          <w:p w14:paraId="034A41F1" w14:textId="77777777" w:rsidR="00CA08B3" w:rsidRPr="00FB2719" w:rsidRDefault="00CA08B3">
            <w:pPr>
              <w:autoSpaceDE w:val="0"/>
              <w:autoSpaceDN w:val="0"/>
              <w:adjustRightInd w:val="0"/>
              <w:spacing w:line="276" w:lineRule="auto"/>
              <w:ind w:left="8" w:right="-20"/>
              <w:rPr>
                <w:sz w:val="22"/>
                <w:szCs w:val="22"/>
                <w:lang w:val="en-US"/>
              </w:rPr>
            </w:pPr>
            <w:r w:rsidRPr="00FB2719">
              <w:rPr>
                <w:sz w:val="22"/>
                <w:szCs w:val="22"/>
                <w:lang w:val="en-US"/>
              </w:rPr>
              <w:t>(76</w:t>
            </w:r>
            <w:proofErr w:type="gramStart"/>
            <w:r w:rsidRPr="00FB2719">
              <w:rPr>
                <w:sz w:val="22"/>
                <w:szCs w:val="22"/>
                <w:lang w:val="en-US"/>
              </w:rPr>
              <w:t>,0</w:t>
            </w:r>
            <w:proofErr w:type="gramEnd"/>
            <w:r w:rsidRPr="00FB2719">
              <w:rPr>
                <w:sz w:val="22"/>
                <w:szCs w:val="22"/>
                <w:lang w:val="en-US"/>
              </w:rPr>
              <w:t> %)</w:t>
            </w:r>
          </w:p>
        </w:tc>
        <w:tc>
          <w:tcPr>
            <w:tcW w:w="925" w:type="dxa"/>
            <w:tcBorders>
              <w:top w:val="single" w:sz="8" w:space="0" w:color="000000"/>
              <w:left w:val="single" w:sz="6" w:space="0" w:color="000000"/>
              <w:bottom w:val="single" w:sz="8" w:space="0" w:color="000000"/>
              <w:right w:val="single" w:sz="6" w:space="0" w:color="000000"/>
            </w:tcBorders>
            <w:hideMark/>
          </w:tcPr>
          <w:p w14:paraId="52D07D63" w14:textId="77777777" w:rsidR="00CA08B3" w:rsidRPr="00FB2719" w:rsidRDefault="00CA08B3">
            <w:pPr>
              <w:autoSpaceDE w:val="0"/>
              <w:autoSpaceDN w:val="0"/>
              <w:adjustRightInd w:val="0"/>
              <w:spacing w:line="276" w:lineRule="auto"/>
              <w:ind w:left="8" w:right="-20"/>
              <w:rPr>
                <w:sz w:val="22"/>
                <w:szCs w:val="22"/>
                <w:lang w:val="en-US"/>
              </w:rPr>
            </w:pPr>
            <w:r w:rsidRPr="00FB2719">
              <w:rPr>
                <w:sz w:val="22"/>
                <w:szCs w:val="22"/>
                <w:lang w:val="en-US"/>
              </w:rPr>
              <w:t>161/223</w:t>
            </w:r>
          </w:p>
          <w:p w14:paraId="2367275C" w14:textId="77777777" w:rsidR="00CA08B3" w:rsidRPr="00FB2719" w:rsidRDefault="00CA08B3">
            <w:pPr>
              <w:autoSpaceDE w:val="0"/>
              <w:autoSpaceDN w:val="0"/>
              <w:adjustRightInd w:val="0"/>
              <w:spacing w:line="276" w:lineRule="auto"/>
              <w:ind w:left="8" w:right="-20"/>
              <w:rPr>
                <w:sz w:val="22"/>
                <w:szCs w:val="22"/>
                <w:lang w:val="en-US"/>
              </w:rPr>
            </w:pPr>
            <w:r w:rsidRPr="00FB2719">
              <w:rPr>
                <w:sz w:val="22"/>
                <w:szCs w:val="22"/>
                <w:lang w:val="en-US"/>
              </w:rPr>
              <w:t>(72</w:t>
            </w:r>
            <w:proofErr w:type="gramStart"/>
            <w:r w:rsidRPr="00FB2719">
              <w:rPr>
                <w:sz w:val="22"/>
                <w:szCs w:val="22"/>
                <w:lang w:val="en-US"/>
              </w:rPr>
              <w:t>,2</w:t>
            </w:r>
            <w:proofErr w:type="gramEnd"/>
            <w:r w:rsidRPr="00FB2719">
              <w:rPr>
                <w:sz w:val="22"/>
                <w:szCs w:val="22"/>
                <w:lang w:val="en-US"/>
              </w:rPr>
              <w:t> %)</w:t>
            </w:r>
          </w:p>
        </w:tc>
        <w:tc>
          <w:tcPr>
            <w:tcW w:w="1707" w:type="dxa"/>
            <w:tcBorders>
              <w:top w:val="single" w:sz="8" w:space="0" w:color="000000"/>
              <w:left w:val="single" w:sz="6" w:space="0" w:color="000000"/>
              <w:bottom w:val="single" w:sz="8" w:space="0" w:color="000000"/>
              <w:right w:val="single" w:sz="6" w:space="0" w:color="000000"/>
            </w:tcBorders>
            <w:hideMark/>
          </w:tcPr>
          <w:p w14:paraId="475DC75E" w14:textId="77777777" w:rsidR="00CA08B3" w:rsidRPr="00FB2719" w:rsidRDefault="00CA08B3">
            <w:pPr>
              <w:autoSpaceDE w:val="0"/>
              <w:autoSpaceDN w:val="0"/>
              <w:adjustRightInd w:val="0"/>
              <w:spacing w:line="276" w:lineRule="auto"/>
              <w:ind w:left="8" w:right="515"/>
              <w:jc w:val="center"/>
              <w:rPr>
                <w:sz w:val="22"/>
                <w:szCs w:val="22"/>
                <w:lang w:val="en-US"/>
              </w:rPr>
            </w:pPr>
            <w:r w:rsidRPr="00FB2719">
              <w:rPr>
                <w:sz w:val="22"/>
                <w:szCs w:val="22"/>
                <w:lang w:val="en-US"/>
              </w:rPr>
              <w:t>3,8 %</w:t>
            </w:r>
          </w:p>
          <w:p w14:paraId="73B63DE8" w14:textId="77777777" w:rsidR="00CA08B3" w:rsidRPr="00FB2719" w:rsidRDefault="00CA08B3">
            <w:pPr>
              <w:autoSpaceDE w:val="0"/>
              <w:autoSpaceDN w:val="0"/>
              <w:adjustRightInd w:val="0"/>
              <w:spacing w:line="276" w:lineRule="auto"/>
              <w:ind w:left="8" w:right="67"/>
              <w:jc w:val="center"/>
              <w:rPr>
                <w:sz w:val="22"/>
                <w:szCs w:val="22"/>
                <w:lang w:val="en-US"/>
              </w:rPr>
            </w:pPr>
            <w:r w:rsidRPr="00FB2719">
              <w:rPr>
                <w:sz w:val="22"/>
                <w:szCs w:val="22"/>
                <w:lang w:val="en-US"/>
              </w:rPr>
              <w:t>[-4,3 %, 11,9 %]</w:t>
            </w:r>
          </w:p>
        </w:tc>
      </w:tr>
      <w:tr w:rsidR="00CA08B3" w:rsidRPr="00FB2719" w14:paraId="10CA584B" w14:textId="77777777" w:rsidTr="00CA08B3">
        <w:trPr>
          <w:trHeight w:val="20"/>
        </w:trPr>
        <w:tc>
          <w:tcPr>
            <w:tcW w:w="4899" w:type="dxa"/>
            <w:tcBorders>
              <w:top w:val="single" w:sz="8" w:space="0" w:color="000000"/>
              <w:left w:val="single" w:sz="6" w:space="0" w:color="000000"/>
              <w:bottom w:val="single" w:sz="6" w:space="0" w:color="000000"/>
              <w:right w:val="single" w:sz="6" w:space="0" w:color="000000"/>
            </w:tcBorders>
            <w:hideMark/>
          </w:tcPr>
          <w:p w14:paraId="79F2C853" w14:textId="77777777" w:rsidR="00CA08B3" w:rsidRPr="00FB2719" w:rsidRDefault="00CA08B3">
            <w:pPr>
              <w:autoSpaceDE w:val="0"/>
              <w:autoSpaceDN w:val="0"/>
              <w:adjustRightInd w:val="0"/>
              <w:spacing w:line="276" w:lineRule="auto"/>
              <w:ind w:left="8" w:right="-20"/>
              <w:rPr>
                <w:sz w:val="22"/>
                <w:szCs w:val="22"/>
              </w:rPr>
            </w:pPr>
            <w:r w:rsidRPr="00FB2719">
              <w:rPr>
                <w:sz w:val="22"/>
                <w:szCs w:val="22"/>
              </w:rPr>
              <w:t>CD4+T-ląstelių skaičiaus vidutinis padidėjimas nuo tyrimo pradžios (ląstelių/mm</w:t>
            </w:r>
            <w:r w:rsidRPr="00FB2719">
              <w:rPr>
                <w:sz w:val="22"/>
                <w:szCs w:val="22"/>
                <w:vertAlign w:val="superscript"/>
              </w:rPr>
              <w:t>3</w:t>
            </w:r>
            <w:r w:rsidRPr="00FB2719">
              <w:rPr>
                <w:sz w:val="22"/>
                <w:szCs w:val="22"/>
              </w:rPr>
              <w:t>)</w:t>
            </w:r>
          </w:p>
        </w:tc>
        <w:tc>
          <w:tcPr>
            <w:tcW w:w="980" w:type="dxa"/>
            <w:tcBorders>
              <w:top w:val="single" w:sz="8" w:space="0" w:color="000000"/>
              <w:left w:val="single" w:sz="6" w:space="0" w:color="000000"/>
              <w:bottom w:val="single" w:sz="6" w:space="0" w:color="000000"/>
              <w:right w:val="single" w:sz="6" w:space="0" w:color="000000"/>
            </w:tcBorders>
            <w:hideMark/>
          </w:tcPr>
          <w:p w14:paraId="71FC2251" w14:textId="77777777" w:rsidR="00CA08B3" w:rsidRPr="00FB2719" w:rsidRDefault="00CA08B3">
            <w:pPr>
              <w:autoSpaceDE w:val="0"/>
              <w:autoSpaceDN w:val="0"/>
              <w:adjustRightInd w:val="0"/>
              <w:spacing w:line="276" w:lineRule="auto"/>
              <w:ind w:left="8" w:right="370"/>
              <w:jc w:val="center"/>
              <w:rPr>
                <w:sz w:val="22"/>
                <w:szCs w:val="22"/>
                <w:lang w:val="en-US"/>
              </w:rPr>
            </w:pPr>
            <w:r w:rsidRPr="00FB2719">
              <w:rPr>
                <w:sz w:val="22"/>
                <w:szCs w:val="22"/>
                <w:lang w:val="en-US"/>
              </w:rPr>
              <w:t>135</w:t>
            </w:r>
          </w:p>
        </w:tc>
        <w:tc>
          <w:tcPr>
            <w:tcW w:w="925" w:type="dxa"/>
            <w:tcBorders>
              <w:top w:val="single" w:sz="8" w:space="0" w:color="000000"/>
              <w:left w:val="single" w:sz="6" w:space="0" w:color="000000"/>
              <w:bottom w:val="single" w:sz="6" w:space="0" w:color="000000"/>
              <w:right w:val="single" w:sz="6" w:space="0" w:color="000000"/>
            </w:tcBorders>
            <w:hideMark/>
          </w:tcPr>
          <w:p w14:paraId="70BD7B87" w14:textId="77777777" w:rsidR="00CA08B3" w:rsidRPr="00FB2719" w:rsidRDefault="00CA08B3">
            <w:pPr>
              <w:autoSpaceDE w:val="0"/>
              <w:autoSpaceDN w:val="0"/>
              <w:adjustRightInd w:val="0"/>
              <w:spacing w:line="276" w:lineRule="auto"/>
              <w:ind w:left="8" w:right="310"/>
              <w:jc w:val="center"/>
              <w:rPr>
                <w:sz w:val="22"/>
                <w:szCs w:val="22"/>
                <w:lang w:val="en-US"/>
              </w:rPr>
            </w:pPr>
            <w:r w:rsidRPr="00FB2719">
              <w:rPr>
                <w:sz w:val="22"/>
                <w:szCs w:val="22"/>
                <w:lang w:val="en-US"/>
              </w:rPr>
              <w:t>122</w:t>
            </w:r>
          </w:p>
        </w:tc>
        <w:tc>
          <w:tcPr>
            <w:tcW w:w="1707" w:type="dxa"/>
            <w:tcBorders>
              <w:top w:val="single" w:sz="8" w:space="0" w:color="000000"/>
              <w:left w:val="single" w:sz="6" w:space="0" w:color="000000"/>
              <w:bottom w:val="single" w:sz="6" w:space="0" w:color="000000"/>
              <w:right w:val="single" w:sz="6" w:space="0" w:color="000000"/>
            </w:tcBorders>
          </w:tcPr>
          <w:p w14:paraId="3038DEDC" w14:textId="77777777" w:rsidR="00CA08B3" w:rsidRPr="00FB2719" w:rsidRDefault="00CA08B3">
            <w:pPr>
              <w:autoSpaceDE w:val="0"/>
              <w:autoSpaceDN w:val="0"/>
              <w:adjustRightInd w:val="0"/>
              <w:spacing w:line="276" w:lineRule="auto"/>
              <w:ind w:left="8"/>
              <w:rPr>
                <w:sz w:val="22"/>
                <w:szCs w:val="22"/>
                <w:lang w:val="en-US"/>
              </w:rPr>
            </w:pPr>
          </w:p>
        </w:tc>
      </w:tr>
    </w:tbl>
    <w:p w14:paraId="3DA9FBD4" w14:textId="77777777" w:rsidR="00CA08B3" w:rsidRPr="00FB2719" w:rsidRDefault="00CA08B3" w:rsidP="00CA08B3">
      <w:pPr>
        <w:tabs>
          <w:tab w:val="left" w:pos="567"/>
        </w:tabs>
        <w:rPr>
          <w:bCs/>
          <w:sz w:val="22"/>
          <w:szCs w:val="22"/>
        </w:rPr>
      </w:pPr>
    </w:p>
    <w:p w14:paraId="3D2ED1E7" w14:textId="77777777" w:rsidR="00CA08B3" w:rsidRPr="00FB2719" w:rsidRDefault="00CA08B3" w:rsidP="00CA08B3">
      <w:pPr>
        <w:tabs>
          <w:tab w:val="left" w:pos="567"/>
        </w:tabs>
        <w:rPr>
          <w:bCs/>
          <w:sz w:val="22"/>
          <w:szCs w:val="22"/>
        </w:rPr>
      </w:pPr>
      <w:r w:rsidRPr="00FB2719">
        <w:rPr>
          <w:bCs/>
          <w:sz w:val="22"/>
          <w:szCs w:val="22"/>
        </w:rPr>
        <w:t>Per 48</w:t>
      </w:r>
      <w:r w:rsidR="007708A2" w:rsidRPr="00FB2719">
        <w:rPr>
          <w:bCs/>
          <w:sz w:val="22"/>
          <w:szCs w:val="22"/>
        </w:rPr>
        <w:t> </w:t>
      </w:r>
      <w:r w:rsidRPr="00FB2719">
        <w:rPr>
          <w:bCs/>
          <w:sz w:val="22"/>
          <w:szCs w:val="22"/>
        </w:rPr>
        <w:t>savaites buvo galima atlikti genotipo atsparumo tyrimus 75</w:t>
      </w:r>
      <w:r w:rsidR="007708A2" w:rsidRPr="00FB2719">
        <w:rPr>
          <w:bCs/>
          <w:sz w:val="22"/>
          <w:szCs w:val="22"/>
        </w:rPr>
        <w:t> </w:t>
      </w:r>
      <w:r w:rsidRPr="00FB2719">
        <w:rPr>
          <w:bCs/>
          <w:sz w:val="22"/>
          <w:szCs w:val="22"/>
        </w:rPr>
        <w:t>pacientams QD grupėje ir 75 BID grupėje, šių pacientų virusologinis atsakas buvo nepakankamas. QD grupėje 6/75 (8 %) pacientų buvo nustatytos naujos pirminės proteazės inhibitorių mutacijos (30, 32, 48, 50, 82, 84, 90 kodonuose), o BID grupėje 12/77 (16 %).</w:t>
      </w:r>
    </w:p>
    <w:p w14:paraId="4837553F" w14:textId="77777777" w:rsidR="00CA08B3" w:rsidRPr="00FB2719" w:rsidRDefault="00CA08B3" w:rsidP="00CA08B3">
      <w:pPr>
        <w:tabs>
          <w:tab w:val="left" w:pos="567"/>
        </w:tabs>
        <w:rPr>
          <w:bCs/>
          <w:sz w:val="22"/>
          <w:szCs w:val="22"/>
        </w:rPr>
      </w:pPr>
    </w:p>
    <w:p w14:paraId="0DCE32EC" w14:textId="77777777" w:rsidR="00CA08B3" w:rsidRPr="00FB2719" w:rsidRDefault="00CA08B3" w:rsidP="00CA08B3">
      <w:pPr>
        <w:tabs>
          <w:tab w:val="left" w:pos="567"/>
        </w:tabs>
        <w:rPr>
          <w:bCs/>
          <w:i/>
          <w:sz w:val="22"/>
          <w:szCs w:val="22"/>
        </w:rPr>
      </w:pPr>
      <w:r w:rsidRPr="00FB2719">
        <w:rPr>
          <w:bCs/>
          <w:i/>
          <w:sz w:val="22"/>
          <w:szCs w:val="22"/>
        </w:rPr>
        <w:t>Vaikų populiacija</w:t>
      </w:r>
    </w:p>
    <w:p w14:paraId="3A8443D4" w14:textId="77777777" w:rsidR="0021404B" w:rsidRPr="00FB2719" w:rsidRDefault="0021404B" w:rsidP="00CA08B3">
      <w:pPr>
        <w:tabs>
          <w:tab w:val="left" w:pos="567"/>
        </w:tabs>
        <w:rPr>
          <w:bCs/>
          <w:i/>
          <w:sz w:val="22"/>
          <w:szCs w:val="22"/>
        </w:rPr>
      </w:pPr>
    </w:p>
    <w:p w14:paraId="7F2AE96A" w14:textId="77777777" w:rsidR="00CA08B3" w:rsidRPr="00FB2719" w:rsidRDefault="00CA08B3" w:rsidP="00CA08B3">
      <w:pPr>
        <w:tabs>
          <w:tab w:val="left" w:pos="567"/>
        </w:tabs>
        <w:rPr>
          <w:bCs/>
          <w:sz w:val="22"/>
          <w:szCs w:val="22"/>
        </w:rPr>
      </w:pPr>
      <w:r w:rsidRPr="00FB2719">
        <w:rPr>
          <w:bCs/>
          <w:sz w:val="22"/>
          <w:szCs w:val="22"/>
        </w:rPr>
        <w:t>M98-940 buvo atviras lopinaviro / ritonaviro derinio geriamosios formos tyrimas, kuriame dalyvavo 100 antiretrovirusinio gydymo negavusių (44</w:t>
      </w:r>
      <w:r w:rsidR="007708A2" w:rsidRPr="00FB2719">
        <w:rPr>
          <w:bCs/>
          <w:sz w:val="22"/>
          <w:szCs w:val="22"/>
        </w:rPr>
        <w:t> </w:t>
      </w:r>
      <w:r w:rsidRPr="00FB2719">
        <w:rPr>
          <w:bCs/>
          <w:sz w:val="22"/>
          <w:szCs w:val="22"/>
        </w:rPr>
        <w:t>%) ir jį gavusių (56</w:t>
      </w:r>
      <w:r w:rsidR="007708A2" w:rsidRPr="00FB2719">
        <w:rPr>
          <w:bCs/>
          <w:sz w:val="22"/>
          <w:szCs w:val="22"/>
        </w:rPr>
        <w:t> </w:t>
      </w:r>
      <w:r w:rsidRPr="00FB2719">
        <w:rPr>
          <w:bCs/>
          <w:sz w:val="22"/>
          <w:szCs w:val="22"/>
        </w:rPr>
        <w:t>%) vaikų. Visiems pacientams nebuvo taikytas gydymas nenukleozidiniu atvirkštinės transkriptazės inhibitoriumi. Pacientams atsitiktinės atrankos būdu paskirta arba 230</w:t>
      </w:r>
      <w:r w:rsidR="007708A2" w:rsidRPr="00FB2719">
        <w:rPr>
          <w:bCs/>
          <w:sz w:val="22"/>
          <w:szCs w:val="22"/>
        </w:rPr>
        <w:t> </w:t>
      </w:r>
      <w:r w:rsidRPr="00FB2719">
        <w:rPr>
          <w:bCs/>
          <w:sz w:val="22"/>
          <w:szCs w:val="22"/>
        </w:rPr>
        <w:t>mg lopinaviro / 57,5</w:t>
      </w:r>
      <w:r w:rsidR="007708A2" w:rsidRPr="00FB2719">
        <w:rPr>
          <w:bCs/>
          <w:sz w:val="22"/>
          <w:szCs w:val="22"/>
        </w:rPr>
        <w:t> </w:t>
      </w:r>
      <w:r w:rsidRPr="00FB2719">
        <w:rPr>
          <w:bCs/>
          <w:sz w:val="22"/>
          <w:szCs w:val="22"/>
        </w:rPr>
        <w:t>mg ritonaviro/m</w:t>
      </w:r>
      <w:r w:rsidRPr="00FB2719">
        <w:rPr>
          <w:bCs/>
          <w:sz w:val="22"/>
          <w:szCs w:val="22"/>
          <w:vertAlign w:val="superscript"/>
        </w:rPr>
        <w:t>2</w:t>
      </w:r>
      <w:r w:rsidRPr="00FB2719">
        <w:rPr>
          <w:bCs/>
          <w:sz w:val="22"/>
          <w:szCs w:val="22"/>
        </w:rPr>
        <w:t>, arba 300</w:t>
      </w:r>
      <w:r w:rsidR="007708A2" w:rsidRPr="00FB2719">
        <w:rPr>
          <w:bCs/>
          <w:sz w:val="22"/>
          <w:szCs w:val="22"/>
        </w:rPr>
        <w:t> </w:t>
      </w:r>
      <w:r w:rsidRPr="00FB2719">
        <w:rPr>
          <w:bCs/>
          <w:sz w:val="22"/>
          <w:szCs w:val="22"/>
        </w:rPr>
        <w:t>mg lopinaviro / 75</w:t>
      </w:r>
      <w:r w:rsidR="007708A2" w:rsidRPr="00FB2719">
        <w:rPr>
          <w:bCs/>
          <w:sz w:val="22"/>
          <w:szCs w:val="22"/>
        </w:rPr>
        <w:t> </w:t>
      </w:r>
      <w:r w:rsidRPr="00FB2719">
        <w:rPr>
          <w:bCs/>
          <w:sz w:val="22"/>
          <w:szCs w:val="22"/>
        </w:rPr>
        <w:t>mg ritonaviro/m</w:t>
      </w:r>
      <w:r w:rsidRPr="00FB2719">
        <w:rPr>
          <w:bCs/>
          <w:sz w:val="22"/>
          <w:szCs w:val="22"/>
          <w:vertAlign w:val="superscript"/>
        </w:rPr>
        <w:t>2</w:t>
      </w:r>
      <w:r w:rsidRPr="00FB2719">
        <w:rPr>
          <w:bCs/>
          <w:sz w:val="22"/>
          <w:szCs w:val="22"/>
        </w:rPr>
        <w:t>. Anksčiau negydyti pacientai taip pat vartojo nukleozidinių atvirkštinės transkriptazės inhibitorių. Anksčiau gydyti pacientai vartojo nevirapino plius iki dviejų nukleozidinių atvirkštinės transkriptazės inhibitorių. Po 3</w:t>
      </w:r>
      <w:r w:rsidR="007708A2" w:rsidRPr="00FB2719">
        <w:rPr>
          <w:bCs/>
          <w:sz w:val="22"/>
          <w:szCs w:val="22"/>
        </w:rPr>
        <w:t> </w:t>
      </w:r>
      <w:r w:rsidRPr="00FB2719">
        <w:rPr>
          <w:bCs/>
          <w:sz w:val="22"/>
          <w:szCs w:val="22"/>
        </w:rPr>
        <w:t>gydymo savaičių buvo įvertintas kiekvieno paciento dviejų dozavimo režimų saugumas, efektyvumas ir farmakokinetikos charakteristika. Paskui visi pacientai tęsė gydymą vartojant 300</w:t>
      </w:r>
      <w:r w:rsidR="001E5E80" w:rsidRPr="00FB2719">
        <w:rPr>
          <w:bCs/>
          <w:sz w:val="22"/>
          <w:szCs w:val="22"/>
        </w:rPr>
        <w:t> mg</w:t>
      </w:r>
      <w:r w:rsidRPr="00FB2719">
        <w:rPr>
          <w:bCs/>
          <w:sz w:val="22"/>
          <w:szCs w:val="22"/>
        </w:rPr>
        <w:t>/75</w:t>
      </w:r>
      <w:r w:rsidR="007708A2" w:rsidRPr="00FB2719">
        <w:rPr>
          <w:bCs/>
          <w:sz w:val="22"/>
          <w:szCs w:val="22"/>
        </w:rPr>
        <w:t> </w:t>
      </w:r>
      <w:r w:rsidRPr="00FB2719">
        <w:rPr>
          <w:bCs/>
          <w:sz w:val="22"/>
          <w:szCs w:val="22"/>
        </w:rPr>
        <w:t>mg/m</w:t>
      </w:r>
      <w:r w:rsidRPr="00FB2719">
        <w:rPr>
          <w:bCs/>
          <w:sz w:val="22"/>
          <w:szCs w:val="22"/>
          <w:vertAlign w:val="superscript"/>
        </w:rPr>
        <w:t>2</w:t>
      </w:r>
      <w:r w:rsidRPr="00FB2719">
        <w:rPr>
          <w:bCs/>
          <w:sz w:val="22"/>
          <w:szCs w:val="22"/>
        </w:rPr>
        <w:t xml:space="preserve"> dozę. Vidutinis pacientų amžius buvo 5</w:t>
      </w:r>
      <w:r w:rsidR="007708A2" w:rsidRPr="00FB2719">
        <w:rPr>
          <w:bCs/>
          <w:sz w:val="22"/>
          <w:szCs w:val="22"/>
        </w:rPr>
        <w:t> </w:t>
      </w:r>
      <w:r w:rsidRPr="00FB2719">
        <w:rPr>
          <w:bCs/>
          <w:sz w:val="22"/>
          <w:szCs w:val="22"/>
        </w:rPr>
        <w:t>metai (ribos – nuo 6</w:t>
      </w:r>
      <w:r w:rsidR="007708A2" w:rsidRPr="00FB2719">
        <w:rPr>
          <w:bCs/>
          <w:sz w:val="22"/>
          <w:szCs w:val="22"/>
        </w:rPr>
        <w:t> </w:t>
      </w:r>
      <w:r w:rsidRPr="00FB2719">
        <w:rPr>
          <w:bCs/>
          <w:sz w:val="22"/>
          <w:szCs w:val="22"/>
        </w:rPr>
        <w:t>mėnesių iki 12</w:t>
      </w:r>
      <w:r w:rsidR="007708A2" w:rsidRPr="00FB2719">
        <w:rPr>
          <w:bCs/>
          <w:sz w:val="22"/>
          <w:szCs w:val="22"/>
        </w:rPr>
        <w:t> </w:t>
      </w:r>
      <w:r w:rsidRPr="00FB2719">
        <w:rPr>
          <w:bCs/>
          <w:sz w:val="22"/>
          <w:szCs w:val="22"/>
        </w:rPr>
        <w:t>metų), 14</w:t>
      </w:r>
      <w:r w:rsidR="007708A2" w:rsidRPr="00FB2719">
        <w:rPr>
          <w:bCs/>
          <w:sz w:val="22"/>
          <w:szCs w:val="22"/>
        </w:rPr>
        <w:t> </w:t>
      </w:r>
      <w:r w:rsidRPr="00FB2719">
        <w:rPr>
          <w:bCs/>
          <w:sz w:val="22"/>
          <w:szCs w:val="22"/>
        </w:rPr>
        <w:t>pacientų – jaunesni kaip 2</w:t>
      </w:r>
      <w:r w:rsidR="007708A2" w:rsidRPr="00FB2719">
        <w:rPr>
          <w:bCs/>
          <w:sz w:val="22"/>
          <w:szCs w:val="22"/>
        </w:rPr>
        <w:t> </w:t>
      </w:r>
      <w:r w:rsidRPr="00FB2719">
        <w:rPr>
          <w:bCs/>
          <w:sz w:val="22"/>
          <w:szCs w:val="22"/>
        </w:rPr>
        <w:t>metų, o 6</w:t>
      </w:r>
      <w:r w:rsidR="007708A2" w:rsidRPr="00FB2719">
        <w:rPr>
          <w:bCs/>
          <w:sz w:val="22"/>
          <w:szCs w:val="22"/>
        </w:rPr>
        <w:t> </w:t>
      </w:r>
      <w:r w:rsidRPr="00FB2719">
        <w:rPr>
          <w:bCs/>
          <w:sz w:val="22"/>
          <w:szCs w:val="22"/>
        </w:rPr>
        <w:t>pacientai – vienerių metų arba jaunesni. Vidutinis pradinis CD4 ląstelių skaičius buvo 838</w:t>
      </w:r>
      <w:r w:rsidR="007708A2" w:rsidRPr="00FB2719">
        <w:rPr>
          <w:bCs/>
          <w:sz w:val="22"/>
          <w:szCs w:val="22"/>
        </w:rPr>
        <w:t> </w:t>
      </w:r>
      <w:r w:rsidRPr="00FB2719">
        <w:rPr>
          <w:bCs/>
          <w:sz w:val="22"/>
          <w:szCs w:val="22"/>
        </w:rPr>
        <w:t>ląstelės/mm</w:t>
      </w:r>
      <w:r w:rsidRPr="00FB2719">
        <w:rPr>
          <w:bCs/>
          <w:sz w:val="22"/>
          <w:szCs w:val="22"/>
          <w:vertAlign w:val="superscript"/>
        </w:rPr>
        <w:t>3</w:t>
      </w:r>
      <w:r w:rsidRPr="00FB2719">
        <w:rPr>
          <w:bCs/>
          <w:sz w:val="22"/>
          <w:szCs w:val="22"/>
        </w:rPr>
        <w:t>, o vidutinis pradinis plazmos ŽIV RNR &lt;</w:t>
      </w:r>
      <w:r w:rsidR="007708A2" w:rsidRPr="00FB2719">
        <w:rPr>
          <w:bCs/>
          <w:sz w:val="22"/>
          <w:szCs w:val="22"/>
        </w:rPr>
        <w:t> </w:t>
      </w:r>
      <w:r w:rsidRPr="00FB2719">
        <w:rPr>
          <w:bCs/>
          <w:sz w:val="22"/>
          <w:szCs w:val="22"/>
        </w:rPr>
        <w:t>400</w:t>
      </w:r>
      <w:r w:rsidR="007708A2" w:rsidRPr="00FB2719">
        <w:rPr>
          <w:bCs/>
          <w:sz w:val="22"/>
          <w:szCs w:val="22"/>
        </w:rPr>
        <w:t> </w:t>
      </w:r>
      <w:r w:rsidRPr="00FB2719">
        <w:rPr>
          <w:bCs/>
          <w:sz w:val="22"/>
          <w:szCs w:val="22"/>
        </w:rPr>
        <w:t>kopijų/ml antiretrovirusinių vaistinių preparatų nevartojusiems pacientams buvo 84 %, o antiretrovirusiniais vaistiniais preparatais gydytiems pacientams – 75 %. Vidutinis padidėjimas nuo pradinio CD 4+T ląstelių skaičiaus buvo atitinkamai 404</w:t>
      </w:r>
      <w:r w:rsidR="007708A2" w:rsidRPr="00FB2719">
        <w:rPr>
          <w:bCs/>
          <w:sz w:val="22"/>
          <w:szCs w:val="22"/>
        </w:rPr>
        <w:t> </w:t>
      </w:r>
      <w:r w:rsidRPr="00FB2719">
        <w:rPr>
          <w:bCs/>
          <w:sz w:val="22"/>
          <w:szCs w:val="22"/>
        </w:rPr>
        <w:t>ląstelės/mm</w:t>
      </w:r>
      <w:r w:rsidRPr="00FB2719">
        <w:rPr>
          <w:bCs/>
          <w:sz w:val="22"/>
          <w:szCs w:val="22"/>
          <w:vertAlign w:val="superscript"/>
        </w:rPr>
        <w:t>3</w:t>
      </w:r>
      <w:r w:rsidRPr="00FB2719">
        <w:rPr>
          <w:bCs/>
          <w:sz w:val="22"/>
          <w:szCs w:val="22"/>
        </w:rPr>
        <w:t xml:space="preserve"> ir 284</w:t>
      </w:r>
      <w:r w:rsidR="007708A2" w:rsidRPr="00FB2719">
        <w:rPr>
          <w:bCs/>
          <w:sz w:val="22"/>
          <w:szCs w:val="22"/>
        </w:rPr>
        <w:t> </w:t>
      </w:r>
      <w:r w:rsidRPr="00FB2719">
        <w:rPr>
          <w:bCs/>
          <w:sz w:val="22"/>
          <w:szCs w:val="22"/>
        </w:rPr>
        <w:t>ląstelės/mm</w:t>
      </w:r>
      <w:r w:rsidRPr="00FB2719">
        <w:rPr>
          <w:bCs/>
          <w:sz w:val="22"/>
          <w:szCs w:val="22"/>
          <w:vertAlign w:val="superscript"/>
        </w:rPr>
        <w:t>3</w:t>
      </w:r>
      <w:r w:rsidRPr="00FB2719">
        <w:rPr>
          <w:bCs/>
          <w:sz w:val="22"/>
          <w:szCs w:val="22"/>
        </w:rPr>
        <w:t>.</w:t>
      </w:r>
    </w:p>
    <w:p w14:paraId="2C4979B3" w14:textId="77777777" w:rsidR="00CA08B3" w:rsidRPr="00FB2719" w:rsidRDefault="00CA08B3" w:rsidP="00CA08B3">
      <w:pPr>
        <w:tabs>
          <w:tab w:val="left" w:pos="567"/>
        </w:tabs>
        <w:rPr>
          <w:bCs/>
          <w:sz w:val="22"/>
          <w:szCs w:val="22"/>
        </w:rPr>
      </w:pPr>
    </w:p>
    <w:p w14:paraId="19CE9AFA" w14:textId="77777777" w:rsidR="00CA08B3" w:rsidRPr="00FB2719" w:rsidRDefault="00CA08B3" w:rsidP="00CA08B3">
      <w:pPr>
        <w:tabs>
          <w:tab w:val="left" w:pos="567"/>
        </w:tabs>
        <w:rPr>
          <w:bCs/>
          <w:sz w:val="22"/>
          <w:szCs w:val="22"/>
        </w:rPr>
      </w:pPr>
      <w:r w:rsidRPr="00FB2719">
        <w:rPr>
          <w:bCs/>
          <w:sz w:val="22"/>
          <w:szCs w:val="22"/>
        </w:rPr>
        <w:t>5 lentelė</w:t>
      </w:r>
    </w:p>
    <w:tbl>
      <w:tblPr>
        <w:tblW w:w="0" w:type="auto"/>
        <w:tblInd w:w="289" w:type="dxa"/>
        <w:tblLayout w:type="fixed"/>
        <w:tblCellMar>
          <w:left w:w="0" w:type="dxa"/>
          <w:right w:w="0" w:type="dxa"/>
        </w:tblCellMar>
        <w:tblLook w:val="04A0" w:firstRow="1" w:lastRow="0" w:firstColumn="1" w:lastColumn="0" w:noHBand="0" w:noVBand="1"/>
      </w:tblPr>
      <w:tblGrid>
        <w:gridCol w:w="2977"/>
        <w:gridCol w:w="2967"/>
        <w:gridCol w:w="2844"/>
      </w:tblGrid>
      <w:tr w:rsidR="00CA08B3" w:rsidRPr="00FB2719" w14:paraId="5EAACC22" w14:textId="77777777" w:rsidTr="00CA08B3">
        <w:trPr>
          <w:trHeight w:val="503"/>
        </w:trPr>
        <w:tc>
          <w:tcPr>
            <w:tcW w:w="8788" w:type="dxa"/>
            <w:gridSpan w:val="3"/>
            <w:tcBorders>
              <w:top w:val="single" w:sz="4" w:space="0" w:color="000000"/>
              <w:left w:val="single" w:sz="4" w:space="0" w:color="000000"/>
              <w:bottom w:val="single" w:sz="4" w:space="0" w:color="000000"/>
              <w:right w:val="single" w:sz="4" w:space="0" w:color="000000"/>
            </w:tcBorders>
          </w:tcPr>
          <w:p w14:paraId="261C1F38" w14:textId="77777777" w:rsidR="00CA08B3" w:rsidRPr="00FB2719" w:rsidRDefault="00CA08B3">
            <w:pPr>
              <w:autoSpaceDE w:val="0"/>
              <w:autoSpaceDN w:val="0"/>
              <w:adjustRightInd w:val="0"/>
              <w:spacing w:before="8" w:line="110" w:lineRule="exact"/>
              <w:ind w:left="8"/>
              <w:rPr>
                <w:sz w:val="22"/>
                <w:szCs w:val="22"/>
                <w:lang w:val="en-US"/>
              </w:rPr>
            </w:pPr>
          </w:p>
          <w:tbl>
            <w:tblPr>
              <w:tblW w:w="0" w:type="auto"/>
              <w:tblLayout w:type="fixed"/>
              <w:tblLook w:val="04A0" w:firstRow="1" w:lastRow="0" w:firstColumn="1" w:lastColumn="0" w:noHBand="0" w:noVBand="1"/>
            </w:tblPr>
            <w:tblGrid>
              <w:gridCol w:w="8047"/>
            </w:tblGrid>
            <w:tr w:rsidR="00CA08B3" w:rsidRPr="00FB2719" w14:paraId="68390248" w14:textId="77777777" w:rsidTr="00AD237C">
              <w:trPr>
                <w:trHeight w:hRule="exact" w:val="329"/>
              </w:trPr>
              <w:tc>
                <w:tcPr>
                  <w:tcW w:w="8047" w:type="dxa"/>
                  <w:tcBorders>
                    <w:top w:val="nil"/>
                    <w:left w:val="nil"/>
                    <w:bottom w:val="nil"/>
                    <w:right w:val="nil"/>
                  </w:tcBorders>
                  <w:hideMark/>
                </w:tcPr>
                <w:p w14:paraId="1FE67C3D" w14:textId="77777777" w:rsidR="00CA08B3" w:rsidRPr="00FB2719" w:rsidRDefault="00CA08B3">
                  <w:pPr>
                    <w:autoSpaceDE w:val="0"/>
                    <w:autoSpaceDN w:val="0"/>
                    <w:adjustRightInd w:val="0"/>
                    <w:spacing w:line="276" w:lineRule="auto"/>
                    <w:jc w:val="center"/>
                    <w:rPr>
                      <w:rFonts w:eastAsia="Calibri"/>
                      <w:color w:val="000000"/>
                      <w:sz w:val="22"/>
                      <w:szCs w:val="22"/>
                      <w:lang w:val="en-US" w:eastAsia="lt-LT"/>
                    </w:rPr>
                  </w:pPr>
                  <w:r w:rsidRPr="00FB2719">
                    <w:rPr>
                      <w:rFonts w:eastAsia="Calibri"/>
                      <w:b/>
                      <w:bCs/>
                      <w:color w:val="000000"/>
                      <w:sz w:val="22"/>
                      <w:szCs w:val="22"/>
                      <w:lang w:val="en-US" w:eastAsia="lt-LT"/>
                    </w:rPr>
                    <w:t xml:space="preserve">M98-940 tyrimo rezultatai 48-ąją savaitę </w:t>
                  </w:r>
                </w:p>
              </w:tc>
            </w:tr>
          </w:tbl>
          <w:p w14:paraId="6E1960FD" w14:textId="77777777" w:rsidR="00CA08B3" w:rsidRPr="00FB2719" w:rsidRDefault="00CA08B3">
            <w:pPr>
              <w:autoSpaceDE w:val="0"/>
              <w:autoSpaceDN w:val="0"/>
              <w:adjustRightInd w:val="0"/>
              <w:spacing w:line="276" w:lineRule="auto"/>
              <w:ind w:left="8" w:right="-20"/>
              <w:jc w:val="center"/>
              <w:rPr>
                <w:sz w:val="22"/>
                <w:szCs w:val="22"/>
                <w:lang w:val="en-US"/>
              </w:rPr>
            </w:pPr>
          </w:p>
        </w:tc>
      </w:tr>
      <w:tr w:rsidR="00CA08B3" w:rsidRPr="00FB2719" w14:paraId="5AA71B10" w14:textId="77777777" w:rsidTr="00CA08B3">
        <w:trPr>
          <w:trHeight w:hRule="exact" w:val="1210"/>
        </w:trPr>
        <w:tc>
          <w:tcPr>
            <w:tcW w:w="2977" w:type="dxa"/>
            <w:tcBorders>
              <w:top w:val="single" w:sz="4" w:space="0" w:color="000000"/>
              <w:left w:val="single" w:sz="4" w:space="0" w:color="000000"/>
              <w:bottom w:val="single" w:sz="4" w:space="0" w:color="000000"/>
              <w:right w:val="single" w:sz="4" w:space="0" w:color="000000"/>
            </w:tcBorders>
          </w:tcPr>
          <w:p w14:paraId="596628DD" w14:textId="77777777" w:rsidR="00CA08B3" w:rsidRPr="00FB2719" w:rsidRDefault="00CA08B3">
            <w:pPr>
              <w:autoSpaceDE w:val="0"/>
              <w:autoSpaceDN w:val="0"/>
              <w:adjustRightInd w:val="0"/>
              <w:spacing w:line="276" w:lineRule="auto"/>
              <w:ind w:left="8"/>
              <w:rPr>
                <w:sz w:val="22"/>
                <w:szCs w:val="22"/>
                <w:lang w:val="en-US"/>
              </w:rPr>
            </w:pPr>
          </w:p>
        </w:tc>
        <w:tc>
          <w:tcPr>
            <w:tcW w:w="2967" w:type="dxa"/>
            <w:tcBorders>
              <w:top w:val="single" w:sz="4" w:space="0" w:color="000000"/>
              <w:left w:val="single" w:sz="4" w:space="0" w:color="000000"/>
              <w:bottom w:val="single" w:sz="4" w:space="0" w:color="000000"/>
              <w:right w:val="single" w:sz="4" w:space="0" w:color="000000"/>
            </w:tcBorders>
          </w:tcPr>
          <w:p w14:paraId="3F3A916F" w14:textId="77777777" w:rsidR="00CA08B3" w:rsidRPr="00FB2719" w:rsidRDefault="00CA08B3">
            <w:pPr>
              <w:autoSpaceDE w:val="0"/>
              <w:autoSpaceDN w:val="0"/>
              <w:adjustRightInd w:val="0"/>
              <w:spacing w:line="251" w:lineRule="exact"/>
              <w:ind w:left="8" w:right="232"/>
              <w:jc w:val="center"/>
              <w:rPr>
                <w:sz w:val="22"/>
                <w:szCs w:val="22"/>
                <w:lang w:val="fr-FR"/>
              </w:rPr>
            </w:pPr>
            <w:r w:rsidRPr="00FB2719">
              <w:rPr>
                <w:b/>
                <w:bCs/>
                <w:sz w:val="22"/>
                <w:szCs w:val="22"/>
                <w:lang w:val="fr-FR"/>
              </w:rPr>
              <w:t>Gydymas antiretrovirusiniais vaistiniais preparatais netaikytas (N=44)</w:t>
            </w:r>
          </w:p>
          <w:p w14:paraId="44EA1F6C" w14:textId="77777777" w:rsidR="00CA08B3" w:rsidRPr="00FB2719" w:rsidRDefault="00CA08B3">
            <w:pPr>
              <w:autoSpaceDE w:val="0"/>
              <w:autoSpaceDN w:val="0"/>
              <w:adjustRightInd w:val="0"/>
              <w:spacing w:line="276" w:lineRule="auto"/>
              <w:ind w:left="8" w:right="873"/>
              <w:jc w:val="center"/>
              <w:rPr>
                <w:sz w:val="22"/>
                <w:szCs w:val="22"/>
                <w:lang w:val="fr-FR"/>
              </w:rPr>
            </w:pPr>
          </w:p>
        </w:tc>
        <w:tc>
          <w:tcPr>
            <w:tcW w:w="2844" w:type="dxa"/>
            <w:tcBorders>
              <w:top w:val="single" w:sz="4" w:space="0" w:color="000000"/>
              <w:left w:val="single" w:sz="4" w:space="0" w:color="000000"/>
              <w:bottom w:val="single" w:sz="4" w:space="0" w:color="000000"/>
              <w:right w:val="single" w:sz="4" w:space="0" w:color="000000"/>
            </w:tcBorders>
            <w:hideMark/>
          </w:tcPr>
          <w:p w14:paraId="64C452BD" w14:textId="77777777" w:rsidR="00CA08B3" w:rsidRPr="00FB2719" w:rsidRDefault="00CA08B3">
            <w:pPr>
              <w:autoSpaceDE w:val="0"/>
              <w:autoSpaceDN w:val="0"/>
              <w:adjustRightInd w:val="0"/>
              <w:spacing w:line="276" w:lineRule="auto"/>
              <w:ind w:left="8" w:right="104"/>
              <w:jc w:val="center"/>
              <w:rPr>
                <w:sz w:val="22"/>
                <w:szCs w:val="22"/>
                <w:lang w:val="fr-FR"/>
              </w:rPr>
            </w:pPr>
            <w:r w:rsidRPr="00FB2719">
              <w:rPr>
                <w:b/>
                <w:bCs/>
                <w:sz w:val="22"/>
                <w:szCs w:val="22"/>
                <w:lang w:val="fr-FR"/>
              </w:rPr>
              <w:t xml:space="preserve">Gydymas antiretrovirusiniais vaistiniais preparatais taikytas (N=44) </w:t>
            </w:r>
          </w:p>
        </w:tc>
      </w:tr>
      <w:tr w:rsidR="00CA08B3" w:rsidRPr="00FB2719" w14:paraId="026B9946" w14:textId="77777777" w:rsidTr="00CA08B3">
        <w:trPr>
          <w:trHeight w:hRule="exact" w:val="263"/>
        </w:trPr>
        <w:tc>
          <w:tcPr>
            <w:tcW w:w="2977" w:type="dxa"/>
            <w:tcBorders>
              <w:top w:val="single" w:sz="4" w:space="0" w:color="000000"/>
              <w:left w:val="single" w:sz="4" w:space="0" w:color="000000"/>
              <w:bottom w:val="single" w:sz="4" w:space="0" w:color="000000"/>
              <w:right w:val="single" w:sz="4" w:space="0" w:color="000000"/>
            </w:tcBorders>
            <w:hideMark/>
          </w:tcPr>
          <w:p w14:paraId="57C61F0F" w14:textId="77777777" w:rsidR="00CA08B3" w:rsidRPr="00FB2719" w:rsidRDefault="00CA08B3" w:rsidP="007708A2">
            <w:pPr>
              <w:autoSpaceDE w:val="0"/>
              <w:autoSpaceDN w:val="0"/>
              <w:adjustRightInd w:val="0"/>
              <w:spacing w:line="249" w:lineRule="exact"/>
              <w:ind w:left="8" w:right="-20"/>
              <w:rPr>
                <w:sz w:val="22"/>
                <w:szCs w:val="22"/>
                <w:lang w:val="en-US"/>
              </w:rPr>
            </w:pPr>
            <w:r w:rsidRPr="00FB2719">
              <w:rPr>
                <w:sz w:val="22"/>
                <w:szCs w:val="22"/>
                <w:lang w:val="en-US"/>
              </w:rPr>
              <w:t>ŽIV RNR &lt;</w:t>
            </w:r>
            <w:r w:rsidR="007708A2" w:rsidRPr="00FB2719">
              <w:rPr>
                <w:sz w:val="22"/>
                <w:szCs w:val="22"/>
                <w:lang w:val="en-US"/>
              </w:rPr>
              <w:t> </w:t>
            </w:r>
            <w:r w:rsidRPr="00FB2719">
              <w:rPr>
                <w:sz w:val="22"/>
                <w:szCs w:val="22"/>
                <w:lang w:val="en-US"/>
              </w:rPr>
              <w:t>400</w:t>
            </w:r>
            <w:r w:rsidR="007708A2" w:rsidRPr="00FB2719">
              <w:rPr>
                <w:sz w:val="22"/>
                <w:szCs w:val="22"/>
                <w:lang w:val="en-US"/>
              </w:rPr>
              <w:t> </w:t>
            </w:r>
            <w:r w:rsidRPr="00FB2719">
              <w:rPr>
                <w:sz w:val="22"/>
                <w:szCs w:val="22"/>
                <w:lang w:val="en-US"/>
              </w:rPr>
              <w:t>kopijų/ml</w:t>
            </w:r>
          </w:p>
        </w:tc>
        <w:tc>
          <w:tcPr>
            <w:tcW w:w="2967" w:type="dxa"/>
            <w:tcBorders>
              <w:top w:val="single" w:sz="4" w:space="0" w:color="000000"/>
              <w:left w:val="single" w:sz="4" w:space="0" w:color="000000"/>
              <w:bottom w:val="single" w:sz="4" w:space="0" w:color="000000"/>
              <w:right w:val="single" w:sz="4" w:space="0" w:color="000000"/>
            </w:tcBorders>
            <w:hideMark/>
          </w:tcPr>
          <w:p w14:paraId="66A27204" w14:textId="77777777" w:rsidR="00CA08B3" w:rsidRPr="00FB2719" w:rsidRDefault="00CA08B3">
            <w:pPr>
              <w:autoSpaceDE w:val="0"/>
              <w:autoSpaceDN w:val="0"/>
              <w:adjustRightInd w:val="0"/>
              <w:spacing w:line="249" w:lineRule="exact"/>
              <w:ind w:left="8" w:right="995"/>
              <w:jc w:val="center"/>
              <w:rPr>
                <w:sz w:val="22"/>
                <w:szCs w:val="22"/>
                <w:lang w:val="en-US"/>
              </w:rPr>
            </w:pPr>
            <w:r w:rsidRPr="00FB2719">
              <w:rPr>
                <w:sz w:val="22"/>
                <w:szCs w:val="22"/>
                <w:lang w:val="en-US"/>
              </w:rPr>
              <w:t>84 %</w:t>
            </w:r>
          </w:p>
        </w:tc>
        <w:tc>
          <w:tcPr>
            <w:tcW w:w="2844" w:type="dxa"/>
            <w:tcBorders>
              <w:top w:val="single" w:sz="4" w:space="0" w:color="000000"/>
              <w:left w:val="single" w:sz="4" w:space="0" w:color="000000"/>
              <w:bottom w:val="single" w:sz="4" w:space="0" w:color="000000"/>
              <w:right w:val="single" w:sz="4" w:space="0" w:color="000000"/>
            </w:tcBorders>
            <w:hideMark/>
          </w:tcPr>
          <w:p w14:paraId="00FCEF0E" w14:textId="77777777" w:rsidR="00CA08B3" w:rsidRPr="00FB2719" w:rsidRDefault="00CA08B3">
            <w:pPr>
              <w:autoSpaceDE w:val="0"/>
              <w:autoSpaceDN w:val="0"/>
              <w:adjustRightInd w:val="0"/>
              <w:spacing w:line="249" w:lineRule="exact"/>
              <w:ind w:left="8" w:right="840"/>
              <w:jc w:val="center"/>
              <w:rPr>
                <w:sz w:val="22"/>
                <w:szCs w:val="22"/>
                <w:lang w:val="en-US"/>
              </w:rPr>
            </w:pPr>
            <w:r w:rsidRPr="00FB2719">
              <w:rPr>
                <w:sz w:val="22"/>
                <w:szCs w:val="22"/>
                <w:lang w:val="en-US"/>
              </w:rPr>
              <w:t>75 %</w:t>
            </w:r>
          </w:p>
        </w:tc>
      </w:tr>
      <w:tr w:rsidR="00CA08B3" w:rsidRPr="00FB2719" w14:paraId="10654E20" w14:textId="77777777" w:rsidTr="00CA08B3">
        <w:trPr>
          <w:trHeight w:hRule="exact" w:val="1074"/>
        </w:trPr>
        <w:tc>
          <w:tcPr>
            <w:tcW w:w="2977" w:type="dxa"/>
            <w:tcBorders>
              <w:top w:val="single" w:sz="4" w:space="0" w:color="000000"/>
              <w:left w:val="single" w:sz="4" w:space="0" w:color="000000"/>
              <w:bottom w:val="single" w:sz="4" w:space="0" w:color="000000"/>
              <w:right w:val="single" w:sz="4" w:space="0" w:color="000000"/>
            </w:tcBorders>
            <w:hideMark/>
          </w:tcPr>
          <w:p w14:paraId="74E3B3D9" w14:textId="77777777" w:rsidR="00CA08B3" w:rsidRPr="00FB2719" w:rsidRDefault="00CA08B3">
            <w:pPr>
              <w:autoSpaceDE w:val="0"/>
              <w:autoSpaceDN w:val="0"/>
              <w:adjustRightInd w:val="0"/>
              <w:spacing w:line="249" w:lineRule="exact"/>
              <w:ind w:left="8" w:right="-20"/>
              <w:rPr>
                <w:sz w:val="22"/>
                <w:szCs w:val="22"/>
              </w:rPr>
            </w:pPr>
            <w:r w:rsidRPr="00FB2719">
              <w:rPr>
                <w:sz w:val="22"/>
                <w:szCs w:val="22"/>
              </w:rPr>
              <w:t>CD4+T-ląstelių skaičiaus vidutinis padidėjimas nuo tyrimo pradžios (ląstelių/mm</w:t>
            </w:r>
            <w:r w:rsidRPr="00FB2719">
              <w:rPr>
                <w:sz w:val="22"/>
                <w:szCs w:val="22"/>
                <w:vertAlign w:val="superscript"/>
              </w:rPr>
              <w:t>3</w:t>
            </w:r>
            <w:r w:rsidRPr="00FB2719">
              <w:rPr>
                <w:sz w:val="22"/>
                <w:szCs w:val="22"/>
              </w:rPr>
              <w:t>)</w:t>
            </w:r>
          </w:p>
        </w:tc>
        <w:tc>
          <w:tcPr>
            <w:tcW w:w="2967" w:type="dxa"/>
            <w:tcBorders>
              <w:top w:val="single" w:sz="4" w:space="0" w:color="000000"/>
              <w:left w:val="single" w:sz="4" w:space="0" w:color="000000"/>
              <w:bottom w:val="single" w:sz="4" w:space="0" w:color="000000"/>
              <w:right w:val="single" w:sz="4" w:space="0" w:color="000000"/>
            </w:tcBorders>
            <w:hideMark/>
          </w:tcPr>
          <w:p w14:paraId="5E77719E" w14:textId="77777777" w:rsidR="00CA08B3" w:rsidRPr="00FB2719" w:rsidRDefault="00CA08B3">
            <w:pPr>
              <w:autoSpaceDE w:val="0"/>
              <w:autoSpaceDN w:val="0"/>
              <w:adjustRightInd w:val="0"/>
              <w:spacing w:line="249" w:lineRule="exact"/>
              <w:ind w:left="8" w:right="1032"/>
              <w:jc w:val="center"/>
              <w:rPr>
                <w:sz w:val="22"/>
                <w:szCs w:val="22"/>
                <w:lang w:val="en-US"/>
              </w:rPr>
            </w:pPr>
            <w:r w:rsidRPr="00FB2719">
              <w:rPr>
                <w:sz w:val="22"/>
                <w:szCs w:val="22"/>
                <w:lang w:val="en-US"/>
              </w:rPr>
              <w:t>404</w:t>
            </w:r>
          </w:p>
        </w:tc>
        <w:tc>
          <w:tcPr>
            <w:tcW w:w="2844" w:type="dxa"/>
            <w:tcBorders>
              <w:top w:val="single" w:sz="4" w:space="0" w:color="000000"/>
              <w:left w:val="single" w:sz="4" w:space="0" w:color="000000"/>
              <w:bottom w:val="single" w:sz="4" w:space="0" w:color="000000"/>
              <w:right w:val="single" w:sz="4" w:space="0" w:color="000000"/>
            </w:tcBorders>
            <w:hideMark/>
          </w:tcPr>
          <w:p w14:paraId="274EAD91" w14:textId="77777777" w:rsidR="00CA08B3" w:rsidRPr="00FB2719" w:rsidRDefault="00CA08B3">
            <w:pPr>
              <w:autoSpaceDE w:val="0"/>
              <w:autoSpaceDN w:val="0"/>
              <w:adjustRightInd w:val="0"/>
              <w:spacing w:line="249" w:lineRule="exact"/>
              <w:ind w:left="8" w:right="877"/>
              <w:jc w:val="center"/>
              <w:rPr>
                <w:sz w:val="22"/>
                <w:szCs w:val="22"/>
                <w:lang w:val="en-US"/>
              </w:rPr>
            </w:pPr>
            <w:r w:rsidRPr="00FB2719">
              <w:rPr>
                <w:sz w:val="22"/>
                <w:szCs w:val="22"/>
                <w:lang w:val="en-US"/>
              </w:rPr>
              <w:t>284</w:t>
            </w:r>
          </w:p>
        </w:tc>
      </w:tr>
    </w:tbl>
    <w:p w14:paraId="1972C8D1" w14:textId="77777777" w:rsidR="00CA08B3" w:rsidRPr="00FB2719" w:rsidRDefault="00CA08B3" w:rsidP="00CA08B3">
      <w:pPr>
        <w:tabs>
          <w:tab w:val="left" w:pos="567"/>
        </w:tabs>
        <w:rPr>
          <w:bCs/>
          <w:sz w:val="22"/>
          <w:szCs w:val="22"/>
        </w:rPr>
      </w:pPr>
    </w:p>
    <w:p w14:paraId="638EAD53" w14:textId="77777777" w:rsidR="0021404B" w:rsidRPr="00FB2719" w:rsidRDefault="0021404B" w:rsidP="0021404B">
      <w:pPr>
        <w:tabs>
          <w:tab w:val="left" w:pos="567"/>
        </w:tabs>
        <w:rPr>
          <w:bCs/>
          <w:sz w:val="22"/>
          <w:szCs w:val="22"/>
        </w:rPr>
      </w:pPr>
      <w:r w:rsidRPr="00FB2719">
        <w:rPr>
          <w:bCs/>
          <w:sz w:val="22"/>
          <w:szCs w:val="22"/>
        </w:rPr>
        <w:t>KONCERT / PENTA 18 yra prospektyvinis daugiacentris, atsitiktinių imčių, atviras tyrimas, kurio metu buvo vertinamas lopinaviro / ritonaviro 100</w:t>
      </w:r>
      <w:r w:rsidR="007708A2" w:rsidRPr="00FB2719">
        <w:rPr>
          <w:bCs/>
          <w:sz w:val="22"/>
          <w:szCs w:val="22"/>
        </w:rPr>
        <w:t> </w:t>
      </w:r>
      <w:r w:rsidRPr="00FB2719">
        <w:rPr>
          <w:bCs/>
          <w:sz w:val="22"/>
          <w:szCs w:val="22"/>
        </w:rPr>
        <w:t>mg/25</w:t>
      </w:r>
      <w:r w:rsidR="007708A2" w:rsidRPr="00FB2719">
        <w:rPr>
          <w:bCs/>
          <w:sz w:val="22"/>
          <w:szCs w:val="22"/>
        </w:rPr>
        <w:t> </w:t>
      </w:r>
      <w:r w:rsidRPr="00FB2719">
        <w:rPr>
          <w:bCs/>
          <w:sz w:val="22"/>
          <w:szCs w:val="22"/>
        </w:rPr>
        <w:t>mg tablečių, kaip kombinuoto antiretrovirusinio gydymo dalies, virusologiškai nuslopintiems ŽIV infekuotiems vaikams (n=173), skiriamų dukart per parą lyginant su skiriamomis kartą per parą, dozuojant pagal svorį, farmakokinetinis profilis, veiksmingumas ir saugumas. Vaikų tinkamumo kriterijai buvo šie: amžius &lt;</w:t>
      </w:r>
      <w:r w:rsidR="007708A2" w:rsidRPr="00FB2719">
        <w:rPr>
          <w:bCs/>
          <w:sz w:val="22"/>
          <w:szCs w:val="22"/>
        </w:rPr>
        <w:t> </w:t>
      </w:r>
      <w:r w:rsidRPr="00FB2719">
        <w:rPr>
          <w:bCs/>
          <w:sz w:val="22"/>
          <w:szCs w:val="22"/>
        </w:rPr>
        <w:t>18</w:t>
      </w:r>
      <w:r w:rsidR="007708A2" w:rsidRPr="00FB2719">
        <w:rPr>
          <w:bCs/>
          <w:sz w:val="22"/>
          <w:szCs w:val="22"/>
        </w:rPr>
        <w:t> </w:t>
      </w:r>
      <w:r w:rsidRPr="00FB2719">
        <w:rPr>
          <w:bCs/>
          <w:sz w:val="22"/>
          <w:szCs w:val="22"/>
        </w:rPr>
        <w:t>metų, svoris ≥</w:t>
      </w:r>
      <w:r w:rsidR="007708A2" w:rsidRPr="00FB2719">
        <w:rPr>
          <w:bCs/>
          <w:sz w:val="22"/>
          <w:szCs w:val="22"/>
        </w:rPr>
        <w:t> </w:t>
      </w:r>
      <w:r w:rsidRPr="00FB2719">
        <w:rPr>
          <w:bCs/>
          <w:sz w:val="22"/>
          <w:szCs w:val="22"/>
        </w:rPr>
        <w:t>15</w:t>
      </w:r>
      <w:r w:rsidR="007708A2" w:rsidRPr="00FB2719">
        <w:rPr>
          <w:bCs/>
          <w:sz w:val="22"/>
          <w:szCs w:val="22"/>
        </w:rPr>
        <w:t> </w:t>
      </w:r>
      <w:r w:rsidRPr="00FB2719">
        <w:rPr>
          <w:bCs/>
          <w:sz w:val="22"/>
          <w:szCs w:val="22"/>
        </w:rPr>
        <w:t>kg, gaunantys antiretrovirusinį gydymą lopinaviru / ritonaviru, ŽIV-1 ribonukleino rūgštis (RNR) &lt;</w:t>
      </w:r>
      <w:r w:rsidR="007708A2" w:rsidRPr="00FB2719">
        <w:rPr>
          <w:bCs/>
          <w:sz w:val="22"/>
          <w:szCs w:val="22"/>
        </w:rPr>
        <w:t> </w:t>
      </w:r>
      <w:r w:rsidRPr="00FB2719">
        <w:rPr>
          <w:bCs/>
          <w:sz w:val="22"/>
          <w:szCs w:val="22"/>
        </w:rPr>
        <w:t>50</w:t>
      </w:r>
      <w:r w:rsidR="007708A2" w:rsidRPr="00FB2719">
        <w:rPr>
          <w:bCs/>
          <w:sz w:val="22"/>
          <w:szCs w:val="22"/>
        </w:rPr>
        <w:t> </w:t>
      </w:r>
      <w:r w:rsidRPr="00FB2719">
        <w:rPr>
          <w:bCs/>
          <w:sz w:val="22"/>
          <w:szCs w:val="22"/>
        </w:rPr>
        <w:t>kopijų/ml mažiausiai 24</w:t>
      </w:r>
      <w:r w:rsidR="007708A2" w:rsidRPr="00FB2719">
        <w:rPr>
          <w:bCs/>
          <w:sz w:val="22"/>
          <w:szCs w:val="22"/>
        </w:rPr>
        <w:t> </w:t>
      </w:r>
      <w:r w:rsidRPr="00FB2719">
        <w:rPr>
          <w:bCs/>
          <w:sz w:val="22"/>
          <w:szCs w:val="22"/>
        </w:rPr>
        <w:t>savaites ir sugebėjimas praryti tabletes. 48</w:t>
      </w:r>
      <w:r w:rsidR="007708A2" w:rsidRPr="00FB2719">
        <w:rPr>
          <w:bCs/>
          <w:sz w:val="22"/>
          <w:szCs w:val="22"/>
        </w:rPr>
        <w:t> </w:t>
      </w:r>
      <w:r w:rsidRPr="00FB2719">
        <w:rPr>
          <w:bCs/>
          <w:sz w:val="22"/>
          <w:szCs w:val="22"/>
        </w:rPr>
        <w:t>savaitę du kartus per parą vartojamo lopinaviro / ritonaviro 100</w:t>
      </w:r>
      <w:r w:rsidR="007708A2" w:rsidRPr="00FB2719">
        <w:rPr>
          <w:bCs/>
          <w:sz w:val="22"/>
          <w:szCs w:val="22"/>
        </w:rPr>
        <w:t> </w:t>
      </w:r>
      <w:r w:rsidRPr="00FB2719">
        <w:rPr>
          <w:bCs/>
          <w:sz w:val="22"/>
          <w:szCs w:val="22"/>
        </w:rPr>
        <w:t>mg/25</w:t>
      </w:r>
      <w:r w:rsidR="007708A2" w:rsidRPr="00FB2719">
        <w:rPr>
          <w:bCs/>
          <w:sz w:val="22"/>
          <w:szCs w:val="22"/>
        </w:rPr>
        <w:t> </w:t>
      </w:r>
      <w:r w:rsidRPr="00FB2719">
        <w:rPr>
          <w:bCs/>
          <w:sz w:val="22"/>
          <w:szCs w:val="22"/>
        </w:rPr>
        <w:t>mg veiksmingumas ir saugumas vaikams atitiko ankstesniuose tyrimuose su suaugusiais pacientais ir su vaikais, vartojusiais lopinavirą / ritonavirą du kartus per parą, gautus veiksmingumo ir saugumo duomenis. Pacientų, kuriems buvo patvirtintas &gt;</w:t>
      </w:r>
      <w:r w:rsidR="007708A2" w:rsidRPr="00FB2719">
        <w:rPr>
          <w:bCs/>
          <w:sz w:val="22"/>
          <w:szCs w:val="22"/>
        </w:rPr>
        <w:t> </w:t>
      </w:r>
      <w:r w:rsidRPr="00FB2719">
        <w:rPr>
          <w:bCs/>
          <w:sz w:val="22"/>
          <w:szCs w:val="22"/>
        </w:rPr>
        <w:t>50</w:t>
      </w:r>
      <w:r w:rsidR="007708A2" w:rsidRPr="00FB2719">
        <w:rPr>
          <w:bCs/>
          <w:sz w:val="22"/>
          <w:szCs w:val="22"/>
        </w:rPr>
        <w:t> </w:t>
      </w:r>
      <w:r w:rsidRPr="00FB2719">
        <w:rPr>
          <w:bCs/>
          <w:sz w:val="22"/>
          <w:szCs w:val="22"/>
        </w:rPr>
        <w:t>kopijų/ml virusų išlikimas per 48 stebėjimo savaites, procentas buvo didesnis tarp vaikų, vartojusių lopinavirą / ritonavirą vieną kartą per parą (12</w:t>
      </w:r>
      <w:r w:rsidR="007708A2" w:rsidRPr="00FB2719">
        <w:rPr>
          <w:bCs/>
          <w:sz w:val="22"/>
          <w:szCs w:val="22"/>
        </w:rPr>
        <w:t> </w:t>
      </w:r>
      <w:r w:rsidRPr="00FB2719">
        <w:rPr>
          <w:bCs/>
          <w:sz w:val="22"/>
          <w:szCs w:val="22"/>
        </w:rPr>
        <w:t>%), negu tarp pacientų, vartojusių du kartus per parą (8</w:t>
      </w:r>
      <w:r w:rsidR="007708A2" w:rsidRPr="00FB2719">
        <w:rPr>
          <w:bCs/>
          <w:sz w:val="22"/>
          <w:szCs w:val="22"/>
        </w:rPr>
        <w:t> </w:t>
      </w:r>
      <w:r w:rsidRPr="00FB2719">
        <w:rPr>
          <w:bCs/>
          <w:sz w:val="22"/>
          <w:szCs w:val="22"/>
        </w:rPr>
        <w:t>%, p=0,19), pagrindinai dėl mažesnio režimo laikymosi vieną kartą per parą vartojusių grupėje. Palankesni veiksmingumo duomenys du kartus per parą vartojusių grupėje priklausė ir nuo skirtingų farmakokinetikos parametrų, žymiai palankesnių taikant gydymo režimą du kartus per parą (žr. 5.2 skyrių).</w:t>
      </w:r>
    </w:p>
    <w:p w14:paraId="739C3A37" w14:textId="77777777" w:rsidR="0021404B" w:rsidRPr="00FB2719" w:rsidRDefault="0021404B" w:rsidP="0021404B">
      <w:pPr>
        <w:tabs>
          <w:tab w:val="left" w:pos="567"/>
        </w:tabs>
        <w:rPr>
          <w:b/>
          <w:bCs/>
          <w:sz w:val="22"/>
          <w:szCs w:val="22"/>
        </w:rPr>
      </w:pPr>
    </w:p>
    <w:p w14:paraId="4B7253DB" w14:textId="77777777" w:rsidR="00CA08B3" w:rsidRPr="00FB2719" w:rsidRDefault="00CA08B3" w:rsidP="00CA08B3">
      <w:pPr>
        <w:tabs>
          <w:tab w:val="left" w:pos="567"/>
        </w:tabs>
        <w:rPr>
          <w:b/>
          <w:bCs/>
          <w:sz w:val="22"/>
          <w:szCs w:val="22"/>
        </w:rPr>
      </w:pPr>
      <w:r w:rsidRPr="00FB2719">
        <w:rPr>
          <w:b/>
          <w:bCs/>
          <w:sz w:val="22"/>
          <w:szCs w:val="22"/>
        </w:rPr>
        <w:lastRenderedPageBreak/>
        <w:t>5.2</w:t>
      </w:r>
      <w:r w:rsidRPr="00FB2719">
        <w:rPr>
          <w:b/>
          <w:bCs/>
          <w:sz w:val="22"/>
          <w:szCs w:val="22"/>
        </w:rPr>
        <w:tab/>
        <w:t>Farmakokinetinės savybės</w:t>
      </w:r>
    </w:p>
    <w:p w14:paraId="7C07C668" w14:textId="77777777" w:rsidR="00CA08B3" w:rsidRPr="00FB2719" w:rsidRDefault="00CA08B3" w:rsidP="00CA08B3">
      <w:pPr>
        <w:tabs>
          <w:tab w:val="left" w:pos="567"/>
        </w:tabs>
        <w:jc w:val="both"/>
        <w:rPr>
          <w:b/>
          <w:bCs/>
          <w:sz w:val="22"/>
          <w:szCs w:val="22"/>
        </w:rPr>
      </w:pPr>
    </w:p>
    <w:p w14:paraId="5153796B" w14:textId="77777777" w:rsidR="00CA08B3" w:rsidRPr="00FB2719" w:rsidRDefault="00CA08B3" w:rsidP="00CA08B3">
      <w:pPr>
        <w:tabs>
          <w:tab w:val="left" w:pos="567"/>
        </w:tabs>
        <w:rPr>
          <w:sz w:val="22"/>
          <w:szCs w:val="22"/>
        </w:rPr>
      </w:pPr>
      <w:r w:rsidRPr="00FB2719">
        <w:rPr>
          <w:sz w:val="22"/>
          <w:szCs w:val="22"/>
        </w:rPr>
        <w:t>Buvo įvertintos sveikų suaugusiųjų savanorių ir ŽIV infekuotų pacientų lopinaviro, vartojamo kartu su ritonaviru, farmakokinetikos savybės. Esminių skirtumų tarp abiejų grupių nestebėta. Lopinavirą praktiškai visiškai metabolizuoja CYP3A. Ritonaviras slopina lopinaviro metabolizmą, todėl didina lopinaviro koncentraciją plazmoje. Įvairių tyrimų metu lopinaviro / ritonaviro derinio 400</w:t>
      </w:r>
      <w:r w:rsidR="001E5E80" w:rsidRPr="00FB2719">
        <w:rPr>
          <w:sz w:val="22"/>
          <w:szCs w:val="22"/>
        </w:rPr>
        <w:t> mg</w:t>
      </w:r>
      <w:r w:rsidRPr="00FB2719">
        <w:rPr>
          <w:sz w:val="22"/>
          <w:szCs w:val="22"/>
        </w:rPr>
        <w:t>/100</w:t>
      </w:r>
      <w:r w:rsidR="007708A2" w:rsidRPr="00FB2719">
        <w:rPr>
          <w:sz w:val="22"/>
          <w:szCs w:val="22"/>
        </w:rPr>
        <w:t> </w:t>
      </w:r>
      <w:r w:rsidRPr="00FB2719">
        <w:rPr>
          <w:sz w:val="22"/>
          <w:szCs w:val="22"/>
        </w:rPr>
        <w:t>mg vartojant du kartus per parą vidutinė pusiausvyrinė lopinaviro koncentracija plazmoje buvo 15-20</w:t>
      </w:r>
      <w:r w:rsidR="007708A2" w:rsidRPr="00FB2719">
        <w:rPr>
          <w:sz w:val="22"/>
          <w:szCs w:val="22"/>
        </w:rPr>
        <w:t> </w:t>
      </w:r>
      <w:r w:rsidRPr="00FB2719">
        <w:rPr>
          <w:sz w:val="22"/>
          <w:szCs w:val="22"/>
        </w:rPr>
        <w:t>kartų didesnė negu ritonaviro koncentracija ŽIV infekuotiems pacientams. Ritonaviro koncentracija plazmoje sudaro mažiau kaip 7 % koncentracijos, kuri būna vartojant po 600</w:t>
      </w:r>
      <w:r w:rsidR="007708A2" w:rsidRPr="00FB2719">
        <w:rPr>
          <w:sz w:val="22"/>
          <w:szCs w:val="22"/>
        </w:rPr>
        <w:t> </w:t>
      </w:r>
      <w:r w:rsidRPr="00FB2719">
        <w:rPr>
          <w:sz w:val="22"/>
          <w:szCs w:val="22"/>
        </w:rPr>
        <w:t>mg ritonaviro du kartus per parą. Antivirusinė lopinaviro EC</w:t>
      </w:r>
      <w:r w:rsidRPr="00FB2719">
        <w:rPr>
          <w:sz w:val="22"/>
          <w:szCs w:val="22"/>
          <w:vertAlign w:val="subscript"/>
        </w:rPr>
        <w:t>50</w:t>
      </w:r>
      <w:r w:rsidRPr="00FB2719">
        <w:rPr>
          <w:sz w:val="22"/>
          <w:szCs w:val="22"/>
        </w:rPr>
        <w:t xml:space="preserve"> </w:t>
      </w:r>
      <w:r w:rsidRPr="00FB2719">
        <w:rPr>
          <w:i/>
          <w:sz w:val="22"/>
          <w:szCs w:val="22"/>
        </w:rPr>
        <w:t>in vitro</w:t>
      </w:r>
      <w:r w:rsidRPr="00FB2719">
        <w:rPr>
          <w:sz w:val="22"/>
          <w:szCs w:val="22"/>
        </w:rPr>
        <w:t xml:space="preserve"> yra maždaug 10</w:t>
      </w:r>
      <w:r w:rsidR="007708A2" w:rsidRPr="00FB2719">
        <w:rPr>
          <w:sz w:val="22"/>
          <w:szCs w:val="22"/>
        </w:rPr>
        <w:t> </w:t>
      </w:r>
      <w:r w:rsidRPr="00FB2719">
        <w:rPr>
          <w:sz w:val="22"/>
          <w:szCs w:val="22"/>
        </w:rPr>
        <w:t>kartų mažesnė negu ritonaviro. Taigi, antivirusinis lopinaviro / ritonaviro derinio aktyvumas priklauso nuo lopinaviro.</w:t>
      </w:r>
    </w:p>
    <w:p w14:paraId="0A65DE9B" w14:textId="77777777" w:rsidR="00CA08B3" w:rsidRPr="00FB2719" w:rsidRDefault="00CA08B3" w:rsidP="00CA08B3">
      <w:pPr>
        <w:tabs>
          <w:tab w:val="left" w:pos="567"/>
        </w:tabs>
        <w:rPr>
          <w:sz w:val="22"/>
          <w:szCs w:val="22"/>
        </w:rPr>
      </w:pPr>
    </w:p>
    <w:p w14:paraId="0119A6E5" w14:textId="77777777" w:rsidR="0021404B" w:rsidRPr="00FB2719" w:rsidRDefault="00CA08B3" w:rsidP="00CA08B3">
      <w:pPr>
        <w:tabs>
          <w:tab w:val="left" w:pos="567"/>
        </w:tabs>
        <w:rPr>
          <w:sz w:val="22"/>
          <w:szCs w:val="22"/>
        </w:rPr>
      </w:pPr>
      <w:r w:rsidRPr="00FB2719">
        <w:rPr>
          <w:sz w:val="22"/>
          <w:szCs w:val="22"/>
          <w:u w:val="single"/>
        </w:rPr>
        <w:t>Absorbcija</w:t>
      </w:r>
      <w:r w:rsidRPr="00FB2719">
        <w:rPr>
          <w:sz w:val="22"/>
          <w:szCs w:val="22"/>
        </w:rPr>
        <w:t xml:space="preserve"> </w:t>
      </w:r>
    </w:p>
    <w:p w14:paraId="502456B6" w14:textId="77777777" w:rsidR="00CA08B3" w:rsidRPr="00FB2719" w:rsidRDefault="00CA08B3" w:rsidP="00CA08B3">
      <w:pPr>
        <w:tabs>
          <w:tab w:val="left" w:pos="567"/>
        </w:tabs>
        <w:rPr>
          <w:sz w:val="22"/>
          <w:szCs w:val="22"/>
        </w:rPr>
      </w:pPr>
      <w:r w:rsidRPr="00FB2719">
        <w:rPr>
          <w:sz w:val="22"/>
          <w:szCs w:val="22"/>
        </w:rPr>
        <w:t>Kartotinai skiriant lopinaviro / ritonaviro derinio po 400</w:t>
      </w:r>
      <w:r w:rsidR="001E5E80" w:rsidRPr="00FB2719">
        <w:rPr>
          <w:sz w:val="22"/>
          <w:szCs w:val="22"/>
        </w:rPr>
        <w:t> mg</w:t>
      </w:r>
      <w:r w:rsidRPr="00FB2719">
        <w:rPr>
          <w:sz w:val="22"/>
          <w:szCs w:val="22"/>
        </w:rPr>
        <w:t>/100</w:t>
      </w:r>
      <w:r w:rsidR="007708A2" w:rsidRPr="00FB2719">
        <w:rPr>
          <w:sz w:val="22"/>
          <w:szCs w:val="22"/>
        </w:rPr>
        <w:t> </w:t>
      </w:r>
      <w:r w:rsidRPr="00FB2719">
        <w:rPr>
          <w:sz w:val="22"/>
          <w:szCs w:val="22"/>
        </w:rPr>
        <w:t>mg du kartus per parą 2</w:t>
      </w:r>
      <w:r w:rsidR="007708A2" w:rsidRPr="00FB2719">
        <w:rPr>
          <w:sz w:val="22"/>
          <w:szCs w:val="22"/>
        </w:rPr>
        <w:t> </w:t>
      </w:r>
      <w:r w:rsidRPr="00FB2719">
        <w:rPr>
          <w:sz w:val="22"/>
          <w:szCs w:val="22"/>
        </w:rPr>
        <w:t>savaites ir neribojant valgymo, vidutinė ± SN lopinaviro didžiausia 12,3</w:t>
      </w:r>
      <w:r w:rsidR="007708A2" w:rsidRPr="00FB2719">
        <w:rPr>
          <w:sz w:val="22"/>
          <w:szCs w:val="22"/>
        </w:rPr>
        <w:t> </w:t>
      </w:r>
      <w:r w:rsidRPr="00FB2719">
        <w:rPr>
          <w:sz w:val="22"/>
          <w:szCs w:val="22"/>
        </w:rPr>
        <w:t>±</w:t>
      </w:r>
      <w:r w:rsidR="007708A2" w:rsidRPr="00FB2719">
        <w:rPr>
          <w:sz w:val="22"/>
          <w:szCs w:val="22"/>
        </w:rPr>
        <w:t> </w:t>
      </w:r>
      <w:r w:rsidRPr="00FB2719">
        <w:rPr>
          <w:sz w:val="22"/>
          <w:szCs w:val="22"/>
        </w:rPr>
        <w:t>5,4</w:t>
      </w:r>
      <w:r w:rsidR="007708A2" w:rsidRPr="00FB2719">
        <w:rPr>
          <w:sz w:val="22"/>
          <w:szCs w:val="22"/>
        </w:rPr>
        <w:t> </w:t>
      </w:r>
      <w:r w:rsidRPr="00FB2719">
        <w:rPr>
          <w:sz w:val="22"/>
          <w:szCs w:val="22"/>
        </w:rPr>
        <w:t>μg/ml koncentracija plazmoje (C</w:t>
      </w:r>
      <w:r w:rsidRPr="00FB2719">
        <w:rPr>
          <w:sz w:val="22"/>
          <w:vertAlign w:val="subscript"/>
        </w:rPr>
        <w:t>max</w:t>
      </w:r>
      <w:r w:rsidRPr="00FB2719">
        <w:rPr>
          <w:sz w:val="22"/>
          <w:szCs w:val="22"/>
        </w:rPr>
        <w:t>) atsiranda praėjus maždaug 4</w:t>
      </w:r>
      <w:r w:rsidR="007708A2" w:rsidRPr="00FB2719">
        <w:rPr>
          <w:sz w:val="22"/>
          <w:szCs w:val="22"/>
        </w:rPr>
        <w:t> </w:t>
      </w:r>
      <w:r w:rsidRPr="00FB2719">
        <w:rPr>
          <w:sz w:val="22"/>
          <w:szCs w:val="22"/>
        </w:rPr>
        <w:t>valandoms po pavartojimo. Esant pusiausvyrinei apykaitai vidutinė mažiausia koncentracija plazmoje prieš rytinę dozę buvo 8,1</w:t>
      </w:r>
      <w:r w:rsidR="007708A2" w:rsidRPr="00FB2719">
        <w:rPr>
          <w:sz w:val="22"/>
          <w:szCs w:val="22"/>
        </w:rPr>
        <w:t> </w:t>
      </w:r>
      <w:r w:rsidRPr="00FB2719">
        <w:rPr>
          <w:sz w:val="22"/>
          <w:szCs w:val="22"/>
        </w:rPr>
        <w:t>±</w:t>
      </w:r>
      <w:r w:rsidR="007708A2" w:rsidRPr="00FB2719">
        <w:rPr>
          <w:sz w:val="22"/>
          <w:szCs w:val="22"/>
        </w:rPr>
        <w:t> </w:t>
      </w:r>
      <w:r w:rsidRPr="00FB2719">
        <w:rPr>
          <w:sz w:val="22"/>
          <w:szCs w:val="22"/>
        </w:rPr>
        <w:t>5,7</w:t>
      </w:r>
      <w:r w:rsidR="007708A2" w:rsidRPr="00FB2719">
        <w:rPr>
          <w:sz w:val="22"/>
          <w:szCs w:val="22"/>
        </w:rPr>
        <w:t> </w:t>
      </w:r>
      <w:r w:rsidRPr="00FB2719">
        <w:rPr>
          <w:sz w:val="22"/>
          <w:szCs w:val="22"/>
        </w:rPr>
        <w:t>μg/ml. Lopinaviro skiriant kas 12</w:t>
      </w:r>
      <w:r w:rsidR="007708A2" w:rsidRPr="00FB2719">
        <w:rPr>
          <w:sz w:val="22"/>
          <w:szCs w:val="22"/>
        </w:rPr>
        <w:t> </w:t>
      </w:r>
      <w:r w:rsidRPr="00FB2719">
        <w:rPr>
          <w:sz w:val="22"/>
          <w:szCs w:val="22"/>
        </w:rPr>
        <w:t>valandų, jo AUC buvo vidutiniškai 113,2</w:t>
      </w:r>
      <w:r w:rsidR="007708A2" w:rsidRPr="00FB2719">
        <w:rPr>
          <w:sz w:val="22"/>
          <w:szCs w:val="22"/>
        </w:rPr>
        <w:t> </w:t>
      </w:r>
      <w:r w:rsidRPr="00FB2719">
        <w:rPr>
          <w:sz w:val="22"/>
          <w:szCs w:val="22"/>
        </w:rPr>
        <w:t>±</w:t>
      </w:r>
      <w:r w:rsidR="007708A2" w:rsidRPr="00FB2719">
        <w:rPr>
          <w:sz w:val="22"/>
          <w:szCs w:val="22"/>
        </w:rPr>
        <w:t> </w:t>
      </w:r>
      <w:r w:rsidRPr="00FB2719">
        <w:rPr>
          <w:sz w:val="22"/>
          <w:szCs w:val="22"/>
        </w:rPr>
        <w:t>60,5</w:t>
      </w:r>
      <w:r w:rsidR="007708A2" w:rsidRPr="00FB2719">
        <w:rPr>
          <w:sz w:val="22"/>
          <w:szCs w:val="22"/>
        </w:rPr>
        <w:t> </w:t>
      </w:r>
      <w:r w:rsidRPr="00FB2719">
        <w:rPr>
          <w:sz w:val="22"/>
          <w:szCs w:val="22"/>
        </w:rPr>
        <w:t>μg•val./ml. Absoliutus lopinaviro, vartojamo derinyje su ritonaviru, biologinis prieinamumas žmonėms nenustatytas.</w:t>
      </w:r>
    </w:p>
    <w:p w14:paraId="1D1F74D0" w14:textId="77777777" w:rsidR="00CA08B3" w:rsidRPr="00FB2719" w:rsidRDefault="00CA08B3" w:rsidP="00CA08B3">
      <w:pPr>
        <w:tabs>
          <w:tab w:val="left" w:pos="567"/>
        </w:tabs>
        <w:rPr>
          <w:sz w:val="22"/>
          <w:szCs w:val="22"/>
        </w:rPr>
      </w:pPr>
    </w:p>
    <w:p w14:paraId="5AD115B2" w14:textId="77777777" w:rsidR="0021404B" w:rsidRPr="00FB2719" w:rsidRDefault="00CA08B3" w:rsidP="00CA08B3">
      <w:pPr>
        <w:tabs>
          <w:tab w:val="left" w:pos="567"/>
        </w:tabs>
        <w:rPr>
          <w:sz w:val="22"/>
          <w:szCs w:val="22"/>
        </w:rPr>
      </w:pPr>
      <w:r w:rsidRPr="00FB2719">
        <w:rPr>
          <w:sz w:val="22"/>
          <w:szCs w:val="22"/>
          <w:u w:val="single"/>
        </w:rPr>
        <w:t>Maisto poveikis išgerto vaistinio preparato absorbcijai</w:t>
      </w:r>
    </w:p>
    <w:p w14:paraId="223A281B" w14:textId="77777777" w:rsidR="00CA08B3" w:rsidRPr="00FB2719" w:rsidRDefault="00CA08B3" w:rsidP="00CA08B3">
      <w:pPr>
        <w:tabs>
          <w:tab w:val="left" w:pos="567"/>
        </w:tabs>
        <w:rPr>
          <w:sz w:val="22"/>
          <w:szCs w:val="22"/>
        </w:rPr>
      </w:pPr>
      <w:r w:rsidRPr="00FB2719">
        <w:rPr>
          <w:sz w:val="22"/>
          <w:szCs w:val="22"/>
        </w:rPr>
        <w:t>Skiriant lopinaviro / ritonaviro 400</w:t>
      </w:r>
      <w:r w:rsidR="001E5E80" w:rsidRPr="00FB2719">
        <w:rPr>
          <w:sz w:val="22"/>
          <w:szCs w:val="22"/>
        </w:rPr>
        <w:t> mg</w:t>
      </w:r>
      <w:r w:rsidRPr="00FB2719">
        <w:rPr>
          <w:sz w:val="22"/>
          <w:szCs w:val="22"/>
        </w:rPr>
        <w:t>/100</w:t>
      </w:r>
      <w:r w:rsidR="007708A2" w:rsidRPr="00FB2719">
        <w:rPr>
          <w:sz w:val="22"/>
          <w:szCs w:val="22"/>
        </w:rPr>
        <w:t> </w:t>
      </w:r>
      <w:r w:rsidRPr="00FB2719">
        <w:rPr>
          <w:sz w:val="22"/>
          <w:szCs w:val="22"/>
        </w:rPr>
        <w:t>mg derinio tablečių vieną dozę su maistu (gausiai vartojant riebalų, 872</w:t>
      </w:r>
      <w:r w:rsidR="007708A2" w:rsidRPr="00FB2719">
        <w:rPr>
          <w:sz w:val="22"/>
          <w:szCs w:val="22"/>
        </w:rPr>
        <w:t> </w:t>
      </w:r>
      <w:r w:rsidRPr="00FB2719">
        <w:rPr>
          <w:sz w:val="22"/>
          <w:szCs w:val="22"/>
        </w:rPr>
        <w:t>kcal, 56 % riebalinės kilmės) ir lyginant su alkio būsena, nepastebėta jokių reikšmingų C</w:t>
      </w:r>
      <w:r w:rsidRPr="00FB2719">
        <w:rPr>
          <w:sz w:val="22"/>
          <w:vertAlign w:val="subscript"/>
        </w:rPr>
        <w:t>max</w:t>
      </w:r>
      <w:r w:rsidRPr="00FB2719">
        <w:rPr>
          <w:sz w:val="22"/>
          <w:szCs w:val="22"/>
        </w:rPr>
        <w:t xml:space="preserve"> ir AUC</w:t>
      </w:r>
      <w:r w:rsidRPr="00FB2719">
        <w:rPr>
          <w:sz w:val="22"/>
          <w:szCs w:val="22"/>
          <w:vertAlign w:val="subscript"/>
        </w:rPr>
        <w:t>inf</w:t>
      </w:r>
      <w:r w:rsidRPr="00FB2719">
        <w:rPr>
          <w:sz w:val="22"/>
          <w:szCs w:val="22"/>
        </w:rPr>
        <w:t xml:space="preserve"> pokyčių. Taigi, lopinaviro /ritonaviro derinio tabletes galima vartoti valgant arba ne valgio metu. Taip pat nustatyta, kad lopinaviro /ritonaviro derinio tablečių farmakokinetika kinta mažiau, negu lopinaviro / ritonaviro derinio minkštųjų kapsulių farmakokinetika.</w:t>
      </w:r>
    </w:p>
    <w:p w14:paraId="2C215081" w14:textId="77777777" w:rsidR="00CA08B3" w:rsidRPr="00FB2719" w:rsidRDefault="00CA08B3" w:rsidP="00CA08B3">
      <w:pPr>
        <w:tabs>
          <w:tab w:val="left" w:pos="567"/>
        </w:tabs>
        <w:rPr>
          <w:sz w:val="22"/>
          <w:szCs w:val="22"/>
        </w:rPr>
      </w:pPr>
    </w:p>
    <w:p w14:paraId="151A1D4A" w14:textId="77777777" w:rsidR="0021404B" w:rsidRPr="00FB2719" w:rsidRDefault="00CA08B3" w:rsidP="00CA08B3">
      <w:pPr>
        <w:tabs>
          <w:tab w:val="left" w:pos="567"/>
        </w:tabs>
        <w:rPr>
          <w:sz w:val="22"/>
          <w:szCs w:val="22"/>
        </w:rPr>
      </w:pPr>
      <w:r w:rsidRPr="00FB2719">
        <w:rPr>
          <w:sz w:val="22"/>
          <w:szCs w:val="22"/>
          <w:u w:val="single"/>
        </w:rPr>
        <w:t>Pasiskirstymas</w:t>
      </w:r>
    </w:p>
    <w:p w14:paraId="25E24ABE" w14:textId="77777777" w:rsidR="00CA08B3" w:rsidRPr="00FB2719" w:rsidRDefault="00CA08B3" w:rsidP="00CA08B3">
      <w:pPr>
        <w:tabs>
          <w:tab w:val="left" w:pos="567"/>
        </w:tabs>
        <w:rPr>
          <w:sz w:val="22"/>
          <w:szCs w:val="22"/>
        </w:rPr>
      </w:pPr>
      <w:r w:rsidRPr="00FB2719">
        <w:rPr>
          <w:sz w:val="22"/>
          <w:szCs w:val="22"/>
        </w:rPr>
        <w:t>Kai nusistovėjusi pusiausvyrinė apykaita, maždaug 98-99 % lopinaviro būna susijungusio su serumo baltymais. Lopinaviras jungiasi ir su alfa-1-rūgščiuoju glikoproteinu (ARG), ir su albuminu, tačiau jo afinitetas ARG yra didesnis. Kai nusistovėjusi pusiausvyrinė apykaita, lopinaviro prisijungimas prie baltymų išlieka pastovus visame stebėtų koncentracijų, atsirandančių išgėrus lopinaviro /ritonaviro derinio 400</w:t>
      </w:r>
      <w:r w:rsidR="001E5E80" w:rsidRPr="00FB2719">
        <w:rPr>
          <w:sz w:val="22"/>
          <w:szCs w:val="22"/>
        </w:rPr>
        <w:t> mg</w:t>
      </w:r>
      <w:r w:rsidRPr="00FB2719">
        <w:rPr>
          <w:sz w:val="22"/>
          <w:szCs w:val="22"/>
        </w:rPr>
        <w:t>/100</w:t>
      </w:r>
      <w:r w:rsidR="007708A2" w:rsidRPr="00FB2719">
        <w:rPr>
          <w:sz w:val="22"/>
          <w:szCs w:val="22"/>
        </w:rPr>
        <w:t> </w:t>
      </w:r>
      <w:r w:rsidRPr="00FB2719">
        <w:rPr>
          <w:sz w:val="22"/>
          <w:szCs w:val="22"/>
        </w:rPr>
        <w:t>mg du kartus per parą, diapazone ir sveikiems savanoriams bei ŽIV teigiamiems pacientams yra panašus.</w:t>
      </w:r>
    </w:p>
    <w:p w14:paraId="755A30F7" w14:textId="77777777" w:rsidR="00CA08B3" w:rsidRPr="00FB2719" w:rsidRDefault="00CA08B3" w:rsidP="00CA08B3">
      <w:pPr>
        <w:tabs>
          <w:tab w:val="left" w:pos="567"/>
        </w:tabs>
        <w:rPr>
          <w:sz w:val="22"/>
          <w:szCs w:val="22"/>
        </w:rPr>
      </w:pPr>
    </w:p>
    <w:p w14:paraId="20155AAF" w14:textId="77777777" w:rsidR="0021404B" w:rsidRPr="00FB2719" w:rsidRDefault="00CA08B3" w:rsidP="00CA08B3">
      <w:pPr>
        <w:tabs>
          <w:tab w:val="left" w:pos="567"/>
        </w:tabs>
        <w:rPr>
          <w:sz w:val="22"/>
          <w:szCs w:val="22"/>
        </w:rPr>
      </w:pPr>
      <w:r w:rsidRPr="00FB2719">
        <w:rPr>
          <w:sz w:val="22"/>
          <w:szCs w:val="22"/>
          <w:u w:val="single"/>
        </w:rPr>
        <w:t>Biotransformacija</w:t>
      </w:r>
    </w:p>
    <w:p w14:paraId="6E44B53A" w14:textId="77777777" w:rsidR="00CA08B3" w:rsidRPr="00FB2719" w:rsidRDefault="00CA08B3" w:rsidP="00CA08B3">
      <w:pPr>
        <w:tabs>
          <w:tab w:val="left" w:pos="567"/>
        </w:tabs>
        <w:rPr>
          <w:sz w:val="22"/>
          <w:szCs w:val="22"/>
        </w:rPr>
      </w:pPr>
      <w:r w:rsidRPr="00FB2719">
        <w:rPr>
          <w:sz w:val="22"/>
          <w:szCs w:val="22"/>
        </w:rPr>
        <w:t xml:space="preserve">Eksperimentai </w:t>
      </w:r>
      <w:r w:rsidRPr="00FB2719">
        <w:rPr>
          <w:i/>
          <w:sz w:val="22"/>
          <w:szCs w:val="22"/>
        </w:rPr>
        <w:t>in vitro</w:t>
      </w:r>
      <w:r w:rsidRPr="00FB2719">
        <w:rPr>
          <w:sz w:val="22"/>
          <w:szCs w:val="22"/>
        </w:rPr>
        <w:t xml:space="preserve"> su žmogaus kepenų mikrosomomis rodo, kad pirmiausiai lopinaviras metabolizuojamas oksidacijos būdu. Lopinavirą ekstensyviai metabolizuoja kepenų citochromo P450 sistema, beveik vien tik izofermentas CYP3A. Ritonaviras yra stiprus CYP3A inhibitorius, slopina lopinaviro metabolizmą, todėl didina lopinaviro koncentraciją plazmoje. </w:t>
      </w:r>
      <w:r w:rsidRPr="00FB2719">
        <w:rPr>
          <w:sz w:val="22"/>
          <w:szCs w:val="22"/>
          <w:vertAlign w:val="superscript"/>
        </w:rPr>
        <w:t>14</w:t>
      </w:r>
      <w:r w:rsidRPr="00FB2719">
        <w:rPr>
          <w:sz w:val="22"/>
          <w:szCs w:val="22"/>
        </w:rPr>
        <w:t>C- lopinaviro tyrimai žmonėms parodė, kad 89 % plazmos radioaktyvumo po vienkartinės lopinaviro / ritonaviro 400</w:t>
      </w:r>
      <w:r w:rsidR="001E5E80" w:rsidRPr="00FB2719">
        <w:rPr>
          <w:sz w:val="22"/>
          <w:szCs w:val="22"/>
        </w:rPr>
        <w:t> mg</w:t>
      </w:r>
      <w:r w:rsidRPr="00FB2719">
        <w:rPr>
          <w:sz w:val="22"/>
          <w:szCs w:val="22"/>
        </w:rPr>
        <w:t>/100</w:t>
      </w:r>
      <w:r w:rsidR="007708A2" w:rsidRPr="00FB2719">
        <w:rPr>
          <w:sz w:val="22"/>
          <w:szCs w:val="22"/>
        </w:rPr>
        <w:t> </w:t>
      </w:r>
      <w:r w:rsidRPr="00FB2719">
        <w:rPr>
          <w:sz w:val="22"/>
          <w:szCs w:val="22"/>
        </w:rPr>
        <w:t>mg derinio dozės sudarė pradinis aktyvus junginys. Žmogaus organizme nustatyta mažiausiai 13 lopinaviro oksidacinių metabolitų. Pagrindiniai yra 4-okso ir 4-hidroksimetabolitų epimerinės poros metabolitai, kuriems būdingas antivirusinis aktyvumas, tačiau jie sudaro labai mažą plazmos radioaktyvumo dalį. Nustatyta, kad ritonaviras indukuoja metabolizuojančius fermentus, kurie metabolizuoja jį patį, taip pat tikėtina, kad jis indukuoja ir lopinaviro metabolizmą. Nuo kartotinai vartojamų dozių, lopinaviro koncentracija prieš dozę ilgainiui mažėja ir stabilizuojasi maždaug per 10</w:t>
      </w:r>
      <w:r w:rsidR="007708A2" w:rsidRPr="00FB2719">
        <w:rPr>
          <w:sz w:val="22"/>
          <w:szCs w:val="22"/>
        </w:rPr>
        <w:t> </w:t>
      </w:r>
      <w:r w:rsidRPr="00FB2719">
        <w:rPr>
          <w:sz w:val="22"/>
          <w:szCs w:val="22"/>
        </w:rPr>
        <w:t>dienų - 2</w:t>
      </w:r>
      <w:r w:rsidR="007708A2" w:rsidRPr="00FB2719">
        <w:rPr>
          <w:sz w:val="22"/>
          <w:szCs w:val="22"/>
        </w:rPr>
        <w:t> </w:t>
      </w:r>
      <w:r w:rsidRPr="00FB2719">
        <w:rPr>
          <w:sz w:val="22"/>
          <w:szCs w:val="22"/>
        </w:rPr>
        <w:t>savaites.</w:t>
      </w:r>
    </w:p>
    <w:p w14:paraId="5CE9611D" w14:textId="77777777" w:rsidR="00CA08B3" w:rsidRPr="00FB2719" w:rsidRDefault="00CA08B3" w:rsidP="00CA08B3">
      <w:pPr>
        <w:tabs>
          <w:tab w:val="left" w:pos="567"/>
        </w:tabs>
        <w:rPr>
          <w:sz w:val="22"/>
          <w:szCs w:val="22"/>
        </w:rPr>
      </w:pPr>
    </w:p>
    <w:p w14:paraId="003F76DF" w14:textId="77777777" w:rsidR="0021404B" w:rsidRPr="00FB2719" w:rsidRDefault="00CA08B3" w:rsidP="00CA08B3">
      <w:pPr>
        <w:tabs>
          <w:tab w:val="left" w:pos="567"/>
        </w:tabs>
        <w:rPr>
          <w:sz w:val="22"/>
          <w:szCs w:val="22"/>
        </w:rPr>
      </w:pPr>
      <w:r w:rsidRPr="00FB2719">
        <w:rPr>
          <w:sz w:val="22"/>
          <w:szCs w:val="22"/>
          <w:u w:val="single"/>
        </w:rPr>
        <w:t>Eliminacija</w:t>
      </w:r>
    </w:p>
    <w:p w14:paraId="1DBFFA9E" w14:textId="77777777" w:rsidR="00CA08B3" w:rsidRPr="00FB2719" w:rsidRDefault="00CA08B3" w:rsidP="00CA08B3">
      <w:pPr>
        <w:tabs>
          <w:tab w:val="left" w:pos="567"/>
        </w:tabs>
        <w:rPr>
          <w:sz w:val="22"/>
          <w:szCs w:val="22"/>
        </w:rPr>
      </w:pPr>
      <w:r w:rsidRPr="00FB2719">
        <w:rPr>
          <w:sz w:val="22"/>
          <w:szCs w:val="22"/>
        </w:rPr>
        <w:t>Po 400</w:t>
      </w:r>
      <w:r w:rsidR="001E5E80" w:rsidRPr="00FB2719">
        <w:rPr>
          <w:sz w:val="22"/>
          <w:szCs w:val="22"/>
        </w:rPr>
        <w:t> mg</w:t>
      </w:r>
      <w:r w:rsidRPr="00FB2719">
        <w:rPr>
          <w:sz w:val="22"/>
          <w:szCs w:val="22"/>
        </w:rPr>
        <w:t>/100</w:t>
      </w:r>
      <w:r w:rsidR="007708A2" w:rsidRPr="00FB2719">
        <w:rPr>
          <w:sz w:val="22"/>
          <w:szCs w:val="22"/>
        </w:rPr>
        <w:t> </w:t>
      </w:r>
      <w:r w:rsidRPr="00FB2719">
        <w:rPr>
          <w:sz w:val="22"/>
          <w:szCs w:val="22"/>
        </w:rPr>
        <w:t xml:space="preserve">mg </w:t>
      </w:r>
      <w:r w:rsidRPr="00FB2719">
        <w:rPr>
          <w:sz w:val="22"/>
          <w:szCs w:val="22"/>
          <w:vertAlign w:val="superscript"/>
        </w:rPr>
        <w:t>14</w:t>
      </w:r>
      <w:r w:rsidRPr="00FB2719">
        <w:rPr>
          <w:sz w:val="22"/>
          <w:szCs w:val="22"/>
        </w:rPr>
        <w:t>C- lopinaviro / ritonaviro derinio dozės maždaug 10,4</w:t>
      </w:r>
      <w:r w:rsidR="007708A2" w:rsidRPr="00FB2719">
        <w:rPr>
          <w:sz w:val="22"/>
          <w:szCs w:val="22"/>
        </w:rPr>
        <w:t> </w:t>
      </w:r>
      <w:r w:rsidRPr="00FB2719">
        <w:rPr>
          <w:sz w:val="22"/>
          <w:szCs w:val="22"/>
        </w:rPr>
        <w:t>±</w:t>
      </w:r>
      <w:r w:rsidR="007708A2" w:rsidRPr="00FB2719">
        <w:rPr>
          <w:sz w:val="22"/>
          <w:szCs w:val="22"/>
        </w:rPr>
        <w:t> </w:t>
      </w:r>
      <w:r w:rsidRPr="00FB2719">
        <w:rPr>
          <w:sz w:val="22"/>
          <w:szCs w:val="22"/>
        </w:rPr>
        <w:t>2,3 % ir 82,6</w:t>
      </w:r>
      <w:r w:rsidR="007708A2" w:rsidRPr="00FB2719">
        <w:rPr>
          <w:sz w:val="22"/>
          <w:szCs w:val="22"/>
        </w:rPr>
        <w:t> </w:t>
      </w:r>
      <w:r w:rsidRPr="00FB2719">
        <w:rPr>
          <w:sz w:val="22"/>
          <w:szCs w:val="22"/>
        </w:rPr>
        <w:t>±</w:t>
      </w:r>
      <w:r w:rsidR="007708A2" w:rsidRPr="00FB2719">
        <w:rPr>
          <w:sz w:val="22"/>
          <w:szCs w:val="22"/>
        </w:rPr>
        <w:t> </w:t>
      </w:r>
      <w:r w:rsidRPr="00FB2719">
        <w:rPr>
          <w:sz w:val="22"/>
          <w:szCs w:val="22"/>
        </w:rPr>
        <w:t xml:space="preserve">2,5 % pavartotos </w:t>
      </w:r>
      <w:r w:rsidRPr="00FB2719">
        <w:rPr>
          <w:sz w:val="22"/>
          <w:szCs w:val="22"/>
          <w:vertAlign w:val="superscript"/>
        </w:rPr>
        <w:t>14</w:t>
      </w:r>
      <w:r w:rsidRPr="00FB2719">
        <w:rPr>
          <w:sz w:val="22"/>
          <w:szCs w:val="22"/>
        </w:rPr>
        <w:t xml:space="preserve">C- lopinaviro dozės aptinkama atitinkamai šlapime ir išmatose. Su šlapimu ir išmatomis išsiskiria atitinkamai 2,2 % ir 19,8 % pavartotos dozės nepakitusio lopinaviro pavidalu. Po kartotinių dozių mažiau kaip 3 % dozės nepakitusio lopinaviro pavidalu išsiskiria su šlapimu. Efektyvus </w:t>
      </w:r>
      <w:r w:rsidRPr="00FB2719">
        <w:rPr>
          <w:sz w:val="22"/>
          <w:szCs w:val="22"/>
        </w:rPr>
        <w:lastRenderedPageBreak/>
        <w:t>(didžiausias – mažiausias) lopinaviro pusinės eliminacijos periodas per 12</w:t>
      </w:r>
      <w:r w:rsidR="007708A2" w:rsidRPr="00FB2719">
        <w:rPr>
          <w:sz w:val="22"/>
          <w:szCs w:val="22"/>
        </w:rPr>
        <w:t> </w:t>
      </w:r>
      <w:r w:rsidRPr="00FB2719">
        <w:rPr>
          <w:sz w:val="22"/>
          <w:szCs w:val="22"/>
        </w:rPr>
        <w:t>val. dozavimo intervalą vidutiniškai yra 5-6</w:t>
      </w:r>
      <w:r w:rsidR="007708A2" w:rsidRPr="00FB2719">
        <w:rPr>
          <w:sz w:val="22"/>
          <w:szCs w:val="22"/>
        </w:rPr>
        <w:t> </w:t>
      </w:r>
      <w:r w:rsidRPr="00FB2719">
        <w:rPr>
          <w:sz w:val="22"/>
          <w:szCs w:val="22"/>
        </w:rPr>
        <w:t>val., o tariamasis geriamojo lopinaviro klirensas (CL/F) yra 6-7</w:t>
      </w:r>
      <w:r w:rsidR="007708A2" w:rsidRPr="00FB2719">
        <w:rPr>
          <w:sz w:val="22"/>
          <w:szCs w:val="22"/>
        </w:rPr>
        <w:t> </w:t>
      </w:r>
      <w:r w:rsidRPr="00FB2719">
        <w:rPr>
          <w:sz w:val="22"/>
          <w:szCs w:val="22"/>
        </w:rPr>
        <w:t>l/val.</w:t>
      </w:r>
    </w:p>
    <w:p w14:paraId="68FE3C50" w14:textId="77777777" w:rsidR="00CA08B3" w:rsidRPr="00FB2719" w:rsidRDefault="00CA08B3" w:rsidP="00CA08B3">
      <w:pPr>
        <w:tabs>
          <w:tab w:val="left" w:pos="567"/>
        </w:tabs>
        <w:rPr>
          <w:sz w:val="22"/>
          <w:szCs w:val="22"/>
        </w:rPr>
      </w:pPr>
    </w:p>
    <w:p w14:paraId="7C5CCB22" w14:textId="77777777" w:rsidR="0021404B" w:rsidRPr="00FB2719" w:rsidRDefault="00CA08B3" w:rsidP="00CA08B3">
      <w:pPr>
        <w:tabs>
          <w:tab w:val="left" w:pos="567"/>
        </w:tabs>
        <w:rPr>
          <w:i/>
          <w:sz w:val="22"/>
          <w:szCs w:val="22"/>
        </w:rPr>
      </w:pPr>
      <w:r w:rsidRPr="00FB2719">
        <w:rPr>
          <w:i/>
          <w:sz w:val="22"/>
          <w:szCs w:val="22"/>
        </w:rPr>
        <w:t>Skiriant vieną kartą per parą</w:t>
      </w:r>
    </w:p>
    <w:p w14:paraId="0EE9E425" w14:textId="77777777" w:rsidR="00CA08B3" w:rsidRPr="00FB2719" w:rsidRDefault="0021404B" w:rsidP="00CA08B3">
      <w:pPr>
        <w:tabs>
          <w:tab w:val="left" w:pos="567"/>
        </w:tabs>
        <w:rPr>
          <w:sz w:val="22"/>
          <w:szCs w:val="22"/>
        </w:rPr>
      </w:pPr>
      <w:r w:rsidRPr="00FB2719">
        <w:rPr>
          <w:sz w:val="22"/>
          <w:szCs w:val="22"/>
        </w:rPr>
        <w:t>B</w:t>
      </w:r>
      <w:r w:rsidR="00CA08B3" w:rsidRPr="00FB2719">
        <w:rPr>
          <w:sz w:val="22"/>
          <w:szCs w:val="22"/>
        </w:rPr>
        <w:t>uvo ištirta lopinaviro /ritonaviro derinio farmakokinetika skiriant jo ŽIV infekuotiems pacientams, kuriems iki šiol nebuvo taikytas antiretrovirusinis gydymas. Lopinaviro /ritonaviro derinio 800</w:t>
      </w:r>
      <w:r w:rsidR="001E5E80" w:rsidRPr="00FB2719">
        <w:rPr>
          <w:sz w:val="22"/>
          <w:szCs w:val="22"/>
        </w:rPr>
        <w:t> mg</w:t>
      </w:r>
      <w:r w:rsidR="00CA08B3" w:rsidRPr="00FB2719">
        <w:rPr>
          <w:sz w:val="22"/>
          <w:szCs w:val="22"/>
        </w:rPr>
        <w:t>/200</w:t>
      </w:r>
      <w:r w:rsidR="007708A2" w:rsidRPr="00FB2719">
        <w:rPr>
          <w:sz w:val="22"/>
          <w:szCs w:val="22"/>
        </w:rPr>
        <w:t> </w:t>
      </w:r>
      <w:r w:rsidR="00CA08B3" w:rsidRPr="00FB2719">
        <w:rPr>
          <w:sz w:val="22"/>
          <w:szCs w:val="22"/>
        </w:rPr>
        <w:t>mg buvo skirta kartu su 200</w:t>
      </w:r>
      <w:r w:rsidR="00A655EC" w:rsidRPr="00FB2719">
        <w:rPr>
          <w:sz w:val="22"/>
          <w:szCs w:val="22"/>
        </w:rPr>
        <w:t> </w:t>
      </w:r>
      <w:r w:rsidR="00CA08B3" w:rsidRPr="00FB2719">
        <w:rPr>
          <w:sz w:val="22"/>
          <w:szCs w:val="22"/>
        </w:rPr>
        <w:t>mg emtricitabino ir 300</w:t>
      </w:r>
      <w:r w:rsidR="00A655EC" w:rsidRPr="00FB2719">
        <w:rPr>
          <w:sz w:val="22"/>
          <w:szCs w:val="22"/>
        </w:rPr>
        <w:t> </w:t>
      </w:r>
      <w:r w:rsidR="00CA08B3" w:rsidRPr="00FB2719">
        <w:rPr>
          <w:sz w:val="22"/>
          <w:szCs w:val="22"/>
        </w:rPr>
        <w:t>mg tenofoviro DF, kaip dalis „vieną kartą per parą“ režimo. Daugkartinės lopinaviro / ritonaviro 800</w:t>
      </w:r>
      <w:r w:rsidR="001E5E80" w:rsidRPr="00FB2719">
        <w:rPr>
          <w:sz w:val="22"/>
          <w:szCs w:val="22"/>
        </w:rPr>
        <w:t> mg</w:t>
      </w:r>
      <w:r w:rsidR="00CA08B3" w:rsidRPr="00FB2719">
        <w:rPr>
          <w:sz w:val="22"/>
          <w:szCs w:val="22"/>
        </w:rPr>
        <w:t>/200</w:t>
      </w:r>
      <w:r w:rsidR="007708A2" w:rsidRPr="00FB2719">
        <w:rPr>
          <w:sz w:val="22"/>
          <w:szCs w:val="22"/>
        </w:rPr>
        <w:t> </w:t>
      </w:r>
      <w:r w:rsidR="00CA08B3" w:rsidRPr="00FB2719">
        <w:rPr>
          <w:sz w:val="22"/>
          <w:szCs w:val="22"/>
        </w:rPr>
        <w:t>mg derinio vieną kartą per parą dozės 2</w:t>
      </w:r>
      <w:r w:rsidR="007708A2" w:rsidRPr="00FB2719">
        <w:rPr>
          <w:sz w:val="22"/>
          <w:szCs w:val="22"/>
        </w:rPr>
        <w:t> </w:t>
      </w:r>
      <w:r w:rsidR="00CA08B3" w:rsidRPr="00FB2719">
        <w:rPr>
          <w:sz w:val="22"/>
          <w:szCs w:val="22"/>
        </w:rPr>
        <w:t>savaites vartojant ją be maisto (n=16) sąlygojo vidutinę ± SD lopinaviro maksimalią koncentraciją (C</w:t>
      </w:r>
      <w:r w:rsidR="00CA08B3" w:rsidRPr="00FB2719">
        <w:rPr>
          <w:sz w:val="22"/>
          <w:szCs w:val="22"/>
          <w:vertAlign w:val="subscript"/>
        </w:rPr>
        <w:t>max</w:t>
      </w:r>
      <w:r w:rsidR="00CA08B3" w:rsidRPr="00FB2719">
        <w:rPr>
          <w:sz w:val="22"/>
          <w:szCs w:val="22"/>
        </w:rPr>
        <w:t>) 14,8</w:t>
      </w:r>
      <w:r w:rsidR="007708A2" w:rsidRPr="00FB2719">
        <w:rPr>
          <w:sz w:val="22"/>
          <w:szCs w:val="22"/>
        </w:rPr>
        <w:t> </w:t>
      </w:r>
      <w:r w:rsidR="00CA08B3" w:rsidRPr="00FB2719">
        <w:rPr>
          <w:sz w:val="22"/>
          <w:szCs w:val="22"/>
        </w:rPr>
        <w:t>±</w:t>
      </w:r>
      <w:r w:rsidR="007708A2" w:rsidRPr="00FB2719">
        <w:rPr>
          <w:sz w:val="22"/>
          <w:szCs w:val="22"/>
        </w:rPr>
        <w:t> </w:t>
      </w:r>
      <w:r w:rsidR="00CA08B3" w:rsidRPr="00FB2719">
        <w:rPr>
          <w:sz w:val="22"/>
          <w:szCs w:val="22"/>
        </w:rPr>
        <w:t>3,5</w:t>
      </w:r>
      <w:r w:rsidR="007708A2" w:rsidRPr="00FB2719">
        <w:rPr>
          <w:sz w:val="22"/>
          <w:szCs w:val="22"/>
        </w:rPr>
        <w:t> </w:t>
      </w:r>
      <w:r w:rsidR="00CA08B3" w:rsidRPr="00FB2719">
        <w:rPr>
          <w:sz w:val="22"/>
          <w:szCs w:val="22"/>
        </w:rPr>
        <w:t>μg/ml, kuri pasiekiama maždaug po 6</w:t>
      </w:r>
      <w:r w:rsidR="007708A2" w:rsidRPr="00FB2719">
        <w:rPr>
          <w:sz w:val="22"/>
          <w:szCs w:val="22"/>
        </w:rPr>
        <w:t> </w:t>
      </w:r>
      <w:r w:rsidR="00CA08B3" w:rsidRPr="00FB2719">
        <w:rPr>
          <w:sz w:val="22"/>
          <w:szCs w:val="22"/>
        </w:rPr>
        <w:t>valandų išgėrus vaistinio preparato. Vidutinė pusiausvyrinė vaistinio preparato koncentracija prieš rytinę dozę buvo 5,5</w:t>
      </w:r>
      <w:r w:rsidR="00C34D73" w:rsidRPr="00FB2719">
        <w:rPr>
          <w:sz w:val="22"/>
          <w:szCs w:val="22"/>
        </w:rPr>
        <w:t> </w:t>
      </w:r>
      <w:r w:rsidR="00CA08B3" w:rsidRPr="00FB2719">
        <w:rPr>
          <w:sz w:val="22"/>
          <w:szCs w:val="22"/>
        </w:rPr>
        <w:t>±</w:t>
      </w:r>
      <w:r w:rsidR="00C34D73" w:rsidRPr="00FB2719">
        <w:rPr>
          <w:sz w:val="22"/>
          <w:szCs w:val="22"/>
        </w:rPr>
        <w:t> </w:t>
      </w:r>
      <w:r w:rsidR="00CA08B3" w:rsidRPr="00FB2719">
        <w:rPr>
          <w:sz w:val="22"/>
          <w:szCs w:val="22"/>
        </w:rPr>
        <w:t>5,4</w:t>
      </w:r>
      <w:r w:rsidR="00C34D73" w:rsidRPr="00FB2719">
        <w:rPr>
          <w:sz w:val="22"/>
          <w:szCs w:val="22"/>
        </w:rPr>
        <w:t> </w:t>
      </w:r>
      <w:r w:rsidR="00CA08B3" w:rsidRPr="00FB2719">
        <w:rPr>
          <w:sz w:val="22"/>
          <w:szCs w:val="22"/>
        </w:rPr>
        <w:t>μg/ml. Lopinaviro AUC per 24</w:t>
      </w:r>
      <w:r w:rsidR="00C34D73" w:rsidRPr="00FB2719">
        <w:rPr>
          <w:sz w:val="22"/>
          <w:szCs w:val="22"/>
        </w:rPr>
        <w:t> </w:t>
      </w:r>
      <w:r w:rsidR="00CA08B3" w:rsidRPr="00FB2719">
        <w:rPr>
          <w:sz w:val="22"/>
          <w:szCs w:val="22"/>
        </w:rPr>
        <w:t>valandų intervalą vidutiniškai buvo 206,5</w:t>
      </w:r>
      <w:r w:rsidR="00C34D73" w:rsidRPr="00FB2719">
        <w:rPr>
          <w:sz w:val="22"/>
          <w:szCs w:val="22"/>
        </w:rPr>
        <w:t> </w:t>
      </w:r>
      <w:r w:rsidR="00CA08B3" w:rsidRPr="00FB2719">
        <w:rPr>
          <w:sz w:val="22"/>
          <w:szCs w:val="22"/>
        </w:rPr>
        <w:t>±</w:t>
      </w:r>
      <w:r w:rsidR="00C34D73" w:rsidRPr="00FB2719">
        <w:rPr>
          <w:sz w:val="22"/>
          <w:szCs w:val="22"/>
        </w:rPr>
        <w:t> </w:t>
      </w:r>
      <w:r w:rsidR="00CA08B3" w:rsidRPr="00FB2719">
        <w:rPr>
          <w:sz w:val="22"/>
          <w:szCs w:val="22"/>
        </w:rPr>
        <w:t>89,7</w:t>
      </w:r>
      <w:r w:rsidR="00C34D73" w:rsidRPr="00FB2719">
        <w:rPr>
          <w:sz w:val="22"/>
          <w:szCs w:val="22"/>
        </w:rPr>
        <w:t> </w:t>
      </w:r>
      <w:r w:rsidR="00CA08B3" w:rsidRPr="00FB2719">
        <w:rPr>
          <w:sz w:val="22"/>
          <w:szCs w:val="22"/>
        </w:rPr>
        <w:t>μg</w:t>
      </w:r>
      <w:r w:rsidR="00C34D73" w:rsidRPr="00FB2719">
        <w:rPr>
          <w:sz w:val="22"/>
          <w:szCs w:val="22"/>
        </w:rPr>
        <w:t> </w:t>
      </w:r>
      <w:r w:rsidR="00CA08B3" w:rsidRPr="00FB2719">
        <w:rPr>
          <w:sz w:val="22"/>
          <w:szCs w:val="22"/>
        </w:rPr>
        <w:t>val./ml.</w:t>
      </w:r>
    </w:p>
    <w:p w14:paraId="3DE21E9B" w14:textId="77777777" w:rsidR="0021404B" w:rsidRPr="00FB2719" w:rsidRDefault="0021404B" w:rsidP="00CA08B3">
      <w:pPr>
        <w:tabs>
          <w:tab w:val="left" w:pos="567"/>
        </w:tabs>
        <w:rPr>
          <w:sz w:val="22"/>
          <w:szCs w:val="22"/>
        </w:rPr>
      </w:pPr>
    </w:p>
    <w:p w14:paraId="26BCFEDF" w14:textId="77777777" w:rsidR="00CA08B3" w:rsidRPr="00FB2719" w:rsidRDefault="00CA08B3" w:rsidP="00CA08B3">
      <w:pPr>
        <w:tabs>
          <w:tab w:val="left" w:pos="567"/>
        </w:tabs>
        <w:rPr>
          <w:sz w:val="22"/>
          <w:szCs w:val="22"/>
        </w:rPr>
      </w:pPr>
      <w:r w:rsidRPr="00FB2719">
        <w:rPr>
          <w:sz w:val="22"/>
          <w:szCs w:val="22"/>
        </w:rPr>
        <w:t>Lyginant su BID režimu, vaistinio preparato skyrimas kartą per parą buvo susijęs su C</w:t>
      </w:r>
      <w:r w:rsidRPr="00FB2719">
        <w:rPr>
          <w:sz w:val="22"/>
          <w:szCs w:val="22"/>
          <w:vertAlign w:val="subscript"/>
        </w:rPr>
        <w:t>min</w:t>
      </w:r>
      <w:r w:rsidRPr="00FB2719">
        <w:rPr>
          <w:sz w:val="22"/>
          <w:szCs w:val="22"/>
        </w:rPr>
        <w:t>/C</w:t>
      </w:r>
      <w:r w:rsidRPr="00FB2719">
        <w:rPr>
          <w:sz w:val="22"/>
          <w:szCs w:val="22"/>
          <w:vertAlign w:val="subscript"/>
        </w:rPr>
        <w:t>imtinai</w:t>
      </w:r>
      <w:r w:rsidRPr="00FB2719">
        <w:rPr>
          <w:sz w:val="22"/>
          <w:szCs w:val="22"/>
        </w:rPr>
        <w:t xml:space="preserve"> reikšmės sumažėjimu maždaug 50 %.</w:t>
      </w:r>
    </w:p>
    <w:p w14:paraId="3B8A6D54" w14:textId="77777777" w:rsidR="00CA08B3" w:rsidRPr="00FB2719" w:rsidRDefault="00CA08B3" w:rsidP="00CA08B3">
      <w:pPr>
        <w:tabs>
          <w:tab w:val="left" w:pos="567"/>
        </w:tabs>
        <w:rPr>
          <w:sz w:val="22"/>
          <w:szCs w:val="22"/>
        </w:rPr>
      </w:pPr>
    </w:p>
    <w:p w14:paraId="489111D2" w14:textId="77777777" w:rsidR="00CA08B3" w:rsidRPr="00FB2719" w:rsidRDefault="00CA08B3" w:rsidP="00CA08B3">
      <w:pPr>
        <w:tabs>
          <w:tab w:val="left" w:pos="567"/>
        </w:tabs>
        <w:rPr>
          <w:i/>
          <w:sz w:val="22"/>
          <w:szCs w:val="22"/>
          <w:u w:val="single"/>
        </w:rPr>
      </w:pPr>
      <w:r w:rsidRPr="00FB2719">
        <w:rPr>
          <w:i/>
          <w:sz w:val="22"/>
          <w:szCs w:val="22"/>
          <w:u w:val="single"/>
        </w:rPr>
        <w:t>Ypatingos populiacijos</w:t>
      </w:r>
    </w:p>
    <w:p w14:paraId="00658B1F" w14:textId="77777777" w:rsidR="0021404B" w:rsidRPr="00FB2719" w:rsidRDefault="0021404B" w:rsidP="00CA08B3">
      <w:pPr>
        <w:tabs>
          <w:tab w:val="left" w:pos="567"/>
        </w:tabs>
        <w:rPr>
          <w:i/>
          <w:sz w:val="22"/>
          <w:szCs w:val="22"/>
        </w:rPr>
      </w:pPr>
    </w:p>
    <w:p w14:paraId="5296D1F8" w14:textId="77777777" w:rsidR="00CA08B3" w:rsidRPr="00FB2719" w:rsidRDefault="00CA08B3" w:rsidP="00CA08B3">
      <w:pPr>
        <w:tabs>
          <w:tab w:val="left" w:pos="567"/>
        </w:tabs>
        <w:rPr>
          <w:i/>
          <w:sz w:val="22"/>
          <w:szCs w:val="22"/>
        </w:rPr>
      </w:pPr>
      <w:r w:rsidRPr="00FB2719">
        <w:rPr>
          <w:i/>
          <w:sz w:val="22"/>
          <w:szCs w:val="22"/>
        </w:rPr>
        <w:t>Vaikų populiacija</w:t>
      </w:r>
    </w:p>
    <w:p w14:paraId="7F01E94A" w14:textId="18EA7CBE" w:rsidR="00CA08B3" w:rsidRPr="00FB2719" w:rsidRDefault="00CA08B3" w:rsidP="00AD237C">
      <w:pPr>
        <w:autoSpaceDE w:val="0"/>
        <w:autoSpaceDN w:val="0"/>
        <w:adjustRightInd w:val="0"/>
        <w:rPr>
          <w:sz w:val="22"/>
          <w:szCs w:val="22"/>
        </w:rPr>
      </w:pPr>
      <w:r w:rsidRPr="00FB2719">
        <w:rPr>
          <w:sz w:val="22"/>
          <w:szCs w:val="22"/>
        </w:rPr>
        <w:t>Jaunesnių kaip 2</w:t>
      </w:r>
      <w:r w:rsidR="00C34D73" w:rsidRPr="00FB2719">
        <w:rPr>
          <w:sz w:val="22"/>
          <w:szCs w:val="22"/>
        </w:rPr>
        <w:t> </w:t>
      </w:r>
      <w:r w:rsidRPr="00FB2719">
        <w:rPr>
          <w:sz w:val="22"/>
          <w:szCs w:val="22"/>
        </w:rPr>
        <w:t xml:space="preserve">metų vaikų farmakokinetikos duomenų yra mažai. </w:t>
      </w:r>
      <w:r w:rsidR="0021404B" w:rsidRPr="00FB2719">
        <w:rPr>
          <w:sz w:val="22"/>
          <w:szCs w:val="22"/>
        </w:rPr>
        <w:t>Tirta tik 53</w:t>
      </w:r>
      <w:r w:rsidR="00C34D73" w:rsidRPr="00FB2719">
        <w:rPr>
          <w:sz w:val="22"/>
          <w:szCs w:val="22"/>
        </w:rPr>
        <w:t> </w:t>
      </w:r>
      <w:r w:rsidR="0021404B" w:rsidRPr="00FB2719">
        <w:rPr>
          <w:sz w:val="22"/>
          <w:szCs w:val="22"/>
        </w:rPr>
        <w:t>vaik</w:t>
      </w:r>
      <w:r w:rsidR="0058744C" w:rsidRPr="00FB2719">
        <w:rPr>
          <w:sz w:val="22"/>
          <w:szCs w:val="22"/>
        </w:rPr>
        <w:t>ų nuo 6 mėnesių iki 12 metų</w:t>
      </w:r>
      <w:r w:rsidR="0021404B" w:rsidRPr="00FB2719">
        <w:rPr>
          <w:sz w:val="22"/>
          <w:szCs w:val="22"/>
        </w:rPr>
        <w:t xml:space="preserve"> lopinaviro /</w:t>
      </w:r>
      <w:r w:rsidR="00A655EC" w:rsidRPr="00FB2719">
        <w:rPr>
          <w:sz w:val="22"/>
          <w:szCs w:val="22"/>
        </w:rPr>
        <w:t xml:space="preserve"> </w:t>
      </w:r>
      <w:r w:rsidR="0021404B" w:rsidRPr="00FB2719">
        <w:rPr>
          <w:sz w:val="22"/>
          <w:szCs w:val="22"/>
        </w:rPr>
        <w:t>ritonaviro derinio geriamojo tirpalo 300</w:t>
      </w:r>
      <w:r w:rsidR="001E5E80" w:rsidRPr="00FB2719">
        <w:rPr>
          <w:sz w:val="22"/>
          <w:szCs w:val="22"/>
        </w:rPr>
        <w:t> mg</w:t>
      </w:r>
      <w:r w:rsidR="0021404B" w:rsidRPr="00FB2719">
        <w:rPr>
          <w:sz w:val="22"/>
          <w:szCs w:val="22"/>
        </w:rPr>
        <w:t>/75</w:t>
      </w:r>
      <w:r w:rsidR="005B415B" w:rsidRPr="00FB2719">
        <w:rPr>
          <w:sz w:val="22"/>
          <w:szCs w:val="22"/>
        </w:rPr>
        <w:t> </w:t>
      </w:r>
      <w:r w:rsidR="0021404B" w:rsidRPr="00FB2719">
        <w:rPr>
          <w:sz w:val="22"/>
          <w:szCs w:val="22"/>
        </w:rPr>
        <w:t>mg/m² du kartus per parą ir 230</w:t>
      </w:r>
      <w:r w:rsidR="001E5E80" w:rsidRPr="00FB2719">
        <w:rPr>
          <w:sz w:val="22"/>
          <w:szCs w:val="22"/>
        </w:rPr>
        <w:t> mg</w:t>
      </w:r>
      <w:r w:rsidR="0021404B" w:rsidRPr="00FB2719">
        <w:rPr>
          <w:sz w:val="22"/>
          <w:szCs w:val="22"/>
        </w:rPr>
        <w:t>/57,5</w:t>
      </w:r>
      <w:r w:rsidR="005B415B" w:rsidRPr="00FB2719">
        <w:rPr>
          <w:sz w:val="22"/>
          <w:szCs w:val="22"/>
        </w:rPr>
        <w:t> </w:t>
      </w:r>
      <w:r w:rsidR="0021404B" w:rsidRPr="00FB2719">
        <w:rPr>
          <w:sz w:val="22"/>
          <w:szCs w:val="22"/>
        </w:rPr>
        <w:t>mg/m², skiriamo du kartus per par</w:t>
      </w:r>
      <w:r w:rsidR="005B415B" w:rsidRPr="00FB2719">
        <w:rPr>
          <w:sz w:val="22"/>
          <w:szCs w:val="22"/>
        </w:rPr>
        <w:t>ą</w:t>
      </w:r>
      <w:r w:rsidR="0021404B" w:rsidRPr="00FB2719">
        <w:rPr>
          <w:sz w:val="22"/>
          <w:szCs w:val="22"/>
        </w:rPr>
        <w:t xml:space="preserve">, farmakokinetika. </w:t>
      </w:r>
      <w:r w:rsidR="000B09F0" w:rsidRPr="00FB2719">
        <w:rPr>
          <w:sz w:val="22"/>
          <w:szCs w:val="22"/>
        </w:rPr>
        <w:t>Esant pastoviai koncentracijai, lopinaviro AUC, C</w:t>
      </w:r>
      <w:r w:rsidR="000B09F0" w:rsidRPr="00FB2719">
        <w:rPr>
          <w:sz w:val="22"/>
          <w:szCs w:val="22"/>
          <w:vertAlign w:val="subscript"/>
        </w:rPr>
        <w:t>max</w:t>
      </w:r>
      <w:r w:rsidR="000B09F0" w:rsidRPr="00FB2719">
        <w:rPr>
          <w:sz w:val="22"/>
          <w:szCs w:val="22"/>
        </w:rPr>
        <w:t xml:space="preserve"> ir C</w:t>
      </w:r>
      <w:r w:rsidR="000B09F0" w:rsidRPr="00FB2719">
        <w:rPr>
          <w:sz w:val="22"/>
          <w:szCs w:val="22"/>
          <w:vertAlign w:val="subscript"/>
        </w:rPr>
        <w:t>min</w:t>
      </w:r>
      <w:r w:rsidR="000B09F0" w:rsidRPr="00FB2719">
        <w:rPr>
          <w:sz w:val="22"/>
          <w:szCs w:val="22"/>
        </w:rPr>
        <w:t xml:space="preserve"> buvo atitinkamai 72,6 </w:t>
      </w:r>
      <w:r w:rsidR="000B09F0" w:rsidRPr="00FB2719">
        <w:rPr>
          <w:rFonts w:hint="eastAsia"/>
          <w:sz w:val="22"/>
          <w:szCs w:val="22"/>
        </w:rPr>
        <w:t>±</w:t>
      </w:r>
      <w:r w:rsidR="000B09F0" w:rsidRPr="00FB2719">
        <w:rPr>
          <w:sz w:val="22"/>
          <w:szCs w:val="22"/>
        </w:rPr>
        <w:t> 31,1 </w:t>
      </w:r>
      <w:r w:rsidR="000B09F0" w:rsidRPr="00FB2719">
        <w:rPr>
          <w:rFonts w:hint="eastAsia"/>
          <w:sz w:val="22"/>
          <w:szCs w:val="22"/>
        </w:rPr>
        <w:t>μ</w:t>
      </w:r>
      <w:r w:rsidR="000B09F0" w:rsidRPr="00FB2719">
        <w:rPr>
          <w:sz w:val="22"/>
          <w:szCs w:val="22"/>
        </w:rPr>
        <w:t>g</w:t>
      </w:r>
      <w:r w:rsidR="000B09F0" w:rsidRPr="00FB2719">
        <w:rPr>
          <w:rFonts w:hint="eastAsia"/>
          <w:sz w:val="22"/>
          <w:szCs w:val="22"/>
        </w:rPr>
        <w:t>•</w:t>
      </w:r>
      <w:r w:rsidR="000B09F0" w:rsidRPr="00FB2719">
        <w:rPr>
          <w:sz w:val="22"/>
          <w:szCs w:val="22"/>
        </w:rPr>
        <w:t>val./ml, 8,2 </w:t>
      </w:r>
      <w:r w:rsidR="000B09F0" w:rsidRPr="00FB2719">
        <w:rPr>
          <w:rFonts w:hint="eastAsia"/>
          <w:sz w:val="22"/>
          <w:szCs w:val="22"/>
        </w:rPr>
        <w:t>±</w:t>
      </w:r>
      <w:r w:rsidR="000B09F0" w:rsidRPr="00FB2719">
        <w:rPr>
          <w:sz w:val="22"/>
          <w:szCs w:val="22"/>
        </w:rPr>
        <w:t> 2,9 </w:t>
      </w:r>
      <w:r w:rsidR="000B09F0" w:rsidRPr="00FB2719">
        <w:rPr>
          <w:rFonts w:hint="eastAsia"/>
          <w:sz w:val="22"/>
          <w:szCs w:val="22"/>
        </w:rPr>
        <w:t>μ</w:t>
      </w:r>
      <w:r w:rsidR="000B09F0" w:rsidRPr="00FB2719">
        <w:rPr>
          <w:sz w:val="22"/>
          <w:szCs w:val="22"/>
        </w:rPr>
        <w:t>g/ml ir 3,4 </w:t>
      </w:r>
      <w:r w:rsidR="000B09F0" w:rsidRPr="00FB2719">
        <w:rPr>
          <w:rFonts w:hint="eastAsia"/>
          <w:sz w:val="22"/>
          <w:szCs w:val="22"/>
        </w:rPr>
        <w:t>±</w:t>
      </w:r>
      <w:r w:rsidR="000B09F0" w:rsidRPr="00FB2719">
        <w:rPr>
          <w:sz w:val="22"/>
          <w:szCs w:val="22"/>
        </w:rPr>
        <w:t> 2,1</w:t>
      </w:r>
      <w:r w:rsidR="000B09F0" w:rsidRPr="00FB2719">
        <w:t> </w:t>
      </w:r>
      <w:r w:rsidR="000B09F0" w:rsidRPr="00FB2719">
        <w:rPr>
          <w:rFonts w:hint="eastAsia"/>
          <w:sz w:val="22"/>
          <w:szCs w:val="22"/>
        </w:rPr>
        <w:t>μ</w:t>
      </w:r>
      <w:r w:rsidR="000B09F0" w:rsidRPr="00FB2719">
        <w:rPr>
          <w:sz w:val="22"/>
          <w:szCs w:val="22"/>
        </w:rPr>
        <w:t>g/ml po lopinaviro / ritonaviro derinio geriamojo tirpalo 230 mg/57,5 mg/m² du kartus per parą be nevirapino (n=12) bei atitinkamai 85,8 </w:t>
      </w:r>
      <w:r w:rsidR="000B09F0" w:rsidRPr="00FB2719">
        <w:rPr>
          <w:rFonts w:hint="eastAsia"/>
          <w:sz w:val="22"/>
          <w:szCs w:val="22"/>
        </w:rPr>
        <w:t>±</w:t>
      </w:r>
      <w:r w:rsidR="000B09F0" w:rsidRPr="00FB2719">
        <w:rPr>
          <w:sz w:val="22"/>
          <w:szCs w:val="22"/>
        </w:rPr>
        <w:t> 36,9 </w:t>
      </w:r>
      <w:r w:rsidR="000B09F0" w:rsidRPr="00FB2719">
        <w:rPr>
          <w:rFonts w:hint="eastAsia"/>
          <w:sz w:val="22"/>
          <w:szCs w:val="22"/>
        </w:rPr>
        <w:t>μ</w:t>
      </w:r>
      <w:r w:rsidR="000B09F0" w:rsidRPr="00FB2719">
        <w:rPr>
          <w:sz w:val="22"/>
          <w:szCs w:val="22"/>
        </w:rPr>
        <w:t>g</w:t>
      </w:r>
      <w:r w:rsidR="000B09F0" w:rsidRPr="00FB2719">
        <w:rPr>
          <w:rFonts w:hint="eastAsia"/>
          <w:sz w:val="22"/>
          <w:szCs w:val="22"/>
        </w:rPr>
        <w:t>•</w:t>
      </w:r>
      <w:r w:rsidR="000B09F0" w:rsidRPr="00FB2719">
        <w:rPr>
          <w:sz w:val="22"/>
          <w:szCs w:val="22"/>
        </w:rPr>
        <w:t>val/ml, 10,0 </w:t>
      </w:r>
      <w:r w:rsidR="000B09F0" w:rsidRPr="00FB2719">
        <w:rPr>
          <w:rFonts w:hint="eastAsia"/>
          <w:sz w:val="22"/>
          <w:szCs w:val="22"/>
        </w:rPr>
        <w:t>±</w:t>
      </w:r>
      <w:r w:rsidR="000B09F0" w:rsidRPr="00FB2719">
        <w:rPr>
          <w:sz w:val="22"/>
          <w:szCs w:val="22"/>
        </w:rPr>
        <w:t> 3,3 </w:t>
      </w:r>
      <w:r w:rsidR="000B09F0" w:rsidRPr="00FB2719">
        <w:rPr>
          <w:rFonts w:hint="eastAsia"/>
          <w:sz w:val="22"/>
          <w:szCs w:val="22"/>
        </w:rPr>
        <w:t>μ</w:t>
      </w:r>
      <w:r w:rsidR="000B09F0" w:rsidRPr="00FB2719">
        <w:rPr>
          <w:sz w:val="22"/>
          <w:szCs w:val="22"/>
        </w:rPr>
        <w:t>g/ml ir 3,6 </w:t>
      </w:r>
      <w:r w:rsidR="000B09F0" w:rsidRPr="00FB2719">
        <w:rPr>
          <w:rFonts w:hint="eastAsia"/>
          <w:sz w:val="22"/>
          <w:szCs w:val="22"/>
        </w:rPr>
        <w:t>±</w:t>
      </w:r>
      <w:r w:rsidR="000B09F0" w:rsidRPr="00FB2719">
        <w:rPr>
          <w:sz w:val="22"/>
          <w:szCs w:val="22"/>
        </w:rPr>
        <w:t> 3,5 </w:t>
      </w:r>
      <w:r w:rsidR="000B09F0" w:rsidRPr="00FB2719">
        <w:rPr>
          <w:rFonts w:hint="eastAsia"/>
          <w:sz w:val="22"/>
          <w:szCs w:val="22"/>
        </w:rPr>
        <w:t>μ</w:t>
      </w:r>
      <w:r w:rsidR="000B09F0" w:rsidRPr="00FB2719">
        <w:rPr>
          <w:sz w:val="22"/>
          <w:szCs w:val="22"/>
        </w:rPr>
        <w:t xml:space="preserve">g/ml po 300 mg/75 mg/m² du kartus per parą su nevirapinu (n=12). </w:t>
      </w:r>
      <w:r w:rsidR="0058744C" w:rsidRPr="00FB2719">
        <w:rPr>
          <w:sz w:val="22"/>
          <w:szCs w:val="22"/>
        </w:rPr>
        <w:t>Vartojant 230</w:t>
      </w:r>
      <w:r w:rsidR="001E5E80" w:rsidRPr="00FB2719">
        <w:rPr>
          <w:sz w:val="22"/>
          <w:szCs w:val="22"/>
        </w:rPr>
        <w:t> mg</w:t>
      </w:r>
      <w:r w:rsidR="0058744C" w:rsidRPr="00FB2719">
        <w:rPr>
          <w:sz w:val="22"/>
          <w:szCs w:val="22"/>
        </w:rPr>
        <w:t>/57,5 mg/m</w:t>
      </w:r>
      <w:r w:rsidR="0058744C" w:rsidRPr="00FB2719">
        <w:rPr>
          <w:sz w:val="22"/>
          <w:szCs w:val="22"/>
          <w:vertAlign w:val="superscript"/>
        </w:rPr>
        <w:t>2</w:t>
      </w:r>
      <w:r w:rsidR="0058744C" w:rsidRPr="00FB2719">
        <w:rPr>
          <w:sz w:val="22"/>
          <w:szCs w:val="22"/>
        </w:rPr>
        <w:t xml:space="preserve"> du kartus per parą be nevirapino ir 300</w:t>
      </w:r>
      <w:r w:rsidR="001E5E80" w:rsidRPr="00FB2719">
        <w:rPr>
          <w:sz w:val="22"/>
          <w:szCs w:val="22"/>
        </w:rPr>
        <w:t> mg</w:t>
      </w:r>
      <w:r w:rsidR="0058744C" w:rsidRPr="00FB2719">
        <w:rPr>
          <w:sz w:val="22"/>
          <w:szCs w:val="22"/>
        </w:rPr>
        <w:t>/75 mg/m</w:t>
      </w:r>
      <w:r w:rsidR="0058744C" w:rsidRPr="00FB2719">
        <w:rPr>
          <w:sz w:val="22"/>
          <w:szCs w:val="22"/>
          <w:vertAlign w:val="superscript"/>
        </w:rPr>
        <w:t>2</w:t>
      </w:r>
      <w:r w:rsidR="0058744C" w:rsidRPr="00FB2719">
        <w:rPr>
          <w:sz w:val="22"/>
          <w:szCs w:val="22"/>
        </w:rPr>
        <w:t xml:space="preserve"> du kartus per parą su nevirapinu, plazmoje susidarė lopinaviro koncentracija, panaši į koncentraciją, nustatytą suaugusiesiems, gaunantiems 400</w:t>
      </w:r>
      <w:r w:rsidR="001E5E80" w:rsidRPr="00FB2719">
        <w:rPr>
          <w:sz w:val="22"/>
          <w:szCs w:val="22"/>
        </w:rPr>
        <w:t> mg</w:t>
      </w:r>
      <w:r w:rsidR="0058744C" w:rsidRPr="00FB2719">
        <w:rPr>
          <w:sz w:val="22"/>
          <w:szCs w:val="22"/>
        </w:rPr>
        <w:t>/100 mg du kartus per parą be nevirapino.</w:t>
      </w:r>
    </w:p>
    <w:p w14:paraId="075FAE14" w14:textId="77777777" w:rsidR="00CA08B3" w:rsidRPr="00FB2719" w:rsidRDefault="00CA08B3" w:rsidP="00CA08B3">
      <w:pPr>
        <w:tabs>
          <w:tab w:val="left" w:pos="567"/>
        </w:tabs>
        <w:rPr>
          <w:sz w:val="22"/>
          <w:szCs w:val="22"/>
        </w:rPr>
      </w:pPr>
    </w:p>
    <w:p w14:paraId="7CA5E1D8" w14:textId="77777777" w:rsidR="00CA08B3" w:rsidRPr="00FB2719" w:rsidRDefault="00CA08B3" w:rsidP="00CA08B3">
      <w:pPr>
        <w:tabs>
          <w:tab w:val="left" w:pos="567"/>
        </w:tabs>
        <w:rPr>
          <w:i/>
          <w:sz w:val="22"/>
          <w:szCs w:val="22"/>
        </w:rPr>
      </w:pPr>
      <w:r w:rsidRPr="00FB2719">
        <w:rPr>
          <w:i/>
          <w:sz w:val="22"/>
          <w:szCs w:val="22"/>
        </w:rPr>
        <w:t>Lytis, rasė ir amžius</w:t>
      </w:r>
    </w:p>
    <w:p w14:paraId="02D61E99" w14:textId="77777777" w:rsidR="00CA08B3" w:rsidRPr="00FB2719" w:rsidRDefault="00CA08B3" w:rsidP="00CA08B3">
      <w:pPr>
        <w:tabs>
          <w:tab w:val="left" w:pos="567"/>
        </w:tabs>
        <w:rPr>
          <w:sz w:val="22"/>
          <w:szCs w:val="22"/>
        </w:rPr>
      </w:pPr>
      <w:r w:rsidRPr="00FB2719">
        <w:rPr>
          <w:sz w:val="22"/>
          <w:szCs w:val="22"/>
        </w:rPr>
        <w:t xml:space="preserve">Senyvo amžiaus asmenims lopinaviro / ritonaviro derinio farmakokinetika netirta. </w:t>
      </w:r>
    </w:p>
    <w:p w14:paraId="6B608243" w14:textId="77777777" w:rsidR="00CA08B3" w:rsidRPr="00FB2719" w:rsidRDefault="00CA08B3" w:rsidP="00CA08B3">
      <w:pPr>
        <w:tabs>
          <w:tab w:val="left" w:pos="567"/>
        </w:tabs>
        <w:rPr>
          <w:sz w:val="22"/>
          <w:szCs w:val="22"/>
        </w:rPr>
      </w:pPr>
      <w:r w:rsidRPr="00FB2719">
        <w:rPr>
          <w:sz w:val="22"/>
          <w:szCs w:val="22"/>
        </w:rPr>
        <w:t>Suaugusiems pacientams nuo amžiaus ar lyties priklausomų farmakokinetikos skirtumų nepastebėta. Farmakokinetikos skirtumų dėl rasės nenustatyta.</w:t>
      </w:r>
    </w:p>
    <w:p w14:paraId="70722466" w14:textId="77777777" w:rsidR="00CA08B3" w:rsidRPr="00FB2719" w:rsidRDefault="00CA08B3" w:rsidP="00CA08B3">
      <w:pPr>
        <w:tabs>
          <w:tab w:val="left" w:pos="567"/>
        </w:tabs>
        <w:rPr>
          <w:sz w:val="22"/>
          <w:szCs w:val="22"/>
        </w:rPr>
      </w:pPr>
    </w:p>
    <w:p w14:paraId="65EB48BA" w14:textId="77777777" w:rsidR="00CA08B3" w:rsidRPr="00FB2719" w:rsidRDefault="00CA08B3" w:rsidP="00CA08B3">
      <w:pPr>
        <w:tabs>
          <w:tab w:val="left" w:pos="567"/>
        </w:tabs>
        <w:rPr>
          <w:i/>
          <w:sz w:val="22"/>
          <w:szCs w:val="22"/>
        </w:rPr>
      </w:pPr>
      <w:r w:rsidRPr="00FB2719">
        <w:rPr>
          <w:i/>
          <w:sz w:val="22"/>
          <w:szCs w:val="22"/>
        </w:rPr>
        <w:t>Nėštumas ir pogimdyminis laikotarpis</w:t>
      </w:r>
    </w:p>
    <w:p w14:paraId="0E51E229" w14:textId="77777777" w:rsidR="00CA08B3" w:rsidRPr="00FB2719" w:rsidRDefault="00CA08B3" w:rsidP="00CA08B3">
      <w:pPr>
        <w:tabs>
          <w:tab w:val="left" w:pos="567"/>
        </w:tabs>
        <w:rPr>
          <w:sz w:val="22"/>
          <w:szCs w:val="22"/>
        </w:rPr>
      </w:pPr>
      <w:r w:rsidRPr="00FB2719">
        <w:rPr>
          <w:sz w:val="22"/>
          <w:szCs w:val="22"/>
        </w:rPr>
        <w:t>Atviro farmakokinetikos tyrimo metu kombinuotas antiretrovirusinis gydymas buvo taikytas 12 ŽIV infekuotų nėščių moterų, kurių nėštumas buvo mažesnis kaip 20 nėštumo savaičių. Iš pradžių, iki 30 nėštumo savaitės, joms buvo taikytas antiretrovirusinis gydymas lopinaviro / ritonaviro 400</w:t>
      </w:r>
      <w:r w:rsidR="005B415B" w:rsidRPr="00FB2719">
        <w:rPr>
          <w:sz w:val="22"/>
          <w:szCs w:val="22"/>
        </w:rPr>
        <w:t> </w:t>
      </w:r>
      <w:r w:rsidRPr="00FB2719">
        <w:rPr>
          <w:sz w:val="22"/>
          <w:szCs w:val="22"/>
        </w:rPr>
        <w:t>mg/100</w:t>
      </w:r>
      <w:r w:rsidR="005B415B" w:rsidRPr="00FB2719">
        <w:rPr>
          <w:sz w:val="22"/>
          <w:szCs w:val="22"/>
        </w:rPr>
        <w:t> </w:t>
      </w:r>
      <w:r w:rsidRPr="00FB2719">
        <w:rPr>
          <w:sz w:val="22"/>
          <w:szCs w:val="22"/>
        </w:rPr>
        <w:t>mg deriniu (dvi tabletės po 200</w:t>
      </w:r>
      <w:r w:rsidR="001E5E80" w:rsidRPr="00FB2719">
        <w:rPr>
          <w:sz w:val="22"/>
          <w:szCs w:val="22"/>
        </w:rPr>
        <w:t> mg</w:t>
      </w:r>
      <w:r w:rsidRPr="00FB2719">
        <w:rPr>
          <w:sz w:val="22"/>
          <w:szCs w:val="22"/>
        </w:rPr>
        <w:t>/50</w:t>
      </w:r>
      <w:r w:rsidR="005B415B" w:rsidRPr="00FB2719">
        <w:rPr>
          <w:sz w:val="22"/>
          <w:szCs w:val="22"/>
        </w:rPr>
        <w:t> </w:t>
      </w:r>
      <w:r w:rsidRPr="00FB2719">
        <w:rPr>
          <w:sz w:val="22"/>
          <w:szCs w:val="22"/>
        </w:rPr>
        <w:t>mg) du kartus per parą kasdien. Kai nėštumas tapo 30</w:t>
      </w:r>
      <w:r w:rsidR="005B415B" w:rsidRPr="00FB2719">
        <w:rPr>
          <w:sz w:val="22"/>
          <w:szCs w:val="22"/>
        </w:rPr>
        <w:t> </w:t>
      </w:r>
      <w:r w:rsidRPr="00FB2719">
        <w:rPr>
          <w:sz w:val="22"/>
          <w:szCs w:val="22"/>
        </w:rPr>
        <w:t>savaičių, dozė buvo padidinta iki 500</w:t>
      </w:r>
      <w:r w:rsidR="001E5E80" w:rsidRPr="00FB2719">
        <w:rPr>
          <w:sz w:val="22"/>
          <w:szCs w:val="22"/>
        </w:rPr>
        <w:t xml:space="preserve"> mg</w:t>
      </w:r>
      <w:r w:rsidRPr="00FB2719">
        <w:rPr>
          <w:sz w:val="22"/>
          <w:szCs w:val="22"/>
        </w:rPr>
        <w:t>/125</w:t>
      </w:r>
      <w:r w:rsidR="005B415B" w:rsidRPr="00FB2719">
        <w:rPr>
          <w:sz w:val="22"/>
          <w:szCs w:val="22"/>
        </w:rPr>
        <w:t> </w:t>
      </w:r>
      <w:r w:rsidRPr="00FB2719">
        <w:rPr>
          <w:sz w:val="22"/>
          <w:szCs w:val="22"/>
        </w:rPr>
        <w:t>mg (dvi 200/50</w:t>
      </w:r>
      <w:r w:rsidR="005B415B" w:rsidRPr="00FB2719">
        <w:rPr>
          <w:sz w:val="22"/>
          <w:szCs w:val="22"/>
        </w:rPr>
        <w:t> </w:t>
      </w:r>
      <w:r w:rsidRPr="00FB2719">
        <w:rPr>
          <w:sz w:val="22"/>
          <w:szCs w:val="22"/>
        </w:rPr>
        <w:t>mg tabletės ir viena 100</w:t>
      </w:r>
      <w:r w:rsidR="001E5E80" w:rsidRPr="00FB2719">
        <w:rPr>
          <w:sz w:val="22"/>
          <w:szCs w:val="22"/>
        </w:rPr>
        <w:t> mg</w:t>
      </w:r>
      <w:r w:rsidRPr="00FB2719">
        <w:rPr>
          <w:sz w:val="22"/>
          <w:szCs w:val="22"/>
        </w:rPr>
        <w:t>/25</w:t>
      </w:r>
      <w:r w:rsidR="005B415B" w:rsidRPr="00FB2719">
        <w:rPr>
          <w:sz w:val="22"/>
          <w:szCs w:val="22"/>
        </w:rPr>
        <w:t> </w:t>
      </w:r>
      <w:r w:rsidRPr="00FB2719">
        <w:rPr>
          <w:sz w:val="22"/>
          <w:szCs w:val="22"/>
        </w:rPr>
        <w:t>mg tabletė) du kartus per parą kasdien, kol praėjo 2 savaitės po gimdymo. Lopinaviro koncentracija kraujo plazmoje buvo vertinama keturis 12</w:t>
      </w:r>
      <w:r w:rsidR="005B415B" w:rsidRPr="00FB2719">
        <w:rPr>
          <w:sz w:val="22"/>
          <w:szCs w:val="22"/>
        </w:rPr>
        <w:t> </w:t>
      </w:r>
      <w:r w:rsidRPr="00FB2719">
        <w:rPr>
          <w:sz w:val="22"/>
          <w:szCs w:val="22"/>
        </w:rPr>
        <w:t>valandų trukmės laikotarpius antrojo trimestro metu (20–24</w:t>
      </w:r>
      <w:r w:rsidR="005B415B" w:rsidRPr="00FB2719">
        <w:rPr>
          <w:sz w:val="22"/>
          <w:szCs w:val="22"/>
        </w:rPr>
        <w:t> </w:t>
      </w:r>
      <w:r w:rsidRPr="00FB2719">
        <w:rPr>
          <w:sz w:val="22"/>
          <w:szCs w:val="22"/>
        </w:rPr>
        <w:t>nėštumo savaitę), trečiąjį trimestrą prieš dozės padidinimą (30</w:t>
      </w:r>
      <w:r w:rsidR="005B415B" w:rsidRPr="00FB2719">
        <w:rPr>
          <w:sz w:val="22"/>
          <w:szCs w:val="22"/>
        </w:rPr>
        <w:t> </w:t>
      </w:r>
      <w:r w:rsidRPr="00FB2719">
        <w:rPr>
          <w:sz w:val="22"/>
          <w:szCs w:val="22"/>
        </w:rPr>
        <w:t>nėštumo savaitę), trečiąjį trimestrą po dozės padidinimo (32</w:t>
      </w:r>
      <w:r w:rsidR="005B415B" w:rsidRPr="00FB2719">
        <w:rPr>
          <w:sz w:val="22"/>
          <w:szCs w:val="22"/>
        </w:rPr>
        <w:t> </w:t>
      </w:r>
      <w:r w:rsidRPr="00FB2719">
        <w:rPr>
          <w:sz w:val="22"/>
          <w:szCs w:val="22"/>
        </w:rPr>
        <w:t>nėštumo savaitę) ir praėjus 8</w:t>
      </w:r>
      <w:r w:rsidR="005B415B" w:rsidRPr="00FB2719">
        <w:t> </w:t>
      </w:r>
      <w:r w:rsidRPr="00FB2719">
        <w:rPr>
          <w:sz w:val="22"/>
          <w:szCs w:val="22"/>
        </w:rPr>
        <w:t>savaitėms po gimdymo. Dozės padidinimas nesukėlė reikšmingo lopinaviro koncentracijos padidėjimo kraujo plazmoje.</w:t>
      </w:r>
    </w:p>
    <w:p w14:paraId="765E0985" w14:textId="77777777" w:rsidR="00CA08B3" w:rsidRPr="00FB2719" w:rsidRDefault="00CA08B3" w:rsidP="00CA08B3">
      <w:pPr>
        <w:tabs>
          <w:tab w:val="left" w:pos="567"/>
        </w:tabs>
        <w:rPr>
          <w:sz w:val="22"/>
          <w:szCs w:val="22"/>
        </w:rPr>
      </w:pPr>
    </w:p>
    <w:p w14:paraId="10A0303A" w14:textId="77777777" w:rsidR="00CA08B3" w:rsidRPr="00FB2719" w:rsidRDefault="00CA08B3" w:rsidP="00CA08B3">
      <w:pPr>
        <w:tabs>
          <w:tab w:val="left" w:pos="567"/>
        </w:tabs>
        <w:rPr>
          <w:sz w:val="22"/>
          <w:szCs w:val="22"/>
        </w:rPr>
      </w:pPr>
      <w:r w:rsidRPr="00FB2719">
        <w:rPr>
          <w:sz w:val="22"/>
          <w:szCs w:val="22"/>
        </w:rPr>
        <w:t>Kito atviro farmakokinetikos tyrimo metu 19 ŽIV infekuotų nėščių moterų vartojo lopinaviro / ritonaviro 400</w:t>
      </w:r>
      <w:r w:rsidR="00F5410F" w:rsidRPr="00FB2719">
        <w:rPr>
          <w:sz w:val="22"/>
          <w:szCs w:val="22"/>
        </w:rPr>
        <w:t> mg</w:t>
      </w:r>
      <w:r w:rsidRPr="00FB2719">
        <w:rPr>
          <w:sz w:val="22"/>
          <w:szCs w:val="22"/>
        </w:rPr>
        <w:t>/100</w:t>
      </w:r>
      <w:r w:rsidR="005B415B" w:rsidRPr="00FB2719">
        <w:rPr>
          <w:sz w:val="22"/>
          <w:szCs w:val="22"/>
        </w:rPr>
        <w:t> </w:t>
      </w:r>
      <w:r w:rsidRPr="00FB2719">
        <w:rPr>
          <w:sz w:val="22"/>
          <w:szCs w:val="22"/>
        </w:rPr>
        <w:t>mg derinio du kartus per parą kasdien kaip dalį taikomo kombinuoto antiretrovirusinio gydymo, kuris buvo pradėtas prieš pastojant ir skiriamas nėštumo metu. Kraujo mėginiai buvo imami prieš pradedant gydymą ir 12</w:t>
      </w:r>
      <w:r w:rsidR="005B415B" w:rsidRPr="00FB2719">
        <w:rPr>
          <w:sz w:val="22"/>
          <w:szCs w:val="22"/>
        </w:rPr>
        <w:t> </w:t>
      </w:r>
      <w:r w:rsidRPr="00FB2719">
        <w:rPr>
          <w:sz w:val="22"/>
          <w:szCs w:val="22"/>
        </w:rPr>
        <w:t>valandų intervalais per visą gydymo kursą II ir III trimestro metu, gimdant ir 4-6</w:t>
      </w:r>
      <w:r w:rsidR="005B415B" w:rsidRPr="00FB2719">
        <w:rPr>
          <w:sz w:val="22"/>
          <w:szCs w:val="22"/>
        </w:rPr>
        <w:t> </w:t>
      </w:r>
      <w:r w:rsidRPr="00FB2719">
        <w:rPr>
          <w:sz w:val="22"/>
          <w:szCs w:val="22"/>
        </w:rPr>
        <w:t>savaites po gimdymo (moterims, kurioms buvo tęsiamas gydymas po gimdymo), siekiant atlikti bendro ir nesujungto lopinaviro koncentracijos kraujo plazmoje analizę.</w:t>
      </w:r>
    </w:p>
    <w:p w14:paraId="6C66CCC0" w14:textId="77777777" w:rsidR="00CA08B3" w:rsidRPr="00FB2719" w:rsidRDefault="00CA08B3" w:rsidP="00CA08B3">
      <w:pPr>
        <w:tabs>
          <w:tab w:val="left" w:pos="567"/>
        </w:tabs>
        <w:rPr>
          <w:sz w:val="22"/>
          <w:szCs w:val="22"/>
        </w:rPr>
      </w:pPr>
    </w:p>
    <w:p w14:paraId="3EC9DDFB" w14:textId="77777777" w:rsidR="00CA08B3" w:rsidRPr="00FB2719" w:rsidRDefault="00CA08B3" w:rsidP="00CA08B3">
      <w:pPr>
        <w:tabs>
          <w:tab w:val="left" w:pos="567"/>
        </w:tabs>
        <w:rPr>
          <w:sz w:val="22"/>
          <w:szCs w:val="22"/>
        </w:rPr>
      </w:pPr>
      <w:r w:rsidRPr="00FB2719">
        <w:rPr>
          <w:sz w:val="22"/>
          <w:szCs w:val="22"/>
        </w:rPr>
        <w:lastRenderedPageBreak/>
        <w:t>ŽIV-1 infekuotų nėščių moterų, vartojusių lopinaviro / ritonaviro 400</w:t>
      </w:r>
      <w:r w:rsidR="00F5410F" w:rsidRPr="00FB2719">
        <w:rPr>
          <w:sz w:val="22"/>
          <w:szCs w:val="22"/>
        </w:rPr>
        <w:t> mg</w:t>
      </w:r>
      <w:r w:rsidRPr="00FB2719">
        <w:rPr>
          <w:sz w:val="22"/>
          <w:szCs w:val="22"/>
        </w:rPr>
        <w:t>/100</w:t>
      </w:r>
      <w:r w:rsidR="005B415B" w:rsidRPr="00FB2719">
        <w:rPr>
          <w:sz w:val="22"/>
          <w:szCs w:val="22"/>
        </w:rPr>
        <w:t> </w:t>
      </w:r>
      <w:r w:rsidRPr="00FB2719">
        <w:rPr>
          <w:sz w:val="22"/>
          <w:szCs w:val="22"/>
        </w:rPr>
        <w:t>mg derinio tablečių du kartus per parą kasdien, farmakokinetikos duomenys pateikti 6 lentelėje (žr. 4.2 skyrių).</w:t>
      </w:r>
    </w:p>
    <w:p w14:paraId="6155C651" w14:textId="77777777" w:rsidR="00CA08B3" w:rsidRPr="00FB2719" w:rsidRDefault="00CA08B3" w:rsidP="00CA08B3">
      <w:pPr>
        <w:tabs>
          <w:tab w:val="left" w:pos="567"/>
        </w:tabs>
        <w:rPr>
          <w:sz w:val="22"/>
          <w:szCs w:val="22"/>
        </w:rPr>
      </w:pPr>
    </w:p>
    <w:p w14:paraId="32A5ECFD" w14:textId="77777777" w:rsidR="00CA08B3" w:rsidRPr="00FB2719" w:rsidRDefault="00CA08B3" w:rsidP="00CA08B3">
      <w:pPr>
        <w:tabs>
          <w:tab w:val="left" w:pos="567"/>
        </w:tabs>
        <w:rPr>
          <w:sz w:val="22"/>
          <w:szCs w:val="22"/>
        </w:rPr>
      </w:pPr>
      <w:r w:rsidRPr="00FB2719">
        <w:rPr>
          <w:sz w:val="22"/>
          <w:szCs w:val="22"/>
        </w:rPr>
        <w:t>6 lentelė</w:t>
      </w:r>
    </w:p>
    <w:p w14:paraId="22817E67" w14:textId="77777777" w:rsidR="0021404B" w:rsidRPr="00FB2719" w:rsidRDefault="0021404B" w:rsidP="00CA08B3">
      <w:pPr>
        <w:tabs>
          <w:tab w:val="left" w:pos="567"/>
        </w:tabs>
        <w:rPr>
          <w:sz w:val="22"/>
          <w:szCs w:val="22"/>
        </w:rPr>
      </w:pPr>
    </w:p>
    <w:tbl>
      <w:tblPr>
        <w:tblW w:w="9285" w:type="dxa"/>
        <w:tblInd w:w="103" w:type="dxa"/>
        <w:tblLayout w:type="fixed"/>
        <w:tblCellMar>
          <w:left w:w="0" w:type="dxa"/>
          <w:right w:w="0" w:type="dxa"/>
        </w:tblCellMar>
        <w:tblLook w:val="01E0" w:firstRow="1" w:lastRow="1" w:firstColumn="1" w:lastColumn="1" w:noHBand="0" w:noVBand="0"/>
      </w:tblPr>
      <w:tblGrid>
        <w:gridCol w:w="2318"/>
        <w:gridCol w:w="2127"/>
        <w:gridCol w:w="2269"/>
        <w:gridCol w:w="2571"/>
      </w:tblGrid>
      <w:tr w:rsidR="00CA08B3" w:rsidRPr="00FB2719" w14:paraId="4724B5CE" w14:textId="77777777" w:rsidTr="00CA08B3">
        <w:trPr>
          <w:trHeight w:val="528"/>
        </w:trPr>
        <w:tc>
          <w:tcPr>
            <w:tcW w:w="9280" w:type="dxa"/>
            <w:gridSpan w:val="4"/>
            <w:tcBorders>
              <w:top w:val="single" w:sz="8" w:space="0" w:color="000000"/>
              <w:left w:val="single" w:sz="8" w:space="0" w:color="000000"/>
              <w:bottom w:val="single" w:sz="8" w:space="0" w:color="000000"/>
              <w:right w:val="single" w:sz="8" w:space="0" w:color="000000"/>
            </w:tcBorders>
            <w:hideMark/>
          </w:tcPr>
          <w:tbl>
            <w:tblPr>
              <w:tblW w:w="0" w:type="auto"/>
              <w:tblLayout w:type="fixed"/>
              <w:tblLook w:val="04A0" w:firstRow="1" w:lastRow="0" w:firstColumn="1" w:lastColumn="0" w:noHBand="0" w:noVBand="1"/>
            </w:tblPr>
            <w:tblGrid>
              <w:gridCol w:w="9071"/>
            </w:tblGrid>
            <w:tr w:rsidR="00CA08B3" w:rsidRPr="00FB2719" w14:paraId="581F2897" w14:textId="77777777">
              <w:trPr>
                <w:trHeight w:hRule="exact" w:val="277"/>
              </w:trPr>
              <w:tc>
                <w:tcPr>
                  <w:tcW w:w="9071" w:type="dxa"/>
                  <w:tcBorders>
                    <w:top w:val="nil"/>
                    <w:left w:val="nil"/>
                    <w:bottom w:val="nil"/>
                    <w:right w:val="nil"/>
                  </w:tcBorders>
                  <w:hideMark/>
                </w:tcPr>
                <w:p w14:paraId="5CDAFCC0" w14:textId="77777777" w:rsidR="00CA08B3" w:rsidRPr="00FB2719" w:rsidRDefault="00CA08B3">
                  <w:pPr>
                    <w:autoSpaceDE w:val="0"/>
                    <w:autoSpaceDN w:val="0"/>
                    <w:adjustRightInd w:val="0"/>
                    <w:spacing w:line="276" w:lineRule="auto"/>
                    <w:jc w:val="center"/>
                    <w:rPr>
                      <w:rFonts w:eastAsia="Calibri"/>
                      <w:b/>
                      <w:color w:val="000000"/>
                      <w:sz w:val="22"/>
                      <w:szCs w:val="22"/>
                      <w:lang w:eastAsia="lt-LT"/>
                    </w:rPr>
                  </w:pPr>
                  <w:r w:rsidRPr="00FB2719">
                    <w:rPr>
                      <w:rFonts w:eastAsia="Calibri"/>
                      <w:b/>
                      <w:bCs/>
                      <w:color w:val="000000"/>
                      <w:sz w:val="22"/>
                      <w:szCs w:val="22"/>
                      <w:lang w:eastAsia="lt-LT"/>
                    </w:rPr>
                    <w:t>Vidutiniai (%CV) lopinaviro farmakokinetikos parametrai esant pusiausvyrinei apykaitai ŽIV infekuotų moterų organizme</w:t>
                  </w:r>
                </w:p>
              </w:tc>
            </w:tr>
          </w:tbl>
          <w:p w14:paraId="3E6516B3" w14:textId="77777777" w:rsidR="00CA08B3" w:rsidRPr="00FB2719" w:rsidRDefault="00CA08B3">
            <w:pPr>
              <w:spacing w:before="3" w:line="276" w:lineRule="auto"/>
              <w:ind w:left="8" w:right="2906"/>
              <w:jc w:val="center"/>
              <w:rPr>
                <w:sz w:val="22"/>
                <w:szCs w:val="22"/>
              </w:rPr>
            </w:pPr>
          </w:p>
        </w:tc>
      </w:tr>
      <w:tr w:rsidR="00CA08B3" w:rsidRPr="00FB2719" w14:paraId="417C5CD6" w14:textId="77777777" w:rsidTr="00CA08B3">
        <w:trPr>
          <w:trHeight w:hRule="exact" w:val="514"/>
        </w:trPr>
        <w:tc>
          <w:tcPr>
            <w:tcW w:w="2316" w:type="dxa"/>
            <w:tcBorders>
              <w:top w:val="single" w:sz="8" w:space="0" w:color="000000"/>
              <w:left w:val="single" w:sz="8" w:space="0" w:color="000000"/>
              <w:bottom w:val="single" w:sz="8" w:space="0" w:color="000000"/>
              <w:right w:val="single" w:sz="8" w:space="0" w:color="000000"/>
            </w:tcBorders>
            <w:hideMark/>
          </w:tcPr>
          <w:p w14:paraId="665F8570" w14:textId="77777777" w:rsidR="00CA08B3" w:rsidRPr="00FB2719" w:rsidRDefault="00CA08B3">
            <w:pPr>
              <w:spacing w:before="3" w:line="276" w:lineRule="auto"/>
              <w:ind w:left="8" w:right="425"/>
              <w:jc w:val="center"/>
              <w:rPr>
                <w:sz w:val="22"/>
                <w:szCs w:val="22"/>
                <w:lang w:val="en-US"/>
              </w:rPr>
            </w:pPr>
            <w:r w:rsidRPr="00FB2719">
              <w:rPr>
                <w:b/>
                <w:bCs/>
                <w:spacing w:val="-9"/>
                <w:w w:val="101"/>
                <w:sz w:val="22"/>
                <w:szCs w:val="22"/>
                <w:lang w:val="en-US"/>
              </w:rPr>
              <w:t>Farmakokinetikos parametras</w:t>
            </w:r>
          </w:p>
        </w:tc>
        <w:tc>
          <w:tcPr>
            <w:tcW w:w="2126" w:type="dxa"/>
            <w:tcBorders>
              <w:top w:val="single" w:sz="8" w:space="0" w:color="000000"/>
              <w:left w:val="single" w:sz="8" w:space="0" w:color="000000"/>
              <w:bottom w:val="single" w:sz="8" w:space="0" w:color="000000"/>
              <w:right w:val="single" w:sz="8" w:space="0" w:color="000000"/>
            </w:tcBorders>
            <w:hideMark/>
          </w:tcPr>
          <w:p w14:paraId="798EFF36" w14:textId="77777777" w:rsidR="00CA08B3" w:rsidRPr="00FB2719" w:rsidRDefault="00CA08B3">
            <w:pPr>
              <w:spacing w:line="239" w:lineRule="exact"/>
              <w:ind w:left="8"/>
              <w:jc w:val="center"/>
              <w:rPr>
                <w:b/>
                <w:bCs/>
                <w:sz w:val="22"/>
                <w:szCs w:val="22"/>
                <w:lang w:val="en-US"/>
              </w:rPr>
            </w:pPr>
            <w:r w:rsidRPr="00FB2719">
              <w:rPr>
                <w:b/>
                <w:bCs/>
                <w:sz w:val="22"/>
                <w:szCs w:val="22"/>
                <w:lang w:val="en-US"/>
              </w:rPr>
              <w:t xml:space="preserve">2-sis trimestras </w:t>
            </w:r>
          </w:p>
          <w:p w14:paraId="7DE1BF89" w14:textId="77777777" w:rsidR="00CA08B3" w:rsidRPr="00FB2719" w:rsidRDefault="00CA08B3" w:rsidP="005B415B">
            <w:pPr>
              <w:spacing w:line="239" w:lineRule="exact"/>
              <w:ind w:left="8"/>
              <w:jc w:val="center"/>
              <w:rPr>
                <w:sz w:val="22"/>
                <w:szCs w:val="22"/>
                <w:lang w:val="en-US"/>
              </w:rPr>
            </w:pPr>
            <w:r w:rsidRPr="00FB2719">
              <w:rPr>
                <w:b/>
                <w:bCs/>
                <w:sz w:val="22"/>
                <w:szCs w:val="22"/>
                <w:lang w:val="en-US"/>
              </w:rPr>
              <w:t>n=</w:t>
            </w:r>
            <w:r w:rsidRPr="00FB2719">
              <w:rPr>
                <w:b/>
                <w:bCs/>
                <w:w w:val="101"/>
                <w:sz w:val="22"/>
                <w:szCs w:val="22"/>
                <w:lang w:val="en-US"/>
              </w:rPr>
              <w:t>17*</w:t>
            </w:r>
          </w:p>
        </w:tc>
        <w:tc>
          <w:tcPr>
            <w:tcW w:w="2268" w:type="dxa"/>
            <w:tcBorders>
              <w:top w:val="single" w:sz="8" w:space="0" w:color="000000"/>
              <w:left w:val="single" w:sz="8" w:space="0" w:color="000000"/>
              <w:bottom w:val="single" w:sz="8" w:space="0" w:color="000000"/>
              <w:right w:val="single" w:sz="8" w:space="0" w:color="000000"/>
            </w:tcBorders>
            <w:hideMark/>
          </w:tcPr>
          <w:p w14:paraId="587DF3F6" w14:textId="77777777" w:rsidR="00CA08B3" w:rsidRPr="00FB2719" w:rsidRDefault="00CA08B3">
            <w:pPr>
              <w:spacing w:line="239" w:lineRule="exact"/>
              <w:ind w:left="8" w:right="370"/>
              <w:jc w:val="center"/>
              <w:rPr>
                <w:sz w:val="22"/>
                <w:szCs w:val="22"/>
                <w:lang w:val="en-US"/>
              </w:rPr>
            </w:pPr>
            <w:r w:rsidRPr="00FB2719">
              <w:rPr>
                <w:b/>
                <w:bCs/>
                <w:sz w:val="22"/>
                <w:szCs w:val="22"/>
                <w:lang w:val="en-US"/>
              </w:rPr>
              <w:t>3-iasis trimestras</w:t>
            </w:r>
          </w:p>
          <w:p w14:paraId="730514AF" w14:textId="77777777" w:rsidR="00CA08B3" w:rsidRPr="00FB2719" w:rsidRDefault="00CA08B3" w:rsidP="005B415B">
            <w:pPr>
              <w:spacing w:before="3" w:line="276" w:lineRule="auto"/>
              <w:ind w:left="8" w:right="742"/>
              <w:jc w:val="center"/>
              <w:rPr>
                <w:sz w:val="22"/>
                <w:szCs w:val="22"/>
                <w:lang w:val="en-US"/>
              </w:rPr>
            </w:pPr>
            <w:r w:rsidRPr="00FB2719">
              <w:rPr>
                <w:b/>
                <w:bCs/>
                <w:sz w:val="22"/>
                <w:szCs w:val="22"/>
                <w:lang w:val="en-US"/>
              </w:rPr>
              <w:t>n=</w:t>
            </w:r>
            <w:r w:rsidRPr="00FB2719">
              <w:rPr>
                <w:b/>
                <w:bCs/>
                <w:w w:val="101"/>
                <w:sz w:val="22"/>
                <w:szCs w:val="22"/>
                <w:lang w:val="en-US"/>
              </w:rPr>
              <w:t>23</w:t>
            </w:r>
          </w:p>
        </w:tc>
        <w:tc>
          <w:tcPr>
            <w:tcW w:w="2570" w:type="dxa"/>
            <w:tcBorders>
              <w:top w:val="single" w:sz="8" w:space="0" w:color="000000"/>
              <w:left w:val="single" w:sz="8" w:space="0" w:color="000000"/>
              <w:bottom w:val="single" w:sz="8" w:space="0" w:color="000000"/>
              <w:right w:val="single" w:sz="8" w:space="0" w:color="000000"/>
            </w:tcBorders>
            <w:hideMark/>
          </w:tcPr>
          <w:p w14:paraId="24F76221" w14:textId="77777777" w:rsidR="00CA08B3" w:rsidRPr="00FB2719" w:rsidRDefault="00CA08B3" w:rsidP="005B415B">
            <w:pPr>
              <w:spacing w:line="239" w:lineRule="exact"/>
              <w:ind w:left="8" w:right="348"/>
              <w:jc w:val="center"/>
              <w:rPr>
                <w:sz w:val="22"/>
                <w:szCs w:val="22"/>
                <w:lang w:val="en-US"/>
              </w:rPr>
            </w:pPr>
            <w:r w:rsidRPr="00FB2719">
              <w:rPr>
                <w:b/>
                <w:bCs/>
                <w:spacing w:val="-9"/>
                <w:w w:val="101"/>
                <w:sz w:val="22"/>
                <w:szCs w:val="22"/>
                <w:lang w:val="en-US"/>
              </w:rPr>
              <w:t>P</w:t>
            </w:r>
            <w:r w:rsidRPr="00FB2719">
              <w:rPr>
                <w:b/>
                <w:bCs/>
                <w:w w:val="101"/>
                <w:sz w:val="22"/>
                <w:szCs w:val="22"/>
                <w:lang w:val="en-US"/>
              </w:rPr>
              <w:t>ogimdyminis laikotarpis n</w:t>
            </w:r>
            <w:r w:rsidRPr="00FB2719">
              <w:rPr>
                <w:b/>
                <w:bCs/>
                <w:sz w:val="22"/>
                <w:szCs w:val="22"/>
                <w:lang w:val="en-US"/>
              </w:rPr>
              <w:t>=</w:t>
            </w:r>
            <w:r w:rsidRPr="00FB2719">
              <w:rPr>
                <w:b/>
                <w:bCs/>
                <w:w w:val="101"/>
                <w:sz w:val="22"/>
                <w:szCs w:val="22"/>
                <w:lang w:val="en-US"/>
              </w:rPr>
              <w:t>17**</w:t>
            </w:r>
          </w:p>
        </w:tc>
      </w:tr>
      <w:tr w:rsidR="00CA08B3" w:rsidRPr="00FB2719" w14:paraId="72768D7F" w14:textId="77777777" w:rsidTr="00CA08B3">
        <w:trPr>
          <w:trHeight w:hRule="exact" w:val="304"/>
        </w:trPr>
        <w:tc>
          <w:tcPr>
            <w:tcW w:w="2316" w:type="dxa"/>
            <w:tcBorders>
              <w:top w:val="single" w:sz="8" w:space="0" w:color="000000"/>
              <w:left w:val="single" w:sz="8" w:space="0" w:color="000000"/>
              <w:bottom w:val="single" w:sz="8" w:space="0" w:color="000000"/>
              <w:right w:val="single" w:sz="8" w:space="0" w:color="000000"/>
            </w:tcBorders>
            <w:hideMark/>
          </w:tcPr>
          <w:p w14:paraId="5B025735" w14:textId="77777777" w:rsidR="00CA08B3" w:rsidRPr="00FB2719" w:rsidRDefault="00CA08B3">
            <w:pPr>
              <w:spacing w:line="283" w:lineRule="exact"/>
              <w:ind w:left="8" w:right="-20"/>
              <w:rPr>
                <w:sz w:val="22"/>
                <w:szCs w:val="22"/>
                <w:lang w:val="en-US"/>
              </w:rPr>
            </w:pPr>
            <w:r w:rsidRPr="00FB2719">
              <w:rPr>
                <w:sz w:val="22"/>
                <w:szCs w:val="22"/>
                <w:lang w:val="en-US"/>
              </w:rPr>
              <w:t>AUC</w:t>
            </w:r>
            <w:r w:rsidRPr="00FB2719">
              <w:rPr>
                <w:sz w:val="22"/>
                <w:szCs w:val="22"/>
                <w:vertAlign w:val="subscript"/>
                <w:lang w:val="en-US"/>
              </w:rPr>
              <w:t>0-12</w:t>
            </w:r>
            <w:r w:rsidRPr="00FB2719">
              <w:rPr>
                <w:sz w:val="22"/>
                <w:szCs w:val="22"/>
                <w:lang w:val="en-US"/>
              </w:rPr>
              <w:t xml:space="preserve"> μg•val./ml</w:t>
            </w:r>
          </w:p>
        </w:tc>
        <w:tc>
          <w:tcPr>
            <w:tcW w:w="2126" w:type="dxa"/>
            <w:tcBorders>
              <w:top w:val="single" w:sz="8" w:space="0" w:color="000000"/>
              <w:left w:val="single" w:sz="8" w:space="0" w:color="000000"/>
              <w:bottom w:val="single" w:sz="8" w:space="0" w:color="000000"/>
              <w:right w:val="single" w:sz="8" w:space="0" w:color="000000"/>
            </w:tcBorders>
            <w:hideMark/>
          </w:tcPr>
          <w:p w14:paraId="03D86174" w14:textId="77777777" w:rsidR="00CA08B3" w:rsidRPr="00FB2719" w:rsidRDefault="00CA08B3">
            <w:pPr>
              <w:spacing w:before="1" w:line="276" w:lineRule="auto"/>
              <w:ind w:left="8" w:right="-20"/>
              <w:rPr>
                <w:sz w:val="22"/>
                <w:szCs w:val="22"/>
                <w:lang w:val="en-US"/>
              </w:rPr>
            </w:pPr>
            <w:r w:rsidRPr="00FB2719">
              <w:rPr>
                <w:sz w:val="22"/>
                <w:szCs w:val="22"/>
                <w:lang w:val="en-US"/>
              </w:rPr>
              <w:t>68</w:t>
            </w:r>
            <w:r w:rsidRPr="00FB2719">
              <w:rPr>
                <w:spacing w:val="8"/>
                <w:sz w:val="22"/>
                <w:szCs w:val="22"/>
                <w:lang w:val="en-US"/>
              </w:rPr>
              <w:t>,</w:t>
            </w:r>
            <w:r w:rsidRPr="00FB2719">
              <w:rPr>
                <w:sz w:val="22"/>
                <w:szCs w:val="22"/>
                <w:lang w:val="en-US"/>
              </w:rPr>
              <w:t>7</w:t>
            </w:r>
            <w:r w:rsidRPr="00FB2719">
              <w:rPr>
                <w:spacing w:val="13"/>
                <w:sz w:val="22"/>
                <w:szCs w:val="22"/>
                <w:lang w:val="en-US"/>
              </w:rPr>
              <w:t xml:space="preserve"> </w:t>
            </w:r>
            <w:r w:rsidRPr="00FB2719">
              <w:rPr>
                <w:spacing w:val="5"/>
                <w:w w:val="101"/>
                <w:sz w:val="22"/>
                <w:szCs w:val="22"/>
                <w:lang w:val="en-US"/>
              </w:rPr>
              <w:t>(</w:t>
            </w:r>
            <w:r w:rsidRPr="00FB2719">
              <w:rPr>
                <w:w w:val="101"/>
                <w:sz w:val="22"/>
                <w:szCs w:val="22"/>
                <w:lang w:val="en-US"/>
              </w:rPr>
              <w:t>20</w:t>
            </w:r>
            <w:r w:rsidRPr="00FB2719">
              <w:rPr>
                <w:spacing w:val="8"/>
                <w:w w:val="101"/>
                <w:sz w:val="22"/>
                <w:szCs w:val="22"/>
                <w:lang w:val="en-US"/>
              </w:rPr>
              <w:t>,</w:t>
            </w:r>
            <w:r w:rsidRPr="00FB2719">
              <w:rPr>
                <w:w w:val="101"/>
                <w:sz w:val="22"/>
                <w:szCs w:val="22"/>
                <w:lang w:val="en-US"/>
              </w:rPr>
              <w:t>6)</w:t>
            </w:r>
          </w:p>
        </w:tc>
        <w:tc>
          <w:tcPr>
            <w:tcW w:w="2268" w:type="dxa"/>
            <w:tcBorders>
              <w:top w:val="single" w:sz="8" w:space="0" w:color="000000"/>
              <w:left w:val="single" w:sz="8" w:space="0" w:color="000000"/>
              <w:bottom w:val="single" w:sz="8" w:space="0" w:color="000000"/>
              <w:right w:val="single" w:sz="8" w:space="0" w:color="000000"/>
            </w:tcBorders>
            <w:hideMark/>
          </w:tcPr>
          <w:p w14:paraId="1F1F4069" w14:textId="77777777" w:rsidR="00CA08B3" w:rsidRPr="00FB2719" w:rsidRDefault="00CA08B3">
            <w:pPr>
              <w:spacing w:before="1" w:line="276" w:lineRule="auto"/>
              <w:ind w:left="8" w:right="-20"/>
              <w:rPr>
                <w:sz w:val="22"/>
                <w:szCs w:val="22"/>
                <w:lang w:val="en-US"/>
              </w:rPr>
            </w:pPr>
            <w:r w:rsidRPr="00FB2719">
              <w:rPr>
                <w:sz w:val="22"/>
                <w:szCs w:val="22"/>
                <w:lang w:val="en-US"/>
              </w:rPr>
              <w:t>61</w:t>
            </w:r>
            <w:r w:rsidRPr="00FB2719">
              <w:rPr>
                <w:spacing w:val="8"/>
                <w:sz w:val="22"/>
                <w:szCs w:val="22"/>
                <w:lang w:val="en-US"/>
              </w:rPr>
              <w:t>,</w:t>
            </w:r>
            <w:r w:rsidRPr="00FB2719">
              <w:rPr>
                <w:sz w:val="22"/>
                <w:szCs w:val="22"/>
                <w:lang w:val="en-US"/>
              </w:rPr>
              <w:t>3</w:t>
            </w:r>
            <w:r w:rsidRPr="00FB2719">
              <w:rPr>
                <w:spacing w:val="13"/>
                <w:sz w:val="22"/>
                <w:szCs w:val="22"/>
                <w:lang w:val="en-US"/>
              </w:rPr>
              <w:t xml:space="preserve"> </w:t>
            </w:r>
            <w:r w:rsidRPr="00FB2719">
              <w:rPr>
                <w:spacing w:val="5"/>
                <w:w w:val="101"/>
                <w:sz w:val="22"/>
                <w:szCs w:val="22"/>
                <w:lang w:val="en-US"/>
              </w:rPr>
              <w:t>(</w:t>
            </w:r>
            <w:r w:rsidRPr="00FB2719">
              <w:rPr>
                <w:w w:val="101"/>
                <w:sz w:val="22"/>
                <w:szCs w:val="22"/>
                <w:lang w:val="en-US"/>
              </w:rPr>
              <w:t>22</w:t>
            </w:r>
            <w:r w:rsidRPr="00FB2719">
              <w:rPr>
                <w:spacing w:val="8"/>
                <w:w w:val="101"/>
                <w:sz w:val="22"/>
                <w:szCs w:val="22"/>
                <w:lang w:val="en-US"/>
              </w:rPr>
              <w:t>,</w:t>
            </w:r>
            <w:r w:rsidRPr="00FB2719">
              <w:rPr>
                <w:w w:val="101"/>
                <w:sz w:val="22"/>
                <w:szCs w:val="22"/>
                <w:lang w:val="en-US"/>
              </w:rPr>
              <w:t>7)</w:t>
            </w:r>
          </w:p>
        </w:tc>
        <w:tc>
          <w:tcPr>
            <w:tcW w:w="2570" w:type="dxa"/>
            <w:tcBorders>
              <w:top w:val="single" w:sz="8" w:space="0" w:color="000000"/>
              <w:left w:val="single" w:sz="8" w:space="0" w:color="000000"/>
              <w:bottom w:val="single" w:sz="8" w:space="0" w:color="000000"/>
              <w:right w:val="single" w:sz="8" w:space="0" w:color="000000"/>
            </w:tcBorders>
            <w:hideMark/>
          </w:tcPr>
          <w:p w14:paraId="0CF6C880" w14:textId="77777777" w:rsidR="00CA08B3" w:rsidRPr="00FB2719" w:rsidRDefault="00CA08B3">
            <w:pPr>
              <w:spacing w:before="1" w:line="276" w:lineRule="auto"/>
              <w:ind w:left="8" w:right="-20"/>
              <w:rPr>
                <w:sz w:val="22"/>
                <w:szCs w:val="22"/>
                <w:lang w:val="en-US"/>
              </w:rPr>
            </w:pPr>
            <w:r w:rsidRPr="00FB2719">
              <w:rPr>
                <w:sz w:val="22"/>
                <w:szCs w:val="22"/>
                <w:lang w:val="en-US"/>
              </w:rPr>
              <w:t>94</w:t>
            </w:r>
            <w:r w:rsidRPr="00FB2719">
              <w:rPr>
                <w:spacing w:val="8"/>
                <w:sz w:val="22"/>
                <w:szCs w:val="22"/>
                <w:lang w:val="en-US"/>
              </w:rPr>
              <w:t>,</w:t>
            </w:r>
            <w:r w:rsidRPr="00FB2719">
              <w:rPr>
                <w:sz w:val="22"/>
                <w:szCs w:val="22"/>
                <w:lang w:val="en-US"/>
              </w:rPr>
              <w:t>3</w:t>
            </w:r>
            <w:r w:rsidRPr="00FB2719">
              <w:rPr>
                <w:spacing w:val="13"/>
                <w:sz w:val="22"/>
                <w:szCs w:val="22"/>
                <w:lang w:val="en-US"/>
              </w:rPr>
              <w:t xml:space="preserve"> </w:t>
            </w:r>
            <w:r w:rsidRPr="00FB2719">
              <w:rPr>
                <w:spacing w:val="5"/>
                <w:w w:val="101"/>
                <w:sz w:val="22"/>
                <w:szCs w:val="22"/>
                <w:lang w:val="en-US"/>
              </w:rPr>
              <w:t>(</w:t>
            </w:r>
            <w:r w:rsidRPr="00FB2719">
              <w:rPr>
                <w:w w:val="101"/>
                <w:sz w:val="22"/>
                <w:szCs w:val="22"/>
                <w:lang w:val="en-US"/>
              </w:rPr>
              <w:t>30</w:t>
            </w:r>
            <w:r w:rsidRPr="00FB2719">
              <w:rPr>
                <w:spacing w:val="8"/>
                <w:w w:val="101"/>
                <w:sz w:val="22"/>
                <w:szCs w:val="22"/>
                <w:lang w:val="en-US"/>
              </w:rPr>
              <w:t>,</w:t>
            </w:r>
            <w:r w:rsidRPr="00FB2719">
              <w:rPr>
                <w:w w:val="101"/>
                <w:sz w:val="22"/>
                <w:szCs w:val="22"/>
                <w:lang w:val="en-US"/>
              </w:rPr>
              <w:t>3)</w:t>
            </w:r>
          </w:p>
        </w:tc>
      </w:tr>
      <w:tr w:rsidR="00CA08B3" w:rsidRPr="00FB2719" w14:paraId="726BE241" w14:textId="77777777" w:rsidTr="00CA08B3">
        <w:trPr>
          <w:trHeight w:hRule="exact" w:val="272"/>
        </w:trPr>
        <w:tc>
          <w:tcPr>
            <w:tcW w:w="2316" w:type="dxa"/>
            <w:tcBorders>
              <w:top w:val="single" w:sz="8" w:space="0" w:color="000000"/>
              <w:left w:val="single" w:sz="8" w:space="0" w:color="000000"/>
              <w:bottom w:val="single" w:sz="8" w:space="0" w:color="000000"/>
              <w:right w:val="single" w:sz="8" w:space="0" w:color="000000"/>
            </w:tcBorders>
            <w:hideMark/>
          </w:tcPr>
          <w:p w14:paraId="491F276A" w14:textId="77777777" w:rsidR="00CA08B3" w:rsidRPr="00FB2719" w:rsidRDefault="00CA08B3">
            <w:pPr>
              <w:spacing w:line="253" w:lineRule="exact"/>
              <w:ind w:left="8" w:right="1149"/>
              <w:rPr>
                <w:sz w:val="22"/>
                <w:szCs w:val="22"/>
                <w:lang w:val="en-US"/>
              </w:rPr>
            </w:pPr>
            <w:r w:rsidRPr="00FB2719">
              <w:rPr>
                <w:sz w:val="22"/>
                <w:szCs w:val="22"/>
                <w:lang w:val="en-US"/>
              </w:rPr>
              <w:t>C</w:t>
            </w:r>
            <w:r w:rsidRPr="00FB2719">
              <w:rPr>
                <w:sz w:val="22"/>
                <w:szCs w:val="22"/>
                <w:vertAlign w:val="subscript"/>
                <w:lang w:val="en-US"/>
              </w:rPr>
              <w:t>max</w:t>
            </w:r>
          </w:p>
        </w:tc>
        <w:tc>
          <w:tcPr>
            <w:tcW w:w="2126" w:type="dxa"/>
            <w:tcBorders>
              <w:top w:val="single" w:sz="8" w:space="0" w:color="000000"/>
              <w:left w:val="single" w:sz="8" w:space="0" w:color="000000"/>
              <w:bottom w:val="single" w:sz="8" w:space="0" w:color="000000"/>
              <w:right w:val="single" w:sz="8" w:space="0" w:color="000000"/>
            </w:tcBorders>
            <w:hideMark/>
          </w:tcPr>
          <w:p w14:paraId="4B37E519" w14:textId="77777777" w:rsidR="00CA08B3" w:rsidRPr="00FB2719" w:rsidRDefault="00CA08B3">
            <w:pPr>
              <w:spacing w:line="239" w:lineRule="exact"/>
              <w:ind w:left="8" w:right="-20"/>
              <w:rPr>
                <w:sz w:val="22"/>
                <w:szCs w:val="22"/>
                <w:lang w:val="en-US"/>
              </w:rPr>
            </w:pPr>
            <w:r w:rsidRPr="00FB2719">
              <w:rPr>
                <w:sz w:val="22"/>
                <w:szCs w:val="22"/>
                <w:lang w:val="en-US"/>
              </w:rPr>
              <w:t>7</w:t>
            </w:r>
            <w:r w:rsidRPr="00FB2719">
              <w:rPr>
                <w:spacing w:val="8"/>
                <w:sz w:val="22"/>
                <w:szCs w:val="22"/>
                <w:lang w:val="en-US"/>
              </w:rPr>
              <w:t>,</w:t>
            </w:r>
            <w:r w:rsidRPr="00FB2719">
              <w:rPr>
                <w:sz w:val="22"/>
                <w:szCs w:val="22"/>
                <w:lang w:val="en-US"/>
              </w:rPr>
              <w:t>9</w:t>
            </w:r>
            <w:r w:rsidRPr="00FB2719">
              <w:rPr>
                <w:spacing w:val="12"/>
                <w:sz w:val="22"/>
                <w:szCs w:val="22"/>
                <w:lang w:val="en-US"/>
              </w:rPr>
              <w:t xml:space="preserve"> </w:t>
            </w:r>
            <w:r w:rsidRPr="00FB2719">
              <w:rPr>
                <w:spacing w:val="5"/>
                <w:w w:val="101"/>
                <w:sz w:val="22"/>
                <w:szCs w:val="22"/>
                <w:lang w:val="en-US"/>
              </w:rPr>
              <w:t>(</w:t>
            </w:r>
            <w:r w:rsidRPr="00FB2719">
              <w:rPr>
                <w:w w:val="101"/>
                <w:sz w:val="22"/>
                <w:szCs w:val="22"/>
                <w:lang w:val="en-US"/>
              </w:rPr>
              <w:t>21</w:t>
            </w:r>
            <w:r w:rsidRPr="00FB2719">
              <w:rPr>
                <w:spacing w:val="8"/>
                <w:w w:val="101"/>
                <w:sz w:val="22"/>
                <w:szCs w:val="22"/>
                <w:lang w:val="en-US"/>
              </w:rPr>
              <w:t>,</w:t>
            </w:r>
            <w:r w:rsidRPr="00FB2719">
              <w:rPr>
                <w:w w:val="101"/>
                <w:sz w:val="22"/>
                <w:szCs w:val="22"/>
                <w:lang w:val="en-US"/>
              </w:rPr>
              <w:t>1)</w:t>
            </w:r>
          </w:p>
        </w:tc>
        <w:tc>
          <w:tcPr>
            <w:tcW w:w="2268" w:type="dxa"/>
            <w:tcBorders>
              <w:top w:val="single" w:sz="8" w:space="0" w:color="000000"/>
              <w:left w:val="single" w:sz="8" w:space="0" w:color="000000"/>
              <w:bottom w:val="single" w:sz="8" w:space="0" w:color="000000"/>
              <w:right w:val="single" w:sz="8" w:space="0" w:color="000000"/>
            </w:tcBorders>
            <w:hideMark/>
          </w:tcPr>
          <w:p w14:paraId="3A5CD6E2" w14:textId="77777777" w:rsidR="00CA08B3" w:rsidRPr="00FB2719" w:rsidRDefault="00CA08B3">
            <w:pPr>
              <w:spacing w:line="239" w:lineRule="exact"/>
              <w:ind w:left="8" w:right="-20"/>
              <w:rPr>
                <w:sz w:val="22"/>
                <w:szCs w:val="22"/>
                <w:lang w:val="en-US"/>
              </w:rPr>
            </w:pPr>
            <w:r w:rsidRPr="00FB2719">
              <w:rPr>
                <w:sz w:val="22"/>
                <w:szCs w:val="22"/>
                <w:lang w:val="en-US"/>
              </w:rPr>
              <w:t>7</w:t>
            </w:r>
            <w:r w:rsidRPr="00FB2719">
              <w:rPr>
                <w:spacing w:val="8"/>
                <w:sz w:val="22"/>
                <w:szCs w:val="22"/>
                <w:lang w:val="en-US"/>
              </w:rPr>
              <w:t>,</w:t>
            </w:r>
            <w:r w:rsidRPr="00FB2719">
              <w:rPr>
                <w:sz w:val="22"/>
                <w:szCs w:val="22"/>
                <w:lang w:val="en-US"/>
              </w:rPr>
              <w:t>5</w:t>
            </w:r>
            <w:r w:rsidRPr="00FB2719">
              <w:rPr>
                <w:spacing w:val="12"/>
                <w:sz w:val="22"/>
                <w:szCs w:val="22"/>
                <w:lang w:val="en-US"/>
              </w:rPr>
              <w:t xml:space="preserve"> </w:t>
            </w:r>
            <w:r w:rsidRPr="00FB2719">
              <w:rPr>
                <w:spacing w:val="5"/>
                <w:w w:val="101"/>
                <w:sz w:val="22"/>
                <w:szCs w:val="22"/>
                <w:lang w:val="en-US"/>
              </w:rPr>
              <w:t>(</w:t>
            </w:r>
            <w:r w:rsidRPr="00FB2719">
              <w:rPr>
                <w:w w:val="101"/>
                <w:sz w:val="22"/>
                <w:szCs w:val="22"/>
                <w:lang w:val="en-US"/>
              </w:rPr>
              <w:t>18</w:t>
            </w:r>
            <w:r w:rsidRPr="00FB2719">
              <w:rPr>
                <w:spacing w:val="8"/>
                <w:w w:val="101"/>
                <w:sz w:val="22"/>
                <w:szCs w:val="22"/>
                <w:lang w:val="en-US"/>
              </w:rPr>
              <w:t>,</w:t>
            </w:r>
            <w:r w:rsidRPr="00FB2719">
              <w:rPr>
                <w:w w:val="101"/>
                <w:sz w:val="22"/>
                <w:szCs w:val="22"/>
                <w:lang w:val="en-US"/>
              </w:rPr>
              <w:t>7)</w:t>
            </w:r>
          </w:p>
        </w:tc>
        <w:tc>
          <w:tcPr>
            <w:tcW w:w="2570" w:type="dxa"/>
            <w:tcBorders>
              <w:top w:val="single" w:sz="8" w:space="0" w:color="000000"/>
              <w:left w:val="single" w:sz="8" w:space="0" w:color="000000"/>
              <w:bottom w:val="single" w:sz="8" w:space="0" w:color="000000"/>
              <w:right w:val="single" w:sz="8" w:space="0" w:color="000000"/>
            </w:tcBorders>
            <w:hideMark/>
          </w:tcPr>
          <w:p w14:paraId="16AC7E09" w14:textId="77777777" w:rsidR="00CA08B3" w:rsidRPr="00FB2719" w:rsidRDefault="00CA08B3">
            <w:pPr>
              <w:spacing w:line="239" w:lineRule="exact"/>
              <w:ind w:left="8" w:right="-20"/>
              <w:rPr>
                <w:sz w:val="22"/>
                <w:szCs w:val="22"/>
                <w:lang w:val="en-US"/>
              </w:rPr>
            </w:pPr>
            <w:r w:rsidRPr="00FB2719">
              <w:rPr>
                <w:sz w:val="22"/>
                <w:szCs w:val="22"/>
                <w:lang w:val="en-US"/>
              </w:rPr>
              <w:t>9</w:t>
            </w:r>
            <w:r w:rsidRPr="00FB2719">
              <w:rPr>
                <w:spacing w:val="8"/>
                <w:sz w:val="22"/>
                <w:szCs w:val="22"/>
                <w:lang w:val="en-US"/>
              </w:rPr>
              <w:t>,</w:t>
            </w:r>
            <w:r w:rsidRPr="00FB2719">
              <w:rPr>
                <w:sz w:val="22"/>
                <w:szCs w:val="22"/>
                <w:lang w:val="en-US"/>
              </w:rPr>
              <w:t>8</w:t>
            </w:r>
            <w:r w:rsidRPr="00FB2719">
              <w:rPr>
                <w:spacing w:val="12"/>
                <w:sz w:val="22"/>
                <w:szCs w:val="22"/>
                <w:lang w:val="en-US"/>
              </w:rPr>
              <w:t xml:space="preserve"> </w:t>
            </w:r>
            <w:r w:rsidRPr="00FB2719">
              <w:rPr>
                <w:spacing w:val="5"/>
                <w:w w:val="101"/>
                <w:sz w:val="22"/>
                <w:szCs w:val="22"/>
                <w:lang w:val="en-US"/>
              </w:rPr>
              <w:t>(</w:t>
            </w:r>
            <w:r w:rsidRPr="00FB2719">
              <w:rPr>
                <w:w w:val="101"/>
                <w:sz w:val="22"/>
                <w:szCs w:val="22"/>
                <w:lang w:val="en-US"/>
              </w:rPr>
              <w:t>24</w:t>
            </w:r>
            <w:r w:rsidRPr="00FB2719">
              <w:rPr>
                <w:spacing w:val="8"/>
                <w:w w:val="101"/>
                <w:sz w:val="22"/>
                <w:szCs w:val="22"/>
                <w:lang w:val="en-US"/>
              </w:rPr>
              <w:t>,</w:t>
            </w:r>
            <w:r w:rsidRPr="00FB2719">
              <w:rPr>
                <w:w w:val="101"/>
                <w:sz w:val="22"/>
                <w:szCs w:val="22"/>
                <w:lang w:val="en-US"/>
              </w:rPr>
              <w:t>3)</w:t>
            </w:r>
          </w:p>
        </w:tc>
      </w:tr>
      <w:tr w:rsidR="00CA08B3" w:rsidRPr="00FB2719" w14:paraId="44C0BDAA" w14:textId="77777777" w:rsidTr="00CA08B3">
        <w:trPr>
          <w:trHeight w:hRule="exact" w:val="272"/>
        </w:trPr>
        <w:tc>
          <w:tcPr>
            <w:tcW w:w="2316" w:type="dxa"/>
            <w:tcBorders>
              <w:top w:val="single" w:sz="8" w:space="0" w:color="000000"/>
              <w:left w:val="single" w:sz="8" w:space="0" w:color="000000"/>
              <w:bottom w:val="single" w:sz="8" w:space="0" w:color="000000"/>
              <w:right w:val="single" w:sz="8" w:space="0" w:color="000000"/>
            </w:tcBorders>
            <w:hideMark/>
          </w:tcPr>
          <w:p w14:paraId="2FD3C04A" w14:textId="77777777" w:rsidR="00CA08B3" w:rsidRPr="00FB2719" w:rsidRDefault="00CA08B3">
            <w:pPr>
              <w:spacing w:line="253" w:lineRule="exact"/>
              <w:ind w:left="8" w:right="-20"/>
              <w:rPr>
                <w:sz w:val="22"/>
                <w:szCs w:val="22"/>
                <w:lang w:val="en-US"/>
              </w:rPr>
            </w:pPr>
            <w:r w:rsidRPr="00FB2719">
              <w:rPr>
                <w:sz w:val="22"/>
                <w:szCs w:val="22"/>
                <w:lang w:val="en-US"/>
              </w:rPr>
              <w:t>C</w:t>
            </w:r>
            <w:r w:rsidRPr="00FB2719">
              <w:rPr>
                <w:sz w:val="22"/>
                <w:szCs w:val="22"/>
                <w:vertAlign w:val="subscript"/>
                <w:lang w:val="en-US"/>
              </w:rPr>
              <w:t>prieš dozę</w:t>
            </w:r>
            <w:r w:rsidRPr="00FB2719">
              <w:rPr>
                <w:sz w:val="22"/>
                <w:szCs w:val="22"/>
                <w:lang w:val="en-US"/>
              </w:rPr>
              <w:t xml:space="preserve"> μg /ml</w:t>
            </w:r>
          </w:p>
        </w:tc>
        <w:tc>
          <w:tcPr>
            <w:tcW w:w="2126" w:type="dxa"/>
            <w:tcBorders>
              <w:top w:val="single" w:sz="8" w:space="0" w:color="000000"/>
              <w:left w:val="single" w:sz="8" w:space="0" w:color="000000"/>
              <w:bottom w:val="single" w:sz="8" w:space="0" w:color="000000"/>
              <w:right w:val="single" w:sz="8" w:space="0" w:color="000000"/>
            </w:tcBorders>
            <w:hideMark/>
          </w:tcPr>
          <w:p w14:paraId="6984A747" w14:textId="77777777" w:rsidR="00CA08B3" w:rsidRPr="00FB2719" w:rsidRDefault="00CA08B3">
            <w:pPr>
              <w:spacing w:line="239" w:lineRule="exact"/>
              <w:ind w:left="8" w:right="-20"/>
              <w:rPr>
                <w:sz w:val="22"/>
                <w:szCs w:val="22"/>
                <w:lang w:val="en-US"/>
              </w:rPr>
            </w:pPr>
            <w:r w:rsidRPr="00FB2719">
              <w:rPr>
                <w:sz w:val="22"/>
                <w:szCs w:val="22"/>
                <w:lang w:val="en-US"/>
              </w:rPr>
              <w:t>4</w:t>
            </w:r>
            <w:r w:rsidRPr="00FB2719">
              <w:rPr>
                <w:spacing w:val="8"/>
                <w:sz w:val="22"/>
                <w:szCs w:val="22"/>
                <w:lang w:val="en-US"/>
              </w:rPr>
              <w:t>,</w:t>
            </w:r>
            <w:r w:rsidRPr="00FB2719">
              <w:rPr>
                <w:sz w:val="22"/>
                <w:szCs w:val="22"/>
                <w:lang w:val="en-US"/>
              </w:rPr>
              <w:t>7</w:t>
            </w:r>
            <w:r w:rsidRPr="00FB2719">
              <w:rPr>
                <w:spacing w:val="12"/>
                <w:sz w:val="22"/>
                <w:szCs w:val="22"/>
                <w:lang w:val="en-US"/>
              </w:rPr>
              <w:t xml:space="preserve"> </w:t>
            </w:r>
            <w:r w:rsidRPr="00FB2719">
              <w:rPr>
                <w:spacing w:val="5"/>
                <w:w w:val="101"/>
                <w:sz w:val="22"/>
                <w:szCs w:val="22"/>
                <w:lang w:val="en-US"/>
              </w:rPr>
              <w:t>(</w:t>
            </w:r>
            <w:r w:rsidRPr="00FB2719">
              <w:rPr>
                <w:w w:val="101"/>
                <w:sz w:val="22"/>
                <w:szCs w:val="22"/>
                <w:lang w:val="en-US"/>
              </w:rPr>
              <w:t>25</w:t>
            </w:r>
            <w:r w:rsidRPr="00FB2719">
              <w:rPr>
                <w:spacing w:val="8"/>
                <w:w w:val="101"/>
                <w:sz w:val="22"/>
                <w:szCs w:val="22"/>
                <w:lang w:val="en-US"/>
              </w:rPr>
              <w:t>,</w:t>
            </w:r>
            <w:r w:rsidRPr="00FB2719">
              <w:rPr>
                <w:w w:val="101"/>
                <w:sz w:val="22"/>
                <w:szCs w:val="22"/>
                <w:lang w:val="en-US"/>
              </w:rPr>
              <w:t>2)</w:t>
            </w:r>
          </w:p>
        </w:tc>
        <w:tc>
          <w:tcPr>
            <w:tcW w:w="2268" w:type="dxa"/>
            <w:tcBorders>
              <w:top w:val="single" w:sz="8" w:space="0" w:color="000000"/>
              <w:left w:val="single" w:sz="8" w:space="0" w:color="000000"/>
              <w:bottom w:val="single" w:sz="8" w:space="0" w:color="000000"/>
              <w:right w:val="single" w:sz="8" w:space="0" w:color="000000"/>
            </w:tcBorders>
            <w:hideMark/>
          </w:tcPr>
          <w:p w14:paraId="21124B2D" w14:textId="77777777" w:rsidR="00CA08B3" w:rsidRPr="00FB2719" w:rsidRDefault="00CA08B3">
            <w:pPr>
              <w:spacing w:line="239" w:lineRule="exact"/>
              <w:ind w:left="8" w:right="-20"/>
              <w:rPr>
                <w:sz w:val="22"/>
                <w:szCs w:val="22"/>
                <w:lang w:val="en-US"/>
              </w:rPr>
            </w:pPr>
            <w:r w:rsidRPr="00FB2719">
              <w:rPr>
                <w:sz w:val="22"/>
                <w:szCs w:val="22"/>
                <w:lang w:val="en-US"/>
              </w:rPr>
              <w:t>4</w:t>
            </w:r>
            <w:r w:rsidRPr="00FB2719">
              <w:rPr>
                <w:spacing w:val="8"/>
                <w:sz w:val="22"/>
                <w:szCs w:val="22"/>
                <w:lang w:val="en-US"/>
              </w:rPr>
              <w:t>,</w:t>
            </w:r>
            <w:r w:rsidRPr="00FB2719">
              <w:rPr>
                <w:sz w:val="22"/>
                <w:szCs w:val="22"/>
                <w:lang w:val="en-US"/>
              </w:rPr>
              <w:t>3</w:t>
            </w:r>
            <w:r w:rsidRPr="00FB2719">
              <w:rPr>
                <w:spacing w:val="12"/>
                <w:sz w:val="22"/>
                <w:szCs w:val="22"/>
                <w:lang w:val="en-US"/>
              </w:rPr>
              <w:t xml:space="preserve"> </w:t>
            </w:r>
            <w:r w:rsidRPr="00FB2719">
              <w:rPr>
                <w:spacing w:val="5"/>
                <w:w w:val="101"/>
                <w:sz w:val="22"/>
                <w:szCs w:val="22"/>
                <w:lang w:val="en-US"/>
              </w:rPr>
              <w:t>(</w:t>
            </w:r>
            <w:r w:rsidRPr="00FB2719">
              <w:rPr>
                <w:w w:val="101"/>
                <w:sz w:val="22"/>
                <w:szCs w:val="22"/>
                <w:lang w:val="en-US"/>
              </w:rPr>
              <w:t>39</w:t>
            </w:r>
            <w:r w:rsidRPr="00FB2719">
              <w:rPr>
                <w:spacing w:val="8"/>
                <w:w w:val="101"/>
                <w:sz w:val="22"/>
                <w:szCs w:val="22"/>
                <w:lang w:val="en-US"/>
              </w:rPr>
              <w:t>,</w:t>
            </w:r>
            <w:r w:rsidRPr="00FB2719">
              <w:rPr>
                <w:w w:val="101"/>
                <w:sz w:val="22"/>
                <w:szCs w:val="22"/>
                <w:lang w:val="en-US"/>
              </w:rPr>
              <w:t>0)</w:t>
            </w:r>
          </w:p>
        </w:tc>
        <w:tc>
          <w:tcPr>
            <w:tcW w:w="2570" w:type="dxa"/>
            <w:tcBorders>
              <w:top w:val="single" w:sz="8" w:space="0" w:color="000000"/>
              <w:left w:val="single" w:sz="8" w:space="0" w:color="000000"/>
              <w:bottom w:val="single" w:sz="8" w:space="0" w:color="000000"/>
              <w:right w:val="single" w:sz="8" w:space="0" w:color="000000"/>
            </w:tcBorders>
            <w:hideMark/>
          </w:tcPr>
          <w:p w14:paraId="55DAC4E7" w14:textId="77777777" w:rsidR="00CA08B3" w:rsidRPr="00FB2719" w:rsidRDefault="00CA08B3">
            <w:pPr>
              <w:spacing w:line="239" w:lineRule="exact"/>
              <w:ind w:left="8" w:right="-20"/>
              <w:rPr>
                <w:sz w:val="22"/>
                <w:szCs w:val="22"/>
                <w:lang w:val="en-US"/>
              </w:rPr>
            </w:pPr>
            <w:r w:rsidRPr="00FB2719">
              <w:rPr>
                <w:sz w:val="22"/>
                <w:szCs w:val="22"/>
                <w:lang w:val="en-US"/>
              </w:rPr>
              <w:t>6</w:t>
            </w:r>
            <w:r w:rsidRPr="00FB2719">
              <w:rPr>
                <w:spacing w:val="8"/>
                <w:sz w:val="22"/>
                <w:szCs w:val="22"/>
                <w:lang w:val="en-US"/>
              </w:rPr>
              <w:t>,</w:t>
            </w:r>
            <w:r w:rsidRPr="00FB2719">
              <w:rPr>
                <w:sz w:val="22"/>
                <w:szCs w:val="22"/>
                <w:lang w:val="en-US"/>
              </w:rPr>
              <w:t>5</w:t>
            </w:r>
            <w:r w:rsidRPr="00FB2719">
              <w:rPr>
                <w:spacing w:val="12"/>
                <w:sz w:val="22"/>
                <w:szCs w:val="22"/>
                <w:lang w:val="en-US"/>
              </w:rPr>
              <w:t xml:space="preserve"> </w:t>
            </w:r>
            <w:r w:rsidRPr="00FB2719">
              <w:rPr>
                <w:spacing w:val="5"/>
                <w:w w:val="101"/>
                <w:sz w:val="22"/>
                <w:szCs w:val="22"/>
                <w:lang w:val="en-US"/>
              </w:rPr>
              <w:t>(</w:t>
            </w:r>
            <w:r w:rsidRPr="00FB2719">
              <w:rPr>
                <w:w w:val="101"/>
                <w:sz w:val="22"/>
                <w:szCs w:val="22"/>
                <w:lang w:val="en-US"/>
              </w:rPr>
              <w:t>40</w:t>
            </w:r>
            <w:r w:rsidRPr="00FB2719">
              <w:rPr>
                <w:spacing w:val="8"/>
                <w:w w:val="101"/>
                <w:sz w:val="22"/>
                <w:szCs w:val="22"/>
                <w:lang w:val="en-US"/>
              </w:rPr>
              <w:t>,</w:t>
            </w:r>
            <w:r w:rsidRPr="00FB2719">
              <w:rPr>
                <w:w w:val="101"/>
                <w:sz w:val="22"/>
                <w:szCs w:val="22"/>
                <w:lang w:val="en-US"/>
              </w:rPr>
              <w:t>4)</w:t>
            </w:r>
          </w:p>
        </w:tc>
      </w:tr>
      <w:tr w:rsidR="00CA08B3" w:rsidRPr="00FB2719" w14:paraId="714506D9" w14:textId="77777777" w:rsidTr="00CA08B3">
        <w:trPr>
          <w:trHeight w:val="704"/>
        </w:trPr>
        <w:tc>
          <w:tcPr>
            <w:tcW w:w="9280" w:type="dxa"/>
            <w:gridSpan w:val="4"/>
            <w:tcBorders>
              <w:top w:val="single" w:sz="8" w:space="0" w:color="000000"/>
              <w:left w:val="single" w:sz="8" w:space="0" w:color="000000"/>
              <w:bottom w:val="single" w:sz="8" w:space="0" w:color="000000"/>
              <w:right w:val="single" w:sz="8" w:space="0" w:color="000000"/>
            </w:tcBorders>
            <w:hideMark/>
          </w:tcPr>
          <w:p w14:paraId="3139043E" w14:textId="77777777" w:rsidR="00CA08B3" w:rsidRPr="00FB2719" w:rsidRDefault="00CA08B3">
            <w:pPr>
              <w:spacing w:line="235" w:lineRule="exact"/>
              <w:ind w:left="8" w:right="-20"/>
              <w:rPr>
                <w:sz w:val="22"/>
                <w:szCs w:val="22"/>
              </w:rPr>
            </w:pPr>
            <w:r w:rsidRPr="00FB2719">
              <w:rPr>
                <w:sz w:val="22"/>
                <w:szCs w:val="22"/>
              </w:rPr>
              <w:t>* n=18 C</w:t>
            </w:r>
            <w:r w:rsidRPr="00FB2719">
              <w:rPr>
                <w:sz w:val="22"/>
                <w:szCs w:val="22"/>
                <w:vertAlign w:val="subscript"/>
              </w:rPr>
              <w:t>max</w:t>
            </w:r>
          </w:p>
          <w:p w14:paraId="73647E0F" w14:textId="77777777" w:rsidR="00CA08B3" w:rsidRPr="00FB2719" w:rsidRDefault="00CA08B3" w:rsidP="005B415B">
            <w:pPr>
              <w:spacing w:line="276" w:lineRule="auto"/>
              <w:ind w:left="6" w:right="-23"/>
              <w:rPr>
                <w:sz w:val="22"/>
                <w:szCs w:val="22"/>
              </w:rPr>
            </w:pPr>
            <w:r w:rsidRPr="00FB2719">
              <w:rPr>
                <w:sz w:val="22"/>
                <w:szCs w:val="22"/>
              </w:rPr>
              <w:t>** n=16 C</w:t>
            </w:r>
            <w:r w:rsidRPr="00FB2719">
              <w:rPr>
                <w:sz w:val="22"/>
                <w:szCs w:val="22"/>
                <w:vertAlign w:val="subscript"/>
              </w:rPr>
              <w:t>prieš dozę</w:t>
            </w:r>
          </w:p>
        </w:tc>
      </w:tr>
    </w:tbl>
    <w:p w14:paraId="0024A75A" w14:textId="77777777" w:rsidR="00CA08B3" w:rsidRPr="00FB2719" w:rsidRDefault="00CA08B3" w:rsidP="00CA08B3">
      <w:pPr>
        <w:tabs>
          <w:tab w:val="left" w:pos="567"/>
        </w:tabs>
        <w:rPr>
          <w:sz w:val="22"/>
          <w:szCs w:val="22"/>
        </w:rPr>
      </w:pPr>
    </w:p>
    <w:p w14:paraId="1934C632" w14:textId="77777777" w:rsidR="00CA08B3" w:rsidRPr="00FB2719" w:rsidRDefault="00CA08B3" w:rsidP="00CA08B3">
      <w:pPr>
        <w:tabs>
          <w:tab w:val="left" w:pos="567"/>
        </w:tabs>
        <w:rPr>
          <w:i/>
          <w:sz w:val="22"/>
          <w:szCs w:val="22"/>
        </w:rPr>
      </w:pPr>
      <w:r w:rsidRPr="00FB2719">
        <w:rPr>
          <w:i/>
          <w:sz w:val="22"/>
          <w:szCs w:val="22"/>
        </w:rPr>
        <w:t>Sutrikusi inkstų funkcija</w:t>
      </w:r>
    </w:p>
    <w:p w14:paraId="18A41CDF" w14:textId="77777777" w:rsidR="00CA08B3" w:rsidRPr="00FB2719" w:rsidRDefault="00CA08B3" w:rsidP="00CA08B3">
      <w:pPr>
        <w:tabs>
          <w:tab w:val="left" w:pos="567"/>
        </w:tabs>
        <w:rPr>
          <w:sz w:val="22"/>
          <w:szCs w:val="22"/>
        </w:rPr>
      </w:pPr>
      <w:r w:rsidRPr="00FB2719">
        <w:rPr>
          <w:sz w:val="22"/>
          <w:szCs w:val="22"/>
        </w:rPr>
        <w:t>Pacientams, kurių inkstų veikla nepakankama, lopinaviro / ritonaviro derinio farmakokinetika netirta; vis dėlto, kadangi lopinaviro inkstų klirensas yra nedidelis, nesitikima, kad bendras organizmo klirensas sumažėtų pacientams, kuriems yra inkstų nepakankamumas.</w:t>
      </w:r>
    </w:p>
    <w:p w14:paraId="6AF45B66" w14:textId="77777777" w:rsidR="00CA08B3" w:rsidRPr="00FB2719" w:rsidRDefault="00CA08B3" w:rsidP="00CA08B3">
      <w:pPr>
        <w:tabs>
          <w:tab w:val="left" w:pos="567"/>
        </w:tabs>
        <w:rPr>
          <w:i/>
          <w:sz w:val="22"/>
          <w:szCs w:val="22"/>
        </w:rPr>
      </w:pPr>
    </w:p>
    <w:p w14:paraId="3B6359E3" w14:textId="77777777" w:rsidR="00CA08B3" w:rsidRPr="00FB2719" w:rsidRDefault="00CA08B3" w:rsidP="00CA08B3">
      <w:pPr>
        <w:tabs>
          <w:tab w:val="left" w:pos="567"/>
        </w:tabs>
        <w:rPr>
          <w:i/>
          <w:sz w:val="22"/>
          <w:szCs w:val="22"/>
        </w:rPr>
      </w:pPr>
      <w:r w:rsidRPr="00FB2719">
        <w:rPr>
          <w:i/>
          <w:sz w:val="22"/>
          <w:szCs w:val="22"/>
        </w:rPr>
        <w:t>Sutrikusi kepenų funkcija</w:t>
      </w:r>
    </w:p>
    <w:p w14:paraId="6D7C32DA" w14:textId="502E6559" w:rsidR="00CA08B3" w:rsidRPr="00FB2719" w:rsidRDefault="00CA08B3" w:rsidP="00CA08B3">
      <w:pPr>
        <w:tabs>
          <w:tab w:val="left" w:pos="567"/>
        </w:tabs>
        <w:rPr>
          <w:sz w:val="22"/>
          <w:szCs w:val="22"/>
        </w:rPr>
      </w:pPr>
      <w:r w:rsidRPr="00FB2719">
        <w:rPr>
          <w:sz w:val="22"/>
          <w:szCs w:val="22"/>
        </w:rPr>
        <w:t>Kartotinių dozių tyrime, kuriame dalyvavę pacientai vartojo lopinaviro / ritonaviro 400</w:t>
      </w:r>
      <w:r w:rsidR="000853B0" w:rsidRPr="00FB2719">
        <w:rPr>
          <w:sz w:val="22"/>
          <w:szCs w:val="22"/>
        </w:rPr>
        <w:t> </w:t>
      </w:r>
      <w:r w:rsidR="00F5410F" w:rsidRPr="00FB2719">
        <w:t>mg</w:t>
      </w:r>
      <w:r w:rsidRPr="00FB2719">
        <w:rPr>
          <w:sz w:val="22"/>
          <w:szCs w:val="22"/>
        </w:rPr>
        <w:t>/100</w:t>
      </w:r>
      <w:r w:rsidR="005B415B" w:rsidRPr="00FB2719">
        <w:rPr>
          <w:sz w:val="22"/>
          <w:szCs w:val="22"/>
        </w:rPr>
        <w:t> </w:t>
      </w:r>
      <w:r w:rsidRPr="00FB2719">
        <w:rPr>
          <w:sz w:val="22"/>
          <w:szCs w:val="22"/>
        </w:rPr>
        <w:t>mg derinio 2</w:t>
      </w:r>
      <w:r w:rsidR="005B415B" w:rsidRPr="00FB2719">
        <w:rPr>
          <w:sz w:val="22"/>
          <w:szCs w:val="22"/>
        </w:rPr>
        <w:t> </w:t>
      </w:r>
      <w:r w:rsidRPr="00FB2719">
        <w:rPr>
          <w:sz w:val="22"/>
          <w:szCs w:val="22"/>
        </w:rPr>
        <w:t>kartus per parą, nusistovėjus pusiausvyrinei apykaitai buvo palyginta lopinaviro vidutiniai farmakokinetikos parametrai ŽIV infekuotiems pacientams, kuriems yra lengvas ir vidutinio sunkumo kepenų funkcijos sutrikimas ir ŽIV infekuotiems pacientams, kurių kepenų funkcija normali. Buvo pastebėtas nedidelis suminės (bendros) lopinaviro koncentracijos padidėjimas maždaug 30 %, kuris, tikėtina, nėra kliniškai svarbus (žr. 4.2 skyrių).</w:t>
      </w:r>
    </w:p>
    <w:p w14:paraId="50B7C9C8" w14:textId="77777777" w:rsidR="00CA08B3" w:rsidRPr="00FB2719" w:rsidRDefault="00CA08B3" w:rsidP="00CA08B3">
      <w:pPr>
        <w:tabs>
          <w:tab w:val="left" w:pos="567"/>
        </w:tabs>
        <w:rPr>
          <w:sz w:val="22"/>
          <w:szCs w:val="22"/>
        </w:rPr>
      </w:pPr>
    </w:p>
    <w:p w14:paraId="35C4EFC6" w14:textId="77777777" w:rsidR="00CA08B3" w:rsidRPr="00FB2719" w:rsidRDefault="00CA08B3" w:rsidP="00CA08B3">
      <w:pPr>
        <w:keepNext/>
        <w:tabs>
          <w:tab w:val="left" w:pos="567"/>
        </w:tabs>
        <w:jc w:val="both"/>
        <w:rPr>
          <w:b/>
          <w:bCs/>
          <w:sz w:val="22"/>
          <w:szCs w:val="22"/>
        </w:rPr>
      </w:pPr>
      <w:r w:rsidRPr="00FB2719">
        <w:rPr>
          <w:b/>
          <w:bCs/>
          <w:sz w:val="22"/>
          <w:szCs w:val="22"/>
        </w:rPr>
        <w:t>5.3</w:t>
      </w:r>
      <w:r w:rsidRPr="00FB2719">
        <w:rPr>
          <w:b/>
          <w:bCs/>
          <w:sz w:val="22"/>
          <w:szCs w:val="22"/>
        </w:rPr>
        <w:tab/>
        <w:t>Ikiklinikinių saugumo tyrimų duomenys</w:t>
      </w:r>
    </w:p>
    <w:p w14:paraId="5F2F4AE8" w14:textId="77777777" w:rsidR="00CA08B3" w:rsidRPr="00FB2719" w:rsidRDefault="00CA08B3" w:rsidP="00CA08B3">
      <w:pPr>
        <w:tabs>
          <w:tab w:val="left" w:pos="567"/>
        </w:tabs>
        <w:jc w:val="both"/>
        <w:rPr>
          <w:b/>
          <w:bCs/>
          <w:sz w:val="22"/>
          <w:szCs w:val="22"/>
        </w:rPr>
      </w:pPr>
    </w:p>
    <w:p w14:paraId="3459872A" w14:textId="77777777" w:rsidR="00CA08B3" w:rsidRPr="00FB2719" w:rsidRDefault="00CA08B3" w:rsidP="00CA08B3">
      <w:pPr>
        <w:autoSpaceDE w:val="0"/>
        <w:autoSpaceDN w:val="0"/>
        <w:adjustRightInd w:val="0"/>
        <w:rPr>
          <w:sz w:val="22"/>
          <w:szCs w:val="22"/>
        </w:rPr>
      </w:pPr>
      <w:r w:rsidRPr="00FB2719">
        <w:rPr>
          <w:sz w:val="22"/>
          <w:szCs w:val="22"/>
        </w:rPr>
        <w:t>Kartotinių dozių toksiškumo graužikams ir šunims tyrimais nustatyta, kad pagrindiniai organai taikiniai yra kepenys, inkstai, skydliaukė, blužnis ir cirkuliuojantys raudonieji kraujo kūneliai. Kepenų pokyčius rodo ląstelių paburkimas su židinine degeneracija. Nors ekspozicija, dėl kurios atsirado šių pokyčių, buvo panaši ar mažesnė negu klinikinė ekspozicija žmogui, dozės gyvūnams buvo maždaug 6</w:t>
      </w:r>
      <w:r w:rsidR="005B415B" w:rsidRPr="00FB2719">
        <w:rPr>
          <w:sz w:val="22"/>
          <w:szCs w:val="22"/>
        </w:rPr>
        <w:t> </w:t>
      </w:r>
      <w:r w:rsidRPr="00FB2719">
        <w:rPr>
          <w:sz w:val="22"/>
          <w:szCs w:val="22"/>
        </w:rPr>
        <w:t xml:space="preserve">kartus didesnės už rekomenduojamas klinikines dozes. Neryški inkstų kanalėlių degeneracija nustatyta pelėms, kurioms ekspozicija buvo mažiausiai du kartus didesnė už rekomenduojamą žmogui. Žiurkių ir šunų inkstai buvo nepažeisti. Dėl sumažėjusio tiroksino kiekio daugiau išsiskyrė TSH ir pasireiškė žiurkių folikulinių skydliaukės ląstelių hipertrofija. Šie pokyčiai išnyko nutraukus veikliosios medžiagos vartojimą, jų nestebėta pelėms ir šunims. </w:t>
      </w:r>
      <w:r w:rsidRPr="00FB2719">
        <w:rPr>
          <w:i/>
          <w:sz w:val="22"/>
          <w:szCs w:val="22"/>
        </w:rPr>
        <w:t>Coombs</w:t>
      </w:r>
      <w:r w:rsidRPr="00FB2719">
        <w:rPr>
          <w:sz w:val="22"/>
          <w:szCs w:val="22"/>
        </w:rPr>
        <w:t xml:space="preserve"> neigiama anizocitozė ir poikilocitozė buvo pastebėta žiurkėms, bet jos nebuvo pelėms ir šunims. Padidėjusi blužnis su histiocitoze stebėta žiurkėms, bet šių pokyčių nebuvo kitų rūšių gyvūnams. Cholesterolio kiekis serume padidėjo graužikams, bet nepadidėjo šunims, o trigliceridų padaugėjo tik pelėms.</w:t>
      </w:r>
    </w:p>
    <w:p w14:paraId="69A32AC6" w14:textId="77777777" w:rsidR="00CA08B3" w:rsidRPr="00FB2719" w:rsidRDefault="00CA08B3" w:rsidP="00CA08B3">
      <w:pPr>
        <w:autoSpaceDE w:val="0"/>
        <w:autoSpaceDN w:val="0"/>
        <w:adjustRightInd w:val="0"/>
        <w:rPr>
          <w:sz w:val="22"/>
          <w:szCs w:val="22"/>
        </w:rPr>
      </w:pPr>
    </w:p>
    <w:p w14:paraId="33ACE9F0" w14:textId="77777777" w:rsidR="00CA08B3" w:rsidRPr="00FB2719" w:rsidRDefault="00CA08B3" w:rsidP="00CA08B3">
      <w:pPr>
        <w:autoSpaceDE w:val="0"/>
        <w:autoSpaceDN w:val="0"/>
        <w:adjustRightInd w:val="0"/>
        <w:rPr>
          <w:sz w:val="22"/>
          <w:szCs w:val="22"/>
        </w:rPr>
      </w:pPr>
      <w:r w:rsidRPr="00FB2719">
        <w:rPr>
          <w:sz w:val="22"/>
          <w:szCs w:val="22"/>
        </w:rPr>
        <w:t xml:space="preserve">Tiriant </w:t>
      </w:r>
      <w:r w:rsidRPr="00FB2719">
        <w:rPr>
          <w:i/>
          <w:sz w:val="22"/>
          <w:szCs w:val="22"/>
        </w:rPr>
        <w:t>in vitro</w:t>
      </w:r>
      <w:r w:rsidRPr="00FB2719">
        <w:rPr>
          <w:sz w:val="22"/>
          <w:szCs w:val="22"/>
        </w:rPr>
        <w:t>, 30 % klonuotų žmogaus širdies kalio kanalų (HERG) buvo slopinama esant didžiausiai tirtai lopinaviro / ritonaviro koncentracijai, atitinkančiai lopinaviro ekspoziciją, kuri atsiranda esant 7</w:t>
      </w:r>
      <w:r w:rsidR="005B415B" w:rsidRPr="00FB2719">
        <w:rPr>
          <w:sz w:val="22"/>
          <w:szCs w:val="22"/>
        </w:rPr>
        <w:t> </w:t>
      </w:r>
      <w:r w:rsidRPr="00FB2719">
        <w:rPr>
          <w:sz w:val="22"/>
          <w:szCs w:val="22"/>
        </w:rPr>
        <w:t>kartus didesniam bendram ir 15</w:t>
      </w:r>
      <w:r w:rsidR="005B415B" w:rsidRPr="00FB2719">
        <w:rPr>
          <w:sz w:val="22"/>
          <w:szCs w:val="22"/>
        </w:rPr>
        <w:t> </w:t>
      </w:r>
      <w:r w:rsidRPr="00FB2719">
        <w:rPr>
          <w:sz w:val="22"/>
          <w:szCs w:val="22"/>
        </w:rPr>
        <w:t>kartų didesniam didžiausiam lygiui už tą, kuris būna žmogui po didžiausios rekomenduojamos gydomosios dozės. Priešingai, panašios lopinaviro / ritonaviro derinio koncentracijos neuždelsė repoliarizacijos šunų širdies Purkinje skaidulose. Mažesnės lopinaviro / ritonaviro derinio koncentracijos reikšmingai neslopino kalio (HERG) srauto. Žiurkėms pasiskirstymo audiniuose tyrimai nerodo, kad daug aktyvaus junginio kauptųsi širdyje; 72</w:t>
      </w:r>
      <w:r w:rsidR="005B415B" w:rsidRPr="00FB2719">
        <w:rPr>
          <w:sz w:val="22"/>
          <w:szCs w:val="22"/>
        </w:rPr>
        <w:t> </w:t>
      </w:r>
      <w:r w:rsidRPr="00FB2719">
        <w:rPr>
          <w:sz w:val="22"/>
          <w:szCs w:val="22"/>
        </w:rPr>
        <w:t>val. AUC širdyje buvo maždaug 50 % plazmoje nustatytos AUC. Dėl to galima manyti, kad lopinaviro kiekis širdyje nebus žymiai didesnis negu plazmoje.</w:t>
      </w:r>
    </w:p>
    <w:p w14:paraId="0B976745" w14:textId="77777777" w:rsidR="00CA08B3" w:rsidRPr="00FB2719" w:rsidRDefault="00CA08B3" w:rsidP="00CA08B3">
      <w:pPr>
        <w:autoSpaceDE w:val="0"/>
        <w:autoSpaceDN w:val="0"/>
        <w:adjustRightInd w:val="0"/>
        <w:rPr>
          <w:sz w:val="22"/>
          <w:szCs w:val="22"/>
        </w:rPr>
      </w:pPr>
    </w:p>
    <w:p w14:paraId="4A6175B1" w14:textId="77777777" w:rsidR="00CA08B3" w:rsidRPr="00FB2719" w:rsidRDefault="00CA08B3" w:rsidP="00CA08B3">
      <w:pPr>
        <w:autoSpaceDE w:val="0"/>
        <w:autoSpaceDN w:val="0"/>
        <w:adjustRightInd w:val="0"/>
        <w:rPr>
          <w:sz w:val="22"/>
          <w:szCs w:val="22"/>
        </w:rPr>
      </w:pPr>
      <w:r w:rsidRPr="00FB2719">
        <w:rPr>
          <w:sz w:val="22"/>
          <w:szCs w:val="22"/>
        </w:rPr>
        <w:lastRenderedPageBreak/>
        <w:t>Šunų elektrokardiogramoje pastebėtos ryškios U bangos, susijusios su pailgėjusiu PR intervalu ir bradikardija. Manoma, kad šiuos pokyčius gali sukelti elektrolitų sutrikimai.</w:t>
      </w:r>
    </w:p>
    <w:p w14:paraId="17ECE6E9" w14:textId="77777777" w:rsidR="00CA08B3" w:rsidRPr="00FB2719" w:rsidRDefault="00CA08B3" w:rsidP="00CA08B3">
      <w:pPr>
        <w:autoSpaceDE w:val="0"/>
        <w:autoSpaceDN w:val="0"/>
        <w:adjustRightInd w:val="0"/>
        <w:rPr>
          <w:sz w:val="22"/>
          <w:szCs w:val="22"/>
        </w:rPr>
      </w:pPr>
    </w:p>
    <w:p w14:paraId="766349CA" w14:textId="77777777" w:rsidR="00CA08B3" w:rsidRPr="00FB2719" w:rsidRDefault="00CA08B3" w:rsidP="00CA08B3">
      <w:pPr>
        <w:autoSpaceDE w:val="0"/>
        <w:autoSpaceDN w:val="0"/>
        <w:adjustRightInd w:val="0"/>
        <w:rPr>
          <w:sz w:val="22"/>
          <w:szCs w:val="22"/>
        </w:rPr>
      </w:pPr>
      <w:r w:rsidRPr="00FB2719">
        <w:rPr>
          <w:sz w:val="22"/>
          <w:szCs w:val="22"/>
        </w:rPr>
        <w:t>Klinikinė šių ikiklinikinių duomenų reikšmė nežinoma, tačiau negalima paneigti šio vaistinio preparato galimo poveikio žmogaus širdžiai (taip pat žr. 4.4 ir 4.8 skyrius).</w:t>
      </w:r>
    </w:p>
    <w:p w14:paraId="5A12BFB8" w14:textId="77777777" w:rsidR="00CA08B3" w:rsidRPr="00FB2719" w:rsidRDefault="00CA08B3" w:rsidP="00CA08B3">
      <w:pPr>
        <w:autoSpaceDE w:val="0"/>
        <w:autoSpaceDN w:val="0"/>
        <w:adjustRightInd w:val="0"/>
        <w:rPr>
          <w:sz w:val="22"/>
          <w:szCs w:val="22"/>
        </w:rPr>
      </w:pPr>
    </w:p>
    <w:p w14:paraId="1C51E112" w14:textId="77777777" w:rsidR="00CA08B3" w:rsidRPr="00FB2719" w:rsidRDefault="00CA08B3" w:rsidP="00CA08B3">
      <w:pPr>
        <w:autoSpaceDE w:val="0"/>
        <w:autoSpaceDN w:val="0"/>
        <w:adjustRightInd w:val="0"/>
        <w:rPr>
          <w:sz w:val="22"/>
          <w:szCs w:val="22"/>
        </w:rPr>
      </w:pPr>
      <w:r w:rsidRPr="00FB2719">
        <w:rPr>
          <w:sz w:val="22"/>
          <w:szCs w:val="22"/>
        </w:rPr>
        <w:t>Žiurkių patelėms, gavusioms patelei toksiškas dozes, pastebėtas embriofetotoksinis poveikis (vaikingumo nutrūkimas, sumažėjęs vaisiaus gyvybingumas, sumažėjęs vaisiaus kūno svoris, padažnėję skeleto pokyčiai) ir toksinis poveikis atsivestų jauniklių vystymuisi (sumažėjęs jauniklių išgyvenamumas). Sisteminė lopinaviro / ritonaviro derinio ekspozicija, skiriant patelei ir vaisiaus raidai toksines dozes, buvo mažesnė negu tikėtina gydomoji ekspozicija žmogui.</w:t>
      </w:r>
    </w:p>
    <w:p w14:paraId="0C34203F" w14:textId="77777777" w:rsidR="00CA08B3" w:rsidRPr="00FB2719" w:rsidRDefault="00CA08B3" w:rsidP="00CA08B3">
      <w:pPr>
        <w:autoSpaceDE w:val="0"/>
        <w:autoSpaceDN w:val="0"/>
        <w:adjustRightInd w:val="0"/>
        <w:rPr>
          <w:sz w:val="22"/>
          <w:szCs w:val="22"/>
        </w:rPr>
      </w:pPr>
    </w:p>
    <w:p w14:paraId="46C5C6E9" w14:textId="77777777" w:rsidR="00CA08B3" w:rsidRPr="00FB2719" w:rsidRDefault="00CA08B3" w:rsidP="00CA08B3">
      <w:pPr>
        <w:autoSpaceDE w:val="0"/>
        <w:autoSpaceDN w:val="0"/>
        <w:adjustRightInd w:val="0"/>
        <w:rPr>
          <w:sz w:val="22"/>
          <w:szCs w:val="22"/>
        </w:rPr>
      </w:pPr>
      <w:r w:rsidRPr="00FB2719">
        <w:rPr>
          <w:sz w:val="22"/>
          <w:szCs w:val="22"/>
        </w:rPr>
        <w:t xml:space="preserve">Ilgalaikiai pelių lopinaviro / ritonaviro derinio kancerogeniškumo tyrimai atskleidė negenotoksinę, kepenų navikų mitogeninę indukciją, kuri, manoma, yra mažai reikšminga žmogui. </w:t>
      </w:r>
    </w:p>
    <w:p w14:paraId="2C6CB110" w14:textId="77777777" w:rsidR="00CA08B3" w:rsidRPr="00FB2719" w:rsidRDefault="00CA08B3" w:rsidP="00CA08B3">
      <w:pPr>
        <w:autoSpaceDE w:val="0"/>
        <w:autoSpaceDN w:val="0"/>
        <w:adjustRightInd w:val="0"/>
        <w:rPr>
          <w:sz w:val="22"/>
          <w:szCs w:val="22"/>
        </w:rPr>
      </w:pPr>
    </w:p>
    <w:p w14:paraId="60D1732D" w14:textId="77777777" w:rsidR="00CA08B3" w:rsidRPr="00FB2719" w:rsidRDefault="00CA08B3" w:rsidP="00CA08B3">
      <w:pPr>
        <w:autoSpaceDE w:val="0"/>
        <w:autoSpaceDN w:val="0"/>
        <w:adjustRightInd w:val="0"/>
        <w:rPr>
          <w:sz w:val="22"/>
          <w:szCs w:val="22"/>
        </w:rPr>
      </w:pPr>
      <w:r w:rsidRPr="00FB2719">
        <w:rPr>
          <w:sz w:val="22"/>
          <w:szCs w:val="22"/>
        </w:rPr>
        <w:t xml:space="preserve">Žiurkių kancerogeniškumo tyrimai neparodė jokio tumorogeninio poveikio. </w:t>
      </w:r>
      <w:r w:rsidRPr="00FB2719">
        <w:rPr>
          <w:i/>
          <w:sz w:val="22"/>
          <w:szCs w:val="22"/>
        </w:rPr>
        <w:t>In vitro</w:t>
      </w:r>
      <w:r w:rsidRPr="00FB2719">
        <w:rPr>
          <w:sz w:val="22"/>
          <w:szCs w:val="22"/>
        </w:rPr>
        <w:t xml:space="preserve"> ir </w:t>
      </w:r>
      <w:r w:rsidRPr="00FB2719">
        <w:rPr>
          <w:i/>
          <w:sz w:val="22"/>
          <w:szCs w:val="22"/>
        </w:rPr>
        <w:t>in vivo</w:t>
      </w:r>
      <w:r w:rsidRPr="00FB2719">
        <w:rPr>
          <w:sz w:val="22"/>
          <w:szCs w:val="22"/>
        </w:rPr>
        <w:t xml:space="preserve"> tyrimų rinkinio, įskaitant </w:t>
      </w:r>
      <w:r w:rsidRPr="00FB2719">
        <w:rPr>
          <w:i/>
          <w:sz w:val="22"/>
          <w:szCs w:val="22"/>
        </w:rPr>
        <w:t>Ames</w:t>
      </w:r>
      <w:r w:rsidRPr="00FB2719">
        <w:rPr>
          <w:sz w:val="22"/>
          <w:szCs w:val="22"/>
        </w:rPr>
        <w:t xml:space="preserve"> bakterijų atvirkštinės mutacijos testą, pelių limfomos testą, pelės mikrobranduolių testą ir chromosomų aberacijos testą, duomenimis, lopinaviro / ritonaviro derinys mutageninio ir klastogeninio poveikio nesukelia. </w:t>
      </w:r>
    </w:p>
    <w:p w14:paraId="5E3C604F" w14:textId="77777777" w:rsidR="00CA08B3" w:rsidRPr="00FB2719" w:rsidRDefault="00CA08B3" w:rsidP="00CA08B3">
      <w:pPr>
        <w:rPr>
          <w:sz w:val="22"/>
          <w:szCs w:val="22"/>
        </w:rPr>
      </w:pPr>
    </w:p>
    <w:p w14:paraId="4D47A42B" w14:textId="77777777" w:rsidR="00CA08B3" w:rsidRPr="00FB2719" w:rsidRDefault="00CA08B3" w:rsidP="00CA08B3">
      <w:pPr>
        <w:rPr>
          <w:sz w:val="22"/>
          <w:szCs w:val="22"/>
        </w:rPr>
      </w:pPr>
    </w:p>
    <w:p w14:paraId="5071EDEC" w14:textId="77777777" w:rsidR="00CA08B3" w:rsidRPr="00FB2719" w:rsidRDefault="00CA08B3" w:rsidP="00CA08B3">
      <w:pPr>
        <w:ind w:left="540" w:hanging="540"/>
        <w:jc w:val="both"/>
        <w:rPr>
          <w:b/>
          <w:bCs/>
          <w:sz w:val="22"/>
          <w:szCs w:val="22"/>
        </w:rPr>
      </w:pPr>
      <w:r w:rsidRPr="00FB2719">
        <w:rPr>
          <w:b/>
          <w:bCs/>
          <w:sz w:val="22"/>
          <w:szCs w:val="22"/>
        </w:rPr>
        <w:t>6.</w:t>
      </w:r>
      <w:r w:rsidRPr="00FB2719">
        <w:rPr>
          <w:b/>
          <w:bCs/>
          <w:sz w:val="22"/>
          <w:szCs w:val="22"/>
        </w:rPr>
        <w:tab/>
        <w:t>FARMACINĖ INFORMACIJA</w:t>
      </w:r>
    </w:p>
    <w:p w14:paraId="3DC14A94" w14:textId="77777777" w:rsidR="00CA08B3" w:rsidRPr="00FB2719" w:rsidRDefault="00CA08B3" w:rsidP="00CA08B3">
      <w:pPr>
        <w:jc w:val="both"/>
        <w:rPr>
          <w:b/>
          <w:bCs/>
          <w:sz w:val="22"/>
          <w:szCs w:val="22"/>
        </w:rPr>
      </w:pPr>
    </w:p>
    <w:p w14:paraId="3B56F36C" w14:textId="77777777" w:rsidR="00CA08B3" w:rsidRPr="00FB2719" w:rsidRDefault="00CA08B3" w:rsidP="00CA08B3">
      <w:pPr>
        <w:ind w:left="540" w:hanging="540"/>
        <w:jc w:val="both"/>
        <w:rPr>
          <w:b/>
          <w:bCs/>
          <w:sz w:val="22"/>
          <w:szCs w:val="22"/>
        </w:rPr>
      </w:pPr>
      <w:r w:rsidRPr="00FB2719">
        <w:rPr>
          <w:b/>
          <w:bCs/>
          <w:sz w:val="22"/>
          <w:szCs w:val="22"/>
        </w:rPr>
        <w:t>6.1</w:t>
      </w:r>
      <w:r w:rsidRPr="00FB2719">
        <w:rPr>
          <w:b/>
          <w:bCs/>
          <w:sz w:val="22"/>
          <w:szCs w:val="22"/>
        </w:rPr>
        <w:tab/>
        <w:t>Pagalbinių medžiagų sąrašas</w:t>
      </w:r>
    </w:p>
    <w:p w14:paraId="11C5400B" w14:textId="77777777" w:rsidR="00CA08B3" w:rsidRPr="00FB2719" w:rsidRDefault="00CA08B3" w:rsidP="00CA08B3">
      <w:pPr>
        <w:jc w:val="both"/>
        <w:rPr>
          <w:b/>
          <w:bCs/>
          <w:sz w:val="22"/>
          <w:szCs w:val="22"/>
        </w:rPr>
      </w:pPr>
    </w:p>
    <w:p w14:paraId="57369640" w14:textId="77777777" w:rsidR="00CA08B3" w:rsidRPr="00FB2719" w:rsidRDefault="00CA08B3" w:rsidP="00CA08B3">
      <w:pPr>
        <w:pStyle w:val="Pagrindinistekstas"/>
        <w:spacing w:line="240" w:lineRule="auto"/>
        <w:rPr>
          <w:bCs/>
          <w:szCs w:val="22"/>
          <w:u w:val="single"/>
        </w:rPr>
      </w:pPr>
      <w:r w:rsidRPr="00FB2719">
        <w:rPr>
          <w:bCs/>
          <w:szCs w:val="22"/>
          <w:u w:val="single"/>
        </w:rPr>
        <w:t>Tabletės branduolys</w:t>
      </w:r>
    </w:p>
    <w:p w14:paraId="642EEE30" w14:textId="77777777" w:rsidR="00CA08B3" w:rsidRPr="00FB2719" w:rsidRDefault="00CA08B3" w:rsidP="00CA08B3">
      <w:pPr>
        <w:rPr>
          <w:sz w:val="22"/>
          <w:szCs w:val="22"/>
        </w:rPr>
      </w:pPr>
      <w:r w:rsidRPr="00FB2719">
        <w:rPr>
          <w:sz w:val="22"/>
          <w:szCs w:val="22"/>
        </w:rPr>
        <w:t>Kopovidonas K30</w:t>
      </w:r>
    </w:p>
    <w:p w14:paraId="77749893" w14:textId="77777777" w:rsidR="00CA08B3" w:rsidRPr="00FB2719" w:rsidRDefault="00CA08B3" w:rsidP="00CA08B3">
      <w:pPr>
        <w:rPr>
          <w:sz w:val="22"/>
          <w:szCs w:val="22"/>
        </w:rPr>
      </w:pPr>
      <w:r w:rsidRPr="00FB2719">
        <w:rPr>
          <w:sz w:val="22"/>
          <w:szCs w:val="22"/>
        </w:rPr>
        <w:t>Sorbitano lauratas</w:t>
      </w:r>
    </w:p>
    <w:p w14:paraId="4F0E4A3E" w14:textId="77777777" w:rsidR="00CA08B3" w:rsidRPr="00FB2719" w:rsidRDefault="00CA08B3" w:rsidP="00CA08B3">
      <w:pPr>
        <w:rPr>
          <w:sz w:val="22"/>
          <w:szCs w:val="22"/>
        </w:rPr>
      </w:pPr>
      <w:r w:rsidRPr="00FB2719">
        <w:rPr>
          <w:sz w:val="22"/>
          <w:szCs w:val="22"/>
        </w:rPr>
        <w:t>Bevandenis koloidinis silicio dioksidas</w:t>
      </w:r>
    </w:p>
    <w:p w14:paraId="72431CB0" w14:textId="77777777" w:rsidR="00CA08B3" w:rsidRPr="00FB2719" w:rsidRDefault="00CA08B3" w:rsidP="00CA08B3">
      <w:pPr>
        <w:rPr>
          <w:sz w:val="22"/>
          <w:szCs w:val="22"/>
        </w:rPr>
      </w:pPr>
      <w:r w:rsidRPr="00FB2719">
        <w:rPr>
          <w:sz w:val="22"/>
          <w:szCs w:val="22"/>
        </w:rPr>
        <w:t>Natrio stearilfumaratas</w:t>
      </w:r>
    </w:p>
    <w:p w14:paraId="13B088EC" w14:textId="77777777" w:rsidR="00CA08B3" w:rsidRPr="00FB2719" w:rsidRDefault="00CA08B3" w:rsidP="00CA08B3">
      <w:pPr>
        <w:rPr>
          <w:sz w:val="22"/>
          <w:szCs w:val="22"/>
        </w:rPr>
      </w:pPr>
    </w:p>
    <w:p w14:paraId="7681784F" w14:textId="77777777" w:rsidR="00CA08B3" w:rsidRPr="00FB2719" w:rsidRDefault="00CA08B3" w:rsidP="00CA08B3">
      <w:pPr>
        <w:pStyle w:val="Pagrindinistekstas2"/>
        <w:spacing w:line="240" w:lineRule="auto"/>
        <w:rPr>
          <w:sz w:val="22"/>
          <w:szCs w:val="22"/>
          <w:u w:val="single"/>
        </w:rPr>
      </w:pPr>
      <w:r w:rsidRPr="00FB2719">
        <w:rPr>
          <w:sz w:val="22"/>
          <w:szCs w:val="22"/>
          <w:u w:val="single"/>
        </w:rPr>
        <w:t>Tabletės plėvelė</w:t>
      </w:r>
    </w:p>
    <w:p w14:paraId="5FF15FD7" w14:textId="77777777" w:rsidR="00CA08B3" w:rsidRPr="00FB2719" w:rsidRDefault="00CA08B3" w:rsidP="00CA08B3">
      <w:pPr>
        <w:pStyle w:val="Pagrindinistekstas2"/>
        <w:spacing w:line="240" w:lineRule="auto"/>
        <w:rPr>
          <w:sz w:val="22"/>
          <w:szCs w:val="22"/>
        </w:rPr>
      </w:pPr>
      <w:r w:rsidRPr="00FB2719">
        <w:rPr>
          <w:sz w:val="22"/>
          <w:szCs w:val="22"/>
        </w:rPr>
        <w:t>HPMC 2910 / Hipromeliozė 6 cP (E464)</w:t>
      </w:r>
    </w:p>
    <w:p w14:paraId="49F69FBC" w14:textId="77777777" w:rsidR="00CA08B3" w:rsidRPr="00FB2719" w:rsidRDefault="00CA08B3" w:rsidP="00CA08B3">
      <w:pPr>
        <w:rPr>
          <w:sz w:val="22"/>
          <w:szCs w:val="22"/>
        </w:rPr>
      </w:pPr>
      <w:r w:rsidRPr="00FB2719">
        <w:rPr>
          <w:sz w:val="22"/>
          <w:szCs w:val="22"/>
        </w:rPr>
        <w:t xml:space="preserve">Titano dioksidas (E171) </w:t>
      </w:r>
    </w:p>
    <w:p w14:paraId="155AC6F7" w14:textId="77777777" w:rsidR="00CA08B3" w:rsidRPr="00FB2719" w:rsidRDefault="00CA08B3" w:rsidP="00CA08B3">
      <w:pPr>
        <w:rPr>
          <w:sz w:val="22"/>
          <w:szCs w:val="22"/>
        </w:rPr>
      </w:pPr>
      <w:r w:rsidRPr="00FB2719">
        <w:rPr>
          <w:sz w:val="22"/>
          <w:szCs w:val="22"/>
        </w:rPr>
        <w:t>Makrogolis 400</w:t>
      </w:r>
    </w:p>
    <w:p w14:paraId="568FB923" w14:textId="77777777" w:rsidR="00CA08B3" w:rsidRPr="00FB2719" w:rsidRDefault="00CA08B3" w:rsidP="00CA08B3">
      <w:pPr>
        <w:rPr>
          <w:sz w:val="22"/>
          <w:szCs w:val="22"/>
        </w:rPr>
      </w:pPr>
      <w:r w:rsidRPr="00FB2719">
        <w:rPr>
          <w:sz w:val="22"/>
          <w:szCs w:val="22"/>
        </w:rPr>
        <w:t>Hidroksipropilceliuliozė (E463)</w:t>
      </w:r>
    </w:p>
    <w:p w14:paraId="62BE5186" w14:textId="77777777" w:rsidR="00CA08B3" w:rsidRPr="00FB2719" w:rsidRDefault="00CA08B3" w:rsidP="00CA08B3">
      <w:pPr>
        <w:rPr>
          <w:sz w:val="22"/>
          <w:szCs w:val="22"/>
        </w:rPr>
      </w:pPr>
      <w:r w:rsidRPr="00FB2719">
        <w:rPr>
          <w:sz w:val="22"/>
          <w:szCs w:val="22"/>
        </w:rPr>
        <w:t>HPMC 2910 / Hipromeliozė 15 cP (E464)</w:t>
      </w:r>
    </w:p>
    <w:p w14:paraId="3A4A6B67" w14:textId="77777777" w:rsidR="00CA08B3" w:rsidRPr="00FB2719" w:rsidRDefault="00CA08B3" w:rsidP="00CA08B3">
      <w:pPr>
        <w:rPr>
          <w:sz w:val="22"/>
          <w:szCs w:val="22"/>
        </w:rPr>
      </w:pPr>
      <w:r w:rsidRPr="00FB2719">
        <w:rPr>
          <w:sz w:val="22"/>
          <w:szCs w:val="22"/>
        </w:rPr>
        <w:t>Talkas (E553b)</w:t>
      </w:r>
    </w:p>
    <w:p w14:paraId="54073392" w14:textId="77777777" w:rsidR="00CA08B3" w:rsidRPr="00FB2719" w:rsidRDefault="00CA08B3" w:rsidP="00CA08B3">
      <w:pPr>
        <w:rPr>
          <w:sz w:val="22"/>
          <w:szCs w:val="22"/>
        </w:rPr>
      </w:pPr>
      <w:r w:rsidRPr="00FB2719">
        <w:rPr>
          <w:sz w:val="22"/>
          <w:szCs w:val="22"/>
        </w:rPr>
        <w:t>Bevandenis koloidinis silicio dioksidas (E551)</w:t>
      </w:r>
    </w:p>
    <w:p w14:paraId="33524A1F" w14:textId="77777777" w:rsidR="00CA08B3" w:rsidRPr="00FB2719" w:rsidRDefault="00CA08B3" w:rsidP="00CA08B3">
      <w:pPr>
        <w:rPr>
          <w:sz w:val="22"/>
          <w:szCs w:val="22"/>
        </w:rPr>
      </w:pPr>
      <w:r w:rsidRPr="00FB2719">
        <w:rPr>
          <w:sz w:val="22"/>
          <w:szCs w:val="22"/>
        </w:rPr>
        <w:t xml:space="preserve">Makrogolis 3350 </w:t>
      </w:r>
    </w:p>
    <w:p w14:paraId="76F2582E" w14:textId="77777777" w:rsidR="00CA08B3" w:rsidRPr="00FB2719" w:rsidRDefault="00CA08B3" w:rsidP="00CA08B3">
      <w:pPr>
        <w:rPr>
          <w:sz w:val="22"/>
          <w:szCs w:val="22"/>
        </w:rPr>
      </w:pPr>
      <w:r w:rsidRPr="00FB2719">
        <w:rPr>
          <w:sz w:val="22"/>
          <w:szCs w:val="22"/>
        </w:rPr>
        <w:t>Geltonasis geležies oksidas (E172)</w:t>
      </w:r>
    </w:p>
    <w:p w14:paraId="4A2DE382" w14:textId="77777777" w:rsidR="00CA08B3" w:rsidRPr="00FB2719" w:rsidRDefault="00CA08B3" w:rsidP="00CA08B3">
      <w:pPr>
        <w:rPr>
          <w:sz w:val="22"/>
          <w:szCs w:val="22"/>
        </w:rPr>
      </w:pPr>
      <w:r w:rsidRPr="00FB2719">
        <w:rPr>
          <w:sz w:val="22"/>
          <w:szCs w:val="22"/>
        </w:rPr>
        <w:t>Polisorbatas 80 (E433)</w:t>
      </w:r>
    </w:p>
    <w:p w14:paraId="5D7DC35F" w14:textId="77777777" w:rsidR="00CA08B3" w:rsidRPr="00FB2719" w:rsidRDefault="00CA08B3" w:rsidP="00CA08B3">
      <w:pPr>
        <w:rPr>
          <w:sz w:val="22"/>
          <w:szCs w:val="22"/>
        </w:rPr>
      </w:pPr>
    </w:p>
    <w:p w14:paraId="3CBD08DA" w14:textId="77777777" w:rsidR="00CA08B3" w:rsidRPr="00FB2719" w:rsidRDefault="00CA08B3" w:rsidP="00CA08B3">
      <w:pPr>
        <w:ind w:left="540" w:hanging="540"/>
        <w:jc w:val="both"/>
        <w:rPr>
          <w:b/>
          <w:bCs/>
          <w:sz w:val="22"/>
          <w:szCs w:val="22"/>
        </w:rPr>
      </w:pPr>
      <w:r w:rsidRPr="00FB2719">
        <w:rPr>
          <w:b/>
          <w:bCs/>
          <w:sz w:val="22"/>
          <w:szCs w:val="22"/>
        </w:rPr>
        <w:t>6.2</w:t>
      </w:r>
      <w:r w:rsidRPr="00FB2719">
        <w:rPr>
          <w:b/>
          <w:bCs/>
          <w:sz w:val="22"/>
          <w:szCs w:val="22"/>
        </w:rPr>
        <w:tab/>
        <w:t>Nesuderinamumas</w:t>
      </w:r>
    </w:p>
    <w:p w14:paraId="3B0957E8" w14:textId="77777777" w:rsidR="00CA08B3" w:rsidRPr="00FB2719" w:rsidRDefault="00CA08B3" w:rsidP="00CA08B3">
      <w:pPr>
        <w:jc w:val="both"/>
        <w:rPr>
          <w:b/>
          <w:bCs/>
          <w:sz w:val="22"/>
          <w:szCs w:val="22"/>
        </w:rPr>
      </w:pPr>
    </w:p>
    <w:p w14:paraId="707E2869" w14:textId="77777777" w:rsidR="00CA08B3" w:rsidRPr="00FB2719" w:rsidRDefault="00CA08B3" w:rsidP="00CA08B3">
      <w:pPr>
        <w:jc w:val="both"/>
        <w:rPr>
          <w:sz w:val="22"/>
          <w:szCs w:val="22"/>
        </w:rPr>
      </w:pPr>
      <w:r w:rsidRPr="00FB2719">
        <w:rPr>
          <w:sz w:val="22"/>
          <w:szCs w:val="22"/>
        </w:rPr>
        <w:t>Duomenys nebūtini.</w:t>
      </w:r>
    </w:p>
    <w:p w14:paraId="32E128C6" w14:textId="77777777" w:rsidR="00CA08B3" w:rsidRPr="00FB2719" w:rsidRDefault="00CA08B3" w:rsidP="00CA08B3">
      <w:pPr>
        <w:jc w:val="both"/>
        <w:rPr>
          <w:b/>
          <w:bCs/>
          <w:sz w:val="22"/>
          <w:szCs w:val="22"/>
        </w:rPr>
      </w:pPr>
    </w:p>
    <w:p w14:paraId="02E60BAD" w14:textId="77777777" w:rsidR="00CA08B3" w:rsidRPr="00FB2719" w:rsidRDefault="00CA08B3" w:rsidP="00CA08B3">
      <w:pPr>
        <w:ind w:left="540" w:hanging="540"/>
        <w:jc w:val="both"/>
        <w:rPr>
          <w:b/>
          <w:bCs/>
          <w:sz w:val="22"/>
          <w:szCs w:val="22"/>
        </w:rPr>
      </w:pPr>
      <w:r w:rsidRPr="00FB2719">
        <w:rPr>
          <w:b/>
          <w:bCs/>
          <w:sz w:val="22"/>
          <w:szCs w:val="22"/>
        </w:rPr>
        <w:t>6.3</w:t>
      </w:r>
      <w:r w:rsidRPr="00FB2719">
        <w:rPr>
          <w:b/>
          <w:bCs/>
          <w:sz w:val="22"/>
          <w:szCs w:val="22"/>
        </w:rPr>
        <w:tab/>
        <w:t>Tinkamumo laikas</w:t>
      </w:r>
    </w:p>
    <w:p w14:paraId="4E5A93DC" w14:textId="77777777" w:rsidR="00CA08B3" w:rsidRPr="00FB2719" w:rsidRDefault="00CA08B3" w:rsidP="00CA08B3">
      <w:pPr>
        <w:jc w:val="both"/>
        <w:rPr>
          <w:b/>
          <w:bCs/>
          <w:sz w:val="22"/>
          <w:szCs w:val="22"/>
        </w:rPr>
      </w:pPr>
    </w:p>
    <w:p w14:paraId="03E7389E" w14:textId="77777777" w:rsidR="00CA08B3" w:rsidRPr="00FB2719" w:rsidRDefault="00CA08B3" w:rsidP="00CA08B3">
      <w:pPr>
        <w:pStyle w:val="Pagrindinistekstas"/>
        <w:spacing w:line="240" w:lineRule="auto"/>
        <w:rPr>
          <w:szCs w:val="22"/>
        </w:rPr>
      </w:pPr>
      <w:r w:rsidRPr="00FB2719">
        <w:rPr>
          <w:szCs w:val="22"/>
        </w:rPr>
        <w:t>DTPE buteliukai ir PVC/PVDC-Al lizdinės plokštelės: 2</w:t>
      </w:r>
      <w:r w:rsidR="005B415B" w:rsidRPr="00FB2719">
        <w:rPr>
          <w:szCs w:val="22"/>
        </w:rPr>
        <w:t> </w:t>
      </w:r>
      <w:r w:rsidRPr="00FB2719">
        <w:rPr>
          <w:szCs w:val="22"/>
        </w:rPr>
        <w:t>metai.</w:t>
      </w:r>
    </w:p>
    <w:p w14:paraId="5873B9C6" w14:textId="77777777" w:rsidR="00CA08B3" w:rsidRPr="00FB2719" w:rsidRDefault="00CA08B3" w:rsidP="00CA08B3">
      <w:pPr>
        <w:jc w:val="both"/>
        <w:rPr>
          <w:sz w:val="22"/>
          <w:szCs w:val="22"/>
        </w:rPr>
      </w:pPr>
    </w:p>
    <w:p w14:paraId="6AAAB97E" w14:textId="77777777" w:rsidR="00CA08B3" w:rsidRPr="00FB2719" w:rsidRDefault="00CA08B3" w:rsidP="00CA08B3">
      <w:pPr>
        <w:ind w:left="540" w:hanging="540"/>
        <w:jc w:val="both"/>
        <w:rPr>
          <w:b/>
          <w:bCs/>
          <w:sz w:val="22"/>
          <w:szCs w:val="22"/>
        </w:rPr>
      </w:pPr>
      <w:r w:rsidRPr="00FB2719">
        <w:rPr>
          <w:b/>
          <w:bCs/>
          <w:sz w:val="22"/>
          <w:szCs w:val="22"/>
        </w:rPr>
        <w:t>6.4</w:t>
      </w:r>
      <w:r w:rsidRPr="00FB2719">
        <w:rPr>
          <w:b/>
          <w:bCs/>
          <w:sz w:val="22"/>
          <w:szCs w:val="22"/>
        </w:rPr>
        <w:tab/>
        <w:t>Specialios laikymo sąlygos</w:t>
      </w:r>
    </w:p>
    <w:p w14:paraId="329B0B70" w14:textId="77777777" w:rsidR="00CA08B3" w:rsidRPr="00FB2719" w:rsidRDefault="00CA08B3" w:rsidP="00CA08B3">
      <w:pPr>
        <w:jc w:val="both"/>
        <w:rPr>
          <w:b/>
          <w:bCs/>
          <w:sz w:val="22"/>
          <w:szCs w:val="22"/>
        </w:rPr>
      </w:pPr>
    </w:p>
    <w:p w14:paraId="01129A6A" w14:textId="77777777" w:rsidR="00CA08B3" w:rsidRPr="00FB2719" w:rsidRDefault="00CA08B3" w:rsidP="00CA08B3">
      <w:pPr>
        <w:pStyle w:val="Pagrindinistekstas"/>
        <w:spacing w:line="240" w:lineRule="auto"/>
        <w:rPr>
          <w:szCs w:val="22"/>
        </w:rPr>
      </w:pPr>
      <w:r w:rsidRPr="00FB2719">
        <w:rPr>
          <w:noProof/>
          <w:szCs w:val="22"/>
        </w:rPr>
        <w:t xml:space="preserve">Šiam vaistiniam preparatui </w:t>
      </w:r>
      <w:r w:rsidRPr="00FB2719">
        <w:rPr>
          <w:szCs w:val="22"/>
        </w:rPr>
        <w:t>specialių laikymo sąlygų nereikia.</w:t>
      </w:r>
    </w:p>
    <w:p w14:paraId="41BA7600" w14:textId="77777777" w:rsidR="00CA08B3" w:rsidRPr="00FB2719" w:rsidRDefault="00CA08B3" w:rsidP="00CA08B3">
      <w:pPr>
        <w:jc w:val="both"/>
        <w:rPr>
          <w:b/>
          <w:bCs/>
          <w:sz w:val="22"/>
          <w:szCs w:val="22"/>
        </w:rPr>
      </w:pPr>
    </w:p>
    <w:p w14:paraId="294DBF43" w14:textId="77777777" w:rsidR="00CA08B3" w:rsidRPr="00FB2719" w:rsidRDefault="00CA08B3" w:rsidP="00CA08B3">
      <w:pPr>
        <w:ind w:left="540" w:hanging="540"/>
        <w:jc w:val="both"/>
        <w:rPr>
          <w:b/>
          <w:bCs/>
          <w:sz w:val="22"/>
          <w:szCs w:val="22"/>
        </w:rPr>
      </w:pPr>
      <w:r w:rsidRPr="00FB2719">
        <w:rPr>
          <w:b/>
          <w:bCs/>
          <w:sz w:val="22"/>
          <w:szCs w:val="22"/>
        </w:rPr>
        <w:lastRenderedPageBreak/>
        <w:t>6.5</w:t>
      </w:r>
      <w:r w:rsidRPr="00FB2719">
        <w:rPr>
          <w:b/>
          <w:bCs/>
          <w:sz w:val="22"/>
          <w:szCs w:val="22"/>
        </w:rPr>
        <w:tab/>
        <w:t>Talpyklės pobūdis ir jos turinys</w:t>
      </w:r>
    </w:p>
    <w:p w14:paraId="26AF2371" w14:textId="77777777" w:rsidR="00CA08B3" w:rsidRPr="00FB2719" w:rsidRDefault="00CA08B3" w:rsidP="00CA08B3">
      <w:pPr>
        <w:jc w:val="both"/>
        <w:rPr>
          <w:b/>
          <w:bCs/>
          <w:sz w:val="22"/>
          <w:szCs w:val="22"/>
        </w:rPr>
      </w:pPr>
    </w:p>
    <w:p w14:paraId="27EF5F13" w14:textId="77777777" w:rsidR="00CA08B3" w:rsidRPr="00FB2719" w:rsidRDefault="00CA08B3" w:rsidP="00CA08B3">
      <w:pPr>
        <w:pStyle w:val="Pagrindinistekstas"/>
        <w:spacing w:line="240" w:lineRule="auto"/>
        <w:rPr>
          <w:szCs w:val="22"/>
        </w:rPr>
      </w:pPr>
      <w:r w:rsidRPr="00FB2719">
        <w:rPr>
          <w:szCs w:val="22"/>
        </w:rPr>
        <w:t xml:space="preserve">DTPE talpyklė (baltas didelio tankio polietileno buteliukas, kuriame yra </w:t>
      </w:r>
      <w:r w:rsidR="008B05BD" w:rsidRPr="00FB2719">
        <w:rPr>
          <w:szCs w:val="22"/>
        </w:rPr>
        <w:t xml:space="preserve">dėžutė su </w:t>
      </w:r>
      <w:r w:rsidRPr="00FB2719">
        <w:rPr>
          <w:szCs w:val="22"/>
        </w:rPr>
        <w:t>2 g silikagelio [sausiklio], uždarytas balto propileno užsukamuoju dangteliu).</w:t>
      </w:r>
    </w:p>
    <w:p w14:paraId="251F1826" w14:textId="77777777" w:rsidR="00CA08B3" w:rsidRPr="00FB2719" w:rsidRDefault="00CA08B3" w:rsidP="00CA08B3">
      <w:pPr>
        <w:pStyle w:val="Pagrindinistekstas"/>
        <w:spacing w:line="240" w:lineRule="auto"/>
        <w:rPr>
          <w:szCs w:val="22"/>
        </w:rPr>
      </w:pPr>
      <w:r w:rsidRPr="00FB2719">
        <w:rPr>
          <w:szCs w:val="22"/>
        </w:rPr>
        <w:t>Pakuotės dydžiai:</w:t>
      </w:r>
    </w:p>
    <w:p w14:paraId="34EE1EC8" w14:textId="77777777" w:rsidR="00CA08B3" w:rsidRPr="00FB2719" w:rsidRDefault="00CA08B3" w:rsidP="00CA08B3">
      <w:pPr>
        <w:pStyle w:val="Pagrindinistekstas"/>
        <w:numPr>
          <w:ilvl w:val="0"/>
          <w:numId w:val="4"/>
        </w:numPr>
        <w:spacing w:line="240" w:lineRule="auto"/>
        <w:ind w:left="567" w:hanging="567"/>
        <w:rPr>
          <w:szCs w:val="22"/>
        </w:rPr>
      </w:pPr>
      <w:r w:rsidRPr="00FB2719">
        <w:rPr>
          <w:szCs w:val="22"/>
        </w:rPr>
        <w:t xml:space="preserve">1 buteliukas, kuriame yra 120 </w:t>
      </w:r>
      <w:r w:rsidR="0021404B" w:rsidRPr="00FB2719">
        <w:rPr>
          <w:szCs w:val="22"/>
        </w:rPr>
        <w:t xml:space="preserve">plėvele dengtų </w:t>
      </w:r>
      <w:r w:rsidRPr="00FB2719">
        <w:rPr>
          <w:szCs w:val="22"/>
        </w:rPr>
        <w:t>tablečių;</w:t>
      </w:r>
    </w:p>
    <w:p w14:paraId="2E1FA23E" w14:textId="77777777" w:rsidR="00CA08B3" w:rsidRPr="00FB2719" w:rsidRDefault="00CA08B3" w:rsidP="00CA08B3">
      <w:pPr>
        <w:pStyle w:val="Pagrindinistekstas"/>
        <w:numPr>
          <w:ilvl w:val="0"/>
          <w:numId w:val="4"/>
        </w:numPr>
        <w:spacing w:line="240" w:lineRule="auto"/>
        <w:ind w:left="567" w:hanging="567"/>
        <w:rPr>
          <w:szCs w:val="22"/>
        </w:rPr>
      </w:pPr>
      <w:r w:rsidRPr="00FB2719">
        <w:rPr>
          <w:szCs w:val="22"/>
        </w:rPr>
        <w:t xml:space="preserve">3 buteliukai, kurių kiekviename yra 120 </w:t>
      </w:r>
      <w:r w:rsidR="0021404B" w:rsidRPr="00FB2719">
        <w:rPr>
          <w:szCs w:val="22"/>
        </w:rPr>
        <w:t xml:space="preserve">plėvele dengtų </w:t>
      </w:r>
      <w:r w:rsidRPr="00FB2719">
        <w:rPr>
          <w:szCs w:val="22"/>
        </w:rPr>
        <w:t>tablečių (360 tablečių)</w:t>
      </w:r>
      <w:r w:rsidR="00A11A7C" w:rsidRPr="00FB2719">
        <w:rPr>
          <w:szCs w:val="22"/>
        </w:rPr>
        <w:t>.</w:t>
      </w:r>
    </w:p>
    <w:p w14:paraId="0E9FF839" w14:textId="77777777" w:rsidR="00CA08B3" w:rsidRPr="00FB2719" w:rsidRDefault="00CA08B3" w:rsidP="00CA08B3">
      <w:pPr>
        <w:pStyle w:val="Pagrindinistekstas"/>
        <w:spacing w:line="240" w:lineRule="auto"/>
        <w:rPr>
          <w:szCs w:val="22"/>
        </w:rPr>
      </w:pPr>
    </w:p>
    <w:p w14:paraId="2A025210" w14:textId="77777777" w:rsidR="00CA08B3" w:rsidRPr="00FB2719" w:rsidRDefault="00CA08B3" w:rsidP="00CA08B3">
      <w:pPr>
        <w:pStyle w:val="Pagrindinistekstas"/>
        <w:spacing w:line="240" w:lineRule="auto"/>
        <w:rPr>
          <w:szCs w:val="22"/>
        </w:rPr>
      </w:pPr>
      <w:r w:rsidRPr="00FB2719">
        <w:rPr>
          <w:szCs w:val="22"/>
        </w:rPr>
        <w:t>PVC/PVDC-Al lizdinės plokštelės kartono dėžutėje</w:t>
      </w:r>
    </w:p>
    <w:p w14:paraId="361301DC" w14:textId="77777777" w:rsidR="00CA08B3" w:rsidRPr="00FB2719" w:rsidRDefault="00CA08B3" w:rsidP="00CA08B3">
      <w:pPr>
        <w:pStyle w:val="Pagrindinistekstas"/>
        <w:spacing w:line="240" w:lineRule="auto"/>
        <w:rPr>
          <w:szCs w:val="22"/>
        </w:rPr>
      </w:pPr>
      <w:r w:rsidRPr="00FB2719">
        <w:rPr>
          <w:szCs w:val="22"/>
        </w:rPr>
        <w:t>Pakuotės dydžiai:</w:t>
      </w:r>
    </w:p>
    <w:p w14:paraId="123B2ACB" w14:textId="77777777" w:rsidR="00CA08B3" w:rsidRPr="00FB2719" w:rsidRDefault="00CA08B3" w:rsidP="00CA08B3">
      <w:pPr>
        <w:pStyle w:val="Pagrindinistekstas"/>
        <w:numPr>
          <w:ilvl w:val="0"/>
          <w:numId w:val="5"/>
        </w:numPr>
        <w:spacing w:line="240" w:lineRule="auto"/>
        <w:ind w:left="567" w:hanging="567"/>
        <w:rPr>
          <w:szCs w:val="22"/>
        </w:rPr>
      </w:pPr>
      <w:r w:rsidRPr="00FB2719">
        <w:rPr>
          <w:szCs w:val="22"/>
        </w:rPr>
        <w:t xml:space="preserve">30 plėvele dengtų tablečių; </w:t>
      </w:r>
    </w:p>
    <w:p w14:paraId="02E5675F" w14:textId="77777777" w:rsidR="00CA08B3" w:rsidRPr="00FB2719" w:rsidRDefault="00CA08B3" w:rsidP="00CA08B3">
      <w:pPr>
        <w:pStyle w:val="Pagrindinistekstas"/>
        <w:numPr>
          <w:ilvl w:val="0"/>
          <w:numId w:val="5"/>
        </w:numPr>
        <w:spacing w:line="240" w:lineRule="auto"/>
        <w:ind w:left="567" w:hanging="567"/>
        <w:rPr>
          <w:szCs w:val="22"/>
        </w:rPr>
      </w:pPr>
      <w:r w:rsidRPr="00FB2719">
        <w:rPr>
          <w:szCs w:val="22"/>
        </w:rPr>
        <w:t>40 plėvele dengtų tablečių;</w:t>
      </w:r>
    </w:p>
    <w:p w14:paraId="35BB4EC6" w14:textId="77777777" w:rsidR="00CA08B3" w:rsidRPr="00FB2719" w:rsidRDefault="00CA08B3" w:rsidP="00CA08B3">
      <w:pPr>
        <w:pStyle w:val="Pagrindinistekstas"/>
        <w:numPr>
          <w:ilvl w:val="0"/>
          <w:numId w:val="5"/>
        </w:numPr>
        <w:spacing w:line="240" w:lineRule="auto"/>
        <w:ind w:left="567" w:hanging="567"/>
        <w:rPr>
          <w:szCs w:val="22"/>
        </w:rPr>
      </w:pPr>
      <w:r w:rsidRPr="00FB2719">
        <w:rPr>
          <w:szCs w:val="22"/>
        </w:rPr>
        <w:t>60 plėvele dengtų tablečių;</w:t>
      </w:r>
    </w:p>
    <w:p w14:paraId="6DC9E2A9" w14:textId="77777777" w:rsidR="00CA08B3" w:rsidRPr="00FB2719" w:rsidRDefault="00CA08B3" w:rsidP="00CA08B3">
      <w:pPr>
        <w:pStyle w:val="Pagrindinistekstas"/>
        <w:numPr>
          <w:ilvl w:val="0"/>
          <w:numId w:val="5"/>
        </w:numPr>
        <w:spacing w:line="240" w:lineRule="auto"/>
        <w:ind w:left="567" w:hanging="567"/>
        <w:rPr>
          <w:szCs w:val="22"/>
        </w:rPr>
      </w:pPr>
      <w:r w:rsidRPr="00FB2719">
        <w:rPr>
          <w:szCs w:val="22"/>
        </w:rPr>
        <w:t>120 plėvele dengtų tablečių;</w:t>
      </w:r>
    </w:p>
    <w:p w14:paraId="75097157" w14:textId="77777777" w:rsidR="00CA08B3" w:rsidRPr="00FB2719" w:rsidRDefault="00CA08B3" w:rsidP="00CA08B3">
      <w:pPr>
        <w:pStyle w:val="Pagrindinistekstas"/>
        <w:numPr>
          <w:ilvl w:val="0"/>
          <w:numId w:val="5"/>
        </w:numPr>
        <w:spacing w:line="240" w:lineRule="auto"/>
        <w:ind w:left="567" w:hanging="567"/>
        <w:rPr>
          <w:szCs w:val="22"/>
        </w:rPr>
      </w:pPr>
      <w:r w:rsidRPr="00FB2719">
        <w:rPr>
          <w:szCs w:val="22"/>
        </w:rPr>
        <w:t>120 (3x40) plėvele dengtų tablečių;</w:t>
      </w:r>
    </w:p>
    <w:p w14:paraId="064E11DE" w14:textId="77777777" w:rsidR="00CA08B3" w:rsidRPr="00FB2719" w:rsidRDefault="00CA08B3" w:rsidP="00CA08B3">
      <w:pPr>
        <w:pStyle w:val="Pagrindinistekstas"/>
        <w:numPr>
          <w:ilvl w:val="0"/>
          <w:numId w:val="5"/>
        </w:numPr>
        <w:spacing w:line="240" w:lineRule="auto"/>
        <w:ind w:left="567" w:hanging="567"/>
        <w:rPr>
          <w:szCs w:val="22"/>
        </w:rPr>
      </w:pPr>
      <w:r w:rsidRPr="00FB2719">
        <w:rPr>
          <w:szCs w:val="22"/>
        </w:rPr>
        <w:t>360 (3x120) plėvele dengtų tablečių.</w:t>
      </w:r>
    </w:p>
    <w:p w14:paraId="7C101D7A" w14:textId="77777777" w:rsidR="00CA08B3" w:rsidRPr="00FB2719" w:rsidRDefault="00CA08B3" w:rsidP="00CA08B3">
      <w:pPr>
        <w:rPr>
          <w:sz w:val="22"/>
          <w:szCs w:val="22"/>
        </w:rPr>
      </w:pPr>
    </w:p>
    <w:p w14:paraId="1147DB7E" w14:textId="77777777" w:rsidR="00CA08B3" w:rsidRPr="00FB2719" w:rsidRDefault="00CA08B3" w:rsidP="00CA08B3">
      <w:pPr>
        <w:rPr>
          <w:sz w:val="22"/>
          <w:szCs w:val="22"/>
        </w:rPr>
      </w:pPr>
      <w:r w:rsidRPr="00FB2719">
        <w:rPr>
          <w:sz w:val="22"/>
          <w:szCs w:val="22"/>
        </w:rPr>
        <w:t>Gali būti tiekiamos ne visų dydžių pakuotės.</w:t>
      </w:r>
    </w:p>
    <w:p w14:paraId="0CBC2228" w14:textId="77777777" w:rsidR="00CA08B3" w:rsidRPr="00FB2719" w:rsidRDefault="00CA08B3" w:rsidP="00CA08B3">
      <w:pPr>
        <w:rPr>
          <w:sz w:val="22"/>
          <w:szCs w:val="22"/>
        </w:rPr>
      </w:pPr>
    </w:p>
    <w:p w14:paraId="2877008B" w14:textId="77777777" w:rsidR="00CA08B3" w:rsidRPr="00FB2719" w:rsidRDefault="00CA08B3" w:rsidP="00CA08B3">
      <w:pPr>
        <w:ind w:left="540" w:hanging="540"/>
        <w:rPr>
          <w:b/>
          <w:bCs/>
          <w:sz w:val="22"/>
          <w:szCs w:val="22"/>
        </w:rPr>
      </w:pPr>
      <w:r w:rsidRPr="00FB2719">
        <w:rPr>
          <w:b/>
          <w:bCs/>
          <w:sz w:val="22"/>
          <w:szCs w:val="22"/>
        </w:rPr>
        <w:t>6.6</w:t>
      </w:r>
      <w:r w:rsidRPr="00FB2719">
        <w:rPr>
          <w:b/>
          <w:bCs/>
          <w:sz w:val="22"/>
          <w:szCs w:val="22"/>
        </w:rPr>
        <w:tab/>
        <w:t>Specialūs reikalavimai atliekoms tvarkyti</w:t>
      </w:r>
    </w:p>
    <w:p w14:paraId="785CAE2F" w14:textId="77777777" w:rsidR="00CA08B3" w:rsidRPr="00FB2719" w:rsidRDefault="00CA08B3" w:rsidP="00CA08B3">
      <w:pPr>
        <w:pStyle w:val="Pagrindinistekstas"/>
        <w:spacing w:line="240" w:lineRule="auto"/>
        <w:rPr>
          <w:szCs w:val="22"/>
        </w:rPr>
      </w:pPr>
    </w:p>
    <w:p w14:paraId="16932B2D" w14:textId="77777777" w:rsidR="00CA08B3" w:rsidRPr="00FB2719" w:rsidRDefault="00CA08B3" w:rsidP="00CA08B3">
      <w:pPr>
        <w:pStyle w:val="Pagrindinistekstas"/>
        <w:spacing w:line="240" w:lineRule="auto"/>
        <w:rPr>
          <w:szCs w:val="22"/>
        </w:rPr>
      </w:pPr>
      <w:r w:rsidRPr="00FB2719">
        <w:rPr>
          <w:szCs w:val="22"/>
        </w:rPr>
        <w:t>Specialių reikalavimų nėra.</w:t>
      </w:r>
    </w:p>
    <w:p w14:paraId="26EC189E" w14:textId="77777777" w:rsidR="00CA08B3" w:rsidRPr="00FB2719" w:rsidRDefault="00CA08B3" w:rsidP="00CA08B3">
      <w:pPr>
        <w:rPr>
          <w:sz w:val="22"/>
          <w:szCs w:val="22"/>
        </w:rPr>
      </w:pPr>
    </w:p>
    <w:p w14:paraId="4A7932E0" w14:textId="77777777" w:rsidR="00CA08B3" w:rsidRPr="00FB2719" w:rsidRDefault="00CA08B3" w:rsidP="00CA08B3">
      <w:pPr>
        <w:rPr>
          <w:sz w:val="22"/>
          <w:szCs w:val="22"/>
        </w:rPr>
      </w:pPr>
    </w:p>
    <w:p w14:paraId="26A18E2C" w14:textId="77777777" w:rsidR="00CA08B3" w:rsidRPr="00FB2719" w:rsidRDefault="00CA08B3" w:rsidP="00CA08B3">
      <w:pPr>
        <w:tabs>
          <w:tab w:val="left" w:pos="567"/>
        </w:tabs>
        <w:rPr>
          <w:b/>
          <w:sz w:val="22"/>
          <w:szCs w:val="22"/>
        </w:rPr>
      </w:pPr>
      <w:r w:rsidRPr="00FB2719">
        <w:rPr>
          <w:b/>
          <w:sz w:val="22"/>
          <w:szCs w:val="22"/>
        </w:rPr>
        <w:t>7.</w:t>
      </w:r>
      <w:r w:rsidRPr="00FB2719">
        <w:rPr>
          <w:b/>
          <w:sz w:val="22"/>
          <w:szCs w:val="22"/>
        </w:rPr>
        <w:tab/>
        <w:t>REGISTRUOTOJAS</w:t>
      </w:r>
    </w:p>
    <w:p w14:paraId="1ED7FCD0" w14:textId="77777777" w:rsidR="00CA08B3" w:rsidRPr="00FB2719" w:rsidRDefault="00CA08B3" w:rsidP="00CA08B3">
      <w:pPr>
        <w:ind w:left="360"/>
        <w:rPr>
          <w:b/>
          <w:sz w:val="22"/>
          <w:szCs w:val="22"/>
        </w:rPr>
      </w:pPr>
    </w:p>
    <w:p w14:paraId="5F0A6E55" w14:textId="77777777" w:rsidR="00CA08B3" w:rsidRPr="00FB2719" w:rsidRDefault="00CA08B3" w:rsidP="00CA08B3">
      <w:pPr>
        <w:tabs>
          <w:tab w:val="left" w:pos="567"/>
        </w:tabs>
        <w:rPr>
          <w:sz w:val="22"/>
          <w:szCs w:val="22"/>
        </w:rPr>
      </w:pPr>
      <w:r w:rsidRPr="00FB2719">
        <w:rPr>
          <w:sz w:val="22"/>
          <w:szCs w:val="22"/>
        </w:rPr>
        <w:t>Sandoz d.d.</w:t>
      </w:r>
    </w:p>
    <w:p w14:paraId="2E37AA9E" w14:textId="77777777" w:rsidR="00CA08B3" w:rsidRPr="00FB2719" w:rsidRDefault="00CA08B3" w:rsidP="00CA08B3">
      <w:pPr>
        <w:tabs>
          <w:tab w:val="left" w:pos="567"/>
        </w:tabs>
        <w:rPr>
          <w:sz w:val="22"/>
          <w:szCs w:val="22"/>
        </w:rPr>
      </w:pPr>
      <w:r w:rsidRPr="00FB2719">
        <w:rPr>
          <w:sz w:val="22"/>
          <w:szCs w:val="22"/>
        </w:rPr>
        <w:t>Verovškova 57</w:t>
      </w:r>
    </w:p>
    <w:p w14:paraId="28992CEB" w14:textId="77777777" w:rsidR="00CA08B3" w:rsidRPr="00FB2719" w:rsidRDefault="00CA08B3" w:rsidP="00CA08B3">
      <w:pPr>
        <w:tabs>
          <w:tab w:val="left" w:pos="567"/>
        </w:tabs>
        <w:rPr>
          <w:sz w:val="22"/>
          <w:szCs w:val="22"/>
        </w:rPr>
      </w:pPr>
      <w:r w:rsidRPr="00FB2719">
        <w:rPr>
          <w:sz w:val="22"/>
          <w:szCs w:val="22"/>
        </w:rPr>
        <w:t>SI-1000 Ljubljana</w:t>
      </w:r>
    </w:p>
    <w:p w14:paraId="175CEBB8" w14:textId="77777777" w:rsidR="00CA08B3" w:rsidRPr="00FB2719" w:rsidRDefault="00CA08B3" w:rsidP="00CA08B3">
      <w:pPr>
        <w:tabs>
          <w:tab w:val="left" w:pos="567"/>
        </w:tabs>
        <w:rPr>
          <w:sz w:val="22"/>
          <w:szCs w:val="22"/>
        </w:rPr>
      </w:pPr>
      <w:r w:rsidRPr="00FB2719">
        <w:rPr>
          <w:sz w:val="22"/>
          <w:szCs w:val="22"/>
        </w:rPr>
        <w:t>Slovėnija</w:t>
      </w:r>
    </w:p>
    <w:p w14:paraId="62CBBC19" w14:textId="77777777" w:rsidR="00CA08B3" w:rsidRPr="00FB2719" w:rsidRDefault="00CA08B3" w:rsidP="00CA08B3">
      <w:pPr>
        <w:rPr>
          <w:bCs/>
          <w:sz w:val="22"/>
          <w:szCs w:val="22"/>
        </w:rPr>
      </w:pPr>
    </w:p>
    <w:p w14:paraId="3CFBE525" w14:textId="77777777" w:rsidR="00CA08B3" w:rsidRPr="00FB2719" w:rsidRDefault="00CA08B3" w:rsidP="00CA08B3">
      <w:pPr>
        <w:rPr>
          <w:b/>
          <w:bCs/>
          <w:sz w:val="22"/>
          <w:szCs w:val="22"/>
        </w:rPr>
      </w:pPr>
    </w:p>
    <w:p w14:paraId="2692A305" w14:textId="77777777" w:rsidR="00CA08B3" w:rsidRPr="00FB2719" w:rsidRDefault="00CA08B3" w:rsidP="00CA08B3">
      <w:pPr>
        <w:pStyle w:val="PI-1EMEASMCA"/>
        <w:rPr>
          <w:sz w:val="22"/>
          <w:szCs w:val="22"/>
        </w:rPr>
      </w:pPr>
      <w:r w:rsidRPr="00FB2719">
        <w:rPr>
          <w:bCs/>
          <w:sz w:val="22"/>
          <w:szCs w:val="22"/>
        </w:rPr>
        <w:t>8.</w:t>
      </w:r>
      <w:r w:rsidRPr="00FB2719">
        <w:rPr>
          <w:b w:val="0"/>
          <w:bCs/>
          <w:sz w:val="22"/>
          <w:szCs w:val="22"/>
        </w:rPr>
        <w:tab/>
      </w:r>
      <w:r w:rsidRPr="00FB2719">
        <w:rPr>
          <w:sz w:val="22"/>
          <w:szCs w:val="22"/>
        </w:rPr>
        <w:t>REGISTRACIJOS PAŽYMĖJIMO NUMERIS (-IAI)</w:t>
      </w:r>
    </w:p>
    <w:p w14:paraId="6284C3D7" w14:textId="77777777" w:rsidR="00CA08B3" w:rsidRPr="00FB2719" w:rsidRDefault="00CA08B3" w:rsidP="00CA08B3">
      <w:pPr>
        <w:rPr>
          <w:bCs/>
          <w:sz w:val="22"/>
          <w:szCs w:val="22"/>
        </w:rPr>
      </w:pPr>
    </w:p>
    <w:p w14:paraId="1A5A04D2" w14:textId="77777777" w:rsidR="00CA08B3" w:rsidRPr="00FB2719" w:rsidRDefault="00CA08B3" w:rsidP="00CA08B3">
      <w:pPr>
        <w:rPr>
          <w:bCs/>
          <w:sz w:val="22"/>
          <w:szCs w:val="22"/>
          <w:u w:val="single"/>
        </w:rPr>
      </w:pPr>
      <w:r w:rsidRPr="00FB2719">
        <w:rPr>
          <w:bCs/>
          <w:sz w:val="22"/>
          <w:u w:val="single"/>
        </w:rPr>
        <w:t>Lizdinė plokštelė:</w:t>
      </w:r>
    </w:p>
    <w:p w14:paraId="0A77AD7B" w14:textId="77777777" w:rsidR="00CA08B3" w:rsidRPr="00FB2719" w:rsidRDefault="00CA08B3" w:rsidP="00CA08B3">
      <w:pPr>
        <w:rPr>
          <w:bCs/>
          <w:sz w:val="22"/>
        </w:rPr>
      </w:pPr>
      <w:r w:rsidRPr="00FB2719">
        <w:rPr>
          <w:bCs/>
          <w:sz w:val="22"/>
        </w:rPr>
        <w:t xml:space="preserve">N30 - LT/1/15/3757/001 </w:t>
      </w:r>
    </w:p>
    <w:p w14:paraId="2C46FC36" w14:textId="77777777" w:rsidR="00CA08B3" w:rsidRPr="00FB2719" w:rsidRDefault="00CA08B3" w:rsidP="00CA08B3">
      <w:pPr>
        <w:rPr>
          <w:bCs/>
          <w:sz w:val="22"/>
        </w:rPr>
      </w:pPr>
      <w:r w:rsidRPr="00FB2719">
        <w:rPr>
          <w:bCs/>
          <w:sz w:val="22"/>
        </w:rPr>
        <w:t xml:space="preserve">N40 - LT/1/15/3757/002 </w:t>
      </w:r>
    </w:p>
    <w:p w14:paraId="3A4663C2" w14:textId="77777777" w:rsidR="00CA08B3" w:rsidRPr="00FB2719" w:rsidRDefault="00CA08B3" w:rsidP="00CA08B3">
      <w:pPr>
        <w:rPr>
          <w:bCs/>
          <w:sz w:val="22"/>
        </w:rPr>
      </w:pPr>
      <w:r w:rsidRPr="00FB2719">
        <w:rPr>
          <w:bCs/>
          <w:sz w:val="22"/>
        </w:rPr>
        <w:t xml:space="preserve">N60 - LT/1/15/3757/003 </w:t>
      </w:r>
    </w:p>
    <w:p w14:paraId="396DCF89" w14:textId="77777777" w:rsidR="00CA08B3" w:rsidRPr="00FB2719" w:rsidRDefault="00CA08B3" w:rsidP="00CA08B3">
      <w:pPr>
        <w:rPr>
          <w:bCs/>
          <w:sz w:val="22"/>
        </w:rPr>
      </w:pPr>
      <w:r w:rsidRPr="00FB2719">
        <w:rPr>
          <w:bCs/>
          <w:sz w:val="22"/>
        </w:rPr>
        <w:t xml:space="preserve">N120 - LT/1/15/3757/004 </w:t>
      </w:r>
    </w:p>
    <w:p w14:paraId="44BF8E3D" w14:textId="77777777" w:rsidR="00CA08B3" w:rsidRPr="00FB2719" w:rsidRDefault="00CA08B3" w:rsidP="00CA08B3">
      <w:pPr>
        <w:rPr>
          <w:bCs/>
          <w:sz w:val="22"/>
        </w:rPr>
      </w:pPr>
      <w:r w:rsidRPr="00FB2719">
        <w:rPr>
          <w:bCs/>
          <w:sz w:val="22"/>
        </w:rPr>
        <w:t>N120 (3x40) - LT/1/15/3757/005</w:t>
      </w:r>
    </w:p>
    <w:p w14:paraId="03C0A157" w14:textId="77777777" w:rsidR="00CA08B3" w:rsidRPr="00FB2719" w:rsidRDefault="00CA08B3" w:rsidP="00CA08B3">
      <w:pPr>
        <w:rPr>
          <w:bCs/>
          <w:sz w:val="22"/>
        </w:rPr>
      </w:pPr>
      <w:r w:rsidRPr="00FB2719">
        <w:rPr>
          <w:bCs/>
          <w:sz w:val="22"/>
        </w:rPr>
        <w:t>N360 (3x120) - LT/1/15/3757/006</w:t>
      </w:r>
    </w:p>
    <w:p w14:paraId="0FFA3EA8" w14:textId="77777777" w:rsidR="00CA08B3" w:rsidRPr="00FB2719" w:rsidRDefault="00CA08B3" w:rsidP="00CA08B3">
      <w:pPr>
        <w:rPr>
          <w:bCs/>
          <w:sz w:val="22"/>
          <w:u w:val="single"/>
        </w:rPr>
      </w:pPr>
      <w:r w:rsidRPr="00FB2719">
        <w:rPr>
          <w:bCs/>
          <w:sz w:val="22"/>
          <w:u w:val="single"/>
        </w:rPr>
        <w:t>Buteliukas:</w:t>
      </w:r>
    </w:p>
    <w:p w14:paraId="0E42616A" w14:textId="77777777" w:rsidR="00CA08B3" w:rsidRPr="00FB2719" w:rsidRDefault="00CA08B3" w:rsidP="00CA08B3">
      <w:pPr>
        <w:rPr>
          <w:bCs/>
          <w:sz w:val="22"/>
        </w:rPr>
      </w:pPr>
      <w:r w:rsidRPr="00FB2719">
        <w:rPr>
          <w:bCs/>
          <w:sz w:val="22"/>
        </w:rPr>
        <w:t>N120 - LT/1/15/3757/007</w:t>
      </w:r>
    </w:p>
    <w:p w14:paraId="239FE3B2" w14:textId="77777777" w:rsidR="00CA08B3" w:rsidRPr="00FB2719" w:rsidRDefault="00CA08B3" w:rsidP="00CA08B3">
      <w:pPr>
        <w:rPr>
          <w:bCs/>
          <w:sz w:val="22"/>
        </w:rPr>
      </w:pPr>
      <w:r w:rsidRPr="00FB2719">
        <w:rPr>
          <w:bCs/>
          <w:sz w:val="22"/>
        </w:rPr>
        <w:t>N360 (3x120) - LT/1/15/3757/008</w:t>
      </w:r>
    </w:p>
    <w:p w14:paraId="47EEE261" w14:textId="77777777" w:rsidR="00CA08B3" w:rsidRPr="00FB2719" w:rsidRDefault="00CA08B3" w:rsidP="00CA08B3">
      <w:pPr>
        <w:rPr>
          <w:bCs/>
          <w:sz w:val="22"/>
          <w:szCs w:val="22"/>
        </w:rPr>
      </w:pPr>
    </w:p>
    <w:p w14:paraId="326F7E5A" w14:textId="77777777" w:rsidR="00CA08B3" w:rsidRPr="00FB2719" w:rsidRDefault="00CA08B3" w:rsidP="00CA08B3">
      <w:pPr>
        <w:rPr>
          <w:b/>
          <w:bCs/>
          <w:sz w:val="22"/>
          <w:szCs w:val="22"/>
        </w:rPr>
      </w:pPr>
    </w:p>
    <w:p w14:paraId="7A4F17BC" w14:textId="77777777" w:rsidR="00CA08B3" w:rsidRPr="00FB2719" w:rsidRDefault="00CA08B3" w:rsidP="00CA08B3">
      <w:pPr>
        <w:ind w:left="540" w:hanging="540"/>
        <w:rPr>
          <w:b/>
          <w:bCs/>
          <w:sz w:val="22"/>
          <w:szCs w:val="22"/>
        </w:rPr>
      </w:pPr>
      <w:r w:rsidRPr="00FB2719">
        <w:rPr>
          <w:b/>
          <w:bCs/>
          <w:sz w:val="22"/>
          <w:szCs w:val="22"/>
        </w:rPr>
        <w:t>9.</w:t>
      </w:r>
      <w:r w:rsidRPr="00FB2719">
        <w:rPr>
          <w:b/>
          <w:bCs/>
          <w:sz w:val="22"/>
          <w:szCs w:val="22"/>
        </w:rPr>
        <w:tab/>
        <w:t xml:space="preserve">REGISTRAVIMO </w:t>
      </w:r>
      <w:r w:rsidRPr="00FB2719">
        <w:rPr>
          <w:b/>
          <w:sz w:val="22"/>
          <w:szCs w:val="22"/>
        </w:rPr>
        <w:t>/ PERREGISTRAVIMO DATA</w:t>
      </w:r>
    </w:p>
    <w:p w14:paraId="474E8DB8" w14:textId="77777777" w:rsidR="00CA08B3" w:rsidRPr="00FB2719" w:rsidRDefault="00CA08B3" w:rsidP="00CA08B3">
      <w:pPr>
        <w:rPr>
          <w:bCs/>
          <w:sz w:val="22"/>
          <w:szCs w:val="22"/>
        </w:rPr>
      </w:pPr>
    </w:p>
    <w:p w14:paraId="2B9FA097" w14:textId="77777777" w:rsidR="00CA08B3" w:rsidRPr="00FB2719" w:rsidRDefault="00CA08B3" w:rsidP="00CA08B3">
      <w:pPr>
        <w:tabs>
          <w:tab w:val="left" w:pos="567"/>
        </w:tabs>
        <w:spacing w:line="260" w:lineRule="exact"/>
        <w:rPr>
          <w:rFonts w:eastAsia="SimSun"/>
          <w:bCs/>
          <w:snapToGrid w:val="0"/>
          <w:sz w:val="22"/>
          <w:szCs w:val="22"/>
          <w:lang w:eastAsia="zh-CN"/>
        </w:rPr>
      </w:pPr>
      <w:r w:rsidRPr="00FB2719">
        <w:rPr>
          <w:rFonts w:eastAsia="SimSun"/>
          <w:bCs/>
          <w:snapToGrid w:val="0"/>
          <w:sz w:val="22"/>
          <w:szCs w:val="22"/>
          <w:lang w:eastAsia="zh-CN"/>
        </w:rPr>
        <w:t xml:space="preserve">Registravimo data </w:t>
      </w:r>
      <w:r w:rsidRPr="00FB2719">
        <w:rPr>
          <w:rFonts w:eastAsia="SimSun"/>
          <w:snapToGrid w:val="0"/>
          <w:sz w:val="22"/>
          <w:szCs w:val="22"/>
          <w:lang w:eastAsia="zh-CN"/>
        </w:rPr>
        <w:t>2015</w:t>
      </w:r>
      <w:r w:rsidR="005B415B" w:rsidRPr="00FB2719">
        <w:rPr>
          <w:rFonts w:eastAsia="SimSun"/>
          <w:snapToGrid w:val="0"/>
          <w:sz w:val="22"/>
          <w:szCs w:val="22"/>
          <w:lang w:eastAsia="zh-CN"/>
        </w:rPr>
        <w:t> </w:t>
      </w:r>
      <w:r w:rsidRPr="00FB2719">
        <w:rPr>
          <w:rFonts w:eastAsia="SimSun"/>
          <w:snapToGrid w:val="0"/>
          <w:sz w:val="22"/>
          <w:szCs w:val="22"/>
          <w:lang w:eastAsia="zh-CN"/>
        </w:rPr>
        <w:t>m. liepos 2</w:t>
      </w:r>
      <w:r w:rsidR="005B415B" w:rsidRPr="00FB2719">
        <w:rPr>
          <w:rFonts w:eastAsia="SimSun"/>
          <w:snapToGrid w:val="0"/>
          <w:sz w:val="22"/>
          <w:szCs w:val="22"/>
          <w:lang w:eastAsia="zh-CN"/>
        </w:rPr>
        <w:t> </w:t>
      </w:r>
      <w:r w:rsidRPr="00FB2719">
        <w:rPr>
          <w:rFonts w:eastAsia="SimSun"/>
          <w:snapToGrid w:val="0"/>
          <w:sz w:val="22"/>
          <w:szCs w:val="22"/>
          <w:lang w:eastAsia="zh-CN"/>
        </w:rPr>
        <w:t>d.</w:t>
      </w:r>
    </w:p>
    <w:p w14:paraId="25E0850B" w14:textId="77777777" w:rsidR="00CA08B3" w:rsidRPr="00FB2719" w:rsidRDefault="00CA08B3" w:rsidP="00CA08B3">
      <w:pPr>
        <w:rPr>
          <w:bCs/>
          <w:sz w:val="22"/>
          <w:szCs w:val="22"/>
        </w:rPr>
      </w:pPr>
    </w:p>
    <w:p w14:paraId="315CB5B6" w14:textId="77777777" w:rsidR="00CA08B3" w:rsidRPr="00FB2719" w:rsidRDefault="00CA08B3" w:rsidP="00CA08B3">
      <w:pPr>
        <w:rPr>
          <w:sz w:val="22"/>
          <w:szCs w:val="22"/>
        </w:rPr>
      </w:pPr>
    </w:p>
    <w:p w14:paraId="4CB3E23B" w14:textId="77777777" w:rsidR="00CA08B3" w:rsidRPr="00FB2719" w:rsidRDefault="00CA08B3" w:rsidP="00CA08B3">
      <w:pPr>
        <w:ind w:left="540" w:hanging="540"/>
        <w:rPr>
          <w:b/>
          <w:bCs/>
          <w:sz w:val="22"/>
          <w:szCs w:val="22"/>
        </w:rPr>
      </w:pPr>
      <w:r w:rsidRPr="00FB2719">
        <w:rPr>
          <w:b/>
          <w:bCs/>
          <w:sz w:val="22"/>
          <w:szCs w:val="22"/>
        </w:rPr>
        <w:t>10.</w:t>
      </w:r>
      <w:r w:rsidRPr="00FB2719">
        <w:rPr>
          <w:b/>
          <w:bCs/>
          <w:sz w:val="22"/>
          <w:szCs w:val="22"/>
        </w:rPr>
        <w:tab/>
        <w:t>TEKSTO PERŽIŪROS DATA</w:t>
      </w:r>
    </w:p>
    <w:p w14:paraId="2BFAC67B" w14:textId="77777777" w:rsidR="00CA08B3" w:rsidRPr="00FB2719" w:rsidRDefault="00CA08B3" w:rsidP="00CA08B3">
      <w:pPr>
        <w:pStyle w:val="Pagrindinistekstas"/>
        <w:spacing w:line="240" w:lineRule="auto"/>
        <w:rPr>
          <w:szCs w:val="22"/>
        </w:rPr>
      </w:pPr>
    </w:p>
    <w:p w14:paraId="7B705BD4" w14:textId="580CC3A5" w:rsidR="006350A9" w:rsidRDefault="00AC2616" w:rsidP="00CA08B3">
      <w:pPr>
        <w:pStyle w:val="Pagrindinistekstas"/>
        <w:spacing w:line="240" w:lineRule="auto"/>
        <w:rPr>
          <w:szCs w:val="22"/>
        </w:rPr>
      </w:pPr>
      <w:r w:rsidRPr="00AC2616">
        <w:rPr>
          <w:szCs w:val="22"/>
        </w:rPr>
        <w:t>2019 m. kovo 28 d.</w:t>
      </w:r>
    </w:p>
    <w:p w14:paraId="7CBA660E" w14:textId="77777777" w:rsidR="00AC2616" w:rsidRPr="00FB2719" w:rsidRDefault="00AC2616" w:rsidP="00CA08B3">
      <w:pPr>
        <w:pStyle w:val="Pagrindinistekstas"/>
        <w:spacing w:line="240" w:lineRule="auto"/>
        <w:rPr>
          <w:szCs w:val="22"/>
        </w:rPr>
      </w:pPr>
    </w:p>
    <w:p w14:paraId="207FD6FE" w14:textId="77777777" w:rsidR="00CA08B3" w:rsidRPr="00FB2719" w:rsidRDefault="00CA08B3" w:rsidP="00CA08B3">
      <w:pPr>
        <w:ind w:right="28"/>
        <w:rPr>
          <w:sz w:val="22"/>
          <w:szCs w:val="22"/>
        </w:rPr>
      </w:pPr>
      <w:r w:rsidRPr="00FB2719">
        <w:rPr>
          <w:noProof/>
          <w:sz w:val="22"/>
          <w:szCs w:val="22"/>
        </w:rPr>
        <w:t>Išsami informacija apie šį vaistinį preparatą pateikiama Valstybinės vaistų kontrolės tarnybos prie Lietuvos Respublikos sveikatos apsaugos ministerijos tinklalapyje</w:t>
      </w:r>
      <w:r w:rsidRPr="00FB2719">
        <w:rPr>
          <w:i/>
          <w:noProof/>
          <w:sz w:val="22"/>
          <w:szCs w:val="22"/>
        </w:rPr>
        <w:t xml:space="preserve"> </w:t>
      </w:r>
      <w:hyperlink r:id="rId7" w:history="1">
        <w:r w:rsidRPr="00FB2719">
          <w:rPr>
            <w:rStyle w:val="Hipersaitas"/>
            <w:rFonts w:eastAsiaTheme="majorEastAsia"/>
            <w:sz w:val="22"/>
            <w:szCs w:val="22"/>
          </w:rPr>
          <w:t>http://www.vvkt.lt/</w:t>
        </w:r>
      </w:hyperlink>
    </w:p>
    <w:p w14:paraId="6367953B" w14:textId="77777777" w:rsidR="00CA08B3" w:rsidRPr="00FB2719" w:rsidRDefault="00CA08B3" w:rsidP="00CA08B3">
      <w:pPr>
        <w:jc w:val="center"/>
        <w:outlineLvl w:val="0"/>
        <w:rPr>
          <w:sz w:val="22"/>
          <w:szCs w:val="22"/>
        </w:rPr>
      </w:pPr>
      <w:r w:rsidRPr="00FB2719">
        <w:rPr>
          <w:sz w:val="22"/>
          <w:szCs w:val="22"/>
        </w:rPr>
        <w:br w:type="page"/>
      </w:r>
      <w:bookmarkStart w:id="6" w:name="_Toc129243263"/>
      <w:bookmarkStart w:id="7" w:name="_Toc129243138"/>
      <w:bookmarkEnd w:id="4"/>
      <w:bookmarkEnd w:id="5"/>
    </w:p>
    <w:p w14:paraId="17D4D2CD" w14:textId="77777777" w:rsidR="00CA08B3" w:rsidRPr="00FB2719" w:rsidRDefault="00CA08B3" w:rsidP="00CA08B3">
      <w:pPr>
        <w:jc w:val="center"/>
        <w:outlineLvl w:val="0"/>
        <w:rPr>
          <w:sz w:val="22"/>
          <w:szCs w:val="22"/>
        </w:rPr>
      </w:pPr>
    </w:p>
    <w:p w14:paraId="5AA7B832" w14:textId="77777777" w:rsidR="00CA08B3" w:rsidRPr="00FB2719" w:rsidRDefault="00CA08B3" w:rsidP="00CA08B3">
      <w:pPr>
        <w:jc w:val="center"/>
        <w:outlineLvl w:val="0"/>
        <w:rPr>
          <w:sz w:val="22"/>
          <w:szCs w:val="22"/>
        </w:rPr>
      </w:pPr>
    </w:p>
    <w:p w14:paraId="6F523911" w14:textId="77777777" w:rsidR="00CA08B3" w:rsidRPr="00FB2719" w:rsidRDefault="00CA08B3" w:rsidP="00CA08B3">
      <w:pPr>
        <w:jc w:val="center"/>
        <w:outlineLvl w:val="0"/>
        <w:rPr>
          <w:sz w:val="22"/>
          <w:szCs w:val="22"/>
        </w:rPr>
      </w:pPr>
    </w:p>
    <w:p w14:paraId="40643863" w14:textId="77777777" w:rsidR="00CA08B3" w:rsidRPr="00FB2719" w:rsidRDefault="00CA08B3" w:rsidP="00CA08B3">
      <w:pPr>
        <w:jc w:val="center"/>
        <w:outlineLvl w:val="0"/>
        <w:rPr>
          <w:sz w:val="22"/>
          <w:szCs w:val="22"/>
        </w:rPr>
      </w:pPr>
    </w:p>
    <w:p w14:paraId="5FD40781" w14:textId="77777777" w:rsidR="00CA08B3" w:rsidRPr="00FB2719" w:rsidRDefault="00CA08B3" w:rsidP="00CA08B3">
      <w:pPr>
        <w:jc w:val="center"/>
        <w:outlineLvl w:val="0"/>
        <w:rPr>
          <w:sz w:val="22"/>
          <w:szCs w:val="22"/>
        </w:rPr>
      </w:pPr>
    </w:p>
    <w:p w14:paraId="6430BC06" w14:textId="77777777" w:rsidR="00CA08B3" w:rsidRPr="00FB2719" w:rsidRDefault="00CA08B3" w:rsidP="00CA08B3">
      <w:pPr>
        <w:jc w:val="center"/>
        <w:outlineLvl w:val="0"/>
        <w:rPr>
          <w:sz w:val="22"/>
          <w:szCs w:val="22"/>
        </w:rPr>
      </w:pPr>
    </w:p>
    <w:p w14:paraId="3CAA1C0E" w14:textId="77777777" w:rsidR="00CA08B3" w:rsidRPr="00FB2719" w:rsidRDefault="00CA08B3" w:rsidP="00CA08B3">
      <w:pPr>
        <w:jc w:val="center"/>
        <w:outlineLvl w:val="0"/>
        <w:rPr>
          <w:sz w:val="22"/>
          <w:szCs w:val="22"/>
        </w:rPr>
      </w:pPr>
    </w:p>
    <w:p w14:paraId="650311D0" w14:textId="77777777" w:rsidR="00CA08B3" w:rsidRPr="00FB2719" w:rsidRDefault="00CA08B3" w:rsidP="00CA08B3">
      <w:pPr>
        <w:jc w:val="center"/>
        <w:outlineLvl w:val="0"/>
        <w:rPr>
          <w:sz w:val="22"/>
          <w:szCs w:val="22"/>
        </w:rPr>
      </w:pPr>
    </w:p>
    <w:p w14:paraId="41CF3267" w14:textId="77777777" w:rsidR="00CA08B3" w:rsidRPr="00FB2719" w:rsidRDefault="00CA08B3" w:rsidP="00CA08B3">
      <w:pPr>
        <w:jc w:val="center"/>
        <w:outlineLvl w:val="0"/>
        <w:rPr>
          <w:sz w:val="22"/>
          <w:szCs w:val="22"/>
        </w:rPr>
      </w:pPr>
    </w:p>
    <w:p w14:paraId="44CD6B17" w14:textId="77777777" w:rsidR="00CA08B3" w:rsidRPr="00FB2719" w:rsidRDefault="00CA08B3" w:rsidP="00CA08B3">
      <w:pPr>
        <w:jc w:val="center"/>
        <w:outlineLvl w:val="0"/>
        <w:rPr>
          <w:sz w:val="22"/>
          <w:szCs w:val="22"/>
        </w:rPr>
      </w:pPr>
    </w:p>
    <w:p w14:paraId="17922ABF" w14:textId="77777777" w:rsidR="00CA08B3" w:rsidRPr="00FB2719" w:rsidRDefault="00CA08B3" w:rsidP="00CA08B3">
      <w:pPr>
        <w:jc w:val="center"/>
        <w:outlineLvl w:val="0"/>
        <w:rPr>
          <w:sz w:val="22"/>
          <w:szCs w:val="22"/>
        </w:rPr>
      </w:pPr>
    </w:p>
    <w:p w14:paraId="5D7EAF9C" w14:textId="77777777" w:rsidR="00CA08B3" w:rsidRPr="00FB2719" w:rsidRDefault="00CA08B3" w:rsidP="00CA08B3">
      <w:pPr>
        <w:jc w:val="center"/>
        <w:outlineLvl w:val="0"/>
        <w:rPr>
          <w:sz w:val="22"/>
          <w:szCs w:val="22"/>
        </w:rPr>
      </w:pPr>
    </w:p>
    <w:p w14:paraId="6023E5C9" w14:textId="77777777" w:rsidR="00CA08B3" w:rsidRPr="00FB2719" w:rsidRDefault="00CA08B3" w:rsidP="00CA08B3">
      <w:pPr>
        <w:jc w:val="center"/>
        <w:outlineLvl w:val="0"/>
        <w:rPr>
          <w:sz w:val="22"/>
          <w:szCs w:val="22"/>
        </w:rPr>
      </w:pPr>
    </w:p>
    <w:p w14:paraId="5C33425C" w14:textId="77777777" w:rsidR="00CA08B3" w:rsidRPr="00FB2719" w:rsidRDefault="00CA08B3" w:rsidP="00CA08B3">
      <w:pPr>
        <w:jc w:val="center"/>
        <w:outlineLvl w:val="0"/>
        <w:rPr>
          <w:sz w:val="22"/>
          <w:szCs w:val="22"/>
        </w:rPr>
      </w:pPr>
    </w:p>
    <w:p w14:paraId="3585A44E" w14:textId="77777777" w:rsidR="00CA08B3" w:rsidRPr="00FB2719" w:rsidRDefault="00CA08B3" w:rsidP="00CA08B3">
      <w:pPr>
        <w:jc w:val="center"/>
        <w:outlineLvl w:val="0"/>
        <w:rPr>
          <w:sz w:val="22"/>
          <w:szCs w:val="22"/>
        </w:rPr>
      </w:pPr>
    </w:p>
    <w:p w14:paraId="62FD18DA" w14:textId="77777777" w:rsidR="00CA08B3" w:rsidRPr="00FB2719" w:rsidRDefault="00CA08B3" w:rsidP="00CA08B3">
      <w:pPr>
        <w:jc w:val="center"/>
        <w:outlineLvl w:val="0"/>
        <w:rPr>
          <w:sz w:val="22"/>
          <w:szCs w:val="22"/>
        </w:rPr>
      </w:pPr>
    </w:p>
    <w:p w14:paraId="22AF5F34" w14:textId="77777777" w:rsidR="00CA08B3" w:rsidRPr="00FB2719" w:rsidRDefault="00CA08B3" w:rsidP="00CA08B3">
      <w:pPr>
        <w:jc w:val="center"/>
        <w:outlineLvl w:val="0"/>
        <w:rPr>
          <w:sz w:val="22"/>
          <w:szCs w:val="22"/>
        </w:rPr>
      </w:pPr>
    </w:p>
    <w:p w14:paraId="3CE418F8" w14:textId="77777777" w:rsidR="00CA08B3" w:rsidRPr="00FB2719" w:rsidRDefault="00CA08B3" w:rsidP="00CA08B3">
      <w:pPr>
        <w:jc w:val="center"/>
        <w:outlineLvl w:val="0"/>
        <w:rPr>
          <w:sz w:val="22"/>
          <w:szCs w:val="22"/>
        </w:rPr>
      </w:pPr>
    </w:p>
    <w:p w14:paraId="159EBC16" w14:textId="77777777" w:rsidR="00CA08B3" w:rsidRPr="00FB2719" w:rsidRDefault="00CA08B3" w:rsidP="00CA08B3">
      <w:pPr>
        <w:jc w:val="center"/>
        <w:outlineLvl w:val="0"/>
        <w:rPr>
          <w:sz w:val="22"/>
          <w:szCs w:val="22"/>
        </w:rPr>
      </w:pPr>
    </w:p>
    <w:p w14:paraId="05A2513E" w14:textId="77777777" w:rsidR="00CA08B3" w:rsidRPr="00FB2719" w:rsidRDefault="00CA08B3" w:rsidP="00CA08B3">
      <w:pPr>
        <w:jc w:val="center"/>
        <w:outlineLvl w:val="0"/>
        <w:rPr>
          <w:sz w:val="22"/>
          <w:szCs w:val="22"/>
        </w:rPr>
      </w:pPr>
    </w:p>
    <w:p w14:paraId="3F13624F" w14:textId="77777777" w:rsidR="00CA08B3" w:rsidRPr="00FB2719" w:rsidRDefault="00CA08B3" w:rsidP="00CA08B3">
      <w:pPr>
        <w:jc w:val="center"/>
        <w:outlineLvl w:val="0"/>
        <w:rPr>
          <w:sz w:val="22"/>
          <w:szCs w:val="22"/>
        </w:rPr>
      </w:pPr>
    </w:p>
    <w:p w14:paraId="65AF3FAC" w14:textId="77777777" w:rsidR="00CA08B3" w:rsidRPr="00FB2719" w:rsidRDefault="00CA08B3" w:rsidP="00CA08B3">
      <w:pPr>
        <w:jc w:val="center"/>
        <w:outlineLvl w:val="0"/>
        <w:rPr>
          <w:sz w:val="22"/>
          <w:szCs w:val="22"/>
        </w:rPr>
      </w:pPr>
    </w:p>
    <w:p w14:paraId="0F2A948F" w14:textId="77777777" w:rsidR="00CA08B3" w:rsidRPr="00FB2719" w:rsidRDefault="00CA08B3" w:rsidP="00CA08B3">
      <w:pPr>
        <w:pStyle w:val="TTEMEASMCA"/>
        <w:ind w:left="0" w:firstLine="0"/>
        <w:rPr>
          <w:sz w:val="22"/>
          <w:szCs w:val="22"/>
        </w:rPr>
      </w:pPr>
    </w:p>
    <w:p w14:paraId="6F91FB14" w14:textId="77777777" w:rsidR="00CA08B3" w:rsidRPr="00FB2719" w:rsidRDefault="00CA08B3" w:rsidP="00CA08B3">
      <w:pPr>
        <w:pStyle w:val="TTEMEASMCA"/>
        <w:ind w:left="0" w:firstLine="0"/>
        <w:rPr>
          <w:sz w:val="22"/>
          <w:szCs w:val="22"/>
        </w:rPr>
      </w:pPr>
      <w:r w:rsidRPr="00FB2719">
        <w:rPr>
          <w:sz w:val="22"/>
          <w:szCs w:val="22"/>
        </w:rPr>
        <w:t>II PRIEDAS</w:t>
      </w:r>
    </w:p>
    <w:p w14:paraId="4E5A12E5" w14:textId="77777777" w:rsidR="00CA08B3" w:rsidRPr="00FB2719" w:rsidRDefault="00CA08B3" w:rsidP="00CA08B3">
      <w:pPr>
        <w:pStyle w:val="TTEMEASMCA"/>
        <w:ind w:left="0" w:firstLine="0"/>
        <w:rPr>
          <w:sz w:val="22"/>
          <w:szCs w:val="22"/>
        </w:rPr>
      </w:pPr>
    </w:p>
    <w:p w14:paraId="7093B2EE" w14:textId="77777777" w:rsidR="00CA08B3" w:rsidRPr="00FB2719" w:rsidRDefault="00CA08B3" w:rsidP="00CA08B3">
      <w:pPr>
        <w:pStyle w:val="TTEMEASMCA"/>
        <w:tabs>
          <w:tab w:val="left" w:pos="1620"/>
        </w:tabs>
        <w:rPr>
          <w:sz w:val="22"/>
          <w:szCs w:val="22"/>
        </w:rPr>
      </w:pPr>
      <w:r w:rsidRPr="00FB2719">
        <w:rPr>
          <w:sz w:val="22"/>
          <w:szCs w:val="22"/>
        </w:rPr>
        <w:t>REGISTRACIJOS SĄLYGOS</w:t>
      </w:r>
    </w:p>
    <w:p w14:paraId="6D444932" w14:textId="77777777" w:rsidR="00CA08B3" w:rsidRPr="00FB2719" w:rsidRDefault="00CA08B3" w:rsidP="00CA08B3">
      <w:pPr>
        <w:pStyle w:val="BTEMEASMCA"/>
        <w:tabs>
          <w:tab w:val="left" w:pos="567"/>
        </w:tabs>
        <w:rPr>
          <w:sz w:val="22"/>
          <w:szCs w:val="22"/>
        </w:rPr>
      </w:pPr>
    </w:p>
    <w:p w14:paraId="6FB9035D" w14:textId="77777777" w:rsidR="00CA08B3" w:rsidRPr="00FB2719" w:rsidRDefault="00CA08B3" w:rsidP="00CA08B3">
      <w:pPr>
        <w:pStyle w:val="BTAnIIEMEASMCA"/>
        <w:tabs>
          <w:tab w:val="left" w:pos="567"/>
        </w:tabs>
        <w:ind w:left="1134" w:firstLine="0"/>
        <w:rPr>
          <w:rFonts w:cs="Times New Roman"/>
          <w:lang w:val="lt-LT"/>
        </w:rPr>
      </w:pPr>
      <w:r w:rsidRPr="00FB2719">
        <w:rPr>
          <w:rFonts w:cs="Times New Roman"/>
          <w:lang w:val="lt-LT"/>
        </w:rPr>
        <w:t>A.</w:t>
      </w:r>
      <w:r w:rsidRPr="00FB2719">
        <w:rPr>
          <w:rFonts w:cs="Times New Roman"/>
          <w:lang w:val="lt-LT"/>
        </w:rPr>
        <w:tab/>
        <w:t>GAMINTOJAS (-AI), ATSAKINGAS (-I) UŽ SERIJŲ IŠLEIDIMĄ</w:t>
      </w:r>
    </w:p>
    <w:p w14:paraId="27C2FEE6" w14:textId="77777777" w:rsidR="00CA08B3" w:rsidRPr="00FB2719" w:rsidRDefault="00CA08B3" w:rsidP="00CA08B3">
      <w:pPr>
        <w:pStyle w:val="BTEMEASMCA"/>
        <w:tabs>
          <w:tab w:val="left" w:pos="567"/>
        </w:tabs>
        <w:rPr>
          <w:sz w:val="22"/>
          <w:szCs w:val="22"/>
        </w:rPr>
      </w:pPr>
    </w:p>
    <w:p w14:paraId="7EB9779F" w14:textId="77777777" w:rsidR="00CA08B3" w:rsidRPr="00FB2719" w:rsidRDefault="00CA08B3" w:rsidP="00CA08B3">
      <w:pPr>
        <w:pStyle w:val="BTAnIIEMEASMCA"/>
        <w:tabs>
          <w:tab w:val="left" w:pos="567"/>
        </w:tabs>
        <w:ind w:left="1134" w:firstLine="0"/>
        <w:rPr>
          <w:rFonts w:cs="Times New Roman"/>
          <w:lang w:val="lt-LT"/>
        </w:rPr>
      </w:pPr>
      <w:r w:rsidRPr="00FB2719">
        <w:rPr>
          <w:rFonts w:cs="Times New Roman"/>
          <w:lang w:val="lt-LT"/>
        </w:rPr>
        <w:t>B.</w:t>
      </w:r>
      <w:r w:rsidRPr="00FB2719">
        <w:rPr>
          <w:rFonts w:cs="Times New Roman"/>
          <w:lang w:val="lt-LT"/>
        </w:rPr>
        <w:tab/>
      </w:r>
      <w:r w:rsidRPr="00FB2719">
        <w:rPr>
          <w:rFonts w:cs="Times New Roman"/>
          <w:lang w:val="pt-BR"/>
        </w:rPr>
        <w:t>TIEKIMO IR VARTOJIMO SĄLYGOS AR APRIBOJIMAI</w:t>
      </w:r>
    </w:p>
    <w:p w14:paraId="2C2F0633" w14:textId="77777777" w:rsidR="00CA08B3" w:rsidRPr="00FB2719" w:rsidRDefault="00CA08B3" w:rsidP="00CA08B3">
      <w:pPr>
        <w:pStyle w:val="Pagrindinistekstas"/>
        <w:tabs>
          <w:tab w:val="left" w:pos="567"/>
        </w:tabs>
        <w:spacing w:line="240" w:lineRule="auto"/>
        <w:rPr>
          <w:b/>
          <w:szCs w:val="22"/>
        </w:rPr>
      </w:pPr>
      <w:r w:rsidRPr="00FB2719">
        <w:rPr>
          <w:szCs w:val="22"/>
        </w:rPr>
        <w:br w:type="page"/>
      </w:r>
      <w:r w:rsidRPr="00FB2719">
        <w:rPr>
          <w:b/>
          <w:szCs w:val="22"/>
        </w:rPr>
        <w:lastRenderedPageBreak/>
        <w:t>A.</w:t>
      </w:r>
      <w:r w:rsidRPr="00FB2719">
        <w:rPr>
          <w:b/>
          <w:szCs w:val="22"/>
        </w:rPr>
        <w:tab/>
        <w:t>GAMINTOJAS (-AI), ATSAKINGAS (-I) UŽ SERIJŲ IŠLEIDIMĄ</w:t>
      </w:r>
    </w:p>
    <w:p w14:paraId="230D9AAF" w14:textId="77777777" w:rsidR="00CA08B3" w:rsidRPr="00FB2719" w:rsidRDefault="00CA08B3" w:rsidP="00CA08B3">
      <w:pPr>
        <w:pStyle w:val="BTuEMEASMCA"/>
        <w:tabs>
          <w:tab w:val="left" w:pos="567"/>
        </w:tabs>
        <w:rPr>
          <w:sz w:val="22"/>
          <w:szCs w:val="22"/>
        </w:rPr>
      </w:pPr>
    </w:p>
    <w:p w14:paraId="5BF40257" w14:textId="77777777" w:rsidR="00CA08B3" w:rsidRPr="00FB2719" w:rsidRDefault="00CA08B3" w:rsidP="00CA08B3">
      <w:pPr>
        <w:tabs>
          <w:tab w:val="left" w:pos="567"/>
        </w:tabs>
        <w:jc w:val="both"/>
        <w:rPr>
          <w:snapToGrid w:val="0"/>
          <w:sz w:val="22"/>
        </w:rPr>
      </w:pPr>
      <w:r w:rsidRPr="00FB2719">
        <w:rPr>
          <w:noProof/>
          <w:snapToGrid w:val="0"/>
          <w:sz w:val="22"/>
          <w:u w:val="single"/>
        </w:rPr>
        <w:t>Gamintojo (-ų), atsakingo (-ų) už serijų išleidimą, pavadinimas (-ai) ir adresas (-ai)</w:t>
      </w:r>
    </w:p>
    <w:p w14:paraId="3B0AAA7C" w14:textId="77777777" w:rsidR="00CA08B3" w:rsidRPr="00FB2719" w:rsidRDefault="00CA08B3" w:rsidP="00CA08B3">
      <w:pPr>
        <w:autoSpaceDE w:val="0"/>
        <w:autoSpaceDN w:val="0"/>
        <w:adjustRightInd w:val="0"/>
        <w:rPr>
          <w:color w:val="000000"/>
          <w:sz w:val="22"/>
          <w:szCs w:val="22"/>
        </w:rPr>
      </w:pPr>
    </w:p>
    <w:p w14:paraId="233B1996" w14:textId="77777777" w:rsidR="00CA08B3" w:rsidRPr="00FB2719" w:rsidRDefault="00CA08B3" w:rsidP="00CA08B3">
      <w:pPr>
        <w:autoSpaceDE w:val="0"/>
        <w:autoSpaceDN w:val="0"/>
        <w:adjustRightInd w:val="0"/>
        <w:rPr>
          <w:color w:val="000000"/>
          <w:sz w:val="22"/>
          <w:szCs w:val="22"/>
        </w:rPr>
      </w:pPr>
      <w:r w:rsidRPr="00FB2719">
        <w:rPr>
          <w:color w:val="000000"/>
          <w:sz w:val="22"/>
          <w:szCs w:val="22"/>
        </w:rPr>
        <w:t>Salutas Pharma GmbH</w:t>
      </w:r>
    </w:p>
    <w:p w14:paraId="2D514E5C" w14:textId="77777777" w:rsidR="00CA08B3" w:rsidRPr="00FB2719" w:rsidRDefault="00CA08B3" w:rsidP="00CA08B3">
      <w:pPr>
        <w:autoSpaceDE w:val="0"/>
        <w:autoSpaceDN w:val="0"/>
        <w:adjustRightInd w:val="0"/>
        <w:rPr>
          <w:color w:val="000000"/>
          <w:sz w:val="22"/>
          <w:szCs w:val="22"/>
        </w:rPr>
      </w:pPr>
      <w:r w:rsidRPr="00FB2719">
        <w:rPr>
          <w:color w:val="000000"/>
          <w:sz w:val="22"/>
          <w:szCs w:val="22"/>
        </w:rPr>
        <w:t>Otto-von-Guericke-Allee 1</w:t>
      </w:r>
    </w:p>
    <w:p w14:paraId="2337E21C" w14:textId="77777777" w:rsidR="00CA08B3" w:rsidRPr="00FB2719" w:rsidRDefault="00CA08B3" w:rsidP="00CA08B3">
      <w:pPr>
        <w:autoSpaceDE w:val="0"/>
        <w:autoSpaceDN w:val="0"/>
        <w:adjustRightInd w:val="0"/>
        <w:rPr>
          <w:color w:val="000000"/>
          <w:sz w:val="22"/>
          <w:szCs w:val="22"/>
        </w:rPr>
      </w:pPr>
      <w:r w:rsidRPr="00FB2719">
        <w:rPr>
          <w:color w:val="000000"/>
          <w:sz w:val="22"/>
          <w:szCs w:val="22"/>
        </w:rPr>
        <w:t>DE-39179 Barleben</w:t>
      </w:r>
    </w:p>
    <w:p w14:paraId="31EA18F9" w14:textId="77777777" w:rsidR="00CA08B3" w:rsidRPr="00FB2719" w:rsidRDefault="00CA08B3" w:rsidP="00CA08B3">
      <w:pPr>
        <w:autoSpaceDE w:val="0"/>
        <w:autoSpaceDN w:val="0"/>
        <w:adjustRightInd w:val="0"/>
        <w:rPr>
          <w:color w:val="000000"/>
          <w:sz w:val="22"/>
          <w:szCs w:val="22"/>
        </w:rPr>
      </w:pPr>
      <w:r w:rsidRPr="00FB2719">
        <w:rPr>
          <w:color w:val="000000"/>
          <w:sz w:val="22"/>
          <w:szCs w:val="22"/>
        </w:rPr>
        <w:t>Vokietija</w:t>
      </w:r>
    </w:p>
    <w:p w14:paraId="7CCCE943" w14:textId="77777777" w:rsidR="00CA08B3" w:rsidRPr="00FB2719" w:rsidRDefault="00CA08B3" w:rsidP="00CA08B3">
      <w:pPr>
        <w:pStyle w:val="Pagrindinistekstas"/>
        <w:tabs>
          <w:tab w:val="left" w:pos="567"/>
        </w:tabs>
        <w:spacing w:line="240" w:lineRule="auto"/>
        <w:rPr>
          <w:szCs w:val="22"/>
        </w:rPr>
      </w:pPr>
    </w:p>
    <w:p w14:paraId="5C1DA341" w14:textId="77777777" w:rsidR="00CA08B3" w:rsidRPr="00FB2719" w:rsidRDefault="00CA08B3" w:rsidP="00CA08B3">
      <w:pPr>
        <w:pStyle w:val="Pagrindinistekstas"/>
        <w:tabs>
          <w:tab w:val="left" w:pos="567"/>
        </w:tabs>
        <w:spacing w:line="240" w:lineRule="auto"/>
        <w:rPr>
          <w:szCs w:val="22"/>
        </w:rPr>
      </w:pPr>
    </w:p>
    <w:p w14:paraId="780CCE73" w14:textId="77777777" w:rsidR="00CA08B3" w:rsidRPr="00FB2719" w:rsidRDefault="00CA08B3" w:rsidP="00CA08B3">
      <w:pPr>
        <w:pStyle w:val="PI-2EMEASMCA"/>
      </w:pPr>
      <w:bookmarkStart w:id="8" w:name="_Toc129243254"/>
      <w:bookmarkStart w:id="9" w:name="_Toc129243129"/>
      <w:r w:rsidRPr="00FB2719">
        <w:t>B.</w:t>
      </w:r>
      <w:r w:rsidRPr="00FB2719">
        <w:tab/>
        <w:t xml:space="preserve">TIEKIMO IR VARTOJIMO SĄLYGOS AR APRIBOJIMAI </w:t>
      </w:r>
      <w:bookmarkEnd w:id="8"/>
      <w:bookmarkEnd w:id="9"/>
    </w:p>
    <w:p w14:paraId="1E5909D1" w14:textId="77777777" w:rsidR="00CA08B3" w:rsidRPr="00FB2719" w:rsidRDefault="00CA08B3" w:rsidP="00CA08B3">
      <w:pPr>
        <w:pStyle w:val="BTEMEASMCA"/>
        <w:tabs>
          <w:tab w:val="left" w:pos="567"/>
        </w:tabs>
        <w:rPr>
          <w:sz w:val="22"/>
          <w:szCs w:val="22"/>
        </w:rPr>
      </w:pPr>
    </w:p>
    <w:p w14:paraId="58DA4A1A" w14:textId="77777777" w:rsidR="00CA08B3" w:rsidRPr="00FB2719" w:rsidRDefault="00CA08B3" w:rsidP="00CA08B3">
      <w:pPr>
        <w:pStyle w:val="BTEMEASMCA"/>
        <w:tabs>
          <w:tab w:val="left" w:pos="567"/>
        </w:tabs>
        <w:rPr>
          <w:sz w:val="22"/>
          <w:szCs w:val="22"/>
        </w:rPr>
      </w:pPr>
      <w:r w:rsidRPr="00FB2719">
        <w:rPr>
          <w:sz w:val="22"/>
          <w:szCs w:val="22"/>
        </w:rPr>
        <w:t>Receptinis vaistinis preparatas.</w:t>
      </w:r>
    </w:p>
    <w:p w14:paraId="4959A39B" w14:textId="77777777" w:rsidR="00CA08B3" w:rsidRPr="00FB2719" w:rsidRDefault="00CA08B3" w:rsidP="00CA08B3">
      <w:pPr>
        <w:pStyle w:val="BTEMEASMCA"/>
        <w:tabs>
          <w:tab w:val="left" w:pos="567"/>
        </w:tabs>
        <w:rPr>
          <w:sz w:val="22"/>
          <w:szCs w:val="22"/>
        </w:rPr>
      </w:pPr>
    </w:p>
    <w:p w14:paraId="0EE65B30" w14:textId="77777777" w:rsidR="00CA08B3" w:rsidRPr="00FB2719" w:rsidRDefault="00CA08B3" w:rsidP="00CA08B3">
      <w:pPr>
        <w:pStyle w:val="BTEMEASMCA"/>
        <w:tabs>
          <w:tab w:val="left" w:pos="567"/>
        </w:tabs>
        <w:rPr>
          <w:sz w:val="22"/>
          <w:szCs w:val="22"/>
        </w:rPr>
      </w:pPr>
    </w:p>
    <w:p w14:paraId="3644E6CD" w14:textId="77777777" w:rsidR="00CA08B3" w:rsidRPr="00FB2719" w:rsidRDefault="00CA08B3" w:rsidP="00CA08B3">
      <w:pPr>
        <w:pStyle w:val="BTEMEASMCA"/>
        <w:tabs>
          <w:tab w:val="left" w:pos="567"/>
        </w:tabs>
        <w:rPr>
          <w:sz w:val="22"/>
          <w:szCs w:val="22"/>
        </w:rPr>
      </w:pPr>
    </w:p>
    <w:p w14:paraId="0C572051" w14:textId="77777777" w:rsidR="00CA08B3" w:rsidRPr="00FB2719" w:rsidRDefault="00CA08B3" w:rsidP="00CA08B3">
      <w:pPr>
        <w:pStyle w:val="Pagrindinistekstas"/>
        <w:tabs>
          <w:tab w:val="left" w:pos="567"/>
        </w:tabs>
        <w:spacing w:line="240" w:lineRule="auto"/>
        <w:rPr>
          <w:rFonts w:eastAsia="Arial Unicode MS"/>
          <w:szCs w:val="22"/>
        </w:rPr>
      </w:pPr>
      <w:r w:rsidRPr="00FB2719">
        <w:rPr>
          <w:rFonts w:eastAsia="Arial Unicode MS"/>
          <w:szCs w:val="22"/>
        </w:rPr>
        <w:br w:type="page"/>
      </w:r>
    </w:p>
    <w:p w14:paraId="057F6EBD" w14:textId="77777777" w:rsidR="00CA08B3" w:rsidRPr="00FB2719" w:rsidRDefault="00CA08B3" w:rsidP="00CA08B3">
      <w:pPr>
        <w:pStyle w:val="Pagrindinistekstas"/>
        <w:tabs>
          <w:tab w:val="left" w:pos="567"/>
        </w:tabs>
        <w:spacing w:line="240" w:lineRule="auto"/>
        <w:rPr>
          <w:rFonts w:eastAsia="Arial Unicode MS"/>
          <w:szCs w:val="22"/>
        </w:rPr>
      </w:pPr>
    </w:p>
    <w:p w14:paraId="04C7FBB1" w14:textId="77777777" w:rsidR="00CA08B3" w:rsidRPr="00FB2719" w:rsidRDefault="00CA08B3" w:rsidP="00CA08B3">
      <w:pPr>
        <w:pStyle w:val="Pagrindinistekstas"/>
        <w:tabs>
          <w:tab w:val="left" w:pos="567"/>
        </w:tabs>
        <w:spacing w:line="240" w:lineRule="auto"/>
        <w:rPr>
          <w:rFonts w:eastAsia="Arial Unicode MS"/>
          <w:szCs w:val="22"/>
        </w:rPr>
      </w:pPr>
    </w:p>
    <w:p w14:paraId="070F5D2B" w14:textId="77777777" w:rsidR="00CA08B3" w:rsidRPr="00FB2719" w:rsidRDefault="00CA08B3" w:rsidP="00CA08B3">
      <w:pPr>
        <w:pStyle w:val="Pagrindinistekstas"/>
        <w:tabs>
          <w:tab w:val="left" w:pos="567"/>
        </w:tabs>
        <w:spacing w:line="240" w:lineRule="auto"/>
        <w:rPr>
          <w:rFonts w:eastAsia="Arial Unicode MS"/>
          <w:szCs w:val="22"/>
        </w:rPr>
      </w:pPr>
    </w:p>
    <w:p w14:paraId="7375E002" w14:textId="77777777" w:rsidR="00CA08B3" w:rsidRPr="00FB2719" w:rsidRDefault="00CA08B3" w:rsidP="00CA08B3">
      <w:pPr>
        <w:pStyle w:val="Pagrindinistekstas"/>
        <w:tabs>
          <w:tab w:val="left" w:pos="567"/>
        </w:tabs>
        <w:spacing w:line="240" w:lineRule="auto"/>
        <w:rPr>
          <w:rFonts w:eastAsia="Arial Unicode MS"/>
          <w:szCs w:val="22"/>
        </w:rPr>
      </w:pPr>
    </w:p>
    <w:p w14:paraId="0C1F9F12" w14:textId="77777777" w:rsidR="00CA08B3" w:rsidRPr="00FB2719" w:rsidRDefault="00CA08B3" w:rsidP="00CA08B3">
      <w:pPr>
        <w:pStyle w:val="Pagrindinistekstas"/>
        <w:tabs>
          <w:tab w:val="left" w:pos="567"/>
        </w:tabs>
        <w:spacing w:line="240" w:lineRule="auto"/>
        <w:rPr>
          <w:rFonts w:eastAsia="Arial Unicode MS"/>
          <w:szCs w:val="22"/>
        </w:rPr>
      </w:pPr>
    </w:p>
    <w:p w14:paraId="34263035" w14:textId="77777777" w:rsidR="00CA08B3" w:rsidRPr="00FB2719" w:rsidRDefault="00CA08B3" w:rsidP="00CA08B3">
      <w:pPr>
        <w:pStyle w:val="Pagrindinistekstas"/>
        <w:tabs>
          <w:tab w:val="left" w:pos="567"/>
        </w:tabs>
        <w:spacing w:line="240" w:lineRule="auto"/>
        <w:rPr>
          <w:rFonts w:eastAsia="Arial Unicode MS"/>
          <w:szCs w:val="22"/>
        </w:rPr>
      </w:pPr>
    </w:p>
    <w:p w14:paraId="381443B6" w14:textId="77777777" w:rsidR="00CA08B3" w:rsidRPr="00FB2719" w:rsidRDefault="00CA08B3" w:rsidP="00CA08B3">
      <w:pPr>
        <w:pStyle w:val="Pagrindinistekstas"/>
        <w:tabs>
          <w:tab w:val="left" w:pos="567"/>
        </w:tabs>
        <w:spacing w:line="240" w:lineRule="auto"/>
        <w:rPr>
          <w:rFonts w:eastAsia="Arial Unicode MS"/>
          <w:szCs w:val="22"/>
        </w:rPr>
      </w:pPr>
    </w:p>
    <w:p w14:paraId="7C766A84" w14:textId="77777777" w:rsidR="00CA08B3" w:rsidRPr="00FB2719" w:rsidRDefault="00CA08B3" w:rsidP="00CA08B3">
      <w:pPr>
        <w:pStyle w:val="Pagrindinistekstas"/>
        <w:tabs>
          <w:tab w:val="left" w:pos="567"/>
        </w:tabs>
        <w:spacing w:line="240" w:lineRule="auto"/>
        <w:rPr>
          <w:rFonts w:eastAsia="Arial Unicode MS"/>
          <w:szCs w:val="22"/>
        </w:rPr>
      </w:pPr>
    </w:p>
    <w:p w14:paraId="65E13C24" w14:textId="77777777" w:rsidR="00CA08B3" w:rsidRPr="00FB2719" w:rsidRDefault="00CA08B3" w:rsidP="00CA08B3">
      <w:pPr>
        <w:pStyle w:val="Pagrindinistekstas"/>
        <w:tabs>
          <w:tab w:val="left" w:pos="567"/>
        </w:tabs>
        <w:spacing w:line="240" w:lineRule="auto"/>
        <w:rPr>
          <w:rFonts w:eastAsia="Arial Unicode MS"/>
          <w:szCs w:val="22"/>
        </w:rPr>
      </w:pPr>
    </w:p>
    <w:p w14:paraId="0CCD2A64" w14:textId="77777777" w:rsidR="00CA08B3" w:rsidRPr="00FB2719" w:rsidRDefault="00CA08B3" w:rsidP="00CA08B3">
      <w:pPr>
        <w:pStyle w:val="Pagrindinistekstas"/>
        <w:tabs>
          <w:tab w:val="left" w:pos="567"/>
        </w:tabs>
        <w:spacing w:line="240" w:lineRule="auto"/>
        <w:rPr>
          <w:rFonts w:eastAsia="Arial Unicode MS"/>
          <w:szCs w:val="22"/>
        </w:rPr>
      </w:pPr>
    </w:p>
    <w:p w14:paraId="35DFF4BA" w14:textId="77777777" w:rsidR="00CA08B3" w:rsidRPr="00FB2719" w:rsidRDefault="00CA08B3" w:rsidP="00CA08B3">
      <w:pPr>
        <w:pStyle w:val="Pagrindinistekstas"/>
        <w:tabs>
          <w:tab w:val="left" w:pos="567"/>
        </w:tabs>
        <w:spacing w:line="240" w:lineRule="auto"/>
        <w:rPr>
          <w:rFonts w:eastAsia="Arial Unicode MS"/>
          <w:szCs w:val="22"/>
        </w:rPr>
      </w:pPr>
    </w:p>
    <w:p w14:paraId="6BBC5876" w14:textId="77777777" w:rsidR="00CA08B3" w:rsidRPr="00FB2719" w:rsidRDefault="00CA08B3" w:rsidP="00CA08B3">
      <w:pPr>
        <w:pStyle w:val="Pagrindinistekstas"/>
        <w:tabs>
          <w:tab w:val="left" w:pos="567"/>
        </w:tabs>
        <w:spacing w:line="240" w:lineRule="auto"/>
        <w:rPr>
          <w:rFonts w:eastAsia="Arial Unicode MS"/>
          <w:szCs w:val="22"/>
        </w:rPr>
      </w:pPr>
    </w:p>
    <w:p w14:paraId="339A9F5A" w14:textId="77777777" w:rsidR="00CA08B3" w:rsidRPr="00FB2719" w:rsidRDefault="00CA08B3" w:rsidP="00CA08B3">
      <w:pPr>
        <w:pStyle w:val="Pagrindinistekstas"/>
        <w:tabs>
          <w:tab w:val="left" w:pos="567"/>
        </w:tabs>
        <w:spacing w:line="240" w:lineRule="auto"/>
        <w:rPr>
          <w:rFonts w:eastAsia="Arial Unicode MS"/>
          <w:szCs w:val="22"/>
        </w:rPr>
      </w:pPr>
    </w:p>
    <w:p w14:paraId="4DE01C88" w14:textId="77777777" w:rsidR="00CA08B3" w:rsidRPr="00FB2719" w:rsidRDefault="00CA08B3" w:rsidP="00CA08B3">
      <w:pPr>
        <w:pStyle w:val="Pagrindinistekstas"/>
        <w:tabs>
          <w:tab w:val="left" w:pos="567"/>
        </w:tabs>
        <w:spacing w:line="240" w:lineRule="auto"/>
        <w:rPr>
          <w:rFonts w:eastAsia="Arial Unicode MS"/>
          <w:szCs w:val="22"/>
        </w:rPr>
      </w:pPr>
    </w:p>
    <w:p w14:paraId="29B36945" w14:textId="77777777" w:rsidR="00CA08B3" w:rsidRPr="00FB2719" w:rsidRDefault="00CA08B3" w:rsidP="00CA08B3">
      <w:pPr>
        <w:pStyle w:val="Pagrindinistekstas"/>
        <w:tabs>
          <w:tab w:val="left" w:pos="567"/>
        </w:tabs>
        <w:spacing w:line="240" w:lineRule="auto"/>
        <w:rPr>
          <w:rFonts w:eastAsia="Arial Unicode MS"/>
          <w:szCs w:val="22"/>
        </w:rPr>
      </w:pPr>
    </w:p>
    <w:p w14:paraId="62DA4A11" w14:textId="77777777" w:rsidR="00CA08B3" w:rsidRPr="00FB2719" w:rsidRDefault="00CA08B3" w:rsidP="00CA08B3">
      <w:pPr>
        <w:pStyle w:val="Pagrindinistekstas"/>
        <w:tabs>
          <w:tab w:val="left" w:pos="567"/>
        </w:tabs>
        <w:spacing w:line="240" w:lineRule="auto"/>
        <w:rPr>
          <w:rFonts w:eastAsia="Arial Unicode MS"/>
          <w:szCs w:val="22"/>
        </w:rPr>
      </w:pPr>
    </w:p>
    <w:p w14:paraId="6B584B62" w14:textId="77777777" w:rsidR="00CA08B3" w:rsidRPr="00FB2719" w:rsidRDefault="00CA08B3" w:rsidP="00CA08B3">
      <w:pPr>
        <w:pStyle w:val="Pagrindinistekstas"/>
        <w:tabs>
          <w:tab w:val="left" w:pos="567"/>
        </w:tabs>
        <w:spacing w:line="240" w:lineRule="auto"/>
        <w:rPr>
          <w:rFonts w:eastAsia="Arial Unicode MS"/>
          <w:szCs w:val="22"/>
        </w:rPr>
      </w:pPr>
    </w:p>
    <w:p w14:paraId="3550ED4E" w14:textId="77777777" w:rsidR="00CA08B3" w:rsidRPr="00FB2719" w:rsidRDefault="00CA08B3" w:rsidP="00CA08B3">
      <w:pPr>
        <w:pStyle w:val="Pagrindinistekstas"/>
        <w:tabs>
          <w:tab w:val="left" w:pos="567"/>
        </w:tabs>
        <w:spacing w:line="240" w:lineRule="auto"/>
        <w:rPr>
          <w:rFonts w:eastAsia="Arial Unicode MS"/>
          <w:szCs w:val="22"/>
        </w:rPr>
      </w:pPr>
    </w:p>
    <w:p w14:paraId="7CACA92A" w14:textId="77777777" w:rsidR="00CA08B3" w:rsidRPr="00FB2719" w:rsidRDefault="00CA08B3" w:rsidP="00CA08B3">
      <w:pPr>
        <w:pStyle w:val="Pagrindinistekstas"/>
        <w:tabs>
          <w:tab w:val="left" w:pos="567"/>
        </w:tabs>
        <w:spacing w:line="240" w:lineRule="auto"/>
        <w:rPr>
          <w:rFonts w:eastAsia="Arial Unicode MS"/>
          <w:szCs w:val="22"/>
        </w:rPr>
      </w:pPr>
    </w:p>
    <w:p w14:paraId="06E2BCAD" w14:textId="77777777" w:rsidR="00CA08B3" w:rsidRPr="00FB2719" w:rsidRDefault="00CA08B3" w:rsidP="00CA08B3">
      <w:pPr>
        <w:pStyle w:val="Pagrindinistekstas"/>
        <w:tabs>
          <w:tab w:val="left" w:pos="567"/>
        </w:tabs>
        <w:spacing w:line="240" w:lineRule="auto"/>
        <w:rPr>
          <w:rFonts w:eastAsia="Arial Unicode MS"/>
          <w:szCs w:val="22"/>
        </w:rPr>
      </w:pPr>
    </w:p>
    <w:p w14:paraId="436CFB9C" w14:textId="77777777" w:rsidR="00CA08B3" w:rsidRPr="00FB2719" w:rsidRDefault="00CA08B3" w:rsidP="00CA08B3">
      <w:pPr>
        <w:pStyle w:val="Pagrindinistekstas"/>
        <w:tabs>
          <w:tab w:val="left" w:pos="567"/>
        </w:tabs>
        <w:spacing w:line="240" w:lineRule="auto"/>
        <w:rPr>
          <w:rFonts w:eastAsia="Arial Unicode MS"/>
          <w:szCs w:val="22"/>
        </w:rPr>
      </w:pPr>
    </w:p>
    <w:p w14:paraId="46FD6371" w14:textId="77777777" w:rsidR="00CA08B3" w:rsidRPr="00FB2719" w:rsidRDefault="00CA08B3" w:rsidP="00CA08B3">
      <w:pPr>
        <w:pStyle w:val="Pagrindinistekstas"/>
        <w:tabs>
          <w:tab w:val="left" w:pos="567"/>
        </w:tabs>
        <w:spacing w:line="240" w:lineRule="auto"/>
        <w:rPr>
          <w:rFonts w:eastAsia="Arial Unicode MS"/>
          <w:szCs w:val="22"/>
        </w:rPr>
      </w:pPr>
    </w:p>
    <w:p w14:paraId="01DCC2BE" w14:textId="77777777" w:rsidR="00CA08B3" w:rsidRPr="00FB2719" w:rsidRDefault="00CA08B3" w:rsidP="00CA08B3">
      <w:pPr>
        <w:pStyle w:val="Pagrindinistekstas"/>
        <w:spacing w:line="240" w:lineRule="auto"/>
        <w:jc w:val="center"/>
        <w:rPr>
          <w:b/>
          <w:bCs/>
          <w:caps/>
          <w:szCs w:val="22"/>
        </w:rPr>
      </w:pPr>
    </w:p>
    <w:p w14:paraId="0D279A97" w14:textId="77777777" w:rsidR="00CA08B3" w:rsidRPr="00FB2719" w:rsidRDefault="00CA08B3" w:rsidP="00CA08B3">
      <w:pPr>
        <w:pStyle w:val="Pagrindinistekstas"/>
        <w:spacing w:line="240" w:lineRule="auto"/>
        <w:jc w:val="center"/>
        <w:rPr>
          <w:b/>
          <w:bCs/>
          <w:caps/>
          <w:szCs w:val="22"/>
        </w:rPr>
      </w:pPr>
      <w:r w:rsidRPr="00FB2719">
        <w:rPr>
          <w:b/>
          <w:bCs/>
          <w:caps/>
          <w:szCs w:val="22"/>
        </w:rPr>
        <w:t>III PRIEDAS</w:t>
      </w:r>
    </w:p>
    <w:p w14:paraId="436242BD" w14:textId="77777777" w:rsidR="00CA08B3" w:rsidRPr="00FB2719" w:rsidRDefault="00CA08B3" w:rsidP="00CA08B3">
      <w:pPr>
        <w:pStyle w:val="Pagrindinistekstas"/>
        <w:spacing w:line="240" w:lineRule="auto"/>
        <w:jc w:val="center"/>
        <w:rPr>
          <w:b/>
          <w:bCs/>
          <w:caps/>
          <w:szCs w:val="22"/>
        </w:rPr>
      </w:pPr>
    </w:p>
    <w:p w14:paraId="2BA719C1" w14:textId="77777777" w:rsidR="00CA08B3" w:rsidRPr="00FB2719" w:rsidRDefault="00CA08B3" w:rsidP="00CA08B3">
      <w:pPr>
        <w:pStyle w:val="Pagrindinistekstas"/>
        <w:spacing w:line="240" w:lineRule="auto"/>
        <w:jc w:val="center"/>
        <w:rPr>
          <w:b/>
          <w:bCs/>
          <w:caps/>
          <w:szCs w:val="22"/>
        </w:rPr>
      </w:pPr>
      <w:r w:rsidRPr="00FB2719">
        <w:rPr>
          <w:b/>
          <w:bCs/>
          <w:caps/>
          <w:szCs w:val="22"/>
        </w:rPr>
        <w:t>ŽENKLINIMAS IR PAKUOTĖS LAPELIS</w:t>
      </w:r>
    </w:p>
    <w:p w14:paraId="4493C825" w14:textId="77777777" w:rsidR="00CA08B3" w:rsidRPr="00FB2719" w:rsidRDefault="00CA08B3" w:rsidP="00CA08B3">
      <w:pPr>
        <w:pStyle w:val="Pagrindinistekstas"/>
        <w:spacing w:line="240" w:lineRule="auto"/>
        <w:rPr>
          <w:b/>
          <w:bCs/>
          <w:caps/>
          <w:szCs w:val="22"/>
        </w:rPr>
      </w:pPr>
      <w:r w:rsidRPr="00FB2719">
        <w:rPr>
          <w:b/>
          <w:bCs/>
          <w:caps/>
          <w:szCs w:val="22"/>
        </w:rPr>
        <w:br w:type="page"/>
      </w:r>
    </w:p>
    <w:p w14:paraId="747214C5" w14:textId="77777777" w:rsidR="00CA08B3" w:rsidRPr="00FB2719" w:rsidRDefault="00CA08B3" w:rsidP="00CA08B3">
      <w:pPr>
        <w:pStyle w:val="Pagrindinistekstas"/>
        <w:spacing w:line="240" w:lineRule="auto"/>
        <w:rPr>
          <w:b/>
          <w:bCs/>
          <w:caps/>
          <w:szCs w:val="22"/>
        </w:rPr>
      </w:pPr>
    </w:p>
    <w:p w14:paraId="5793C7E5" w14:textId="77777777" w:rsidR="00CA08B3" w:rsidRPr="00FB2719" w:rsidRDefault="00CA08B3" w:rsidP="00CA08B3">
      <w:pPr>
        <w:pStyle w:val="Pagrindinistekstas"/>
        <w:spacing w:line="240" w:lineRule="auto"/>
        <w:rPr>
          <w:b/>
          <w:bCs/>
          <w:caps/>
          <w:szCs w:val="22"/>
        </w:rPr>
      </w:pPr>
    </w:p>
    <w:p w14:paraId="5B687F9F" w14:textId="77777777" w:rsidR="00CA08B3" w:rsidRPr="00FB2719" w:rsidRDefault="00CA08B3" w:rsidP="00CA08B3">
      <w:pPr>
        <w:pStyle w:val="Pagrindinistekstas"/>
        <w:spacing w:line="240" w:lineRule="auto"/>
        <w:rPr>
          <w:b/>
          <w:bCs/>
          <w:caps/>
          <w:szCs w:val="22"/>
        </w:rPr>
      </w:pPr>
    </w:p>
    <w:p w14:paraId="52F4D206" w14:textId="77777777" w:rsidR="00CA08B3" w:rsidRPr="00FB2719" w:rsidRDefault="00CA08B3" w:rsidP="00CA08B3">
      <w:pPr>
        <w:pStyle w:val="Pagrindinistekstas"/>
        <w:spacing w:line="240" w:lineRule="auto"/>
        <w:rPr>
          <w:b/>
          <w:bCs/>
          <w:caps/>
          <w:szCs w:val="22"/>
        </w:rPr>
      </w:pPr>
    </w:p>
    <w:p w14:paraId="152A132A" w14:textId="77777777" w:rsidR="00CA08B3" w:rsidRPr="00FB2719" w:rsidRDefault="00CA08B3" w:rsidP="00CA08B3">
      <w:pPr>
        <w:pStyle w:val="Pagrindinistekstas"/>
        <w:spacing w:line="240" w:lineRule="auto"/>
        <w:rPr>
          <w:b/>
          <w:bCs/>
          <w:caps/>
          <w:szCs w:val="22"/>
        </w:rPr>
      </w:pPr>
    </w:p>
    <w:p w14:paraId="0A2DE3B7" w14:textId="77777777" w:rsidR="00CA08B3" w:rsidRPr="00FB2719" w:rsidRDefault="00CA08B3" w:rsidP="00CA08B3">
      <w:pPr>
        <w:pStyle w:val="Pagrindinistekstas"/>
        <w:spacing w:line="240" w:lineRule="auto"/>
        <w:rPr>
          <w:b/>
          <w:bCs/>
          <w:caps/>
          <w:szCs w:val="22"/>
        </w:rPr>
      </w:pPr>
    </w:p>
    <w:p w14:paraId="1D859277" w14:textId="77777777" w:rsidR="00CA08B3" w:rsidRPr="00FB2719" w:rsidRDefault="00CA08B3" w:rsidP="00CA08B3">
      <w:pPr>
        <w:pStyle w:val="Pagrindinistekstas"/>
        <w:spacing w:line="240" w:lineRule="auto"/>
        <w:rPr>
          <w:b/>
          <w:bCs/>
          <w:caps/>
          <w:szCs w:val="22"/>
        </w:rPr>
      </w:pPr>
    </w:p>
    <w:p w14:paraId="28508E70" w14:textId="77777777" w:rsidR="00CA08B3" w:rsidRPr="00FB2719" w:rsidRDefault="00CA08B3" w:rsidP="00CA08B3">
      <w:pPr>
        <w:pStyle w:val="Pagrindinistekstas"/>
        <w:spacing w:line="240" w:lineRule="auto"/>
        <w:rPr>
          <w:b/>
          <w:bCs/>
          <w:caps/>
          <w:szCs w:val="22"/>
        </w:rPr>
      </w:pPr>
    </w:p>
    <w:p w14:paraId="357522CC" w14:textId="77777777" w:rsidR="00CA08B3" w:rsidRPr="00FB2719" w:rsidRDefault="00CA08B3" w:rsidP="00CA08B3">
      <w:pPr>
        <w:pStyle w:val="Pagrindinistekstas"/>
        <w:spacing w:line="240" w:lineRule="auto"/>
        <w:rPr>
          <w:b/>
          <w:bCs/>
          <w:caps/>
          <w:szCs w:val="22"/>
        </w:rPr>
      </w:pPr>
    </w:p>
    <w:p w14:paraId="69C4CA38" w14:textId="77777777" w:rsidR="00CA08B3" w:rsidRPr="00FB2719" w:rsidRDefault="00CA08B3" w:rsidP="00CA08B3">
      <w:pPr>
        <w:pStyle w:val="Pagrindinistekstas"/>
        <w:spacing w:line="240" w:lineRule="auto"/>
        <w:rPr>
          <w:b/>
          <w:bCs/>
          <w:caps/>
          <w:szCs w:val="22"/>
        </w:rPr>
      </w:pPr>
    </w:p>
    <w:p w14:paraId="3D8EA594" w14:textId="77777777" w:rsidR="00CA08B3" w:rsidRPr="00FB2719" w:rsidRDefault="00CA08B3" w:rsidP="00CA08B3">
      <w:pPr>
        <w:pStyle w:val="Pagrindinistekstas"/>
        <w:spacing w:line="240" w:lineRule="auto"/>
        <w:rPr>
          <w:b/>
          <w:bCs/>
          <w:caps/>
          <w:szCs w:val="22"/>
        </w:rPr>
      </w:pPr>
    </w:p>
    <w:p w14:paraId="2472F370" w14:textId="77777777" w:rsidR="00CA08B3" w:rsidRPr="00FB2719" w:rsidRDefault="00CA08B3" w:rsidP="00CA08B3">
      <w:pPr>
        <w:pStyle w:val="Pagrindinistekstas"/>
        <w:spacing w:line="240" w:lineRule="auto"/>
        <w:rPr>
          <w:b/>
          <w:bCs/>
          <w:caps/>
          <w:szCs w:val="22"/>
        </w:rPr>
      </w:pPr>
    </w:p>
    <w:p w14:paraId="68F1CCE7" w14:textId="77777777" w:rsidR="00CA08B3" w:rsidRPr="00FB2719" w:rsidRDefault="00CA08B3" w:rsidP="00CA08B3">
      <w:pPr>
        <w:pStyle w:val="Pagrindinistekstas"/>
        <w:spacing w:line="240" w:lineRule="auto"/>
        <w:rPr>
          <w:b/>
          <w:bCs/>
          <w:caps/>
          <w:szCs w:val="22"/>
        </w:rPr>
      </w:pPr>
    </w:p>
    <w:p w14:paraId="1F4EA31F" w14:textId="77777777" w:rsidR="00CA08B3" w:rsidRPr="00FB2719" w:rsidRDefault="00CA08B3" w:rsidP="00CA08B3">
      <w:pPr>
        <w:pStyle w:val="Pagrindinistekstas"/>
        <w:spacing w:line="240" w:lineRule="auto"/>
        <w:rPr>
          <w:b/>
          <w:bCs/>
          <w:caps/>
          <w:szCs w:val="22"/>
        </w:rPr>
      </w:pPr>
    </w:p>
    <w:p w14:paraId="26D490A3" w14:textId="77777777" w:rsidR="00CA08B3" w:rsidRPr="00FB2719" w:rsidRDefault="00CA08B3" w:rsidP="00CA08B3">
      <w:pPr>
        <w:pStyle w:val="Pagrindinistekstas"/>
        <w:spacing w:line="240" w:lineRule="auto"/>
        <w:rPr>
          <w:b/>
          <w:bCs/>
          <w:caps/>
          <w:szCs w:val="22"/>
        </w:rPr>
      </w:pPr>
    </w:p>
    <w:p w14:paraId="43BD95C8" w14:textId="77777777" w:rsidR="00CA08B3" w:rsidRPr="00FB2719" w:rsidRDefault="00CA08B3" w:rsidP="00CA08B3">
      <w:pPr>
        <w:pStyle w:val="Pagrindinistekstas"/>
        <w:spacing w:line="240" w:lineRule="auto"/>
        <w:rPr>
          <w:b/>
          <w:bCs/>
          <w:caps/>
          <w:szCs w:val="22"/>
        </w:rPr>
      </w:pPr>
    </w:p>
    <w:p w14:paraId="5B27E7F4" w14:textId="77777777" w:rsidR="00CA08B3" w:rsidRPr="00FB2719" w:rsidRDefault="00CA08B3" w:rsidP="00CA08B3">
      <w:pPr>
        <w:pStyle w:val="Pagrindinistekstas"/>
        <w:spacing w:line="240" w:lineRule="auto"/>
        <w:rPr>
          <w:b/>
          <w:bCs/>
          <w:caps/>
          <w:szCs w:val="22"/>
        </w:rPr>
      </w:pPr>
    </w:p>
    <w:p w14:paraId="24FA74BA" w14:textId="77777777" w:rsidR="00CA08B3" w:rsidRPr="00FB2719" w:rsidRDefault="00CA08B3" w:rsidP="00CA08B3">
      <w:pPr>
        <w:pStyle w:val="Pagrindinistekstas"/>
        <w:spacing w:line="240" w:lineRule="auto"/>
        <w:rPr>
          <w:b/>
          <w:bCs/>
          <w:caps/>
          <w:szCs w:val="22"/>
        </w:rPr>
      </w:pPr>
    </w:p>
    <w:p w14:paraId="375CCB6D" w14:textId="77777777" w:rsidR="00CA08B3" w:rsidRPr="00FB2719" w:rsidRDefault="00CA08B3" w:rsidP="00CA08B3">
      <w:pPr>
        <w:pStyle w:val="Pagrindinistekstas"/>
        <w:spacing w:line="240" w:lineRule="auto"/>
        <w:jc w:val="center"/>
        <w:rPr>
          <w:b/>
          <w:bCs/>
          <w:caps/>
          <w:szCs w:val="22"/>
        </w:rPr>
      </w:pPr>
    </w:p>
    <w:p w14:paraId="7DF4F5DA" w14:textId="77777777" w:rsidR="00CA08B3" w:rsidRPr="00FB2719" w:rsidRDefault="00CA08B3" w:rsidP="00CA08B3">
      <w:pPr>
        <w:pStyle w:val="Pagrindinistekstas"/>
        <w:spacing w:line="240" w:lineRule="auto"/>
        <w:jc w:val="center"/>
        <w:rPr>
          <w:b/>
          <w:bCs/>
          <w:caps/>
          <w:szCs w:val="22"/>
        </w:rPr>
      </w:pPr>
    </w:p>
    <w:p w14:paraId="3988A38F" w14:textId="77777777" w:rsidR="00CA08B3" w:rsidRPr="00FB2719" w:rsidRDefault="00CA08B3" w:rsidP="00CA08B3">
      <w:pPr>
        <w:pStyle w:val="Pagrindinistekstas"/>
        <w:spacing w:line="240" w:lineRule="auto"/>
        <w:jc w:val="center"/>
        <w:rPr>
          <w:b/>
          <w:bCs/>
          <w:caps/>
          <w:szCs w:val="22"/>
        </w:rPr>
      </w:pPr>
    </w:p>
    <w:p w14:paraId="49F76610" w14:textId="77777777" w:rsidR="00CA08B3" w:rsidRPr="00FB2719" w:rsidRDefault="00CA08B3" w:rsidP="00CA08B3">
      <w:pPr>
        <w:pStyle w:val="Pagrindinistekstas"/>
        <w:spacing w:line="240" w:lineRule="auto"/>
        <w:jc w:val="center"/>
        <w:rPr>
          <w:b/>
          <w:bCs/>
          <w:caps/>
          <w:szCs w:val="22"/>
        </w:rPr>
      </w:pPr>
    </w:p>
    <w:p w14:paraId="331347BC" w14:textId="77777777" w:rsidR="00CA08B3" w:rsidRPr="00FB2719" w:rsidRDefault="00CA08B3" w:rsidP="00CA08B3">
      <w:pPr>
        <w:pStyle w:val="Pagrindinistekstas"/>
        <w:spacing w:line="240" w:lineRule="auto"/>
        <w:jc w:val="center"/>
        <w:rPr>
          <w:b/>
          <w:bCs/>
          <w:caps/>
          <w:szCs w:val="22"/>
        </w:rPr>
      </w:pPr>
    </w:p>
    <w:p w14:paraId="05B3BB8F" w14:textId="77777777" w:rsidR="00CA08B3" w:rsidRPr="00FB2719" w:rsidRDefault="00CA08B3" w:rsidP="00CA08B3">
      <w:pPr>
        <w:pStyle w:val="Pagrindinistekstas"/>
        <w:spacing w:line="240" w:lineRule="auto"/>
        <w:jc w:val="center"/>
        <w:rPr>
          <w:b/>
          <w:bCs/>
          <w:caps/>
          <w:szCs w:val="22"/>
        </w:rPr>
      </w:pPr>
      <w:r w:rsidRPr="00FB2719">
        <w:rPr>
          <w:b/>
          <w:bCs/>
          <w:caps/>
          <w:szCs w:val="22"/>
        </w:rPr>
        <w:t>A. ŽENKLINIMAS</w:t>
      </w:r>
    </w:p>
    <w:p w14:paraId="5B2F22A2" w14:textId="77777777" w:rsidR="00CA08B3" w:rsidRPr="00FB2719" w:rsidRDefault="00CA08B3" w:rsidP="00CA08B3">
      <w:pPr>
        <w:pStyle w:val="PI-1labEMEASMCA"/>
        <w:pBdr>
          <w:bottom w:val="single" w:sz="4" w:space="0" w:color="auto"/>
        </w:pBdr>
        <w:tabs>
          <w:tab w:val="left" w:pos="567"/>
        </w:tabs>
        <w:rPr>
          <w:noProof w:val="0"/>
          <w:sz w:val="22"/>
          <w:szCs w:val="22"/>
        </w:rPr>
      </w:pPr>
      <w:r w:rsidRPr="00FB2719">
        <w:rPr>
          <w:bCs/>
          <w:caps/>
          <w:sz w:val="22"/>
          <w:szCs w:val="22"/>
        </w:rPr>
        <w:br w:type="page"/>
      </w:r>
      <w:r w:rsidRPr="00FB2719">
        <w:rPr>
          <w:noProof w:val="0"/>
          <w:sz w:val="22"/>
          <w:szCs w:val="22"/>
        </w:rPr>
        <w:lastRenderedPageBreak/>
        <w:t>INFORMACIJA ANT IŠORINĖS PAKUOTĖS</w:t>
      </w:r>
    </w:p>
    <w:p w14:paraId="3A5077D8" w14:textId="77777777" w:rsidR="00CA08B3" w:rsidRPr="00FB2719" w:rsidRDefault="00CA08B3" w:rsidP="00CA08B3">
      <w:pPr>
        <w:pStyle w:val="PI-1labEMEASMCA"/>
        <w:pBdr>
          <w:bottom w:val="single" w:sz="4" w:space="0" w:color="auto"/>
        </w:pBdr>
        <w:tabs>
          <w:tab w:val="left" w:pos="567"/>
        </w:tabs>
        <w:rPr>
          <w:noProof w:val="0"/>
          <w:sz w:val="22"/>
          <w:szCs w:val="22"/>
        </w:rPr>
      </w:pPr>
    </w:p>
    <w:p w14:paraId="3C126EE3" w14:textId="77777777" w:rsidR="00CA08B3" w:rsidRPr="00FB2719" w:rsidRDefault="00CA08B3" w:rsidP="00CA08B3">
      <w:pPr>
        <w:pStyle w:val="PI-1labEMEASMCA"/>
        <w:pBdr>
          <w:bottom w:val="single" w:sz="4" w:space="0" w:color="auto"/>
        </w:pBdr>
        <w:tabs>
          <w:tab w:val="left" w:pos="567"/>
        </w:tabs>
        <w:rPr>
          <w:bCs/>
          <w:noProof w:val="0"/>
          <w:sz w:val="22"/>
          <w:szCs w:val="22"/>
        </w:rPr>
      </w:pPr>
      <w:r w:rsidRPr="00FB2719">
        <w:rPr>
          <w:noProof w:val="0"/>
          <w:sz w:val="22"/>
          <w:szCs w:val="22"/>
        </w:rPr>
        <w:t>KARTONO DĖŽUTĖ (lizdinėms plokštelėms</w:t>
      </w:r>
      <w:r w:rsidR="008B05BD" w:rsidRPr="00FB2719">
        <w:rPr>
          <w:noProof w:val="0"/>
          <w:sz w:val="22"/>
          <w:szCs w:val="22"/>
        </w:rPr>
        <w:t xml:space="preserve"> ir DTPE </w:t>
      </w:r>
      <w:r w:rsidR="00AF2599" w:rsidRPr="00FB2719">
        <w:rPr>
          <w:noProof w:val="0"/>
          <w:sz w:val="22"/>
          <w:szCs w:val="22"/>
        </w:rPr>
        <w:t>talpyklei</w:t>
      </w:r>
      <w:r w:rsidRPr="00FB2719">
        <w:rPr>
          <w:noProof w:val="0"/>
          <w:sz w:val="22"/>
          <w:szCs w:val="22"/>
        </w:rPr>
        <w:t>)</w:t>
      </w:r>
    </w:p>
    <w:p w14:paraId="2A34D701" w14:textId="77777777" w:rsidR="00CA08B3" w:rsidRPr="00FB2719" w:rsidRDefault="00CA08B3" w:rsidP="00CA08B3">
      <w:pPr>
        <w:pStyle w:val="BTEMEASMCA"/>
        <w:tabs>
          <w:tab w:val="left" w:pos="567"/>
        </w:tabs>
        <w:rPr>
          <w:sz w:val="22"/>
          <w:szCs w:val="22"/>
        </w:rPr>
      </w:pPr>
    </w:p>
    <w:p w14:paraId="4829015A" w14:textId="77777777" w:rsidR="00CA08B3" w:rsidRPr="00FB2719" w:rsidRDefault="00CA08B3" w:rsidP="00CA08B3">
      <w:pPr>
        <w:pStyle w:val="BTEMEASMCA"/>
        <w:tabs>
          <w:tab w:val="left" w:pos="567"/>
        </w:tabs>
        <w:rPr>
          <w:sz w:val="22"/>
          <w:szCs w:val="22"/>
        </w:rPr>
      </w:pPr>
    </w:p>
    <w:p w14:paraId="6825B82E" w14:textId="77777777" w:rsidR="00CA08B3" w:rsidRPr="00FB2719" w:rsidRDefault="00CA08B3" w:rsidP="00CA08B3">
      <w:pPr>
        <w:pStyle w:val="PI-1labEMEASMCA"/>
        <w:tabs>
          <w:tab w:val="left" w:pos="567"/>
        </w:tabs>
        <w:rPr>
          <w:noProof w:val="0"/>
          <w:sz w:val="22"/>
          <w:szCs w:val="22"/>
        </w:rPr>
      </w:pPr>
      <w:r w:rsidRPr="00FB2719">
        <w:rPr>
          <w:noProof w:val="0"/>
          <w:sz w:val="22"/>
          <w:szCs w:val="22"/>
        </w:rPr>
        <w:t>1.</w:t>
      </w:r>
      <w:r w:rsidRPr="00FB2719">
        <w:rPr>
          <w:noProof w:val="0"/>
          <w:sz w:val="22"/>
          <w:szCs w:val="22"/>
        </w:rPr>
        <w:tab/>
        <w:t>VAISTINIO PREPARATO PAVADINIMAS</w:t>
      </w:r>
    </w:p>
    <w:p w14:paraId="0A17986D" w14:textId="77777777" w:rsidR="00CA08B3" w:rsidRPr="00FB2719" w:rsidRDefault="00CA08B3" w:rsidP="00CA08B3">
      <w:pPr>
        <w:pStyle w:val="BTEMEASMCA"/>
        <w:tabs>
          <w:tab w:val="left" w:pos="567"/>
        </w:tabs>
        <w:rPr>
          <w:sz w:val="22"/>
          <w:szCs w:val="22"/>
        </w:rPr>
      </w:pPr>
    </w:p>
    <w:p w14:paraId="463F4DA9" w14:textId="77777777" w:rsidR="00CA08B3" w:rsidRPr="00FB2719" w:rsidRDefault="00CA08B3" w:rsidP="00CA08B3">
      <w:pPr>
        <w:rPr>
          <w:sz w:val="22"/>
          <w:szCs w:val="22"/>
        </w:rPr>
      </w:pPr>
      <w:r w:rsidRPr="00FB2719">
        <w:rPr>
          <w:sz w:val="22"/>
          <w:szCs w:val="22"/>
        </w:rPr>
        <w:t>Lopinavir/Ritonavir Sandoz 200 mg/50 mg plėvele dengtos tabletės</w:t>
      </w:r>
    </w:p>
    <w:p w14:paraId="059331DA" w14:textId="77777777" w:rsidR="00CA08B3" w:rsidRPr="00FB2719" w:rsidRDefault="00CA08B3" w:rsidP="00CA08B3">
      <w:pPr>
        <w:pStyle w:val="BTEMEASMCA"/>
        <w:tabs>
          <w:tab w:val="left" w:pos="567"/>
        </w:tabs>
        <w:rPr>
          <w:sz w:val="22"/>
          <w:szCs w:val="22"/>
        </w:rPr>
      </w:pPr>
      <w:r w:rsidRPr="00FB2719">
        <w:rPr>
          <w:sz w:val="22"/>
          <w:szCs w:val="22"/>
        </w:rPr>
        <w:t>Lopinavirum / Ritonavirum</w:t>
      </w:r>
    </w:p>
    <w:p w14:paraId="7AEC296C" w14:textId="77777777" w:rsidR="00CA08B3" w:rsidRPr="00FB2719" w:rsidRDefault="00CA08B3" w:rsidP="00CA08B3">
      <w:pPr>
        <w:pStyle w:val="BTEMEASMCA"/>
        <w:tabs>
          <w:tab w:val="left" w:pos="567"/>
        </w:tabs>
        <w:rPr>
          <w:sz w:val="22"/>
          <w:szCs w:val="22"/>
        </w:rPr>
      </w:pPr>
    </w:p>
    <w:p w14:paraId="50FDFB09" w14:textId="77777777" w:rsidR="00CA08B3" w:rsidRPr="00FB2719" w:rsidRDefault="00CA08B3" w:rsidP="00CA08B3">
      <w:pPr>
        <w:pStyle w:val="BTEMEASMCA"/>
        <w:tabs>
          <w:tab w:val="left" w:pos="567"/>
        </w:tabs>
        <w:rPr>
          <w:sz w:val="22"/>
          <w:szCs w:val="22"/>
        </w:rPr>
      </w:pPr>
    </w:p>
    <w:p w14:paraId="3A946A34" w14:textId="77777777" w:rsidR="00CA08B3" w:rsidRPr="00FB2719" w:rsidRDefault="00CA08B3" w:rsidP="00CA08B3">
      <w:pPr>
        <w:pStyle w:val="PI-1labEMEASMCA"/>
        <w:tabs>
          <w:tab w:val="left" w:pos="567"/>
        </w:tabs>
        <w:rPr>
          <w:noProof w:val="0"/>
          <w:sz w:val="22"/>
          <w:szCs w:val="22"/>
        </w:rPr>
      </w:pPr>
      <w:r w:rsidRPr="00FB2719">
        <w:rPr>
          <w:noProof w:val="0"/>
          <w:sz w:val="22"/>
          <w:szCs w:val="22"/>
        </w:rPr>
        <w:t>2.</w:t>
      </w:r>
      <w:r w:rsidRPr="00FB2719">
        <w:rPr>
          <w:noProof w:val="0"/>
          <w:sz w:val="22"/>
          <w:szCs w:val="22"/>
        </w:rPr>
        <w:tab/>
      </w:r>
      <w:r w:rsidRPr="00FB2719">
        <w:rPr>
          <w:rFonts w:eastAsia="Times New Roman"/>
          <w:snapToGrid w:val="0"/>
          <w:sz w:val="22"/>
          <w:szCs w:val="24"/>
          <w:lang w:eastAsia="en-US"/>
        </w:rPr>
        <w:t>VEIKLIOJI (-IOS) MEDŽIAGA (-OS) IR JOS (-Ų) KIEKIS (-IAI)</w:t>
      </w:r>
    </w:p>
    <w:p w14:paraId="6ABB0FE0" w14:textId="77777777" w:rsidR="00CA08B3" w:rsidRPr="00FB2719" w:rsidRDefault="00CA08B3" w:rsidP="00CA08B3">
      <w:pPr>
        <w:pStyle w:val="BTEMEASMCA"/>
        <w:tabs>
          <w:tab w:val="left" w:pos="567"/>
        </w:tabs>
        <w:rPr>
          <w:sz w:val="22"/>
          <w:szCs w:val="22"/>
        </w:rPr>
      </w:pPr>
    </w:p>
    <w:p w14:paraId="255CED0D" w14:textId="77777777" w:rsidR="00CA08B3" w:rsidRPr="00FB2719" w:rsidRDefault="00CA08B3" w:rsidP="00CA08B3">
      <w:pPr>
        <w:rPr>
          <w:sz w:val="22"/>
          <w:szCs w:val="22"/>
        </w:rPr>
      </w:pPr>
      <w:r w:rsidRPr="00FB2719">
        <w:rPr>
          <w:sz w:val="22"/>
          <w:szCs w:val="22"/>
        </w:rPr>
        <w:t>Kiekvienoje plėvele dengtoje tabletėje yra 200 mg lopinaviro ir 50 mg ritonaviro.</w:t>
      </w:r>
    </w:p>
    <w:p w14:paraId="78FEDC0B" w14:textId="77777777" w:rsidR="00CA08B3" w:rsidRPr="00FB2719" w:rsidRDefault="00CA08B3" w:rsidP="00CA08B3">
      <w:pPr>
        <w:pStyle w:val="BTEMEASMCA"/>
        <w:tabs>
          <w:tab w:val="left" w:pos="567"/>
        </w:tabs>
        <w:rPr>
          <w:sz w:val="22"/>
          <w:szCs w:val="22"/>
        </w:rPr>
      </w:pPr>
    </w:p>
    <w:p w14:paraId="644C8768" w14:textId="77777777" w:rsidR="00CA08B3" w:rsidRPr="00FB2719" w:rsidRDefault="00CA08B3" w:rsidP="00CA08B3">
      <w:pPr>
        <w:pStyle w:val="BTEMEASMCA"/>
        <w:tabs>
          <w:tab w:val="left" w:pos="567"/>
        </w:tabs>
        <w:rPr>
          <w:sz w:val="22"/>
          <w:szCs w:val="22"/>
        </w:rPr>
      </w:pPr>
    </w:p>
    <w:p w14:paraId="66F392E5" w14:textId="77777777" w:rsidR="00CA08B3" w:rsidRPr="00FB2719" w:rsidRDefault="00CA08B3" w:rsidP="00CA08B3">
      <w:pPr>
        <w:pStyle w:val="PI-1labEMEASMCA"/>
        <w:tabs>
          <w:tab w:val="left" w:pos="567"/>
        </w:tabs>
        <w:rPr>
          <w:noProof w:val="0"/>
          <w:sz w:val="22"/>
          <w:szCs w:val="22"/>
        </w:rPr>
      </w:pPr>
      <w:r w:rsidRPr="00FB2719">
        <w:rPr>
          <w:noProof w:val="0"/>
          <w:sz w:val="22"/>
          <w:szCs w:val="22"/>
        </w:rPr>
        <w:t>3.</w:t>
      </w:r>
      <w:r w:rsidRPr="00FB2719">
        <w:rPr>
          <w:noProof w:val="0"/>
          <w:sz w:val="22"/>
          <w:szCs w:val="22"/>
        </w:rPr>
        <w:tab/>
        <w:t>PAGALBINIŲ MEDŽIAGŲ SĄRAŠAS</w:t>
      </w:r>
    </w:p>
    <w:p w14:paraId="29574D89" w14:textId="77777777" w:rsidR="00CA08B3" w:rsidRPr="00FB2719" w:rsidRDefault="00CA08B3" w:rsidP="00CA08B3">
      <w:pPr>
        <w:pStyle w:val="BTEMEASMCA"/>
        <w:tabs>
          <w:tab w:val="left" w:pos="567"/>
        </w:tabs>
        <w:rPr>
          <w:sz w:val="22"/>
          <w:szCs w:val="22"/>
        </w:rPr>
      </w:pPr>
    </w:p>
    <w:p w14:paraId="15463B4B" w14:textId="77777777" w:rsidR="00CA08B3" w:rsidRPr="00FB2719" w:rsidRDefault="00CA08B3" w:rsidP="00CA08B3">
      <w:pPr>
        <w:pStyle w:val="BTEMEASMCA"/>
        <w:tabs>
          <w:tab w:val="left" w:pos="567"/>
        </w:tabs>
        <w:rPr>
          <w:sz w:val="22"/>
          <w:szCs w:val="22"/>
        </w:rPr>
      </w:pPr>
    </w:p>
    <w:p w14:paraId="425D5A67" w14:textId="77777777" w:rsidR="00CA08B3" w:rsidRPr="00FB2719" w:rsidRDefault="00CA08B3" w:rsidP="00CA08B3">
      <w:pPr>
        <w:pStyle w:val="PI-1labEMEASMCA"/>
        <w:tabs>
          <w:tab w:val="left" w:pos="567"/>
        </w:tabs>
        <w:rPr>
          <w:noProof w:val="0"/>
          <w:sz w:val="22"/>
          <w:szCs w:val="22"/>
        </w:rPr>
      </w:pPr>
      <w:r w:rsidRPr="00FB2719">
        <w:rPr>
          <w:noProof w:val="0"/>
          <w:sz w:val="22"/>
          <w:szCs w:val="22"/>
        </w:rPr>
        <w:t>4.</w:t>
      </w:r>
      <w:r w:rsidRPr="00FB2719">
        <w:rPr>
          <w:noProof w:val="0"/>
          <w:sz w:val="22"/>
          <w:szCs w:val="22"/>
        </w:rPr>
        <w:tab/>
        <w:t>FARMACINĖ FORMA IR KIEKIS PAKUOTĖJE</w:t>
      </w:r>
    </w:p>
    <w:p w14:paraId="1261F710" w14:textId="77777777" w:rsidR="00CA08B3" w:rsidRPr="00FB2719" w:rsidRDefault="00CA08B3" w:rsidP="00CA08B3">
      <w:pPr>
        <w:pStyle w:val="BTEMEASMCA"/>
        <w:tabs>
          <w:tab w:val="left" w:pos="567"/>
        </w:tabs>
        <w:rPr>
          <w:sz w:val="22"/>
          <w:szCs w:val="22"/>
        </w:rPr>
      </w:pPr>
    </w:p>
    <w:p w14:paraId="534FEBE4" w14:textId="77777777" w:rsidR="00CA08B3" w:rsidRPr="00AC2616" w:rsidRDefault="00CA08B3" w:rsidP="00CA08B3">
      <w:pPr>
        <w:pStyle w:val="BTEMEASMCA"/>
        <w:tabs>
          <w:tab w:val="left" w:pos="567"/>
        </w:tabs>
        <w:rPr>
          <w:sz w:val="22"/>
          <w:szCs w:val="22"/>
          <w:highlight w:val="lightGray"/>
        </w:rPr>
      </w:pPr>
      <w:r w:rsidRPr="00AC2616">
        <w:rPr>
          <w:sz w:val="22"/>
          <w:szCs w:val="22"/>
          <w:highlight w:val="lightGray"/>
        </w:rPr>
        <w:t>Plėvele dengtos tabletės</w:t>
      </w:r>
    </w:p>
    <w:p w14:paraId="3C1963D1" w14:textId="77777777" w:rsidR="00CA08B3" w:rsidRPr="00AC2616" w:rsidRDefault="00CA08B3" w:rsidP="00CA08B3">
      <w:pPr>
        <w:pStyle w:val="BTEMEASMCA"/>
        <w:tabs>
          <w:tab w:val="left" w:pos="567"/>
        </w:tabs>
        <w:rPr>
          <w:sz w:val="22"/>
          <w:szCs w:val="22"/>
          <w:highlight w:val="lightGray"/>
        </w:rPr>
      </w:pPr>
    </w:p>
    <w:p w14:paraId="35172889" w14:textId="77777777" w:rsidR="008B05BD" w:rsidRPr="00FB2719" w:rsidRDefault="008B05BD" w:rsidP="00CA08B3">
      <w:pPr>
        <w:pStyle w:val="BTEMEASMCA"/>
        <w:tabs>
          <w:tab w:val="left" w:pos="567"/>
        </w:tabs>
        <w:rPr>
          <w:i/>
          <w:sz w:val="22"/>
          <w:szCs w:val="22"/>
        </w:rPr>
      </w:pPr>
      <w:r w:rsidRPr="00AC2616">
        <w:rPr>
          <w:i/>
          <w:sz w:val="22"/>
          <w:szCs w:val="22"/>
          <w:highlight w:val="lightGray"/>
        </w:rPr>
        <w:t>[Lizdinėm plokštelėms]</w:t>
      </w:r>
    </w:p>
    <w:p w14:paraId="547AE0EA" w14:textId="77777777" w:rsidR="00CA08B3" w:rsidRPr="00FB2719" w:rsidRDefault="00CA08B3" w:rsidP="00CA08B3">
      <w:pPr>
        <w:pStyle w:val="BTEMEASMCA"/>
        <w:tabs>
          <w:tab w:val="left" w:pos="567"/>
        </w:tabs>
        <w:rPr>
          <w:sz w:val="22"/>
          <w:szCs w:val="22"/>
        </w:rPr>
      </w:pPr>
      <w:r w:rsidRPr="00FB2719">
        <w:rPr>
          <w:sz w:val="22"/>
          <w:szCs w:val="22"/>
        </w:rPr>
        <w:t>30 plėvele dengtų tablečių</w:t>
      </w:r>
    </w:p>
    <w:p w14:paraId="09136659" w14:textId="77777777" w:rsidR="00CA08B3" w:rsidRPr="00AC2616" w:rsidRDefault="00CA08B3" w:rsidP="00CA08B3">
      <w:pPr>
        <w:pStyle w:val="BTEMEASMCA"/>
        <w:tabs>
          <w:tab w:val="left" w:pos="567"/>
        </w:tabs>
        <w:rPr>
          <w:sz w:val="22"/>
          <w:szCs w:val="22"/>
          <w:highlight w:val="lightGray"/>
        </w:rPr>
      </w:pPr>
      <w:r w:rsidRPr="00AC2616">
        <w:rPr>
          <w:sz w:val="22"/>
          <w:szCs w:val="22"/>
          <w:highlight w:val="lightGray"/>
        </w:rPr>
        <w:t>40 plėvele dengtų tablečių</w:t>
      </w:r>
    </w:p>
    <w:p w14:paraId="484A290B" w14:textId="77777777" w:rsidR="00CA08B3" w:rsidRPr="00AC2616" w:rsidRDefault="00CA08B3" w:rsidP="00CA08B3">
      <w:pPr>
        <w:pStyle w:val="BTEMEASMCA"/>
        <w:tabs>
          <w:tab w:val="left" w:pos="567"/>
        </w:tabs>
        <w:rPr>
          <w:sz w:val="22"/>
          <w:szCs w:val="22"/>
          <w:highlight w:val="lightGray"/>
        </w:rPr>
      </w:pPr>
      <w:r w:rsidRPr="00AC2616">
        <w:rPr>
          <w:sz w:val="22"/>
          <w:szCs w:val="22"/>
          <w:highlight w:val="lightGray"/>
        </w:rPr>
        <w:t>60 plėvele dengtų tablečių</w:t>
      </w:r>
    </w:p>
    <w:p w14:paraId="60155420" w14:textId="77777777" w:rsidR="00CA08B3" w:rsidRPr="00AC2616" w:rsidRDefault="00CA08B3" w:rsidP="00CA08B3">
      <w:pPr>
        <w:pStyle w:val="BTEMEASMCA"/>
        <w:tabs>
          <w:tab w:val="left" w:pos="567"/>
        </w:tabs>
        <w:rPr>
          <w:sz w:val="22"/>
          <w:szCs w:val="22"/>
          <w:highlight w:val="lightGray"/>
        </w:rPr>
      </w:pPr>
      <w:r w:rsidRPr="00AC2616">
        <w:rPr>
          <w:sz w:val="22"/>
          <w:szCs w:val="22"/>
          <w:highlight w:val="lightGray"/>
        </w:rPr>
        <w:t>120 plėvele dengtų tablečių</w:t>
      </w:r>
    </w:p>
    <w:p w14:paraId="2D493441" w14:textId="77777777" w:rsidR="00CA08B3" w:rsidRPr="00AC2616" w:rsidRDefault="00CA08B3" w:rsidP="00CA08B3">
      <w:pPr>
        <w:tabs>
          <w:tab w:val="left" w:pos="567"/>
        </w:tabs>
        <w:rPr>
          <w:sz w:val="22"/>
          <w:szCs w:val="22"/>
          <w:highlight w:val="lightGray"/>
        </w:rPr>
      </w:pPr>
    </w:p>
    <w:p w14:paraId="6C667947" w14:textId="77777777" w:rsidR="00CA08B3" w:rsidRPr="00AC2616" w:rsidRDefault="008B05BD" w:rsidP="00CA08B3">
      <w:pPr>
        <w:tabs>
          <w:tab w:val="left" w:pos="567"/>
        </w:tabs>
        <w:rPr>
          <w:i/>
          <w:sz w:val="22"/>
          <w:szCs w:val="22"/>
          <w:highlight w:val="lightGray"/>
        </w:rPr>
      </w:pPr>
      <w:r w:rsidRPr="00AC2616">
        <w:rPr>
          <w:i/>
          <w:sz w:val="22"/>
          <w:szCs w:val="22"/>
          <w:highlight w:val="lightGray"/>
        </w:rPr>
        <w:t xml:space="preserve">[DTPE </w:t>
      </w:r>
      <w:r w:rsidR="00AF2599" w:rsidRPr="00AC2616">
        <w:rPr>
          <w:i/>
          <w:sz w:val="22"/>
          <w:szCs w:val="22"/>
          <w:highlight w:val="lightGray"/>
        </w:rPr>
        <w:t>talpyklei</w:t>
      </w:r>
      <w:r w:rsidRPr="00AC2616">
        <w:rPr>
          <w:i/>
          <w:sz w:val="22"/>
          <w:szCs w:val="22"/>
          <w:highlight w:val="lightGray"/>
        </w:rPr>
        <w:t>]</w:t>
      </w:r>
    </w:p>
    <w:p w14:paraId="32478690" w14:textId="77777777" w:rsidR="008B05BD" w:rsidRPr="00AC2616" w:rsidRDefault="008B05BD" w:rsidP="008B05BD">
      <w:pPr>
        <w:pStyle w:val="BTEMEASMCA"/>
        <w:tabs>
          <w:tab w:val="left" w:pos="567"/>
        </w:tabs>
        <w:rPr>
          <w:sz w:val="22"/>
          <w:szCs w:val="22"/>
        </w:rPr>
      </w:pPr>
      <w:r w:rsidRPr="00AC2616">
        <w:rPr>
          <w:sz w:val="22"/>
          <w:szCs w:val="22"/>
          <w:highlight w:val="lightGray"/>
        </w:rPr>
        <w:t>120 plėvele dengtų tablečių</w:t>
      </w:r>
    </w:p>
    <w:p w14:paraId="7D022032" w14:textId="77777777" w:rsidR="00A11A7C" w:rsidRPr="00FB2719" w:rsidRDefault="00A11A7C" w:rsidP="00CA08B3">
      <w:pPr>
        <w:tabs>
          <w:tab w:val="left" w:pos="567"/>
        </w:tabs>
        <w:rPr>
          <w:sz w:val="22"/>
          <w:szCs w:val="22"/>
        </w:rPr>
      </w:pPr>
    </w:p>
    <w:p w14:paraId="559A0EDB" w14:textId="77777777" w:rsidR="00CA08B3" w:rsidRPr="00FB2719" w:rsidRDefault="00CA08B3" w:rsidP="00CA08B3">
      <w:pPr>
        <w:pStyle w:val="PI-1labEMEASMCA"/>
        <w:tabs>
          <w:tab w:val="left" w:pos="567"/>
        </w:tabs>
        <w:rPr>
          <w:noProof w:val="0"/>
          <w:sz w:val="22"/>
          <w:szCs w:val="22"/>
        </w:rPr>
      </w:pPr>
      <w:r w:rsidRPr="00FB2719">
        <w:rPr>
          <w:noProof w:val="0"/>
          <w:sz w:val="22"/>
          <w:szCs w:val="22"/>
        </w:rPr>
        <w:t>5.</w:t>
      </w:r>
      <w:r w:rsidRPr="00FB2719">
        <w:rPr>
          <w:noProof w:val="0"/>
          <w:sz w:val="22"/>
          <w:szCs w:val="22"/>
        </w:rPr>
        <w:tab/>
        <w:t>VARTOJIMO METODAS IR BŪDAS (-AI)</w:t>
      </w:r>
    </w:p>
    <w:p w14:paraId="1238C898" w14:textId="77777777" w:rsidR="00CA08B3" w:rsidRPr="00FB2719" w:rsidRDefault="00CA08B3" w:rsidP="00CA08B3">
      <w:pPr>
        <w:pStyle w:val="BTEMEASMCA"/>
        <w:tabs>
          <w:tab w:val="left" w:pos="567"/>
        </w:tabs>
        <w:rPr>
          <w:sz w:val="22"/>
          <w:szCs w:val="22"/>
        </w:rPr>
      </w:pPr>
    </w:p>
    <w:p w14:paraId="27742B50" w14:textId="77777777" w:rsidR="00CA08B3" w:rsidRPr="00FB2719" w:rsidRDefault="00CA08B3" w:rsidP="00CA08B3">
      <w:pPr>
        <w:pStyle w:val="BTEMEASMCA"/>
        <w:tabs>
          <w:tab w:val="left" w:pos="567"/>
        </w:tabs>
        <w:rPr>
          <w:sz w:val="22"/>
          <w:szCs w:val="22"/>
        </w:rPr>
      </w:pPr>
      <w:r w:rsidRPr="00FB2719">
        <w:rPr>
          <w:sz w:val="22"/>
          <w:szCs w:val="22"/>
        </w:rPr>
        <w:t>Vartoti per burną.</w:t>
      </w:r>
    </w:p>
    <w:p w14:paraId="2EAE6977" w14:textId="77777777" w:rsidR="00CA08B3" w:rsidRPr="00FB2719" w:rsidRDefault="00CA08B3" w:rsidP="00CA08B3">
      <w:pPr>
        <w:pStyle w:val="BTEMEASMCA"/>
        <w:tabs>
          <w:tab w:val="left" w:pos="567"/>
        </w:tabs>
        <w:rPr>
          <w:sz w:val="22"/>
          <w:szCs w:val="22"/>
        </w:rPr>
      </w:pPr>
      <w:r w:rsidRPr="00FB2719">
        <w:rPr>
          <w:sz w:val="22"/>
          <w:szCs w:val="22"/>
        </w:rPr>
        <w:t>Nuryti sveiką.</w:t>
      </w:r>
    </w:p>
    <w:p w14:paraId="7410C60E" w14:textId="77777777" w:rsidR="00CA08B3" w:rsidRPr="00FB2719" w:rsidRDefault="00CA08B3" w:rsidP="00CA08B3">
      <w:pPr>
        <w:pStyle w:val="BTEMEASMCA"/>
        <w:tabs>
          <w:tab w:val="left" w:pos="567"/>
        </w:tabs>
        <w:rPr>
          <w:sz w:val="22"/>
          <w:szCs w:val="22"/>
        </w:rPr>
      </w:pPr>
      <w:r w:rsidRPr="00FB2719">
        <w:rPr>
          <w:sz w:val="22"/>
          <w:szCs w:val="22"/>
        </w:rPr>
        <w:t>Negalima kramtyti, smulkinti ar laužyti.</w:t>
      </w:r>
    </w:p>
    <w:p w14:paraId="428B0065" w14:textId="77777777" w:rsidR="00CA08B3" w:rsidRPr="00FB2719" w:rsidRDefault="00CA08B3" w:rsidP="00CA08B3">
      <w:pPr>
        <w:pStyle w:val="BTEMEASMCA"/>
        <w:tabs>
          <w:tab w:val="left" w:pos="567"/>
        </w:tabs>
        <w:rPr>
          <w:sz w:val="22"/>
          <w:szCs w:val="22"/>
        </w:rPr>
      </w:pPr>
    </w:p>
    <w:p w14:paraId="699AFF86" w14:textId="77777777" w:rsidR="00CA08B3" w:rsidRPr="00FB2719" w:rsidRDefault="00CA08B3" w:rsidP="00CA08B3">
      <w:pPr>
        <w:pStyle w:val="BTEMEASMCA"/>
        <w:tabs>
          <w:tab w:val="left" w:pos="567"/>
        </w:tabs>
        <w:rPr>
          <w:sz w:val="22"/>
          <w:szCs w:val="22"/>
        </w:rPr>
      </w:pPr>
      <w:r w:rsidRPr="00FB2719">
        <w:rPr>
          <w:sz w:val="22"/>
          <w:szCs w:val="22"/>
        </w:rPr>
        <w:t>Prieš vartojimą perskaitykite pakuotės lapelį.</w:t>
      </w:r>
    </w:p>
    <w:p w14:paraId="7A49B9E7" w14:textId="77777777" w:rsidR="00CA08B3" w:rsidRPr="00FB2719" w:rsidRDefault="00CA08B3" w:rsidP="00CA08B3">
      <w:pPr>
        <w:pStyle w:val="BTEMEASMCA"/>
        <w:tabs>
          <w:tab w:val="left" w:pos="567"/>
        </w:tabs>
        <w:rPr>
          <w:sz w:val="22"/>
          <w:szCs w:val="22"/>
        </w:rPr>
      </w:pPr>
    </w:p>
    <w:p w14:paraId="796DC747" w14:textId="77777777" w:rsidR="00CA08B3" w:rsidRPr="00FB2719" w:rsidRDefault="00CA08B3" w:rsidP="00CA08B3">
      <w:pPr>
        <w:pStyle w:val="BTEMEASMCA"/>
        <w:tabs>
          <w:tab w:val="left" w:pos="567"/>
        </w:tabs>
        <w:rPr>
          <w:sz w:val="22"/>
          <w:szCs w:val="22"/>
        </w:rPr>
      </w:pPr>
    </w:p>
    <w:p w14:paraId="0382F272" w14:textId="77777777" w:rsidR="00CA08B3" w:rsidRPr="00FB2719" w:rsidRDefault="00CA08B3" w:rsidP="00CA08B3">
      <w:pPr>
        <w:pStyle w:val="PI-1labEMEASMCA"/>
        <w:tabs>
          <w:tab w:val="left" w:pos="567"/>
        </w:tabs>
        <w:ind w:left="540" w:hanging="540"/>
        <w:rPr>
          <w:noProof w:val="0"/>
          <w:sz w:val="22"/>
          <w:szCs w:val="22"/>
        </w:rPr>
      </w:pPr>
      <w:r w:rsidRPr="00FB2719">
        <w:rPr>
          <w:noProof w:val="0"/>
          <w:sz w:val="22"/>
          <w:szCs w:val="22"/>
        </w:rPr>
        <w:t>6.</w:t>
      </w:r>
      <w:r w:rsidRPr="00FB2719">
        <w:rPr>
          <w:noProof w:val="0"/>
          <w:sz w:val="22"/>
          <w:szCs w:val="22"/>
        </w:rPr>
        <w:tab/>
        <w:t>SPECIALUS ĮSPĖJIMAS, KAD VAISTINĮ PREPARATĄ BŪTINA LAIKYTI VAIKAMS NEPASTEBIMOJE IR NEPASIEKIAMOJE VIETOJE</w:t>
      </w:r>
    </w:p>
    <w:p w14:paraId="519BB86F" w14:textId="77777777" w:rsidR="00CA08B3" w:rsidRPr="00FB2719" w:rsidRDefault="00CA08B3" w:rsidP="00CA08B3">
      <w:pPr>
        <w:pStyle w:val="BTEMEASMCA"/>
        <w:tabs>
          <w:tab w:val="left" w:pos="567"/>
        </w:tabs>
        <w:rPr>
          <w:sz w:val="22"/>
          <w:szCs w:val="22"/>
        </w:rPr>
      </w:pPr>
    </w:p>
    <w:p w14:paraId="5DFF5CEE" w14:textId="77777777" w:rsidR="00CA08B3" w:rsidRPr="00FB2719" w:rsidRDefault="00CA08B3" w:rsidP="00CA08B3">
      <w:pPr>
        <w:pStyle w:val="BTEMEASMCA"/>
        <w:tabs>
          <w:tab w:val="left" w:pos="567"/>
        </w:tabs>
        <w:rPr>
          <w:sz w:val="22"/>
          <w:szCs w:val="22"/>
        </w:rPr>
      </w:pPr>
      <w:r w:rsidRPr="00FB2719">
        <w:rPr>
          <w:sz w:val="22"/>
          <w:szCs w:val="22"/>
        </w:rPr>
        <w:t>Laikyti vaikams nepastebimoje ir nepasiekiamoje vietoje.</w:t>
      </w:r>
    </w:p>
    <w:p w14:paraId="289CF1CD" w14:textId="77777777" w:rsidR="00CA08B3" w:rsidRPr="00FB2719" w:rsidRDefault="00CA08B3" w:rsidP="00CA08B3">
      <w:pPr>
        <w:pStyle w:val="BTEMEASMCA"/>
        <w:tabs>
          <w:tab w:val="left" w:pos="567"/>
        </w:tabs>
        <w:rPr>
          <w:sz w:val="22"/>
          <w:szCs w:val="22"/>
        </w:rPr>
      </w:pPr>
    </w:p>
    <w:p w14:paraId="27F5090F" w14:textId="77777777" w:rsidR="00CA08B3" w:rsidRPr="00FB2719" w:rsidRDefault="00CA08B3" w:rsidP="00CA08B3">
      <w:pPr>
        <w:pStyle w:val="BTEMEASMCA"/>
        <w:tabs>
          <w:tab w:val="left" w:pos="567"/>
        </w:tabs>
        <w:rPr>
          <w:sz w:val="22"/>
          <w:szCs w:val="22"/>
        </w:rPr>
      </w:pPr>
    </w:p>
    <w:p w14:paraId="7E695824" w14:textId="77777777" w:rsidR="00CA08B3" w:rsidRPr="00FB2719" w:rsidRDefault="00CA08B3" w:rsidP="00CA08B3">
      <w:pPr>
        <w:pStyle w:val="PI-1labEMEASMCA"/>
        <w:tabs>
          <w:tab w:val="left" w:pos="567"/>
        </w:tabs>
        <w:rPr>
          <w:noProof w:val="0"/>
          <w:sz w:val="22"/>
          <w:szCs w:val="22"/>
        </w:rPr>
      </w:pPr>
      <w:r w:rsidRPr="00FB2719">
        <w:rPr>
          <w:noProof w:val="0"/>
          <w:sz w:val="22"/>
          <w:szCs w:val="22"/>
        </w:rPr>
        <w:t>7.</w:t>
      </w:r>
      <w:r w:rsidRPr="00FB2719">
        <w:rPr>
          <w:noProof w:val="0"/>
          <w:sz w:val="22"/>
          <w:szCs w:val="22"/>
        </w:rPr>
        <w:tab/>
        <w:t>KITAS (-I) SPECIALUS (-ŪS) ĮSPĖJIMAS (-AI) (JEI REIKIA)</w:t>
      </w:r>
    </w:p>
    <w:p w14:paraId="2A675929" w14:textId="77777777" w:rsidR="008B05BD" w:rsidRPr="00FB2719" w:rsidRDefault="008B05BD" w:rsidP="008B05BD">
      <w:pPr>
        <w:tabs>
          <w:tab w:val="left" w:pos="567"/>
        </w:tabs>
        <w:rPr>
          <w:i/>
          <w:sz w:val="22"/>
          <w:szCs w:val="22"/>
        </w:rPr>
      </w:pPr>
    </w:p>
    <w:p w14:paraId="59D44BF1" w14:textId="77777777" w:rsidR="008B05BD" w:rsidRPr="00FB2719" w:rsidRDefault="008B05BD" w:rsidP="008B05BD">
      <w:pPr>
        <w:tabs>
          <w:tab w:val="left" w:pos="567"/>
        </w:tabs>
        <w:rPr>
          <w:i/>
          <w:sz w:val="22"/>
          <w:szCs w:val="22"/>
        </w:rPr>
      </w:pPr>
      <w:r w:rsidRPr="00AC2616">
        <w:rPr>
          <w:i/>
          <w:sz w:val="22"/>
          <w:szCs w:val="22"/>
          <w:highlight w:val="lightGray"/>
        </w:rPr>
        <w:t xml:space="preserve">[DTPE </w:t>
      </w:r>
      <w:r w:rsidR="00AF2599" w:rsidRPr="00AC2616">
        <w:rPr>
          <w:i/>
          <w:sz w:val="22"/>
          <w:szCs w:val="22"/>
          <w:highlight w:val="lightGray"/>
        </w:rPr>
        <w:t>talpyklei</w:t>
      </w:r>
      <w:r w:rsidRPr="00AC2616">
        <w:rPr>
          <w:i/>
          <w:sz w:val="22"/>
          <w:szCs w:val="22"/>
          <w:highlight w:val="lightGray"/>
        </w:rPr>
        <w:t>]</w:t>
      </w:r>
    </w:p>
    <w:p w14:paraId="4072326B" w14:textId="77777777" w:rsidR="00CA08B3" w:rsidRPr="00FB2719" w:rsidRDefault="008B05BD" w:rsidP="00CA08B3">
      <w:pPr>
        <w:pStyle w:val="BTEMEASMCA"/>
        <w:tabs>
          <w:tab w:val="left" w:pos="567"/>
        </w:tabs>
        <w:rPr>
          <w:sz w:val="22"/>
          <w:szCs w:val="22"/>
        </w:rPr>
      </w:pPr>
      <w:r w:rsidRPr="00FB2719">
        <w:rPr>
          <w:sz w:val="22"/>
          <w:szCs w:val="22"/>
        </w:rPr>
        <w:t>Negalima nuryti sausiklio.</w:t>
      </w:r>
    </w:p>
    <w:p w14:paraId="780512DA" w14:textId="77777777" w:rsidR="008B05BD" w:rsidRPr="00FB2719" w:rsidRDefault="008B05BD" w:rsidP="00CA08B3">
      <w:pPr>
        <w:pStyle w:val="BTEMEASMCA"/>
        <w:tabs>
          <w:tab w:val="left" w:pos="567"/>
        </w:tabs>
        <w:rPr>
          <w:sz w:val="22"/>
          <w:szCs w:val="22"/>
        </w:rPr>
      </w:pPr>
    </w:p>
    <w:p w14:paraId="75B1292E" w14:textId="77777777" w:rsidR="00CA08B3" w:rsidRPr="00FB2719" w:rsidRDefault="00CA08B3" w:rsidP="00CA08B3">
      <w:pPr>
        <w:pStyle w:val="BTEMEASMCA"/>
        <w:tabs>
          <w:tab w:val="left" w:pos="567"/>
        </w:tabs>
        <w:rPr>
          <w:sz w:val="22"/>
          <w:szCs w:val="22"/>
        </w:rPr>
      </w:pPr>
    </w:p>
    <w:p w14:paraId="2885D0CF" w14:textId="77777777" w:rsidR="00CA08B3" w:rsidRPr="00FB2719" w:rsidRDefault="00CA08B3" w:rsidP="00CA08B3">
      <w:pPr>
        <w:pStyle w:val="PI-1labEMEASMCA"/>
        <w:tabs>
          <w:tab w:val="left" w:pos="567"/>
        </w:tabs>
        <w:rPr>
          <w:noProof w:val="0"/>
          <w:sz w:val="22"/>
          <w:szCs w:val="22"/>
        </w:rPr>
      </w:pPr>
      <w:r w:rsidRPr="00FB2719">
        <w:rPr>
          <w:noProof w:val="0"/>
          <w:sz w:val="22"/>
          <w:szCs w:val="22"/>
        </w:rPr>
        <w:lastRenderedPageBreak/>
        <w:t>8.</w:t>
      </w:r>
      <w:r w:rsidRPr="00FB2719">
        <w:rPr>
          <w:noProof w:val="0"/>
          <w:sz w:val="22"/>
          <w:szCs w:val="22"/>
        </w:rPr>
        <w:tab/>
        <w:t>TINKAMUMO LAIKAS</w:t>
      </w:r>
    </w:p>
    <w:p w14:paraId="30A85BDC" w14:textId="77777777" w:rsidR="00CA08B3" w:rsidRPr="00FB2719" w:rsidRDefault="00CA08B3" w:rsidP="00CA08B3">
      <w:pPr>
        <w:tabs>
          <w:tab w:val="left" w:pos="567"/>
        </w:tabs>
        <w:rPr>
          <w:sz w:val="22"/>
          <w:szCs w:val="22"/>
        </w:rPr>
      </w:pPr>
    </w:p>
    <w:p w14:paraId="45D8C569" w14:textId="7DCA931B" w:rsidR="00CA08B3" w:rsidRPr="00FB2719" w:rsidRDefault="00870AAC" w:rsidP="00CA08B3">
      <w:pPr>
        <w:tabs>
          <w:tab w:val="left" w:pos="567"/>
        </w:tabs>
        <w:rPr>
          <w:sz w:val="22"/>
          <w:szCs w:val="22"/>
        </w:rPr>
      </w:pPr>
      <w:r w:rsidRPr="00FB2719">
        <w:rPr>
          <w:sz w:val="22"/>
          <w:szCs w:val="22"/>
        </w:rPr>
        <w:t>EXP</w:t>
      </w:r>
      <w:r w:rsidR="001A2A0E" w:rsidRPr="00FB2719">
        <w:rPr>
          <w:sz w:val="22"/>
          <w:szCs w:val="22"/>
        </w:rPr>
        <w:t xml:space="preserve"> </w:t>
      </w:r>
      <w:r w:rsidR="00CA08B3" w:rsidRPr="00FB2719">
        <w:rPr>
          <w:sz w:val="22"/>
          <w:szCs w:val="22"/>
        </w:rPr>
        <w:t>{mm</w:t>
      </w:r>
      <w:r w:rsidR="008B05BD" w:rsidRPr="00FB2719">
        <w:rPr>
          <w:sz w:val="22"/>
          <w:szCs w:val="22"/>
        </w:rPr>
        <w:t xml:space="preserve"> </w:t>
      </w:r>
      <w:r w:rsidR="00CA08B3" w:rsidRPr="00FB2719">
        <w:rPr>
          <w:sz w:val="22"/>
          <w:szCs w:val="22"/>
        </w:rPr>
        <w:t>MMMM}</w:t>
      </w:r>
    </w:p>
    <w:p w14:paraId="281A39B8" w14:textId="77777777" w:rsidR="00CA08B3" w:rsidRPr="00FB2719" w:rsidRDefault="00CA08B3" w:rsidP="00CA08B3">
      <w:pPr>
        <w:tabs>
          <w:tab w:val="left" w:pos="567"/>
        </w:tabs>
        <w:rPr>
          <w:sz w:val="22"/>
          <w:szCs w:val="22"/>
        </w:rPr>
      </w:pPr>
    </w:p>
    <w:p w14:paraId="112502E4" w14:textId="77777777" w:rsidR="00CA08B3" w:rsidRPr="00FB2719" w:rsidRDefault="00CA08B3" w:rsidP="00CA08B3">
      <w:pPr>
        <w:tabs>
          <w:tab w:val="left" w:pos="567"/>
        </w:tabs>
        <w:rPr>
          <w:sz w:val="22"/>
          <w:szCs w:val="22"/>
        </w:rPr>
      </w:pPr>
    </w:p>
    <w:p w14:paraId="53EC9D66" w14:textId="77777777" w:rsidR="00CA08B3" w:rsidRPr="00FB2719" w:rsidRDefault="00CA08B3" w:rsidP="00CA08B3">
      <w:pPr>
        <w:pStyle w:val="PI-1labEMEASMCA"/>
        <w:tabs>
          <w:tab w:val="left" w:pos="567"/>
        </w:tabs>
        <w:rPr>
          <w:noProof w:val="0"/>
          <w:sz w:val="22"/>
          <w:szCs w:val="22"/>
        </w:rPr>
      </w:pPr>
      <w:r w:rsidRPr="00FB2719">
        <w:rPr>
          <w:noProof w:val="0"/>
          <w:sz w:val="22"/>
          <w:szCs w:val="22"/>
        </w:rPr>
        <w:t>9.</w:t>
      </w:r>
      <w:r w:rsidRPr="00FB2719">
        <w:rPr>
          <w:noProof w:val="0"/>
          <w:sz w:val="22"/>
          <w:szCs w:val="22"/>
        </w:rPr>
        <w:tab/>
        <w:t>SPECIALIOS LAIKYMO SĄLYGOS</w:t>
      </w:r>
    </w:p>
    <w:p w14:paraId="375F3137" w14:textId="77777777" w:rsidR="00CA08B3" w:rsidRPr="00FB2719" w:rsidRDefault="00CA08B3" w:rsidP="00CA08B3">
      <w:pPr>
        <w:pStyle w:val="BTEMEASMCA"/>
        <w:tabs>
          <w:tab w:val="left" w:pos="567"/>
        </w:tabs>
        <w:rPr>
          <w:sz w:val="22"/>
          <w:szCs w:val="22"/>
        </w:rPr>
      </w:pPr>
    </w:p>
    <w:p w14:paraId="59EFD8AE" w14:textId="77777777" w:rsidR="00CA08B3" w:rsidRPr="00FB2719" w:rsidRDefault="00CA08B3" w:rsidP="00CA08B3">
      <w:pPr>
        <w:pStyle w:val="BTEMEASMCA"/>
        <w:tabs>
          <w:tab w:val="left" w:pos="567"/>
        </w:tabs>
        <w:rPr>
          <w:sz w:val="22"/>
          <w:szCs w:val="22"/>
        </w:rPr>
      </w:pPr>
    </w:p>
    <w:p w14:paraId="615872E9" w14:textId="77777777" w:rsidR="00CA08B3" w:rsidRPr="00FB2719" w:rsidRDefault="00CA08B3" w:rsidP="00CA08B3">
      <w:pPr>
        <w:pStyle w:val="PI-1labEMEASMCA"/>
        <w:tabs>
          <w:tab w:val="left" w:pos="567"/>
        </w:tabs>
        <w:ind w:left="540" w:hanging="540"/>
        <w:rPr>
          <w:noProof w:val="0"/>
          <w:sz w:val="22"/>
          <w:szCs w:val="22"/>
        </w:rPr>
      </w:pPr>
      <w:r w:rsidRPr="00FB2719">
        <w:rPr>
          <w:noProof w:val="0"/>
          <w:sz w:val="22"/>
          <w:szCs w:val="22"/>
        </w:rPr>
        <w:t>10.</w:t>
      </w:r>
      <w:r w:rsidRPr="00FB2719">
        <w:rPr>
          <w:noProof w:val="0"/>
          <w:sz w:val="22"/>
          <w:szCs w:val="22"/>
        </w:rPr>
        <w:tab/>
        <w:t xml:space="preserve">SPECIALIOS ATSARGUMO PRIEMONĖS DĖL NESUVARTOTO </w:t>
      </w:r>
      <w:r w:rsidRPr="00FB2719">
        <w:rPr>
          <w:bCs/>
          <w:noProof w:val="0"/>
          <w:sz w:val="22"/>
          <w:szCs w:val="22"/>
        </w:rPr>
        <w:t xml:space="preserve">VAISTINIO PREPARATO AR JO ATLIEKŲ </w:t>
      </w:r>
      <w:r w:rsidRPr="00FB2719">
        <w:rPr>
          <w:noProof w:val="0"/>
          <w:sz w:val="22"/>
          <w:szCs w:val="22"/>
        </w:rPr>
        <w:t>TVARKYMO (JEI REIKIA)</w:t>
      </w:r>
    </w:p>
    <w:p w14:paraId="193D3D79" w14:textId="77777777" w:rsidR="00CA08B3" w:rsidRPr="00FB2719" w:rsidRDefault="00CA08B3" w:rsidP="00CA08B3">
      <w:pPr>
        <w:pStyle w:val="BTEMEASMCA"/>
        <w:tabs>
          <w:tab w:val="left" w:pos="567"/>
        </w:tabs>
        <w:rPr>
          <w:sz w:val="22"/>
          <w:szCs w:val="22"/>
        </w:rPr>
      </w:pPr>
    </w:p>
    <w:p w14:paraId="5D6C02DA" w14:textId="77777777" w:rsidR="00CA08B3" w:rsidRPr="00FB2719" w:rsidRDefault="00CA08B3" w:rsidP="00CA08B3">
      <w:pPr>
        <w:pStyle w:val="BTEMEASMCA"/>
        <w:tabs>
          <w:tab w:val="left" w:pos="567"/>
        </w:tabs>
        <w:rPr>
          <w:sz w:val="22"/>
          <w:szCs w:val="22"/>
        </w:rPr>
      </w:pPr>
      <w:r w:rsidRPr="00FB2719">
        <w:rPr>
          <w:rFonts w:eastAsia="Times New Roman"/>
          <w:snapToGrid w:val="0"/>
          <w:sz w:val="22"/>
          <w:szCs w:val="24"/>
          <w:lang w:eastAsia="en-US"/>
        </w:rPr>
        <w:t>Nesuvartotą vaist</w:t>
      </w:r>
      <w:r w:rsidR="00A11A7C" w:rsidRPr="00FB2719">
        <w:rPr>
          <w:rFonts w:eastAsia="Times New Roman"/>
          <w:snapToGrid w:val="0"/>
          <w:sz w:val="22"/>
          <w:szCs w:val="24"/>
          <w:lang w:eastAsia="en-US"/>
        </w:rPr>
        <w:t>ą</w:t>
      </w:r>
      <w:r w:rsidRPr="00FB2719">
        <w:rPr>
          <w:rFonts w:eastAsia="Times New Roman"/>
          <w:snapToGrid w:val="0"/>
          <w:sz w:val="22"/>
          <w:szCs w:val="24"/>
          <w:lang w:eastAsia="en-US"/>
        </w:rPr>
        <w:t xml:space="preserve"> ar atliekas reikia tvarkyti laikantis vietinių reikalavimų.</w:t>
      </w:r>
    </w:p>
    <w:p w14:paraId="13B6525E" w14:textId="77777777" w:rsidR="00CA08B3" w:rsidRPr="00FB2719" w:rsidRDefault="00CA08B3" w:rsidP="00CA08B3">
      <w:pPr>
        <w:pStyle w:val="BTEMEASMCA"/>
        <w:tabs>
          <w:tab w:val="left" w:pos="567"/>
        </w:tabs>
        <w:rPr>
          <w:sz w:val="22"/>
          <w:szCs w:val="22"/>
        </w:rPr>
      </w:pPr>
    </w:p>
    <w:p w14:paraId="5482AC93" w14:textId="77777777" w:rsidR="00CA08B3" w:rsidRPr="00FB2719" w:rsidRDefault="00CA08B3" w:rsidP="00CA08B3">
      <w:pPr>
        <w:pStyle w:val="BTEMEASMCA"/>
        <w:tabs>
          <w:tab w:val="left" w:pos="567"/>
        </w:tabs>
        <w:rPr>
          <w:sz w:val="22"/>
          <w:szCs w:val="22"/>
        </w:rPr>
      </w:pPr>
    </w:p>
    <w:p w14:paraId="342367BB" w14:textId="77777777" w:rsidR="00CA08B3" w:rsidRPr="00FB2719" w:rsidRDefault="00CA08B3" w:rsidP="00CA08B3">
      <w:pPr>
        <w:pStyle w:val="PI-1labEMEASMCA"/>
        <w:tabs>
          <w:tab w:val="left" w:pos="567"/>
        </w:tabs>
        <w:rPr>
          <w:noProof w:val="0"/>
          <w:sz w:val="22"/>
          <w:szCs w:val="22"/>
        </w:rPr>
      </w:pPr>
      <w:r w:rsidRPr="00FB2719">
        <w:rPr>
          <w:noProof w:val="0"/>
          <w:sz w:val="22"/>
          <w:szCs w:val="22"/>
        </w:rPr>
        <w:t>11.</w:t>
      </w:r>
      <w:r w:rsidRPr="00FB2719">
        <w:rPr>
          <w:noProof w:val="0"/>
          <w:sz w:val="22"/>
          <w:szCs w:val="22"/>
        </w:rPr>
        <w:tab/>
        <w:t>REGISTRUOTOJO PAVADINIMAS IR ADRESAS</w:t>
      </w:r>
    </w:p>
    <w:p w14:paraId="4D4F5317" w14:textId="77777777" w:rsidR="00CA08B3" w:rsidRPr="00FB2719" w:rsidRDefault="00CA08B3" w:rsidP="00CA08B3">
      <w:pPr>
        <w:pStyle w:val="BTEMEASMCA"/>
        <w:tabs>
          <w:tab w:val="left" w:pos="567"/>
        </w:tabs>
        <w:rPr>
          <w:b/>
          <w:sz w:val="22"/>
          <w:szCs w:val="22"/>
        </w:rPr>
      </w:pPr>
    </w:p>
    <w:p w14:paraId="7733713E" w14:textId="77777777" w:rsidR="00CA08B3" w:rsidRPr="00FB2719" w:rsidRDefault="00CA08B3" w:rsidP="00CA08B3">
      <w:pPr>
        <w:tabs>
          <w:tab w:val="left" w:pos="567"/>
        </w:tabs>
        <w:rPr>
          <w:sz w:val="22"/>
          <w:szCs w:val="22"/>
        </w:rPr>
      </w:pPr>
      <w:r w:rsidRPr="00FB2719">
        <w:rPr>
          <w:sz w:val="22"/>
          <w:szCs w:val="22"/>
        </w:rPr>
        <w:t>Sandoz d.d.</w:t>
      </w:r>
    </w:p>
    <w:p w14:paraId="0B8C5A34" w14:textId="77777777" w:rsidR="00CA08B3" w:rsidRPr="00FB2719" w:rsidRDefault="00CA08B3" w:rsidP="00CA08B3">
      <w:pPr>
        <w:tabs>
          <w:tab w:val="left" w:pos="567"/>
        </w:tabs>
        <w:rPr>
          <w:sz w:val="22"/>
          <w:szCs w:val="22"/>
        </w:rPr>
      </w:pPr>
      <w:r w:rsidRPr="00FB2719">
        <w:rPr>
          <w:sz w:val="22"/>
          <w:szCs w:val="22"/>
        </w:rPr>
        <w:t>Verovškova 57</w:t>
      </w:r>
    </w:p>
    <w:p w14:paraId="226D27FA" w14:textId="77777777" w:rsidR="00CA08B3" w:rsidRPr="00FB2719" w:rsidRDefault="00CA08B3" w:rsidP="00CA08B3">
      <w:pPr>
        <w:tabs>
          <w:tab w:val="left" w:pos="567"/>
        </w:tabs>
        <w:rPr>
          <w:sz w:val="22"/>
          <w:szCs w:val="22"/>
        </w:rPr>
      </w:pPr>
      <w:r w:rsidRPr="00FB2719">
        <w:rPr>
          <w:sz w:val="22"/>
          <w:szCs w:val="22"/>
        </w:rPr>
        <w:t>SI-1000 Ljubljana</w:t>
      </w:r>
    </w:p>
    <w:p w14:paraId="50A3664E" w14:textId="77777777" w:rsidR="00CA08B3" w:rsidRPr="00FB2719" w:rsidRDefault="00CA08B3" w:rsidP="00CA08B3">
      <w:pPr>
        <w:tabs>
          <w:tab w:val="left" w:pos="567"/>
        </w:tabs>
        <w:rPr>
          <w:sz w:val="22"/>
          <w:szCs w:val="22"/>
        </w:rPr>
      </w:pPr>
      <w:r w:rsidRPr="00FB2719">
        <w:rPr>
          <w:sz w:val="22"/>
          <w:szCs w:val="22"/>
        </w:rPr>
        <w:t>Slovėnija</w:t>
      </w:r>
    </w:p>
    <w:p w14:paraId="279898ED" w14:textId="77777777" w:rsidR="00CA08B3" w:rsidRPr="00FB2719" w:rsidRDefault="00CA08B3" w:rsidP="00CA08B3">
      <w:pPr>
        <w:pStyle w:val="BTEMEASMCA"/>
        <w:tabs>
          <w:tab w:val="left" w:pos="567"/>
        </w:tabs>
        <w:rPr>
          <w:sz w:val="22"/>
          <w:szCs w:val="22"/>
        </w:rPr>
      </w:pPr>
    </w:p>
    <w:p w14:paraId="242F86BA" w14:textId="77777777" w:rsidR="00CA08B3" w:rsidRPr="00FB2719" w:rsidRDefault="00CA08B3" w:rsidP="00CA08B3">
      <w:pPr>
        <w:pStyle w:val="BTEMEASMCA"/>
        <w:tabs>
          <w:tab w:val="left" w:pos="567"/>
        </w:tabs>
        <w:rPr>
          <w:sz w:val="22"/>
          <w:szCs w:val="22"/>
        </w:rPr>
      </w:pPr>
    </w:p>
    <w:p w14:paraId="4E50641D" w14:textId="77777777" w:rsidR="00CA08B3" w:rsidRPr="00FB2719" w:rsidRDefault="00CA08B3" w:rsidP="00CA08B3">
      <w:pPr>
        <w:pStyle w:val="PI-1labEMEASMCA"/>
        <w:tabs>
          <w:tab w:val="left" w:pos="567"/>
        </w:tabs>
        <w:rPr>
          <w:noProof w:val="0"/>
          <w:sz w:val="22"/>
          <w:szCs w:val="22"/>
        </w:rPr>
      </w:pPr>
      <w:r w:rsidRPr="00FB2719">
        <w:rPr>
          <w:noProof w:val="0"/>
          <w:sz w:val="22"/>
          <w:szCs w:val="22"/>
        </w:rPr>
        <w:t>12.</w:t>
      </w:r>
      <w:r w:rsidRPr="00FB2719">
        <w:rPr>
          <w:noProof w:val="0"/>
          <w:sz w:val="22"/>
          <w:szCs w:val="22"/>
        </w:rPr>
        <w:tab/>
        <w:t xml:space="preserve">REGISTRACIJOS PAŽYMĖJIMO NUMERIS (-IAI) </w:t>
      </w:r>
    </w:p>
    <w:p w14:paraId="7D1D7E81" w14:textId="77777777" w:rsidR="00CA08B3" w:rsidRPr="00FB2719" w:rsidRDefault="00CA08B3" w:rsidP="00CA08B3">
      <w:pPr>
        <w:pStyle w:val="BTEMEASMCA"/>
        <w:tabs>
          <w:tab w:val="left" w:pos="567"/>
        </w:tabs>
        <w:rPr>
          <w:sz w:val="22"/>
          <w:szCs w:val="22"/>
        </w:rPr>
      </w:pPr>
    </w:p>
    <w:p w14:paraId="6F8B1020" w14:textId="77777777" w:rsidR="00A11A7C" w:rsidRPr="00FB2719" w:rsidRDefault="00A11A7C" w:rsidP="00A11A7C">
      <w:pPr>
        <w:pStyle w:val="BTEMEASMCA"/>
        <w:tabs>
          <w:tab w:val="left" w:pos="567"/>
        </w:tabs>
        <w:rPr>
          <w:i/>
          <w:sz w:val="22"/>
          <w:szCs w:val="22"/>
        </w:rPr>
      </w:pPr>
      <w:r w:rsidRPr="00AC2616">
        <w:rPr>
          <w:i/>
          <w:sz w:val="22"/>
          <w:szCs w:val="22"/>
          <w:highlight w:val="lightGray"/>
        </w:rPr>
        <w:t>[Lizdinėm plokštelėms]</w:t>
      </w:r>
    </w:p>
    <w:p w14:paraId="44F67FCE" w14:textId="77777777" w:rsidR="00CA08B3" w:rsidRPr="00FB2719" w:rsidRDefault="00CA08B3" w:rsidP="00CA08B3">
      <w:pPr>
        <w:rPr>
          <w:bCs/>
          <w:sz w:val="22"/>
        </w:rPr>
      </w:pPr>
      <w:r w:rsidRPr="00FB2719">
        <w:rPr>
          <w:bCs/>
          <w:sz w:val="22"/>
        </w:rPr>
        <w:t xml:space="preserve">N30 - LT/1/15/3757/001 </w:t>
      </w:r>
    </w:p>
    <w:p w14:paraId="3F91D621" w14:textId="77777777" w:rsidR="00CA08B3" w:rsidRPr="00AC2616" w:rsidRDefault="00CA08B3" w:rsidP="00CA08B3">
      <w:pPr>
        <w:rPr>
          <w:bCs/>
          <w:sz w:val="22"/>
          <w:highlight w:val="lightGray"/>
        </w:rPr>
      </w:pPr>
      <w:r w:rsidRPr="00AC2616">
        <w:rPr>
          <w:bCs/>
          <w:sz w:val="22"/>
          <w:highlight w:val="lightGray"/>
        </w:rPr>
        <w:t xml:space="preserve">N40 - LT/1/15/3757/002 </w:t>
      </w:r>
    </w:p>
    <w:p w14:paraId="58D09717" w14:textId="77777777" w:rsidR="00CA08B3" w:rsidRPr="00AC2616" w:rsidRDefault="00CA08B3" w:rsidP="00CA08B3">
      <w:pPr>
        <w:rPr>
          <w:bCs/>
          <w:sz w:val="22"/>
          <w:highlight w:val="lightGray"/>
        </w:rPr>
      </w:pPr>
      <w:r w:rsidRPr="00AC2616">
        <w:rPr>
          <w:bCs/>
          <w:sz w:val="22"/>
          <w:highlight w:val="lightGray"/>
        </w:rPr>
        <w:t xml:space="preserve">N60 - LT/1/15/3757/003 </w:t>
      </w:r>
    </w:p>
    <w:p w14:paraId="554124CC" w14:textId="77777777" w:rsidR="00CA08B3" w:rsidRPr="00AC2616" w:rsidRDefault="00CA08B3" w:rsidP="00CA08B3">
      <w:pPr>
        <w:rPr>
          <w:bCs/>
          <w:sz w:val="22"/>
          <w:highlight w:val="lightGray"/>
        </w:rPr>
      </w:pPr>
      <w:r w:rsidRPr="00AC2616">
        <w:rPr>
          <w:bCs/>
          <w:sz w:val="22"/>
          <w:highlight w:val="lightGray"/>
        </w:rPr>
        <w:t xml:space="preserve">N120 - LT/1/15/3757/004 </w:t>
      </w:r>
    </w:p>
    <w:p w14:paraId="3F2D7EFA" w14:textId="77777777" w:rsidR="00A11A7C" w:rsidRPr="00AC2616" w:rsidRDefault="00A11A7C" w:rsidP="00CA08B3">
      <w:pPr>
        <w:rPr>
          <w:bCs/>
          <w:sz w:val="22"/>
          <w:highlight w:val="lightGray"/>
        </w:rPr>
      </w:pPr>
    </w:p>
    <w:p w14:paraId="4F6D00A1" w14:textId="77777777" w:rsidR="00A11A7C" w:rsidRPr="00AC2616" w:rsidRDefault="00A11A7C" w:rsidP="00A11A7C">
      <w:pPr>
        <w:tabs>
          <w:tab w:val="left" w:pos="567"/>
        </w:tabs>
        <w:rPr>
          <w:i/>
          <w:sz w:val="22"/>
          <w:szCs w:val="22"/>
          <w:highlight w:val="lightGray"/>
        </w:rPr>
      </w:pPr>
      <w:r w:rsidRPr="00AC2616">
        <w:rPr>
          <w:i/>
          <w:sz w:val="22"/>
          <w:szCs w:val="22"/>
          <w:highlight w:val="lightGray"/>
        </w:rPr>
        <w:t xml:space="preserve">[DTPE </w:t>
      </w:r>
      <w:r w:rsidR="00AF2599" w:rsidRPr="00AC2616">
        <w:rPr>
          <w:i/>
          <w:sz w:val="22"/>
          <w:szCs w:val="22"/>
          <w:highlight w:val="lightGray"/>
        </w:rPr>
        <w:t>talpyklei</w:t>
      </w:r>
      <w:r w:rsidRPr="00AC2616">
        <w:rPr>
          <w:i/>
          <w:sz w:val="22"/>
          <w:szCs w:val="22"/>
          <w:highlight w:val="lightGray"/>
        </w:rPr>
        <w:t>]</w:t>
      </w:r>
    </w:p>
    <w:p w14:paraId="23BE0917" w14:textId="77777777" w:rsidR="00CA08B3" w:rsidRPr="00FB2719" w:rsidRDefault="00A11A7C" w:rsidP="00A11A7C">
      <w:pPr>
        <w:pStyle w:val="BTEMEASMCA"/>
        <w:tabs>
          <w:tab w:val="left" w:pos="567"/>
        </w:tabs>
        <w:rPr>
          <w:sz w:val="22"/>
          <w:szCs w:val="22"/>
        </w:rPr>
      </w:pPr>
      <w:r w:rsidRPr="00AC2616">
        <w:rPr>
          <w:sz w:val="22"/>
          <w:szCs w:val="22"/>
          <w:highlight w:val="lightGray"/>
        </w:rPr>
        <w:t>N120 - LT/1/15/3757/007</w:t>
      </w:r>
    </w:p>
    <w:p w14:paraId="4C6F80B6" w14:textId="77777777" w:rsidR="00CA08B3" w:rsidRPr="00FB2719" w:rsidRDefault="00CA08B3" w:rsidP="00CA08B3">
      <w:pPr>
        <w:pStyle w:val="BTEMEASMCA"/>
        <w:tabs>
          <w:tab w:val="left" w:pos="567"/>
        </w:tabs>
        <w:rPr>
          <w:sz w:val="22"/>
          <w:szCs w:val="22"/>
        </w:rPr>
      </w:pPr>
    </w:p>
    <w:p w14:paraId="6CA99949" w14:textId="77777777" w:rsidR="00A11A7C" w:rsidRPr="00FB2719" w:rsidRDefault="00A11A7C" w:rsidP="00CA08B3">
      <w:pPr>
        <w:pStyle w:val="BTEMEASMCA"/>
        <w:tabs>
          <w:tab w:val="left" w:pos="567"/>
        </w:tabs>
        <w:rPr>
          <w:sz w:val="22"/>
          <w:szCs w:val="22"/>
        </w:rPr>
      </w:pPr>
    </w:p>
    <w:p w14:paraId="416A7730" w14:textId="77777777" w:rsidR="00CA08B3" w:rsidRPr="00FB2719" w:rsidRDefault="00CA08B3" w:rsidP="00CA08B3">
      <w:pPr>
        <w:pStyle w:val="PI-1labEMEASMCA"/>
        <w:tabs>
          <w:tab w:val="left" w:pos="567"/>
        </w:tabs>
        <w:rPr>
          <w:noProof w:val="0"/>
          <w:sz w:val="22"/>
          <w:szCs w:val="22"/>
        </w:rPr>
      </w:pPr>
      <w:r w:rsidRPr="00FB2719">
        <w:rPr>
          <w:noProof w:val="0"/>
          <w:sz w:val="22"/>
          <w:szCs w:val="22"/>
        </w:rPr>
        <w:t>13.</w:t>
      </w:r>
      <w:r w:rsidRPr="00FB2719">
        <w:rPr>
          <w:noProof w:val="0"/>
          <w:sz w:val="22"/>
          <w:szCs w:val="22"/>
        </w:rPr>
        <w:tab/>
        <w:t>SERIJOS NUMERIS</w:t>
      </w:r>
    </w:p>
    <w:p w14:paraId="2C6B350B" w14:textId="77777777" w:rsidR="00CA08B3" w:rsidRPr="00FB2719" w:rsidRDefault="00CA08B3" w:rsidP="00CA08B3">
      <w:pPr>
        <w:tabs>
          <w:tab w:val="left" w:pos="567"/>
        </w:tabs>
        <w:rPr>
          <w:sz w:val="22"/>
          <w:szCs w:val="22"/>
        </w:rPr>
      </w:pPr>
    </w:p>
    <w:p w14:paraId="27DEC136" w14:textId="5F7A7A94" w:rsidR="00CA08B3" w:rsidRPr="00FB2719" w:rsidRDefault="00870AAC" w:rsidP="00CA08B3">
      <w:pPr>
        <w:tabs>
          <w:tab w:val="left" w:pos="567"/>
        </w:tabs>
        <w:rPr>
          <w:sz w:val="22"/>
          <w:szCs w:val="22"/>
        </w:rPr>
      </w:pPr>
      <w:r w:rsidRPr="00FB2719">
        <w:rPr>
          <w:sz w:val="22"/>
          <w:szCs w:val="22"/>
        </w:rPr>
        <w:t xml:space="preserve">Lot </w:t>
      </w:r>
      <w:r w:rsidR="00CA08B3" w:rsidRPr="00FB2719">
        <w:rPr>
          <w:sz w:val="22"/>
          <w:szCs w:val="22"/>
        </w:rPr>
        <w:t>{numeris}</w:t>
      </w:r>
    </w:p>
    <w:p w14:paraId="27A702C5" w14:textId="77777777" w:rsidR="00CA08B3" w:rsidRPr="00FB2719" w:rsidRDefault="00CA08B3" w:rsidP="00CA08B3">
      <w:pPr>
        <w:tabs>
          <w:tab w:val="left" w:pos="567"/>
        </w:tabs>
        <w:rPr>
          <w:sz w:val="22"/>
          <w:szCs w:val="22"/>
        </w:rPr>
      </w:pPr>
    </w:p>
    <w:p w14:paraId="4D22045A" w14:textId="77777777" w:rsidR="00CA08B3" w:rsidRPr="00FB2719" w:rsidRDefault="00CA08B3" w:rsidP="00CA08B3">
      <w:pPr>
        <w:tabs>
          <w:tab w:val="left" w:pos="567"/>
        </w:tabs>
        <w:rPr>
          <w:sz w:val="22"/>
          <w:szCs w:val="22"/>
        </w:rPr>
      </w:pPr>
    </w:p>
    <w:p w14:paraId="2D0DC0CC" w14:textId="77777777" w:rsidR="00CA08B3" w:rsidRPr="00FB2719" w:rsidRDefault="00CA08B3" w:rsidP="00CA08B3">
      <w:pPr>
        <w:pStyle w:val="PI-1labEMEASMCA"/>
        <w:tabs>
          <w:tab w:val="left" w:pos="567"/>
        </w:tabs>
        <w:rPr>
          <w:noProof w:val="0"/>
          <w:sz w:val="22"/>
          <w:szCs w:val="22"/>
        </w:rPr>
      </w:pPr>
      <w:r w:rsidRPr="00FB2719">
        <w:rPr>
          <w:noProof w:val="0"/>
          <w:sz w:val="22"/>
          <w:szCs w:val="22"/>
        </w:rPr>
        <w:t>14.</w:t>
      </w:r>
      <w:r w:rsidRPr="00FB2719">
        <w:rPr>
          <w:noProof w:val="0"/>
          <w:sz w:val="22"/>
          <w:szCs w:val="22"/>
        </w:rPr>
        <w:tab/>
        <w:t>PARDAVIMO (IŠDAVIMO) TVARKA</w:t>
      </w:r>
    </w:p>
    <w:p w14:paraId="03AA0C42" w14:textId="77777777" w:rsidR="00CA08B3" w:rsidRPr="00FB2719" w:rsidRDefault="00CA08B3" w:rsidP="00CA08B3">
      <w:pPr>
        <w:pStyle w:val="BTEMEASMCA"/>
        <w:tabs>
          <w:tab w:val="left" w:pos="567"/>
        </w:tabs>
        <w:rPr>
          <w:sz w:val="22"/>
          <w:szCs w:val="22"/>
        </w:rPr>
      </w:pPr>
    </w:p>
    <w:p w14:paraId="2DA4F1A8" w14:textId="77777777" w:rsidR="00CA08B3" w:rsidRPr="00FB2719" w:rsidRDefault="00CA08B3" w:rsidP="00CA08B3">
      <w:pPr>
        <w:pStyle w:val="BTEMEASMCA"/>
        <w:tabs>
          <w:tab w:val="left" w:pos="567"/>
        </w:tabs>
        <w:rPr>
          <w:sz w:val="22"/>
          <w:szCs w:val="22"/>
        </w:rPr>
      </w:pPr>
      <w:r w:rsidRPr="00FB2719">
        <w:rPr>
          <w:sz w:val="22"/>
          <w:szCs w:val="22"/>
        </w:rPr>
        <w:t>Receptinis vaist</w:t>
      </w:r>
      <w:r w:rsidR="00A11A7C" w:rsidRPr="00FB2719">
        <w:rPr>
          <w:sz w:val="22"/>
          <w:szCs w:val="22"/>
        </w:rPr>
        <w:t>as</w:t>
      </w:r>
      <w:r w:rsidRPr="00FB2719">
        <w:rPr>
          <w:sz w:val="22"/>
          <w:szCs w:val="22"/>
        </w:rPr>
        <w:t>.</w:t>
      </w:r>
    </w:p>
    <w:p w14:paraId="2BD77DEB" w14:textId="77777777" w:rsidR="00CA08B3" w:rsidRPr="00FB2719" w:rsidRDefault="00CA08B3" w:rsidP="00CA08B3">
      <w:pPr>
        <w:pStyle w:val="BTEMEASMCA"/>
        <w:tabs>
          <w:tab w:val="left" w:pos="567"/>
        </w:tabs>
        <w:rPr>
          <w:sz w:val="22"/>
          <w:szCs w:val="22"/>
        </w:rPr>
      </w:pPr>
    </w:p>
    <w:p w14:paraId="05066994" w14:textId="77777777" w:rsidR="00CA08B3" w:rsidRPr="00FB2719" w:rsidRDefault="00CA08B3" w:rsidP="00CA08B3">
      <w:pPr>
        <w:pStyle w:val="BTEMEASMCA"/>
        <w:tabs>
          <w:tab w:val="left" w:pos="567"/>
        </w:tabs>
        <w:rPr>
          <w:sz w:val="22"/>
          <w:szCs w:val="22"/>
        </w:rPr>
      </w:pPr>
    </w:p>
    <w:p w14:paraId="620D17FF" w14:textId="77777777" w:rsidR="00CA08B3" w:rsidRPr="00FB2719" w:rsidRDefault="00CA08B3" w:rsidP="00CA08B3">
      <w:pPr>
        <w:pStyle w:val="PI-1labEMEASMCA"/>
        <w:tabs>
          <w:tab w:val="left" w:pos="567"/>
        </w:tabs>
        <w:rPr>
          <w:noProof w:val="0"/>
          <w:sz w:val="22"/>
          <w:szCs w:val="22"/>
        </w:rPr>
      </w:pPr>
      <w:r w:rsidRPr="00FB2719">
        <w:rPr>
          <w:noProof w:val="0"/>
          <w:sz w:val="22"/>
          <w:szCs w:val="22"/>
        </w:rPr>
        <w:t>15.</w:t>
      </w:r>
      <w:r w:rsidRPr="00FB2719">
        <w:rPr>
          <w:noProof w:val="0"/>
          <w:sz w:val="22"/>
          <w:szCs w:val="22"/>
        </w:rPr>
        <w:tab/>
        <w:t>VARTOJIMO INSTRUKCIJA</w:t>
      </w:r>
    </w:p>
    <w:p w14:paraId="2B5E8B8C" w14:textId="77777777" w:rsidR="00CA08B3" w:rsidRPr="00FB2719" w:rsidRDefault="00CA08B3" w:rsidP="00CA08B3">
      <w:pPr>
        <w:pStyle w:val="BTEMEASMCA"/>
        <w:tabs>
          <w:tab w:val="left" w:pos="567"/>
        </w:tabs>
        <w:rPr>
          <w:sz w:val="22"/>
          <w:szCs w:val="22"/>
        </w:rPr>
      </w:pPr>
    </w:p>
    <w:p w14:paraId="651C41A4" w14:textId="77777777" w:rsidR="00CA08B3" w:rsidRPr="00FB2719" w:rsidRDefault="00CA08B3" w:rsidP="00CA08B3">
      <w:pPr>
        <w:pStyle w:val="BTEMEASMCA"/>
        <w:tabs>
          <w:tab w:val="left" w:pos="567"/>
        </w:tabs>
        <w:rPr>
          <w:sz w:val="22"/>
          <w:szCs w:val="22"/>
        </w:rPr>
      </w:pPr>
    </w:p>
    <w:p w14:paraId="080F0ADF" w14:textId="77777777" w:rsidR="00CA08B3" w:rsidRPr="00FB2719" w:rsidRDefault="00CA08B3" w:rsidP="00CA08B3">
      <w:pPr>
        <w:pStyle w:val="PI-1labEMEASMCA"/>
        <w:tabs>
          <w:tab w:val="left" w:pos="567"/>
        </w:tabs>
        <w:rPr>
          <w:noProof w:val="0"/>
          <w:sz w:val="22"/>
          <w:szCs w:val="22"/>
        </w:rPr>
      </w:pPr>
      <w:r w:rsidRPr="00FB2719">
        <w:rPr>
          <w:noProof w:val="0"/>
          <w:sz w:val="22"/>
          <w:szCs w:val="22"/>
        </w:rPr>
        <w:t>16.</w:t>
      </w:r>
      <w:r w:rsidRPr="00FB2719">
        <w:rPr>
          <w:noProof w:val="0"/>
          <w:sz w:val="22"/>
          <w:szCs w:val="22"/>
        </w:rPr>
        <w:tab/>
        <w:t>INFORMACIJA BRAILIO RAŠTU tik ant kartono dėžutės</w:t>
      </w:r>
    </w:p>
    <w:p w14:paraId="4420BBC4" w14:textId="77777777" w:rsidR="00CA08B3" w:rsidRPr="00FB2719" w:rsidRDefault="00CA08B3" w:rsidP="00CA08B3">
      <w:pPr>
        <w:pStyle w:val="BTEMEASMCA"/>
        <w:tabs>
          <w:tab w:val="left" w:pos="567"/>
        </w:tabs>
        <w:rPr>
          <w:sz w:val="22"/>
          <w:szCs w:val="22"/>
        </w:rPr>
      </w:pPr>
    </w:p>
    <w:p w14:paraId="36D0353B" w14:textId="77777777" w:rsidR="00CA08B3" w:rsidRPr="00FB2719" w:rsidRDefault="00CA08B3" w:rsidP="00CA08B3">
      <w:pPr>
        <w:pStyle w:val="Pagrindinistekstas"/>
        <w:spacing w:line="240" w:lineRule="auto"/>
        <w:rPr>
          <w:szCs w:val="22"/>
        </w:rPr>
      </w:pPr>
      <w:r w:rsidRPr="00FB2719">
        <w:rPr>
          <w:szCs w:val="22"/>
        </w:rPr>
        <w:t>Lopinavir/Ritonavir Sandoz 200 mg/50 mg tabletės</w:t>
      </w:r>
    </w:p>
    <w:p w14:paraId="6C96E8E7" w14:textId="77777777" w:rsidR="00CA08B3" w:rsidRPr="00FB2719" w:rsidRDefault="00CA08B3" w:rsidP="00CA08B3">
      <w:pPr>
        <w:pStyle w:val="BTEMEASMCA"/>
        <w:tabs>
          <w:tab w:val="left" w:pos="567"/>
        </w:tabs>
        <w:rPr>
          <w:sz w:val="22"/>
          <w:szCs w:val="22"/>
        </w:rPr>
      </w:pPr>
    </w:p>
    <w:p w14:paraId="7471E944" w14:textId="77777777" w:rsidR="00CA08B3" w:rsidRPr="00FB2719" w:rsidRDefault="00CA08B3" w:rsidP="00CA08B3">
      <w:pPr>
        <w:tabs>
          <w:tab w:val="left" w:pos="567"/>
        </w:tabs>
        <w:rPr>
          <w:noProof/>
          <w:sz w:val="22"/>
          <w:szCs w:val="22"/>
          <w:shd w:val="clear" w:color="auto" w:fill="CCCCCC"/>
          <w:lang w:eastAsia="lt-LT" w:bidi="lt-LT"/>
        </w:rPr>
      </w:pPr>
    </w:p>
    <w:p w14:paraId="510EBF93" w14:textId="77777777" w:rsidR="00CA08B3" w:rsidRPr="00FB2719" w:rsidRDefault="00CA08B3" w:rsidP="00CA08B3">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sz w:val="22"/>
          <w:szCs w:val="20"/>
          <w:lang w:eastAsia="lt-LT" w:bidi="lt-LT"/>
        </w:rPr>
      </w:pPr>
      <w:r w:rsidRPr="00FB2719">
        <w:rPr>
          <w:b/>
          <w:noProof/>
          <w:sz w:val="22"/>
          <w:szCs w:val="20"/>
          <w:lang w:eastAsia="lt-LT" w:bidi="lt-LT"/>
        </w:rPr>
        <w:lastRenderedPageBreak/>
        <w:t>17.</w:t>
      </w:r>
      <w:r w:rsidRPr="00FB2719">
        <w:rPr>
          <w:b/>
          <w:noProof/>
          <w:sz w:val="22"/>
          <w:szCs w:val="20"/>
          <w:lang w:eastAsia="lt-LT" w:bidi="lt-LT"/>
        </w:rPr>
        <w:tab/>
        <w:t>UNIKALUS IDENTIFIKATORIUS – 2D BRŪKŠNINIS KODAS</w:t>
      </w:r>
    </w:p>
    <w:p w14:paraId="3DD85D91" w14:textId="77777777" w:rsidR="00CA08B3" w:rsidRPr="00FB2719" w:rsidRDefault="00CA08B3" w:rsidP="00CA08B3">
      <w:pPr>
        <w:rPr>
          <w:noProof/>
          <w:sz w:val="22"/>
          <w:szCs w:val="20"/>
          <w:lang w:eastAsia="lt-LT" w:bidi="lt-LT"/>
        </w:rPr>
      </w:pPr>
    </w:p>
    <w:p w14:paraId="308A647C" w14:textId="77777777" w:rsidR="00CA08B3" w:rsidRPr="00FB2719" w:rsidRDefault="00CA08B3" w:rsidP="00CA08B3">
      <w:pPr>
        <w:tabs>
          <w:tab w:val="left" w:pos="567"/>
        </w:tabs>
        <w:rPr>
          <w:noProof/>
          <w:sz w:val="22"/>
          <w:szCs w:val="22"/>
          <w:shd w:val="clear" w:color="auto" w:fill="CCCCCC"/>
          <w:lang w:eastAsia="lt-LT" w:bidi="lt-LT"/>
        </w:rPr>
      </w:pPr>
      <w:r w:rsidRPr="00FB2719">
        <w:rPr>
          <w:noProof/>
          <w:sz w:val="22"/>
          <w:szCs w:val="20"/>
          <w:lang w:eastAsia="lt-LT" w:bidi="lt-LT"/>
        </w:rPr>
        <w:t>2D brūkšninis kodas su nurodytu unikaliu identifikatoriumi.</w:t>
      </w:r>
    </w:p>
    <w:p w14:paraId="483DB699" w14:textId="77777777" w:rsidR="00CA08B3" w:rsidRPr="00FB2719" w:rsidRDefault="00CA08B3" w:rsidP="00CA08B3">
      <w:pPr>
        <w:rPr>
          <w:noProof/>
          <w:sz w:val="22"/>
          <w:szCs w:val="20"/>
          <w:lang w:eastAsia="lt-LT" w:bidi="lt-LT"/>
        </w:rPr>
      </w:pPr>
    </w:p>
    <w:p w14:paraId="0292E55A" w14:textId="77777777" w:rsidR="00CA08B3" w:rsidRPr="00FB2719" w:rsidRDefault="00CA08B3" w:rsidP="00CA08B3">
      <w:pPr>
        <w:rPr>
          <w:noProof/>
          <w:sz w:val="22"/>
          <w:szCs w:val="20"/>
          <w:lang w:eastAsia="lt-LT" w:bidi="lt-LT"/>
        </w:rPr>
      </w:pPr>
    </w:p>
    <w:p w14:paraId="58755209" w14:textId="77777777" w:rsidR="00CA08B3" w:rsidRPr="00FB2719" w:rsidRDefault="00CA08B3" w:rsidP="00CA08B3">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sz w:val="22"/>
          <w:szCs w:val="20"/>
          <w:lang w:eastAsia="lt-LT" w:bidi="lt-LT"/>
        </w:rPr>
      </w:pPr>
      <w:r w:rsidRPr="00FB2719">
        <w:rPr>
          <w:b/>
          <w:noProof/>
          <w:sz w:val="22"/>
          <w:szCs w:val="20"/>
          <w:lang w:eastAsia="lt-LT" w:bidi="lt-LT"/>
        </w:rPr>
        <w:t>18.</w:t>
      </w:r>
      <w:r w:rsidRPr="00FB2719">
        <w:rPr>
          <w:b/>
          <w:noProof/>
          <w:sz w:val="22"/>
          <w:szCs w:val="20"/>
          <w:lang w:eastAsia="lt-LT" w:bidi="lt-LT"/>
        </w:rPr>
        <w:tab/>
        <w:t>UNIKALUS IDENTIFIKATORIUS – ŽMONĖMS SUPRANTAMI DUOMENYS</w:t>
      </w:r>
    </w:p>
    <w:p w14:paraId="27D900C9" w14:textId="77777777" w:rsidR="00CA08B3" w:rsidRPr="00FB2719" w:rsidRDefault="00CA08B3" w:rsidP="00CA08B3">
      <w:pPr>
        <w:rPr>
          <w:noProof/>
          <w:sz w:val="22"/>
          <w:szCs w:val="20"/>
          <w:lang w:eastAsia="lt-LT" w:bidi="lt-LT"/>
        </w:rPr>
      </w:pPr>
    </w:p>
    <w:p w14:paraId="4AFFDD82" w14:textId="77777777" w:rsidR="00CA08B3" w:rsidRPr="00FB2719" w:rsidRDefault="00CA08B3" w:rsidP="00CA08B3">
      <w:pPr>
        <w:tabs>
          <w:tab w:val="left" w:pos="567"/>
        </w:tabs>
        <w:spacing w:line="260" w:lineRule="exact"/>
        <w:rPr>
          <w:color w:val="008000"/>
          <w:sz w:val="22"/>
          <w:szCs w:val="22"/>
          <w:lang w:eastAsia="lt-LT" w:bidi="lt-LT"/>
        </w:rPr>
      </w:pPr>
      <w:r w:rsidRPr="00FB2719">
        <w:rPr>
          <w:sz w:val="22"/>
          <w:szCs w:val="20"/>
          <w:lang w:eastAsia="lt-LT" w:bidi="lt-LT"/>
        </w:rPr>
        <w:t>PC: {numeris}</w:t>
      </w:r>
    </w:p>
    <w:p w14:paraId="54E1B0CC" w14:textId="77777777" w:rsidR="00CA08B3" w:rsidRPr="00FB2719" w:rsidRDefault="00CA08B3" w:rsidP="00CA08B3">
      <w:pPr>
        <w:tabs>
          <w:tab w:val="left" w:pos="567"/>
        </w:tabs>
        <w:spacing w:line="260" w:lineRule="exact"/>
        <w:rPr>
          <w:sz w:val="22"/>
          <w:szCs w:val="22"/>
          <w:lang w:eastAsia="lt-LT" w:bidi="lt-LT"/>
        </w:rPr>
      </w:pPr>
      <w:r w:rsidRPr="00FB2719">
        <w:rPr>
          <w:sz w:val="22"/>
          <w:szCs w:val="20"/>
          <w:lang w:eastAsia="lt-LT" w:bidi="lt-LT"/>
        </w:rPr>
        <w:t>SN: {numeris}</w:t>
      </w:r>
    </w:p>
    <w:p w14:paraId="71486383" w14:textId="77777777" w:rsidR="00CA08B3" w:rsidRPr="00FB2719" w:rsidRDefault="00CA08B3" w:rsidP="00CA08B3">
      <w:pPr>
        <w:tabs>
          <w:tab w:val="left" w:pos="567"/>
        </w:tabs>
        <w:spacing w:line="260" w:lineRule="exact"/>
        <w:rPr>
          <w:sz w:val="22"/>
          <w:szCs w:val="22"/>
          <w:lang w:eastAsia="lt-LT" w:bidi="lt-LT"/>
        </w:rPr>
      </w:pPr>
      <w:r w:rsidRPr="00FB2719">
        <w:rPr>
          <w:sz w:val="22"/>
          <w:szCs w:val="20"/>
          <w:lang w:eastAsia="lt-LT" w:bidi="lt-LT"/>
        </w:rPr>
        <w:t>NN: {numeris}</w:t>
      </w:r>
    </w:p>
    <w:p w14:paraId="011E9DE4" w14:textId="77777777" w:rsidR="00CA08B3" w:rsidRPr="00FB2719" w:rsidRDefault="00CA08B3" w:rsidP="00CA08B3">
      <w:pPr>
        <w:pStyle w:val="BTEMEASMCA"/>
        <w:tabs>
          <w:tab w:val="left" w:pos="567"/>
        </w:tabs>
        <w:rPr>
          <w:sz w:val="22"/>
          <w:szCs w:val="22"/>
        </w:rPr>
      </w:pPr>
    </w:p>
    <w:p w14:paraId="0E9BECB4" w14:textId="77777777" w:rsidR="00CA08B3" w:rsidRPr="00FB2719" w:rsidRDefault="00CA08B3" w:rsidP="00CA08B3">
      <w:pPr>
        <w:pStyle w:val="BTEMEASMCA"/>
        <w:tabs>
          <w:tab w:val="left" w:pos="567"/>
        </w:tabs>
        <w:rPr>
          <w:sz w:val="22"/>
          <w:szCs w:val="22"/>
        </w:rPr>
      </w:pPr>
      <w:r w:rsidRPr="00FB2719">
        <w:rPr>
          <w:sz w:val="22"/>
          <w:szCs w:val="22"/>
        </w:rPr>
        <w:br w:type="page"/>
      </w:r>
    </w:p>
    <w:p w14:paraId="0ED463B3" w14:textId="77777777" w:rsidR="00CA08B3" w:rsidRPr="00FB2719" w:rsidRDefault="00CA08B3" w:rsidP="00CA08B3">
      <w:pPr>
        <w:pStyle w:val="PI-1labEMEASMCA"/>
        <w:pBdr>
          <w:bottom w:val="single" w:sz="4" w:space="0" w:color="auto"/>
        </w:pBdr>
        <w:tabs>
          <w:tab w:val="left" w:pos="567"/>
        </w:tabs>
        <w:rPr>
          <w:noProof w:val="0"/>
          <w:sz w:val="22"/>
          <w:szCs w:val="22"/>
        </w:rPr>
      </w:pPr>
      <w:r w:rsidRPr="00FB2719">
        <w:rPr>
          <w:noProof w:val="0"/>
          <w:sz w:val="22"/>
          <w:szCs w:val="22"/>
        </w:rPr>
        <w:lastRenderedPageBreak/>
        <w:t>INFORMACIJA ANT IŠORINĖS PAKUOTĖS</w:t>
      </w:r>
    </w:p>
    <w:p w14:paraId="050192C0" w14:textId="77777777" w:rsidR="00CA08B3" w:rsidRPr="00FB2719" w:rsidRDefault="00CA08B3" w:rsidP="00CA08B3">
      <w:pPr>
        <w:pStyle w:val="PI-1labEMEASMCA"/>
        <w:pBdr>
          <w:bottom w:val="single" w:sz="4" w:space="0" w:color="auto"/>
        </w:pBdr>
        <w:tabs>
          <w:tab w:val="left" w:pos="567"/>
        </w:tabs>
        <w:rPr>
          <w:noProof w:val="0"/>
          <w:sz w:val="22"/>
          <w:szCs w:val="22"/>
        </w:rPr>
      </w:pPr>
    </w:p>
    <w:p w14:paraId="28677ADF" w14:textId="77777777" w:rsidR="00CA08B3" w:rsidRPr="00FB2719" w:rsidRDefault="00CA08B3" w:rsidP="00CA08B3">
      <w:pPr>
        <w:pStyle w:val="PI-1labEMEASMCA"/>
        <w:pBdr>
          <w:bottom w:val="single" w:sz="4" w:space="0" w:color="auto"/>
        </w:pBdr>
        <w:tabs>
          <w:tab w:val="left" w:pos="567"/>
        </w:tabs>
        <w:rPr>
          <w:noProof w:val="0"/>
          <w:sz w:val="22"/>
          <w:szCs w:val="22"/>
        </w:rPr>
      </w:pPr>
      <w:r w:rsidRPr="00FB2719">
        <w:rPr>
          <w:noProof w:val="0"/>
          <w:sz w:val="22"/>
          <w:szCs w:val="22"/>
        </w:rPr>
        <w:t>SUDĖTINĖS PAKUOTĖS KARTONO DĖŽUTĖ (lizdinėms plokštelėms)</w:t>
      </w:r>
    </w:p>
    <w:p w14:paraId="24E1982A" w14:textId="77777777" w:rsidR="00CA08B3" w:rsidRPr="00FB2719" w:rsidRDefault="00CA08B3" w:rsidP="00CA08B3">
      <w:pPr>
        <w:pStyle w:val="PI-1labEMEASMCA"/>
        <w:pBdr>
          <w:bottom w:val="single" w:sz="4" w:space="0" w:color="auto"/>
        </w:pBdr>
        <w:tabs>
          <w:tab w:val="left" w:pos="567"/>
        </w:tabs>
        <w:rPr>
          <w:noProof w:val="0"/>
          <w:sz w:val="22"/>
          <w:szCs w:val="22"/>
        </w:rPr>
      </w:pPr>
      <w:r w:rsidRPr="00FB2719">
        <w:rPr>
          <w:noProof w:val="0"/>
          <w:sz w:val="22"/>
          <w:szCs w:val="22"/>
        </w:rPr>
        <w:t>TARPINĖ PAKUOTĖ/ SUDĖTINĖS PAKUOTĖS DALIS</w:t>
      </w:r>
    </w:p>
    <w:p w14:paraId="7D97489A" w14:textId="77777777" w:rsidR="00CA08B3" w:rsidRPr="00FB2719" w:rsidRDefault="00CA08B3" w:rsidP="00CA08B3">
      <w:pPr>
        <w:pStyle w:val="BTEMEASMCA"/>
        <w:tabs>
          <w:tab w:val="left" w:pos="567"/>
        </w:tabs>
        <w:rPr>
          <w:sz w:val="22"/>
          <w:szCs w:val="22"/>
        </w:rPr>
      </w:pPr>
    </w:p>
    <w:p w14:paraId="2FC92D20" w14:textId="77777777" w:rsidR="00CA08B3" w:rsidRPr="00FB2719" w:rsidRDefault="00CA08B3" w:rsidP="00CA08B3">
      <w:pPr>
        <w:pStyle w:val="BTEMEASMCA"/>
        <w:tabs>
          <w:tab w:val="left" w:pos="567"/>
        </w:tabs>
        <w:rPr>
          <w:sz w:val="22"/>
          <w:szCs w:val="22"/>
        </w:rPr>
      </w:pPr>
    </w:p>
    <w:p w14:paraId="53D4F985" w14:textId="77777777" w:rsidR="00CA08B3" w:rsidRPr="00FB2719" w:rsidRDefault="00CA08B3" w:rsidP="00CA08B3">
      <w:pPr>
        <w:pStyle w:val="PI-1labEMEASMCA"/>
        <w:tabs>
          <w:tab w:val="left" w:pos="567"/>
        </w:tabs>
        <w:rPr>
          <w:noProof w:val="0"/>
          <w:sz w:val="22"/>
          <w:szCs w:val="22"/>
        </w:rPr>
      </w:pPr>
      <w:r w:rsidRPr="00FB2719">
        <w:rPr>
          <w:noProof w:val="0"/>
          <w:sz w:val="22"/>
          <w:szCs w:val="22"/>
        </w:rPr>
        <w:t>1.</w:t>
      </w:r>
      <w:r w:rsidRPr="00FB2719">
        <w:rPr>
          <w:noProof w:val="0"/>
          <w:sz w:val="22"/>
          <w:szCs w:val="22"/>
        </w:rPr>
        <w:tab/>
        <w:t>VAISTINIO PREPARATO PAVADINIMAS</w:t>
      </w:r>
    </w:p>
    <w:p w14:paraId="2C753570" w14:textId="77777777" w:rsidR="00CA08B3" w:rsidRPr="00FB2719" w:rsidRDefault="00CA08B3" w:rsidP="00CA08B3">
      <w:pPr>
        <w:pStyle w:val="BTEMEASMCA"/>
        <w:tabs>
          <w:tab w:val="left" w:pos="567"/>
        </w:tabs>
        <w:rPr>
          <w:sz w:val="22"/>
          <w:szCs w:val="22"/>
        </w:rPr>
      </w:pPr>
    </w:p>
    <w:p w14:paraId="278FE687" w14:textId="77777777" w:rsidR="00CA08B3" w:rsidRPr="00FB2719" w:rsidRDefault="00CA08B3" w:rsidP="00CA08B3">
      <w:pPr>
        <w:rPr>
          <w:sz w:val="22"/>
          <w:szCs w:val="22"/>
        </w:rPr>
      </w:pPr>
      <w:r w:rsidRPr="00FB2719">
        <w:rPr>
          <w:sz w:val="22"/>
          <w:szCs w:val="22"/>
        </w:rPr>
        <w:t>Lopinavir/Ritonavir Sandoz 200 mg/50 mg plėvele dengtos tabletės</w:t>
      </w:r>
    </w:p>
    <w:p w14:paraId="568B7E8A" w14:textId="77777777" w:rsidR="00CA08B3" w:rsidRPr="00FB2719" w:rsidRDefault="00CA08B3" w:rsidP="00CA08B3">
      <w:pPr>
        <w:pStyle w:val="BTEMEASMCA"/>
        <w:tabs>
          <w:tab w:val="left" w:pos="567"/>
        </w:tabs>
        <w:rPr>
          <w:sz w:val="22"/>
          <w:szCs w:val="22"/>
        </w:rPr>
      </w:pPr>
      <w:r w:rsidRPr="00FB2719">
        <w:rPr>
          <w:sz w:val="22"/>
          <w:szCs w:val="22"/>
        </w:rPr>
        <w:t>Lopinavirum / Ritonavirum</w:t>
      </w:r>
    </w:p>
    <w:p w14:paraId="4082687F" w14:textId="77777777" w:rsidR="00CA08B3" w:rsidRPr="00FB2719" w:rsidRDefault="00CA08B3" w:rsidP="00CA08B3">
      <w:pPr>
        <w:pStyle w:val="BTEMEASMCA"/>
        <w:tabs>
          <w:tab w:val="left" w:pos="567"/>
        </w:tabs>
        <w:rPr>
          <w:sz w:val="22"/>
          <w:szCs w:val="22"/>
        </w:rPr>
      </w:pPr>
    </w:p>
    <w:p w14:paraId="65EFAD58" w14:textId="77777777" w:rsidR="00CA08B3" w:rsidRPr="00FB2719" w:rsidRDefault="00CA08B3" w:rsidP="00CA08B3">
      <w:pPr>
        <w:pStyle w:val="BTEMEASMCA"/>
        <w:tabs>
          <w:tab w:val="left" w:pos="567"/>
        </w:tabs>
        <w:rPr>
          <w:sz w:val="22"/>
          <w:szCs w:val="22"/>
        </w:rPr>
      </w:pPr>
    </w:p>
    <w:p w14:paraId="36DA07AC" w14:textId="77777777" w:rsidR="00CA08B3" w:rsidRPr="00FB2719" w:rsidRDefault="00CA08B3" w:rsidP="00CA08B3">
      <w:pPr>
        <w:pStyle w:val="PI-1labEMEASMCA"/>
        <w:tabs>
          <w:tab w:val="left" w:pos="567"/>
        </w:tabs>
        <w:rPr>
          <w:noProof w:val="0"/>
          <w:sz w:val="22"/>
          <w:szCs w:val="22"/>
        </w:rPr>
      </w:pPr>
      <w:r w:rsidRPr="00FB2719">
        <w:rPr>
          <w:noProof w:val="0"/>
          <w:sz w:val="22"/>
          <w:szCs w:val="22"/>
        </w:rPr>
        <w:t>2.</w:t>
      </w:r>
      <w:r w:rsidRPr="00FB2719">
        <w:rPr>
          <w:noProof w:val="0"/>
          <w:sz w:val="22"/>
          <w:szCs w:val="22"/>
        </w:rPr>
        <w:tab/>
        <w:t>VEIKLIOJI (-IOS) MEDŽIAGA (-OS) IR JOS (-Ų) KIEKIS (-IAI)</w:t>
      </w:r>
    </w:p>
    <w:p w14:paraId="6565313E" w14:textId="77777777" w:rsidR="00CA08B3" w:rsidRPr="00FB2719" w:rsidRDefault="00CA08B3" w:rsidP="00CA08B3">
      <w:pPr>
        <w:pStyle w:val="BTEMEASMCA"/>
        <w:tabs>
          <w:tab w:val="left" w:pos="567"/>
        </w:tabs>
        <w:rPr>
          <w:sz w:val="22"/>
          <w:szCs w:val="22"/>
        </w:rPr>
      </w:pPr>
    </w:p>
    <w:p w14:paraId="761EF69B" w14:textId="77777777" w:rsidR="00CA08B3" w:rsidRPr="00FB2719" w:rsidRDefault="00CA08B3" w:rsidP="00CA08B3">
      <w:pPr>
        <w:rPr>
          <w:sz w:val="22"/>
          <w:szCs w:val="22"/>
        </w:rPr>
      </w:pPr>
      <w:r w:rsidRPr="00FB2719">
        <w:rPr>
          <w:sz w:val="22"/>
          <w:szCs w:val="22"/>
        </w:rPr>
        <w:t>Kiekvienoje plėvele dengtoje tabletėje yra 200 mg lopinaviro ir 50 mg ritonaviro.</w:t>
      </w:r>
    </w:p>
    <w:p w14:paraId="1CE78568" w14:textId="77777777" w:rsidR="00CA08B3" w:rsidRPr="00FB2719" w:rsidRDefault="00CA08B3" w:rsidP="00CA08B3">
      <w:pPr>
        <w:pStyle w:val="BTEMEASMCA"/>
        <w:tabs>
          <w:tab w:val="left" w:pos="567"/>
        </w:tabs>
        <w:rPr>
          <w:sz w:val="22"/>
          <w:szCs w:val="22"/>
        </w:rPr>
      </w:pPr>
    </w:p>
    <w:p w14:paraId="78F5AC3D" w14:textId="77777777" w:rsidR="00CA08B3" w:rsidRPr="00FB2719" w:rsidRDefault="00CA08B3" w:rsidP="00CA08B3">
      <w:pPr>
        <w:pStyle w:val="BTEMEASMCA"/>
        <w:tabs>
          <w:tab w:val="left" w:pos="567"/>
        </w:tabs>
        <w:rPr>
          <w:sz w:val="22"/>
          <w:szCs w:val="22"/>
        </w:rPr>
      </w:pPr>
    </w:p>
    <w:p w14:paraId="03DD889D" w14:textId="77777777" w:rsidR="00CA08B3" w:rsidRPr="00FB2719" w:rsidRDefault="00CA08B3" w:rsidP="00CA08B3">
      <w:pPr>
        <w:pStyle w:val="PI-1labEMEASMCA"/>
        <w:tabs>
          <w:tab w:val="left" w:pos="567"/>
        </w:tabs>
        <w:rPr>
          <w:noProof w:val="0"/>
          <w:sz w:val="22"/>
          <w:szCs w:val="22"/>
        </w:rPr>
      </w:pPr>
      <w:r w:rsidRPr="00FB2719">
        <w:rPr>
          <w:noProof w:val="0"/>
          <w:sz w:val="22"/>
          <w:szCs w:val="22"/>
        </w:rPr>
        <w:t>3.</w:t>
      </w:r>
      <w:r w:rsidRPr="00FB2719">
        <w:rPr>
          <w:noProof w:val="0"/>
          <w:sz w:val="22"/>
          <w:szCs w:val="22"/>
        </w:rPr>
        <w:tab/>
        <w:t>PAGALBINIŲ MEDŽIAGŲ SĄRAŠAS</w:t>
      </w:r>
    </w:p>
    <w:p w14:paraId="64CEAA9A" w14:textId="77777777" w:rsidR="00CA08B3" w:rsidRPr="00FB2719" w:rsidRDefault="00CA08B3" w:rsidP="00CA08B3">
      <w:pPr>
        <w:pStyle w:val="BTEMEASMCA"/>
        <w:tabs>
          <w:tab w:val="left" w:pos="567"/>
        </w:tabs>
        <w:rPr>
          <w:sz w:val="22"/>
          <w:szCs w:val="22"/>
        </w:rPr>
      </w:pPr>
    </w:p>
    <w:p w14:paraId="6773BF4B" w14:textId="77777777" w:rsidR="00CA08B3" w:rsidRPr="00FB2719" w:rsidRDefault="00CA08B3" w:rsidP="00CA08B3">
      <w:pPr>
        <w:pStyle w:val="BTEMEASMCA"/>
        <w:tabs>
          <w:tab w:val="left" w:pos="567"/>
        </w:tabs>
        <w:rPr>
          <w:sz w:val="22"/>
          <w:szCs w:val="22"/>
        </w:rPr>
      </w:pPr>
    </w:p>
    <w:p w14:paraId="5E7E88EB" w14:textId="77777777" w:rsidR="00CA08B3" w:rsidRPr="00FB2719" w:rsidRDefault="00CA08B3" w:rsidP="00CA08B3">
      <w:pPr>
        <w:pStyle w:val="PI-1labEMEASMCA"/>
        <w:tabs>
          <w:tab w:val="left" w:pos="567"/>
        </w:tabs>
        <w:rPr>
          <w:noProof w:val="0"/>
          <w:sz w:val="22"/>
          <w:szCs w:val="22"/>
        </w:rPr>
      </w:pPr>
      <w:r w:rsidRPr="00FB2719">
        <w:rPr>
          <w:noProof w:val="0"/>
          <w:sz w:val="22"/>
          <w:szCs w:val="22"/>
        </w:rPr>
        <w:t>4.</w:t>
      </w:r>
      <w:r w:rsidRPr="00FB2719">
        <w:rPr>
          <w:noProof w:val="0"/>
          <w:sz w:val="22"/>
          <w:szCs w:val="22"/>
        </w:rPr>
        <w:tab/>
        <w:t>FARMACINĖ FORMA IR KIEKIS PAKUOTĖJE</w:t>
      </w:r>
    </w:p>
    <w:p w14:paraId="3757960F" w14:textId="77777777" w:rsidR="00CA08B3" w:rsidRPr="00FB2719" w:rsidRDefault="00CA08B3" w:rsidP="00CA08B3">
      <w:pPr>
        <w:rPr>
          <w:sz w:val="22"/>
          <w:szCs w:val="22"/>
        </w:rPr>
      </w:pPr>
    </w:p>
    <w:p w14:paraId="36248C80" w14:textId="77777777" w:rsidR="00CA08B3" w:rsidRPr="00AC2616" w:rsidRDefault="00CA08B3" w:rsidP="00CA08B3">
      <w:pPr>
        <w:rPr>
          <w:i/>
          <w:sz w:val="22"/>
          <w:szCs w:val="22"/>
        </w:rPr>
      </w:pPr>
      <w:r w:rsidRPr="00AC2616">
        <w:rPr>
          <w:i/>
          <w:sz w:val="22"/>
          <w:szCs w:val="22"/>
        </w:rPr>
        <w:t>[Sudėtinės pakuotės kartono dėžutė]</w:t>
      </w:r>
    </w:p>
    <w:p w14:paraId="332ED62E" w14:textId="77777777" w:rsidR="00CA08B3" w:rsidRPr="00FB2719" w:rsidRDefault="00CA08B3" w:rsidP="00CA08B3">
      <w:pPr>
        <w:rPr>
          <w:sz w:val="22"/>
          <w:szCs w:val="22"/>
        </w:rPr>
      </w:pPr>
      <w:r w:rsidRPr="00AC2616">
        <w:rPr>
          <w:sz w:val="22"/>
          <w:szCs w:val="22"/>
          <w:highlight w:val="lightGray"/>
        </w:rPr>
        <w:t>Plėvele dengtos tabletės</w:t>
      </w:r>
    </w:p>
    <w:p w14:paraId="26DB67B9" w14:textId="77777777" w:rsidR="00CA08B3" w:rsidRPr="00FB2719" w:rsidRDefault="00CA08B3" w:rsidP="00CA08B3">
      <w:pPr>
        <w:rPr>
          <w:sz w:val="22"/>
          <w:szCs w:val="22"/>
        </w:rPr>
      </w:pPr>
      <w:r w:rsidRPr="00FB2719">
        <w:rPr>
          <w:sz w:val="22"/>
          <w:szCs w:val="22"/>
        </w:rPr>
        <w:t>Sudėtinė pakuotė, kurioje yra 120 (3 pakuotės po 40) plėvele dengtų tablečių.</w:t>
      </w:r>
    </w:p>
    <w:p w14:paraId="4A26E2D9" w14:textId="77777777" w:rsidR="00CA08B3" w:rsidRPr="00FB2719" w:rsidRDefault="00CA08B3" w:rsidP="00CA08B3">
      <w:pPr>
        <w:rPr>
          <w:sz w:val="22"/>
          <w:szCs w:val="22"/>
        </w:rPr>
      </w:pPr>
      <w:r w:rsidRPr="00FB2719">
        <w:rPr>
          <w:sz w:val="22"/>
          <w:szCs w:val="22"/>
        </w:rPr>
        <w:t>Sudėtinė pakuotė, kurioje yra 360 (3 pakuotės po 120) plėvele dengtų tablečių.</w:t>
      </w:r>
    </w:p>
    <w:p w14:paraId="50D972FA" w14:textId="77777777" w:rsidR="00CA08B3" w:rsidRPr="00AC2616" w:rsidRDefault="00CA08B3" w:rsidP="00CA08B3">
      <w:pPr>
        <w:rPr>
          <w:sz w:val="22"/>
          <w:szCs w:val="22"/>
        </w:rPr>
      </w:pPr>
    </w:p>
    <w:p w14:paraId="411CB9FC" w14:textId="77777777" w:rsidR="00CA08B3" w:rsidRPr="00AC2616" w:rsidRDefault="00CA08B3" w:rsidP="00CA08B3">
      <w:pPr>
        <w:rPr>
          <w:i/>
          <w:sz w:val="22"/>
          <w:szCs w:val="22"/>
        </w:rPr>
      </w:pPr>
      <w:r w:rsidRPr="00AC2616">
        <w:rPr>
          <w:i/>
          <w:sz w:val="22"/>
          <w:szCs w:val="22"/>
        </w:rPr>
        <w:t xml:space="preserve">[tarpinė pakuotė / sudėtinės pakuotės dalis] </w:t>
      </w:r>
    </w:p>
    <w:p w14:paraId="0617D83C" w14:textId="77777777" w:rsidR="00CA08B3" w:rsidRPr="00FB2719" w:rsidRDefault="00CA08B3" w:rsidP="00CA08B3">
      <w:pPr>
        <w:rPr>
          <w:sz w:val="22"/>
          <w:szCs w:val="22"/>
        </w:rPr>
      </w:pPr>
      <w:r w:rsidRPr="00AC2616">
        <w:rPr>
          <w:sz w:val="22"/>
          <w:szCs w:val="22"/>
          <w:highlight w:val="lightGray"/>
        </w:rPr>
        <w:t>Plėvele dengtos tabletės</w:t>
      </w:r>
    </w:p>
    <w:p w14:paraId="5BCF278C" w14:textId="77777777" w:rsidR="00CA08B3" w:rsidRPr="00FB2719" w:rsidRDefault="00CA08B3" w:rsidP="00CA08B3">
      <w:pPr>
        <w:rPr>
          <w:sz w:val="22"/>
          <w:szCs w:val="22"/>
        </w:rPr>
      </w:pPr>
      <w:r w:rsidRPr="00FB2719">
        <w:rPr>
          <w:sz w:val="22"/>
          <w:szCs w:val="22"/>
        </w:rPr>
        <w:t>40 plėvele dengtų tablečių. Sudėtinės pakuotės dalis – atskirai neparduodama.</w:t>
      </w:r>
    </w:p>
    <w:p w14:paraId="352D1714" w14:textId="77777777" w:rsidR="00CA08B3" w:rsidRPr="00FB2719" w:rsidRDefault="00CA08B3" w:rsidP="00CA08B3">
      <w:pPr>
        <w:rPr>
          <w:sz w:val="22"/>
          <w:szCs w:val="22"/>
        </w:rPr>
      </w:pPr>
      <w:r w:rsidRPr="00FB2719">
        <w:rPr>
          <w:sz w:val="22"/>
          <w:szCs w:val="22"/>
        </w:rPr>
        <w:t>120 plėvele dengtų tablečių. Sudėtinės pakuotės dalis – atskirai neparduodama.</w:t>
      </w:r>
    </w:p>
    <w:p w14:paraId="1DDB1F5A" w14:textId="77777777" w:rsidR="00CA08B3" w:rsidRPr="00FB2719" w:rsidRDefault="00CA08B3" w:rsidP="00CA08B3">
      <w:pPr>
        <w:rPr>
          <w:sz w:val="22"/>
          <w:szCs w:val="22"/>
        </w:rPr>
      </w:pPr>
    </w:p>
    <w:p w14:paraId="7A4E854D" w14:textId="77777777" w:rsidR="00CA08B3" w:rsidRPr="00FB2719" w:rsidRDefault="00CA08B3" w:rsidP="00CA08B3">
      <w:pPr>
        <w:rPr>
          <w:sz w:val="22"/>
          <w:szCs w:val="22"/>
        </w:rPr>
      </w:pPr>
    </w:p>
    <w:p w14:paraId="315CD15C" w14:textId="77777777" w:rsidR="00CA08B3" w:rsidRPr="00FB2719" w:rsidRDefault="00CA08B3" w:rsidP="00CA08B3">
      <w:pPr>
        <w:pStyle w:val="PI-1labEMEASMCA"/>
        <w:tabs>
          <w:tab w:val="left" w:pos="567"/>
        </w:tabs>
        <w:rPr>
          <w:noProof w:val="0"/>
          <w:sz w:val="22"/>
          <w:szCs w:val="22"/>
        </w:rPr>
      </w:pPr>
      <w:r w:rsidRPr="00FB2719">
        <w:rPr>
          <w:noProof w:val="0"/>
          <w:sz w:val="22"/>
          <w:szCs w:val="22"/>
        </w:rPr>
        <w:t>5.</w:t>
      </w:r>
      <w:r w:rsidRPr="00FB2719">
        <w:rPr>
          <w:noProof w:val="0"/>
          <w:sz w:val="22"/>
          <w:szCs w:val="22"/>
        </w:rPr>
        <w:tab/>
        <w:t>VARTOJIMO METODAS IR BŪDAS (-AI)</w:t>
      </w:r>
    </w:p>
    <w:p w14:paraId="50D88FF6" w14:textId="77777777" w:rsidR="00CA08B3" w:rsidRPr="00FB2719" w:rsidRDefault="00CA08B3" w:rsidP="00CA08B3">
      <w:pPr>
        <w:pStyle w:val="BTEMEASMCA"/>
        <w:tabs>
          <w:tab w:val="left" w:pos="567"/>
        </w:tabs>
        <w:rPr>
          <w:sz w:val="22"/>
          <w:szCs w:val="22"/>
        </w:rPr>
      </w:pPr>
    </w:p>
    <w:p w14:paraId="1F17AC88" w14:textId="77777777" w:rsidR="00CA08B3" w:rsidRPr="00FB2719" w:rsidRDefault="00CA08B3" w:rsidP="00CA08B3">
      <w:pPr>
        <w:pStyle w:val="BTEMEASMCA"/>
        <w:tabs>
          <w:tab w:val="left" w:pos="567"/>
        </w:tabs>
        <w:rPr>
          <w:sz w:val="22"/>
          <w:szCs w:val="22"/>
        </w:rPr>
      </w:pPr>
      <w:r w:rsidRPr="00FB2719">
        <w:rPr>
          <w:sz w:val="22"/>
          <w:szCs w:val="22"/>
        </w:rPr>
        <w:t>Vartoti per burną.</w:t>
      </w:r>
    </w:p>
    <w:p w14:paraId="6A42A0EA" w14:textId="77777777" w:rsidR="00CA08B3" w:rsidRPr="00FB2719" w:rsidRDefault="00CA08B3" w:rsidP="00CA08B3">
      <w:pPr>
        <w:pStyle w:val="BTEMEASMCA"/>
        <w:tabs>
          <w:tab w:val="left" w:pos="567"/>
        </w:tabs>
        <w:rPr>
          <w:sz w:val="22"/>
          <w:szCs w:val="22"/>
        </w:rPr>
      </w:pPr>
      <w:r w:rsidRPr="00FB2719">
        <w:rPr>
          <w:sz w:val="22"/>
          <w:szCs w:val="22"/>
        </w:rPr>
        <w:t>Nuryti sveiką.</w:t>
      </w:r>
    </w:p>
    <w:p w14:paraId="1924241A" w14:textId="77777777" w:rsidR="00CA08B3" w:rsidRPr="00FB2719" w:rsidRDefault="00CA08B3" w:rsidP="00CA08B3">
      <w:pPr>
        <w:pStyle w:val="BTEMEASMCA"/>
        <w:tabs>
          <w:tab w:val="left" w:pos="567"/>
        </w:tabs>
        <w:rPr>
          <w:sz w:val="22"/>
          <w:szCs w:val="22"/>
        </w:rPr>
      </w:pPr>
      <w:r w:rsidRPr="00FB2719">
        <w:rPr>
          <w:sz w:val="22"/>
          <w:szCs w:val="22"/>
        </w:rPr>
        <w:t>Negalima kramtyti, smulkinti ar laužyti.</w:t>
      </w:r>
    </w:p>
    <w:p w14:paraId="1A89ACEC" w14:textId="77777777" w:rsidR="00CA08B3" w:rsidRPr="00FB2719" w:rsidRDefault="00CA08B3" w:rsidP="00CA08B3">
      <w:pPr>
        <w:pStyle w:val="BTEMEASMCA"/>
        <w:tabs>
          <w:tab w:val="left" w:pos="567"/>
        </w:tabs>
        <w:rPr>
          <w:sz w:val="22"/>
          <w:szCs w:val="22"/>
        </w:rPr>
      </w:pPr>
    </w:p>
    <w:p w14:paraId="2EBBAB68" w14:textId="77777777" w:rsidR="00CA08B3" w:rsidRPr="00FB2719" w:rsidRDefault="00CA08B3" w:rsidP="00CA08B3">
      <w:pPr>
        <w:pStyle w:val="BTEMEASMCA"/>
        <w:tabs>
          <w:tab w:val="left" w:pos="567"/>
        </w:tabs>
        <w:rPr>
          <w:sz w:val="22"/>
          <w:szCs w:val="22"/>
        </w:rPr>
      </w:pPr>
      <w:r w:rsidRPr="00FB2719">
        <w:rPr>
          <w:sz w:val="22"/>
          <w:szCs w:val="22"/>
        </w:rPr>
        <w:t>Prieš vartojimą perskaitykite pakuotės lapelį.</w:t>
      </w:r>
    </w:p>
    <w:p w14:paraId="70AB8E2B" w14:textId="77777777" w:rsidR="00CA08B3" w:rsidRPr="00FB2719" w:rsidRDefault="00CA08B3" w:rsidP="00CA08B3">
      <w:pPr>
        <w:pStyle w:val="BTEMEASMCA"/>
        <w:tabs>
          <w:tab w:val="left" w:pos="567"/>
        </w:tabs>
        <w:rPr>
          <w:sz w:val="22"/>
          <w:szCs w:val="22"/>
        </w:rPr>
      </w:pPr>
    </w:p>
    <w:p w14:paraId="0079FC37" w14:textId="77777777" w:rsidR="00CA08B3" w:rsidRPr="00FB2719" w:rsidRDefault="00CA08B3" w:rsidP="00CA08B3">
      <w:pPr>
        <w:pStyle w:val="BTEMEASMCA"/>
        <w:tabs>
          <w:tab w:val="left" w:pos="567"/>
        </w:tabs>
        <w:rPr>
          <w:sz w:val="22"/>
          <w:szCs w:val="22"/>
        </w:rPr>
      </w:pPr>
    </w:p>
    <w:p w14:paraId="62CD6F5E" w14:textId="77777777" w:rsidR="00CA08B3" w:rsidRPr="00FB2719" w:rsidRDefault="00CA08B3" w:rsidP="00CA08B3">
      <w:pPr>
        <w:pStyle w:val="PI-1labEMEASMCA"/>
        <w:tabs>
          <w:tab w:val="left" w:pos="567"/>
        </w:tabs>
        <w:ind w:left="540" w:hanging="540"/>
        <w:rPr>
          <w:noProof w:val="0"/>
          <w:sz w:val="22"/>
          <w:szCs w:val="22"/>
        </w:rPr>
      </w:pPr>
      <w:r w:rsidRPr="00FB2719">
        <w:rPr>
          <w:noProof w:val="0"/>
          <w:sz w:val="22"/>
          <w:szCs w:val="22"/>
        </w:rPr>
        <w:t>6.</w:t>
      </w:r>
      <w:r w:rsidRPr="00FB2719">
        <w:rPr>
          <w:noProof w:val="0"/>
          <w:sz w:val="22"/>
          <w:szCs w:val="22"/>
        </w:rPr>
        <w:tab/>
        <w:t>SPECIALUS ĮSPĖJIMAS, KAD VAISTINĮ PREPARATĄ BŪTINA LAIKYTI VAIKAMS NEPASTEBIMOJE IR NEPASIEKIAMOJE VIETOJE</w:t>
      </w:r>
    </w:p>
    <w:p w14:paraId="7E365B7D" w14:textId="77777777" w:rsidR="00CA08B3" w:rsidRPr="00FB2719" w:rsidRDefault="00CA08B3" w:rsidP="00CA08B3">
      <w:pPr>
        <w:pStyle w:val="BTEMEASMCA"/>
        <w:tabs>
          <w:tab w:val="left" w:pos="567"/>
        </w:tabs>
        <w:rPr>
          <w:sz w:val="22"/>
          <w:szCs w:val="22"/>
        </w:rPr>
      </w:pPr>
    </w:p>
    <w:p w14:paraId="0660B6C3" w14:textId="77777777" w:rsidR="00CA08B3" w:rsidRPr="00FB2719" w:rsidRDefault="00CA08B3" w:rsidP="00CA08B3">
      <w:pPr>
        <w:pStyle w:val="BTEMEASMCA"/>
        <w:tabs>
          <w:tab w:val="left" w:pos="567"/>
        </w:tabs>
        <w:rPr>
          <w:sz w:val="22"/>
          <w:szCs w:val="22"/>
        </w:rPr>
      </w:pPr>
      <w:r w:rsidRPr="00FB2719">
        <w:rPr>
          <w:sz w:val="22"/>
          <w:szCs w:val="22"/>
        </w:rPr>
        <w:t>Laikyti vaikams nepastebimoje ir nepasiekiamoje vietoje.</w:t>
      </w:r>
    </w:p>
    <w:p w14:paraId="474FFD21" w14:textId="77777777" w:rsidR="00CA08B3" w:rsidRPr="00FB2719" w:rsidRDefault="00CA08B3" w:rsidP="00CA08B3">
      <w:pPr>
        <w:pStyle w:val="BTEMEASMCA"/>
        <w:tabs>
          <w:tab w:val="left" w:pos="567"/>
        </w:tabs>
        <w:rPr>
          <w:sz w:val="22"/>
          <w:szCs w:val="22"/>
        </w:rPr>
      </w:pPr>
    </w:p>
    <w:p w14:paraId="62AEADDB" w14:textId="77777777" w:rsidR="00CA08B3" w:rsidRPr="00FB2719" w:rsidRDefault="00CA08B3" w:rsidP="00CA08B3">
      <w:pPr>
        <w:pStyle w:val="BTEMEASMCA"/>
        <w:tabs>
          <w:tab w:val="left" w:pos="567"/>
        </w:tabs>
        <w:rPr>
          <w:sz w:val="22"/>
          <w:szCs w:val="22"/>
        </w:rPr>
      </w:pPr>
    </w:p>
    <w:p w14:paraId="6250A6B7" w14:textId="77777777" w:rsidR="00CA08B3" w:rsidRPr="00FB2719" w:rsidRDefault="00CA08B3" w:rsidP="00CA08B3">
      <w:pPr>
        <w:pStyle w:val="PI-1labEMEASMCA"/>
        <w:tabs>
          <w:tab w:val="left" w:pos="567"/>
        </w:tabs>
        <w:rPr>
          <w:noProof w:val="0"/>
          <w:sz w:val="22"/>
          <w:szCs w:val="22"/>
        </w:rPr>
      </w:pPr>
      <w:r w:rsidRPr="00FB2719">
        <w:rPr>
          <w:noProof w:val="0"/>
          <w:sz w:val="22"/>
          <w:szCs w:val="22"/>
        </w:rPr>
        <w:t>7.</w:t>
      </w:r>
      <w:r w:rsidRPr="00FB2719">
        <w:rPr>
          <w:noProof w:val="0"/>
          <w:sz w:val="22"/>
          <w:szCs w:val="22"/>
        </w:rPr>
        <w:tab/>
        <w:t>KITAS (-I) SPECIALUS (-ŪS) ĮSPĖJIMAS (-AI) (JEI REIKIA)</w:t>
      </w:r>
    </w:p>
    <w:p w14:paraId="4B18937F" w14:textId="77777777" w:rsidR="00CA08B3" w:rsidRPr="00FB2719" w:rsidRDefault="00CA08B3" w:rsidP="00CA08B3">
      <w:pPr>
        <w:pStyle w:val="BTEMEASMCA"/>
        <w:tabs>
          <w:tab w:val="left" w:pos="567"/>
        </w:tabs>
        <w:rPr>
          <w:sz w:val="22"/>
          <w:szCs w:val="22"/>
        </w:rPr>
      </w:pPr>
    </w:p>
    <w:p w14:paraId="08DF40E3" w14:textId="77777777" w:rsidR="00CA08B3" w:rsidRPr="00FB2719" w:rsidRDefault="00CA08B3" w:rsidP="00CA08B3">
      <w:pPr>
        <w:pStyle w:val="BTEMEASMCA"/>
        <w:tabs>
          <w:tab w:val="left" w:pos="567"/>
        </w:tabs>
        <w:rPr>
          <w:sz w:val="22"/>
          <w:szCs w:val="22"/>
        </w:rPr>
      </w:pPr>
    </w:p>
    <w:p w14:paraId="77C8FE75" w14:textId="77777777" w:rsidR="00CA08B3" w:rsidRPr="00FB2719" w:rsidRDefault="00CA08B3" w:rsidP="00CA08B3">
      <w:pPr>
        <w:pStyle w:val="PI-1labEMEASMCA"/>
        <w:tabs>
          <w:tab w:val="left" w:pos="567"/>
        </w:tabs>
        <w:rPr>
          <w:noProof w:val="0"/>
          <w:sz w:val="22"/>
          <w:szCs w:val="22"/>
        </w:rPr>
      </w:pPr>
      <w:r w:rsidRPr="00FB2719">
        <w:rPr>
          <w:noProof w:val="0"/>
          <w:sz w:val="22"/>
          <w:szCs w:val="22"/>
        </w:rPr>
        <w:t>8.</w:t>
      </w:r>
      <w:r w:rsidRPr="00FB2719">
        <w:rPr>
          <w:noProof w:val="0"/>
          <w:sz w:val="22"/>
          <w:szCs w:val="22"/>
        </w:rPr>
        <w:tab/>
        <w:t>TINKAMUMO LAIKAS</w:t>
      </w:r>
    </w:p>
    <w:p w14:paraId="74D6BEF8" w14:textId="77777777" w:rsidR="00CA08B3" w:rsidRPr="00FB2719" w:rsidRDefault="00CA08B3" w:rsidP="00CA08B3">
      <w:pPr>
        <w:tabs>
          <w:tab w:val="left" w:pos="567"/>
        </w:tabs>
        <w:rPr>
          <w:sz w:val="22"/>
          <w:szCs w:val="22"/>
        </w:rPr>
      </w:pPr>
    </w:p>
    <w:p w14:paraId="6D6922A8" w14:textId="78BD5EB2" w:rsidR="00CA08B3" w:rsidRPr="00FB2719" w:rsidRDefault="00870AAC" w:rsidP="00CA08B3">
      <w:pPr>
        <w:tabs>
          <w:tab w:val="left" w:pos="567"/>
        </w:tabs>
        <w:rPr>
          <w:sz w:val="22"/>
          <w:szCs w:val="22"/>
        </w:rPr>
      </w:pPr>
      <w:r w:rsidRPr="00FB2719">
        <w:rPr>
          <w:sz w:val="22"/>
          <w:szCs w:val="22"/>
        </w:rPr>
        <w:lastRenderedPageBreak/>
        <w:t>EXP</w:t>
      </w:r>
      <w:r w:rsidR="001A2A0E" w:rsidRPr="00FB2719">
        <w:rPr>
          <w:sz w:val="22"/>
          <w:szCs w:val="22"/>
        </w:rPr>
        <w:t xml:space="preserve"> </w:t>
      </w:r>
      <w:r w:rsidR="00CA08B3" w:rsidRPr="00FB2719">
        <w:rPr>
          <w:sz w:val="22"/>
          <w:szCs w:val="22"/>
        </w:rPr>
        <w:t>{mm</w:t>
      </w:r>
      <w:r w:rsidR="00A11A7C" w:rsidRPr="00FB2719">
        <w:rPr>
          <w:sz w:val="22"/>
          <w:szCs w:val="22"/>
        </w:rPr>
        <w:t xml:space="preserve"> </w:t>
      </w:r>
      <w:r w:rsidR="00CA08B3" w:rsidRPr="00FB2719">
        <w:rPr>
          <w:sz w:val="22"/>
          <w:szCs w:val="22"/>
        </w:rPr>
        <w:t>MMMM}</w:t>
      </w:r>
    </w:p>
    <w:p w14:paraId="75637CE4" w14:textId="77777777" w:rsidR="00CA08B3" w:rsidRPr="00FB2719" w:rsidRDefault="00CA08B3" w:rsidP="00CA08B3">
      <w:pPr>
        <w:tabs>
          <w:tab w:val="left" w:pos="567"/>
        </w:tabs>
        <w:rPr>
          <w:sz w:val="22"/>
          <w:szCs w:val="22"/>
        </w:rPr>
      </w:pPr>
    </w:p>
    <w:p w14:paraId="04BB2C65" w14:textId="77777777" w:rsidR="00CA08B3" w:rsidRPr="00FB2719" w:rsidRDefault="00CA08B3" w:rsidP="00CA08B3">
      <w:pPr>
        <w:tabs>
          <w:tab w:val="left" w:pos="567"/>
        </w:tabs>
        <w:rPr>
          <w:sz w:val="22"/>
          <w:szCs w:val="22"/>
        </w:rPr>
      </w:pPr>
    </w:p>
    <w:p w14:paraId="1BA2D205" w14:textId="77777777" w:rsidR="00CA08B3" w:rsidRPr="00FB2719" w:rsidRDefault="00CA08B3" w:rsidP="00CA08B3">
      <w:pPr>
        <w:pStyle w:val="PI-1labEMEASMCA"/>
        <w:tabs>
          <w:tab w:val="left" w:pos="567"/>
        </w:tabs>
        <w:rPr>
          <w:noProof w:val="0"/>
          <w:sz w:val="22"/>
          <w:szCs w:val="22"/>
        </w:rPr>
      </w:pPr>
      <w:r w:rsidRPr="00FB2719">
        <w:rPr>
          <w:noProof w:val="0"/>
          <w:sz w:val="22"/>
          <w:szCs w:val="22"/>
        </w:rPr>
        <w:t>9.</w:t>
      </w:r>
      <w:r w:rsidRPr="00FB2719">
        <w:rPr>
          <w:noProof w:val="0"/>
          <w:sz w:val="22"/>
          <w:szCs w:val="22"/>
        </w:rPr>
        <w:tab/>
        <w:t>SPECIALIOS LAIKYMO SĄLYGOS</w:t>
      </w:r>
    </w:p>
    <w:p w14:paraId="505FCD8D" w14:textId="77777777" w:rsidR="00CA08B3" w:rsidRPr="00FB2719" w:rsidRDefault="00CA08B3" w:rsidP="00CA08B3">
      <w:pPr>
        <w:pStyle w:val="BTEMEASMCA"/>
        <w:tabs>
          <w:tab w:val="left" w:pos="567"/>
        </w:tabs>
        <w:rPr>
          <w:sz w:val="22"/>
          <w:szCs w:val="22"/>
        </w:rPr>
      </w:pPr>
    </w:p>
    <w:p w14:paraId="065D7BDC" w14:textId="77777777" w:rsidR="00CA08B3" w:rsidRPr="00FB2719" w:rsidRDefault="00CA08B3" w:rsidP="00CA08B3">
      <w:pPr>
        <w:pStyle w:val="BTEMEASMCA"/>
        <w:tabs>
          <w:tab w:val="left" w:pos="567"/>
        </w:tabs>
        <w:rPr>
          <w:sz w:val="22"/>
          <w:szCs w:val="22"/>
        </w:rPr>
      </w:pPr>
    </w:p>
    <w:p w14:paraId="4B654E09" w14:textId="77777777" w:rsidR="00CA08B3" w:rsidRPr="00FB2719" w:rsidRDefault="00CA08B3" w:rsidP="00CA08B3">
      <w:pPr>
        <w:pStyle w:val="PI-1labEMEASMCA"/>
        <w:tabs>
          <w:tab w:val="left" w:pos="567"/>
        </w:tabs>
        <w:ind w:left="540" w:hanging="540"/>
        <w:rPr>
          <w:noProof w:val="0"/>
          <w:sz w:val="22"/>
          <w:szCs w:val="22"/>
        </w:rPr>
      </w:pPr>
      <w:r w:rsidRPr="00FB2719">
        <w:rPr>
          <w:noProof w:val="0"/>
          <w:sz w:val="22"/>
          <w:szCs w:val="22"/>
        </w:rPr>
        <w:t>10.</w:t>
      </w:r>
      <w:r w:rsidRPr="00FB2719">
        <w:rPr>
          <w:noProof w:val="0"/>
          <w:sz w:val="22"/>
          <w:szCs w:val="22"/>
        </w:rPr>
        <w:tab/>
        <w:t xml:space="preserve">SPECIALIOS ATSARGUMO PRIEMONĖS DĖL NESUVARTOTO </w:t>
      </w:r>
      <w:r w:rsidRPr="00FB2719">
        <w:rPr>
          <w:bCs/>
          <w:noProof w:val="0"/>
          <w:sz w:val="22"/>
          <w:szCs w:val="22"/>
        </w:rPr>
        <w:t xml:space="preserve">VAISTINIO PREPARATO AR JO ATLIEKŲ </w:t>
      </w:r>
      <w:r w:rsidRPr="00FB2719">
        <w:rPr>
          <w:noProof w:val="0"/>
          <w:sz w:val="22"/>
          <w:szCs w:val="22"/>
        </w:rPr>
        <w:t>TVARKYMO (JEI REIKIA)</w:t>
      </w:r>
    </w:p>
    <w:p w14:paraId="086F8212" w14:textId="77777777" w:rsidR="00CA08B3" w:rsidRPr="00FB2719" w:rsidRDefault="00CA08B3" w:rsidP="00CA08B3">
      <w:pPr>
        <w:pStyle w:val="BTEMEASMCA"/>
        <w:tabs>
          <w:tab w:val="left" w:pos="567"/>
        </w:tabs>
        <w:rPr>
          <w:sz w:val="22"/>
          <w:szCs w:val="22"/>
        </w:rPr>
      </w:pPr>
    </w:p>
    <w:p w14:paraId="38DD9500" w14:textId="77777777" w:rsidR="00CA08B3" w:rsidRPr="00FB2719" w:rsidRDefault="00CA08B3" w:rsidP="00CA08B3">
      <w:pPr>
        <w:pStyle w:val="BTEMEASMCA"/>
        <w:tabs>
          <w:tab w:val="left" w:pos="567"/>
        </w:tabs>
        <w:rPr>
          <w:sz w:val="22"/>
          <w:szCs w:val="22"/>
        </w:rPr>
      </w:pPr>
      <w:r w:rsidRPr="00FB2719">
        <w:rPr>
          <w:rFonts w:eastAsia="Times New Roman"/>
          <w:snapToGrid w:val="0"/>
          <w:sz w:val="22"/>
          <w:szCs w:val="24"/>
          <w:lang w:eastAsia="en-US"/>
        </w:rPr>
        <w:t>Nesuvartotą vaist</w:t>
      </w:r>
      <w:r w:rsidR="00A11A7C" w:rsidRPr="00FB2719">
        <w:rPr>
          <w:rFonts w:eastAsia="Times New Roman"/>
          <w:snapToGrid w:val="0"/>
          <w:sz w:val="22"/>
          <w:szCs w:val="24"/>
          <w:lang w:eastAsia="en-US"/>
        </w:rPr>
        <w:t>ą</w:t>
      </w:r>
      <w:r w:rsidRPr="00FB2719">
        <w:rPr>
          <w:rFonts w:eastAsia="Times New Roman"/>
          <w:snapToGrid w:val="0"/>
          <w:sz w:val="22"/>
          <w:szCs w:val="24"/>
          <w:lang w:eastAsia="en-US"/>
        </w:rPr>
        <w:t xml:space="preserve"> ar atliekas reikia tvarkyti laikantis vietinių reikalavimų.</w:t>
      </w:r>
    </w:p>
    <w:p w14:paraId="27A9FE23" w14:textId="77777777" w:rsidR="00CA08B3" w:rsidRPr="00FB2719" w:rsidRDefault="00CA08B3" w:rsidP="00CA08B3">
      <w:pPr>
        <w:pStyle w:val="BTEMEASMCA"/>
        <w:tabs>
          <w:tab w:val="left" w:pos="567"/>
        </w:tabs>
        <w:rPr>
          <w:sz w:val="22"/>
          <w:szCs w:val="22"/>
        </w:rPr>
      </w:pPr>
    </w:p>
    <w:p w14:paraId="3F875616" w14:textId="77777777" w:rsidR="00CA08B3" w:rsidRPr="00FB2719" w:rsidRDefault="00CA08B3" w:rsidP="00CA08B3">
      <w:pPr>
        <w:pStyle w:val="BTEMEASMCA"/>
        <w:tabs>
          <w:tab w:val="left" w:pos="567"/>
        </w:tabs>
        <w:rPr>
          <w:sz w:val="22"/>
          <w:szCs w:val="22"/>
        </w:rPr>
      </w:pPr>
    </w:p>
    <w:p w14:paraId="45FE6DDF" w14:textId="77777777" w:rsidR="00CA08B3" w:rsidRPr="00FB2719" w:rsidRDefault="00CA08B3" w:rsidP="00CA08B3">
      <w:pPr>
        <w:pStyle w:val="PI-1labEMEASMCA"/>
        <w:tabs>
          <w:tab w:val="left" w:pos="567"/>
        </w:tabs>
        <w:rPr>
          <w:noProof w:val="0"/>
          <w:sz w:val="22"/>
          <w:szCs w:val="22"/>
        </w:rPr>
      </w:pPr>
      <w:r w:rsidRPr="00FB2719">
        <w:rPr>
          <w:noProof w:val="0"/>
          <w:sz w:val="22"/>
          <w:szCs w:val="22"/>
        </w:rPr>
        <w:t>11.</w:t>
      </w:r>
      <w:r w:rsidRPr="00FB2719">
        <w:rPr>
          <w:noProof w:val="0"/>
          <w:sz w:val="22"/>
          <w:szCs w:val="22"/>
        </w:rPr>
        <w:tab/>
        <w:t>REGISTRUOTOJO PAVADINIMAS IR ADRESAS</w:t>
      </w:r>
    </w:p>
    <w:p w14:paraId="4CC9E2B8" w14:textId="77777777" w:rsidR="00CA08B3" w:rsidRPr="00FB2719" w:rsidRDefault="00CA08B3" w:rsidP="00CA08B3">
      <w:pPr>
        <w:pStyle w:val="BTEMEASMCA"/>
        <w:tabs>
          <w:tab w:val="left" w:pos="567"/>
        </w:tabs>
        <w:rPr>
          <w:b/>
          <w:sz w:val="22"/>
          <w:szCs w:val="22"/>
        </w:rPr>
      </w:pPr>
    </w:p>
    <w:p w14:paraId="780B9D75" w14:textId="77777777" w:rsidR="00CA08B3" w:rsidRPr="00FB2719" w:rsidRDefault="00CA08B3" w:rsidP="00CA08B3">
      <w:pPr>
        <w:tabs>
          <w:tab w:val="left" w:pos="567"/>
        </w:tabs>
        <w:rPr>
          <w:sz w:val="22"/>
          <w:szCs w:val="22"/>
        </w:rPr>
      </w:pPr>
      <w:r w:rsidRPr="00FB2719">
        <w:rPr>
          <w:sz w:val="22"/>
          <w:szCs w:val="22"/>
        </w:rPr>
        <w:t>Sandoz d.d.</w:t>
      </w:r>
    </w:p>
    <w:p w14:paraId="70A491EE" w14:textId="77777777" w:rsidR="00CA08B3" w:rsidRPr="00FB2719" w:rsidRDefault="00CA08B3" w:rsidP="00CA08B3">
      <w:pPr>
        <w:tabs>
          <w:tab w:val="left" w:pos="567"/>
        </w:tabs>
        <w:rPr>
          <w:sz w:val="22"/>
          <w:szCs w:val="22"/>
        </w:rPr>
      </w:pPr>
      <w:r w:rsidRPr="00FB2719">
        <w:rPr>
          <w:sz w:val="22"/>
          <w:szCs w:val="22"/>
        </w:rPr>
        <w:t>Verovškova 57</w:t>
      </w:r>
    </w:p>
    <w:p w14:paraId="747F3E2F" w14:textId="77777777" w:rsidR="00CA08B3" w:rsidRPr="00FB2719" w:rsidRDefault="00CA08B3" w:rsidP="00CA08B3">
      <w:pPr>
        <w:tabs>
          <w:tab w:val="left" w:pos="567"/>
        </w:tabs>
        <w:rPr>
          <w:sz w:val="22"/>
          <w:szCs w:val="22"/>
        </w:rPr>
      </w:pPr>
      <w:r w:rsidRPr="00FB2719">
        <w:rPr>
          <w:sz w:val="22"/>
          <w:szCs w:val="22"/>
        </w:rPr>
        <w:t>SI-1000 Ljubljana</w:t>
      </w:r>
    </w:p>
    <w:p w14:paraId="5081927A" w14:textId="77777777" w:rsidR="00CA08B3" w:rsidRPr="00FB2719" w:rsidRDefault="00CA08B3" w:rsidP="00CA08B3">
      <w:pPr>
        <w:tabs>
          <w:tab w:val="left" w:pos="567"/>
        </w:tabs>
        <w:rPr>
          <w:sz w:val="22"/>
          <w:szCs w:val="22"/>
        </w:rPr>
      </w:pPr>
      <w:r w:rsidRPr="00FB2719">
        <w:rPr>
          <w:sz w:val="22"/>
          <w:szCs w:val="22"/>
        </w:rPr>
        <w:t>Slovėnija</w:t>
      </w:r>
    </w:p>
    <w:p w14:paraId="15DD2079" w14:textId="77777777" w:rsidR="00CA08B3" w:rsidRPr="00FB2719" w:rsidRDefault="00CA08B3" w:rsidP="00CA08B3">
      <w:pPr>
        <w:pStyle w:val="BTEMEASMCA"/>
        <w:tabs>
          <w:tab w:val="left" w:pos="567"/>
        </w:tabs>
        <w:rPr>
          <w:sz w:val="22"/>
          <w:szCs w:val="22"/>
        </w:rPr>
      </w:pPr>
    </w:p>
    <w:p w14:paraId="5F3386BD" w14:textId="77777777" w:rsidR="00CA08B3" w:rsidRPr="00FB2719" w:rsidRDefault="00CA08B3" w:rsidP="00CA08B3">
      <w:pPr>
        <w:pStyle w:val="BTEMEASMCA"/>
        <w:tabs>
          <w:tab w:val="left" w:pos="567"/>
        </w:tabs>
        <w:rPr>
          <w:sz w:val="22"/>
          <w:szCs w:val="22"/>
        </w:rPr>
      </w:pPr>
    </w:p>
    <w:p w14:paraId="56C4F71F" w14:textId="77777777" w:rsidR="00CA08B3" w:rsidRPr="00FB2719" w:rsidRDefault="00CA08B3" w:rsidP="00CA08B3">
      <w:pPr>
        <w:pStyle w:val="PI-1labEMEASMCA"/>
        <w:tabs>
          <w:tab w:val="left" w:pos="567"/>
        </w:tabs>
        <w:rPr>
          <w:noProof w:val="0"/>
          <w:sz w:val="22"/>
          <w:szCs w:val="22"/>
        </w:rPr>
      </w:pPr>
      <w:r w:rsidRPr="00FB2719">
        <w:rPr>
          <w:noProof w:val="0"/>
          <w:sz w:val="22"/>
          <w:szCs w:val="22"/>
        </w:rPr>
        <w:t>12.</w:t>
      </w:r>
      <w:r w:rsidRPr="00FB2719">
        <w:rPr>
          <w:noProof w:val="0"/>
          <w:sz w:val="22"/>
          <w:szCs w:val="22"/>
        </w:rPr>
        <w:tab/>
        <w:t xml:space="preserve">REGISTRACIJOS PAŽYMĖJIMO NUMERIS (-IAI) </w:t>
      </w:r>
    </w:p>
    <w:p w14:paraId="5D4940C5" w14:textId="77777777" w:rsidR="00CA08B3" w:rsidRPr="00FB2719" w:rsidRDefault="00CA08B3" w:rsidP="00CA08B3">
      <w:pPr>
        <w:pStyle w:val="BTEMEASMCA"/>
        <w:tabs>
          <w:tab w:val="left" w:pos="567"/>
        </w:tabs>
        <w:rPr>
          <w:sz w:val="22"/>
          <w:szCs w:val="22"/>
        </w:rPr>
      </w:pPr>
    </w:p>
    <w:p w14:paraId="5E469D9B" w14:textId="77777777" w:rsidR="00CA08B3" w:rsidRPr="00FB2719" w:rsidRDefault="00CA08B3" w:rsidP="00CA08B3">
      <w:pPr>
        <w:rPr>
          <w:bCs/>
          <w:sz w:val="22"/>
        </w:rPr>
      </w:pPr>
      <w:r w:rsidRPr="00FB2719">
        <w:rPr>
          <w:bCs/>
          <w:sz w:val="22"/>
        </w:rPr>
        <w:t>N120 (3x40) - LT/1/15/3757/005</w:t>
      </w:r>
    </w:p>
    <w:p w14:paraId="56192D8E" w14:textId="77777777" w:rsidR="00CA08B3" w:rsidRPr="00FB2719" w:rsidRDefault="00CA08B3" w:rsidP="00CA08B3">
      <w:pPr>
        <w:rPr>
          <w:bCs/>
          <w:sz w:val="22"/>
        </w:rPr>
      </w:pPr>
      <w:r w:rsidRPr="00FB2719">
        <w:rPr>
          <w:bCs/>
          <w:sz w:val="22"/>
        </w:rPr>
        <w:t>N360 (3x120) - LT/1/15/3757/006</w:t>
      </w:r>
    </w:p>
    <w:p w14:paraId="1EF59028" w14:textId="77777777" w:rsidR="00CA08B3" w:rsidRPr="00FB2719" w:rsidRDefault="00CA08B3" w:rsidP="00CA08B3">
      <w:pPr>
        <w:pStyle w:val="BTEMEASMCA"/>
        <w:tabs>
          <w:tab w:val="left" w:pos="567"/>
        </w:tabs>
        <w:rPr>
          <w:sz w:val="22"/>
          <w:szCs w:val="22"/>
        </w:rPr>
      </w:pPr>
    </w:p>
    <w:p w14:paraId="4DA813C4" w14:textId="77777777" w:rsidR="00CA08B3" w:rsidRPr="00FB2719" w:rsidRDefault="00CA08B3" w:rsidP="00CA08B3">
      <w:pPr>
        <w:pStyle w:val="BTEMEASMCA"/>
        <w:tabs>
          <w:tab w:val="left" w:pos="567"/>
        </w:tabs>
        <w:rPr>
          <w:sz w:val="22"/>
          <w:szCs w:val="22"/>
        </w:rPr>
      </w:pPr>
    </w:p>
    <w:p w14:paraId="440B19C0" w14:textId="77777777" w:rsidR="00CA08B3" w:rsidRPr="00FB2719" w:rsidRDefault="00CA08B3" w:rsidP="00CA08B3">
      <w:pPr>
        <w:pStyle w:val="PI-1labEMEASMCA"/>
        <w:tabs>
          <w:tab w:val="left" w:pos="567"/>
        </w:tabs>
        <w:rPr>
          <w:noProof w:val="0"/>
          <w:sz w:val="22"/>
          <w:szCs w:val="22"/>
        </w:rPr>
      </w:pPr>
      <w:r w:rsidRPr="00FB2719">
        <w:rPr>
          <w:noProof w:val="0"/>
          <w:sz w:val="22"/>
          <w:szCs w:val="22"/>
        </w:rPr>
        <w:t>13.</w:t>
      </w:r>
      <w:r w:rsidRPr="00FB2719">
        <w:rPr>
          <w:noProof w:val="0"/>
          <w:sz w:val="22"/>
          <w:szCs w:val="22"/>
        </w:rPr>
        <w:tab/>
        <w:t>SERIJOS NUMERIS</w:t>
      </w:r>
    </w:p>
    <w:p w14:paraId="78E7A287" w14:textId="77777777" w:rsidR="00CA08B3" w:rsidRPr="00FB2719" w:rsidRDefault="00CA08B3" w:rsidP="00CA08B3">
      <w:pPr>
        <w:tabs>
          <w:tab w:val="left" w:pos="567"/>
        </w:tabs>
        <w:rPr>
          <w:sz w:val="22"/>
          <w:szCs w:val="22"/>
        </w:rPr>
      </w:pPr>
    </w:p>
    <w:p w14:paraId="695315B1" w14:textId="13E6D830" w:rsidR="00CA08B3" w:rsidRPr="00FB2719" w:rsidRDefault="00870AAC" w:rsidP="00CA08B3">
      <w:pPr>
        <w:tabs>
          <w:tab w:val="left" w:pos="567"/>
        </w:tabs>
        <w:rPr>
          <w:sz w:val="22"/>
          <w:szCs w:val="22"/>
        </w:rPr>
      </w:pPr>
      <w:r w:rsidRPr="00FB2719">
        <w:rPr>
          <w:sz w:val="22"/>
          <w:szCs w:val="22"/>
        </w:rPr>
        <w:t xml:space="preserve">Lot </w:t>
      </w:r>
      <w:r w:rsidR="00CA08B3" w:rsidRPr="00FB2719">
        <w:rPr>
          <w:sz w:val="22"/>
          <w:szCs w:val="22"/>
        </w:rPr>
        <w:t>{numeris}</w:t>
      </w:r>
    </w:p>
    <w:p w14:paraId="337422DC" w14:textId="77777777" w:rsidR="00CA08B3" w:rsidRPr="00FB2719" w:rsidRDefault="00CA08B3" w:rsidP="00CA08B3">
      <w:pPr>
        <w:tabs>
          <w:tab w:val="left" w:pos="567"/>
        </w:tabs>
        <w:rPr>
          <w:sz w:val="22"/>
          <w:szCs w:val="22"/>
        </w:rPr>
      </w:pPr>
    </w:p>
    <w:p w14:paraId="096A198F" w14:textId="77777777" w:rsidR="00CA08B3" w:rsidRPr="00FB2719" w:rsidRDefault="00CA08B3" w:rsidP="00CA08B3">
      <w:pPr>
        <w:tabs>
          <w:tab w:val="left" w:pos="567"/>
        </w:tabs>
        <w:rPr>
          <w:sz w:val="22"/>
          <w:szCs w:val="22"/>
        </w:rPr>
      </w:pPr>
    </w:p>
    <w:p w14:paraId="466328F0" w14:textId="77777777" w:rsidR="00CA08B3" w:rsidRPr="00FB2719" w:rsidRDefault="00CA08B3" w:rsidP="00CA08B3">
      <w:pPr>
        <w:pStyle w:val="PI-1labEMEASMCA"/>
        <w:tabs>
          <w:tab w:val="left" w:pos="567"/>
        </w:tabs>
        <w:rPr>
          <w:noProof w:val="0"/>
          <w:sz w:val="22"/>
          <w:szCs w:val="22"/>
        </w:rPr>
      </w:pPr>
      <w:r w:rsidRPr="00FB2719">
        <w:rPr>
          <w:noProof w:val="0"/>
          <w:sz w:val="22"/>
          <w:szCs w:val="22"/>
        </w:rPr>
        <w:t>14.</w:t>
      </w:r>
      <w:r w:rsidRPr="00FB2719">
        <w:rPr>
          <w:noProof w:val="0"/>
          <w:sz w:val="22"/>
          <w:szCs w:val="22"/>
        </w:rPr>
        <w:tab/>
        <w:t>PARDAVIMO (IŠDAVIMO) TVARKA</w:t>
      </w:r>
    </w:p>
    <w:p w14:paraId="65265C8C" w14:textId="77777777" w:rsidR="00CA08B3" w:rsidRPr="00FB2719" w:rsidRDefault="00CA08B3" w:rsidP="00CA08B3">
      <w:pPr>
        <w:pStyle w:val="BTEMEASMCA"/>
        <w:tabs>
          <w:tab w:val="left" w:pos="567"/>
        </w:tabs>
        <w:rPr>
          <w:sz w:val="22"/>
          <w:szCs w:val="22"/>
        </w:rPr>
      </w:pPr>
    </w:p>
    <w:p w14:paraId="0BB94D24" w14:textId="77777777" w:rsidR="00CA08B3" w:rsidRPr="00FB2719" w:rsidRDefault="00CA08B3" w:rsidP="00CA08B3">
      <w:pPr>
        <w:pStyle w:val="BTEMEASMCA"/>
        <w:tabs>
          <w:tab w:val="left" w:pos="567"/>
        </w:tabs>
        <w:rPr>
          <w:sz w:val="22"/>
          <w:szCs w:val="22"/>
        </w:rPr>
      </w:pPr>
      <w:r w:rsidRPr="00FB2719">
        <w:rPr>
          <w:sz w:val="22"/>
          <w:szCs w:val="22"/>
        </w:rPr>
        <w:t>Receptinis vaist</w:t>
      </w:r>
      <w:r w:rsidR="00A11A7C" w:rsidRPr="00FB2719">
        <w:rPr>
          <w:sz w:val="22"/>
          <w:szCs w:val="22"/>
        </w:rPr>
        <w:t>as</w:t>
      </w:r>
      <w:r w:rsidRPr="00FB2719">
        <w:rPr>
          <w:sz w:val="22"/>
          <w:szCs w:val="22"/>
        </w:rPr>
        <w:t>.</w:t>
      </w:r>
    </w:p>
    <w:p w14:paraId="5ED10F3B" w14:textId="77777777" w:rsidR="00CA08B3" w:rsidRPr="00FB2719" w:rsidRDefault="00CA08B3" w:rsidP="00CA08B3">
      <w:pPr>
        <w:pStyle w:val="BTEMEASMCA"/>
        <w:tabs>
          <w:tab w:val="left" w:pos="567"/>
        </w:tabs>
        <w:rPr>
          <w:sz w:val="22"/>
          <w:szCs w:val="22"/>
        </w:rPr>
      </w:pPr>
    </w:p>
    <w:p w14:paraId="15422A45" w14:textId="77777777" w:rsidR="00CA08B3" w:rsidRPr="00FB2719" w:rsidRDefault="00CA08B3" w:rsidP="00CA08B3">
      <w:pPr>
        <w:pStyle w:val="BTEMEASMCA"/>
        <w:tabs>
          <w:tab w:val="left" w:pos="567"/>
        </w:tabs>
        <w:rPr>
          <w:sz w:val="22"/>
          <w:szCs w:val="22"/>
        </w:rPr>
      </w:pPr>
    </w:p>
    <w:p w14:paraId="265C58C2" w14:textId="77777777" w:rsidR="00CA08B3" w:rsidRPr="00FB2719" w:rsidRDefault="00CA08B3" w:rsidP="00CA08B3">
      <w:pPr>
        <w:pStyle w:val="PI-1labEMEASMCA"/>
        <w:tabs>
          <w:tab w:val="left" w:pos="567"/>
        </w:tabs>
        <w:rPr>
          <w:noProof w:val="0"/>
          <w:sz w:val="22"/>
          <w:szCs w:val="22"/>
        </w:rPr>
      </w:pPr>
      <w:r w:rsidRPr="00FB2719">
        <w:rPr>
          <w:noProof w:val="0"/>
          <w:sz w:val="22"/>
          <w:szCs w:val="22"/>
        </w:rPr>
        <w:t>15.</w:t>
      </w:r>
      <w:r w:rsidRPr="00FB2719">
        <w:rPr>
          <w:noProof w:val="0"/>
          <w:sz w:val="22"/>
          <w:szCs w:val="22"/>
        </w:rPr>
        <w:tab/>
        <w:t>VARTOJIMO INSTRUKCIJA</w:t>
      </w:r>
    </w:p>
    <w:p w14:paraId="3FC5CD17" w14:textId="77777777" w:rsidR="00CA08B3" w:rsidRPr="00FB2719" w:rsidRDefault="00CA08B3" w:rsidP="00CA08B3">
      <w:pPr>
        <w:pStyle w:val="BTEMEASMCA"/>
        <w:tabs>
          <w:tab w:val="left" w:pos="567"/>
        </w:tabs>
        <w:rPr>
          <w:sz w:val="22"/>
          <w:szCs w:val="22"/>
        </w:rPr>
      </w:pPr>
    </w:p>
    <w:p w14:paraId="2259B131" w14:textId="77777777" w:rsidR="00CA08B3" w:rsidRPr="00FB2719" w:rsidRDefault="00CA08B3" w:rsidP="00CA08B3">
      <w:pPr>
        <w:pStyle w:val="BTEMEASMCA"/>
        <w:tabs>
          <w:tab w:val="left" w:pos="567"/>
        </w:tabs>
        <w:rPr>
          <w:sz w:val="22"/>
          <w:szCs w:val="22"/>
        </w:rPr>
      </w:pPr>
    </w:p>
    <w:p w14:paraId="65EF635D" w14:textId="77777777" w:rsidR="00CA08B3" w:rsidRPr="00FB2719" w:rsidRDefault="00CA08B3" w:rsidP="00CA08B3">
      <w:pPr>
        <w:pStyle w:val="PI-1labEMEASMCA"/>
        <w:tabs>
          <w:tab w:val="left" w:pos="567"/>
        </w:tabs>
        <w:rPr>
          <w:noProof w:val="0"/>
          <w:sz w:val="22"/>
          <w:szCs w:val="22"/>
        </w:rPr>
      </w:pPr>
      <w:r w:rsidRPr="00FB2719">
        <w:rPr>
          <w:noProof w:val="0"/>
          <w:sz w:val="22"/>
          <w:szCs w:val="22"/>
        </w:rPr>
        <w:t>16.</w:t>
      </w:r>
      <w:r w:rsidRPr="00FB2719">
        <w:rPr>
          <w:noProof w:val="0"/>
          <w:sz w:val="22"/>
          <w:szCs w:val="22"/>
        </w:rPr>
        <w:tab/>
        <w:t>INFORMACIJA BRAILIO RAŠTU tik ant kartono dėžutės</w:t>
      </w:r>
    </w:p>
    <w:p w14:paraId="2BC3DA53" w14:textId="77777777" w:rsidR="00CA08B3" w:rsidRPr="00FB2719" w:rsidRDefault="00CA08B3" w:rsidP="00CA08B3">
      <w:pPr>
        <w:pStyle w:val="BTEMEASMCA"/>
        <w:tabs>
          <w:tab w:val="left" w:pos="567"/>
        </w:tabs>
        <w:rPr>
          <w:sz w:val="22"/>
          <w:szCs w:val="22"/>
        </w:rPr>
      </w:pPr>
    </w:p>
    <w:p w14:paraId="139B7F71" w14:textId="77777777" w:rsidR="00CA08B3" w:rsidRPr="00FB2719" w:rsidRDefault="00CA08B3" w:rsidP="00CA08B3">
      <w:pPr>
        <w:pStyle w:val="Pagrindinistekstas"/>
        <w:spacing w:line="240" w:lineRule="auto"/>
        <w:rPr>
          <w:szCs w:val="22"/>
        </w:rPr>
      </w:pPr>
      <w:r w:rsidRPr="00FB2719">
        <w:rPr>
          <w:szCs w:val="22"/>
        </w:rPr>
        <w:t>Lopinavir/Ritonavir Sandoz 200 mg/50 mg tabletės</w:t>
      </w:r>
    </w:p>
    <w:p w14:paraId="4F74CAFF" w14:textId="77777777" w:rsidR="00CA08B3" w:rsidRPr="00FB2719" w:rsidRDefault="00CA08B3" w:rsidP="00CA08B3">
      <w:pPr>
        <w:pStyle w:val="BTEMEASMCA"/>
        <w:tabs>
          <w:tab w:val="left" w:pos="567"/>
        </w:tabs>
        <w:rPr>
          <w:sz w:val="22"/>
          <w:szCs w:val="22"/>
        </w:rPr>
      </w:pPr>
    </w:p>
    <w:p w14:paraId="4E9C7446" w14:textId="77777777" w:rsidR="00CA08B3" w:rsidRPr="00FB2719" w:rsidRDefault="00CA08B3" w:rsidP="00CA08B3">
      <w:pPr>
        <w:tabs>
          <w:tab w:val="left" w:pos="567"/>
        </w:tabs>
        <w:rPr>
          <w:noProof/>
          <w:sz w:val="22"/>
          <w:szCs w:val="22"/>
          <w:shd w:val="clear" w:color="auto" w:fill="CCCCCC"/>
          <w:lang w:eastAsia="lt-LT" w:bidi="lt-LT"/>
        </w:rPr>
      </w:pPr>
    </w:p>
    <w:p w14:paraId="632580E3" w14:textId="77777777" w:rsidR="00CA08B3" w:rsidRPr="00FB2719" w:rsidRDefault="00CA08B3" w:rsidP="00CA08B3">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sz w:val="22"/>
          <w:szCs w:val="20"/>
          <w:lang w:eastAsia="lt-LT" w:bidi="lt-LT"/>
        </w:rPr>
      </w:pPr>
      <w:r w:rsidRPr="00FB2719">
        <w:rPr>
          <w:b/>
          <w:noProof/>
          <w:sz w:val="22"/>
          <w:szCs w:val="20"/>
          <w:lang w:eastAsia="lt-LT" w:bidi="lt-LT"/>
        </w:rPr>
        <w:t>17.</w:t>
      </w:r>
      <w:r w:rsidRPr="00FB2719">
        <w:rPr>
          <w:b/>
          <w:noProof/>
          <w:sz w:val="22"/>
          <w:szCs w:val="20"/>
          <w:lang w:eastAsia="lt-LT" w:bidi="lt-LT"/>
        </w:rPr>
        <w:tab/>
        <w:t>UNIKALUS IDENTIFIKATORIUS – 2D BRŪKŠNINIS KODAS</w:t>
      </w:r>
    </w:p>
    <w:p w14:paraId="30CE6E0A" w14:textId="77777777" w:rsidR="00CA08B3" w:rsidRPr="00FB2719" w:rsidRDefault="00CA08B3" w:rsidP="00CA08B3">
      <w:pPr>
        <w:rPr>
          <w:noProof/>
          <w:sz w:val="22"/>
          <w:szCs w:val="20"/>
          <w:lang w:eastAsia="lt-LT" w:bidi="lt-LT"/>
        </w:rPr>
      </w:pPr>
    </w:p>
    <w:p w14:paraId="7A604CD9" w14:textId="77777777" w:rsidR="00CA08B3" w:rsidRPr="00FB2719" w:rsidRDefault="00CA08B3" w:rsidP="00CA08B3">
      <w:pPr>
        <w:tabs>
          <w:tab w:val="left" w:pos="567"/>
        </w:tabs>
        <w:rPr>
          <w:noProof/>
          <w:sz w:val="22"/>
          <w:szCs w:val="22"/>
          <w:shd w:val="clear" w:color="auto" w:fill="CCCCCC"/>
          <w:lang w:eastAsia="lt-LT" w:bidi="lt-LT"/>
        </w:rPr>
      </w:pPr>
      <w:r w:rsidRPr="00FB2719">
        <w:rPr>
          <w:noProof/>
          <w:sz w:val="22"/>
          <w:szCs w:val="20"/>
          <w:lang w:eastAsia="lt-LT" w:bidi="lt-LT"/>
        </w:rPr>
        <w:t>2D brūkšninis kodas su nurodytu unikaliu identifikatoriumi.</w:t>
      </w:r>
    </w:p>
    <w:p w14:paraId="5B710B27" w14:textId="77777777" w:rsidR="00CA08B3" w:rsidRPr="00FB2719" w:rsidRDefault="00CA08B3" w:rsidP="00CA08B3">
      <w:pPr>
        <w:rPr>
          <w:noProof/>
          <w:sz w:val="22"/>
          <w:szCs w:val="20"/>
          <w:lang w:eastAsia="lt-LT" w:bidi="lt-LT"/>
        </w:rPr>
      </w:pPr>
    </w:p>
    <w:p w14:paraId="1AC5CDC8" w14:textId="77777777" w:rsidR="00CA08B3" w:rsidRPr="00FB2719" w:rsidRDefault="00CA08B3" w:rsidP="00CA08B3">
      <w:pPr>
        <w:rPr>
          <w:noProof/>
          <w:sz w:val="22"/>
          <w:szCs w:val="20"/>
          <w:lang w:eastAsia="lt-LT" w:bidi="lt-LT"/>
        </w:rPr>
      </w:pPr>
    </w:p>
    <w:p w14:paraId="317439BD" w14:textId="77777777" w:rsidR="00CA08B3" w:rsidRPr="00FB2719" w:rsidRDefault="00CA08B3" w:rsidP="00CA08B3">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sz w:val="22"/>
          <w:szCs w:val="20"/>
          <w:lang w:eastAsia="lt-LT" w:bidi="lt-LT"/>
        </w:rPr>
      </w:pPr>
      <w:r w:rsidRPr="00FB2719">
        <w:rPr>
          <w:b/>
          <w:noProof/>
          <w:sz w:val="22"/>
          <w:szCs w:val="20"/>
          <w:lang w:eastAsia="lt-LT" w:bidi="lt-LT"/>
        </w:rPr>
        <w:t>18.</w:t>
      </w:r>
      <w:r w:rsidRPr="00FB2719">
        <w:rPr>
          <w:b/>
          <w:noProof/>
          <w:sz w:val="22"/>
          <w:szCs w:val="20"/>
          <w:lang w:eastAsia="lt-LT" w:bidi="lt-LT"/>
        </w:rPr>
        <w:tab/>
        <w:t>UNIKALUS IDENTIFIKATORIUS – ŽMONĖMS SUPRANTAMI DUOMENYS</w:t>
      </w:r>
    </w:p>
    <w:p w14:paraId="52D7D775" w14:textId="77777777" w:rsidR="00CA08B3" w:rsidRPr="00FB2719" w:rsidRDefault="00CA08B3" w:rsidP="00CA08B3">
      <w:pPr>
        <w:rPr>
          <w:noProof/>
          <w:sz w:val="22"/>
          <w:szCs w:val="20"/>
          <w:lang w:eastAsia="lt-LT" w:bidi="lt-LT"/>
        </w:rPr>
      </w:pPr>
    </w:p>
    <w:p w14:paraId="3D718E81" w14:textId="77777777" w:rsidR="00CA08B3" w:rsidRPr="00FB2719" w:rsidRDefault="00CA08B3" w:rsidP="00CA08B3">
      <w:pPr>
        <w:tabs>
          <w:tab w:val="left" w:pos="567"/>
        </w:tabs>
        <w:spacing w:line="260" w:lineRule="exact"/>
        <w:rPr>
          <w:color w:val="008000"/>
          <w:sz w:val="22"/>
          <w:szCs w:val="22"/>
          <w:lang w:eastAsia="lt-LT" w:bidi="lt-LT"/>
        </w:rPr>
      </w:pPr>
      <w:r w:rsidRPr="00FB2719">
        <w:rPr>
          <w:sz w:val="22"/>
          <w:szCs w:val="20"/>
          <w:lang w:eastAsia="lt-LT" w:bidi="lt-LT"/>
        </w:rPr>
        <w:t>PC: {numeris}</w:t>
      </w:r>
    </w:p>
    <w:p w14:paraId="4874AD06" w14:textId="77777777" w:rsidR="00CA08B3" w:rsidRPr="00FB2719" w:rsidRDefault="00CA08B3" w:rsidP="00CA08B3">
      <w:pPr>
        <w:tabs>
          <w:tab w:val="left" w:pos="567"/>
        </w:tabs>
        <w:spacing w:line="260" w:lineRule="exact"/>
        <w:rPr>
          <w:sz w:val="22"/>
          <w:szCs w:val="22"/>
          <w:lang w:eastAsia="lt-LT" w:bidi="lt-LT"/>
        </w:rPr>
      </w:pPr>
      <w:r w:rsidRPr="00FB2719">
        <w:rPr>
          <w:sz w:val="22"/>
          <w:szCs w:val="20"/>
          <w:lang w:eastAsia="lt-LT" w:bidi="lt-LT"/>
        </w:rPr>
        <w:lastRenderedPageBreak/>
        <w:t>SN: {numeris}</w:t>
      </w:r>
    </w:p>
    <w:p w14:paraId="3F1EA7EE" w14:textId="77777777" w:rsidR="00CA08B3" w:rsidRPr="00FB2719" w:rsidRDefault="00CA08B3" w:rsidP="00CA08B3">
      <w:pPr>
        <w:tabs>
          <w:tab w:val="left" w:pos="567"/>
        </w:tabs>
        <w:spacing w:line="260" w:lineRule="exact"/>
        <w:rPr>
          <w:sz w:val="22"/>
          <w:szCs w:val="22"/>
        </w:rPr>
      </w:pPr>
      <w:r w:rsidRPr="00FB2719">
        <w:rPr>
          <w:sz w:val="22"/>
          <w:szCs w:val="20"/>
          <w:lang w:eastAsia="lt-LT" w:bidi="lt-LT"/>
        </w:rPr>
        <w:t>NN: {numeris}</w:t>
      </w:r>
    </w:p>
    <w:p w14:paraId="161D2CC1" w14:textId="77777777" w:rsidR="00CA08B3" w:rsidRPr="00FB2719" w:rsidRDefault="00CA08B3" w:rsidP="00CA08B3">
      <w:pPr>
        <w:pStyle w:val="BTEMEASMCA"/>
        <w:tabs>
          <w:tab w:val="left" w:pos="567"/>
        </w:tabs>
        <w:rPr>
          <w:sz w:val="22"/>
          <w:szCs w:val="22"/>
        </w:rPr>
      </w:pPr>
      <w:r w:rsidRPr="00FB2719">
        <w:rPr>
          <w:sz w:val="22"/>
          <w:szCs w:val="22"/>
        </w:rPr>
        <w:br w:type="page"/>
      </w:r>
    </w:p>
    <w:p w14:paraId="784AB30A" w14:textId="77777777" w:rsidR="00CA08B3" w:rsidRPr="00FB2719" w:rsidRDefault="00CA08B3" w:rsidP="00CA08B3">
      <w:pPr>
        <w:pStyle w:val="PI-1labEMEASMCA"/>
        <w:pBdr>
          <w:bottom w:val="single" w:sz="4" w:space="0" w:color="auto"/>
        </w:pBdr>
        <w:tabs>
          <w:tab w:val="left" w:pos="567"/>
        </w:tabs>
        <w:rPr>
          <w:noProof w:val="0"/>
          <w:sz w:val="22"/>
          <w:szCs w:val="22"/>
        </w:rPr>
      </w:pPr>
      <w:r w:rsidRPr="00FB2719">
        <w:rPr>
          <w:noProof w:val="0"/>
          <w:sz w:val="22"/>
          <w:szCs w:val="22"/>
        </w:rPr>
        <w:lastRenderedPageBreak/>
        <w:t>INFORMACIJA ANT IŠORINĖS PAKUOTĖS</w:t>
      </w:r>
    </w:p>
    <w:p w14:paraId="64C3790C" w14:textId="77777777" w:rsidR="00CA08B3" w:rsidRPr="00FB2719" w:rsidRDefault="00CA08B3" w:rsidP="00CA08B3">
      <w:pPr>
        <w:pStyle w:val="PI-1labEMEASMCA"/>
        <w:pBdr>
          <w:bottom w:val="single" w:sz="4" w:space="0" w:color="auto"/>
        </w:pBdr>
        <w:tabs>
          <w:tab w:val="left" w:pos="567"/>
        </w:tabs>
        <w:rPr>
          <w:noProof w:val="0"/>
          <w:sz w:val="22"/>
          <w:szCs w:val="22"/>
        </w:rPr>
      </w:pPr>
    </w:p>
    <w:p w14:paraId="3A07A949" w14:textId="77777777" w:rsidR="00CA08B3" w:rsidRPr="00FB2719" w:rsidRDefault="00CA08B3" w:rsidP="00CA08B3">
      <w:pPr>
        <w:pStyle w:val="PI-1labEMEASMCA"/>
        <w:pBdr>
          <w:bottom w:val="single" w:sz="4" w:space="0" w:color="auto"/>
        </w:pBdr>
        <w:tabs>
          <w:tab w:val="left" w:pos="567"/>
        </w:tabs>
        <w:rPr>
          <w:noProof w:val="0"/>
          <w:sz w:val="22"/>
          <w:szCs w:val="22"/>
        </w:rPr>
      </w:pPr>
      <w:r w:rsidRPr="00FB2719">
        <w:rPr>
          <w:noProof w:val="0"/>
          <w:sz w:val="22"/>
          <w:szCs w:val="22"/>
        </w:rPr>
        <w:t>SUDĖTINĖS PAKUOTĖS KARTONO DĖŽUTĖ (buteliukams)</w:t>
      </w:r>
    </w:p>
    <w:p w14:paraId="52F62CE3" w14:textId="77777777" w:rsidR="00CA08B3" w:rsidRPr="00FB2719" w:rsidRDefault="00CA08B3" w:rsidP="00CA08B3">
      <w:pPr>
        <w:pStyle w:val="BTEMEASMCA"/>
        <w:tabs>
          <w:tab w:val="left" w:pos="567"/>
        </w:tabs>
        <w:rPr>
          <w:sz w:val="22"/>
          <w:szCs w:val="22"/>
        </w:rPr>
      </w:pPr>
    </w:p>
    <w:p w14:paraId="4924D25C" w14:textId="77777777" w:rsidR="00CA08B3" w:rsidRPr="00FB2719" w:rsidRDefault="00CA08B3" w:rsidP="00CA08B3">
      <w:pPr>
        <w:pStyle w:val="BTEMEASMCA"/>
        <w:tabs>
          <w:tab w:val="left" w:pos="567"/>
        </w:tabs>
        <w:rPr>
          <w:sz w:val="22"/>
          <w:szCs w:val="22"/>
        </w:rPr>
      </w:pPr>
    </w:p>
    <w:p w14:paraId="24A701B8" w14:textId="77777777" w:rsidR="00CA08B3" w:rsidRPr="00FB2719" w:rsidRDefault="00CA08B3" w:rsidP="00CA08B3">
      <w:pPr>
        <w:pStyle w:val="PI-1labEMEASMCA"/>
        <w:tabs>
          <w:tab w:val="left" w:pos="567"/>
        </w:tabs>
        <w:rPr>
          <w:noProof w:val="0"/>
          <w:sz w:val="22"/>
          <w:szCs w:val="22"/>
        </w:rPr>
      </w:pPr>
      <w:r w:rsidRPr="00FB2719">
        <w:rPr>
          <w:noProof w:val="0"/>
          <w:sz w:val="22"/>
          <w:szCs w:val="22"/>
        </w:rPr>
        <w:t>1.</w:t>
      </w:r>
      <w:r w:rsidRPr="00FB2719">
        <w:rPr>
          <w:noProof w:val="0"/>
          <w:sz w:val="22"/>
          <w:szCs w:val="22"/>
        </w:rPr>
        <w:tab/>
        <w:t>VAISTINIO PREPARATO PAVADINIMAS</w:t>
      </w:r>
    </w:p>
    <w:p w14:paraId="35F9B1B5" w14:textId="77777777" w:rsidR="00CA08B3" w:rsidRPr="00FB2719" w:rsidRDefault="00CA08B3" w:rsidP="00CA08B3">
      <w:pPr>
        <w:pStyle w:val="BTEMEASMCA"/>
        <w:tabs>
          <w:tab w:val="left" w:pos="567"/>
        </w:tabs>
        <w:rPr>
          <w:sz w:val="22"/>
          <w:szCs w:val="22"/>
        </w:rPr>
      </w:pPr>
    </w:p>
    <w:p w14:paraId="472339A1" w14:textId="77777777" w:rsidR="00CA08B3" w:rsidRPr="00FB2719" w:rsidRDefault="00CA08B3" w:rsidP="00CA08B3">
      <w:pPr>
        <w:rPr>
          <w:sz w:val="22"/>
          <w:szCs w:val="22"/>
        </w:rPr>
      </w:pPr>
      <w:r w:rsidRPr="00FB2719">
        <w:rPr>
          <w:sz w:val="22"/>
          <w:szCs w:val="22"/>
        </w:rPr>
        <w:t>Lopinavir/Ritonavir Sandoz 200 mg/50 mg plėvele dengtos tabletės</w:t>
      </w:r>
    </w:p>
    <w:p w14:paraId="2D66BD44" w14:textId="77777777" w:rsidR="00CA08B3" w:rsidRPr="00FB2719" w:rsidRDefault="00CA08B3" w:rsidP="00CA08B3">
      <w:pPr>
        <w:pStyle w:val="BTEMEASMCA"/>
        <w:tabs>
          <w:tab w:val="left" w:pos="567"/>
        </w:tabs>
        <w:rPr>
          <w:sz w:val="22"/>
          <w:szCs w:val="22"/>
        </w:rPr>
      </w:pPr>
      <w:r w:rsidRPr="00FB2719">
        <w:rPr>
          <w:sz w:val="22"/>
          <w:szCs w:val="22"/>
        </w:rPr>
        <w:t>Lopinavirum / Ritonavirum</w:t>
      </w:r>
    </w:p>
    <w:p w14:paraId="5977A322" w14:textId="77777777" w:rsidR="00CA08B3" w:rsidRPr="00FB2719" w:rsidRDefault="00CA08B3" w:rsidP="00CA08B3">
      <w:pPr>
        <w:pStyle w:val="BTEMEASMCA"/>
        <w:tabs>
          <w:tab w:val="left" w:pos="567"/>
        </w:tabs>
        <w:rPr>
          <w:sz w:val="22"/>
          <w:szCs w:val="22"/>
        </w:rPr>
      </w:pPr>
    </w:p>
    <w:p w14:paraId="5DBA297D" w14:textId="77777777" w:rsidR="00CA08B3" w:rsidRPr="00FB2719" w:rsidRDefault="00CA08B3" w:rsidP="00CA08B3">
      <w:pPr>
        <w:pStyle w:val="BTEMEASMCA"/>
        <w:tabs>
          <w:tab w:val="left" w:pos="567"/>
        </w:tabs>
        <w:rPr>
          <w:sz w:val="22"/>
          <w:szCs w:val="22"/>
        </w:rPr>
      </w:pPr>
    </w:p>
    <w:p w14:paraId="49D68DF4" w14:textId="77777777" w:rsidR="00CA08B3" w:rsidRPr="00FB2719" w:rsidRDefault="00CA08B3" w:rsidP="00CA08B3">
      <w:pPr>
        <w:pStyle w:val="PI-1labEMEASMCA"/>
        <w:tabs>
          <w:tab w:val="left" w:pos="567"/>
        </w:tabs>
        <w:rPr>
          <w:noProof w:val="0"/>
          <w:sz w:val="22"/>
          <w:szCs w:val="22"/>
        </w:rPr>
      </w:pPr>
      <w:r w:rsidRPr="00FB2719">
        <w:rPr>
          <w:noProof w:val="0"/>
          <w:sz w:val="22"/>
          <w:szCs w:val="22"/>
        </w:rPr>
        <w:t>2.</w:t>
      </w:r>
      <w:r w:rsidRPr="00FB2719">
        <w:rPr>
          <w:noProof w:val="0"/>
          <w:sz w:val="22"/>
          <w:szCs w:val="22"/>
        </w:rPr>
        <w:tab/>
        <w:t>VEIKLIOJI (-IOS) MEDŽIAGA (-OS) IR JOS (-Ų) KIEKIS (-IAI)</w:t>
      </w:r>
    </w:p>
    <w:p w14:paraId="4710B8E9" w14:textId="77777777" w:rsidR="00CA08B3" w:rsidRPr="00FB2719" w:rsidRDefault="00CA08B3" w:rsidP="00CA08B3">
      <w:pPr>
        <w:pStyle w:val="BTEMEASMCA"/>
        <w:tabs>
          <w:tab w:val="left" w:pos="567"/>
        </w:tabs>
        <w:rPr>
          <w:sz w:val="22"/>
          <w:szCs w:val="22"/>
        </w:rPr>
      </w:pPr>
    </w:p>
    <w:p w14:paraId="6792925E" w14:textId="77777777" w:rsidR="00CA08B3" w:rsidRPr="00FB2719" w:rsidRDefault="00CA08B3" w:rsidP="00CA08B3">
      <w:pPr>
        <w:rPr>
          <w:sz w:val="22"/>
          <w:szCs w:val="22"/>
        </w:rPr>
      </w:pPr>
      <w:r w:rsidRPr="00FB2719">
        <w:rPr>
          <w:sz w:val="22"/>
          <w:szCs w:val="22"/>
        </w:rPr>
        <w:t>Kiekvienoje plėvele dengtoje tabletėje yra 200 mg lopinaviro ir 50 mg ritonaviro.</w:t>
      </w:r>
    </w:p>
    <w:p w14:paraId="7D06042D" w14:textId="77777777" w:rsidR="00CA08B3" w:rsidRPr="00FB2719" w:rsidRDefault="00CA08B3" w:rsidP="00CA08B3">
      <w:pPr>
        <w:pStyle w:val="BTEMEASMCA"/>
        <w:tabs>
          <w:tab w:val="left" w:pos="567"/>
        </w:tabs>
        <w:rPr>
          <w:sz w:val="22"/>
          <w:szCs w:val="22"/>
        </w:rPr>
      </w:pPr>
    </w:p>
    <w:p w14:paraId="6ADB1EFE" w14:textId="77777777" w:rsidR="00CA08B3" w:rsidRPr="00FB2719" w:rsidRDefault="00CA08B3" w:rsidP="00CA08B3">
      <w:pPr>
        <w:pStyle w:val="BTEMEASMCA"/>
        <w:tabs>
          <w:tab w:val="left" w:pos="567"/>
        </w:tabs>
        <w:rPr>
          <w:sz w:val="22"/>
          <w:szCs w:val="22"/>
        </w:rPr>
      </w:pPr>
    </w:p>
    <w:p w14:paraId="7340DECC" w14:textId="77777777" w:rsidR="00CA08B3" w:rsidRPr="00FB2719" w:rsidRDefault="00CA08B3" w:rsidP="00CA08B3">
      <w:pPr>
        <w:pStyle w:val="PI-1labEMEASMCA"/>
        <w:tabs>
          <w:tab w:val="left" w:pos="567"/>
        </w:tabs>
        <w:rPr>
          <w:noProof w:val="0"/>
          <w:sz w:val="22"/>
          <w:szCs w:val="22"/>
        </w:rPr>
      </w:pPr>
      <w:r w:rsidRPr="00FB2719">
        <w:rPr>
          <w:noProof w:val="0"/>
          <w:sz w:val="22"/>
          <w:szCs w:val="22"/>
        </w:rPr>
        <w:t>3.</w:t>
      </w:r>
      <w:r w:rsidRPr="00FB2719">
        <w:rPr>
          <w:noProof w:val="0"/>
          <w:sz w:val="22"/>
          <w:szCs w:val="22"/>
        </w:rPr>
        <w:tab/>
        <w:t>PAGALBINIŲ MEDŽIAGŲ SĄRAŠAS</w:t>
      </w:r>
    </w:p>
    <w:p w14:paraId="1AB020F0" w14:textId="77777777" w:rsidR="00CA08B3" w:rsidRPr="00FB2719" w:rsidRDefault="00CA08B3" w:rsidP="00CA08B3">
      <w:pPr>
        <w:pStyle w:val="BTEMEASMCA"/>
        <w:tabs>
          <w:tab w:val="left" w:pos="567"/>
        </w:tabs>
        <w:rPr>
          <w:sz w:val="22"/>
          <w:szCs w:val="22"/>
        </w:rPr>
      </w:pPr>
    </w:p>
    <w:p w14:paraId="71EC4F28" w14:textId="77777777" w:rsidR="00CA08B3" w:rsidRPr="00FB2719" w:rsidRDefault="00CA08B3" w:rsidP="00CA08B3">
      <w:pPr>
        <w:pStyle w:val="BTEMEASMCA"/>
        <w:tabs>
          <w:tab w:val="left" w:pos="567"/>
        </w:tabs>
        <w:rPr>
          <w:sz w:val="22"/>
          <w:szCs w:val="22"/>
        </w:rPr>
      </w:pPr>
    </w:p>
    <w:p w14:paraId="11A5A5AC" w14:textId="77777777" w:rsidR="00CA08B3" w:rsidRPr="00FB2719" w:rsidRDefault="00CA08B3" w:rsidP="00CA08B3">
      <w:pPr>
        <w:pStyle w:val="PI-1labEMEASMCA"/>
        <w:tabs>
          <w:tab w:val="left" w:pos="567"/>
        </w:tabs>
        <w:rPr>
          <w:noProof w:val="0"/>
          <w:sz w:val="22"/>
          <w:szCs w:val="22"/>
        </w:rPr>
      </w:pPr>
      <w:r w:rsidRPr="00FB2719">
        <w:rPr>
          <w:noProof w:val="0"/>
          <w:sz w:val="22"/>
          <w:szCs w:val="22"/>
        </w:rPr>
        <w:t>4.</w:t>
      </w:r>
      <w:r w:rsidRPr="00FB2719">
        <w:rPr>
          <w:noProof w:val="0"/>
          <w:sz w:val="22"/>
          <w:szCs w:val="22"/>
        </w:rPr>
        <w:tab/>
        <w:t>FARMACINĖ FORMA IR KIEKIS PAKUOTĖJE</w:t>
      </w:r>
    </w:p>
    <w:p w14:paraId="1AD17FF1" w14:textId="77777777" w:rsidR="00CA08B3" w:rsidRPr="00FB2719" w:rsidRDefault="00CA08B3" w:rsidP="00CA08B3">
      <w:pPr>
        <w:rPr>
          <w:sz w:val="22"/>
          <w:szCs w:val="22"/>
        </w:rPr>
      </w:pPr>
    </w:p>
    <w:p w14:paraId="72260CD3" w14:textId="77777777" w:rsidR="00CA08B3" w:rsidRPr="00AC2616" w:rsidRDefault="00CA08B3" w:rsidP="00CA08B3">
      <w:pPr>
        <w:rPr>
          <w:i/>
          <w:sz w:val="22"/>
          <w:szCs w:val="22"/>
        </w:rPr>
      </w:pPr>
      <w:r w:rsidRPr="00AC2616">
        <w:rPr>
          <w:i/>
          <w:sz w:val="22"/>
          <w:szCs w:val="22"/>
        </w:rPr>
        <w:t>[Sudėtinės pakuotės kartono dėžutė]</w:t>
      </w:r>
    </w:p>
    <w:p w14:paraId="38C6F769" w14:textId="77777777" w:rsidR="00CA08B3" w:rsidRPr="00FB2719" w:rsidRDefault="00CA08B3" w:rsidP="00CA08B3">
      <w:pPr>
        <w:rPr>
          <w:sz w:val="22"/>
          <w:szCs w:val="22"/>
        </w:rPr>
      </w:pPr>
      <w:r w:rsidRPr="00AC2616">
        <w:rPr>
          <w:sz w:val="22"/>
          <w:szCs w:val="22"/>
          <w:highlight w:val="lightGray"/>
        </w:rPr>
        <w:t>Plėvele dengtos tabletės</w:t>
      </w:r>
    </w:p>
    <w:p w14:paraId="440E3B41" w14:textId="77777777" w:rsidR="00CA08B3" w:rsidRPr="00FB2719" w:rsidRDefault="00CA08B3" w:rsidP="00CA08B3">
      <w:pPr>
        <w:rPr>
          <w:sz w:val="22"/>
          <w:szCs w:val="22"/>
        </w:rPr>
      </w:pPr>
      <w:r w:rsidRPr="00FB2719">
        <w:rPr>
          <w:sz w:val="22"/>
          <w:szCs w:val="22"/>
        </w:rPr>
        <w:t>Sudėtinė pakuotė, kurioje yra 3 buteliukai po 120 tablečių (360 tablečių).</w:t>
      </w:r>
    </w:p>
    <w:p w14:paraId="71040AB8" w14:textId="77777777" w:rsidR="00CA08B3" w:rsidRPr="00FB2719" w:rsidRDefault="00CA08B3" w:rsidP="00CA08B3">
      <w:pPr>
        <w:rPr>
          <w:sz w:val="22"/>
          <w:szCs w:val="22"/>
        </w:rPr>
      </w:pPr>
    </w:p>
    <w:p w14:paraId="431C3A71" w14:textId="77777777" w:rsidR="00CA08B3" w:rsidRPr="00FB2719" w:rsidRDefault="00CA08B3" w:rsidP="00CA08B3">
      <w:pPr>
        <w:rPr>
          <w:sz w:val="22"/>
          <w:szCs w:val="22"/>
        </w:rPr>
      </w:pPr>
      <w:r w:rsidRPr="00AC2616">
        <w:rPr>
          <w:sz w:val="22"/>
          <w:szCs w:val="22"/>
          <w:highlight w:val="lightGray"/>
        </w:rPr>
        <w:t>Plėvele dengtos tabletės</w:t>
      </w:r>
    </w:p>
    <w:p w14:paraId="2CFAD5CC" w14:textId="77777777" w:rsidR="00CA08B3" w:rsidRPr="00FB2719" w:rsidRDefault="00CA08B3" w:rsidP="00CA08B3">
      <w:pPr>
        <w:rPr>
          <w:sz w:val="22"/>
          <w:szCs w:val="22"/>
        </w:rPr>
      </w:pPr>
      <w:r w:rsidRPr="00FB2719">
        <w:rPr>
          <w:sz w:val="22"/>
          <w:szCs w:val="22"/>
        </w:rPr>
        <w:t>120 plėvele dengtų tablečių. Sudėtinės pakuotės dalis – atskirai neparduodama.</w:t>
      </w:r>
    </w:p>
    <w:p w14:paraId="2DE8B74C" w14:textId="77777777" w:rsidR="00CA08B3" w:rsidRPr="00FB2719" w:rsidRDefault="00CA08B3" w:rsidP="00CA08B3">
      <w:pPr>
        <w:rPr>
          <w:sz w:val="22"/>
          <w:szCs w:val="22"/>
        </w:rPr>
      </w:pPr>
    </w:p>
    <w:p w14:paraId="53CC9D53" w14:textId="77777777" w:rsidR="00CA08B3" w:rsidRPr="00FB2719" w:rsidRDefault="00CA08B3" w:rsidP="00CA08B3">
      <w:pPr>
        <w:rPr>
          <w:sz w:val="22"/>
          <w:szCs w:val="22"/>
        </w:rPr>
      </w:pPr>
    </w:p>
    <w:p w14:paraId="6BBC5443" w14:textId="77777777" w:rsidR="00CA08B3" w:rsidRPr="00FB2719" w:rsidRDefault="00CA08B3" w:rsidP="00CA08B3">
      <w:pPr>
        <w:pStyle w:val="PI-1labEMEASMCA"/>
        <w:tabs>
          <w:tab w:val="left" w:pos="567"/>
        </w:tabs>
        <w:rPr>
          <w:noProof w:val="0"/>
          <w:sz w:val="22"/>
          <w:szCs w:val="22"/>
        </w:rPr>
      </w:pPr>
      <w:r w:rsidRPr="00FB2719">
        <w:rPr>
          <w:noProof w:val="0"/>
          <w:sz w:val="22"/>
          <w:szCs w:val="22"/>
        </w:rPr>
        <w:t>5.</w:t>
      </w:r>
      <w:r w:rsidRPr="00FB2719">
        <w:rPr>
          <w:noProof w:val="0"/>
          <w:sz w:val="22"/>
          <w:szCs w:val="22"/>
        </w:rPr>
        <w:tab/>
        <w:t>VARTOJIMO METODAS IR BŪDAS (-AI)</w:t>
      </w:r>
    </w:p>
    <w:p w14:paraId="32F989BF" w14:textId="77777777" w:rsidR="00CA08B3" w:rsidRPr="00FB2719" w:rsidRDefault="00CA08B3" w:rsidP="00CA08B3">
      <w:pPr>
        <w:pStyle w:val="BTEMEASMCA"/>
        <w:tabs>
          <w:tab w:val="left" w:pos="567"/>
        </w:tabs>
        <w:rPr>
          <w:sz w:val="22"/>
          <w:szCs w:val="22"/>
        </w:rPr>
      </w:pPr>
    </w:p>
    <w:p w14:paraId="2A264485" w14:textId="77777777" w:rsidR="00CA08B3" w:rsidRPr="00FB2719" w:rsidRDefault="00CA08B3" w:rsidP="00CA08B3">
      <w:pPr>
        <w:pStyle w:val="BTEMEASMCA"/>
        <w:tabs>
          <w:tab w:val="left" w:pos="567"/>
        </w:tabs>
        <w:rPr>
          <w:sz w:val="22"/>
          <w:szCs w:val="22"/>
        </w:rPr>
      </w:pPr>
      <w:r w:rsidRPr="00FB2719">
        <w:rPr>
          <w:sz w:val="22"/>
          <w:szCs w:val="22"/>
        </w:rPr>
        <w:t>Vartoti per burną.</w:t>
      </w:r>
    </w:p>
    <w:p w14:paraId="191F7DE2" w14:textId="77777777" w:rsidR="00CA08B3" w:rsidRPr="00FB2719" w:rsidRDefault="00CA08B3" w:rsidP="00CA08B3">
      <w:pPr>
        <w:pStyle w:val="BTEMEASMCA"/>
        <w:tabs>
          <w:tab w:val="left" w:pos="567"/>
        </w:tabs>
        <w:rPr>
          <w:sz w:val="22"/>
          <w:szCs w:val="22"/>
        </w:rPr>
      </w:pPr>
      <w:r w:rsidRPr="00FB2719">
        <w:rPr>
          <w:sz w:val="22"/>
          <w:szCs w:val="22"/>
        </w:rPr>
        <w:t>Nuryti sveiką.</w:t>
      </w:r>
    </w:p>
    <w:p w14:paraId="682CF93A" w14:textId="77777777" w:rsidR="00CA08B3" w:rsidRPr="00FB2719" w:rsidRDefault="00CA08B3" w:rsidP="00CA08B3">
      <w:pPr>
        <w:pStyle w:val="BTEMEASMCA"/>
        <w:tabs>
          <w:tab w:val="left" w:pos="567"/>
        </w:tabs>
        <w:rPr>
          <w:sz w:val="22"/>
          <w:szCs w:val="22"/>
        </w:rPr>
      </w:pPr>
      <w:r w:rsidRPr="00FB2719">
        <w:rPr>
          <w:sz w:val="22"/>
          <w:szCs w:val="22"/>
        </w:rPr>
        <w:t>Negalima kramtyti, smulkinti ar laužyti.</w:t>
      </w:r>
    </w:p>
    <w:p w14:paraId="206213C5" w14:textId="77777777" w:rsidR="00CA08B3" w:rsidRPr="00FB2719" w:rsidRDefault="00CA08B3" w:rsidP="00CA08B3">
      <w:pPr>
        <w:pStyle w:val="BTEMEASMCA"/>
        <w:tabs>
          <w:tab w:val="left" w:pos="567"/>
        </w:tabs>
        <w:rPr>
          <w:sz w:val="22"/>
          <w:szCs w:val="22"/>
        </w:rPr>
      </w:pPr>
    </w:p>
    <w:p w14:paraId="6D9D1D0B" w14:textId="77777777" w:rsidR="00CA08B3" w:rsidRPr="00FB2719" w:rsidRDefault="00CA08B3" w:rsidP="00CA08B3">
      <w:pPr>
        <w:pStyle w:val="BTEMEASMCA"/>
        <w:tabs>
          <w:tab w:val="left" w:pos="567"/>
        </w:tabs>
        <w:rPr>
          <w:sz w:val="22"/>
          <w:szCs w:val="22"/>
        </w:rPr>
      </w:pPr>
      <w:r w:rsidRPr="00FB2719">
        <w:rPr>
          <w:sz w:val="22"/>
          <w:szCs w:val="22"/>
        </w:rPr>
        <w:t>Prieš vartojimą perskaitykite pakuotės lapelį.</w:t>
      </w:r>
    </w:p>
    <w:p w14:paraId="3F701CD7" w14:textId="77777777" w:rsidR="00CA08B3" w:rsidRPr="00FB2719" w:rsidRDefault="00CA08B3" w:rsidP="00CA08B3">
      <w:pPr>
        <w:pStyle w:val="BTEMEASMCA"/>
        <w:tabs>
          <w:tab w:val="left" w:pos="567"/>
        </w:tabs>
        <w:rPr>
          <w:sz w:val="22"/>
          <w:szCs w:val="22"/>
        </w:rPr>
      </w:pPr>
    </w:p>
    <w:p w14:paraId="4B0F4909" w14:textId="77777777" w:rsidR="00CA08B3" w:rsidRPr="00FB2719" w:rsidRDefault="00CA08B3" w:rsidP="00CA08B3">
      <w:pPr>
        <w:pStyle w:val="BTEMEASMCA"/>
        <w:tabs>
          <w:tab w:val="left" w:pos="567"/>
        </w:tabs>
        <w:rPr>
          <w:sz w:val="22"/>
          <w:szCs w:val="22"/>
        </w:rPr>
      </w:pPr>
    </w:p>
    <w:p w14:paraId="2471AB73" w14:textId="77777777" w:rsidR="00CA08B3" w:rsidRPr="00FB2719" w:rsidRDefault="00CA08B3" w:rsidP="00CA08B3">
      <w:pPr>
        <w:pStyle w:val="PI-1labEMEASMCA"/>
        <w:tabs>
          <w:tab w:val="left" w:pos="567"/>
        </w:tabs>
        <w:ind w:left="540" w:hanging="540"/>
        <w:rPr>
          <w:noProof w:val="0"/>
          <w:sz w:val="22"/>
          <w:szCs w:val="22"/>
        </w:rPr>
      </w:pPr>
      <w:r w:rsidRPr="00FB2719">
        <w:rPr>
          <w:noProof w:val="0"/>
          <w:sz w:val="22"/>
          <w:szCs w:val="22"/>
        </w:rPr>
        <w:t>6.</w:t>
      </w:r>
      <w:r w:rsidRPr="00FB2719">
        <w:rPr>
          <w:noProof w:val="0"/>
          <w:sz w:val="22"/>
          <w:szCs w:val="22"/>
        </w:rPr>
        <w:tab/>
        <w:t>SPECIALUS ĮSPĖJIMAS, KAD VAISTINĮ PREPARATĄ BŪTINA LAIKYTI VAIKAMS NEPASTEBIMOJE IR NEPASIEKIAMOJE VIETOJE</w:t>
      </w:r>
    </w:p>
    <w:p w14:paraId="37CB11B3" w14:textId="77777777" w:rsidR="00CA08B3" w:rsidRPr="00FB2719" w:rsidRDefault="00CA08B3" w:rsidP="00CA08B3">
      <w:pPr>
        <w:pStyle w:val="BTEMEASMCA"/>
        <w:tabs>
          <w:tab w:val="left" w:pos="567"/>
        </w:tabs>
        <w:rPr>
          <w:sz w:val="22"/>
          <w:szCs w:val="22"/>
        </w:rPr>
      </w:pPr>
    </w:p>
    <w:p w14:paraId="0472DF57" w14:textId="77777777" w:rsidR="00CA08B3" w:rsidRPr="00FB2719" w:rsidRDefault="00CA08B3" w:rsidP="00CA08B3">
      <w:pPr>
        <w:pStyle w:val="BTEMEASMCA"/>
        <w:tabs>
          <w:tab w:val="left" w:pos="567"/>
        </w:tabs>
        <w:rPr>
          <w:sz w:val="22"/>
          <w:szCs w:val="22"/>
        </w:rPr>
      </w:pPr>
      <w:r w:rsidRPr="00FB2719">
        <w:rPr>
          <w:sz w:val="22"/>
          <w:szCs w:val="22"/>
        </w:rPr>
        <w:t>Laikyti vaikams nepastebimoje ir nepasiekiamoje vietoje.</w:t>
      </w:r>
    </w:p>
    <w:p w14:paraId="45EEC1E1" w14:textId="77777777" w:rsidR="00CA08B3" w:rsidRPr="00FB2719" w:rsidRDefault="00CA08B3" w:rsidP="00CA08B3">
      <w:pPr>
        <w:pStyle w:val="BTEMEASMCA"/>
        <w:tabs>
          <w:tab w:val="left" w:pos="567"/>
        </w:tabs>
        <w:rPr>
          <w:sz w:val="22"/>
          <w:szCs w:val="22"/>
        </w:rPr>
      </w:pPr>
    </w:p>
    <w:p w14:paraId="7390B432" w14:textId="77777777" w:rsidR="00CA08B3" w:rsidRPr="00FB2719" w:rsidRDefault="00CA08B3" w:rsidP="00CA08B3">
      <w:pPr>
        <w:pStyle w:val="BTEMEASMCA"/>
        <w:tabs>
          <w:tab w:val="left" w:pos="567"/>
        </w:tabs>
        <w:rPr>
          <w:sz w:val="22"/>
          <w:szCs w:val="22"/>
        </w:rPr>
      </w:pPr>
    </w:p>
    <w:p w14:paraId="115DCBBE" w14:textId="77777777" w:rsidR="00CA08B3" w:rsidRPr="00FB2719" w:rsidRDefault="00CA08B3" w:rsidP="00CA08B3">
      <w:pPr>
        <w:pStyle w:val="PI-1labEMEASMCA"/>
        <w:tabs>
          <w:tab w:val="left" w:pos="567"/>
        </w:tabs>
        <w:rPr>
          <w:noProof w:val="0"/>
          <w:sz w:val="22"/>
          <w:szCs w:val="22"/>
        </w:rPr>
      </w:pPr>
      <w:r w:rsidRPr="00FB2719">
        <w:rPr>
          <w:noProof w:val="0"/>
          <w:sz w:val="22"/>
          <w:szCs w:val="22"/>
        </w:rPr>
        <w:t>7.</w:t>
      </w:r>
      <w:r w:rsidRPr="00FB2719">
        <w:rPr>
          <w:noProof w:val="0"/>
          <w:sz w:val="22"/>
          <w:szCs w:val="22"/>
        </w:rPr>
        <w:tab/>
        <w:t>KITAS (-I) SPECIALUS (-ŪS) ĮSPĖJIMAS (-AI) (JEI REIKIA)</w:t>
      </w:r>
    </w:p>
    <w:p w14:paraId="565DE8F3" w14:textId="77777777" w:rsidR="00CA08B3" w:rsidRPr="00FB2719" w:rsidRDefault="00CA08B3" w:rsidP="00CA08B3">
      <w:pPr>
        <w:pStyle w:val="BTEMEASMCA"/>
        <w:tabs>
          <w:tab w:val="left" w:pos="567"/>
        </w:tabs>
        <w:rPr>
          <w:sz w:val="22"/>
          <w:szCs w:val="22"/>
        </w:rPr>
      </w:pPr>
    </w:p>
    <w:p w14:paraId="6BBEA391" w14:textId="77777777" w:rsidR="00CA08B3" w:rsidRPr="00FB2719" w:rsidRDefault="00CA08B3" w:rsidP="00CA08B3">
      <w:pPr>
        <w:pStyle w:val="BTEMEASMCA"/>
        <w:tabs>
          <w:tab w:val="left" w:pos="567"/>
        </w:tabs>
        <w:rPr>
          <w:sz w:val="22"/>
          <w:szCs w:val="22"/>
        </w:rPr>
      </w:pPr>
      <w:r w:rsidRPr="00FB2719">
        <w:rPr>
          <w:sz w:val="22"/>
          <w:szCs w:val="22"/>
        </w:rPr>
        <w:t>Nenurykite sausiklio.</w:t>
      </w:r>
    </w:p>
    <w:p w14:paraId="0B95E418" w14:textId="77777777" w:rsidR="00CA08B3" w:rsidRPr="00FB2719" w:rsidRDefault="00CA08B3" w:rsidP="00CA08B3">
      <w:pPr>
        <w:pStyle w:val="BTEMEASMCA"/>
        <w:tabs>
          <w:tab w:val="left" w:pos="567"/>
        </w:tabs>
        <w:rPr>
          <w:sz w:val="22"/>
          <w:szCs w:val="22"/>
        </w:rPr>
      </w:pPr>
    </w:p>
    <w:p w14:paraId="105C2E49" w14:textId="77777777" w:rsidR="00CA08B3" w:rsidRPr="00FB2719" w:rsidRDefault="00CA08B3" w:rsidP="00CA08B3">
      <w:pPr>
        <w:pStyle w:val="BTEMEASMCA"/>
        <w:tabs>
          <w:tab w:val="left" w:pos="567"/>
        </w:tabs>
        <w:rPr>
          <w:sz w:val="22"/>
          <w:szCs w:val="22"/>
        </w:rPr>
      </w:pPr>
    </w:p>
    <w:p w14:paraId="3B685786" w14:textId="77777777" w:rsidR="00CA08B3" w:rsidRPr="00FB2719" w:rsidRDefault="00CA08B3" w:rsidP="00CA08B3">
      <w:pPr>
        <w:pStyle w:val="PI-1labEMEASMCA"/>
        <w:tabs>
          <w:tab w:val="left" w:pos="567"/>
        </w:tabs>
        <w:rPr>
          <w:noProof w:val="0"/>
          <w:sz w:val="22"/>
          <w:szCs w:val="22"/>
        </w:rPr>
      </w:pPr>
      <w:r w:rsidRPr="00FB2719">
        <w:rPr>
          <w:noProof w:val="0"/>
          <w:sz w:val="22"/>
          <w:szCs w:val="22"/>
        </w:rPr>
        <w:t>8.</w:t>
      </w:r>
      <w:r w:rsidRPr="00FB2719">
        <w:rPr>
          <w:noProof w:val="0"/>
          <w:sz w:val="22"/>
          <w:szCs w:val="22"/>
        </w:rPr>
        <w:tab/>
        <w:t>TINKAMUMO LAIKAS</w:t>
      </w:r>
    </w:p>
    <w:p w14:paraId="2CF28194" w14:textId="77777777" w:rsidR="00CA08B3" w:rsidRPr="00FB2719" w:rsidRDefault="00CA08B3" w:rsidP="00CA08B3">
      <w:pPr>
        <w:tabs>
          <w:tab w:val="left" w:pos="567"/>
        </w:tabs>
        <w:rPr>
          <w:sz w:val="22"/>
          <w:szCs w:val="22"/>
        </w:rPr>
      </w:pPr>
    </w:p>
    <w:p w14:paraId="6E61D2B2" w14:textId="1A00774A" w:rsidR="00CA08B3" w:rsidRPr="00FB2719" w:rsidRDefault="00870AAC" w:rsidP="00CA08B3">
      <w:pPr>
        <w:tabs>
          <w:tab w:val="left" w:pos="567"/>
        </w:tabs>
        <w:rPr>
          <w:sz w:val="22"/>
          <w:szCs w:val="22"/>
        </w:rPr>
      </w:pPr>
      <w:r w:rsidRPr="00FB2719">
        <w:rPr>
          <w:sz w:val="22"/>
          <w:szCs w:val="22"/>
        </w:rPr>
        <w:t xml:space="preserve">EXP </w:t>
      </w:r>
      <w:r w:rsidR="00CA08B3" w:rsidRPr="00FB2719">
        <w:rPr>
          <w:sz w:val="22"/>
          <w:szCs w:val="22"/>
        </w:rPr>
        <w:t>{mm</w:t>
      </w:r>
      <w:r w:rsidR="008B05BD" w:rsidRPr="00FB2719">
        <w:rPr>
          <w:sz w:val="22"/>
          <w:szCs w:val="22"/>
        </w:rPr>
        <w:t xml:space="preserve"> </w:t>
      </w:r>
      <w:r w:rsidR="00CA08B3" w:rsidRPr="00FB2719">
        <w:rPr>
          <w:sz w:val="22"/>
          <w:szCs w:val="22"/>
        </w:rPr>
        <w:t>MMMM}</w:t>
      </w:r>
    </w:p>
    <w:p w14:paraId="39DCDEE4" w14:textId="77777777" w:rsidR="00CA08B3" w:rsidRPr="00FB2719" w:rsidRDefault="00CA08B3" w:rsidP="00CA08B3">
      <w:pPr>
        <w:tabs>
          <w:tab w:val="left" w:pos="567"/>
        </w:tabs>
        <w:rPr>
          <w:sz w:val="22"/>
          <w:szCs w:val="22"/>
        </w:rPr>
      </w:pPr>
    </w:p>
    <w:p w14:paraId="695F9DC7" w14:textId="77777777" w:rsidR="00CA08B3" w:rsidRPr="00FB2719" w:rsidRDefault="00CA08B3" w:rsidP="00CA08B3">
      <w:pPr>
        <w:tabs>
          <w:tab w:val="left" w:pos="567"/>
        </w:tabs>
        <w:rPr>
          <w:sz w:val="22"/>
          <w:szCs w:val="22"/>
        </w:rPr>
      </w:pPr>
    </w:p>
    <w:p w14:paraId="1434CA0A" w14:textId="77777777" w:rsidR="00CA08B3" w:rsidRPr="00FB2719" w:rsidRDefault="00CA08B3" w:rsidP="00CA08B3">
      <w:pPr>
        <w:pStyle w:val="PI-1labEMEASMCA"/>
        <w:tabs>
          <w:tab w:val="left" w:pos="567"/>
        </w:tabs>
        <w:rPr>
          <w:noProof w:val="0"/>
          <w:sz w:val="22"/>
          <w:szCs w:val="22"/>
        </w:rPr>
      </w:pPr>
      <w:r w:rsidRPr="00FB2719">
        <w:rPr>
          <w:noProof w:val="0"/>
          <w:sz w:val="22"/>
          <w:szCs w:val="22"/>
        </w:rPr>
        <w:t>9.</w:t>
      </w:r>
      <w:r w:rsidRPr="00FB2719">
        <w:rPr>
          <w:noProof w:val="0"/>
          <w:sz w:val="22"/>
          <w:szCs w:val="22"/>
        </w:rPr>
        <w:tab/>
        <w:t>SPECIALIOS LAIKYMO SĄLYGOS</w:t>
      </w:r>
    </w:p>
    <w:p w14:paraId="4837A6F1" w14:textId="77777777" w:rsidR="00CA08B3" w:rsidRPr="00FB2719" w:rsidRDefault="00CA08B3" w:rsidP="00CA08B3">
      <w:pPr>
        <w:pStyle w:val="BTEMEASMCA"/>
        <w:tabs>
          <w:tab w:val="left" w:pos="567"/>
        </w:tabs>
        <w:rPr>
          <w:sz w:val="22"/>
          <w:szCs w:val="22"/>
        </w:rPr>
      </w:pPr>
    </w:p>
    <w:p w14:paraId="1A0C4611" w14:textId="77777777" w:rsidR="00CA08B3" w:rsidRPr="00FB2719" w:rsidRDefault="00CA08B3" w:rsidP="00CA08B3">
      <w:pPr>
        <w:pStyle w:val="BTEMEASMCA"/>
        <w:tabs>
          <w:tab w:val="left" w:pos="567"/>
        </w:tabs>
        <w:rPr>
          <w:sz w:val="22"/>
          <w:szCs w:val="22"/>
        </w:rPr>
      </w:pPr>
    </w:p>
    <w:p w14:paraId="63E8BDD6" w14:textId="77777777" w:rsidR="00CA08B3" w:rsidRPr="00FB2719" w:rsidRDefault="00CA08B3" w:rsidP="00CA08B3">
      <w:pPr>
        <w:pStyle w:val="PI-1labEMEASMCA"/>
        <w:tabs>
          <w:tab w:val="left" w:pos="567"/>
        </w:tabs>
        <w:ind w:left="540" w:hanging="540"/>
        <w:rPr>
          <w:noProof w:val="0"/>
          <w:sz w:val="22"/>
          <w:szCs w:val="22"/>
        </w:rPr>
      </w:pPr>
      <w:r w:rsidRPr="00FB2719">
        <w:rPr>
          <w:noProof w:val="0"/>
          <w:sz w:val="22"/>
          <w:szCs w:val="22"/>
        </w:rPr>
        <w:t>10.</w:t>
      </w:r>
      <w:r w:rsidRPr="00FB2719">
        <w:rPr>
          <w:noProof w:val="0"/>
          <w:sz w:val="22"/>
          <w:szCs w:val="22"/>
        </w:rPr>
        <w:tab/>
        <w:t xml:space="preserve">SPECIALIOS ATSARGUMO PRIEMONĖS DĖL NESUVARTOTO </w:t>
      </w:r>
      <w:r w:rsidRPr="00FB2719">
        <w:rPr>
          <w:bCs/>
          <w:noProof w:val="0"/>
          <w:sz w:val="22"/>
          <w:szCs w:val="22"/>
        </w:rPr>
        <w:t xml:space="preserve">VAISTINIO PREPARATO AR JO ATLIEKŲ </w:t>
      </w:r>
      <w:r w:rsidRPr="00FB2719">
        <w:rPr>
          <w:noProof w:val="0"/>
          <w:sz w:val="22"/>
          <w:szCs w:val="22"/>
        </w:rPr>
        <w:t>TVARKYMO (JEI REIKIA)</w:t>
      </w:r>
    </w:p>
    <w:p w14:paraId="72C79567" w14:textId="77777777" w:rsidR="00CA08B3" w:rsidRPr="00FB2719" w:rsidRDefault="00CA08B3" w:rsidP="00CA08B3">
      <w:pPr>
        <w:pStyle w:val="BTEMEASMCA"/>
        <w:tabs>
          <w:tab w:val="left" w:pos="567"/>
        </w:tabs>
        <w:rPr>
          <w:sz w:val="22"/>
          <w:szCs w:val="22"/>
        </w:rPr>
      </w:pPr>
    </w:p>
    <w:p w14:paraId="6DBB8860" w14:textId="77777777" w:rsidR="00CA08B3" w:rsidRPr="00FB2719" w:rsidRDefault="00CA08B3" w:rsidP="00CA08B3">
      <w:pPr>
        <w:pStyle w:val="BTEMEASMCA"/>
        <w:tabs>
          <w:tab w:val="left" w:pos="567"/>
        </w:tabs>
        <w:rPr>
          <w:sz w:val="22"/>
          <w:szCs w:val="22"/>
        </w:rPr>
      </w:pPr>
      <w:r w:rsidRPr="00AC2616">
        <w:rPr>
          <w:rFonts w:eastAsia="Times New Roman"/>
          <w:snapToGrid w:val="0"/>
          <w:sz w:val="22"/>
          <w:szCs w:val="24"/>
          <w:highlight w:val="lightGray"/>
          <w:lang w:eastAsia="en-US"/>
        </w:rPr>
        <w:t>Nesuvartotą vaist</w:t>
      </w:r>
      <w:r w:rsidR="00A11A7C" w:rsidRPr="00AC2616">
        <w:rPr>
          <w:rFonts w:eastAsia="Times New Roman"/>
          <w:snapToGrid w:val="0"/>
          <w:sz w:val="22"/>
          <w:szCs w:val="24"/>
          <w:highlight w:val="lightGray"/>
          <w:lang w:eastAsia="en-US"/>
        </w:rPr>
        <w:t>ą</w:t>
      </w:r>
      <w:r w:rsidRPr="00AC2616">
        <w:rPr>
          <w:rFonts w:eastAsia="Times New Roman"/>
          <w:snapToGrid w:val="0"/>
          <w:sz w:val="22"/>
          <w:szCs w:val="24"/>
          <w:highlight w:val="lightGray"/>
          <w:lang w:eastAsia="en-US"/>
        </w:rPr>
        <w:t xml:space="preserve"> ar atliekas reikia tvarkyti laikantis vietinių reikalavimų.</w:t>
      </w:r>
    </w:p>
    <w:p w14:paraId="4E6BC3BC" w14:textId="77777777" w:rsidR="00CA08B3" w:rsidRPr="00FB2719" w:rsidRDefault="00CA08B3" w:rsidP="00CA08B3">
      <w:pPr>
        <w:pStyle w:val="BTEMEASMCA"/>
        <w:tabs>
          <w:tab w:val="left" w:pos="567"/>
        </w:tabs>
        <w:rPr>
          <w:sz w:val="22"/>
          <w:szCs w:val="22"/>
        </w:rPr>
      </w:pPr>
    </w:p>
    <w:p w14:paraId="1740DCB0" w14:textId="77777777" w:rsidR="00CA08B3" w:rsidRPr="00FB2719" w:rsidRDefault="00CA08B3" w:rsidP="00CA08B3">
      <w:pPr>
        <w:pStyle w:val="BTEMEASMCA"/>
        <w:tabs>
          <w:tab w:val="left" w:pos="567"/>
        </w:tabs>
        <w:rPr>
          <w:sz w:val="22"/>
          <w:szCs w:val="22"/>
        </w:rPr>
      </w:pPr>
    </w:p>
    <w:p w14:paraId="2E5F1A2A" w14:textId="77777777" w:rsidR="00CA08B3" w:rsidRPr="00FB2719" w:rsidRDefault="00CA08B3" w:rsidP="00CA08B3">
      <w:pPr>
        <w:pStyle w:val="PI-1labEMEASMCA"/>
        <w:tabs>
          <w:tab w:val="left" w:pos="567"/>
        </w:tabs>
        <w:rPr>
          <w:noProof w:val="0"/>
          <w:sz w:val="22"/>
          <w:szCs w:val="22"/>
        </w:rPr>
      </w:pPr>
      <w:r w:rsidRPr="00FB2719">
        <w:rPr>
          <w:noProof w:val="0"/>
          <w:sz w:val="22"/>
          <w:szCs w:val="22"/>
        </w:rPr>
        <w:t>11.</w:t>
      </w:r>
      <w:r w:rsidRPr="00FB2719">
        <w:rPr>
          <w:noProof w:val="0"/>
          <w:sz w:val="22"/>
          <w:szCs w:val="22"/>
        </w:rPr>
        <w:tab/>
        <w:t>REGISTRUOTOJO PAVADINIMAS IR ADRESAS</w:t>
      </w:r>
    </w:p>
    <w:p w14:paraId="117B8903" w14:textId="77777777" w:rsidR="00CA08B3" w:rsidRPr="00FB2719" w:rsidRDefault="00CA08B3" w:rsidP="00CA08B3">
      <w:pPr>
        <w:pStyle w:val="BTEMEASMCA"/>
        <w:tabs>
          <w:tab w:val="left" w:pos="567"/>
        </w:tabs>
        <w:rPr>
          <w:b/>
          <w:sz w:val="22"/>
          <w:szCs w:val="22"/>
        </w:rPr>
      </w:pPr>
    </w:p>
    <w:p w14:paraId="4B440411" w14:textId="77777777" w:rsidR="00CA08B3" w:rsidRPr="00FB2719" w:rsidRDefault="00CA08B3" w:rsidP="00CA08B3">
      <w:pPr>
        <w:tabs>
          <w:tab w:val="left" w:pos="567"/>
        </w:tabs>
        <w:rPr>
          <w:sz w:val="22"/>
          <w:szCs w:val="22"/>
        </w:rPr>
      </w:pPr>
      <w:r w:rsidRPr="00FB2719">
        <w:rPr>
          <w:sz w:val="22"/>
          <w:szCs w:val="22"/>
        </w:rPr>
        <w:t>Sandoz d.d.</w:t>
      </w:r>
    </w:p>
    <w:p w14:paraId="0B5CE110" w14:textId="77777777" w:rsidR="00CA08B3" w:rsidRPr="00FB2719" w:rsidRDefault="00CA08B3" w:rsidP="00CA08B3">
      <w:pPr>
        <w:tabs>
          <w:tab w:val="left" w:pos="567"/>
        </w:tabs>
        <w:rPr>
          <w:sz w:val="22"/>
          <w:szCs w:val="22"/>
        </w:rPr>
      </w:pPr>
      <w:r w:rsidRPr="00FB2719">
        <w:rPr>
          <w:sz w:val="22"/>
          <w:szCs w:val="22"/>
        </w:rPr>
        <w:t>Verovškova 57</w:t>
      </w:r>
    </w:p>
    <w:p w14:paraId="0532D0F9" w14:textId="77777777" w:rsidR="00CA08B3" w:rsidRPr="00FB2719" w:rsidRDefault="00CA08B3" w:rsidP="00CA08B3">
      <w:pPr>
        <w:tabs>
          <w:tab w:val="left" w:pos="567"/>
        </w:tabs>
        <w:rPr>
          <w:sz w:val="22"/>
          <w:szCs w:val="22"/>
        </w:rPr>
      </w:pPr>
      <w:r w:rsidRPr="00FB2719">
        <w:rPr>
          <w:sz w:val="22"/>
          <w:szCs w:val="22"/>
        </w:rPr>
        <w:t>SI-1000 Ljubljana</w:t>
      </w:r>
    </w:p>
    <w:p w14:paraId="09878FBE" w14:textId="77777777" w:rsidR="00CA08B3" w:rsidRPr="00FB2719" w:rsidRDefault="00CA08B3" w:rsidP="00CA08B3">
      <w:pPr>
        <w:tabs>
          <w:tab w:val="left" w:pos="567"/>
        </w:tabs>
        <w:rPr>
          <w:sz w:val="22"/>
          <w:szCs w:val="22"/>
        </w:rPr>
      </w:pPr>
      <w:r w:rsidRPr="00FB2719">
        <w:rPr>
          <w:sz w:val="22"/>
          <w:szCs w:val="22"/>
        </w:rPr>
        <w:t>Slovėnija</w:t>
      </w:r>
    </w:p>
    <w:p w14:paraId="30A210BD" w14:textId="77777777" w:rsidR="00CA08B3" w:rsidRPr="00FB2719" w:rsidRDefault="00CA08B3" w:rsidP="00CA08B3">
      <w:pPr>
        <w:pStyle w:val="BTEMEASMCA"/>
        <w:tabs>
          <w:tab w:val="left" w:pos="567"/>
        </w:tabs>
        <w:rPr>
          <w:sz w:val="22"/>
          <w:szCs w:val="22"/>
        </w:rPr>
      </w:pPr>
    </w:p>
    <w:p w14:paraId="5468FCA6" w14:textId="77777777" w:rsidR="00CA08B3" w:rsidRPr="00FB2719" w:rsidRDefault="00CA08B3" w:rsidP="00CA08B3">
      <w:pPr>
        <w:pStyle w:val="BTEMEASMCA"/>
        <w:tabs>
          <w:tab w:val="left" w:pos="567"/>
        </w:tabs>
        <w:rPr>
          <w:sz w:val="22"/>
          <w:szCs w:val="22"/>
        </w:rPr>
      </w:pPr>
    </w:p>
    <w:p w14:paraId="5AB14BE9" w14:textId="77777777" w:rsidR="00CA08B3" w:rsidRPr="00FB2719" w:rsidRDefault="00CA08B3" w:rsidP="00CA08B3">
      <w:pPr>
        <w:pStyle w:val="PI-1labEMEASMCA"/>
        <w:tabs>
          <w:tab w:val="left" w:pos="567"/>
        </w:tabs>
        <w:rPr>
          <w:noProof w:val="0"/>
          <w:sz w:val="22"/>
          <w:szCs w:val="22"/>
        </w:rPr>
      </w:pPr>
      <w:r w:rsidRPr="00FB2719">
        <w:rPr>
          <w:noProof w:val="0"/>
          <w:sz w:val="22"/>
          <w:szCs w:val="22"/>
        </w:rPr>
        <w:t>12.</w:t>
      </w:r>
      <w:r w:rsidRPr="00FB2719">
        <w:rPr>
          <w:noProof w:val="0"/>
          <w:sz w:val="22"/>
          <w:szCs w:val="22"/>
        </w:rPr>
        <w:tab/>
        <w:t xml:space="preserve">REGISTRACIJOS PAŽYMĖJIMO NUMERIS (-IAI) </w:t>
      </w:r>
    </w:p>
    <w:p w14:paraId="5EBA2127" w14:textId="77777777" w:rsidR="00CA08B3" w:rsidRPr="00FB2719" w:rsidRDefault="00CA08B3" w:rsidP="00CA08B3">
      <w:pPr>
        <w:pStyle w:val="BTEMEASMCA"/>
        <w:tabs>
          <w:tab w:val="left" w:pos="567"/>
        </w:tabs>
        <w:rPr>
          <w:sz w:val="22"/>
          <w:szCs w:val="22"/>
        </w:rPr>
      </w:pPr>
    </w:p>
    <w:p w14:paraId="2596CA82" w14:textId="77777777" w:rsidR="00CA08B3" w:rsidRPr="00FB2719" w:rsidRDefault="00CA08B3" w:rsidP="00CA08B3">
      <w:pPr>
        <w:rPr>
          <w:bCs/>
          <w:sz w:val="22"/>
        </w:rPr>
      </w:pPr>
      <w:r w:rsidRPr="00FB2719">
        <w:rPr>
          <w:bCs/>
          <w:sz w:val="22"/>
        </w:rPr>
        <w:t>LT/1/15/3757/008</w:t>
      </w:r>
    </w:p>
    <w:p w14:paraId="24E3A1F0" w14:textId="77777777" w:rsidR="00CA08B3" w:rsidRPr="00FB2719" w:rsidRDefault="00CA08B3" w:rsidP="00CA08B3">
      <w:pPr>
        <w:pStyle w:val="BTEMEASMCA"/>
        <w:tabs>
          <w:tab w:val="left" w:pos="567"/>
        </w:tabs>
        <w:rPr>
          <w:sz w:val="22"/>
          <w:szCs w:val="22"/>
        </w:rPr>
      </w:pPr>
    </w:p>
    <w:p w14:paraId="4BC83D51" w14:textId="77777777" w:rsidR="00CA08B3" w:rsidRPr="00FB2719" w:rsidRDefault="00CA08B3" w:rsidP="00CA08B3">
      <w:pPr>
        <w:pStyle w:val="BTEMEASMCA"/>
        <w:tabs>
          <w:tab w:val="left" w:pos="567"/>
        </w:tabs>
        <w:rPr>
          <w:sz w:val="22"/>
          <w:szCs w:val="22"/>
        </w:rPr>
      </w:pPr>
    </w:p>
    <w:p w14:paraId="5BE5310E" w14:textId="77777777" w:rsidR="00CA08B3" w:rsidRPr="00FB2719" w:rsidRDefault="00CA08B3" w:rsidP="00CA08B3">
      <w:pPr>
        <w:pStyle w:val="PI-1labEMEASMCA"/>
        <w:tabs>
          <w:tab w:val="left" w:pos="567"/>
        </w:tabs>
        <w:rPr>
          <w:noProof w:val="0"/>
          <w:sz w:val="22"/>
          <w:szCs w:val="22"/>
        </w:rPr>
      </w:pPr>
      <w:r w:rsidRPr="00FB2719">
        <w:rPr>
          <w:noProof w:val="0"/>
          <w:sz w:val="22"/>
          <w:szCs w:val="22"/>
        </w:rPr>
        <w:t>13.</w:t>
      </w:r>
      <w:r w:rsidRPr="00FB2719">
        <w:rPr>
          <w:noProof w:val="0"/>
          <w:sz w:val="22"/>
          <w:szCs w:val="22"/>
        </w:rPr>
        <w:tab/>
        <w:t>SERIJOS NUMERIS</w:t>
      </w:r>
    </w:p>
    <w:p w14:paraId="0297BDC2" w14:textId="77777777" w:rsidR="00CA08B3" w:rsidRPr="00FB2719" w:rsidRDefault="00CA08B3" w:rsidP="00CA08B3">
      <w:pPr>
        <w:tabs>
          <w:tab w:val="left" w:pos="567"/>
        </w:tabs>
        <w:rPr>
          <w:sz w:val="22"/>
          <w:szCs w:val="22"/>
        </w:rPr>
      </w:pPr>
    </w:p>
    <w:p w14:paraId="12575C86" w14:textId="1EED2129" w:rsidR="00CA08B3" w:rsidRPr="00FB2719" w:rsidRDefault="00870AAC" w:rsidP="00CA08B3">
      <w:pPr>
        <w:tabs>
          <w:tab w:val="left" w:pos="567"/>
        </w:tabs>
        <w:rPr>
          <w:sz w:val="22"/>
          <w:szCs w:val="22"/>
        </w:rPr>
      </w:pPr>
      <w:r w:rsidRPr="00FB2719">
        <w:rPr>
          <w:sz w:val="22"/>
          <w:szCs w:val="22"/>
        </w:rPr>
        <w:t>Lot</w:t>
      </w:r>
      <w:r w:rsidR="00CA08B3" w:rsidRPr="00FB2719">
        <w:rPr>
          <w:sz w:val="22"/>
          <w:szCs w:val="22"/>
        </w:rPr>
        <w:t xml:space="preserve"> {numeris}</w:t>
      </w:r>
    </w:p>
    <w:p w14:paraId="3C853821" w14:textId="77777777" w:rsidR="00CA08B3" w:rsidRPr="00FB2719" w:rsidRDefault="00CA08B3" w:rsidP="00CA08B3">
      <w:pPr>
        <w:tabs>
          <w:tab w:val="left" w:pos="567"/>
        </w:tabs>
        <w:rPr>
          <w:sz w:val="22"/>
          <w:szCs w:val="22"/>
        </w:rPr>
      </w:pPr>
    </w:p>
    <w:p w14:paraId="5DC7245A" w14:textId="77777777" w:rsidR="00CA08B3" w:rsidRPr="00FB2719" w:rsidRDefault="00CA08B3" w:rsidP="00CA08B3">
      <w:pPr>
        <w:tabs>
          <w:tab w:val="left" w:pos="567"/>
        </w:tabs>
        <w:rPr>
          <w:sz w:val="22"/>
          <w:szCs w:val="22"/>
        </w:rPr>
      </w:pPr>
    </w:p>
    <w:p w14:paraId="3BCA6CC8" w14:textId="77777777" w:rsidR="00CA08B3" w:rsidRPr="00FB2719" w:rsidRDefault="00CA08B3" w:rsidP="00CA08B3">
      <w:pPr>
        <w:pStyle w:val="PI-1labEMEASMCA"/>
        <w:tabs>
          <w:tab w:val="left" w:pos="567"/>
        </w:tabs>
        <w:rPr>
          <w:noProof w:val="0"/>
          <w:sz w:val="22"/>
          <w:szCs w:val="22"/>
        </w:rPr>
      </w:pPr>
      <w:r w:rsidRPr="00FB2719">
        <w:rPr>
          <w:noProof w:val="0"/>
          <w:sz w:val="22"/>
          <w:szCs w:val="22"/>
        </w:rPr>
        <w:t>14.</w:t>
      </w:r>
      <w:r w:rsidRPr="00FB2719">
        <w:rPr>
          <w:noProof w:val="0"/>
          <w:sz w:val="22"/>
          <w:szCs w:val="22"/>
        </w:rPr>
        <w:tab/>
        <w:t>PARDAVIMO (IŠDAVIMO) TVARKA</w:t>
      </w:r>
    </w:p>
    <w:p w14:paraId="5FBC178F" w14:textId="77777777" w:rsidR="00CA08B3" w:rsidRPr="00FB2719" w:rsidRDefault="00CA08B3" w:rsidP="00CA08B3">
      <w:pPr>
        <w:pStyle w:val="BTEMEASMCA"/>
        <w:tabs>
          <w:tab w:val="left" w:pos="567"/>
        </w:tabs>
        <w:rPr>
          <w:sz w:val="22"/>
          <w:szCs w:val="22"/>
        </w:rPr>
      </w:pPr>
    </w:p>
    <w:p w14:paraId="4DE0C029" w14:textId="77777777" w:rsidR="00CA08B3" w:rsidRPr="00FB2719" w:rsidRDefault="00CA08B3" w:rsidP="00CA08B3">
      <w:pPr>
        <w:pStyle w:val="BTEMEASMCA"/>
        <w:tabs>
          <w:tab w:val="left" w:pos="567"/>
        </w:tabs>
        <w:rPr>
          <w:sz w:val="22"/>
          <w:szCs w:val="22"/>
        </w:rPr>
      </w:pPr>
      <w:r w:rsidRPr="00FB2719">
        <w:rPr>
          <w:sz w:val="22"/>
          <w:szCs w:val="22"/>
        </w:rPr>
        <w:t>Receptinis vaist</w:t>
      </w:r>
      <w:r w:rsidR="00A11A7C" w:rsidRPr="00FB2719">
        <w:rPr>
          <w:sz w:val="22"/>
          <w:szCs w:val="22"/>
        </w:rPr>
        <w:t>as</w:t>
      </w:r>
      <w:r w:rsidRPr="00FB2719">
        <w:rPr>
          <w:sz w:val="22"/>
          <w:szCs w:val="22"/>
        </w:rPr>
        <w:t>.</w:t>
      </w:r>
    </w:p>
    <w:p w14:paraId="4238BE5C" w14:textId="77777777" w:rsidR="00CA08B3" w:rsidRPr="00FB2719" w:rsidRDefault="00CA08B3" w:rsidP="00CA08B3">
      <w:pPr>
        <w:pStyle w:val="BTEMEASMCA"/>
        <w:tabs>
          <w:tab w:val="left" w:pos="567"/>
        </w:tabs>
        <w:rPr>
          <w:sz w:val="22"/>
          <w:szCs w:val="22"/>
        </w:rPr>
      </w:pPr>
    </w:p>
    <w:p w14:paraId="15EBA49E" w14:textId="77777777" w:rsidR="00CA08B3" w:rsidRPr="00FB2719" w:rsidRDefault="00CA08B3" w:rsidP="00CA08B3">
      <w:pPr>
        <w:pStyle w:val="BTEMEASMCA"/>
        <w:tabs>
          <w:tab w:val="left" w:pos="567"/>
        </w:tabs>
        <w:rPr>
          <w:sz w:val="22"/>
          <w:szCs w:val="22"/>
        </w:rPr>
      </w:pPr>
    </w:p>
    <w:p w14:paraId="0C170909" w14:textId="77777777" w:rsidR="00CA08B3" w:rsidRPr="00FB2719" w:rsidRDefault="00CA08B3" w:rsidP="00CA08B3">
      <w:pPr>
        <w:pStyle w:val="PI-1labEMEASMCA"/>
        <w:tabs>
          <w:tab w:val="left" w:pos="567"/>
        </w:tabs>
        <w:rPr>
          <w:noProof w:val="0"/>
          <w:sz w:val="22"/>
          <w:szCs w:val="22"/>
        </w:rPr>
      </w:pPr>
      <w:r w:rsidRPr="00FB2719">
        <w:rPr>
          <w:noProof w:val="0"/>
          <w:sz w:val="22"/>
          <w:szCs w:val="22"/>
        </w:rPr>
        <w:t>15.</w:t>
      </w:r>
      <w:r w:rsidRPr="00FB2719">
        <w:rPr>
          <w:noProof w:val="0"/>
          <w:sz w:val="22"/>
          <w:szCs w:val="22"/>
        </w:rPr>
        <w:tab/>
        <w:t>VARTOJIMO INSTRUKCIJA</w:t>
      </w:r>
    </w:p>
    <w:p w14:paraId="6AC24442" w14:textId="77777777" w:rsidR="00CA08B3" w:rsidRPr="00FB2719" w:rsidRDefault="00CA08B3" w:rsidP="00CA08B3">
      <w:pPr>
        <w:pStyle w:val="BTEMEASMCA"/>
        <w:tabs>
          <w:tab w:val="left" w:pos="567"/>
        </w:tabs>
        <w:rPr>
          <w:sz w:val="22"/>
          <w:szCs w:val="22"/>
        </w:rPr>
      </w:pPr>
    </w:p>
    <w:p w14:paraId="39C17557" w14:textId="77777777" w:rsidR="00CA08B3" w:rsidRPr="00FB2719" w:rsidRDefault="00CA08B3" w:rsidP="00CA08B3">
      <w:pPr>
        <w:pStyle w:val="BTEMEASMCA"/>
        <w:tabs>
          <w:tab w:val="left" w:pos="567"/>
        </w:tabs>
        <w:rPr>
          <w:sz w:val="22"/>
          <w:szCs w:val="22"/>
        </w:rPr>
      </w:pPr>
    </w:p>
    <w:p w14:paraId="4DBF4A85" w14:textId="77777777" w:rsidR="00CA08B3" w:rsidRPr="00FB2719" w:rsidRDefault="00CA08B3" w:rsidP="00CA08B3">
      <w:pPr>
        <w:pStyle w:val="PI-1labEMEASMCA"/>
        <w:tabs>
          <w:tab w:val="left" w:pos="567"/>
        </w:tabs>
        <w:rPr>
          <w:noProof w:val="0"/>
          <w:sz w:val="22"/>
          <w:szCs w:val="22"/>
        </w:rPr>
      </w:pPr>
      <w:r w:rsidRPr="00FB2719">
        <w:rPr>
          <w:noProof w:val="0"/>
          <w:sz w:val="22"/>
          <w:szCs w:val="22"/>
        </w:rPr>
        <w:t>16.</w:t>
      </w:r>
      <w:r w:rsidRPr="00FB2719">
        <w:rPr>
          <w:noProof w:val="0"/>
          <w:sz w:val="22"/>
          <w:szCs w:val="22"/>
        </w:rPr>
        <w:tab/>
        <w:t xml:space="preserve">INFORMACIJA BRAILIO RAŠTU </w:t>
      </w:r>
    </w:p>
    <w:p w14:paraId="3E9AA7D5" w14:textId="77777777" w:rsidR="00CA08B3" w:rsidRPr="00FB2719" w:rsidRDefault="00CA08B3" w:rsidP="00CA08B3">
      <w:pPr>
        <w:pStyle w:val="BTEMEASMCA"/>
        <w:tabs>
          <w:tab w:val="left" w:pos="567"/>
        </w:tabs>
        <w:rPr>
          <w:sz w:val="22"/>
          <w:szCs w:val="22"/>
        </w:rPr>
      </w:pPr>
    </w:p>
    <w:p w14:paraId="4E257636" w14:textId="77777777" w:rsidR="00CA08B3" w:rsidRPr="00FB2719" w:rsidRDefault="00CA08B3" w:rsidP="00CA08B3">
      <w:pPr>
        <w:pStyle w:val="Pagrindinistekstas"/>
        <w:spacing w:line="240" w:lineRule="auto"/>
        <w:rPr>
          <w:szCs w:val="22"/>
        </w:rPr>
      </w:pPr>
      <w:r w:rsidRPr="00FB2719">
        <w:rPr>
          <w:szCs w:val="22"/>
        </w:rPr>
        <w:t>Lopinavir/Ritonavir Sandoz 200 mg/50 mg tabletės</w:t>
      </w:r>
    </w:p>
    <w:p w14:paraId="0E34DBAC" w14:textId="77777777" w:rsidR="00CA08B3" w:rsidRPr="00FB2719" w:rsidRDefault="00CA08B3" w:rsidP="00CA08B3">
      <w:pPr>
        <w:pStyle w:val="BTEMEASMCA"/>
        <w:tabs>
          <w:tab w:val="left" w:pos="567"/>
        </w:tabs>
        <w:rPr>
          <w:sz w:val="22"/>
          <w:szCs w:val="22"/>
        </w:rPr>
      </w:pPr>
    </w:p>
    <w:p w14:paraId="1CDC1819" w14:textId="77777777" w:rsidR="00CA08B3" w:rsidRPr="00FB2719" w:rsidRDefault="00CA08B3" w:rsidP="00CA08B3">
      <w:pPr>
        <w:tabs>
          <w:tab w:val="left" w:pos="567"/>
        </w:tabs>
        <w:rPr>
          <w:noProof/>
          <w:sz w:val="22"/>
          <w:szCs w:val="22"/>
          <w:shd w:val="clear" w:color="auto" w:fill="CCCCCC"/>
          <w:lang w:eastAsia="lt-LT" w:bidi="lt-LT"/>
        </w:rPr>
      </w:pPr>
    </w:p>
    <w:p w14:paraId="42953CEA" w14:textId="77777777" w:rsidR="00CA08B3" w:rsidRPr="00FB2719" w:rsidRDefault="00CA08B3" w:rsidP="00CA08B3">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sz w:val="22"/>
          <w:szCs w:val="20"/>
          <w:lang w:eastAsia="lt-LT" w:bidi="lt-LT"/>
        </w:rPr>
      </w:pPr>
      <w:r w:rsidRPr="00FB2719">
        <w:rPr>
          <w:b/>
          <w:noProof/>
          <w:sz w:val="22"/>
          <w:szCs w:val="20"/>
          <w:lang w:eastAsia="lt-LT" w:bidi="lt-LT"/>
        </w:rPr>
        <w:t>17.</w:t>
      </w:r>
      <w:r w:rsidRPr="00FB2719">
        <w:rPr>
          <w:b/>
          <w:noProof/>
          <w:sz w:val="22"/>
          <w:szCs w:val="20"/>
          <w:lang w:eastAsia="lt-LT" w:bidi="lt-LT"/>
        </w:rPr>
        <w:tab/>
        <w:t>UNIKALUS IDENTIFIKATORIUS – 2D BRŪKŠNINIS KODAS</w:t>
      </w:r>
    </w:p>
    <w:p w14:paraId="724EC1EF" w14:textId="77777777" w:rsidR="00CA08B3" w:rsidRPr="00FB2719" w:rsidRDefault="00CA08B3" w:rsidP="00CA08B3">
      <w:pPr>
        <w:rPr>
          <w:noProof/>
          <w:sz w:val="22"/>
          <w:szCs w:val="20"/>
          <w:lang w:eastAsia="lt-LT" w:bidi="lt-LT"/>
        </w:rPr>
      </w:pPr>
    </w:p>
    <w:p w14:paraId="5272E15D" w14:textId="77777777" w:rsidR="00CA08B3" w:rsidRPr="00FB2719" w:rsidRDefault="00CA08B3" w:rsidP="00CA08B3">
      <w:pPr>
        <w:tabs>
          <w:tab w:val="left" w:pos="567"/>
        </w:tabs>
        <w:rPr>
          <w:noProof/>
          <w:sz w:val="22"/>
          <w:szCs w:val="22"/>
          <w:shd w:val="clear" w:color="auto" w:fill="CCCCCC"/>
          <w:lang w:eastAsia="lt-LT" w:bidi="lt-LT"/>
        </w:rPr>
      </w:pPr>
      <w:r w:rsidRPr="00FB2719">
        <w:rPr>
          <w:noProof/>
          <w:sz w:val="22"/>
          <w:szCs w:val="20"/>
          <w:lang w:eastAsia="lt-LT" w:bidi="lt-LT"/>
        </w:rPr>
        <w:t>2D brūkšninis kodas su nurodytu unikaliu identifikatoriumi.</w:t>
      </w:r>
    </w:p>
    <w:p w14:paraId="1C3C8A39" w14:textId="77777777" w:rsidR="00CA08B3" w:rsidRPr="00FB2719" w:rsidRDefault="00CA08B3" w:rsidP="00CA08B3">
      <w:pPr>
        <w:rPr>
          <w:noProof/>
          <w:sz w:val="22"/>
          <w:szCs w:val="20"/>
          <w:lang w:eastAsia="lt-LT" w:bidi="lt-LT"/>
        </w:rPr>
      </w:pPr>
    </w:p>
    <w:p w14:paraId="598F7397" w14:textId="77777777" w:rsidR="00CA08B3" w:rsidRPr="00FB2719" w:rsidRDefault="00CA08B3" w:rsidP="00CA08B3">
      <w:pPr>
        <w:rPr>
          <w:noProof/>
          <w:sz w:val="22"/>
          <w:szCs w:val="20"/>
          <w:lang w:eastAsia="lt-LT" w:bidi="lt-LT"/>
        </w:rPr>
      </w:pPr>
    </w:p>
    <w:p w14:paraId="6F523B40" w14:textId="77777777" w:rsidR="00CA08B3" w:rsidRPr="00FB2719" w:rsidRDefault="00CA08B3" w:rsidP="00CA08B3">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sz w:val="22"/>
          <w:szCs w:val="20"/>
          <w:lang w:eastAsia="lt-LT" w:bidi="lt-LT"/>
        </w:rPr>
      </w:pPr>
      <w:r w:rsidRPr="00FB2719">
        <w:rPr>
          <w:b/>
          <w:noProof/>
          <w:sz w:val="22"/>
          <w:szCs w:val="20"/>
          <w:lang w:eastAsia="lt-LT" w:bidi="lt-LT"/>
        </w:rPr>
        <w:t>18.</w:t>
      </w:r>
      <w:r w:rsidRPr="00FB2719">
        <w:rPr>
          <w:b/>
          <w:noProof/>
          <w:sz w:val="22"/>
          <w:szCs w:val="20"/>
          <w:lang w:eastAsia="lt-LT" w:bidi="lt-LT"/>
        </w:rPr>
        <w:tab/>
        <w:t>UNIKALUS IDENTIFIKATORIUS – ŽMONĖMS SUPRANTAMI DUOMENYS</w:t>
      </w:r>
    </w:p>
    <w:p w14:paraId="40B7E675" w14:textId="77777777" w:rsidR="00CA08B3" w:rsidRPr="00FB2719" w:rsidRDefault="00CA08B3" w:rsidP="00CA08B3">
      <w:pPr>
        <w:rPr>
          <w:noProof/>
          <w:sz w:val="22"/>
          <w:szCs w:val="20"/>
          <w:lang w:eastAsia="lt-LT" w:bidi="lt-LT"/>
        </w:rPr>
      </w:pPr>
    </w:p>
    <w:p w14:paraId="6A10F908" w14:textId="77777777" w:rsidR="00CA08B3" w:rsidRPr="00FB2719" w:rsidRDefault="00CA08B3" w:rsidP="00CA08B3">
      <w:pPr>
        <w:tabs>
          <w:tab w:val="left" w:pos="567"/>
        </w:tabs>
        <w:spacing w:line="260" w:lineRule="exact"/>
        <w:rPr>
          <w:color w:val="008000"/>
          <w:sz w:val="22"/>
          <w:szCs w:val="22"/>
          <w:lang w:eastAsia="lt-LT" w:bidi="lt-LT"/>
        </w:rPr>
      </w:pPr>
      <w:r w:rsidRPr="00FB2719">
        <w:rPr>
          <w:sz w:val="22"/>
          <w:szCs w:val="20"/>
          <w:lang w:eastAsia="lt-LT" w:bidi="lt-LT"/>
        </w:rPr>
        <w:t>PC: {numeris}</w:t>
      </w:r>
    </w:p>
    <w:p w14:paraId="282EA2A4" w14:textId="77777777" w:rsidR="00CA08B3" w:rsidRPr="00FB2719" w:rsidRDefault="00CA08B3" w:rsidP="00CA08B3">
      <w:pPr>
        <w:tabs>
          <w:tab w:val="left" w:pos="567"/>
        </w:tabs>
        <w:spacing w:line="260" w:lineRule="exact"/>
        <w:rPr>
          <w:sz w:val="22"/>
          <w:szCs w:val="22"/>
          <w:lang w:eastAsia="lt-LT" w:bidi="lt-LT"/>
        </w:rPr>
      </w:pPr>
      <w:r w:rsidRPr="00FB2719">
        <w:rPr>
          <w:sz w:val="22"/>
          <w:szCs w:val="20"/>
          <w:lang w:eastAsia="lt-LT" w:bidi="lt-LT"/>
        </w:rPr>
        <w:t>SN: {numeris}</w:t>
      </w:r>
    </w:p>
    <w:p w14:paraId="20223549" w14:textId="77777777" w:rsidR="00CA08B3" w:rsidRPr="00FB2719" w:rsidRDefault="00CA08B3" w:rsidP="00CA08B3">
      <w:pPr>
        <w:pStyle w:val="BTEMEASMCA"/>
        <w:tabs>
          <w:tab w:val="left" w:pos="567"/>
        </w:tabs>
        <w:rPr>
          <w:snapToGrid w:val="0"/>
          <w:sz w:val="22"/>
        </w:rPr>
      </w:pPr>
      <w:r w:rsidRPr="00FB2719">
        <w:rPr>
          <w:sz w:val="22"/>
          <w:lang w:bidi="lt-LT"/>
        </w:rPr>
        <w:t>NN: {numeris}</w:t>
      </w:r>
      <w:r w:rsidRPr="00FB2719">
        <w:rPr>
          <w:sz w:val="22"/>
          <w:szCs w:val="22"/>
        </w:rPr>
        <w:br w:type="page"/>
      </w:r>
    </w:p>
    <w:p w14:paraId="5B6304D7" w14:textId="77777777" w:rsidR="00CA08B3" w:rsidRPr="00FB2719" w:rsidRDefault="00CA08B3" w:rsidP="00CA08B3">
      <w:pPr>
        <w:pBdr>
          <w:top w:val="single" w:sz="4" w:space="1" w:color="auto"/>
          <w:left w:val="single" w:sz="4" w:space="4" w:color="auto"/>
          <w:bottom w:val="single" w:sz="4" w:space="1" w:color="auto"/>
          <w:right w:val="single" w:sz="4" w:space="4" w:color="auto"/>
        </w:pBdr>
        <w:tabs>
          <w:tab w:val="left" w:pos="0"/>
        </w:tabs>
        <w:spacing w:line="260" w:lineRule="exact"/>
        <w:rPr>
          <w:b/>
          <w:noProof/>
          <w:snapToGrid w:val="0"/>
          <w:sz w:val="22"/>
        </w:rPr>
      </w:pPr>
      <w:r w:rsidRPr="00FB2719">
        <w:rPr>
          <w:b/>
          <w:noProof/>
          <w:snapToGrid w:val="0"/>
          <w:sz w:val="22"/>
        </w:rPr>
        <w:lastRenderedPageBreak/>
        <w:t>MINIMALI INFORMACIJA ANT LIZDINIŲ PLOKŠTELIŲ ARBA DVISLUOKSNIŲ JUOSTELIŲ</w:t>
      </w:r>
    </w:p>
    <w:p w14:paraId="00BD8559" w14:textId="77777777" w:rsidR="00CA08B3" w:rsidRPr="00FB2719" w:rsidRDefault="00CA08B3" w:rsidP="00CA08B3">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napToGrid w:val="0"/>
          <w:sz w:val="22"/>
        </w:rPr>
      </w:pPr>
    </w:p>
    <w:p w14:paraId="01B167A0" w14:textId="77777777" w:rsidR="00CA08B3" w:rsidRPr="00FB2719" w:rsidRDefault="00CA08B3" w:rsidP="00CA08B3">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szCs w:val="20"/>
        </w:rPr>
      </w:pPr>
      <w:r w:rsidRPr="00FB2719">
        <w:rPr>
          <w:b/>
          <w:snapToGrid w:val="0"/>
          <w:sz w:val="22"/>
          <w:szCs w:val="20"/>
        </w:rPr>
        <w:t xml:space="preserve">LIZDINĖ PLOKŠTELĖ </w:t>
      </w:r>
    </w:p>
    <w:p w14:paraId="0DE112C3" w14:textId="77777777" w:rsidR="00CA08B3" w:rsidRPr="00FB2719" w:rsidRDefault="00CA08B3" w:rsidP="00CA08B3">
      <w:pPr>
        <w:tabs>
          <w:tab w:val="left" w:pos="567"/>
        </w:tabs>
        <w:spacing w:line="260" w:lineRule="exact"/>
        <w:rPr>
          <w:snapToGrid w:val="0"/>
          <w:sz w:val="22"/>
          <w:szCs w:val="20"/>
        </w:rPr>
      </w:pPr>
    </w:p>
    <w:p w14:paraId="0E997335" w14:textId="77777777" w:rsidR="00CA08B3" w:rsidRPr="00FB2719" w:rsidRDefault="00CA08B3" w:rsidP="00CA08B3">
      <w:pPr>
        <w:tabs>
          <w:tab w:val="left" w:pos="567"/>
        </w:tabs>
        <w:spacing w:line="260" w:lineRule="exact"/>
        <w:rPr>
          <w:snapToGrid w:val="0"/>
          <w:sz w:val="22"/>
        </w:rPr>
      </w:pPr>
    </w:p>
    <w:p w14:paraId="2FE57177" w14:textId="77777777" w:rsidR="00CA08B3" w:rsidRPr="00FB2719" w:rsidRDefault="00CA08B3" w:rsidP="00CA08B3">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FB2719">
        <w:rPr>
          <w:b/>
          <w:snapToGrid w:val="0"/>
          <w:sz w:val="22"/>
        </w:rPr>
        <w:t>1.</w:t>
      </w:r>
      <w:r w:rsidRPr="00FB2719">
        <w:rPr>
          <w:b/>
          <w:snapToGrid w:val="0"/>
          <w:sz w:val="22"/>
        </w:rPr>
        <w:tab/>
      </w:r>
      <w:r w:rsidRPr="00FB2719">
        <w:rPr>
          <w:b/>
          <w:caps/>
          <w:noProof/>
          <w:snapToGrid w:val="0"/>
          <w:sz w:val="22"/>
        </w:rPr>
        <w:t>VAISTINIO</w:t>
      </w:r>
      <w:r w:rsidRPr="00FB2719">
        <w:rPr>
          <w:b/>
          <w:noProof/>
          <w:snapToGrid w:val="0"/>
          <w:sz w:val="22"/>
        </w:rPr>
        <w:t xml:space="preserve"> PREPARATO PAVADINIMAS</w:t>
      </w:r>
    </w:p>
    <w:p w14:paraId="103E9CB7" w14:textId="77777777" w:rsidR="00CA08B3" w:rsidRPr="00FB2719" w:rsidRDefault="00CA08B3" w:rsidP="00CA08B3">
      <w:pPr>
        <w:pStyle w:val="BTEMEASMCA"/>
        <w:tabs>
          <w:tab w:val="left" w:pos="567"/>
        </w:tabs>
        <w:rPr>
          <w:sz w:val="22"/>
          <w:szCs w:val="22"/>
        </w:rPr>
      </w:pPr>
    </w:p>
    <w:p w14:paraId="4D0ED655" w14:textId="77777777" w:rsidR="00CA08B3" w:rsidRPr="00FB2719" w:rsidRDefault="00CA08B3" w:rsidP="00CA08B3">
      <w:pPr>
        <w:rPr>
          <w:sz w:val="22"/>
          <w:szCs w:val="22"/>
        </w:rPr>
      </w:pPr>
      <w:r w:rsidRPr="00FB2719">
        <w:rPr>
          <w:sz w:val="22"/>
          <w:szCs w:val="22"/>
        </w:rPr>
        <w:t>Lopinavir/Ritonavir Sandoz 200 mg/50 mg plėvele dengtos tabletės</w:t>
      </w:r>
    </w:p>
    <w:p w14:paraId="4D4165C3" w14:textId="77777777" w:rsidR="00CA08B3" w:rsidRPr="00FB2719" w:rsidRDefault="00CA08B3" w:rsidP="00CA08B3">
      <w:pPr>
        <w:pStyle w:val="BTEMEASMCA"/>
        <w:tabs>
          <w:tab w:val="left" w:pos="567"/>
        </w:tabs>
        <w:rPr>
          <w:sz w:val="22"/>
          <w:szCs w:val="22"/>
        </w:rPr>
      </w:pPr>
      <w:r w:rsidRPr="00FB2719">
        <w:rPr>
          <w:sz w:val="22"/>
          <w:szCs w:val="22"/>
        </w:rPr>
        <w:t>Lopinavirum / Ritonavirum</w:t>
      </w:r>
    </w:p>
    <w:p w14:paraId="60E9DB21" w14:textId="77777777" w:rsidR="00CA08B3" w:rsidRPr="00FB2719" w:rsidRDefault="00CA08B3" w:rsidP="00CA08B3">
      <w:pPr>
        <w:tabs>
          <w:tab w:val="left" w:pos="567"/>
        </w:tabs>
        <w:spacing w:line="260" w:lineRule="exact"/>
        <w:rPr>
          <w:snapToGrid w:val="0"/>
          <w:sz w:val="22"/>
        </w:rPr>
      </w:pPr>
    </w:p>
    <w:p w14:paraId="06887368" w14:textId="77777777" w:rsidR="00CA08B3" w:rsidRPr="00FB2719" w:rsidRDefault="00CA08B3" w:rsidP="00CA08B3">
      <w:pPr>
        <w:tabs>
          <w:tab w:val="left" w:pos="567"/>
        </w:tabs>
        <w:spacing w:line="260" w:lineRule="exact"/>
        <w:rPr>
          <w:snapToGrid w:val="0"/>
          <w:sz w:val="22"/>
        </w:rPr>
      </w:pPr>
    </w:p>
    <w:p w14:paraId="3BC01E45" w14:textId="77777777" w:rsidR="00CA08B3" w:rsidRPr="00FB2719" w:rsidRDefault="00CA08B3" w:rsidP="00CA08B3">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FB2719">
        <w:rPr>
          <w:b/>
          <w:snapToGrid w:val="0"/>
          <w:sz w:val="22"/>
        </w:rPr>
        <w:t>2.</w:t>
      </w:r>
      <w:r w:rsidRPr="00FB2719">
        <w:rPr>
          <w:b/>
          <w:snapToGrid w:val="0"/>
          <w:sz w:val="22"/>
        </w:rPr>
        <w:tab/>
      </w:r>
      <w:r w:rsidRPr="00FB2719">
        <w:rPr>
          <w:b/>
          <w:caps/>
          <w:noProof/>
          <w:snapToGrid w:val="0"/>
          <w:sz w:val="22"/>
        </w:rPr>
        <w:t>REGISTRUOTOJO pavadinimas</w:t>
      </w:r>
    </w:p>
    <w:p w14:paraId="54560D77" w14:textId="77777777" w:rsidR="00CA08B3" w:rsidRPr="00FB2719" w:rsidRDefault="00CA08B3" w:rsidP="00CA08B3">
      <w:pPr>
        <w:tabs>
          <w:tab w:val="left" w:pos="567"/>
        </w:tabs>
        <w:spacing w:line="260" w:lineRule="exact"/>
        <w:rPr>
          <w:snapToGrid w:val="0"/>
          <w:sz w:val="22"/>
        </w:rPr>
      </w:pPr>
    </w:p>
    <w:p w14:paraId="044F6441" w14:textId="77777777" w:rsidR="00CA08B3" w:rsidRPr="00FB2719" w:rsidRDefault="00CA08B3" w:rsidP="00CA08B3">
      <w:pPr>
        <w:tabs>
          <w:tab w:val="left" w:pos="567"/>
        </w:tabs>
        <w:spacing w:line="260" w:lineRule="exact"/>
        <w:rPr>
          <w:snapToGrid w:val="0"/>
          <w:sz w:val="22"/>
        </w:rPr>
      </w:pPr>
      <w:r w:rsidRPr="00FB2719">
        <w:rPr>
          <w:noProof/>
          <w:snapToGrid w:val="0"/>
          <w:sz w:val="22"/>
        </w:rPr>
        <w:t>SANDOZ</w:t>
      </w:r>
    </w:p>
    <w:p w14:paraId="74C5B2CE" w14:textId="77777777" w:rsidR="00CA08B3" w:rsidRPr="00FB2719" w:rsidRDefault="00CA08B3" w:rsidP="00CA08B3">
      <w:pPr>
        <w:tabs>
          <w:tab w:val="left" w:pos="567"/>
        </w:tabs>
        <w:spacing w:line="260" w:lineRule="exact"/>
        <w:rPr>
          <w:snapToGrid w:val="0"/>
          <w:sz w:val="22"/>
        </w:rPr>
      </w:pPr>
    </w:p>
    <w:p w14:paraId="5F697495" w14:textId="77777777" w:rsidR="00CA08B3" w:rsidRPr="00FB2719" w:rsidRDefault="00CA08B3" w:rsidP="00CA08B3">
      <w:pPr>
        <w:tabs>
          <w:tab w:val="left" w:pos="567"/>
        </w:tabs>
        <w:spacing w:line="260" w:lineRule="exact"/>
        <w:rPr>
          <w:snapToGrid w:val="0"/>
          <w:sz w:val="22"/>
        </w:rPr>
      </w:pPr>
    </w:p>
    <w:p w14:paraId="6BAA59C2" w14:textId="77777777" w:rsidR="00CA08B3" w:rsidRPr="00FB2719" w:rsidRDefault="00CA08B3" w:rsidP="00CA08B3">
      <w:pPr>
        <w:pBdr>
          <w:top w:val="single" w:sz="4" w:space="1" w:color="auto"/>
          <w:left w:val="single" w:sz="4" w:space="4" w:color="auto"/>
          <w:bottom w:val="single" w:sz="4" w:space="2" w:color="auto"/>
          <w:right w:val="single" w:sz="4" w:space="4" w:color="auto"/>
        </w:pBdr>
        <w:tabs>
          <w:tab w:val="left" w:pos="567"/>
        </w:tabs>
        <w:outlineLvl w:val="0"/>
        <w:rPr>
          <w:b/>
          <w:snapToGrid w:val="0"/>
          <w:sz w:val="22"/>
        </w:rPr>
      </w:pPr>
      <w:r w:rsidRPr="00FB2719">
        <w:rPr>
          <w:b/>
          <w:snapToGrid w:val="0"/>
          <w:sz w:val="22"/>
        </w:rPr>
        <w:t>3.</w:t>
      </w:r>
      <w:r w:rsidRPr="00FB2719">
        <w:rPr>
          <w:b/>
          <w:snapToGrid w:val="0"/>
          <w:sz w:val="22"/>
        </w:rPr>
        <w:tab/>
      </w:r>
      <w:r w:rsidRPr="00FB2719">
        <w:rPr>
          <w:b/>
          <w:noProof/>
          <w:snapToGrid w:val="0"/>
          <w:sz w:val="22"/>
        </w:rPr>
        <w:t>TINKAMUMO LAIKAS</w:t>
      </w:r>
    </w:p>
    <w:p w14:paraId="01425B52" w14:textId="77777777" w:rsidR="00CA08B3" w:rsidRPr="00FB2719" w:rsidRDefault="00CA08B3" w:rsidP="00CA08B3">
      <w:pPr>
        <w:tabs>
          <w:tab w:val="left" w:pos="567"/>
        </w:tabs>
        <w:spacing w:line="260" w:lineRule="exact"/>
        <w:rPr>
          <w:snapToGrid w:val="0"/>
          <w:sz w:val="22"/>
        </w:rPr>
      </w:pPr>
    </w:p>
    <w:p w14:paraId="69B6055F" w14:textId="77777777" w:rsidR="00CA08B3" w:rsidRPr="00FB2719" w:rsidRDefault="00CA08B3" w:rsidP="00CA08B3">
      <w:pPr>
        <w:tabs>
          <w:tab w:val="left" w:pos="567"/>
        </w:tabs>
        <w:spacing w:line="260" w:lineRule="exact"/>
        <w:rPr>
          <w:snapToGrid w:val="0"/>
          <w:sz w:val="22"/>
          <w:szCs w:val="20"/>
        </w:rPr>
      </w:pPr>
      <w:r w:rsidRPr="00AC2616">
        <w:rPr>
          <w:snapToGrid w:val="0"/>
          <w:sz w:val="22"/>
          <w:szCs w:val="20"/>
          <w:highlight w:val="lightGray"/>
        </w:rPr>
        <w:t>EXP</w:t>
      </w:r>
      <w:r w:rsidRPr="00FB2719">
        <w:rPr>
          <w:sz w:val="22"/>
          <w:szCs w:val="22"/>
        </w:rPr>
        <w:t xml:space="preserve"> {mm</w:t>
      </w:r>
      <w:r w:rsidR="008B05BD" w:rsidRPr="00FB2719">
        <w:rPr>
          <w:sz w:val="22"/>
          <w:szCs w:val="22"/>
        </w:rPr>
        <w:t xml:space="preserve"> </w:t>
      </w:r>
      <w:r w:rsidRPr="00FB2719">
        <w:rPr>
          <w:sz w:val="22"/>
          <w:szCs w:val="22"/>
        </w:rPr>
        <w:t>MMMM}</w:t>
      </w:r>
    </w:p>
    <w:p w14:paraId="06F8EA47" w14:textId="77777777" w:rsidR="00CA08B3" w:rsidRPr="00FB2719" w:rsidRDefault="00CA08B3" w:rsidP="00CA08B3">
      <w:pPr>
        <w:tabs>
          <w:tab w:val="left" w:pos="567"/>
        </w:tabs>
        <w:spacing w:line="260" w:lineRule="exact"/>
        <w:rPr>
          <w:snapToGrid w:val="0"/>
          <w:sz w:val="22"/>
          <w:szCs w:val="20"/>
        </w:rPr>
      </w:pPr>
    </w:p>
    <w:p w14:paraId="16405FCA" w14:textId="77777777" w:rsidR="00CA08B3" w:rsidRPr="00FB2719" w:rsidRDefault="00CA08B3" w:rsidP="00CA08B3">
      <w:pPr>
        <w:tabs>
          <w:tab w:val="left" w:pos="567"/>
        </w:tabs>
        <w:spacing w:line="260" w:lineRule="exact"/>
        <w:rPr>
          <w:snapToGrid w:val="0"/>
          <w:sz w:val="22"/>
        </w:rPr>
      </w:pPr>
    </w:p>
    <w:p w14:paraId="3EA7927D" w14:textId="77777777" w:rsidR="00CA08B3" w:rsidRPr="00FB2719" w:rsidRDefault="00CA08B3" w:rsidP="00CA08B3">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FB2719">
        <w:rPr>
          <w:b/>
          <w:snapToGrid w:val="0"/>
          <w:sz w:val="22"/>
        </w:rPr>
        <w:t>4.</w:t>
      </w:r>
      <w:r w:rsidRPr="00FB2719">
        <w:rPr>
          <w:b/>
          <w:snapToGrid w:val="0"/>
          <w:sz w:val="22"/>
        </w:rPr>
        <w:tab/>
      </w:r>
      <w:r w:rsidRPr="00FB2719">
        <w:rPr>
          <w:b/>
          <w:noProof/>
          <w:snapToGrid w:val="0"/>
          <w:sz w:val="22"/>
        </w:rPr>
        <w:t>SERIJOS NUMERIS</w:t>
      </w:r>
    </w:p>
    <w:p w14:paraId="3DAB918A" w14:textId="77777777" w:rsidR="00CA08B3" w:rsidRPr="00FB2719" w:rsidRDefault="00CA08B3" w:rsidP="00CA08B3">
      <w:pPr>
        <w:tabs>
          <w:tab w:val="left" w:pos="567"/>
        </w:tabs>
        <w:spacing w:line="260" w:lineRule="exact"/>
        <w:rPr>
          <w:snapToGrid w:val="0"/>
          <w:sz w:val="22"/>
          <w:szCs w:val="20"/>
        </w:rPr>
      </w:pPr>
      <w:r w:rsidRPr="00FB2719">
        <w:rPr>
          <w:snapToGrid w:val="0"/>
          <w:sz w:val="22"/>
          <w:szCs w:val="20"/>
        </w:rPr>
        <w:t xml:space="preserve"> </w:t>
      </w:r>
    </w:p>
    <w:p w14:paraId="79FB2396" w14:textId="77777777" w:rsidR="00CA08B3" w:rsidRPr="00FB2719" w:rsidRDefault="00CA08B3" w:rsidP="00CA08B3">
      <w:pPr>
        <w:tabs>
          <w:tab w:val="left" w:pos="567"/>
        </w:tabs>
        <w:spacing w:line="260" w:lineRule="exact"/>
        <w:rPr>
          <w:snapToGrid w:val="0"/>
          <w:sz w:val="22"/>
          <w:szCs w:val="20"/>
        </w:rPr>
      </w:pPr>
      <w:r w:rsidRPr="00AC2616">
        <w:rPr>
          <w:snapToGrid w:val="0"/>
          <w:sz w:val="22"/>
          <w:szCs w:val="20"/>
          <w:highlight w:val="lightGray"/>
        </w:rPr>
        <w:t>Lot</w:t>
      </w:r>
      <w:r w:rsidRPr="00FB2719">
        <w:rPr>
          <w:snapToGrid w:val="0"/>
          <w:sz w:val="22"/>
          <w:szCs w:val="20"/>
        </w:rPr>
        <w:t xml:space="preserve"> {numeris}</w:t>
      </w:r>
    </w:p>
    <w:p w14:paraId="32912422" w14:textId="77777777" w:rsidR="00CA08B3" w:rsidRPr="00FB2719" w:rsidRDefault="00CA08B3" w:rsidP="00CA08B3">
      <w:pPr>
        <w:tabs>
          <w:tab w:val="left" w:pos="567"/>
        </w:tabs>
        <w:spacing w:line="260" w:lineRule="exact"/>
        <w:rPr>
          <w:snapToGrid w:val="0"/>
          <w:sz w:val="22"/>
        </w:rPr>
      </w:pPr>
    </w:p>
    <w:p w14:paraId="052402E6" w14:textId="77777777" w:rsidR="00CA08B3" w:rsidRPr="00FB2719" w:rsidRDefault="00CA08B3" w:rsidP="00CA08B3">
      <w:pPr>
        <w:tabs>
          <w:tab w:val="left" w:pos="567"/>
        </w:tabs>
        <w:spacing w:line="260" w:lineRule="exact"/>
        <w:rPr>
          <w:snapToGrid w:val="0"/>
          <w:sz w:val="22"/>
        </w:rPr>
      </w:pPr>
    </w:p>
    <w:p w14:paraId="518FDD2A" w14:textId="77777777" w:rsidR="00CA08B3" w:rsidRPr="00FB2719" w:rsidRDefault="00CA08B3" w:rsidP="00CA08B3">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FB2719">
        <w:rPr>
          <w:b/>
          <w:snapToGrid w:val="0"/>
          <w:sz w:val="22"/>
        </w:rPr>
        <w:t>5.</w:t>
      </w:r>
      <w:r w:rsidRPr="00FB2719">
        <w:rPr>
          <w:b/>
          <w:snapToGrid w:val="0"/>
          <w:sz w:val="22"/>
        </w:rPr>
        <w:tab/>
      </w:r>
      <w:r w:rsidRPr="00FB2719">
        <w:rPr>
          <w:b/>
          <w:noProof/>
          <w:snapToGrid w:val="0"/>
          <w:sz w:val="22"/>
        </w:rPr>
        <w:t>KITA</w:t>
      </w:r>
    </w:p>
    <w:p w14:paraId="17246329" w14:textId="77777777" w:rsidR="00CA08B3" w:rsidRPr="00FB2719" w:rsidRDefault="00CA08B3" w:rsidP="00CA08B3">
      <w:pPr>
        <w:tabs>
          <w:tab w:val="left" w:pos="567"/>
        </w:tabs>
        <w:spacing w:line="260" w:lineRule="exact"/>
        <w:rPr>
          <w:snapToGrid w:val="0"/>
          <w:sz w:val="22"/>
        </w:rPr>
      </w:pPr>
    </w:p>
    <w:p w14:paraId="69FCD9A2" w14:textId="77777777" w:rsidR="00CA08B3" w:rsidRPr="00FB2719" w:rsidRDefault="00CA08B3" w:rsidP="00CA08B3">
      <w:pPr>
        <w:tabs>
          <w:tab w:val="left" w:pos="567"/>
        </w:tabs>
        <w:spacing w:line="260" w:lineRule="exact"/>
        <w:rPr>
          <w:snapToGrid w:val="0"/>
          <w:sz w:val="22"/>
        </w:rPr>
      </w:pPr>
    </w:p>
    <w:p w14:paraId="24360F78" w14:textId="77777777" w:rsidR="00CA08B3" w:rsidRPr="00FB2719" w:rsidRDefault="00CA08B3" w:rsidP="00CA08B3">
      <w:pPr>
        <w:pStyle w:val="PI-1labEMEASMCA"/>
        <w:pBdr>
          <w:bottom w:val="single" w:sz="4" w:space="0" w:color="auto"/>
        </w:pBdr>
        <w:tabs>
          <w:tab w:val="left" w:pos="567"/>
        </w:tabs>
        <w:rPr>
          <w:noProof w:val="0"/>
          <w:sz w:val="22"/>
          <w:szCs w:val="22"/>
        </w:rPr>
      </w:pPr>
      <w:r w:rsidRPr="00FB2719">
        <w:rPr>
          <w:b w:val="0"/>
          <w:snapToGrid w:val="0"/>
          <w:sz w:val="22"/>
        </w:rPr>
        <w:br w:type="page"/>
      </w:r>
      <w:r w:rsidRPr="00FB2719">
        <w:rPr>
          <w:noProof w:val="0"/>
          <w:sz w:val="22"/>
          <w:szCs w:val="22"/>
        </w:rPr>
        <w:lastRenderedPageBreak/>
        <w:t>INFORMACIJA ANT VIDINĖS PAKUOTĖS</w:t>
      </w:r>
    </w:p>
    <w:p w14:paraId="48FC2C7C" w14:textId="77777777" w:rsidR="00CA08B3" w:rsidRPr="00FB2719" w:rsidRDefault="00CA08B3" w:rsidP="00CA08B3">
      <w:pPr>
        <w:pStyle w:val="PI-1labEMEASMCA"/>
        <w:pBdr>
          <w:bottom w:val="single" w:sz="4" w:space="0" w:color="auto"/>
        </w:pBdr>
        <w:tabs>
          <w:tab w:val="left" w:pos="567"/>
        </w:tabs>
        <w:rPr>
          <w:noProof w:val="0"/>
          <w:sz w:val="22"/>
          <w:szCs w:val="22"/>
        </w:rPr>
      </w:pPr>
    </w:p>
    <w:p w14:paraId="0D436C3D" w14:textId="77777777" w:rsidR="00CA08B3" w:rsidRPr="00FB2719" w:rsidRDefault="00CA08B3" w:rsidP="00CA08B3">
      <w:pPr>
        <w:pStyle w:val="PI-1labEMEASMCA"/>
        <w:pBdr>
          <w:bottom w:val="single" w:sz="4" w:space="0" w:color="auto"/>
        </w:pBdr>
        <w:tabs>
          <w:tab w:val="left" w:pos="567"/>
        </w:tabs>
        <w:rPr>
          <w:noProof w:val="0"/>
          <w:sz w:val="22"/>
          <w:szCs w:val="22"/>
        </w:rPr>
      </w:pPr>
      <w:r w:rsidRPr="00FB2719">
        <w:rPr>
          <w:noProof w:val="0"/>
          <w:sz w:val="22"/>
          <w:szCs w:val="22"/>
        </w:rPr>
        <w:t>DTPE BUTELIUKO ETIKETĖ</w:t>
      </w:r>
    </w:p>
    <w:p w14:paraId="6E9C15CE" w14:textId="77777777" w:rsidR="00CA08B3" w:rsidRPr="00FB2719" w:rsidRDefault="00CA08B3" w:rsidP="00CA08B3">
      <w:pPr>
        <w:pStyle w:val="BTEMEASMCA"/>
        <w:tabs>
          <w:tab w:val="left" w:pos="567"/>
        </w:tabs>
        <w:rPr>
          <w:sz w:val="22"/>
          <w:szCs w:val="22"/>
        </w:rPr>
      </w:pPr>
    </w:p>
    <w:p w14:paraId="74FD8222" w14:textId="77777777" w:rsidR="00CA08B3" w:rsidRPr="00FB2719" w:rsidRDefault="00CA08B3" w:rsidP="00CA08B3">
      <w:pPr>
        <w:pStyle w:val="BTEMEASMCA"/>
        <w:tabs>
          <w:tab w:val="left" w:pos="567"/>
        </w:tabs>
        <w:rPr>
          <w:sz w:val="22"/>
          <w:szCs w:val="22"/>
        </w:rPr>
      </w:pPr>
    </w:p>
    <w:p w14:paraId="3C764DC2" w14:textId="77777777" w:rsidR="00CA08B3" w:rsidRPr="00FB2719" w:rsidRDefault="00CA08B3" w:rsidP="00CA08B3">
      <w:pPr>
        <w:pStyle w:val="PI-1labEMEASMCA"/>
        <w:tabs>
          <w:tab w:val="left" w:pos="567"/>
        </w:tabs>
        <w:rPr>
          <w:noProof w:val="0"/>
          <w:sz w:val="22"/>
          <w:szCs w:val="22"/>
        </w:rPr>
      </w:pPr>
      <w:r w:rsidRPr="00FB2719">
        <w:rPr>
          <w:noProof w:val="0"/>
          <w:sz w:val="22"/>
          <w:szCs w:val="22"/>
        </w:rPr>
        <w:t>1.</w:t>
      </w:r>
      <w:r w:rsidRPr="00FB2719">
        <w:rPr>
          <w:noProof w:val="0"/>
          <w:sz w:val="22"/>
          <w:szCs w:val="22"/>
        </w:rPr>
        <w:tab/>
        <w:t>VAISTINIO PREPARATO PAVADINIMAS</w:t>
      </w:r>
    </w:p>
    <w:p w14:paraId="2191EB9D" w14:textId="77777777" w:rsidR="00CA08B3" w:rsidRPr="00FB2719" w:rsidRDefault="00CA08B3" w:rsidP="00CA08B3">
      <w:pPr>
        <w:pStyle w:val="BTEMEASMCA"/>
        <w:tabs>
          <w:tab w:val="left" w:pos="567"/>
        </w:tabs>
        <w:rPr>
          <w:sz w:val="22"/>
          <w:szCs w:val="22"/>
        </w:rPr>
      </w:pPr>
    </w:p>
    <w:p w14:paraId="76089B3B" w14:textId="77777777" w:rsidR="00CA08B3" w:rsidRPr="00FB2719" w:rsidRDefault="00CA08B3" w:rsidP="00CA08B3">
      <w:pPr>
        <w:rPr>
          <w:sz w:val="22"/>
          <w:szCs w:val="22"/>
        </w:rPr>
      </w:pPr>
      <w:r w:rsidRPr="00FB2719">
        <w:rPr>
          <w:sz w:val="22"/>
          <w:szCs w:val="22"/>
        </w:rPr>
        <w:t>Lopinavir/Ritonavir Sandoz 200 mg/50 mg plėvele dengtos tabletės</w:t>
      </w:r>
    </w:p>
    <w:p w14:paraId="4338254A" w14:textId="77777777" w:rsidR="00CA08B3" w:rsidRPr="00FB2719" w:rsidRDefault="00CA08B3" w:rsidP="00CA08B3">
      <w:pPr>
        <w:pStyle w:val="BTEMEASMCA"/>
        <w:tabs>
          <w:tab w:val="left" w:pos="567"/>
        </w:tabs>
        <w:rPr>
          <w:sz w:val="22"/>
          <w:szCs w:val="22"/>
        </w:rPr>
      </w:pPr>
      <w:r w:rsidRPr="00FB2719">
        <w:rPr>
          <w:sz w:val="22"/>
          <w:szCs w:val="22"/>
        </w:rPr>
        <w:t>Lopinavirum / Ritonavirum</w:t>
      </w:r>
    </w:p>
    <w:p w14:paraId="5BFB4F4A" w14:textId="77777777" w:rsidR="00CA08B3" w:rsidRPr="00FB2719" w:rsidRDefault="00CA08B3" w:rsidP="00CA08B3">
      <w:pPr>
        <w:pStyle w:val="BTEMEASMCA"/>
        <w:tabs>
          <w:tab w:val="left" w:pos="567"/>
        </w:tabs>
        <w:rPr>
          <w:sz w:val="22"/>
          <w:szCs w:val="22"/>
        </w:rPr>
      </w:pPr>
    </w:p>
    <w:p w14:paraId="531DA7B1" w14:textId="77777777" w:rsidR="00CA08B3" w:rsidRPr="00FB2719" w:rsidRDefault="00CA08B3" w:rsidP="00CA08B3">
      <w:pPr>
        <w:pStyle w:val="BTEMEASMCA"/>
        <w:tabs>
          <w:tab w:val="left" w:pos="567"/>
        </w:tabs>
        <w:rPr>
          <w:sz w:val="22"/>
          <w:szCs w:val="22"/>
        </w:rPr>
      </w:pPr>
    </w:p>
    <w:p w14:paraId="33B71B07" w14:textId="77777777" w:rsidR="00CA08B3" w:rsidRPr="00FB2719" w:rsidRDefault="00CA08B3" w:rsidP="00CA08B3">
      <w:pPr>
        <w:pStyle w:val="PI-1labEMEASMCA"/>
        <w:tabs>
          <w:tab w:val="left" w:pos="567"/>
        </w:tabs>
        <w:rPr>
          <w:noProof w:val="0"/>
          <w:sz w:val="22"/>
          <w:szCs w:val="22"/>
        </w:rPr>
      </w:pPr>
      <w:r w:rsidRPr="00FB2719">
        <w:rPr>
          <w:noProof w:val="0"/>
          <w:sz w:val="22"/>
          <w:szCs w:val="22"/>
        </w:rPr>
        <w:t>2.</w:t>
      </w:r>
      <w:r w:rsidRPr="00FB2719">
        <w:rPr>
          <w:noProof w:val="0"/>
          <w:sz w:val="22"/>
          <w:szCs w:val="22"/>
        </w:rPr>
        <w:tab/>
      </w:r>
      <w:r w:rsidRPr="00FB2719">
        <w:rPr>
          <w:rFonts w:eastAsia="Times New Roman"/>
          <w:snapToGrid w:val="0"/>
          <w:sz w:val="22"/>
          <w:szCs w:val="24"/>
          <w:lang w:eastAsia="en-US"/>
        </w:rPr>
        <w:t>VEIKLIOJI (-IOS) MEDŽIAGA (-OS) IR JOS (-Ų) KIEKIS (-IAI)</w:t>
      </w:r>
    </w:p>
    <w:p w14:paraId="12949A56" w14:textId="77777777" w:rsidR="00CA08B3" w:rsidRPr="00FB2719" w:rsidRDefault="00CA08B3" w:rsidP="00CA08B3">
      <w:pPr>
        <w:pStyle w:val="BTEMEASMCA"/>
        <w:tabs>
          <w:tab w:val="left" w:pos="567"/>
        </w:tabs>
        <w:rPr>
          <w:sz w:val="22"/>
          <w:szCs w:val="22"/>
        </w:rPr>
      </w:pPr>
    </w:p>
    <w:p w14:paraId="69F190F5" w14:textId="77777777" w:rsidR="00CA08B3" w:rsidRPr="00FB2719" w:rsidRDefault="00CA08B3" w:rsidP="00CA08B3">
      <w:pPr>
        <w:rPr>
          <w:sz w:val="22"/>
          <w:szCs w:val="22"/>
        </w:rPr>
      </w:pPr>
      <w:r w:rsidRPr="00FB2719">
        <w:rPr>
          <w:sz w:val="22"/>
          <w:szCs w:val="22"/>
        </w:rPr>
        <w:t>Kiekvienoje plėvele dengtoje tabletėje yra 200 mg lopinaviro ir 50 mg ritonaviro.</w:t>
      </w:r>
    </w:p>
    <w:p w14:paraId="7352FE49" w14:textId="77777777" w:rsidR="00CA08B3" w:rsidRPr="00FB2719" w:rsidRDefault="00CA08B3" w:rsidP="00CA08B3">
      <w:pPr>
        <w:pStyle w:val="BTEMEASMCA"/>
        <w:tabs>
          <w:tab w:val="left" w:pos="567"/>
        </w:tabs>
        <w:rPr>
          <w:sz w:val="22"/>
          <w:szCs w:val="22"/>
        </w:rPr>
      </w:pPr>
    </w:p>
    <w:p w14:paraId="51F23D51" w14:textId="77777777" w:rsidR="00CA08B3" w:rsidRPr="00FB2719" w:rsidRDefault="00CA08B3" w:rsidP="00CA08B3">
      <w:pPr>
        <w:pStyle w:val="BTEMEASMCA"/>
        <w:tabs>
          <w:tab w:val="left" w:pos="567"/>
        </w:tabs>
        <w:rPr>
          <w:sz w:val="22"/>
          <w:szCs w:val="22"/>
        </w:rPr>
      </w:pPr>
    </w:p>
    <w:p w14:paraId="55271D92" w14:textId="77777777" w:rsidR="00CA08B3" w:rsidRPr="00FB2719" w:rsidRDefault="00CA08B3" w:rsidP="00CA08B3">
      <w:pPr>
        <w:pStyle w:val="PI-1labEMEASMCA"/>
        <w:tabs>
          <w:tab w:val="left" w:pos="567"/>
        </w:tabs>
        <w:rPr>
          <w:noProof w:val="0"/>
          <w:sz w:val="22"/>
          <w:szCs w:val="22"/>
        </w:rPr>
      </w:pPr>
      <w:r w:rsidRPr="00FB2719">
        <w:rPr>
          <w:noProof w:val="0"/>
          <w:sz w:val="22"/>
          <w:szCs w:val="22"/>
        </w:rPr>
        <w:t>3.</w:t>
      </w:r>
      <w:r w:rsidRPr="00FB2719">
        <w:rPr>
          <w:noProof w:val="0"/>
          <w:sz w:val="22"/>
          <w:szCs w:val="22"/>
        </w:rPr>
        <w:tab/>
        <w:t>PAGALBINIŲ MEDŽIAGŲ SĄRAŠAS</w:t>
      </w:r>
    </w:p>
    <w:p w14:paraId="58A65F60" w14:textId="77777777" w:rsidR="00CA08B3" w:rsidRPr="00FB2719" w:rsidRDefault="00CA08B3" w:rsidP="00CA08B3">
      <w:pPr>
        <w:pStyle w:val="BTEMEASMCA"/>
        <w:tabs>
          <w:tab w:val="left" w:pos="567"/>
        </w:tabs>
        <w:rPr>
          <w:sz w:val="22"/>
          <w:szCs w:val="22"/>
        </w:rPr>
      </w:pPr>
    </w:p>
    <w:p w14:paraId="01A5D0F4" w14:textId="77777777" w:rsidR="00CA08B3" w:rsidRPr="00FB2719" w:rsidRDefault="00CA08B3" w:rsidP="00CA08B3">
      <w:pPr>
        <w:pStyle w:val="BTEMEASMCA"/>
        <w:tabs>
          <w:tab w:val="left" w:pos="567"/>
        </w:tabs>
        <w:rPr>
          <w:sz w:val="22"/>
          <w:szCs w:val="22"/>
        </w:rPr>
      </w:pPr>
    </w:p>
    <w:p w14:paraId="514DC368" w14:textId="77777777" w:rsidR="00CA08B3" w:rsidRPr="00FB2719" w:rsidRDefault="00CA08B3" w:rsidP="00CA08B3">
      <w:pPr>
        <w:pStyle w:val="PI-1labEMEASMCA"/>
        <w:tabs>
          <w:tab w:val="left" w:pos="567"/>
        </w:tabs>
        <w:rPr>
          <w:noProof w:val="0"/>
          <w:sz w:val="22"/>
          <w:szCs w:val="22"/>
        </w:rPr>
      </w:pPr>
      <w:r w:rsidRPr="00FB2719">
        <w:rPr>
          <w:noProof w:val="0"/>
          <w:sz w:val="22"/>
          <w:szCs w:val="22"/>
        </w:rPr>
        <w:t>4.</w:t>
      </w:r>
      <w:r w:rsidRPr="00FB2719">
        <w:rPr>
          <w:noProof w:val="0"/>
          <w:sz w:val="22"/>
          <w:szCs w:val="22"/>
        </w:rPr>
        <w:tab/>
        <w:t>FARMACINĖ FORMA IR KIEKIS PAKUOTĖJE</w:t>
      </w:r>
    </w:p>
    <w:p w14:paraId="2F4E516A" w14:textId="77777777" w:rsidR="00CA08B3" w:rsidRPr="00FB2719" w:rsidRDefault="00CA08B3" w:rsidP="00CA08B3">
      <w:pPr>
        <w:rPr>
          <w:sz w:val="22"/>
          <w:szCs w:val="22"/>
        </w:rPr>
      </w:pPr>
    </w:p>
    <w:p w14:paraId="6A960C46" w14:textId="77777777" w:rsidR="00CA08B3" w:rsidRPr="00FB2719" w:rsidRDefault="00CA08B3" w:rsidP="00CA08B3">
      <w:pPr>
        <w:rPr>
          <w:sz w:val="22"/>
          <w:szCs w:val="22"/>
        </w:rPr>
      </w:pPr>
      <w:r w:rsidRPr="00AC2616">
        <w:rPr>
          <w:sz w:val="22"/>
          <w:szCs w:val="22"/>
          <w:highlight w:val="lightGray"/>
        </w:rPr>
        <w:t>Plėvele dengtos tabletės</w:t>
      </w:r>
    </w:p>
    <w:p w14:paraId="1961BF2F" w14:textId="77777777" w:rsidR="00CA08B3" w:rsidRPr="00FB2719" w:rsidRDefault="00CA08B3" w:rsidP="00CA08B3">
      <w:pPr>
        <w:rPr>
          <w:sz w:val="22"/>
          <w:szCs w:val="22"/>
        </w:rPr>
      </w:pPr>
    </w:p>
    <w:p w14:paraId="55F03B2D" w14:textId="77777777" w:rsidR="00CA08B3" w:rsidRPr="00FB2719" w:rsidRDefault="00CA08B3" w:rsidP="00CA08B3">
      <w:pPr>
        <w:rPr>
          <w:sz w:val="22"/>
          <w:szCs w:val="22"/>
        </w:rPr>
      </w:pPr>
      <w:r w:rsidRPr="00FB2719">
        <w:rPr>
          <w:sz w:val="22"/>
          <w:szCs w:val="22"/>
        </w:rPr>
        <w:t xml:space="preserve">120 plėvele dengtų tablečių </w:t>
      </w:r>
    </w:p>
    <w:p w14:paraId="7C1B03A9" w14:textId="77777777" w:rsidR="00CA08B3" w:rsidRPr="00FB2719" w:rsidRDefault="00CA08B3" w:rsidP="00CA08B3">
      <w:pPr>
        <w:rPr>
          <w:sz w:val="22"/>
          <w:szCs w:val="22"/>
        </w:rPr>
      </w:pPr>
    </w:p>
    <w:p w14:paraId="33687430" w14:textId="77777777" w:rsidR="00CA08B3" w:rsidRPr="00FB2719" w:rsidRDefault="00CA08B3" w:rsidP="00CA08B3">
      <w:pPr>
        <w:rPr>
          <w:sz w:val="22"/>
          <w:szCs w:val="22"/>
        </w:rPr>
      </w:pPr>
    </w:p>
    <w:p w14:paraId="493E30C6" w14:textId="77777777" w:rsidR="00CA08B3" w:rsidRPr="00FB2719" w:rsidRDefault="00CA08B3" w:rsidP="00CA08B3">
      <w:pPr>
        <w:pStyle w:val="PI-1labEMEASMCA"/>
        <w:tabs>
          <w:tab w:val="left" w:pos="567"/>
        </w:tabs>
        <w:rPr>
          <w:noProof w:val="0"/>
          <w:sz w:val="22"/>
          <w:szCs w:val="22"/>
        </w:rPr>
      </w:pPr>
      <w:r w:rsidRPr="00FB2719">
        <w:rPr>
          <w:noProof w:val="0"/>
          <w:sz w:val="22"/>
          <w:szCs w:val="22"/>
        </w:rPr>
        <w:t>5.</w:t>
      </w:r>
      <w:r w:rsidRPr="00FB2719">
        <w:rPr>
          <w:noProof w:val="0"/>
          <w:sz w:val="22"/>
          <w:szCs w:val="22"/>
        </w:rPr>
        <w:tab/>
        <w:t>VARTOJIMO METODAS IR BŪDAS (-AI)</w:t>
      </w:r>
    </w:p>
    <w:p w14:paraId="71E205E0" w14:textId="77777777" w:rsidR="00CA08B3" w:rsidRPr="00FB2719" w:rsidRDefault="00CA08B3" w:rsidP="00CA08B3">
      <w:pPr>
        <w:pStyle w:val="BTEMEASMCA"/>
        <w:tabs>
          <w:tab w:val="left" w:pos="567"/>
        </w:tabs>
        <w:rPr>
          <w:sz w:val="22"/>
          <w:szCs w:val="22"/>
        </w:rPr>
      </w:pPr>
    </w:p>
    <w:p w14:paraId="07085C70" w14:textId="77777777" w:rsidR="00CA08B3" w:rsidRPr="00FB2719" w:rsidRDefault="00CA08B3" w:rsidP="00CA08B3">
      <w:pPr>
        <w:pStyle w:val="BTEMEASMCA"/>
        <w:tabs>
          <w:tab w:val="left" w:pos="567"/>
        </w:tabs>
        <w:rPr>
          <w:sz w:val="22"/>
          <w:szCs w:val="22"/>
        </w:rPr>
      </w:pPr>
      <w:r w:rsidRPr="00FB2719">
        <w:rPr>
          <w:sz w:val="22"/>
          <w:szCs w:val="22"/>
        </w:rPr>
        <w:t>Vartoti per burną.</w:t>
      </w:r>
    </w:p>
    <w:p w14:paraId="66CEE41D" w14:textId="77777777" w:rsidR="00CA08B3" w:rsidRPr="00FB2719" w:rsidRDefault="00CA08B3" w:rsidP="00CA08B3">
      <w:pPr>
        <w:pStyle w:val="BTEMEASMCA"/>
        <w:tabs>
          <w:tab w:val="left" w:pos="567"/>
        </w:tabs>
        <w:rPr>
          <w:sz w:val="22"/>
          <w:szCs w:val="22"/>
        </w:rPr>
      </w:pPr>
      <w:r w:rsidRPr="00FB2719">
        <w:rPr>
          <w:sz w:val="22"/>
          <w:szCs w:val="22"/>
        </w:rPr>
        <w:t>Nuryti sveiką.</w:t>
      </w:r>
    </w:p>
    <w:p w14:paraId="2A122BEA" w14:textId="77777777" w:rsidR="00CA08B3" w:rsidRPr="00FB2719" w:rsidRDefault="00CA08B3" w:rsidP="00CA08B3">
      <w:pPr>
        <w:pStyle w:val="BTEMEASMCA"/>
        <w:tabs>
          <w:tab w:val="left" w:pos="567"/>
        </w:tabs>
        <w:rPr>
          <w:sz w:val="22"/>
          <w:szCs w:val="22"/>
        </w:rPr>
      </w:pPr>
      <w:r w:rsidRPr="00FB2719">
        <w:rPr>
          <w:sz w:val="22"/>
          <w:szCs w:val="22"/>
        </w:rPr>
        <w:t>Negalima kramtyti, smulkinti ar laužyti.</w:t>
      </w:r>
    </w:p>
    <w:p w14:paraId="162B81C2" w14:textId="77777777" w:rsidR="00CA08B3" w:rsidRPr="00FB2719" w:rsidRDefault="00CA08B3" w:rsidP="00CA08B3">
      <w:pPr>
        <w:pStyle w:val="BTEMEASMCA"/>
        <w:tabs>
          <w:tab w:val="left" w:pos="567"/>
        </w:tabs>
        <w:rPr>
          <w:sz w:val="22"/>
          <w:szCs w:val="22"/>
        </w:rPr>
      </w:pPr>
    </w:p>
    <w:p w14:paraId="1E1DA979" w14:textId="77777777" w:rsidR="00CA08B3" w:rsidRPr="00FB2719" w:rsidRDefault="00CA08B3" w:rsidP="00CA08B3">
      <w:pPr>
        <w:pStyle w:val="BTEMEASMCA"/>
        <w:tabs>
          <w:tab w:val="left" w:pos="567"/>
        </w:tabs>
        <w:rPr>
          <w:sz w:val="22"/>
          <w:szCs w:val="22"/>
        </w:rPr>
      </w:pPr>
      <w:r w:rsidRPr="00FB2719">
        <w:rPr>
          <w:sz w:val="22"/>
          <w:szCs w:val="22"/>
        </w:rPr>
        <w:t>Prieš vartojimą perskaitykite pakuotės lapelį.</w:t>
      </w:r>
    </w:p>
    <w:p w14:paraId="72FB510F" w14:textId="77777777" w:rsidR="00CA08B3" w:rsidRPr="00FB2719" w:rsidRDefault="00CA08B3" w:rsidP="00CA08B3">
      <w:pPr>
        <w:pStyle w:val="BTEMEASMCA"/>
        <w:tabs>
          <w:tab w:val="left" w:pos="567"/>
        </w:tabs>
        <w:rPr>
          <w:sz w:val="22"/>
          <w:szCs w:val="22"/>
        </w:rPr>
      </w:pPr>
    </w:p>
    <w:p w14:paraId="2E619EF1" w14:textId="77777777" w:rsidR="00CA08B3" w:rsidRPr="00FB2719" w:rsidRDefault="00CA08B3" w:rsidP="00CA08B3">
      <w:pPr>
        <w:pStyle w:val="BTEMEASMCA"/>
        <w:tabs>
          <w:tab w:val="left" w:pos="567"/>
        </w:tabs>
        <w:rPr>
          <w:sz w:val="22"/>
          <w:szCs w:val="22"/>
        </w:rPr>
      </w:pPr>
    </w:p>
    <w:p w14:paraId="721B4C01" w14:textId="77777777" w:rsidR="00CA08B3" w:rsidRPr="00FB2719" w:rsidRDefault="00CA08B3" w:rsidP="00CA08B3">
      <w:pPr>
        <w:pStyle w:val="PI-1labEMEASMCA"/>
        <w:tabs>
          <w:tab w:val="left" w:pos="567"/>
        </w:tabs>
        <w:ind w:left="540" w:hanging="540"/>
        <w:rPr>
          <w:noProof w:val="0"/>
          <w:sz w:val="22"/>
          <w:szCs w:val="22"/>
        </w:rPr>
      </w:pPr>
      <w:r w:rsidRPr="00FB2719">
        <w:rPr>
          <w:noProof w:val="0"/>
          <w:sz w:val="22"/>
          <w:szCs w:val="22"/>
        </w:rPr>
        <w:t>6.</w:t>
      </w:r>
      <w:r w:rsidRPr="00FB2719">
        <w:rPr>
          <w:noProof w:val="0"/>
          <w:sz w:val="22"/>
          <w:szCs w:val="22"/>
        </w:rPr>
        <w:tab/>
        <w:t>SPECIALUS ĮSPĖJIMAS, KAD VAISTINĮ PREPARATĄ BŪTINA LAIKYTI VAIKAMS NEPASTEBIMOJE IR NEPASIEKIAMOJE VIETOJE</w:t>
      </w:r>
    </w:p>
    <w:p w14:paraId="1C3FB502" w14:textId="77777777" w:rsidR="00CA08B3" w:rsidRPr="00FB2719" w:rsidRDefault="00CA08B3" w:rsidP="00CA08B3">
      <w:pPr>
        <w:pStyle w:val="BTEMEASMCA"/>
        <w:tabs>
          <w:tab w:val="left" w:pos="567"/>
        </w:tabs>
        <w:rPr>
          <w:sz w:val="22"/>
          <w:szCs w:val="22"/>
        </w:rPr>
      </w:pPr>
    </w:p>
    <w:p w14:paraId="530FBDE8" w14:textId="77777777" w:rsidR="00CA08B3" w:rsidRPr="00FB2719" w:rsidRDefault="00CA08B3" w:rsidP="00CA08B3">
      <w:pPr>
        <w:pStyle w:val="BTEMEASMCA"/>
        <w:tabs>
          <w:tab w:val="left" w:pos="567"/>
        </w:tabs>
        <w:rPr>
          <w:sz w:val="22"/>
          <w:szCs w:val="22"/>
        </w:rPr>
      </w:pPr>
      <w:r w:rsidRPr="00FB2719">
        <w:rPr>
          <w:sz w:val="22"/>
          <w:szCs w:val="22"/>
        </w:rPr>
        <w:t>Laikyti vaikams nepastebimoje ir nepasiekiamoje vietoje.</w:t>
      </w:r>
    </w:p>
    <w:p w14:paraId="1DF53F41" w14:textId="77777777" w:rsidR="00CA08B3" w:rsidRPr="00FB2719" w:rsidRDefault="00CA08B3" w:rsidP="00CA08B3">
      <w:pPr>
        <w:pStyle w:val="BTEMEASMCA"/>
        <w:tabs>
          <w:tab w:val="left" w:pos="567"/>
        </w:tabs>
        <w:rPr>
          <w:sz w:val="22"/>
          <w:szCs w:val="22"/>
        </w:rPr>
      </w:pPr>
    </w:p>
    <w:p w14:paraId="64886F83" w14:textId="77777777" w:rsidR="00CA08B3" w:rsidRPr="00FB2719" w:rsidRDefault="00CA08B3" w:rsidP="00CA08B3">
      <w:pPr>
        <w:pStyle w:val="BTEMEASMCA"/>
        <w:tabs>
          <w:tab w:val="left" w:pos="567"/>
        </w:tabs>
        <w:rPr>
          <w:sz w:val="22"/>
          <w:szCs w:val="22"/>
        </w:rPr>
      </w:pPr>
    </w:p>
    <w:p w14:paraId="612AD8B1" w14:textId="77777777" w:rsidR="00CA08B3" w:rsidRPr="00FB2719" w:rsidRDefault="00CA08B3" w:rsidP="00CA08B3">
      <w:pPr>
        <w:pStyle w:val="PI-1labEMEASMCA"/>
        <w:tabs>
          <w:tab w:val="left" w:pos="567"/>
        </w:tabs>
        <w:rPr>
          <w:noProof w:val="0"/>
          <w:sz w:val="22"/>
          <w:szCs w:val="22"/>
        </w:rPr>
      </w:pPr>
      <w:r w:rsidRPr="00FB2719">
        <w:rPr>
          <w:noProof w:val="0"/>
          <w:sz w:val="22"/>
          <w:szCs w:val="22"/>
        </w:rPr>
        <w:t>7.</w:t>
      </w:r>
      <w:r w:rsidRPr="00FB2719">
        <w:rPr>
          <w:noProof w:val="0"/>
          <w:sz w:val="22"/>
          <w:szCs w:val="22"/>
        </w:rPr>
        <w:tab/>
        <w:t>KITAS (-I) SPECIALUS (-ŪS) ĮSPĖJIMAS (-AI) (JEI REIKIA)</w:t>
      </w:r>
    </w:p>
    <w:p w14:paraId="43C7F1EA" w14:textId="77777777" w:rsidR="00CA08B3" w:rsidRPr="00FB2719" w:rsidRDefault="00CA08B3" w:rsidP="00CA08B3">
      <w:pPr>
        <w:pStyle w:val="BTEMEASMCA"/>
        <w:tabs>
          <w:tab w:val="left" w:pos="567"/>
        </w:tabs>
        <w:rPr>
          <w:sz w:val="22"/>
          <w:szCs w:val="22"/>
        </w:rPr>
      </w:pPr>
    </w:p>
    <w:p w14:paraId="68988242" w14:textId="77777777" w:rsidR="00CA08B3" w:rsidRPr="00FB2719" w:rsidRDefault="00CA08B3" w:rsidP="00CA08B3">
      <w:pPr>
        <w:pStyle w:val="BTEMEASMCA"/>
        <w:tabs>
          <w:tab w:val="left" w:pos="567"/>
        </w:tabs>
        <w:rPr>
          <w:sz w:val="22"/>
          <w:szCs w:val="22"/>
        </w:rPr>
      </w:pPr>
      <w:r w:rsidRPr="00FB2719">
        <w:rPr>
          <w:sz w:val="22"/>
          <w:szCs w:val="22"/>
        </w:rPr>
        <w:t>Nenurykite sausiklio.</w:t>
      </w:r>
    </w:p>
    <w:p w14:paraId="3DCA1F87" w14:textId="77777777" w:rsidR="00CA08B3" w:rsidRPr="00FB2719" w:rsidRDefault="00CA08B3" w:rsidP="00CA08B3">
      <w:pPr>
        <w:pStyle w:val="BTEMEASMCA"/>
        <w:tabs>
          <w:tab w:val="left" w:pos="567"/>
        </w:tabs>
        <w:rPr>
          <w:sz w:val="22"/>
          <w:szCs w:val="22"/>
        </w:rPr>
      </w:pPr>
    </w:p>
    <w:p w14:paraId="0E285A0F" w14:textId="77777777" w:rsidR="00CA08B3" w:rsidRPr="00FB2719" w:rsidRDefault="00CA08B3" w:rsidP="00CA08B3">
      <w:pPr>
        <w:pStyle w:val="BTEMEASMCA"/>
        <w:tabs>
          <w:tab w:val="left" w:pos="567"/>
        </w:tabs>
        <w:rPr>
          <w:sz w:val="22"/>
          <w:szCs w:val="22"/>
        </w:rPr>
      </w:pPr>
    </w:p>
    <w:p w14:paraId="3D13A706" w14:textId="77777777" w:rsidR="00CA08B3" w:rsidRPr="00FB2719" w:rsidRDefault="00CA08B3" w:rsidP="00CA08B3">
      <w:pPr>
        <w:pStyle w:val="PI-1labEMEASMCA"/>
        <w:tabs>
          <w:tab w:val="left" w:pos="567"/>
        </w:tabs>
        <w:rPr>
          <w:noProof w:val="0"/>
          <w:sz w:val="22"/>
          <w:szCs w:val="22"/>
        </w:rPr>
      </w:pPr>
      <w:r w:rsidRPr="00FB2719">
        <w:rPr>
          <w:noProof w:val="0"/>
          <w:sz w:val="22"/>
          <w:szCs w:val="22"/>
        </w:rPr>
        <w:t>8.</w:t>
      </w:r>
      <w:r w:rsidRPr="00FB2719">
        <w:rPr>
          <w:noProof w:val="0"/>
          <w:sz w:val="22"/>
          <w:szCs w:val="22"/>
        </w:rPr>
        <w:tab/>
        <w:t>TINKAMUMO LAIKAS</w:t>
      </w:r>
    </w:p>
    <w:p w14:paraId="35FB6626" w14:textId="77777777" w:rsidR="00CA08B3" w:rsidRPr="00FB2719" w:rsidRDefault="00CA08B3" w:rsidP="00CA08B3">
      <w:pPr>
        <w:tabs>
          <w:tab w:val="left" w:pos="567"/>
        </w:tabs>
        <w:rPr>
          <w:sz w:val="22"/>
          <w:szCs w:val="22"/>
        </w:rPr>
      </w:pPr>
    </w:p>
    <w:p w14:paraId="088A98E6" w14:textId="0A1DDC1E" w:rsidR="00CA08B3" w:rsidRPr="00FB2719" w:rsidRDefault="00870AAC" w:rsidP="00CA08B3">
      <w:pPr>
        <w:tabs>
          <w:tab w:val="left" w:pos="567"/>
        </w:tabs>
        <w:rPr>
          <w:sz w:val="22"/>
          <w:szCs w:val="22"/>
        </w:rPr>
      </w:pPr>
      <w:r w:rsidRPr="00FB2719">
        <w:rPr>
          <w:sz w:val="22"/>
          <w:szCs w:val="22"/>
        </w:rPr>
        <w:t>EXP</w:t>
      </w:r>
      <w:r w:rsidR="001A2A0E" w:rsidRPr="00FB2719">
        <w:rPr>
          <w:sz w:val="22"/>
          <w:szCs w:val="22"/>
        </w:rPr>
        <w:t xml:space="preserve"> </w:t>
      </w:r>
      <w:r w:rsidR="00CA08B3" w:rsidRPr="00FB2719">
        <w:rPr>
          <w:sz w:val="22"/>
          <w:szCs w:val="22"/>
        </w:rPr>
        <w:t>{mm</w:t>
      </w:r>
      <w:r w:rsidR="008B05BD" w:rsidRPr="00FB2719">
        <w:rPr>
          <w:sz w:val="22"/>
          <w:szCs w:val="22"/>
        </w:rPr>
        <w:t xml:space="preserve"> </w:t>
      </w:r>
      <w:r w:rsidR="00CA08B3" w:rsidRPr="00FB2719">
        <w:rPr>
          <w:sz w:val="22"/>
          <w:szCs w:val="22"/>
        </w:rPr>
        <w:t>MMMM}</w:t>
      </w:r>
    </w:p>
    <w:p w14:paraId="481861E8" w14:textId="77777777" w:rsidR="00CA08B3" w:rsidRPr="00FB2719" w:rsidRDefault="00CA08B3" w:rsidP="00CA08B3">
      <w:pPr>
        <w:tabs>
          <w:tab w:val="left" w:pos="567"/>
        </w:tabs>
        <w:rPr>
          <w:sz w:val="22"/>
          <w:szCs w:val="22"/>
        </w:rPr>
      </w:pPr>
    </w:p>
    <w:p w14:paraId="6A70DD84" w14:textId="77777777" w:rsidR="00CA08B3" w:rsidRPr="00FB2719" w:rsidRDefault="00CA08B3" w:rsidP="00CA08B3">
      <w:pPr>
        <w:tabs>
          <w:tab w:val="left" w:pos="567"/>
        </w:tabs>
        <w:rPr>
          <w:sz w:val="22"/>
          <w:szCs w:val="22"/>
        </w:rPr>
      </w:pPr>
    </w:p>
    <w:p w14:paraId="06EF01CD" w14:textId="77777777" w:rsidR="00CA08B3" w:rsidRPr="00FB2719" w:rsidRDefault="00CA08B3" w:rsidP="00CA08B3">
      <w:pPr>
        <w:pStyle w:val="PI-1labEMEASMCA"/>
        <w:tabs>
          <w:tab w:val="left" w:pos="567"/>
        </w:tabs>
        <w:rPr>
          <w:noProof w:val="0"/>
          <w:sz w:val="22"/>
          <w:szCs w:val="22"/>
        </w:rPr>
      </w:pPr>
      <w:r w:rsidRPr="00FB2719">
        <w:rPr>
          <w:noProof w:val="0"/>
          <w:sz w:val="22"/>
          <w:szCs w:val="22"/>
        </w:rPr>
        <w:t>9.</w:t>
      </w:r>
      <w:r w:rsidRPr="00FB2719">
        <w:rPr>
          <w:noProof w:val="0"/>
          <w:sz w:val="22"/>
          <w:szCs w:val="22"/>
        </w:rPr>
        <w:tab/>
        <w:t>SPECIALIOS LAIKYMO SĄLYGOS</w:t>
      </w:r>
    </w:p>
    <w:p w14:paraId="0DA8C1B3" w14:textId="77777777" w:rsidR="00CA08B3" w:rsidRPr="00FB2719" w:rsidRDefault="00CA08B3" w:rsidP="00CA08B3">
      <w:pPr>
        <w:pStyle w:val="BTEMEASMCA"/>
        <w:tabs>
          <w:tab w:val="left" w:pos="567"/>
        </w:tabs>
        <w:rPr>
          <w:sz w:val="22"/>
          <w:szCs w:val="22"/>
        </w:rPr>
      </w:pPr>
    </w:p>
    <w:p w14:paraId="1E1B97D1" w14:textId="77777777" w:rsidR="00CA08B3" w:rsidRPr="00FB2719" w:rsidRDefault="00CA08B3" w:rsidP="00CA08B3">
      <w:pPr>
        <w:pStyle w:val="PI-1labEMEASMCA"/>
        <w:tabs>
          <w:tab w:val="left" w:pos="567"/>
        </w:tabs>
        <w:ind w:left="540" w:hanging="540"/>
        <w:rPr>
          <w:noProof w:val="0"/>
          <w:sz w:val="22"/>
          <w:szCs w:val="22"/>
        </w:rPr>
      </w:pPr>
      <w:r w:rsidRPr="00FB2719">
        <w:rPr>
          <w:noProof w:val="0"/>
          <w:sz w:val="22"/>
          <w:szCs w:val="22"/>
        </w:rPr>
        <w:t>10.</w:t>
      </w:r>
      <w:r w:rsidRPr="00FB2719">
        <w:rPr>
          <w:noProof w:val="0"/>
          <w:sz w:val="22"/>
          <w:szCs w:val="22"/>
        </w:rPr>
        <w:tab/>
        <w:t xml:space="preserve">SPECIALIOS ATSARGUMO PRIEMONĖS DĖL NESUVARTOTO </w:t>
      </w:r>
      <w:r w:rsidRPr="00FB2719">
        <w:rPr>
          <w:bCs/>
          <w:noProof w:val="0"/>
          <w:sz w:val="22"/>
          <w:szCs w:val="22"/>
        </w:rPr>
        <w:t xml:space="preserve">VAISTINIO PREPARATO AR JO ATLIEKŲ </w:t>
      </w:r>
      <w:r w:rsidRPr="00FB2719">
        <w:rPr>
          <w:noProof w:val="0"/>
          <w:sz w:val="22"/>
          <w:szCs w:val="22"/>
        </w:rPr>
        <w:t>TVARKYMO (JEI REIKIA)</w:t>
      </w:r>
    </w:p>
    <w:p w14:paraId="239BF1B6" w14:textId="77777777" w:rsidR="00CA08B3" w:rsidRPr="00FB2719" w:rsidRDefault="00CA08B3" w:rsidP="00CA08B3">
      <w:pPr>
        <w:pStyle w:val="BTEMEASMCA"/>
        <w:tabs>
          <w:tab w:val="left" w:pos="567"/>
        </w:tabs>
        <w:rPr>
          <w:sz w:val="22"/>
          <w:szCs w:val="22"/>
        </w:rPr>
      </w:pPr>
    </w:p>
    <w:p w14:paraId="3094A338" w14:textId="77777777" w:rsidR="00CA08B3" w:rsidRPr="00FB2719" w:rsidRDefault="00CA08B3" w:rsidP="00CA08B3">
      <w:pPr>
        <w:pStyle w:val="BTEMEASMCA"/>
        <w:tabs>
          <w:tab w:val="left" w:pos="567"/>
        </w:tabs>
        <w:rPr>
          <w:sz w:val="22"/>
          <w:szCs w:val="22"/>
        </w:rPr>
      </w:pPr>
    </w:p>
    <w:p w14:paraId="5146557D" w14:textId="77777777" w:rsidR="00CA08B3" w:rsidRPr="00FB2719" w:rsidRDefault="00CA08B3" w:rsidP="00CA08B3">
      <w:pPr>
        <w:pStyle w:val="PI-1labEMEASMCA"/>
        <w:tabs>
          <w:tab w:val="left" w:pos="567"/>
        </w:tabs>
        <w:rPr>
          <w:noProof w:val="0"/>
          <w:sz w:val="22"/>
          <w:szCs w:val="22"/>
        </w:rPr>
      </w:pPr>
      <w:r w:rsidRPr="00FB2719">
        <w:rPr>
          <w:noProof w:val="0"/>
          <w:sz w:val="22"/>
          <w:szCs w:val="22"/>
        </w:rPr>
        <w:t>11.</w:t>
      </w:r>
      <w:r w:rsidRPr="00FB2719">
        <w:rPr>
          <w:noProof w:val="0"/>
          <w:sz w:val="22"/>
          <w:szCs w:val="22"/>
        </w:rPr>
        <w:tab/>
        <w:t>REGISTRUOTOJO PAVADINIMAS IR ADRESAS</w:t>
      </w:r>
    </w:p>
    <w:p w14:paraId="124A7474" w14:textId="77777777" w:rsidR="00CA08B3" w:rsidRPr="00FB2719" w:rsidRDefault="00CA08B3" w:rsidP="00CA08B3">
      <w:pPr>
        <w:pStyle w:val="BTEMEASMCA"/>
        <w:tabs>
          <w:tab w:val="left" w:pos="567"/>
        </w:tabs>
        <w:rPr>
          <w:b/>
          <w:sz w:val="22"/>
          <w:szCs w:val="22"/>
        </w:rPr>
      </w:pPr>
    </w:p>
    <w:p w14:paraId="4D624A06" w14:textId="77777777" w:rsidR="00CA08B3" w:rsidRPr="00FB2719" w:rsidRDefault="00CA08B3" w:rsidP="00CA08B3">
      <w:pPr>
        <w:tabs>
          <w:tab w:val="left" w:pos="567"/>
        </w:tabs>
        <w:rPr>
          <w:sz w:val="22"/>
          <w:szCs w:val="22"/>
        </w:rPr>
      </w:pPr>
      <w:r w:rsidRPr="00FB2719">
        <w:rPr>
          <w:sz w:val="22"/>
          <w:szCs w:val="22"/>
        </w:rPr>
        <w:t>Sandoz d.d.</w:t>
      </w:r>
    </w:p>
    <w:p w14:paraId="4EBEB7BF" w14:textId="77777777" w:rsidR="00CA08B3" w:rsidRPr="00AC2616" w:rsidRDefault="00CA08B3" w:rsidP="00CA08B3">
      <w:pPr>
        <w:tabs>
          <w:tab w:val="left" w:pos="567"/>
        </w:tabs>
        <w:rPr>
          <w:sz w:val="22"/>
          <w:szCs w:val="22"/>
          <w:highlight w:val="lightGray"/>
        </w:rPr>
      </w:pPr>
      <w:r w:rsidRPr="00AC2616">
        <w:rPr>
          <w:sz w:val="22"/>
          <w:szCs w:val="22"/>
          <w:highlight w:val="lightGray"/>
        </w:rPr>
        <w:t>Verovškova 57</w:t>
      </w:r>
    </w:p>
    <w:p w14:paraId="059C05FD" w14:textId="77777777" w:rsidR="00CA08B3" w:rsidRPr="00AC2616" w:rsidRDefault="00CA08B3" w:rsidP="00CA08B3">
      <w:pPr>
        <w:tabs>
          <w:tab w:val="left" w:pos="567"/>
        </w:tabs>
        <w:rPr>
          <w:sz w:val="22"/>
          <w:szCs w:val="22"/>
          <w:highlight w:val="lightGray"/>
        </w:rPr>
      </w:pPr>
      <w:r w:rsidRPr="00AC2616">
        <w:rPr>
          <w:sz w:val="22"/>
          <w:szCs w:val="22"/>
          <w:highlight w:val="lightGray"/>
        </w:rPr>
        <w:t>SI-1000 Ljubljana</w:t>
      </w:r>
    </w:p>
    <w:p w14:paraId="4D9E6817" w14:textId="77777777" w:rsidR="00CA08B3" w:rsidRPr="00FB2719" w:rsidRDefault="00CA08B3" w:rsidP="00CA08B3">
      <w:pPr>
        <w:tabs>
          <w:tab w:val="left" w:pos="567"/>
        </w:tabs>
        <w:rPr>
          <w:sz w:val="22"/>
          <w:szCs w:val="22"/>
        </w:rPr>
      </w:pPr>
      <w:r w:rsidRPr="00AC2616">
        <w:rPr>
          <w:sz w:val="22"/>
          <w:szCs w:val="22"/>
          <w:highlight w:val="lightGray"/>
        </w:rPr>
        <w:t>Slovėnija</w:t>
      </w:r>
    </w:p>
    <w:p w14:paraId="510C2880" w14:textId="77777777" w:rsidR="00CA08B3" w:rsidRPr="00FB2719" w:rsidRDefault="00CA08B3" w:rsidP="00CA08B3">
      <w:pPr>
        <w:pStyle w:val="BTEMEASMCA"/>
        <w:tabs>
          <w:tab w:val="left" w:pos="567"/>
        </w:tabs>
        <w:rPr>
          <w:sz w:val="22"/>
          <w:szCs w:val="22"/>
        </w:rPr>
      </w:pPr>
    </w:p>
    <w:p w14:paraId="5A7A90CA" w14:textId="77777777" w:rsidR="00CA08B3" w:rsidRPr="00FB2719" w:rsidRDefault="00CA08B3" w:rsidP="00CA08B3">
      <w:pPr>
        <w:pStyle w:val="BTEMEASMCA"/>
        <w:tabs>
          <w:tab w:val="left" w:pos="567"/>
        </w:tabs>
        <w:rPr>
          <w:sz w:val="22"/>
          <w:szCs w:val="22"/>
        </w:rPr>
      </w:pPr>
    </w:p>
    <w:p w14:paraId="2B116A81" w14:textId="77777777" w:rsidR="00CA08B3" w:rsidRPr="00FB2719" w:rsidRDefault="00CA08B3" w:rsidP="00CA08B3">
      <w:pPr>
        <w:pStyle w:val="PI-1labEMEASMCA"/>
        <w:tabs>
          <w:tab w:val="left" w:pos="567"/>
        </w:tabs>
        <w:rPr>
          <w:noProof w:val="0"/>
          <w:sz w:val="22"/>
          <w:szCs w:val="22"/>
        </w:rPr>
      </w:pPr>
      <w:r w:rsidRPr="00FB2719">
        <w:rPr>
          <w:noProof w:val="0"/>
          <w:sz w:val="22"/>
          <w:szCs w:val="22"/>
        </w:rPr>
        <w:t>12.</w:t>
      </w:r>
      <w:r w:rsidRPr="00FB2719">
        <w:rPr>
          <w:noProof w:val="0"/>
          <w:sz w:val="22"/>
          <w:szCs w:val="22"/>
        </w:rPr>
        <w:tab/>
        <w:t xml:space="preserve">REGISTRACIJOS PAŽYMĖJIMO NUMERIS (-IAI) </w:t>
      </w:r>
    </w:p>
    <w:p w14:paraId="562F9786" w14:textId="77777777" w:rsidR="00CA08B3" w:rsidRPr="00FB2719" w:rsidRDefault="00CA08B3" w:rsidP="00CA08B3">
      <w:pPr>
        <w:pStyle w:val="BTEMEASMCA"/>
        <w:tabs>
          <w:tab w:val="left" w:pos="567"/>
        </w:tabs>
        <w:rPr>
          <w:sz w:val="22"/>
          <w:szCs w:val="22"/>
        </w:rPr>
      </w:pPr>
    </w:p>
    <w:p w14:paraId="7AD4E683" w14:textId="77777777" w:rsidR="00CA08B3" w:rsidRPr="00FB2719" w:rsidRDefault="00CA08B3" w:rsidP="00CA08B3">
      <w:pPr>
        <w:rPr>
          <w:bCs/>
          <w:sz w:val="22"/>
        </w:rPr>
      </w:pPr>
      <w:r w:rsidRPr="00FB2719">
        <w:rPr>
          <w:bCs/>
          <w:sz w:val="22"/>
        </w:rPr>
        <w:t>LT/1/15/3757/007</w:t>
      </w:r>
    </w:p>
    <w:p w14:paraId="549C32F0" w14:textId="77777777" w:rsidR="00CA08B3" w:rsidRPr="00FB2719" w:rsidRDefault="00CA08B3" w:rsidP="00CA08B3">
      <w:pPr>
        <w:pStyle w:val="BTEMEASMCA"/>
        <w:tabs>
          <w:tab w:val="left" w:pos="567"/>
        </w:tabs>
        <w:rPr>
          <w:sz w:val="22"/>
          <w:szCs w:val="22"/>
        </w:rPr>
      </w:pPr>
    </w:p>
    <w:p w14:paraId="075B0B11" w14:textId="77777777" w:rsidR="00CA08B3" w:rsidRPr="00FB2719" w:rsidRDefault="00CA08B3" w:rsidP="00CA08B3">
      <w:pPr>
        <w:pStyle w:val="BTEMEASMCA"/>
        <w:tabs>
          <w:tab w:val="left" w:pos="567"/>
        </w:tabs>
        <w:rPr>
          <w:sz w:val="22"/>
          <w:szCs w:val="22"/>
        </w:rPr>
      </w:pPr>
    </w:p>
    <w:p w14:paraId="4AC4318A" w14:textId="77777777" w:rsidR="00CA08B3" w:rsidRPr="00FB2719" w:rsidRDefault="00CA08B3" w:rsidP="00CA08B3">
      <w:pPr>
        <w:pStyle w:val="PI-1labEMEASMCA"/>
        <w:tabs>
          <w:tab w:val="left" w:pos="567"/>
        </w:tabs>
        <w:rPr>
          <w:noProof w:val="0"/>
          <w:sz w:val="22"/>
          <w:szCs w:val="22"/>
        </w:rPr>
      </w:pPr>
      <w:r w:rsidRPr="00FB2719">
        <w:rPr>
          <w:noProof w:val="0"/>
          <w:sz w:val="22"/>
          <w:szCs w:val="22"/>
        </w:rPr>
        <w:t>13.</w:t>
      </w:r>
      <w:r w:rsidRPr="00FB2719">
        <w:rPr>
          <w:noProof w:val="0"/>
          <w:sz w:val="22"/>
          <w:szCs w:val="22"/>
        </w:rPr>
        <w:tab/>
        <w:t>SERIJOS NUMERIS</w:t>
      </w:r>
    </w:p>
    <w:p w14:paraId="63AD54F8" w14:textId="77777777" w:rsidR="00CA08B3" w:rsidRPr="00FB2719" w:rsidRDefault="00CA08B3" w:rsidP="00CA08B3">
      <w:pPr>
        <w:tabs>
          <w:tab w:val="left" w:pos="567"/>
        </w:tabs>
        <w:rPr>
          <w:sz w:val="22"/>
          <w:szCs w:val="22"/>
        </w:rPr>
      </w:pPr>
    </w:p>
    <w:p w14:paraId="0BA1A622" w14:textId="3692238C" w:rsidR="00CA08B3" w:rsidRPr="00FB2719" w:rsidRDefault="00B83AD1" w:rsidP="00CA08B3">
      <w:pPr>
        <w:tabs>
          <w:tab w:val="left" w:pos="567"/>
        </w:tabs>
        <w:rPr>
          <w:sz w:val="22"/>
          <w:szCs w:val="22"/>
        </w:rPr>
      </w:pPr>
      <w:r w:rsidRPr="00FB2719">
        <w:rPr>
          <w:sz w:val="22"/>
          <w:szCs w:val="22"/>
        </w:rPr>
        <w:t xml:space="preserve">Lot </w:t>
      </w:r>
      <w:r w:rsidR="00CA08B3" w:rsidRPr="00FB2719">
        <w:rPr>
          <w:sz w:val="22"/>
          <w:szCs w:val="22"/>
        </w:rPr>
        <w:t>{numeris}</w:t>
      </w:r>
    </w:p>
    <w:p w14:paraId="536F1960" w14:textId="77777777" w:rsidR="00CA08B3" w:rsidRPr="00FB2719" w:rsidRDefault="00CA08B3" w:rsidP="00CA08B3">
      <w:pPr>
        <w:tabs>
          <w:tab w:val="left" w:pos="567"/>
        </w:tabs>
        <w:rPr>
          <w:sz w:val="22"/>
          <w:szCs w:val="22"/>
        </w:rPr>
      </w:pPr>
    </w:p>
    <w:p w14:paraId="682D6C76" w14:textId="77777777" w:rsidR="00CA08B3" w:rsidRPr="00FB2719" w:rsidRDefault="00CA08B3" w:rsidP="00CA08B3">
      <w:pPr>
        <w:tabs>
          <w:tab w:val="left" w:pos="567"/>
        </w:tabs>
        <w:rPr>
          <w:sz w:val="22"/>
          <w:szCs w:val="22"/>
        </w:rPr>
      </w:pPr>
    </w:p>
    <w:p w14:paraId="31A6DCFC" w14:textId="77777777" w:rsidR="00CA08B3" w:rsidRPr="00FB2719" w:rsidRDefault="00CA08B3" w:rsidP="00CA08B3">
      <w:pPr>
        <w:pStyle w:val="PI-1labEMEASMCA"/>
        <w:tabs>
          <w:tab w:val="left" w:pos="567"/>
        </w:tabs>
        <w:rPr>
          <w:noProof w:val="0"/>
          <w:sz w:val="22"/>
          <w:szCs w:val="22"/>
        </w:rPr>
      </w:pPr>
      <w:r w:rsidRPr="00FB2719">
        <w:rPr>
          <w:noProof w:val="0"/>
          <w:sz w:val="22"/>
          <w:szCs w:val="22"/>
        </w:rPr>
        <w:t>14.</w:t>
      </w:r>
      <w:r w:rsidRPr="00FB2719">
        <w:rPr>
          <w:noProof w:val="0"/>
          <w:sz w:val="22"/>
          <w:szCs w:val="22"/>
        </w:rPr>
        <w:tab/>
        <w:t>PARDAVIMO (IŠDAVIMO) TVARKA</w:t>
      </w:r>
    </w:p>
    <w:p w14:paraId="69787B86" w14:textId="77777777" w:rsidR="00CA08B3" w:rsidRPr="00FB2719" w:rsidRDefault="00CA08B3" w:rsidP="00CA08B3">
      <w:pPr>
        <w:pStyle w:val="BTEMEASMCA"/>
        <w:tabs>
          <w:tab w:val="left" w:pos="567"/>
        </w:tabs>
        <w:rPr>
          <w:sz w:val="22"/>
          <w:szCs w:val="22"/>
        </w:rPr>
      </w:pPr>
    </w:p>
    <w:p w14:paraId="4E27A490" w14:textId="77777777" w:rsidR="00CA08B3" w:rsidRPr="00FB2719" w:rsidRDefault="00CA08B3" w:rsidP="00CA08B3">
      <w:pPr>
        <w:pStyle w:val="BTEMEASMCA"/>
        <w:tabs>
          <w:tab w:val="left" w:pos="567"/>
        </w:tabs>
        <w:rPr>
          <w:sz w:val="22"/>
          <w:szCs w:val="22"/>
        </w:rPr>
      </w:pPr>
      <w:r w:rsidRPr="00FB2719">
        <w:rPr>
          <w:sz w:val="22"/>
          <w:szCs w:val="22"/>
        </w:rPr>
        <w:t>Receptinis vaist</w:t>
      </w:r>
      <w:r w:rsidR="00A11A7C" w:rsidRPr="00FB2719">
        <w:rPr>
          <w:sz w:val="22"/>
          <w:szCs w:val="22"/>
        </w:rPr>
        <w:t>as</w:t>
      </w:r>
      <w:r w:rsidRPr="00FB2719">
        <w:rPr>
          <w:sz w:val="22"/>
          <w:szCs w:val="22"/>
        </w:rPr>
        <w:t>.</w:t>
      </w:r>
    </w:p>
    <w:p w14:paraId="61E0FCD4" w14:textId="77777777" w:rsidR="00CA08B3" w:rsidRPr="00FB2719" w:rsidRDefault="00CA08B3" w:rsidP="00CA08B3">
      <w:pPr>
        <w:pStyle w:val="BTEMEASMCA"/>
        <w:tabs>
          <w:tab w:val="left" w:pos="567"/>
        </w:tabs>
        <w:rPr>
          <w:sz w:val="22"/>
          <w:szCs w:val="22"/>
        </w:rPr>
      </w:pPr>
    </w:p>
    <w:p w14:paraId="0F504D06" w14:textId="77777777" w:rsidR="00CA08B3" w:rsidRPr="00FB2719" w:rsidRDefault="00CA08B3" w:rsidP="00CA08B3">
      <w:pPr>
        <w:pStyle w:val="BTEMEASMCA"/>
        <w:tabs>
          <w:tab w:val="left" w:pos="567"/>
        </w:tabs>
        <w:rPr>
          <w:sz w:val="22"/>
          <w:szCs w:val="22"/>
        </w:rPr>
      </w:pPr>
    </w:p>
    <w:p w14:paraId="16A7AA43" w14:textId="77777777" w:rsidR="00CA08B3" w:rsidRPr="00FB2719" w:rsidRDefault="00CA08B3" w:rsidP="00CA08B3">
      <w:pPr>
        <w:pStyle w:val="PI-1labEMEASMCA"/>
        <w:tabs>
          <w:tab w:val="left" w:pos="567"/>
        </w:tabs>
        <w:rPr>
          <w:noProof w:val="0"/>
          <w:sz w:val="22"/>
          <w:szCs w:val="22"/>
        </w:rPr>
      </w:pPr>
      <w:r w:rsidRPr="00FB2719">
        <w:rPr>
          <w:noProof w:val="0"/>
          <w:sz w:val="22"/>
          <w:szCs w:val="22"/>
        </w:rPr>
        <w:t>15.</w:t>
      </w:r>
      <w:r w:rsidRPr="00FB2719">
        <w:rPr>
          <w:noProof w:val="0"/>
          <w:sz w:val="22"/>
          <w:szCs w:val="22"/>
        </w:rPr>
        <w:tab/>
        <w:t>VARTOJIMO INSTRUKCIJA</w:t>
      </w:r>
    </w:p>
    <w:p w14:paraId="393B7FF7" w14:textId="77777777" w:rsidR="00CA08B3" w:rsidRPr="00FB2719" w:rsidRDefault="00CA08B3" w:rsidP="00CA08B3">
      <w:pPr>
        <w:pStyle w:val="BTEMEASMCA"/>
        <w:tabs>
          <w:tab w:val="left" w:pos="567"/>
        </w:tabs>
        <w:rPr>
          <w:sz w:val="22"/>
          <w:szCs w:val="22"/>
        </w:rPr>
      </w:pPr>
    </w:p>
    <w:p w14:paraId="3AA90657" w14:textId="77777777" w:rsidR="00CA08B3" w:rsidRPr="00FB2719" w:rsidRDefault="00CA08B3" w:rsidP="00CA08B3">
      <w:pPr>
        <w:pStyle w:val="BTEMEASMCA"/>
        <w:tabs>
          <w:tab w:val="left" w:pos="567"/>
        </w:tabs>
        <w:rPr>
          <w:sz w:val="22"/>
          <w:szCs w:val="22"/>
        </w:rPr>
      </w:pPr>
    </w:p>
    <w:p w14:paraId="016508C2" w14:textId="77777777" w:rsidR="00CA08B3" w:rsidRPr="00FB2719" w:rsidRDefault="00CA08B3" w:rsidP="00CA08B3">
      <w:pPr>
        <w:pStyle w:val="PI-1labEMEASMCA"/>
        <w:tabs>
          <w:tab w:val="left" w:pos="567"/>
        </w:tabs>
        <w:rPr>
          <w:noProof w:val="0"/>
          <w:sz w:val="22"/>
          <w:szCs w:val="22"/>
        </w:rPr>
      </w:pPr>
      <w:r w:rsidRPr="00FB2719">
        <w:rPr>
          <w:noProof w:val="0"/>
          <w:sz w:val="22"/>
          <w:szCs w:val="22"/>
        </w:rPr>
        <w:t>16.</w:t>
      </w:r>
      <w:r w:rsidRPr="00FB2719">
        <w:rPr>
          <w:noProof w:val="0"/>
          <w:sz w:val="22"/>
          <w:szCs w:val="22"/>
        </w:rPr>
        <w:tab/>
        <w:t>INFORMACIJA BRAILIO RAŠTU</w:t>
      </w:r>
    </w:p>
    <w:p w14:paraId="1C0DA317" w14:textId="77777777" w:rsidR="00CA08B3" w:rsidRPr="00FB2719" w:rsidRDefault="00CA08B3" w:rsidP="00CA08B3">
      <w:pPr>
        <w:pStyle w:val="BTEMEASMCA"/>
        <w:tabs>
          <w:tab w:val="left" w:pos="567"/>
        </w:tabs>
        <w:rPr>
          <w:sz w:val="22"/>
          <w:szCs w:val="22"/>
        </w:rPr>
      </w:pPr>
    </w:p>
    <w:p w14:paraId="52366E11" w14:textId="77777777" w:rsidR="00CA08B3" w:rsidRPr="00FB2719" w:rsidRDefault="00CA08B3" w:rsidP="00CA08B3">
      <w:pPr>
        <w:pStyle w:val="BTEMEASMCA"/>
        <w:tabs>
          <w:tab w:val="left" w:pos="567"/>
        </w:tabs>
        <w:rPr>
          <w:sz w:val="22"/>
          <w:szCs w:val="22"/>
        </w:rPr>
      </w:pPr>
    </w:p>
    <w:p w14:paraId="0D2956D0" w14:textId="77777777" w:rsidR="00CA08B3" w:rsidRPr="00FB2719" w:rsidRDefault="00CA08B3" w:rsidP="00CA08B3">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sz w:val="22"/>
          <w:szCs w:val="20"/>
          <w:lang w:eastAsia="lt-LT" w:bidi="lt-LT"/>
        </w:rPr>
      </w:pPr>
      <w:r w:rsidRPr="00FB2719">
        <w:rPr>
          <w:b/>
          <w:noProof/>
          <w:sz w:val="22"/>
          <w:szCs w:val="20"/>
          <w:lang w:eastAsia="lt-LT" w:bidi="lt-LT"/>
        </w:rPr>
        <w:t>17.</w:t>
      </w:r>
      <w:r w:rsidRPr="00FB2719">
        <w:rPr>
          <w:b/>
          <w:noProof/>
          <w:sz w:val="22"/>
          <w:szCs w:val="20"/>
          <w:lang w:eastAsia="lt-LT" w:bidi="lt-LT"/>
        </w:rPr>
        <w:tab/>
        <w:t>UNIKALUS IDENTIFIKATORIUS – 2D BRŪKŠNINIS KODAS</w:t>
      </w:r>
    </w:p>
    <w:p w14:paraId="05F41014" w14:textId="77777777" w:rsidR="00CA08B3" w:rsidRPr="00FB2719" w:rsidRDefault="00CA08B3" w:rsidP="00CA08B3">
      <w:pPr>
        <w:rPr>
          <w:noProof/>
          <w:sz w:val="22"/>
          <w:szCs w:val="20"/>
          <w:lang w:eastAsia="lt-LT" w:bidi="lt-LT"/>
        </w:rPr>
      </w:pPr>
    </w:p>
    <w:p w14:paraId="7F1990AD" w14:textId="77777777" w:rsidR="00CA08B3" w:rsidRPr="00FB2719" w:rsidRDefault="00CA08B3" w:rsidP="00CA08B3">
      <w:pPr>
        <w:rPr>
          <w:noProof/>
          <w:sz w:val="22"/>
          <w:szCs w:val="20"/>
          <w:lang w:eastAsia="lt-LT" w:bidi="lt-LT"/>
        </w:rPr>
      </w:pPr>
    </w:p>
    <w:p w14:paraId="12D02CA5" w14:textId="77777777" w:rsidR="00CA08B3" w:rsidRPr="00FB2719" w:rsidRDefault="00CA08B3" w:rsidP="00CA08B3">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sz w:val="22"/>
          <w:szCs w:val="20"/>
          <w:lang w:eastAsia="lt-LT" w:bidi="lt-LT"/>
        </w:rPr>
      </w:pPr>
      <w:r w:rsidRPr="00FB2719">
        <w:rPr>
          <w:b/>
          <w:noProof/>
          <w:sz w:val="22"/>
          <w:szCs w:val="20"/>
          <w:lang w:eastAsia="lt-LT" w:bidi="lt-LT"/>
        </w:rPr>
        <w:t>18.</w:t>
      </w:r>
      <w:r w:rsidRPr="00FB2719">
        <w:rPr>
          <w:b/>
          <w:noProof/>
          <w:sz w:val="22"/>
          <w:szCs w:val="20"/>
          <w:lang w:eastAsia="lt-LT" w:bidi="lt-LT"/>
        </w:rPr>
        <w:tab/>
        <w:t>UNIKALUS IDENTIFIKATORIUS – ŽMONĖMS SUPRANTAMI DUOMENYS</w:t>
      </w:r>
    </w:p>
    <w:p w14:paraId="574D69B7" w14:textId="77777777" w:rsidR="00CA08B3" w:rsidRPr="00FB2719" w:rsidRDefault="00CA08B3" w:rsidP="00CA08B3">
      <w:pPr>
        <w:rPr>
          <w:noProof/>
          <w:sz w:val="22"/>
          <w:szCs w:val="20"/>
          <w:lang w:eastAsia="lt-LT" w:bidi="lt-LT"/>
        </w:rPr>
      </w:pPr>
    </w:p>
    <w:p w14:paraId="4FDD7F06" w14:textId="77777777" w:rsidR="00CA08B3" w:rsidRPr="00FB2719" w:rsidRDefault="00CA08B3" w:rsidP="00CA08B3">
      <w:pPr>
        <w:pStyle w:val="BTEMEASMCA"/>
        <w:tabs>
          <w:tab w:val="left" w:pos="567"/>
        </w:tabs>
        <w:rPr>
          <w:sz w:val="22"/>
          <w:szCs w:val="22"/>
        </w:rPr>
      </w:pPr>
    </w:p>
    <w:p w14:paraId="7F5EF872" w14:textId="77777777" w:rsidR="00CA08B3" w:rsidRPr="00FB2719" w:rsidRDefault="00CA08B3" w:rsidP="00CA08B3">
      <w:pPr>
        <w:pStyle w:val="BTEMEASMCA"/>
        <w:tabs>
          <w:tab w:val="left" w:pos="567"/>
        </w:tabs>
        <w:rPr>
          <w:sz w:val="22"/>
          <w:szCs w:val="22"/>
        </w:rPr>
      </w:pPr>
      <w:r w:rsidRPr="00FB2719">
        <w:rPr>
          <w:sz w:val="22"/>
          <w:szCs w:val="22"/>
        </w:rPr>
        <w:br w:type="page"/>
      </w:r>
    </w:p>
    <w:p w14:paraId="796E237F" w14:textId="77777777" w:rsidR="00CA08B3" w:rsidRPr="00FB2719" w:rsidRDefault="00CA08B3" w:rsidP="00CA08B3">
      <w:pPr>
        <w:pStyle w:val="BTEMEASMCA"/>
        <w:tabs>
          <w:tab w:val="left" w:pos="567"/>
        </w:tabs>
        <w:rPr>
          <w:sz w:val="22"/>
          <w:szCs w:val="22"/>
        </w:rPr>
      </w:pPr>
    </w:p>
    <w:p w14:paraId="1154C988" w14:textId="77777777" w:rsidR="00CA08B3" w:rsidRPr="00FB2719" w:rsidRDefault="00CA08B3" w:rsidP="00CA08B3">
      <w:pPr>
        <w:pStyle w:val="BTEMEASMCA"/>
        <w:tabs>
          <w:tab w:val="left" w:pos="567"/>
        </w:tabs>
        <w:rPr>
          <w:sz w:val="22"/>
          <w:szCs w:val="22"/>
        </w:rPr>
      </w:pPr>
    </w:p>
    <w:p w14:paraId="7CC42CC3" w14:textId="77777777" w:rsidR="00CA08B3" w:rsidRPr="00FB2719" w:rsidRDefault="00CA08B3" w:rsidP="00CA08B3">
      <w:pPr>
        <w:pStyle w:val="BTEMEASMCA"/>
        <w:tabs>
          <w:tab w:val="left" w:pos="567"/>
        </w:tabs>
        <w:rPr>
          <w:sz w:val="22"/>
          <w:szCs w:val="22"/>
        </w:rPr>
      </w:pPr>
    </w:p>
    <w:p w14:paraId="0CF62430" w14:textId="77777777" w:rsidR="00CA08B3" w:rsidRPr="00FB2719" w:rsidRDefault="00CA08B3" w:rsidP="00CA08B3">
      <w:pPr>
        <w:pStyle w:val="BTEMEASMCA"/>
        <w:tabs>
          <w:tab w:val="left" w:pos="567"/>
        </w:tabs>
        <w:rPr>
          <w:sz w:val="22"/>
          <w:szCs w:val="22"/>
        </w:rPr>
      </w:pPr>
    </w:p>
    <w:p w14:paraId="59D6F5EA" w14:textId="77777777" w:rsidR="00CA08B3" w:rsidRPr="00FB2719" w:rsidRDefault="00CA08B3" w:rsidP="00CA08B3">
      <w:pPr>
        <w:pStyle w:val="BTEMEASMCA"/>
        <w:tabs>
          <w:tab w:val="left" w:pos="567"/>
        </w:tabs>
        <w:rPr>
          <w:sz w:val="22"/>
          <w:szCs w:val="22"/>
        </w:rPr>
      </w:pPr>
    </w:p>
    <w:p w14:paraId="26A4FFDB" w14:textId="77777777" w:rsidR="00CA08B3" w:rsidRPr="00FB2719" w:rsidRDefault="00CA08B3" w:rsidP="00CA08B3">
      <w:pPr>
        <w:pStyle w:val="BTEMEASMCA"/>
        <w:tabs>
          <w:tab w:val="left" w:pos="567"/>
        </w:tabs>
        <w:rPr>
          <w:sz w:val="22"/>
          <w:szCs w:val="22"/>
        </w:rPr>
      </w:pPr>
    </w:p>
    <w:p w14:paraId="22F832FA" w14:textId="77777777" w:rsidR="00CA08B3" w:rsidRPr="00FB2719" w:rsidRDefault="00CA08B3" w:rsidP="00CA08B3">
      <w:pPr>
        <w:pStyle w:val="BTEMEASMCA"/>
        <w:tabs>
          <w:tab w:val="left" w:pos="567"/>
        </w:tabs>
        <w:rPr>
          <w:sz w:val="22"/>
          <w:szCs w:val="22"/>
        </w:rPr>
      </w:pPr>
    </w:p>
    <w:p w14:paraId="26C86010" w14:textId="77777777" w:rsidR="00CA08B3" w:rsidRPr="00FB2719" w:rsidRDefault="00CA08B3" w:rsidP="00CA08B3">
      <w:pPr>
        <w:pStyle w:val="BTEMEASMCA"/>
        <w:tabs>
          <w:tab w:val="left" w:pos="567"/>
        </w:tabs>
        <w:rPr>
          <w:sz w:val="22"/>
          <w:szCs w:val="22"/>
        </w:rPr>
      </w:pPr>
    </w:p>
    <w:p w14:paraId="701A04F9" w14:textId="77777777" w:rsidR="00CA08B3" w:rsidRPr="00FB2719" w:rsidRDefault="00CA08B3" w:rsidP="00CA08B3">
      <w:pPr>
        <w:pStyle w:val="BTEMEASMCA"/>
        <w:tabs>
          <w:tab w:val="left" w:pos="567"/>
        </w:tabs>
        <w:rPr>
          <w:sz w:val="22"/>
          <w:szCs w:val="22"/>
        </w:rPr>
      </w:pPr>
    </w:p>
    <w:p w14:paraId="313DC962" w14:textId="77777777" w:rsidR="00CA08B3" w:rsidRPr="00FB2719" w:rsidRDefault="00CA08B3" w:rsidP="00CA08B3">
      <w:pPr>
        <w:pStyle w:val="BTEMEASMCA"/>
        <w:tabs>
          <w:tab w:val="left" w:pos="567"/>
        </w:tabs>
        <w:rPr>
          <w:sz w:val="22"/>
          <w:szCs w:val="22"/>
        </w:rPr>
      </w:pPr>
    </w:p>
    <w:p w14:paraId="2A637112" w14:textId="77777777" w:rsidR="00CA08B3" w:rsidRPr="00FB2719" w:rsidRDefault="00CA08B3" w:rsidP="00CA08B3">
      <w:pPr>
        <w:pStyle w:val="BTEMEASMCA"/>
        <w:tabs>
          <w:tab w:val="left" w:pos="567"/>
        </w:tabs>
        <w:rPr>
          <w:sz w:val="22"/>
          <w:szCs w:val="22"/>
        </w:rPr>
      </w:pPr>
    </w:p>
    <w:p w14:paraId="43F5896B" w14:textId="77777777" w:rsidR="00CA08B3" w:rsidRPr="00FB2719" w:rsidRDefault="00CA08B3" w:rsidP="00CA08B3">
      <w:pPr>
        <w:pStyle w:val="BTEMEASMCA"/>
        <w:tabs>
          <w:tab w:val="left" w:pos="567"/>
        </w:tabs>
        <w:rPr>
          <w:sz w:val="22"/>
          <w:szCs w:val="22"/>
        </w:rPr>
      </w:pPr>
    </w:p>
    <w:p w14:paraId="3DA5AB75" w14:textId="77777777" w:rsidR="00CA08B3" w:rsidRPr="00FB2719" w:rsidRDefault="00CA08B3" w:rsidP="00CA08B3">
      <w:pPr>
        <w:pStyle w:val="BTEMEASMCA"/>
        <w:tabs>
          <w:tab w:val="left" w:pos="567"/>
        </w:tabs>
        <w:rPr>
          <w:sz w:val="22"/>
          <w:szCs w:val="22"/>
        </w:rPr>
      </w:pPr>
    </w:p>
    <w:p w14:paraId="17AF7C53" w14:textId="77777777" w:rsidR="00CA08B3" w:rsidRPr="00FB2719" w:rsidRDefault="00CA08B3" w:rsidP="00CA08B3">
      <w:pPr>
        <w:pStyle w:val="BTEMEASMCA"/>
        <w:tabs>
          <w:tab w:val="left" w:pos="567"/>
        </w:tabs>
        <w:rPr>
          <w:sz w:val="22"/>
          <w:szCs w:val="22"/>
        </w:rPr>
      </w:pPr>
    </w:p>
    <w:p w14:paraId="4241474E" w14:textId="77777777" w:rsidR="00CA08B3" w:rsidRPr="00FB2719" w:rsidRDefault="00CA08B3" w:rsidP="00CA08B3">
      <w:pPr>
        <w:pStyle w:val="BTEMEASMCA"/>
        <w:tabs>
          <w:tab w:val="left" w:pos="567"/>
        </w:tabs>
        <w:rPr>
          <w:sz w:val="22"/>
          <w:szCs w:val="22"/>
        </w:rPr>
      </w:pPr>
    </w:p>
    <w:p w14:paraId="5D595C4B" w14:textId="77777777" w:rsidR="00CA08B3" w:rsidRPr="00FB2719" w:rsidRDefault="00CA08B3" w:rsidP="00CA08B3">
      <w:pPr>
        <w:pStyle w:val="BTEMEASMCA"/>
        <w:tabs>
          <w:tab w:val="left" w:pos="567"/>
        </w:tabs>
        <w:rPr>
          <w:sz w:val="22"/>
          <w:szCs w:val="22"/>
        </w:rPr>
      </w:pPr>
    </w:p>
    <w:p w14:paraId="483684BC" w14:textId="77777777" w:rsidR="00CA08B3" w:rsidRPr="00FB2719" w:rsidRDefault="00CA08B3" w:rsidP="00CA08B3">
      <w:pPr>
        <w:pStyle w:val="BTEMEASMCA"/>
        <w:tabs>
          <w:tab w:val="left" w:pos="567"/>
        </w:tabs>
        <w:rPr>
          <w:sz w:val="22"/>
          <w:szCs w:val="22"/>
        </w:rPr>
      </w:pPr>
    </w:p>
    <w:p w14:paraId="6E8EF1D1" w14:textId="77777777" w:rsidR="00CA08B3" w:rsidRPr="00FB2719" w:rsidRDefault="00CA08B3" w:rsidP="00CA08B3">
      <w:pPr>
        <w:pStyle w:val="BTEMEASMCA"/>
        <w:tabs>
          <w:tab w:val="left" w:pos="567"/>
        </w:tabs>
        <w:rPr>
          <w:sz w:val="22"/>
          <w:szCs w:val="22"/>
        </w:rPr>
      </w:pPr>
    </w:p>
    <w:p w14:paraId="7CDFD0BD" w14:textId="77777777" w:rsidR="00CA08B3" w:rsidRPr="00FB2719" w:rsidRDefault="00CA08B3" w:rsidP="00CA08B3">
      <w:pPr>
        <w:pStyle w:val="BTEMEASMCA"/>
        <w:tabs>
          <w:tab w:val="left" w:pos="567"/>
        </w:tabs>
        <w:rPr>
          <w:sz w:val="22"/>
          <w:szCs w:val="22"/>
        </w:rPr>
      </w:pPr>
    </w:p>
    <w:p w14:paraId="3157DF91" w14:textId="77777777" w:rsidR="00CA08B3" w:rsidRPr="00FB2719" w:rsidRDefault="00CA08B3" w:rsidP="00CA08B3">
      <w:pPr>
        <w:pStyle w:val="BTEMEASMCA"/>
        <w:tabs>
          <w:tab w:val="left" w:pos="567"/>
        </w:tabs>
        <w:rPr>
          <w:sz w:val="22"/>
          <w:szCs w:val="22"/>
        </w:rPr>
      </w:pPr>
    </w:p>
    <w:p w14:paraId="13288FBA" w14:textId="77777777" w:rsidR="00CA08B3" w:rsidRPr="00FB2719" w:rsidRDefault="00CA08B3" w:rsidP="00CA08B3">
      <w:pPr>
        <w:pStyle w:val="TTEMEASMCA"/>
        <w:rPr>
          <w:sz w:val="22"/>
          <w:szCs w:val="22"/>
        </w:rPr>
      </w:pPr>
    </w:p>
    <w:p w14:paraId="161E8214" w14:textId="77777777" w:rsidR="00CA08B3" w:rsidRPr="00FB2719" w:rsidRDefault="00CA08B3" w:rsidP="00CA08B3">
      <w:pPr>
        <w:pStyle w:val="TTEMEASMCA"/>
        <w:rPr>
          <w:sz w:val="22"/>
          <w:szCs w:val="22"/>
        </w:rPr>
      </w:pPr>
    </w:p>
    <w:p w14:paraId="2B70F2E3" w14:textId="77777777" w:rsidR="00CA08B3" w:rsidRPr="00FB2719" w:rsidRDefault="00CA08B3" w:rsidP="00CA08B3">
      <w:pPr>
        <w:pStyle w:val="TTEMEASMCA"/>
        <w:rPr>
          <w:sz w:val="22"/>
          <w:szCs w:val="22"/>
        </w:rPr>
      </w:pPr>
      <w:bookmarkStart w:id="10" w:name="_Toc129243262"/>
      <w:bookmarkStart w:id="11" w:name="_Toc129243137"/>
    </w:p>
    <w:p w14:paraId="2722BC18" w14:textId="77777777" w:rsidR="00CA08B3" w:rsidRPr="00FB2719" w:rsidRDefault="00CA08B3" w:rsidP="00CA08B3">
      <w:pPr>
        <w:pStyle w:val="TTEMEASMCA"/>
        <w:rPr>
          <w:sz w:val="22"/>
          <w:szCs w:val="22"/>
        </w:rPr>
      </w:pPr>
      <w:r w:rsidRPr="00FB2719">
        <w:rPr>
          <w:sz w:val="22"/>
          <w:szCs w:val="22"/>
        </w:rPr>
        <w:t>B. PAKUOTĖS LAPELIS</w:t>
      </w:r>
      <w:bookmarkEnd w:id="10"/>
      <w:bookmarkEnd w:id="11"/>
    </w:p>
    <w:p w14:paraId="7A969F16" w14:textId="1F6A71A0" w:rsidR="00CA08B3" w:rsidRPr="00FB2719" w:rsidRDefault="00CA08B3" w:rsidP="00CA08B3">
      <w:pPr>
        <w:tabs>
          <w:tab w:val="left" w:pos="567"/>
        </w:tabs>
        <w:jc w:val="center"/>
        <w:outlineLvl w:val="0"/>
        <w:rPr>
          <w:b/>
          <w:noProof/>
          <w:sz w:val="22"/>
          <w:szCs w:val="22"/>
        </w:rPr>
      </w:pPr>
      <w:r w:rsidRPr="00FB2719">
        <w:rPr>
          <w:sz w:val="22"/>
          <w:szCs w:val="22"/>
        </w:rPr>
        <w:br w:type="page"/>
      </w:r>
      <w:r w:rsidRPr="00FB2719">
        <w:rPr>
          <w:b/>
          <w:bCs/>
          <w:color w:val="000000"/>
          <w:sz w:val="22"/>
          <w:szCs w:val="22"/>
        </w:rPr>
        <w:lastRenderedPageBreak/>
        <w:t xml:space="preserve">Pakuotės lapelis: informacija </w:t>
      </w:r>
      <w:r w:rsidR="00870AAC" w:rsidRPr="00FB2719">
        <w:rPr>
          <w:b/>
          <w:bCs/>
          <w:color w:val="000000"/>
          <w:sz w:val="22"/>
          <w:szCs w:val="22"/>
        </w:rPr>
        <w:t>pacientui</w:t>
      </w:r>
    </w:p>
    <w:p w14:paraId="7F61FBEF" w14:textId="77777777" w:rsidR="00CA08B3" w:rsidRPr="00FB2719" w:rsidRDefault="00CA08B3" w:rsidP="00CA08B3">
      <w:pPr>
        <w:tabs>
          <w:tab w:val="left" w:pos="567"/>
        </w:tabs>
        <w:jc w:val="center"/>
        <w:outlineLvl w:val="0"/>
        <w:rPr>
          <w:b/>
          <w:noProof/>
          <w:sz w:val="22"/>
          <w:szCs w:val="22"/>
        </w:rPr>
      </w:pPr>
    </w:p>
    <w:p w14:paraId="6D0B0438" w14:textId="77777777" w:rsidR="00CA08B3" w:rsidRPr="00FB2719" w:rsidRDefault="00CA08B3" w:rsidP="00CA08B3">
      <w:pPr>
        <w:jc w:val="center"/>
        <w:rPr>
          <w:b/>
          <w:sz w:val="22"/>
          <w:szCs w:val="22"/>
        </w:rPr>
      </w:pPr>
      <w:r w:rsidRPr="00FB2719">
        <w:rPr>
          <w:b/>
          <w:sz w:val="22"/>
          <w:szCs w:val="22"/>
        </w:rPr>
        <w:t>Lopinavir/Ritonavir Sandoz 200 mg/50 mg plėvele dengtos tabletės</w:t>
      </w:r>
    </w:p>
    <w:p w14:paraId="5AADD70C" w14:textId="77777777" w:rsidR="00CA08B3" w:rsidRPr="00FB2719" w:rsidRDefault="00CA08B3" w:rsidP="00CA08B3">
      <w:pPr>
        <w:numPr>
          <w:ilvl w:val="12"/>
          <w:numId w:val="0"/>
        </w:numPr>
        <w:tabs>
          <w:tab w:val="left" w:pos="567"/>
        </w:tabs>
        <w:jc w:val="center"/>
        <w:rPr>
          <w:sz w:val="22"/>
          <w:szCs w:val="22"/>
        </w:rPr>
      </w:pPr>
      <w:r w:rsidRPr="00FB2719">
        <w:rPr>
          <w:sz w:val="22"/>
          <w:szCs w:val="22"/>
        </w:rPr>
        <w:t>Lopinaviras / Ritonaviras</w:t>
      </w:r>
    </w:p>
    <w:p w14:paraId="5A1FC731" w14:textId="77777777" w:rsidR="00CA08B3" w:rsidRPr="00FB2719" w:rsidRDefault="00CA08B3" w:rsidP="00CA08B3">
      <w:pPr>
        <w:numPr>
          <w:ilvl w:val="12"/>
          <w:numId w:val="0"/>
        </w:numPr>
        <w:tabs>
          <w:tab w:val="left" w:pos="567"/>
        </w:tabs>
        <w:jc w:val="center"/>
        <w:rPr>
          <w:sz w:val="22"/>
          <w:szCs w:val="22"/>
        </w:rPr>
      </w:pPr>
    </w:p>
    <w:p w14:paraId="102988DB" w14:textId="77777777" w:rsidR="00CA08B3" w:rsidRPr="00FB2719" w:rsidRDefault="00CA08B3" w:rsidP="00CA08B3">
      <w:pPr>
        <w:tabs>
          <w:tab w:val="left" w:pos="567"/>
        </w:tabs>
        <w:suppressAutoHyphens/>
        <w:rPr>
          <w:b/>
          <w:sz w:val="22"/>
          <w:szCs w:val="22"/>
        </w:rPr>
      </w:pPr>
      <w:r w:rsidRPr="00FB2719">
        <w:rPr>
          <w:b/>
          <w:sz w:val="22"/>
          <w:szCs w:val="22"/>
        </w:rPr>
        <w:t xml:space="preserve">Atidžiai perskaitykite visą šį lapelį, prieš pradėdami vartoti vaistą, nes jame pateikiama Jums </w:t>
      </w:r>
      <w:r w:rsidR="00F5410F" w:rsidRPr="00FB2719">
        <w:rPr>
          <w:b/>
          <w:sz w:val="22"/>
          <w:szCs w:val="22"/>
        </w:rPr>
        <w:t xml:space="preserve"> arba Jūsų vaikui </w:t>
      </w:r>
      <w:r w:rsidRPr="00FB2719">
        <w:rPr>
          <w:b/>
          <w:sz w:val="22"/>
          <w:szCs w:val="22"/>
        </w:rPr>
        <w:t>svarbi informacija.</w:t>
      </w:r>
    </w:p>
    <w:p w14:paraId="2473FC2C" w14:textId="77777777" w:rsidR="00CA08B3" w:rsidRPr="00FB2719" w:rsidRDefault="00CA08B3" w:rsidP="00CA08B3">
      <w:pPr>
        <w:numPr>
          <w:ilvl w:val="0"/>
          <w:numId w:val="6"/>
        </w:numPr>
        <w:tabs>
          <w:tab w:val="left" w:pos="567"/>
        </w:tabs>
        <w:ind w:left="567" w:right="-2" w:hanging="567"/>
        <w:rPr>
          <w:sz w:val="22"/>
          <w:szCs w:val="22"/>
        </w:rPr>
      </w:pPr>
      <w:r w:rsidRPr="00FB2719">
        <w:rPr>
          <w:sz w:val="22"/>
          <w:szCs w:val="22"/>
        </w:rPr>
        <w:t xml:space="preserve">Neišmeskite šio lapelio, nes vėl gali prireikti jį perskaityti. </w:t>
      </w:r>
    </w:p>
    <w:p w14:paraId="109DE9D2" w14:textId="77777777" w:rsidR="00CA08B3" w:rsidRPr="00FB2719" w:rsidRDefault="00CA08B3" w:rsidP="00CA08B3">
      <w:pPr>
        <w:numPr>
          <w:ilvl w:val="0"/>
          <w:numId w:val="6"/>
        </w:numPr>
        <w:tabs>
          <w:tab w:val="left" w:pos="567"/>
        </w:tabs>
        <w:ind w:left="567" w:right="-2" w:hanging="567"/>
        <w:rPr>
          <w:sz w:val="22"/>
          <w:szCs w:val="22"/>
        </w:rPr>
      </w:pPr>
      <w:r w:rsidRPr="00FB2719">
        <w:rPr>
          <w:sz w:val="22"/>
          <w:szCs w:val="22"/>
        </w:rPr>
        <w:t xml:space="preserve">Jeigu kiltų daugiau klausimų, kreipkitės į gydytoją arba vaistininką. </w:t>
      </w:r>
    </w:p>
    <w:p w14:paraId="151FDBDB" w14:textId="77777777" w:rsidR="00CA08B3" w:rsidRPr="00FB2719" w:rsidRDefault="00CA08B3" w:rsidP="00CA08B3">
      <w:pPr>
        <w:numPr>
          <w:ilvl w:val="0"/>
          <w:numId w:val="6"/>
        </w:numPr>
        <w:tabs>
          <w:tab w:val="left" w:pos="567"/>
        </w:tabs>
        <w:ind w:left="567" w:right="-2" w:hanging="567"/>
        <w:rPr>
          <w:sz w:val="22"/>
          <w:szCs w:val="22"/>
        </w:rPr>
      </w:pPr>
      <w:r w:rsidRPr="00FB2719">
        <w:rPr>
          <w:sz w:val="22"/>
          <w:szCs w:val="22"/>
        </w:rPr>
        <w:t>Šis vaistas skirtas tik Jums</w:t>
      </w:r>
      <w:r w:rsidR="00F5410F" w:rsidRPr="00FB2719">
        <w:rPr>
          <w:sz w:val="22"/>
          <w:szCs w:val="22"/>
        </w:rPr>
        <w:t xml:space="preserve"> arba Jūsų vaikui</w:t>
      </w:r>
      <w:r w:rsidRPr="00FB2719">
        <w:rPr>
          <w:sz w:val="22"/>
          <w:szCs w:val="22"/>
        </w:rPr>
        <w:t xml:space="preserve">, todėl kitiems žmonėms jo duoti negalima. Vaistas gali jiems pakenkti (net tiems, kurių ligos požymiai yra tokie patys kaip Jūsų). </w:t>
      </w:r>
    </w:p>
    <w:p w14:paraId="02422DBD" w14:textId="77777777" w:rsidR="00CA08B3" w:rsidRPr="00FB2719" w:rsidRDefault="00CA08B3" w:rsidP="00CA08B3">
      <w:pPr>
        <w:numPr>
          <w:ilvl w:val="0"/>
          <w:numId w:val="6"/>
        </w:numPr>
        <w:tabs>
          <w:tab w:val="left" w:pos="567"/>
        </w:tabs>
        <w:ind w:left="567" w:right="-2" w:hanging="567"/>
        <w:rPr>
          <w:sz w:val="22"/>
          <w:szCs w:val="22"/>
        </w:rPr>
      </w:pPr>
      <w:r w:rsidRPr="00FB2719">
        <w:rPr>
          <w:sz w:val="22"/>
          <w:szCs w:val="22"/>
        </w:rPr>
        <w:t xml:space="preserve">Jeigu pasireiškė šalutinis poveikis (net jeigu jis šiame lapelyje nenurodytas), kreipkitės į gydytoją arba vaistininką. </w:t>
      </w:r>
      <w:r w:rsidRPr="00FB2719">
        <w:rPr>
          <w:noProof/>
          <w:sz w:val="22"/>
          <w:szCs w:val="22"/>
        </w:rPr>
        <w:t>Žr. 4 skyrių.</w:t>
      </w:r>
    </w:p>
    <w:p w14:paraId="3FE16295" w14:textId="77777777" w:rsidR="00CA08B3" w:rsidRPr="00FB2719" w:rsidRDefault="00CA08B3" w:rsidP="00CA08B3">
      <w:pPr>
        <w:tabs>
          <w:tab w:val="left" w:pos="567"/>
        </w:tabs>
        <w:rPr>
          <w:b/>
          <w:sz w:val="22"/>
          <w:szCs w:val="22"/>
        </w:rPr>
      </w:pPr>
    </w:p>
    <w:p w14:paraId="448FCD71" w14:textId="77777777" w:rsidR="00CA08B3" w:rsidRPr="00FB2719" w:rsidRDefault="00CA08B3" w:rsidP="00CA08B3">
      <w:pPr>
        <w:tabs>
          <w:tab w:val="left" w:pos="567"/>
        </w:tabs>
        <w:rPr>
          <w:b/>
          <w:sz w:val="22"/>
          <w:szCs w:val="22"/>
        </w:rPr>
      </w:pPr>
    </w:p>
    <w:p w14:paraId="5BC93454" w14:textId="77777777" w:rsidR="00CA08B3" w:rsidRPr="00FB2719" w:rsidRDefault="00CA08B3" w:rsidP="00CA08B3">
      <w:pPr>
        <w:tabs>
          <w:tab w:val="left" w:pos="567"/>
        </w:tabs>
        <w:rPr>
          <w:b/>
          <w:sz w:val="22"/>
          <w:szCs w:val="22"/>
        </w:rPr>
      </w:pPr>
      <w:r w:rsidRPr="00FB2719">
        <w:rPr>
          <w:b/>
          <w:sz w:val="22"/>
          <w:szCs w:val="22"/>
        </w:rPr>
        <w:t>Apie ką rašoma šiame lapelyje?</w:t>
      </w:r>
    </w:p>
    <w:p w14:paraId="50E950E8" w14:textId="77777777" w:rsidR="00CA08B3" w:rsidRPr="00FB2719" w:rsidRDefault="00CA08B3" w:rsidP="00CA08B3">
      <w:pPr>
        <w:tabs>
          <w:tab w:val="left" w:pos="567"/>
        </w:tabs>
        <w:rPr>
          <w:b/>
          <w:sz w:val="22"/>
          <w:szCs w:val="22"/>
        </w:rPr>
      </w:pPr>
    </w:p>
    <w:p w14:paraId="21D1BEAE" w14:textId="77777777" w:rsidR="00CA08B3" w:rsidRPr="00FB2719" w:rsidRDefault="00CA08B3" w:rsidP="00CA08B3">
      <w:pPr>
        <w:numPr>
          <w:ilvl w:val="12"/>
          <w:numId w:val="0"/>
        </w:numPr>
        <w:tabs>
          <w:tab w:val="left" w:pos="567"/>
        </w:tabs>
        <w:ind w:right="-2"/>
        <w:rPr>
          <w:sz w:val="22"/>
          <w:szCs w:val="22"/>
        </w:rPr>
      </w:pPr>
      <w:r w:rsidRPr="00FB2719">
        <w:rPr>
          <w:sz w:val="22"/>
          <w:szCs w:val="22"/>
        </w:rPr>
        <w:t>1.</w:t>
      </w:r>
      <w:r w:rsidRPr="00FB2719">
        <w:rPr>
          <w:sz w:val="22"/>
          <w:szCs w:val="22"/>
        </w:rPr>
        <w:tab/>
        <w:t xml:space="preserve">Kas yra Lopinavir/Ritonavir Sandoz ir kam jis vartojamas </w:t>
      </w:r>
    </w:p>
    <w:p w14:paraId="068CF05B" w14:textId="77777777" w:rsidR="00CA08B3" w:rsidRPr="00FB2719" w:rsidRDefault="00CA08B3" w:rsidP="00CA08B3">
      <w:pPr>
        <w:numPr>
          <w:ilvl w:val="12"/>
          <w:numId w:val="0"/>
        </w:numPr>
        <w:tabs>
          <w:tab w:val="left" w:pos="567"/>
        </w:tabs>
        <w:ind w:right="-2"/>
        <w:rPr>
          <w:sz w:val="22"/>
          <w:szCs w:val="22"/>
        </w:rPr>
      </w:pPr>
      <w:r w:rsidRPr="00FB2719">
        <w:rPr>
          <w:sz w:val="22"/>
          <w:szCs w:val="22"/>
        </w:rPr>
        <w:t>2.</w:t>
      </w:r>
      <w:r w:rsidRPr="00FB2719">
        <w:rPr>
          <w:sz w:val="22"/>
          <w:szCs w:val="22"/>
        </w:rPr>
        <w:tab/>
        <w:t xml:space="preserve">Kas žinotina prieš </w:t>
      </w:r>
      <w:r w:rsidR="00F5410F" w:rsidRPr="00FB2719">
        <w:rPr>
          <w:sz w:val="22"/>
          <w:szCs w:val="22"/>
        </w:rPr>
        <w:t xml:space="preserve">Jums ar Jūsų vaikui </w:t>
      </w:r>
      <w:r w:rsidRPr="00FB2719">
        <w:rPr>
          <w:sz w:val="22"/>
          <w:szCs w:val="22"/>
        </w:rPr>
        <w:t xml:space="preserve">vartojant Lopinavir/Ritonavir Sandoz </w:t>
      </w:r>
    </w:p>
    <w:p w14:paraId="67ED900C" w14:textId="77777777" w:rsidR="00CA08B3" w:rsidRPr="00FB2719" w:rsidRDefault="00CA08B3" w:rsidP="00CA08B3">
      <w:pPr>
        <w:numPr>
          <w:ilvl w:val="12"/>
          <w:numId w:val="0"/>
        </w:numPr>
        <w:tabs>
          <w:tab w:val="left" w:pos="567"/>
        </w:tabs>
        <w:ind w:right="-2"/>
        <w:rPr>
          <w:sz w:val="22"/>
          <w:szCs w:val="22"/>
        </w:rPr>
      </w:pPr>
      <w:r w:rsidRPr="00FB2719">
        <w:rPr>
          <w:sz w:val="22"/>
          <w:szCs w:val="22"/>
        </w:rPr>
        <w:t>3.</w:t>
      </w:r>
      <w:r w:rsidRPr="00FB2719">
        <w:rPr>
          <w:sz w:val="22"/>
          <w:szCs w:val="22"/>
        </w:rPr>
        <w:tab/>
        <w:t xml:space="preserve">Kaip vartoti Lopinavir/Ritonavir Sandoz </w:t>
      </w:r>
    </w:p>
    <w:p w14:paraId="1FBC1705" w14:textId="77777777" w:rsidR="00CA08B3" w:rsidRPr="00FB2719" w:rsidRDefault="00CA08B3" w:rsidP="00CA08B3">
      <w:pPr>
        <w:numPr>
          <w:ilvl w:val="12"/>
          <w:numId w:val="0"/>
        </w:numPr>
        <w:tabs>
          <w:tab w:val="left" w:pos="567"/>
        </w:tabs>
        <w:ind w:right="-2"/>
        <w:rPr>
          <w:sz w:val="22"/>
          <w:szCs w:val="22"/>
        </w:rPr>
      </w:pPr>
      <w:r w:rsidRPr="00FB2719">
        <w:rPr>
          <w:sz w:val="22"/>
          <w:szCs w:val="22"/>
        </w:rPr>
        <w:t>4.</w:t>
      </w:r>
      <w:r w:rsidRPr="00FB2719">
        <w:rPr>
          <w:sz w:val="22"/>
          <w:szCs w:val="22"/>
        </w:rPr>
        <w:tab/>
        <w:t xml:space="preserve">Galimas šalutinis poveikis </w:t>
      </w:r>
    </w:p>
    <w:p w14:paraId="0DCBDB8F" w14:textId="77777777" w:rsidR="00CA08B3" w:rsidRPr="00FB2719" w:rsidRDefault="00CA08B3" w:rsidP="00CA08B3">
      <w:pPr>
        <w:numPr>
          <w:ilvl w:val="12"/>
          <w:numId w:val="0"/>
        </w:numPr>
        <w:tabs>
          <w:tab w:val="left" w:pos="567"/>
        </w:tabs>
        <w:ind w:right="-2"/>
        <w:rPr>
          <w:sz w:val="22"/>
          <w:szCs w:val="22"/>
        </w:rPr>
      </w:pPr>
      <w:r w:rsidRPr="00FB2719">
        <w:rPr>
          <w:sz w:val="22"/>
          <w:szCs w:val="22"/>
        </w:rPr>
        <w:t>5.</w:t>
      </w:r>
      <w:r w:rsidRPr="00FB2719">
        <w:rPr>
          <w:sz w:val="22"/>
          <w:szCs w:val="22"/>
        </w:rPr>
        <w:tab/>
        <w:t>Kaip laikyti Lopinavir/Ritonavir Sandoz</w:t>
      </w:r>
    </w:p>
    <w:p w14:paraId="60B2AE07" w14:textId="77777777" w:rsidR="00CA08B3" w:rsidRPr="00FB2719" w:rsidRDefault="00CA08B3" w:rsidP="00CA08B3">
      <w:pPr>
        <w:numPr>
          <w:ilvl w:val="12"/>
          <w:numId w:val="0"/>
        </w:numPr>
        <w:tabs>
          <w:tab w:val="left" w:pos="567"/>
        </w:tabs>
        <w:ind w:right="-2"/>
        <w:rPr>
          <w:sz w:val="22"/>
          <w:szCs w:val="22"/>
        </w:rPr>
      </w:pPr>
      <w:r w:rsidRPr="00FB2719">
        <w:rPr>
          <w:sz w:val="22"/>
          <w:szCs w:val="22"/>
        </w:rPr>
        <w:t>6.</w:t>
      </w:r>
      <w:r w:rsidRPr="00FB2719">
        <w:rPr>
          <w:sz w:val="22"/>
          <w:szCs w:val="22"/>
        </w:rPr>
        <w:tab/>
        <w:t>Pakuotės turinys ir kita informacija</w:t>
      </w:r>
    </w:p>
    <w:p w14:paraId="41CB1B68" w14:textId="77777777" w:rsidR="00CA08B3" w:rsidRPr="00FB2719" w:rsidRDefault="00CA08B3" w:rsidP="00CA08B3">
      <w:pPr>
        <w:tabs>
          <w:tab w:val="left" w:pos="567"/>
        </w:tabs>
        <w:rPr>
          <w:sz w:val="22"/>
          <w:szCs w:val="22"/>
        </w:rPr>
      </w:pPr>
    </w:p>
    <w:p w14:paraId="27E74EF5" w14:textId="77777777" w:rsidR="00CA08B3" w:rsidRPr="00FB2719" w:rsidRDefault="00CA08B3" w:rsidP="00CA08B3">
      <w:pPr>
        <w:tabs>
          <w:tab w:val="left" w:pos="567"/>
        </w:tabs>
        <w:rPr>
          <w:sz w:val="22"/>
          <w:szCs w:val="22"/>
        </w:rPr>
      </w:pPr>
    </w:p>
    <w:p w14:paraId="6FCCCF3D" w14:textId="77777777" w:rsidR="00CA08B3" w:rsidRPr="00FB2719" w:rsidRDefault="00CA08B3" w:rsidP="00CA08B3">
      <w:pPr>
        <w:tabs>
          <w:tab w:val="left" w:pos="567"/>
        </w:tabs>
        <w:rPr>
          <w:b/>
          <w:sz w:val="22"/>
          <w:szCs w:val="22"/>
        </w:rPr>
      </w:pPr>
      <w:r w:rsidRPr="00FB2719">
        <w:rPr>
          <w:b/>
          <w:sz w:val="22"/>
          <w:szCs w:val="22"/>
        </w:rPr>
        <w:t>1.</w:t>
      </w:r>
      <w:r w:rsidRPr="00FB2719">
        <w:rPr>
          <w:b/>
          <w:sz w:val="22"/>
          <w:szCs w:val="22"/>
        </w:rPr>
        <w:tab/>
        <w:t>Kas yra Lopinavir/Ritonavir Sandoz ir kam jis vartojamas</w:t>
      </w:r>
    </w:p>
    <w:p w14:paraId="1F3746E1" w14:textId="77777777" w:rsidR="00CA08B3" w:rsidRPr="00FB2719" w:rsidRDefault="00CA08B3" w:rsidP="00CA08B3">
      <w:pPr>
        <w:tabs>
          <w:tab w:val="left" w:pos="567"/>
        </w:tabs>
        <w:rPr>
          <w:sz w:val="22"/>
          <w:szCs w:val="22"/>
        </w:rPr>
      </w:pPr>
    </w:p>
    <w:p w14:paraId="26A6F8FC" w14:textId="77777777" w:rsidR="00CA08B3" w:rsidRPr="00FB2719" w:rsidRDefault="00CA08B3" w:rsidP="00FB2719">
      <w:pPr>
        <w:pStyle w:val="Sraopastraipa"/>
        <w:numPr>
          <w:ilvl w:val="0"/>
          <w:numId w:val="28"/>
        </w:numPr>
        <w:tabs>
          <w:tab w:val="left" w:pos="567"/>
        </w:tabs>
        <w:ind w:left="567" w:right="-2" w:hanging="567"/>
        <w:rPr>
          <w:sz w:val="22"/>
          <w:szCs w:val="22"/>
          <w:lang w:eastAsia="lt-LT"/>
        </w:rPr>
      </w:pPr>
      <w:r w:rsidRPr="00FB2719">
        <w:rPr>
          <w:sz w:val="22"/>
          <w:szCs w:val="22"/>
          <w:lang w:eastAsia="lt-LT"/>
        </w:rPr>
        <w:t>Jūsų gydytojas paskyrė Lopinavir/Ritonavir Sandoz, kad padėtų suvaldyti Jūsų žmogaus imunodeficito viruso (ŽIV) infekciją. Lopinavir/Ritonavir Sandoz tai daro per infekcijos plitimo Jūsų organizme pristabdymą.</w:t>
      </w:r>
    </w:p>
    <w:p w14:paraId="6EAAADD1" w14:textId="3361A733" w:rsidR="00F5410F" w:rsidRPr="00FB2719" w:rsidRDefault="00F5410F" w:rsidP="00FB2719">
      <w:pPr>
        <w:pStyle w:val="Sraopastraipa"/>
        <w:numPr>
          <w:ilvl w:val="0"/>
          <w:numId w:val="28"/>
        </w:numPr>
        <w:tabs>
          <w:tab w:val="left" w:pos="567"/>
        </w:tabs>
        <w:ind w:left="567" w:right="-2" w:hanging="567"/>
        <w:rPr>
          <w:sz w:val="22"/>
          <w:szCs w:val="22"/>
          <w:lang w:eastAsia="lt-LT"/>
        </w:rPr>
      </w:pPr>
      <w:r w:rsidRPr="00FB2719">
        <w:rPr>
          <w:sz w:val="22"/>
          <w:szCs w:val="22"/>
          <w:lang w:eastAsia="lt-LT"/>
        </w:rPr>
        <w:t>Lopinavir/Ritonavir Sandoz negydo nuo ŽIV</w:t>
      </w:r>
      <w:r w:rsidR="006E40DB" w:rsidRPr="00FB2719">
        <w:rPr>
          <w:sz w:val="22"/>
          <w:szCs w:val="22"/>
          <w:lang w:eastAsia="lt-LT"/>
        </w:rPr>
        <w:t xml:space="preserve"> </w:t>
      </w:r>
      <w:r w:rsidR="007E0C4E" w:rsidRPr="00FB2719">
        <w:rPr>
          <w:sz w:val="22"/>
          <w:szCs w:val="22"/>
          <w:lang w:eastAsia="lt-LT"/>
        </w:rPr>
        <w:t xml:space="preserve">infekcijos </w:t>
      </w:r>
      <w:r w:rsidR="006E40DB" w:rsidRPr="00FB2719">
        <w:rPr>
          <w:sz w:val="22"/>
          <w:szCs w:val="22"/>
          <w:lang w:eastAsia="lt-LT"/>
        </w:rPr>
        <w:t xml:space="preserve">arba imuninės sistemos nepakankamumo sindromo (angl. </w:t>
      </w:r>
      <w:r w:rsidR="006E40DB" w:rsidRPr="00FB2719">
        <w:rPr>
          <w:i/>
          <w:sz w:val="22"/>
          <w:szCs w:val="22"/>
          <w:lang w:eastAsia="lt-LT"/>
        </w:rPr>
        <w:t>AIDS</w:t>
      </w:r>
      <w:r w:rsidR="006E40DB" w:rsidRPr="00FB2719">
        <w:rPr>
          <w:sz w:val="22"/>
          <w:szCs w:val="22"/>
          <w:lang w:eastAsia="lt-LT"/>
        </w:rPr>
        <w:t>)</w:t>
      </w:r>
      <w:r w:rsidR="00F82002" w:rsidRPr="00FB2719">
        <w:rPr>
          <w:sz w:val="22"/>
          <w:szCs w:val="22"/>
          <w:lang w:eastAsia="lt-LT"/>
        </w:rPr>
        <w:t>.</w:t>
      </w:r>
    </w:p>
    <w:p w14:paraId="24DB15B3" w14:textId="3685E6FA" w:rsidR="00CA08B3" w:rsidRPr="00FB2719" w:rsidRDefault="00CA08B3" w:rsidP="00CA08B3">
      <w:pPr>
        <w:numPr>
          <w:ilvl w:val="0"/>
          <w:numId w:val="7"/>
        </w:numPr>
        <w:tabs>
          <w:tab w:val="left" w:pos="567"/>
        </w:tabs>
        <w:ind w:left="567" w:right="-2" w:hanging="567"/>
        <w:rPr>
          <w:sz w:val="22"/>
          <w:szCs w:val="22"/>
          <w:lang w:eastAsia="lt-LT"/>
        </w:rPr>
      </w:pPr>
      <w:r w:rsidRPr="00FB2719">
        <w:rPr>
          <w:sz w:val="22"/>
          <w:szCs w:val="22"/>
          <w:lang w:eastAsia="lt-LT"/>
        </w:rPr>
        <w:t>Lopinavir/Ritonavir Sandoz skiriamas 2</w:t>
      </w:r>
      <w:r w:rsidR="005B415B" w:rsidRPr="00FB2719">
        <w:rPr>
          <w:sz w:val="22"/>
          <w:szCs w:val="22"/>
          <w:lang w:eastAsia="lt-LT"/>
        </w:rPr>
        <w:t> </w:t>
      </w:r>
      <w:r w:rsidRPr="00FB2719">
        <w:rPr>
          <w:sz w:val="22"/>
          <w:szCs w:val="22"/>
          <w:lang w:eastAsia="lt-LT"/>
        </w:rPr>
        <w:t xml:space="preserve">metų arba vyresniems vaikams, paaugliams ir suaugusiesiems, kurie yra infekuoti ŽIV, t. y. virusu AIDS. </w:t>
      </w:r>
    </w:p>
    <w:p w14:paraId="03DC47BA" w14:textId="77777777" w:rsidR="00CA08B3" w:rsidRPr="00FB2719" w:rsidRDefault="00CA08B3" w:rsidP="00CA08B3">
      <w:pPr>
        <w:numPr>
          <w:ilvl w:val="0"/>
          <w:numId w:val="7"/>
        </w:numPr>
        <w:tabs>
          <w:tab w:val="left" w:pos="567"/>
        </w:tabs>
        <w:ind w:left="567" w:right="-2" w:hanging="567"/>
        <w:rPr>
          <w:sz w:val="22"/>
          <w:szCs w:val="22"/>
          <w:lang w:eastAsia="lt-LT"/>
        </w:rPr>
      </w:pPr>
      <w:r w:rsidRPr="00FB2719">
        <w:rPr>
          <w:sz w:val="22"/>
          <w:szCs w:val="22"/>
          <w:lang w:eastAsia="lt-LT"/>
        </w:rPr>
        <w:t>Lopinavir/Ritonavir Sandoz sudėtyje yra dvi veikliosios medžiagos – lopinaviras ir ritonaviras. Lopinavir/Ritonavir Sandoz yra antiretrovirusinis vaistas. Jis priklauso proteazės inhibitoriais vadinamų vaistų grupei.</w:t>
      </w:r>
    </w:p>
    <w:p w14:paraId="34B859ED" w14:textId="77777777" w:rsidR="00CA08B3" w:rsidRPr="00FB2719" w:rsidRDefault="00CA08B3" w:rsidP="00CA08B3">
      <w:pPr>
        <w:numPr>
          <w:ilvl w:val="0"/>
          <w:numId w:val="7"/>
        </w:numPr>
        <w:tabs>
          <w:tab w:val="left" w:pos="567"/>
        </w:tabs>
        <w:ind w:left="567" w:right="-2" w:hanging="567"/>
        <w:rPr>
          <w:sz w:val="22"/>
          <w:szCs w:val="22"/>
          <w:lang w:eastAsia="lt-LT"/>
        </w:rPr>
      </w:pPr>
      <w:r w:rsidRPr="00FB2719">
        <w:rPr>
          <w:sz w:val="22"/>
          <w:szCs w:val="22"/>
          <w:lang w:eastAsia="lt-LT"/>
        </w:rPr>
        <w:t>Lopinavir/Ritonavir Sandoz skiriamas kartu su kitais antivirusiniais vaistais. Gydytojas apsvarstys su Jumis ir nuspręs, kuris vaistas Jums labiausiai tinka.</w:t>
      </w:r>
    </w:p>
    <w:p w14:paraId="1F5EAB25" w14:textId="77777777" w:rsidR="00CA08B3" w:rsidRPr="00FB2719" w:rsidRDefault="00CA08B3" w:rsidP="00CA08B3">
      <w:pPr>
        <w:tabs>
          <w:tab w:val="left" w:pos="567"/>
        </w:tabs>
        <w:ind w:right="-2"/>
        <w:rPr>
          <w:sz w:val="22"/>
          <w:szCs w:val="22"/>
        </w:rPr>
      </w:pPr>
    </w:p>
    <w:p w14:paraId="0DD88050" w14:textId="77777777" w:rsidR="00CA08B3" w:rsidRPr="00FB2719" w:rsidRDefault="00CA08B3" w:rsidP="00CA08B3">
      <w:pPr>
        <w:numPr>
          <w:ilvl w:val="12"/>
          <w:numId w:val="0"/>
        </w:numPr>
        <w:tabs>
          <w:tab w:val="left" w:pos="567"/>
        </w:tabs>
        <w:ind w:right="-2"/>
        <w:rPr>
          <w:sz w:val="22"/>
          <w:szCs w:val="22"/>
        </w:rPr>
      </w:pPr>
    </w:p>
    <w:bookmarkEnd w:id="6"/>
    <w:bookmarkEnd w:id="7"/>
    <w:p w14:paraId="45BF36AF" w14:textId="77777777" w:rsidR="00CA08B3" w:rsidRPr="00FB2719" w:rsidRDefault="00CA08B3" w:rsidP="00CA08B3">
      <w:pPr>
        <w:tabs>
          <w:tab w:val="left" w:pos="567"/>
        </w:tabs>
        <w:ind w:left="540" w:hanging="540"/>
        <w:jc w:val="both"/>
        <w:rPr>
          <w:b/>
          <w:bCs/>
          <w:i/>
          <w:iCs/>
          <w:sz w:val="22"/>
          <w:szCs w:val="22"/>
        </w:rPr>
      </w:pPr>
      <w:r w:rsidRPr="00FB2719">
        <w:rPr>
          <w:b/>
          <w:bCs/>
          <w:sz w:val="22"/>
          <w:szCs w:val="22"/>
        </w:rPr>
        <w:t>2.</w:t>
      </w:r>
      <w:r w:rsidRPr="00FB2719">
        <w:rPr>
          <w:b/>
          <w:bCs/>
          <w:sz w:val="22"/>
          <w:szCs w:val="22"/>
        </w:rPr>
        <w:tab/>
      </w:r>
      <w:r w:rsidRPr="00FB2719">
        <w:rPr>
          <w:b/>
          <w:sz w:val="22"/>
          <w:szCs w:val="22"/>
        </w:rPr>
        <w:t xml:space="preserve">Kas žinotina prieš vartojant </w:t>
      </w:r>
      <w:r w:rsidR="006E40DB" w:rsidRPr="00FB2719">
        <w:rPr>
          <w:b/>
          <w:sz w:val="22"/>
          <w:szCs w:val="22"/>
        </w:rPr>
        <w:t xml:space="preserve">Jums ar Jūsų vaikui </w:t>
      </w:r>
      <w:r w:rsidRPr="00FB2719">
        <w:rPr>
          <w:b/>
          <w:sz w:val="22"/>
          <w:szCs w:val="22"/>
        </w:rPr>
        <w:t>Lopinavir/Ritonavir Sandoz</w:t>
      </w:r>
    </w:p>
    <w:p w14:paraId="53A1A533" w14:textId="77777777" w:rsidR="00CA08B3" w:rsidRPr="00FB2719" w:rsidRDefault="00CA08B3" w:rsidP="00CA08B3">
      <w:pPr>
        <w:tabs>
          <w:tab w:val="left" w:pos="567"/>
        </w:tabs>
        <w:jc w:val="both"/>
        <w:rPr>
          <w:b/>
          <w:bCs/>
          <w:sz w:val="22"/>
          <w:szCs w:val="22"/>
        </w:rPr>
      </w:pPr>
    </w:p>
    <w:p w14:paraId="7B4B7642" w14:textId="77777777" w:rsidR="00CA08B3" w:rsidRPr="00FB2719" w:rsidRDefault="00CA08B3" w:rsidP="00CA08B3">
      <w:pPr>
        <w:tabs>
          <w:tab w:val="left" w:pos="567"/>
        </w:tabs>
        <w:rPr>
          <w:b/>
          <w:sz w:val="22"/>
          <w:szCs w:val="22"/>
        </w:rPr>
      </w:pPr>
      <w:r w:rsidRPr="00FB2719">
        <w:rPr>
          <w:b/>
          <w:sz w:val="22"/>
          <w:szCs w:val="22"/>
        </w:rPr>
        <w:t>Lopinavir/Ritonavir Sandoz vartoti negalima:</w:t>
      </w:r>
    </w:p>
    <w:p w14:paraId="1904AEED" w14:textId="77777777" w:rsidR="00CA08B3" w:rsidRPr="00FB2719" w:rsidRDefault="00CA08B3" w:rsidP="00CA08B3">
      <w:pPr>
        <w:numPr>
          <w:ilvl w:val="0"/>
          <w:numId w:val="8"/>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jeigu yra alergija lopinavirui, ritonavirui arba bet kuriai pagalbinei šio vaisto medžiagai (jos išvardytos 6 skyriuje); </w:t>
      </w:r>
    </w:p>
    <w:p w14:paraId="63B771C4" w14:textId="77777777" w:rsidR="00CA08B3" w:rsidRPr="00FB2719" w:rsidRDefault="00CA08B3" w:rsidP="00CA08B3">
      <w:pPr>
        <w:numPr>
          <w:ilvl w:val="0"/>
          <w:numId w:val="8"/>
        </w:numPr>
        <w:tabs>
          <w:tab w:val="left" w:pos="567"/>
        </w:tabs>
        <w:ind w:left="567" w:hanging="567"/>
        <w:rPr>
          <w:sz w:val="22"/>
          <w:szCs w:val="22"/>
          <w:lang w:eastAsia="lt-LT"/>
        </w:rPr>
      </w:pPr>
      <w:r w:rsidRPr="00FB2719">
        <w:rPr>
          <w:rFonts w:eastAsia="Calibri"/>
          <w:color w:val="000000"/>
          <w:sz w:val="22"/>
          <w:szCs w:val="22"/>
          <w:lang w:eastAsia="lt-LT"/>
        </w:rPr>
        <w:t>jeigu sergate sunkia kepenų liga.</w:t>
      </w:r>
    </w:p>
    <w:p w14:paraId="0F946AD6" w14:textId="77777777" w:rsidR="00CA08B3" w:rsidRPr="00FB2719" w:rsidRDefault="00CA08B3" w:rsidP="00CA08B3">
      <w:pPr>
        <w:tabs>
          <w:tab w:val="left" w:pos="567"/>
        </w:tabs>
        <w:rPr>
          <w:b/>
          <w:sz w:val="22"/>
          <w:szCs w:val="22"/>
        </w:rPr>
      </w:pPr>
    </w:p>
    <w:p w14:paraId="4BD3462B" w14:textId="77777777" w:rsidR="00CA08B3" w:rsidRPr="00FB2719" w:rsidRDefault="00CA08B3" w:rsidP="00CA08B3">
      <w:pPr>
        <w:autoSpaceDE w:val="0"/>
        <w:autoSpaceDN w:val="0"/>
        <w:adjustRightInd w:val="0"/>
        <w:rPr>
          <w:rFonts w:eastAsia="Calibri"/>
          <w:color w:val="000000"/>
          <w:sz w:val="22"/>
          <w:szCs w:val="22"/>
          <w:lang w:eastAsia="lt-LT"/>
        </w:rPr>
      </w:pPr>
      <w:r w:rsidRPr="00FB2719">
        <w:rPr>
          <w:rFonts w:eastAsia="Calibri"/>
          <w:b/>
          <w:bCs/>
          <w:color w:val="000000"/>
          <w:sz w:val="22"/>
          <w:szCs w:val="22"/>
          <w:lang w:eastAsia="lt-LT"/>
        </w:rPr>
        <w:t>Nevartokite</w:t>
      </w:r>
      <w:r w:rsidRPr="00FB2719">
        <w:rPr>
          <w:b/>
          <w:sz w:val="22"/>
          <w:szCs w:val="22"/>
        </w:rPr>
        <w:t xml:space="preserve"> Lopinavir/Ritonavir Sandoz </w:t>
      </w:r>
      <w:r w:rsidRPr="00FB2719">
        <w:rPr>
          <w:rFonts w:eastAsia="Calibri"/>
          <w:b/>
          <w:bCs/>
          <w:color w:val="000000"/>
          <w:sz w:val="22"/>
          <w:szCs w:val="22"/>
          <w:lang w:eastAsia="lt-LT"/>
        </w:rPr>
        <w:t xml:space="preserve">kartu su bet kuriuo iš šių vaistų: </w:t>
      </w:r>
    </w:p>
    <w:p w14:paraId="0337C2D5" w14:textId="77777777" w:rsidR="00CA08B3" w:rsidRPr="00FB2719" w:rsidRDefault="00CA08B3" w:rsidP="00CA08B3">
      <w:pPr>
        <w:numPr>
          <w:ilvl w:val="0"/>
          <w:numId w:val="8"/>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astemizolu ar terfenadinu (dažnai vartojamais alergijos simptomams gydyti – šiuos vaistus galima įsigyti be recepto); </w:t>
      </w:r>
    </w:p>
    <w:p w14:paraId="0D3A0560" w14:textId="77777777" w:rsidR="00CA08B3" w:rsidRPr="00FB2719" w:rsidRDefault="00CA08B3" w:rsidP="00CA08B3">
      <w:pPr>
        <w:numPr>
          <w:ilvl w:val="0"/>
          <w:numId w:val="8"/>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geriamuoju (vartojamu per burną) midazolamu, triazolamu (vartojamu nerimui ir (arba) miego sutrikimui palengvinti); </w:t>
      </w:r>
    </w:p>
    <w:p w14:paraId="05ECFCDD" w14:textId="77777777" w:rsidR="00CA08B3" w:rsidRPr="00FB2719" w:rsidRDefault="00CA08B3" w:rsidP="00CA08B3">
      <w:pPr>
        <w:numPr>
          <w:ilvl w:val="0"/>
          <w:numId w:val="8"/>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pimozidu (vartojamu šizofrenijai gydyti);</w:t>
      </w:r>
    </w:p>
    <w:p w14:paraId="6FAD4B3E" w14:textId="77777777" w:rsidR="00CA08B3" w:rsidRPr="00FB2719" w:rsidRDefault="00CA08B3" w:rsidP="00CA08B3">
      <w:pPr>
        <w:numPr>
          <w:ilvl w:val="0"/>
          <w:numId w:val="9"/>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lastRenderedPageBreak/>
        <w:t xml:space="preserve">kvetiapinu (vartojamu šizofrenijai, bipoliniam sutrikimui ir didžiosios depresijos sutrikimui gydyti); </w:t>
      </w:r>
    </w:p>
    <w:p w14:paraId="662C7778" w14:textId="77777777" w:rsidR="006E40DB" w:rsidRPr="00FB2719" w:rsidRDefault="006E40DB" w:rsidP="00CA08B3">
      <w:pPr>
        <w:numPr>
          <w:ilvl w:val="0"/>
          <w:numId w:val="9"/>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lurazidonu (vartojamu depresijai gydyti);</w:t>
      </w:r>
    </w:p>
    <w:p w14:paraId="52F029C2" w14:textId="77777777" w:rsidR="006E40DB" w:rsidRPr="00FB2719" w:rsidRDefault="006E40DB" w:rsidP="00CA08B3">
      <w:pPr>
        <w:numPr>
          <w:ilvl w:val="0"/>
          <w:numId w:val="9"/>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ranolazinu (vartojamu lėtiniam krūtinės skausmui [krūtinės anginai] gydyti);</w:t>
      </w:r>
    </w:p>
    <w:p w14:paraId="627ED848" w14:textId="77777777" w:rsidR="00CA08B3" w:rsidRPr="00FB2719" w:rsidRDefault="00CA08B3" w:rsidP="00CA08B3">
      <w:pPr>
        <w:numPr>
          <w:ilvl w:val="0"/>
          <w:numId w:val="9"/>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cisapridu (vartojamu tam tikriems skrandžio sutrikimams gydyti); </w:t>
      </w:r>
    </w:p>
    <w:p w14:paraId="373C3612" w14:textId="77777777" w:rsidR="00CA08B3" w:rsidRPr="00FB2719" w:rsidRDefault="00CA08B3" w:rsidP="00CA08B3">
      <w:pPr>
        <w:numPr>
          <w:ilvl w:val="0"/>
          <w:numId w:val="9"/>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ergotaminu, dihidroergotaminu, ergometrinu, metilergometrinu (vartojamu galvos skausmui malšinti); </w:t>
      </w:r>
    </w:p>
    <w:p w14:paraId="1BF32A4E" w14:textId="77777777" w:rsidR="00CA08B3" w:rsidRPr="00FB2719" w:rsidRDefault="00CA08B3" w:rsidP="00CA08B3">
      <w:pPr>
        <w:numPr>
          <w:ilvl w:val="0"/>
          <w:numId w:val="9"/>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amjodaronu</w:t>
      </w:r>
      <w:r w:rsidR="006852D5" w:rsidRPr="00FB2719">
        <w:rPr>
          <w:rFonts w:eastAsia="Calibri"/>
          <w:color w:val="000000"/>
          <w:sz w:val="22"/>
          <w:szCs w:val="22"/>
          <w:lang w:eastAsia="lt-LT"/>
        </w:rPr>
        <w:t>, dronedaronu</w:t>
      </w:r>
      <w:r w:rsidRPr="00FB2719">
        <w:rPr>
          <w:rFonts w:eastAsia="Calibri"/>
          <w:color w:val="000000"/>
          <w:sz w:val="22"/>
          <w:szCs w:val="22"/>
          <w:lang w:eastAsia="lt-LT"/>
        </w:rPr>
        <w:t xml:space="preserve"> (vartojam</w:t>
      </w:r>
      <w:r w:rsidR="004D2D1E" w:rsidRPr="00FB2719">
        <w:rPr>
          <w:rFonts w:eastAsia="Calibri"/>
          <w:color w:val="000000"/>
          <w:sz w:val="22"/>
          <w:szCs w:val="22"/>
          <w:lang w:eastAsia="lt-LT"/>
        </w:rPr>
        <w:t>a</w:t>
      </w:r>
      <w:r w:rsidR="006852D5" w:rsidRPr="00FB2719">
        <w:rPr>
          <w:rFonts w:eastAsia="Calibri"/>
          <w:color w:val="000000"/>
          <w:sz w:val="22"/>
          <w:szCs w:val="22"/>
          <w:lang w:eastAsia="lt-LT"/>
        </w:rPr>
        <w:t>i</w:t>
      </w:r>
      <w:r w:rsidR="004D2D1E" w:rsidRPr="00FB2719">
        <w:rPr>
          <w:rFonts w:eastAsia="Calibri"/>
          <w:color w:val="000000"/>
          <w:sz w:val="22"/>
          <w:szCs w:val="22"/>
          <w:lang w:eastAsia="lt-LT"/>
        </w:rPr>
        <w:t>s</w:t>
      </w:r>
      <w:r w:rsidRPr="00FB2719">
        <w:rPr>
          <w:rFonts w:eastAsia="Calibri"/>
          <w:color w:val="000000"/>
          <w:sz w:val="22"/>
          <w:szCs w:val="22"/>
          <w:lang w:eastAsia="lt-LT"/>
        </w:rPr>
        <w:t xml:space="preserve"> sutrikusiam širdies ritmui gydyti); </w:t>
      </w:r>
    </w:p>
    <w:p w14:paraId="5AAABD0A" w14:textId="77777777" w:rsidR="00CA08B3" w:rsidRPr="00FB2719" w:rsidRDefault="00CA08B3" w:rsidP="00CA08B3">
      <w:pPr>
        <w:numPr>
          <w:ilvl w:val="0"/>
          <w:numId w:val="9"/>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lovastatinu, simvastatinu (vartojamais cholesterolio kiekiui kraujyje mažinti); </w:t>
      </w:r>
    </w:p>
    <w:p w14:paraId="63230624" w14:textId="77777777" w:rsidR="00CA08B3" w:rsidRPr="00FB2719" w:rsidRDefault="00CA08B3" w:rsidP="00CA08B3">
      <w:pPr>
        <w:numPr>
          <w:ilvl w:val="0"/>
          <w:numId w:val="9"/>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alfuzozinu (vartojamu vyrams prostatos padidėjimo, t. y. gerybinės prostatos hiperplazijos [GPH]) simptomams lengvinti; </w:t>
      </w:r>
    </w:p>
    <w:p w14:paraId="51AF874B" w14:textId="77777777" w:rsidR="00CA08B3" w:rsidRPr="00FB2719" w:rsidRDefault="00CA08B3" w:rsidP="00CA08B3">
      <w:pPr>
        <w:numPr>
          <w:ilvl w:val="0"/>
          <w:numId w:val="9"/>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fuzido rūgštimi (vartojama </w:t>
      </w:r>
      <w:r w:rsidRPr="00FB2719">
        <w:rPr>
          <w:rFonts w:eastAsia="Calibri"/>
          <w:i/>
          <w:color w:val="000000"/>
          <w:sz w:val="22"/>
          <w:szCs w:val="22"/>
          <w:lang w:eastAsia="lt-LT"/>
        </w:rPr>
        <w:t xml:space="preserve">Staphylococcus </w:t>
      </w:r>
      <w:r w:rsidRPr="00FB2719">
        <w:rPr>
          <w:rFonts w:eastAsia="Calibri"/>
          <w:color w:val="000000"/>
          <w:sz w:val="22"/>
          <w:szCs w:val="22"/>
          <w:lang w:eastAsia="lt-LT"/>
        </w:rPr>
        <w:t xml:space="preserve">bakterijų sukeltoms odos infekcinėms ligoms, pvz., impetigai ir infekciniam dermatitui, gydyti). Gydytojui prižiūrint fuzido rūgštis gali būti vartojama lėtinėms kaulų ir sąnarių infekcinėms ligoms gydyti (žr. skyrių „Kiti vaistai ir </w:t>
      </w:r>
      <w:r w:rsidRPr="00FB2719">
        <w:rPr>
          <w:sz w:val="22"/>
          <w:szCs w:val="22"/>
        </w:rPr>
        <w:t>Lopinavir/Ritonavir Sandoz</w:t>
      </w:r>
      <w:r w:rsidRPr="00FB2719">
        <w:rPr>
          <w:rFonts w:eastAsia="Calibri"/>
          <w:color w:val="000000"/>
          <w:sz w:val="22"/>
          <w:szCs w:val="22"/>
          <w:lang w:eastAsia="lt-LT"/>
        </w:rPr>
        <w:t xml:space="preserve">“); </w:t>
      </w:r>
    </w:p>
    <w:p w14:paraId="55E61785" w14:textId="77777777" w:rsidR="006852D5" w:rsidRPr="00FB2719" w:rsidRDefault="00CA08B3" w:rsidP="00AD237C">
      <w:pPr>
        <w:numPr>
          <w:ilvl w:val="0"/>
          <w:numId w:val="9"/>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kolchicinu (vaistu nuo podagros) – </w:t>
      </w:r>
      <w:r w:rsidR="006852D5" w:rsidRPr="00FB2719">
        <w:rPr>
          <w:rFonts w:eastAsia="Calibri"/>
          <w:color w:val="000000"/>
          <w:sz w:val="22"/>
          <w:szCs w:val="22"/>
          <w:lang w:eastAsia="lt-LT"/>
        </w:rPr>
        <w:t xml:space="preserve"> jei Jūsų inkstų ar kepenų veikla sutrikusi (žr. skyrių </w:t>
      </w:r>
      <w:r w:rsidR="00CF6C09" w:rsidRPr="00FB2719">
        <w:rPr>
          <w:rFonts w:eastAsia="Calibri"/>
          <w:color w:val="000000"/>
          <w:sz w:val="22"/>
          <w:szCs w:val="22"/>
          <w:lang w:eastAsia="lt-LT"/>
        </w:rPr>
        <w:t>„</w:t>
      </w:r>
      <w:r w:rsidR="006852D5" w:rsidRPr="00FB2719">
        <w:rPr>
          <w:rFonts w:eastAsia="Calibri"/>
          <w:b/>
          <w:color w:val="000000"/>
          <w:sz w:val="22"/>
          <w:szCs w:val="22"/>
          <w:lang w:eastAsia="lt-LT"/>
        </w:rPr>
        <w:t>Kiti vaistai ir Lopinavir/Ritonavir Sandoz</w:t>
      </w:r>
      <w:r w:rsidR="006852D5" w:rsidRPr="00FB2719">
        <w:rPr>
          <w:rFonts w:eastAsia="Calibri"/>
          <w:color w:val="000000"/>
          <w:sz w:val="22"/>
          <w:szCs w:val="22"/>
          <w:lang w:eastAsia="lt-LT"/>
        </w:rPr>
        <w:t>“);</w:t>
      </w:r>
    </w:p>
    <w:p w14:paraId="772129E5" w14:textId="77777777" w:rsidR="007E0C4E" w:rsidRPr="00FB2719" w:rsidRDefault="007E0C4E" w:rsidP="00FB2719">
      <w:pPr>
        <w:numPr>
          <w:ilvl w:val="0"/>
          <w:numId w:val="9"/>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elbasviru / grazopreviru (vartojamais lėtiniam hepatito C virusui [HCV] gydyti);</w:t>
      </w:r>
    </w:p>
    <w:p w14:paraId="4E513B90" w14:textId="7F6C821D" w:rsidR="007E0C4E" w:rsidRPr="00FB2719" w:rsidRDefault="007E0C4E" w:rsidP="00FB2719">
      <w:pPr>
        <w:numPr>
          <w:ilvl w:val="0"/>
          <w:numId w:val="9"/>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ombitasviru / paritapreviru / ritonaviru su arba be dasabuviro (vartojamais lėtiniam hepatito C virusui [HCV] gydyti);</w:t>
      </w:r>
    </w:p>
    <w:p w14:paraId="1D66E971" w14:textId="77777777" w:rsidR="00CA08B3" w:rsidRPr="00FB2719" w:rsidRDefault="00CA08B3" w:rsidP="00CA08B3">
      <w:pPr>
        <w:numPr>
          <w:ilvl w:val="0"/>
          <w:numId w:val="9"/>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avanafiliu ar vardenafiliu (vartojamais erekcijos sutrikimams gydyti); </w:t>
      </w:r>
    </w:p>
    <w:p w14:paraId="10165DA2" w14:textId="21EEB62A" w:rsidR="00CA08B3" w:rsidRPr="00FB2719" w:rsidRDefault="00CA08B3" w:rsidP="00F82002">
      <w:pPr>
        <w:numPr>
          <w:ilvl w:val="0"/>
          <w:numId w:val="9"/>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sildenafiliu, vartojamu plautinės arterijos hipertenzijai (aukštam kraujospūdžiui plaučių arterijoje) gydyti. Gydytojui prižiūrint sildenafilio galima vartoti erekcijos sutrikimams gydyti (žr. </w:t>
      </w:r>
      <w:r w:rsidRPr="00FB2719">
        <w:rPr>
          <w:rFonts w:eastAsia="Calibri"/>
          <w:b/>
          <w:color w:val="000000"/>
          <w:sz w:val="22"/>
          <w:szCs w:val="22"/>
          <w:lang w:eastAsia="lt-LT"/>
        </w:rPr>
        <w:t>skyrių „</w:t>
      </w:r>
      <w:r w:rsidR="007E0C4E" w:rsidRPr="00FB2719">
        <w:rPr>
          <w:rFonts w:eastAsia="Calibri"/>
          <w:b/>
          <w:color w:val="000000"/>
          <w:sz w:val="22"/>
          <w:szCs w:val="22"/>
          <w:lang w:eastAsia="lt-LT"/>
        </w:rPr>
        <w:t>Kiti vaistai ir Lopinavir/Ritonavir Sandoz“</w:t>
      </w:r>
      <w:r w:rsidRPr="00FB2719">
        <w:rPr>
          <w:rFonts w:eastAsia="Calibri"/>
          <w:color w:val="000000"/>
          <w:sz w:val="22"/>
          <w:szCs w:val="22"/>
          <w:lang w:eastAsia="lt-LT"/>
        </w:rPr>
        <w:t xml:space="preserve">); </w:t>
      </w:r>
    </w:p>
    <w:p w14:paraId="4512D190" w14:textId="77777777" w:rsidR="00CA08B3" w:rsidRPr="00FB2719" w:rsidRDefault="00CA08B3" w:rsidP="00CA08B3">
      <w:pPr>
        <w:numPr>
          <w:ilvl w:val="0"/>
          <w:numId w:val="9"/>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preparatais, kurių sudėtyje yra jonažolių (</w:t>
      </w:r>
      <w:r w:rsidRPr="00FB2719">
        <w:rPr>
          <w:rFonts w:eastAsia="Calibri"/>
          <w:i/>
          <w:iCs/>
          <w:color w:val="000000"/>
          <w:sz w:val="22"/>
          <w:szCs w:val="22"/>
          <w:lang w:eastAsia="lt-LT"/>
        </w:rPr>
        <w:t xml:space="preserve">Hypericum perforatum). </w:t>
      </w:r>
    </w:p>
    <w:p w14:paraId="7DFE669D" w14:textId="77777777" w:rsidR="00CA08B3" w:rsidRPr="00FB2719" w:rsidRDefault="00CA08B3" w:rsidP="00CA08B3">
      <w:pPr>
        <w:autoSpaceDE w:val="0"/>
        <w:autoSpaceDN w:val="0"/>
        <w:adjustRightInd w:val="0"/>
        <w:rPr>
          <w:rFonts w:eastAsia="Calibri"/>
          <w:b/>
          <w:bCs/>
          <w:color w:val="000000"/>
          <w:sz w:val="22"/>
          <w:szCs w:val="22"/>
          <w:lang w:eastAsia="lt-LT"/>
        </w:rPr>
      </w:pPr>
    </w:p>
    <w:p w14:paraId="23B3850E" w14:textId="77777777" w:rsidR="00CA08B3" w:rsidRPr="00FB2719" w:rsidRDefault="00CA08B3" w:rsidP="00CA08B3">
      <w:pPr>
        <w:autoSpaceDE w:val="0"/>
        <w:autoSpaceDN w:val="0"/>
        <w:adjustRightInd w:val="0"/>
        <w:rPr>
          <w:rFonts w:eastAsia="Calibri"/>
          <w:color w:val="000000"/>
          <w:sz w:val="22"/>
          <w:szCs w:val="22"/>
          <w:lang w:eastAsia="lt-LT"/>
        </w:rPr>
      </w:pPr>
      <w:r w:rsidRPr="00FB2719">
        <w:rPr>
          <w:rFonts w:eastAsia="Calibri"/>
          <w:b/>
          <w:bCs/>
          <w:color w:val="000000"/>
          <w:sz w:val="22"/>
          <w:szCs w:val="22"/>
          <w:lang w:eastAsia="lt-LT"/>
        </w:rPr>
        <w:t xml:space="preserve">Perskaitykite vaistų sąrašą </w:t>
      </w:r>
      <w:r w:rsidR="006E40DB" w:rsidRPr="00FB2719">
        <w:rPr>
          <w:rFonts w:eastAsia="Calibri"/>
          <w:b/>
          <w:bCs/>
          <w:color w:val="000000"/>
          <w:sz w:val="22"/>
          <w:szCs w:val="22"/>
          <w:lang w:eastAsia="lt-LT"/>
        </w:rPr>
        <w:t xml:space="preserve">esantį žemiau </w:t>
      </w:r>
      <w:r w:rsidRPr="00FB2719">
        <w:rPr>
          <w:rFonts w:eastAsia="Calibri"/>
          <w:b/>
          <w:bCs/>
          <w:color w:val="000000"/>
          <w:sz w:val="22"/>
          <w:szCs w:val="22"/>
          <w:lang w:eastAsia="lt-LT"/>
        </w:rPr>
        <w:t xml:space="preserve">skyriuje „Kiti vaistai ir Lopinavir/Ritonavir Sandoz“ </w:t>
      </w:r>
      <w:r w:rsidRPr="00FB2719">
        <w:rPr>
          <w:rFonts w:eastAsia="Calibri"/>
          <w:bCs/>
          <w:color w:val="000000"/>
          <w:sz w:val="22"/>
          <w:szCs w:val="22"/>
          <w:lang w:eastAsia="lt-LT"/>
        </w:rPr>
        <w:t>dėl informacijos apie kai kuriuos kitus vaistus, kurie reikalauja tam tikro atsargumo</w:t>
      </w:r>
      <w:r w:rsidRPr="00FB2719">
        <w:rPr>
          <w:rFonts w:eastAsia="Calibri"/>
          <w:color w:val="000000"/>
          <w:sz w:val="22"/>
          <w:szCs w:val="22"/>
          <w:lang w:eastAsia="lt-LT"/>
        </w:rPr>
        <w:t xml:space="preserve">. </w:t>
      </w:r>
    </w:p>
    <w:p w14:paraId="390432D8" w14:textId="77777777" w:rsidR="00CA08B3" w:rsidRPr="00FB2719" w:rsidRDefault="00CA08B3" w:rsidP="00CA08B3">
      <w:pPr>
        <w:autoSpaceDE w:val="0"/>
        <w:autoSpaceDN w:val="0"/>
        <w:adjustRightInd w:val="0"/>
        <w:rPr>
          <w:rFonts w:eastAsia="Calibri"/>
          <w:color w:val="000000"/>
          <w:sz w:val="22"/>
          <w:szCs w:val="22"/>
          <w:lang w:eastAsia="lt-LT"/>
        </w:rPr>
      </w:pPr>
    </w:p>
    <w:p w14:paraId="711F4A41" w14:textId="77777777" w:rsidR="00CA08B3" w:rsidRPr="00FB2719" w:rsidRDefault="00CA08B3" w:rsidP="00CA08B3">
      <w:pPr>
        <w:autoSpaceDE w:val="0"/>
        <w:autoSpaceDN w:val="0"/>
        <w:adjustRightInd w:val="0"/>
        <w:rPr>
          <w:rFonts w:eastAsia="Calibri"/>
          <w:color w:val="000000"/>
          <w:sz w:val="22"/>
          <w:szCs w:val="22"/>
          <w:lang w:eastAsia="lt-LT"/>
        </w:rPr>
      </w:pPr>
      <w:r w:rsidRPr="00FB2719">
        <w:rPr>
          <w:rFonts w:eastAsia="Calibri"/>
          <w:color w:val="000000"/>
          <w:sz w:val="22"/>
          <w:szCs w:val="22"/>
          <w:lang w:eastAsia="lt-LT"/>
        </w:rPr>
        <w:t xml:space="preserve">Jeigu vartojate kurio nors iš šių vaistų, klauskite savo gydytojo apie galimybę atlikti arba Jūsų kitos ligos (-ų) gydymo, arba Jūsų antivirusinio gydymo būtinus keitimus. </w:t>
      </w:r>
    </w:p>
    <w:p w14:paraId="58708BE2" w14:textId="77777777" w:rsidR="00CA08B3" w:rsidRPr="00FB2719" w:rsidRDefault="00CA08B3" w:rsidP="00CA08B3">
      <w:pPr>
        <w:autoSpaceDE w:val="0"/>
        <w:autoSpaceDN w:val="0"/>
        <w:adjustRightInd w:val="0"/>
        <w:rPr>
          <w:rFonts w:eastAsia="Calibri"/>
          <w:b/>
          <w:bCs/>
          <w:color w:val="000000"/>
          <w:sz w:val="22"/>
          <w:szCs w:val="22"/>
          <w:lang w:eastAsia="lt-LT"/>
        </w:rPr>
      </w:pPr>
    </w:p>
    <w:p w14:paraId="70B34912" w14:textId="77777777" w:rsidR="00CA08B3" w:rsidRPr="00FB2719" w:rsidRDefault="00CA08B3" w:rsidP="00CA08B3">
      <w:pPr>
        <w:autoSpaceDE w:val="0"/>
        <w:autoSpaceDN w:val="0"/>
        <w:adjustRightInd w:val="0"/>
        <w:rPr>
          <w:rFonts w:eastAsia="Calibri"/>
          <w:color w:val="000000"/>
          <w:sz w:val="22"/>
          <w:szCs w:val="22"/>
          <w:lang w:eastAsia="lt-LT"/>
        </w:rPr>
      </w:pPr>
      <w:r w:rsidRPr="00FB2719">
        <w:rPr>
          <w:rFonts w:eastAsia="Calibri"/>
          <w:b/>
          <w:bCs/>
          <w:color w:val="000000"/>
          <w:sz w:val="22"/>
          <w:szCs w:val="22"/>
          <w:lang w:eastAsia="lt-LT"/>
        </w:rPr>
        <w:t xml:space="preserve">Įspėjimai ir atsargumo priemonės </w:t>
      </w:r>
    </w:p>
    <w:p w14:paraId="29072DED" w14:textId="77777777" w:rsidR="00CA08B3" w:rsidRPr="00FB2719" w:rsidRDefault="00CA08B3" w:rsidP="00CA08B3">
      <w:pPr>
        <w:numPr>
          <w:ilvl w:val="12"/>
          <w:numId w:val="0"/>
        </w:numPr>
        <w:ind w:right="-2"/>
        <w:rPr>
          <w:snapToGrid w:val="0"/>
          <w:sz w:val="22"/>
          <w:szCs w:val="22"/>
        </w:rPr>
      </w:pPr>
      <w:r w:rsidRPr="00FB2719">
        <w:rPr>
          <w:noProof/>
          <w:snapToGrid w:val="0"/>
          <w:sz w:val="22"/>
          <w:szCs w:val="22"/>
        </w:rPr>
        <w:t>Pasitarkite su gydytoju</w:t>
      </w:r>
      <w:r w:rsidR="007E0C4E" w:rsidRPr="00FB2719">
        <w:rPr>
          <w:noProof/>
          <w:snapToGrid w:val="0"/>
          <w:sz w:val="22"/>
          <w:szCs w:val="22"/>
        </w:rPr>
        <w:t xml:space="preserve"> arba vaistininku</w:t>
      </w:r>
      <w:r w:rsidRPr="00FB2719">
        <w:rPr>
          <w:noProof/>
          <w:snapToGrid w:val="0"/>
          <w:sz w:val="22"/>
          <w:szCs w:val="22"/>
        </w:rPr>
        <w:t>, prieš pradėdami vartoti Lopinavir/Ritonavir Sandoz.</w:t>
      </w:r>
    </w:p>
    <w:p w14:paraId="1379B6A4" w14:textId="77777777" w:rsidR="00CA08B3" w:rsidRPr="00FB2719" w:rsidRDefault="00CA08B3" w:rsidP="00CA08B3">
      <w:pPr>
        <w:autoSpaceDE w:val="0"/>
        <w:autoSpaceDN w:val="0"/>
        <w:adjustRightInd w:val="0"/>
        <w:rPr>
          <w:rFonts w:eastAsia="Calibri"/>
          <w:color w:val="000000"/>
          <w:sz w:val="22"/>
          <w:szCs w:val="22"/>
          <w:lang w:eastAsia="lt-LT"/>
        </w:rPr>
      </w:pPr>
    </w:p>
    <w:p w14:paraId="3F606761" w14:textId="77777777" w:rsidR="00CA08B3" w:rsidRPr="00FB2719" w:rsidRDefault="00CA08B3" w:rsidP="00CA08B3">
      <w:pPr>
        <w:autoSpaceDE w:val="0"/>
        <w:autoSpaceDN w:val="0"/>
        <w:adjustRightInd w:val="0"/>
        <w:rPr>
          <w:rFonts w:eastAsia="Calibri"/>
          <w:b/>
          <w:color w:val="000000"/>
          <w:sz w:val="22"/>
          <w:szCs w:val="22"/>
          <w:u w:val="single"/>
          <w:lang w:eastAsia="lt-LT"/>
        </w:rPr>
      </w:pPr>
      <w:r w:rsidRPr="00FB2719">
        <w:rPr>
          <w:rFonts w:eastAsia="Calibri"/>
          <w:b/>
          <w:color w:val="000000"/>
          <w:sz w:val="22"/>
          <w:szCs w:val="22"/>
          <w:u w:val="single"/>
          <w:lang w:eastAsia="lt-LT"/>
        </w:rPr>
        <w:t xml:space="preserve">Svarbi informacija </w:t>
      </w:r>
    </w:p>
    <w:p w14:paraId="49180D7A" w14:textId="77777777" w:rsidR="00CA08B3" w:rsidRPr="00FB2719" w:rsidRDefault="00CA08B3" w:rsidP="00CA08B3">
      <w:pPr>
        <w:numPr>
          <w:ilvl w:val="1"/>
          <w:numId w:val="10"/>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Lopinavir/Ritonavir Sandoz vartojantiems žmonėms vis tiek gali pasireikšti infekcinės ligos ar kiti sutrikimai, susiję su ŽIV liga ir AIDS. Todėl svarbu, kad </w:t>
      </w:r>
      <w:r w:rsidRPr="00FB2719">
        <w:rPr>
          <w:rFonts w:eastAsia="Calibri"/>
          <w:bCs/>
          <w:color w:val="000000"/>
          <w:sz w:val="22"/>
          <w:szCs w:val="22"/>
          <w:lang w:eastAsia="lt-LT"/>
        </w:rPr>
        <w:t xml:space="preserve">Lopinavir/Ritonavir Sandoz </w:t>
      </w:r>
      <w:r w:rsidRPr="00FB2719">
        <w:rPr>
          <w:rFonts w:eastAsia="Calibri"/>
          <w:color w:val="000000"/>
          <w:sz w:val="22"/>
          <w:szCs w:val="22"/>
          <w:lang w:eastAsia="lt-LT"/>
        </w:rPr>
        <w:t xml:space="preserve">vartojimo metu Jūs liktumėte savo gydytojo priežiūroje. </w:t>
      </w:r>
    </w:p>
    <w:p w14:paraId="3AC9DB29" w14:textId="77777777" w:rsidR="00CA08B3" w:rsidRPr="00FB2719" w:rsidRDefault="00CA08B3" w:rsidP="00CA08B3">
      <w:pPr>
        <w:numPr>
          <w:ilvl w:val="1"/>
          <w:numId w:val="10"/>
        </w:numPr>
        <w:autoSpaceDE w:val="0"/>
        <w:autoSpaceDN w:val="0"/>
        <w:adjustRightInd w:val="0"/>
        <w:ind w:left="567" w:hanging="567"/>
        <w:rPr>
          <w:rFonts w:eastAsia="Calibri"/>
          <w:color w:val="000000"/>
          <w:sz w:val="22"/>
          <w:szCs w:val="22"/>
          <w:lang w:eastAsia="lt-LT"/>
        </w:rPr>
      </w:pPr>
      <w:r w:rsidRPr="00FB2719">
        <w:rPr>
          <w:rFonts w:eastAsia="Calibri"/>
          <w:b/>
          <w:bCs/>
          <w:color w:val="000000"/>
          <w:sz w:val="22"/>
          <w:szCs w:val="22"/>
          <w:lang w:eastAsia="lt-LT"/>
        </w:rPr>
        <w:t>Vartojant šio vaisto Jūs vis dar galite užkrėsti ŽIV kitus žmones</w:t>
      </w:r>
      <w:r w:rsidRPr="00FB2719">
        <w:rPr>
          <w:rFonts w:eastAsia="Calibri"/>
          <w:color w:val="000000"/>
          <w:sz w:val="22"/>
          <w:szCs w:val="22"/>
          <w:lang w:eastAsia="lt-LT"/>
        </w:rPr>
        <w:t xml:space="preserve">, nors rizika dėl veiksmingo antiretrovirusinio gydymo yra maža. Pasitarkite su savo gydytoju dėl reikiamų atsargumo priemonių, kad neužkrėstumėte kitų žmonių. </w:t>
      </w:r>
    </w:p>
    <w:p w14:paraId="6CE98590" w14:textId="77777777" w:rsidR="00CA08B3" w:rsidRPr="00FB2719" w:rsidRDefault="00CA08B3" w:rsidP="00CA08B3">
      <w:pPr>
        <w:autoSpaceDE w:val="0"/>
        <w:autoSpaceDN w:val="0"/>
        <w:adjustRightInd w:val="0"/>
        <w:rPr>
          <w:rFonts w:eastAsia="Calibri"/>
          <w:color w:val="000000"/>
          <w:sz w:val="22"/>
          <w:szCs w:val="22"/>
          <w:lang w:eastAsia="lt-LT"/>
        </w:rPr>
      </w:pPr>
    </w:p>
    <w:p w14:paraId="55B5E510" w14:textId="6D983983" w:rsidR="00CA08B3" w:rsidRPr="00FB2719" w:rsidRDefault="00CA08B3" w:rsidP="00CA08B3">
      <w:pPr>
        <w:autoSpaceDE w:val="0"/>
        <w:autoSpaceDN w:val="0"/>
        <w:adjustRightInd w:val="0"/>
        <w:rPr>
          <w:rFonts w:eastAsia="Calibri"/>
          <w:b/>
          <w:color w:val="000000"/>
          <w:sz w:val="22"/>
          <w:szCs w:val="22"/>
          <w:u w:val="single"/>
          <w:lang w:eastAsia="lt-LT"/>
        </w:rPr>
      </w:pPr>
      <w:r w:rsidRPr="00FB2719">
        <w:rPr>
          <w:rFonts w:eastAsia="Calibri"/>
          <w:b/>
          <w:color w:val="000000"/>
          <w:sz w:val="22"/>
          <w:szCs w:val="22"/>
          <w:u w:val="single"/>
          <w:lang w:eastAsia="lt-LT"/>
        </w:rPr>
        <w:t>Pasakykite gydytojui, jei</w:t>
      </w:r>
      <w:r w:rsidR="000B09F0" w:rsidRPr="00FB2719">
        <w:rPr>
          <w:rFonts w:eastAsia="Calibri"/>
          <w:b/>
          <w:color w:val="000000"/>
          <w:sz w:val="22"/>
          <w:szCs w:val="22"/>
          <w:u w:val="single"/>
          <w:lang w:eastAsia="lt-LT"/>
        </w:rPr>
        <w:t>gu</w:t>
      </w:r>
      <w:r w:rsidR="007E0C4E" w:rsidRPr="00FB2719">
        <w:rPr>
          <w:rFonts w:eastAsia="Calibri"/>
          <w:b/>
          <w:color w:val="000000"/>
          <w:sz w:val="22"/>
          <w:szCs w:val="22"/>
          <w:u w:val="single"/>
          <w:lang w:eastAsia="lt-LT"/>
        </w:rPr>
        <w:t xml:space="preserve"> Jūs arba Jūsų vaikas </w:t>
      </w:r>
      <w:r w:rsidRPr="00FB2719">
        <w:rPr>
          <w:rFonts w:eastAsia="Calibri"/>
          <w:b/>
          <w:color w:val="000000"/>
          <w:sz w:val="22"/>
          <w:szCs w:val="22"/>
          <w:u w:val="single"/>
          <w:lang w:eastAsia="lt-LT"/>
        </w:rPr>
        <w:t xml:space="preserve">sergate ar sirgote: </w:t>
      </w:r>
    </w:p>
    <w:p w14:paraId="3E218B7A" w14:textId="77777777" w:rsidR="00CA08B3" w:rsidRPr="00FB2719" w:rsidRDefault="00CA08B3" w:rsidP="00CA08B3">
      <w:pPr>
        <w:numPr>
          <w:ilvl w:val="1"/>
          <w:numId w:val="11"/>
        </w:numPr>
        <w:autoSpaceDE w:val="0"/>
        <w:autoSpaceDN w:val="0"/>
        <w:adjustRightInd w:val="0"/>
        <w:ind w:left="567" w:hanging="567"/>
        <w:rPr>
          <w:rFonts w:eastAsia="Calibri"/>
          <w:color w:val="000000"/>
          <w:sz w:val="22"/>
          <w:szCs w:val="22"/>
          <w:lang w:eastAsia="lt-LT"/>
        </w:rPr>
      </w:pPr>
      <w:r w:rsidRPr="00FB2719">
        <w:rPr>
          <w:rFonts w:eastAsia="Calibri"/>
          <w:b/>
          <w:bCs/>
          <w:color w:val="000000"/>
          <w:sz w:val="22"/>
          <w:szCs w:val="22"/>
          <w:lang w:eastAsia="lt-LT"/>
        </w:rPr>
        <w:t xml:space="preserve">Hemofilija, </w:t>
      </w:r>
      <w:r w:rsidRPr="00FB2719">
        <w:rPr>
          <w:rFonts w:eastAsia="Calibri"/>
          <w:color w:val="000000"/>
          <w:sz w:val="22"/>
          <w:szCs w:val="22"/>
          <w:lang w:eastAsia="lt-LT"/>
        </w:rPr>
        <w:t xml:space="preserve">A arba B tipo, nes Lopinavir/Ritonavir Sandoz gali didinti kraujavimo riziką. </w:t>
      </w:r>
    </w:p>
    <w:p w14:paraId="27F09A0B" w14:textId="77777777" w:rsidR="00CE0275" w:rsidRPr="00FB2719" w:rsidRDefault="00CA08B3" w:rsidP="00FB2719">
      <w:pPr>
        <w:numPr>
          <w:ilvl w:val="1"/>
          <w:numId w:val="11"/>
        </w:numPr>
        <w:autoSpaceDE w:val="0"/>
        <w:autoSpaceDN w:val="0"/>
        <w:adjustRightInd w:val="0"/>
        <w:ind w:left="567" w:hanging="567"/>
        <w:rPr>
          <w:rFonts w:eastAsia="Calibri"/>
          <w:color w:val="000000"/>
          <w:sz w:val="22"/>
          <w:szCs w:val="22"/>
          <w:lang w:eastAsia="lt-LT"/>
        </w:rPr>
      </w:pPr>
      <w:r w:rsidRPr="00FB2719">
        <w:rPr>
          <w:rFonts w:eastAsia="Calibri"/>
          <w:b/>
          <w:bCs/>
          <w:color w:val="000000"/>
          <w:sz w:val="22"/>
          <w:szCs w:val="22"/>
          <w:lang w:eastAsia="lt-LT"/>
        </w:rPr>
        <w:t xml:space="preserve">Diabetu, </w:t>
      </w:r>
      <w:r w:rsidR="00CE0275" w:rsidRPr="00FB2719">
        <w:rPr>
          <w:rFonts w:eastAsia="Calibri"/>
          <w:color w:val="000000"/>
          <w:sz w:val="22"/>
          <w:szCs w:val="22"/>
          <w:lang w:eastAsia="lt-LT"/>
        </w:rPr>
        <w:t>gali būti, kad pradėjus vartoti Lopinavir/Ritonavir Sandoz reikės atidžiau stebėti gliukozės kiekį Jūsų kraujyje ir (arba) pakoreguoti Jums taikomą gydymą vaistais nuo diabeto. Pradėjus gydymą tokiais vaistais, kaip Lopinavir/Ritonavir Sandoz kai kuriems diabetu sergantiems pacientams kraujyje sumažėjo cukraus kiekis (hipoglikemija).</w:t>
      </w:r>
    </w:p>
    <w:p w14:paraId="77340F73" w14:textId="77777777" w:rsidR="00CA08B3" w:rsidRPr="00FB2719" w:rsidRDefault="00CA08B3" w:rsidP="00CA08B3">
      <w:pPr>
        <w:numPr>
          <w:ilvl w:val="1"/>
          <w:numId w:val="11"/>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Jei yra buvę kepenų sutrikimų, kadangi pacientams, kuriems yra buvę kepenų sutrikimų, įskaitant lėtinį hepatitą B ar C, yra didesnė sunkaus ir galimai mirtino šalutinio poveikio kepenims rizika. </w:t>
      </w:r>
    </w:p>
    <w:p w14:paraId="2341A624" w14:textId="77777777" w:rsidR="00CA08B3" w:rsidRPr="00FB2719" w:rsidRDefault="00CA08B3" w:rsidP="00CA08B3">
      <w:pPr>
        <w:autoSpaceDE w:val="0"/>
        <w:autoSpaceDN w:val="0"/>
        <w:adjustRightInd w:val="0"/>
        <w:rPr>
          <w:rFonts w:eastAsia="Calibri"/>
          <w:color w:val="000000"/>
          <w:sz w:val="22"/>
          <w:szCs w:val="22"/>
          <w:lang w:eastAsia="lt-LT"/>
        </w:rPr>
      </w:pPr>
    </w:p>
    <w:p w14:paraId="288F7431" w14:textId="77777777" w:rsidR="00CA08B3" w:rsidRPr="00FB2719" w:rsidRDefault="00CA08B3" w:rsidP="00CA08B3">
      <w:pPr>
        <w:autoSpaceDE w:val="0"/>
        <w:autoSpaceDN w:val="0"/>
        <w:adjustRightInd w:val="0"/>
        <w:rPr>
          <w:rFonts w:eastAsia="Calibri"/>
          <w:b/>
          <w:color w:val="000000"/>
          <w:sz w:val="22"/>
          <w:szCs w:val="22"/>
          <w:u w:val="single"/>
          <w:lang w:eastAsia="lt-LT"/>
        </w:rPr>
      </w:pPr>
      <w:r w:rsidRPr="00FB2719">
        <w:rPr>
          <w:rFonts w:eastAsia="Calibri"/>
          <w:b/>
          <w:color w:val="000000"/>
          <w:sz w:val="22"/>
          <w:szCs w:val="22"/>
          <w:u w:val="single"/>
          <w:lang w:eastAsia="lt-LT"/>
        </w:rPr>
        <w:t>Pasakykite savo gydytojui, jeigu</w:t>
      </w:r>
      <w:r w:rsidR="007E0C4E" w:rsidRPr="00FB2719">
        <w:rPr>
          <w:rFonts w:eastAsia="Calibri"/>
          <w:b/>
          <w:color w:val="000000"/>
          <w:sz w:val="22"/>
          <w:szCs w:val="22"/>
          <w:u w:val="single"/>
          <w:lang w:eastAsia="lt-LT"/>
        </w:rPr>
        <w:t xml:space="preserve"> Jums arba Jūsų vaikui</w:t>
      </w:r>
      <w:r w:rsidRPr="00FB2719">
        <w:rPr>
          <w:rFonts w:eastAsia="Calibri"/>
          <w:b/>
          <w:color w:val="000000"/>
          <w:sz w:val="22"/>
          <w:szCs w:val="22"/>
          <w:u w:val="single"/>
          <w:lang w:eastAsia="lt-LT"/>
        </w:rPr>
        <w:t xml:space="preserve"> pasireiškė: </w:t>
      </w:r>
    </w:p>
    <w:p w14:paraId="22694FB9" w14:textId="77777777" w:rsidR="00CA08B3" w:rsidRPr="00FB2719" w:rsidRDefault="00CA08B3" w:rsidP="00CA08B3">
      <w:pPr>
        <w:numPr>
          <w:ilvl w:val="1"/>
          <w:numId w:val="8"/>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lastRenderedPageBreak/>
        <w:t>Pykinimas, vėmimas, pilvo skausmas, sunkumas kvėpuojant ir stiprus kojų bei rankų raumenų silpnumas, kadangi šie simptomai gali rodyti padidėjusią pieno rūgšties koncentraciją.</w:t>
      </w:r>
    </w:p>
    <w:p w14:paraId="3D243078" w14:textId="77777777" w:rsidR="00CA08B3" w:rsidRPr="00FB2719" w:rsidRDefault="00CA08B3" w:rsidP="00CA08B3">
      <w:pPr>
        <w:numPr>
          <w:ilvl w:val="0"/>
          <w:numId w:val="12"/>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Troškulys, dažnas šlapinimasis, vaizdo ryškumo sumažėjimas ar kūno masės netekimas, kadangi šie simptomai gali rodyti padidėjusį cukraus kiekį kraujyje.</w:t>
      </w:r>
    </w:p>
    <w:p w14:paraId="30643147" w14:textId="77777777" w:rsidR="00CA08B3" w:rsidRPr="00FB2719" w:rsidRDefault="00CA08B3" w:rsidP="00CA08B3">
      <w:pPr>
        <w:numPr>
          <w:ilvl w:val="1"/>
          <w:numId w:val="8"/>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Pykinimas, vėmimas, pilvo skausmas, kadangi didelis trigliceridų kiekio (riebalų kraujyje) padidėjimas yra pankreatito (kasos uždegimo) rizikos faktorius, o minėti simptomai gali rodyti šį sutrikimą. </w:t>
      </w:r>
    </w:p>
    <w:p w14:paraId="0EC347CA" w14:textId="77777777" w:rsidR="00CA08B3" w:rsidRPr="00FB2719" w:rsidRDefault="00CA08B3" w:rsidP="00CA08B3">
      <w:pPr>
        <w:numPr>
          <w:ilvl w:val="0"/>
          <w:numId w:val="12"/>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Kai kuriems pacientams su progresavusia ŽIV infekcija ir buvusiomis oportunistinėmis infekcijomis, pradėjus ŽIV gydymą, dėl prieš tai buvusių infekcijų gali pasireikšti uždegimo požymių ir simptomų. Manoma, kad taip nutinka dėl organizmo imuninio atsako pagerėjimo, įgalinančio organizmą kovoti su infekcijomis, kurių anksčiau buvo, bet jos nepasireiškė jokiais simptomais. Be to, pradėjus vartoti vaistų nuo ŽIV infekcijos, prie oportunistinės infekcijos taip pat gali prisidėti autoimuniniai sutrikimai (tai būklė, kuri atsiranda imuninei sistemai atakuojant sveikus kūno audinius). Autoimuniniai sutrikimai gali atsirasti nuo gydymo pradžios praėjus daugeliui mėnesių. Jeigu pastebite bet kokių infekcijos simptomų ar tokių simptomų, kaip raumenų silpnumas, silpnumas, atsirandantis rankose ir pėdose ir plintantis į liemenį, nereguliarus ir dažnas juntamas širdies plakimas, tremoras (drebėjimas) ar hiperaktyvumas (pernelyg didelis aktyvumas), nedels</w:t>
      </w:r>
      <w:r w:rsidR="00BB3B4D" w:rsidRPr="00FB2719">
        <w:rPr>
          <w:rFonts w:eastAsia="Calibri"/>
          <w:color w:val="000000"/>
          <w:sz w:val="22"/>
          <w:szCs w:val="22"/>
          <w:lang w:eastAsia="lt-LT"/>
        </w:rPr>
        <w:t>dami</w:t>
      </w:r>
      <w:r w:rsidRPr="00FB2719">
        <w:rPr>
          <w:rFonts w:eastAsia="Calibri"/>
          <w:color w:val="000000"/>
          <w:sz w:val="22"/>
          <w:szCs w:val="22"/>
          <w:lang w:eastAsia="lt-LT"/>
        </w:rPr>
        <w:t xml:space="preserve"> praneškite savo gydytojui, kad būtų suteikta tinkama pagalba. </w:t>
      </w:r>
    </w:p>
    <w:p w14:paraId="74A5BF6F" w14:textId="77777777" w:rsidR="00CA08B3" w:rsidRPr="00FB2719" w:rsidRDefault="00CA08B3" w:rsidP="00CA08B3">
      <w:pPr>
        <w:numPr>
          <w:ilvl w:val="1"/>
          <w:numId w:val="8"/>
        </w:numPr>
        <w:autoSpaceDE w:val="0"/>
        <w:autoSpaceDN w:val="0"/>
        <w:adjustRightInd w:val="0"/>
        <w:ind w:left="567" w:hanging="567"/>
        <w:rPr>
          <w:rFonts w:eastAsia="Calibri"/>
          <w:color w:val="000000"/>
          <w:sz w:val="22"/>
          <w:szCs w:val="22"/>
          <w:lang w:eastAsia="lt-LT"/>
        </w:rPr>
      </w:pPr>
      <w:r w:rsidRPr="00FB2719">
        <w:rPr>
          <w:rFonts w:eastAsia="Calibri"/>
          <w:b/>
          <w:bCs/>
          <w:color w:val="000000"/>
          <w:sz w:val="22"/>
          <w:szCs w:val="22"/>
          <w:lang w:eastAsia="lt-LT"/>
        </w:rPr>
        <w:t xml:space="preserve">Sąnarių sustingimas, skausmas ar maudimas </w:t>
      </w:r>
      <w:r w:rsidRPr="00FB2719">
        <w:rPr>
          <w:rFonts w:eastAsia="Calibri"/>
          <w:color w:val="000000"/>
          <w:sz w:val="22"/>
          <w:szCs w:val="22"/>
          <w:lang w:eastAsia="lt-LT"/>
        </w:rPr>
        <w:t xml:space="preserve">(ypač klubo, kelio ar peties) ir pasunkėję judesiai, kadangi kai kuriems šiuos vaistus vartojantiems pacientams pasireiškia osteonekroze vadinama kaulų liga (kaulinio audinio žūtis dėl pablogėjusios kaulo kraujotakos). Kombinuoto antiretrovirusinio gydymo trukmė, kortikosteroidų vartojimas, alkoholio vartojimas, sunki imunosupresija (imuninės sistemos aktyvumo sumažinimas), didesnis kūno masės indeksas, gali būti vieni iš daugelio šios ligos rizikos faktorių. </w:t>
      </w:r>
    </w:p>
    <w:p w14:paraId="15AE083A" w14:textId="77777777" w:rsidR="00CA08B3" w:rsidRPr="00FB2719" w:rsidRDefault="00CA08B3" w:rsidP="00CA08B3">
      <w:pPr>
        <w:numPr>
          <w:ilvl w:val="1"/>
          <w:numId w:val="8"/>
        </w:numPr>
        <w:autoSpaceDE w:val="0"/>
        <w:autoSpaceDN w:val="0"/>
        <w:adjustRightInd w:val="0"/>
        <w:ind w:left="567" w:hanging="567"/>
        <w:rPr>
          <w:rFonts w:eastAsia="Calibri"/>
          <w:color w:val="000000"/>
          <w:sz w:val="22"/>
          <w:szCs w:val="22"/>
          <w:lang w:eastAsia="lt-LT"/>
        </w:rPr>
      </w:pPr>
      <w:r w:rsidRPr="00FB2719">
        <w:rPr>
          <w:rFonts w:eastAsia="Calibri"/>
          <w:b/>
          <w:bCs/>
          <w:color w:val="000000"/>
          <w:sz w:val="22"/>
          <w:szCs w:val="22"/>
          <w:lang w:eastAsia="lt-LT"/>
        </w:rPr>
        <w:t xml:space="preserve">Raumenų skausmas, </w:t>
      </w:r>
      <w:r w:rsidRPr="00FB2719">
        <w:rPr>
          <w:rFonts w:eastAsia="Calibri"/>
          <w:color w:val="000000"/>
          <w:sz w:val="22"/>
          <w:szCs w:val="22"/>
          <w:lang w:eastAsia="lt-LT"/>
        </w:rPr>
        <w:t xml:space="preserve">padidėjęs jautrumas ar silpnumas, ypač vartojant deriniuose su kitais vaistais. Retais atvejais šie raumenų sutrikimai buvo sunkūs. </w:t>
      </w:r>
    </w:p>
    <w:p w14:paraId="507E5922" w14:textId="77777777" w:rsidR="00CA08B3" w:rsidRPr="00FB2719" w:rsidRDefault="00CA08B3" w:rsidP="00CA08B3">
      <w:pPr>
        <w:numPr>
          <w:ilvl w:val="1"/>
          <w:numId w:val="8"/>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Galvos sukimasis, svaigimas, nualpimas ar nenormalaus širdies plakimo pojūtis. Lopinavir/Ritonavir Sandoz gali sukelti Jūsų širdies ritmo ir širdies elektrinio aktyvumo pokyčius. Šie pokyčiai gali būti matomi EKG (elektrokardiogramoje). </w:t>
      </w:r>
    </w:p>
    <w:p w14:paraId="1A2E52CF" w14:textId="77777777" w:rsidR="00CA08B3" w:rsidRPr="00FB2719" w:rsidRDefault="00CA08B3" w:rsidP="00CA08B3">
      <w:pPr>
        <w:autoSpaceDE w:val="0"/>
        <w:autoSpaceDN w:val="0"/>
        <w:adjustRightInd w:val="0"/>
        <w:rPr>
          <w:rFonts w:eastAsia="Calibri"/>
          <w:color w:val="000000"/>
          <w:sz w:val="22"/>
          <w:szCs w:val="22"/>
          <w:lang w:eastAsia="lt-LT"/>
        </w:rPr>
      </w:pPr>
    </w:p>
    <w:p w14:paraId="7E2B806C" w14:textId="77777777" w:rsidR="00CA08B3" w:rsidRPr="00FB2719" w:rsidRDefault="00CA08B3" w:rsidP="00CA08B3">
      <w:pPr>
        <w:autoSpaceDE w:val="0"/>
        <w:autoSpaceDN w:val="0"/>
        <w:adjustRightInd w:val="0"/>
        <w:rPr>
          <w:rFonts w:eastAsia="Calibri"/>
          <w:color w:val="000000"/>
          <w:sz w:val="22"/>
          <w:szCs w:val="22"/>
          <w:lang w:eastAsia="lt-LT"/>
        </w:rPr>
      </w:pPr>
      <w:r w:rsidRPr="00FB2719">
        <w:rPr>
          <w:rFonts w:eastAsia="Calibri"/>
          <w:b/>
          <w:bCs/>
          <w:color w:val="000000"/>
          <w:sz w:val="22"/>
          <w:szCs w:val="22"/>
          <w:lang w:eastAsia="lt-LT"/>
        </w:rPr>
        <w:t xml:space="preserve">Kiti vaistai ir Lopinavir/Ritonavir Sandoz </w:t>
      </w:r>
    </w:p>
    <w:p w14:paraId="65EABC66" w14:textId="77777777" w:rsidR="00CA08B3" w:rsidRPr="00FB2719" w:rsidRDefault="00CA08B3" w:rsidP="00CA08B3">
      <w:pPr>
        <w:autoSpaceDE w:val="0"/>
        <w:autoSpaceDN w:val="0"/>
        <w:adjustRightInd w:val="0"/>
        <w:rPr>
          <w:rFonts w:eastAsia="Calibri"/>
          <w:b/>
          <w:color w:val="000000"/>
          <w:sz w:val="22"/>
          <w:szCs w:val="22"/>
          <w:lang w:eastAsia="lt-LT"/>
        </w:rPr>
      </w:pPr>
      <w:r w:rsidRPr="00FB2719">
        <w:rPr>
          <w:rFonts w:eastAsia="Calibri"/>
          <w:b/>
          <w:bCs/>
          <w:color w:val="000000"/>
          <w:sz w:val="22"/>
          <w:szCs w:val="22"/>
          <w:lang w:eastAsia="lt-LT"/>
        </w:rPr>
        <w:t xml:space="preserve">Jeigu </w:t>
      </w:r>
      <w:r w:rsidR="00EA7982" w:rsidRPr="00FB2719">
        <w:rPr>
          <w:rFonts w:eastAsia="Calibri"/>
          <w:b/>
          <w:bCs/>
          <w:color w:val="000000"/>
          <w:sz w:val="22"/>
          <w:szCs w:val="22"/>
          <w:lang w:eastAsia="lt-LT"/>
        </w:rPr>
        <w:t xml:space="preserve">Jūs arba Jūsų vaikas </w:t>
      </w:r>
      <w:r w:rsidRPr="00FB2719">
        <w:rPr>
          <w:rFonts w:eastAsia="Calibri"/>
          <w:b/>
          <w:bCs/>
          <w:color w:val="000000"/>
          <w:sz w:val="22"/>
          <w:szCs w:val="22"/>
          <w:lang w:eastAsia="lt-LT"/>
        </w:rPr>
        <w:t xml:space="preserve">vartojate ar neseniai vartojote kitų vaistų arba dėl to nesate tikri, apie tai pasakykite </w:t>
      </w:r>
      <w:r w:rsidRPr="00FB2719">
        <w:rPr>
          <w:rFonts w:eastAsia="Calibri"/>
          <w:b/>
          <w:bCs/>
          <w:color w:val="000000"/>
          <w:sz w:val="22"/>
          <w:szCs w:val="22"/>
          <w:u w:val="single"/>
          <w:lang w:eastAsia="lt-LT"/>
        </w:rPr>
        <w:t>gydytojui arba vaistininkui:</w:t>
      </w:r>
      <w:r w:rsidRPr="00FB2719">
        <w:rPr>
          <w:rFonts w:eastAsia="Calibri"/>
          <w:b/>
          <w:bCs/>
          <w:color w:val="000000"/>
          <w:sz w:val="22"/>
          <w:szCs w:val="22"/>
          <w:lang w:eastAsia="lt-LT"/>
        </w:rPr>
        <w:t xml:space="preserve"> </w:t>
      </w:r>
    </w:p>
    <w:p w14:paraId="794A76FC" w14:textId="77777777" w:rsidR="00CA08B3" w:rsidRPr="00FB2719" w:rsidRDefault="00CA08B3" w:rsidP="00CA08B3">
      <w:pPr>
        <w:numPr>
          <w:ilvl w:val="1"/>
          <w:numId w:val="13"/>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antibiotikų (pvz., rifabutino, rifampicino, klaritromicino); </w:t>
      </w:r>
    </w:p>
    <w:p w14:paraId="38C38AE6" w14:textId="77777777" w:rsidR="00CA08B3" w:rsidRPr="00FB2719" w:rsidRDefault="00CA08B3" w:rsidP="00CA08B3">
      <w:pPr>
        <w:numPr>
          <w:ilvl w:val="1"/>
          <w:numId w:val="13"/>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priešvėžinių vaistų (pvz., </w:t>
      </w:r>
      <w:r w:rsidR="006852D5" w:rsidRPr="00FB2719">
        <w:rPr>
          <w:rFonts w:eastAsia="Calibri"/>
          <w:color w:val="000000"/>
          <w:sz w:val="22"/>
          <w:szCs w:val="22"/>
          <w:lang w:eastAsia="lt-LT"/>
        </w:rPr>
        <w:t xml:space="preserve">afatinibo, ceritinibo, </w:t>
      </w:r>
      <w:r w:rsidR="00EA7982" w:rsidRPr="00FB2719">
        <w:rPr>
          <w:rFonts w:eastAsia="Calibri"/>
          <w:color w:val="000000"/>
          <w:sz w:val="22"/>
          <w:szCs w:val="22"/>
          <w:lang w:eastAsia="lt-LT"/>
        </w:rPr>
        <w:t xml:space="preserve">viburutinibo, venetoklakso, </w:t>
      </w:r>
      <w:r w:rsidRPr="00FB2719">
        <w:rPr>
          <w:rFonts w:eastAsia="Calibri"/>
          <w:color w:val="000000"/>
          <w:sz w:val="22"/>
          <w:szCs w:val="22"/>
          <w:lang w:eastAsia="lt-LT"/>
        </w:rPr>
        <w:t xml:space="preserve">daugumos tirozino kinazių inhibitorių, tokių, kaip dazatinibas ir nilotinibas, taip pat vinkristino ir vinblastino); </w:t>
      </w:r>
    </w:p>
    <w:p w14:paraId="40B45C04" w14:textId="77777777" w:rsidR="00CA08B3" w:rsidRPr="00FB2719" w:rsidRDefault="00CA08B3" w:rsidP="00CA08B3">
      <w:pPr>
        <w:numPr>
          <w:ilvl w:val="1"/>
          <w:numId w:val="13"/>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antikoaguliantų (pvz., varfarino, rivaroksabano</w:t>
      </w:r>
      <w:r w:rsidR="006852D5" w:rsidRPr="00FB2719">
        <w:rPr>
          <w:rFonts w:eastAsia="Calibri"/>
          <w:color w:val="000000"/>
          <w:sz w:val="22"/>
          <w:szCs w:val="22"/>
          <w:lang w:eastAsia="lt-LT"/>
        </w:rPr>
        <w:t>, vorapaksaro</w:t>
      </w:r>
      <w:r w:rsidRPr="00FB2719">
        <w:rPr>
          <w:rFonts w:eastAsia="Calibri"/>
          <w:color w:val="000000"/>
          <w:sz w:val="22"/>
          <w:szCs w:val="22"/>
          <w:lang w:eastAsia="lt-LT"/>
        </w:rPr>
        <w:t xml:space="preserve">); </w:t>
      </w:r>
    </w:p>
    <w:p w14:paraId="623AE3B6" w14:textId="77777777" w:rsidR="00CA08B3" w:rsidRPr="00FB2719" w:rsidRDefault="00CA08B3" w:rsidP="00CA08B3">
      <w:pPr>
        <w:numPr>
          <w:ilvl w:val="1"/>
          <w:numId w:val="13"/>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antidepresantų (pvz., trazodono, bupropiono); </w:t>
      </w:r>
    </w:p>
    <w:p w14:paraId="083EAA4B" w14:textId="77777777" w:rsidR="00CA08B3" w:rsidRPr="00FB2719" w:rsidRDefault="00CA08B3" w:rsidP="00CA08B3">
      <w:pPr>
        <w:numPr>
          <w:ilvl w:val="1"/>
          <w:numId w:val="13"/>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vaistų nuo epilepsijos (pvz., karbamazepino, fenitoino, fenobarbitalio, lamotrigino ir valproato); </w:t>
      </w:r>
    </w:p>
    <w:p w14:paraId="6717A54F" w14:textId="77777777" w:rsidR="00CA08B3" w:rsidRPr="00FB2719" w:rsidRDefault="00CA08B3" w:rsidP="00CA08B3">
      <w:pPr>
        <w:numPr>
          <w:ilvl w:val="1"/>
          <w:numId w:val="13"/>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priešgrybelinių vaistų (pvz., ketokonazolo, itrakonazolo, vorikonazolo); </w:t>
      </w:r>
    </w:p>
    <w:p w14:paraId="112DAC08" w14:textId="77777777" w:rsidR="00CA08B3" w:rsidRPr="00FB2719" w:rsidRDefault="00CA08B3" w:rsidP="00CA08B3">
      <w:pPr>
        <w:numPr>
          <w:ilvl w:val="1"/>
          <w:numId w:val="13"/>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vaistų nuo podagros (pvz., kolchicino)</w:t>
      </w:r>
      <w:r w:rsidR="006852D5" w:rsidRPr="00FB2719">
        <w:rPr>
          <w:rFonts w:eastAsia="Calibri"/>
          <w:color w:val="000000"/>
          <w:sz w:val="22"/>
          <w:szCs w:val="22"/>
          <w:lang w:eastAsia="lt-LT"/>
        </w:rPr>
        <w:t xml:space="preserve">. </w:t>
      </w:r>
      <w:r w:rsidR="006852D5" w:rsidRPr="00FB2719">
        <w:rPr>
          <w:rFonts w:eastAsia="Calibri"/>
          <w:b/>
          <w:bCs/>
          <w:color w:val="000000"/>
          <w:sz w:val="22"/>
          <w:szCs w:val="22"/>
          <w:lang w:eastAsia="lt-LT"/>
        </w:rPr>
        <w:t>Lopinavir/Ritonavir Sandoz</w:t>
      </w:r>
      <w:r w:rsidR="006852D5" w:rsidRPr="00FB2719">
        <w:rPr>
          <w:rFonts w:eastAsia="Calibri"/>
          <w:bCs/>
          <w:color w:val="000000"/>
          <w:sz w:val="22"/>
          <w:szCs w:val="22"/>
          <w:lang w:eastAsia="lt-LT"/>
        </w:rPr>
        <w:t xml:space="preserve"> </w:t>
      </w:r>
      <w:r w:rsidR="006852D5" w:rsidRPr="00FB2719">
        <w:rPr>
          <w:rFonts w:eastAsiaTheme="minorHAnsi"/>
          <w:sz w:val="22"/>
          <w:szCs w:val="22"/>
        </w:rPr>
        <w:t>negalima vartoti su kolchicinu, jei Jums yra sutrikusi inkst</w:t>
      </w:r>
      <w:r w:rsidR="006852D5" w:rsidRPr="00FB2719">
        <w:rPr>
          <w:rFonts w:eastAsiaTheme="minorHAnsi" w:hint="eastAsia"/>
          <w:sz w:val="22"/>
          <w:szCs w:val="22"/>
        </w:rPr>
        <w:t>ų</w:t>
      </w:r>
      <w:r w:rsidR="006852D5" w:rsidRPr="00FB2719">
        <w:rPr>
          <w:rFonts w:eastAsiaTheme="minorHAnsi"/>
          <w:sz w:val="22"/>
          <w:szCs w:val="22"/>
        </w:rPr>
        <w:t xml:space="preserve"> ir </w:t>
      </w:r>
      <w:r w:rsidR="004D2D1E" w:rsidRPr="00FB2719">
        <w:rPr>
          <w:rFonts w:eastAsiaTheme="minorHAnsi"/>
          <w:sz w:val="22"/>
          <w:szCs w:val="22"/>
        </w:rPr>
        <w:t>(</w:t>
      </w:r>
      <w:r w:rsidR="006852D5" w:rsidRPr="00FB2719">
        <w:rPr>
          <w:rFonts w:eastAsiaTheme="minorHAnsi"/>
          <w:sz w:val="22"/>
          <w:szCs w:val="22"/>
        </w:rPr>
        <w:t>ar</w:t>
      </w:r>
      <w:r w:rsidR="004D2D1E" w:rsidRPr="00FB2719">
        <w:rPr>
          <w:rFonts w:eastAsiaTheme="minorHAnsi"/>
          <w:sz w:val="22"/>
          <w:szCs w:val="22"/>
        </w:rPr>
        <w:t>ba)</w:t>
      </w:r>
      <w:r w:rsidR="006852D5" w:rsidRPr="00FB2719">
        <w:rPr>
          <w:rFonts w:eastAsiaTheme="minorHAnsi"/>
          <w:sz w:val="22"/>
          <w:szCs w:val="22"/>
        </w:rPr>
        <w:t xml:space="preserve"> kepen</w:t>
      </w:r>
      <w:r w:rsidR="006852D5" w:rsidRPr="00FB2719">
        <w:rPr>
          <w:rFonts w:eastAsiaTheme="minorHAnsi" w:hint="eastAsia"/>
          <w:sz w:val="22"/>
          <w:szCs w:val="22"/>
        </w:rPr>
        <w:t>ų</w:t>
      </w:r>
      <w:r w:rsidR="006852D5" w:rsidRPr="00FB2719">
        <w:rPr>
          <w:rFonts w:eastAsiaTheme="minorHAnsi"/>
          <w:sz w:val="22"/>
          <w:szCs w:val="22"/>
        </w:rPr>
        <w:t xml:space="preserve"> veikla (taip pat žr. „</w:t>
      </w:r>
      <w:r w:rsidR="006852D5" w:rsidRPr="00FB2719">
        <w:rPr>
          <w:rFonts w:eastAsia="Calibri"/>
          <w:b/>
          <w:bCs/>
          <w:color w:val="000000"/>
          <w:sz w:val="22"/>
          <w:szCs w:val="22"/>
          <w:lang w:eastAsia="lt-LT"/>
        </w:rPr>
        <w:t>Lopinavir/Ritonavir Sandoz</w:t>
      </w:r>
      <w:r w:rsidR="006852D5" w:rsidRPr="00FB2719">
        <w:rPr>
          <w:rFonts w:eastAsiaTheme="minorHAnsi"/>
          <w:b/>
          <w:sz w:val="22"/>
          <w:szCs w:val="22"/>
        </w:rPr>
        <w:t xml:space="preserve"> vartoti negalima</w:t>
      </w:r>
      <w:r w:rsidR="006852D5" w:rsidRPr="00FB2719">
        <w:rPr>
          <w:rFonts w:eastAsiaTheme="minorHAnsi"/>
          <w:sz w:val="22"/>
          <w:szCs w:val="22"/>
        </w:rPr>
        <w:t>“ auk</w:t>
      </w:r>
      <w:r w:rsidR="006852D5" w:rsidRPr="00FB2719">
        <w:rPr>
          <w:rFonts w:eastAsiaTheme="minorHAnsi" w:hint="eastAsia"/>
          <w:sz w:val="22"/>
          <w:szCs w:val="22"/>
        </w:rPr>
        <w:t>šč</w:t>
      </w:r>
      <w:r w:rsidR="006852D5" w:rsidRPr="00FB2719">
        <w:rPr>
          <w:rFonts w:eastAsiaTheme="minorHAnsi"/>
          <w:sz w:val="22"/>
          <w:szCs w:val="22"/>
        </w:rPr>
        <w:t>iau);</w:t>
      </w:r>
    </w:p>
    <w:p w14:paraId="202D6AB4" w14:textId="77777777" w:rsidR="006852D5" w:rsidRPr="00FB2719" w:rsidRDefault="006852D5" w:rsidP="00CA08B3">
      <w:pPr>
        <w:numPr>
          <w:ilvl w:val="1"/>
          <w:numId w:val="13"/>
        </w:numPr>
        <w:autoSpaceDE w:val="0"/>
        <w:autoSpaceDN w:val="0"/>
        <w:adjustRightInd w:val="0"/>
        <w:ind w:left="567" w:hanging="567"/>
        <w:rPr>
          <w:rFonts w:eastAsia="Calibri"/>
          <w:bCs/>
          <w:color w:val="000000"/>
          <w:sz w:val="22"/>
          <w:szCs w:val="22"/>
          <w:lang w:eastAsia="lt-LT"/>
        </w:rPr>
      </w:pPr>
      <w:r w:rsidRPr="00FB2719">
        <w:rPr>
          <w:rFonts w:eastAsia="Calibri"/>
          <w:bCs/>
          <w:color w:val="000000"/>
          <w:sz w:val="22"/>
          <w:szCs w:val="22"/>
          <w:lang w:eastAsia="lt-LT"/>
        </w:rPr>
        <w:t>vaisto nuo tuberkulioz</w:t>
      </w:r>
      <w:r w:rsidR="00CF6C09" w:rsidRPr="00FB2719">
        <w:rPr>
          <w:rFonts w:eastAsia="Calibri"/>
          <w:bCs/>
          <w:color w:val="000000"/>
          <w:sz w:val="22"/>
          <w:szCs w:val="22"/>
          <w:lang w:eastAsia="lt-LT"/>
        </w:rPr>
        <w:t>ės</w:t>
      </w:r>
      <w:r w:rsidRPr="00FB2719">
        <w:rPr>
          <w:rFonts w:eastAsia="Calibri"/>
          <w:bCs/>
          <w:color w:val="000000"/>
          <w:sz w:val="22"/>
          <w:szCs w:val="22"/>
          <w:lang w:eastAsia="lt-LT"/>
        </w:rPr>
        <w:t xml:space="preserve"> </w:t>
      </w:r>
      <w:r w:rsidR="00CF6C09" w:rsidRPr="00FB2719">
        <w:rPr>
          <w:rFonts w:eastAsia="Calibri"/>
          <w:bCs/>
          <w:color w:val="000000"/>
          <w:sz w:val="22"/>
          <w:szCs w:val="22"/>
          <w:lang w:eastAsia="lt-LT"/>
        </w:rPr>
        <w:t>(bedakvilino</w:t>
      </w:r>
      <w:r w:rsidRPr="00FB2719">
        <w:rPr>
          <w:rFonts w:eastAsia="Calibri"/>
          <w:bCs/>
          <w:color w:val="000000"/>
          <w:sz w:val="22"/>
          <w:szCs w:val="22"/>
          <w:lang w:eastAsia="lt-LT"/>
        </w:rPr>
        <w:t>, delamanido);</w:t>
      </w:r>
    </w:p>
    <w:p w14:paraId="09632CEC" w14:textId="77777777" w:rsidR="00CA08B3" w:rsidRPr="00FB2719" w:rsidRDefault="00402F3F" w:rsidP="00CA08B3">
      <w:pPr>
        <w:numPr>
          <w:ilvl w:val="1"/>
          <w:numId w:val="13"/>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priešvirusinio </w:t>
      </w:r>
      <w:r w:rsidR="00CA08B3" w:rsidRPr="00FB2719">
        <w:rPr>
          <w:rFonts w:eastAsia="Calibri"/>
          <w:color w:val="000000"/>
          <w:sz w:val="22"/>
          <w:szCs w:val="22"/>
          <w:lang w:eastAsia="lt-LT"/>
        </w:rPr>
        <w:t xml:space="preserve">vaisto, vartojamo suaugusių žmonių lėtiniam hepatitui C (HCV) gydyti (pvz., bocepreviro, simepreviro ir telapreviro); </w:t>
      </w:r>
    </w:p>
    <w:p w14:paraId="3CBF0FAF" w14:textId="77777777" w:rsidR="00CA08B3" w:rsidRPr="00FB2719" w:rsidRDefault="00CA08B3" w:rsidP="00CA08B3">
      <w:pPr>
        <w:numPr>
          <w:ilvl w:val="1"/>
          <w:numId w:val="13"/>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vaistų erekcijos sutrikimams gydyti (pvz., sildenafilio ir tadalafilio); </w:t>
      </w:r>
    </w:p>
    <w:p w14:paraId="08C97E06" w14:textId="77777777" w:rsidR="00CA08B3" w:rsidRPr="00FB2719" w:rsidRDefault="00CA08B3" w:rsidP="00CA08B3">
      <w:pPr>
        <w:numPr>
          <w:ilvl w:val="1"/>
          <w:numId w:val="13"/>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fuzido rūgšties, vartojamos lėtinėms kaulų ir sąnarių infekcinėms ligoms (pvz., osteomielitui) gydyti;</w:t>
      </w:r>
    </w:p>
    <w:p w14:paraId="34F470AA" w14:textId="77777777" w:rsidR="00CA08B3" w:rsidRPr="00FB2719" w:rsidRDefault="00CA08B3" w:rsidP="00CA08B3">
      <w:pPr>
        <w:numPr>
          <w:ilvl w:val="0"/>
          <w:numId w:val="13"/>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vaistų nuo širdies ligų, įskaitant: </w:t>
      </w:r>
    </w:p>
    <w:p w14:paraId="20930459" w14:textId="77777777" w:rsidR="00CA08B3" w:rsidRPr="00FB2719" w:rsidRDefault="00CA08B3" w:rsidP="00CA08B3">
      <w:pPr>
        <w:autoSpaceDE w:val="0"/>
        <w:autoSpaceDN w:val="0"/>
        <w:adjustRightInd w:val="0"/>
        <w:ind w:left="567"/>
        <w:rPr>
          <w:rFonts w:eastAsia="Calibri"/>
          <w:color w:val="000000"/>
          <w:sz w:val="22"/>
          <w:szCs w:val="22"/>
          <w:lang w:eastAsia="lt-LT"/>
        </w:rPr>
      </w:pPr>
      <w:r w:rsidRPr="00FB2719">
        <w:rPr>
          <w:rFonts w:eastAsia="Calibri"/>
          <w:color w:val="000000"/>
          <w:sz w:val="22"/>
          <w:szCs w:val="22"/>
          <w:lang w:eastAsia="lt-LT"/>
        </w:rPr>
        <w:t xml:space="preserve">− digoksiną; </w:t>
      </w:r>
    </w:p>
    <w:p w14:paraId="431A94F6" w14:textId="77777777" w:rsidR="00CA08B3" w:rsidRPr="00FB2719" w:rsidRDefault="00CA08B3" w:rsidP="00CA08B3">
      <w:pPr>
        <w:autoSpaceDE w:val="0"/>
        <w:autoSpaceDN w:val="0"/>
        <w:adjustRightInd w:val="0"/>
        <w:ind w:left="567"/>
        <w:rPr>
          <w:rFonts w:eastAsia="Calibri"/>
          <w:color w:val="000000"/>
          <w:sz w:val="22"/>
          <w:szCs w:val="22"/>
          <w:lang w:eastAsia="lt-LT"/>
        </w:rPr>
      </w:pPr>
      <w:r w:rsidRPr="00FB2719">
        <w:rPr>
          <w:rFonts w:eastAsia="Calibri"/>
          <w:color w:val="000000"/>
          <w:sz w:val="22"/>
          <w:szCs w:val="22"/>
          <w:lang w:eastAsia="lt-LT"/>
        </w:rPr>
        <w:t xml:space="preserve">− kalcio kanalų blokatorius (pvz., felodipiną, nifedipiną, nikardipiną); </w:t>
      </w:r>
    </w:p>
    <w:p w14:paraId="6DD177E8" w14:textId="77777777" w:rsidR="00CA08B3" w:rsidRPr="00FB2719" w:rsidRDefault="00CA08B3" w:rsidP="00CA08B3">
      <w:pPr>
        <w:autoSpaceDE w:val="0"/>
        <w:autoSpaceDN w:val="0"/>
        <w:adjustRightInd w:val="0"/>
        <w:ind w:left="851" w:hanging="284"/>
        <w:rPr>
          <w:rFonts w:eastAsia="Calibri"/>
          <w:color w:val="000000"/>
          <w:sz w:val="22"/>
          <w:szCs w:val="22"/>
          <w:lang w:eastAsia="lt-LT"/>
        </w:rPr>
      </w:pPr>
      <w:r w:rsidRPr="00FB2719">
        <w:rPr>
          <w:rFonts w:eastAsia="Calibri"/>
          <w:color w:val="000000"/>
          <w:sz w:val="22"/>
          <w:szCs w:val="22"/>
          <w:lang w:eastAsia="lt-LT"/>
        </w:rPr>
        <w:t xml:space="preserve">− vaistus, vartojamus širdies ritmui koreguoti (pvz., bepridilį, sisteminio veikimo lidokainą, chinidiną); </w:t>
      </w:r>
    </w:p>
    <w:p w14:paraId="17F1F79E" w14:textId="77777777" w:rsidR="00CA08B3" w:rsidRPr="00FB2719" w:rsidRDefault="00CA08B3" w:rsidP="00CA08B3">
      <w:pPr>
        <w:numPr>
          <w:ilvl w:val="1"/>
          <w:numId w:val="14"/>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lastRenderedPageBreak/>
        <w:t xml:space="preserve">ŽIV CCR5 antagonisto (pvz., maraviroko); </w:t>
      </w:r>
    </w:p>
    <w:p w14:paraId="38B53773" w14:textId="77777777" w:rsidR="00CA08B3" w:rsidRPr="00FB2719" w:rsidRDefault="00CA08B3" w:rsidP="00CA08B3">
      <w:pPr>
        <w:numPr>
          <w:ilvl w:val="1"/>
          <w:numId w:val="14"/>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ŽIV-1 integrazės inhibitoriaus (pvz., raltegraviro); </w:t>
      </w:r>
    </w:p>
    <w:p w14:paraId="1B1D0275" w14:textId="77777777" w:rsidR="00EA7982" w:rsidRPr="00FB2719" w:rsidRDefault="00EA7982" w:rsidP="00CA08B3">
      <w:pPr>
        <w:numPr>
          <w:ilvl w:val="1"/>
          <w:numId w:val="14"/>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levotiroksino (vartojamo skydliauskės sutrikimams gydyti);</w:t>
      </w:r>
    </w:p>
    <w:p w14:paraId="42F40783" w14:textId="77777777" w:rsidR="00CA08B3" w:rsidRPr="00FB2719" w:rsidRDefault="00CA08B3" w:rsidP="00CA08B3">
      <w:pPr>
        <w:numPr>
          <w:ilvl w:val="1"/>
          <w:numId w:val="14"/>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vaistų, vartojamų cholesterolio kiekiui kraujyje mažinti (pvz., atorvastatino, lovastatino, rozuvastatino ar simvastatino); </w:t>
      </w:r>
    </w:p>
    <w:p w14:paraId="26D11198" w14:textId="77777777" w:rsidR="00CA08B3" w:rsidRPr="00FB2719" w:rsidRDefault="00CA08B3" w:rsidP="00CA08B3">
      <w:pPr>
        <w:numPr>
          <w:ilvl w:val="1"/>
          <w:numId w:val="14"/>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vaistų, vartojamų astmai ar kitoms plaučių ligoms, pvz., lėtinei obstrukcinei plaučių ligai (LOPL), gydyti (pvz., salmeterolio); </w:t>
      </w:r>
    </w:p>
    <w:p w14:paraId="3D9CC85D" w14:textId="77777777" w:rsidR="00CA08B3" w:rsidRPr="00FB2719" w:rsidRDefault="00CA08B3" w:rsidP="00CA08B3">
      <w:pPr>
        <w:numPr>
          <w:ilvl w:val="1"/>
          <w:numId w:val="14"/>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vaistų, vartojamų plautinei arterinei hipertenzijai (aukštam kraujospūdžiui plaučių arterijoje) gydyti (pvz., bozentano,</w:t>
      </w:r>
      <w:r w:rsidR="00402F3F" w:rsidRPr="00FB2719">
        <w:rPr>
          <w:rFonts w:eastAsia="Calibri"/>
          <w:color w:val="000000"/>
          <w:sz w:val="22"/>
          <w:szCs w:val="22"/>
          <w:lang w:eastAsia="lt-LT"/>
        </w:rPr>
        <w:t xml:space="preserve"> riociguato,</w:t>
      </w:r>
      <w:r w:rsidRPr="00FB2719">
        <w:rPr>
          <w:rFonts w:eastAsia="Calibri"/>
          <w:color w:val="000000"/>
          <w:sz w:val="22"/>
          <w:szCs w:val="22"/>
          <w:lang w:eastAsia="lt-LT"/>
        </w:rPr>
        <w:t xml:space="preserve"> sildenafilio, tadalafilio); </w:t>
      </w:r>
    </w:p>
    <w:p w14:paraId="42BF70F3" w14:textId="77777777" w:rsidR="00CA08B3" w:rsidRPr="00FB2719" w:rsidRDefault="00CA08B3" w:rsidP="00CA08B3">
      <w:pPr>
        <w:numPr>
          <w:ilvl w:val="1"/>
          <w:numId w:val="14"/>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imuninę sistemą veikiančius vaistų, pvz., ciklosporino, sirolimuzo (rapamicino), takrolimuzo; </w:t>
      </w:r>
    </w:p>
    <w:p w14:paraId="455CF9F6" w14:textId="77777777" w:rsidR="00CA08B3" w:rsidRPr="00FB2719" w:rsidRDefault="00CA08B3" w:rsidP="00CA08B3">
      <w:pPr>
        <w:numPr>
          <w:ilvl w:val="1"/>
          <w:numId w:val="14"/>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vaistų, vartojamų norint mesti rūkyti (pvz., bupropiono); </w:t>
      </w:r>
    </w:p>
    <w:p w14:paraId="1AEE2A7C" w14:textId="77777777" w:rsidR="00CA08B3" w:rsidRPr="00FB2719" w:rsidRDefault="00CA08B3" w:rsidP="00CA08B3">
      <w:pPr>
        <w:numPr>
          <w:ilvl w:val="1"/>
          <w:numId w:val="14"/>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vaistų, vartojamų skausmui malšinti (pvz., fentanilio); </w:t>
      </w:r>
    </w:p>
    <w:p w14:paraId="3DE0A1E7" w14:textId="77777777" w:rsidR="00CA08B3" w:rsidRPr="00FB2719" w:rsidRDefault="00CA08B3" w:rsidP="00CA08B3">
      <w:pPr>
        <w:numPr>
          <w:ilvl w:val="1"/>
          <w:numId w:val="14"/>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į morfiną panašių vaistų (pvz., metadono); </w:t>
      </w:r>
    </w:p>
    <w:p w14:paraId="6DAFE000" w14:textId="77777777" w:rsidR="00CA08B3" w:rsidRPr="00FB2719" w:rsidRDefault="00CA08B3" w:rsidP="00CA08B3">
      <w:pPr>
        <w:numPr>
          <w:ilvl w:val="1"/>
          <w:numId w:val="14"/>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ne nukleozido atvirkštinės transkriptazės inhibitorių (NNATI), pvz., efavirenzo, nevirapino;</w:t>
      </w:r>
    </w:p>
    <w:p w14:paraId="0F314BFA" w14:textId="77777777" w:rsidR="00CA08B3" w:rsidRPr="00FB2719" w:rsidRDefault="00CA08B3" w:rsidP="00CA08B3">
      <w:pPr>
        <w:numPr>
          <w:ilvl w:val="1"/>
          <w:numId w:val="14"/>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geriamųjų kontraceptikų ar kontraceptinį pleistrą, vartojamą nėštumui išvengti (taip pat žr. žemiau skyrių, pavadintą </w:t>
      </w:r>
      <w:r w:rsidRPr="00FB2719">
        <w:rPr>
          <w:rFonts w:eastAsia="Calibri"/>
          <w:b/>
          <w:color w:val="000000"/>
          <w:sz w:val="22"/>
        </w:rPr>
        <w:t>„</w:t>
      </w:r>
      <w:r w:rsidRPr="00FB2719">
        <w:rPr>
          <w:rFonts w:eastAsia="Calibri"/>
          <w:b/>
          <w:bCs/>
          <w:color w:val="000000"/>
          <w:sz w:val="22"/>
          <w:szCs w:val="22"/>
          <w:lang w:eastAsia="lt-LT"/>
        </w:rPr>
        <w:t>Kontraceptiniai preparatai“</w:t>
      </w:r>
      <w:r w:rsidRPr="00FB2719">
        <w:rPr>
          <w:rFonts w:eastAsia="Calibri"/>
          <w:color w:val="000000"/>
          <w:sz w:val="22"/>
          <w:szCs w:val="22"/>
          <w:lang w:eastAsia="lt-LT"/>
        </w:rPr>
        <w:t xml:space="preserve">); </w:t>
      </w:r>
    </w:p>
    <w:p w14:paraId="713C5F8D" w14:textId="77777777" w:rsidR="00CA08B3" w:rsidRPr="00FB2719" w:rsidRDefault="00CA08B3" w:rsidP="00CA08B3">
      <w:pPr>
        <w:numPr>
          <w:ilvl w:val="1"/>
          <w:numId w:val="15"/>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proteazės inhibitorių (pvz., fosamprenaviro, indinaviro, ritonaviro, sakvinaviro, tipranaviro); </w:t>
      </w:r>
    </w:p>
    <w:p w14:paraId="342AAB18" w14:textId="77777777" w:rsidR="00CA08B3" w:rsidRPr="00FB2719" w:rsidRDefault="00CA08B3" w:rsidP="00CA08B3">
      <w:pPr>
        <w:numPr>
          <w:ilvl w:val="1"/>
          <w:numId w:val="15"/>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raminamųjų preparatų (pvz., injekcijomis vartojamo midazolamo); </w:t>
      </w:r>
    </w:p>
    <w:p w14:paraId="63F28FC2" w14:textId="77777777" w:rsidR="00CA08B3" w:rsidRPr="00FB2719" w:rsidRDefault="00CA08B3" w:rsidP="00CA08B3">
      <w:pPr>
        <w:numPr>
          <w:ilvl w:val="1"/>
          <w:numId w:val="15"/>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steroidų (pvz., budezonido, deksametazono, flutikazono propionato, etinilestradiolio</w:t>
      </w:r>
      <w:r w:rsidR="00EA7982" w:rsidRPr="00FB2719">
        <w:rPr>
          <w:rFonts w:eastAsia="Calibri"/>
          <w:color w:val="000000"/>
          <w:sz w:val="22"/>
          <w:szCs w:val="22"/>
          <w:lang w:eastAsia="lt-LT"/>
        </w:rPr>
        <w:t>, triamcinolono</w:t>
      </w:r>
      <w:r w:rsidRPr="00FB2719">
        <w:rPr>
          <w:rFonts w:eastAsia="Calibri"/>
          <w:color w:val="000000"/>
          <w:sz w:val="22"/>
          <w:szCs w:val="22"/>
          <w:lang w:eastAsia="lt-LT"/>
        </w:rPr>
        <w:t xml:space="preserve">). </w:t>
      </w:r>
    </w:p>
    <w:p w14:paraId="6B81EFB9" w14:textId="77777777" w:rsidR="00EA7982" w:rsidRPr="00FB2719" w:rsidRDefault="00EA7982" w:rsidP="00CA08B3">
      <w:pPr>
        <w:autoSpaceDE w:val="0"/>
        <w:autoSpaceDN w:val="0"/>
        <w:adjustRightInd w:val="0"/>
        <w:rPr>
          <w:rFonts w:eastAsia="Calibri"/>
          <w:color w:val="000000"/>
          <w:sz w:val="22"/>
          <w:szCs w:val="22"/>
          <w:lang w:eastAsia="lt-LT"/>
        </w:rPr>
      </w:pPr>
    </w:p>
    <w:p w14:paraId="143C5C89" w14:textId="77777777" w:rsidR="00CA08B3" w:rsidRPr="00FB2719" w:rsidRDefault="00CA08B3" w:rsidP="00CA08B3">
      <w:pPr>
        <w:autoSpaceDE w:val="0"/>
        <w:autoSpaceDN w:val="0"/>
        <w:adjustRightInd w:val="0"/>
        <w:rPr>
          <w:rFonts w:eastAsia="Calibri"/>
          <w:color w:val="000000"/>
          <w:sz w:val="22"/>
          <w:szCs w:val="22"/>
          <w:lang w:eastAsia="lt-LT"/>
        </w:rPr>
      </w:pPr>
      <w:r w:rsidRPr="00FB2719">
        <w:rPr>
          <w:rFonts w:eastAsia="Calibri"/>
          <w:b/>
          <w:bCs/>
          <w:color w:val="000000"/>
          <w:sz w:val="22"/>
          <w:szCs w:val="22"/>
          <w:lang w:eastAsia="lt-LT"/>
        </w:rPr>
        <w:t xml:space="preserve">Perskaitykite vaistų sąrašą </w:t>
      </w:r>
      <w:r w:rsidR="00EA7982" w:rsidRPr="00FB2719">
        <w:rPr>
          <w:rFonts w:eastAsia="Calibri"/>
          <w:b/>
          <w:bCs/>
          <w:color w:val="000000"/>
          <w:sz w:val="22"/>
          <w:szCs w:val="22"/>
          <w:lang w:eastAsia="lt-LT"/>
        </w:rPr>
        <w:t xml:space="preserve">viršuje esančiame </w:t>
      </w:r>
      <w:r w:rsidRPr="00FB2719">
        <w:rPr>
          <w:rFonts w:eastAsia="Calibri"/>
          <w:b/>
          <w:bCs/>
          <w:color w:val="000000"/>
          <w:sz w:val="22"/>
          <w:szCs w:val="22"/>
          <w:lang w:eastAsia="lt-LT"/>
        </w:rPr>
        <w:t>skyriuje „Nevartokite</w:t>
      </w:r>
      <w:r w:rsidRPr="00FB2719">
        <w:rPr>
          <w:b/>
          <w:sz w:val="22"/>
          <w:szCs w:val="22"/>
        </w:rPr>
        <w:t xml:space="preserve"> Lopinavir/Ritonavir Sandoz </w:t>
      </w:r>
      <w:r w:rsidRPr="00FB2719">
        <w:rPr>
          <w:rFonts w:eastAsia="Calibri"/>
          <w:b/>
          <w:bCs/>
          <w:color w:val="000000"/>
          <w:sz w:val="22"/>
          <w:szCs w:val="22"/>
          <w:lang w:eastAsia="lt-LT"/>
        </w:rPr>
        <w:t xml:space="preserve">kartu su bet kuriuo iš šių vaistų“ </w:t>
      </w:r>
      <w:r w:rsidRPr="00FB2719">
        <w:rPr>
          <w:rFonts w:eastAsia="Calibri"/>
          <w:color w:val="000000"/>
          <w:sz w:val="22"/>
          <w:szCs w:val="22"/>
          <w:lang w:eastAsia="lt-LT"/>
        </w:rPr>
        <w:t xml:space="preserve">tam, kad sužinotumėte, kurių vaistų negalima vartoti kartu su Lopinavir/Ritonavir Sandoz. </w:t>
      </w:r>
    </w:p>
    <w:p w14:paraId="6AB6BE65" w14:textId="77777777" w:rsidR="00CA08B3" w:rsidRPr="00FB2719" w:rsidRDefault="00CA08B3" w:rsidP="00CA08B3">
      <w:pPr>
        <w:autoSpaceDE w:val="0"/>
        <w:autoSpaceDN w:val="0"/>
        <w:adjustRightInd w:val="0"/>
        <w:rPr>
          <w:rFonts w:eastAsia="Calibri"/>
          <w:color w:val="000000"/>
          <w:sz w:val="22"/>
          <w:szCs w:val="22"/>
          <w:lang w:eastAsia="lt-LT"/>
        </w:rPr>
      </w:pPr>
    </w:p>
    <w:p w14:paraId="7FB32598" w14:textId="77777777" w:rsidR="00CA08B3" w:rsidRPr="00FB2719" w:rsidRDefault="00CA08B3" w:rsidP="00CA08B3">
      <w:pPr>
        <w:autoSpaceDE w:val="0"/>
        <w:autoSpaceDN w:val="0"/>
        <w:adjustRightInd w:val="0"/>
        <w:rPr>
          <w:rFonts w:eastAsia="Calibri"/>
          <w:color w:val="000000"/>
          <w:sz w:val="22"/>
          <w:szCs w:val="22"/>
          <w:lang w:eastAsia="lt-LT"/>
        </w:rPr>
      </w:pPr>
      <w:r w:rsidRPr="00FB2719">
        <w:rPr>
          <w:rFonts w:eastAsia="Calibri"/>
          <w:color w:val="000000"/>
          <w:sz w:val="22"/>
          <w:szCs w:val="22"/>
          <w:lang w:eastAsia="lt-LT"/>
        </w:rPr>
        <w:t xml:space="preserve">Jeigu </w:t>
      </w:r>
      <w:r w:rsidR="00EA7982" w:rsidRPr="00FB2719">
        <w:rPr>
          <w:rFonts w:eastAsia="Calibri"/>
          <w:color w:val="000000"/>
          <w:sz w:val="22"/>
          <w:szCs w:val="22"/>
          <w:lang w:eastAsia="lt-LT"/>
        </w:rPr>
        <w:t xml:space="preserve">Jūs arba Jūsų vaikas </w:t>
      </w:r>
      <w:r w:rsidRPr="00FB2719">
        <w:rPr>
          <w:rFonts w:eastAsia="Calibri"/>
          <w:color w:val="000000"/>
          <w:sz w:val="22"/>
          <w:szCs w:val="22"/>
          <w:lang w:eastAsia="lt-LT"/>
        </w:rPr>
        <w:t xml:space="preserve">vartojate ar neseniai vartojote kitų vaistų, įskaitant įsigytus be recepto, arba dėl to nesate tikri pasakykite gydytojui arba vaistininkui. </w:t>
      </w:r>
    </w:p>
    <w:p w14:paraId="16B6308E" w14:textId="77777777" w:rsidR="00CA08B3" w:rsidRPr="00FB2719" w:rsidRDefault="00CA08B3" w:rsidP="00CA08B3">
      <w:pPr>
        <w:autoSpaceDE w:val="0"/>
        <w:autoSpaceDN w:val="0"/>
        <w:adjustRightInd w:val="0"/>
        <w:rPr>
          <w:rFonts w:eastAsia="Calibri"/>
          <w:color w:val="000000"/>
          <w:sz w:val="22"/>
          <w:szCs w:val="22"/>
          <w:lang w:eastAsia="lt-LT"/>
        </w:rPr>
      </w:pPr>
    </w:p>
    <w:p w14:paraId="667186A2" w14:textId="77777777" w:rsidR="00CA08B3" w:rsidRPr="00FB2719" w:rsidRDefault="00CA08B3" w:rsidP="00CA08B3">
      <w:pPr>
        <w:autoSpaceDE w:val="0"/>
        <w:autoSpaceDN w:val="0"/>
        <w:adjustRightInd w:val="0"/>
        <w:rPr>
          <w:rFonts w:eastAsia="Calibri"/>
          <w:b/>
          <w:bCs/>
          <w:color w:val="000000"/>
          <w:sz w:val="22"/>
          <w:szCs w:val="22"/>
          <w:lang w:eastAsia="lt-LT"/>
        </w:rPr>
      </w:pPr>
      <w:r w:rsidRPr="00FB2719">
        <w:rPr>
          <w:rFonts w:eastAsia="Calibri"/>
          <w:b/>
          <w:bCs/>
          <w:color w:val="000000"/>
          <w:sz w:val="22"/>
          <w:szCs w:val="22"/>
          <w:lang w:eastAsia="lt-LT"/>
        </w:rPr>
        <w:t xml:space="preserve">Vaistai erekcijos sutrikimams gydyti (avanafilis, vardenafilis, sildenafilis, tadalafilis) </w:t>
      </w:r>
    </w:p>
    <w:p w14:paraId="2C46E6E5" w14:textId="77777777" w:rsidR="00CA08B3" w:rsidRPr="00FB2719" w:rsidRDefault="00CA08B3" w:rsidP="00CA08B3">
      <w:pPr>
        <w:numPr>
          <w:ilvl w:val="1"/>
          <w:numId w:val="16"/>
        </w:numPr>
        <w:autoSpaceDE w:val="0"/>
        <w:autoSpaceDN w:val="0"/>
        <w:adjustRightInd w:val="0"/>
        <w:ind w:left="567" w:hanging="567"/>
        <w:rPr>
          <w:rFonts w:eastAsia="Calibri"/>
          <w:color w:val="000000"/>
          <w:sz w:val="22"/>
          <w:szCs w:val="22"/>
          <w:lang w:eastAsia="lt-LT"/>
        </w:rPr>
      </w:pPr>
      <w:r w:rsidRPr="00FB2719">
        <w:rPr>
          <w:rFonts w:eastAsia="Calibri"/>
          <w:b/>
          <w:bCs/>
          <w:color w:val="000000"/>
          <w:sz w:val="22"/>
          <w:szCs w:val="22"/>
          <w:lang w:eastAsia="lt-LT"/>
        </w:rPr>
        <w:t xml:space="preserve">Nevartokite </w:t>
      </w:r>
      <w:r w:rsidRPr="00FB2719">
        <w:rPr>
          <w:b/>
          <w:sz w:val="22"/>
          <w:szCs w:val="22"/>
        </w:rPr>
        <w:t>Lopinavir/Ritonavir Sandoz</w:t>
      </w:r>
      <w:r w:rsidRPr="00FB2719">
        <w:rPr>
          <w:rFonts w:eastAsia="Calibri"/>
          <w:b/>
          <w:bCs/>
          <w:color w:val="000000"/>
          <w:sz w:val="22"/>
          <w:szCs w:val="22"/>
          <w:lang w:eastAsia="lt-LT"/>
        </w:rPr>
        <w:t xml:space="preserve">, </w:t>
      </w:r>
      <w:r w:rsidRPr="00FB2719">
        <w:rPr>
          <w:rFonts w:eastAsia="Calibri"/>
          <w:color w:val="000000"/>
          <w:sz w:val="22"/>
          <w:szCs w:val="22"/>
          <w:lang w:eastAsia="lt-LT"/>
        </w:rPr>
        <w:t xml:space="preserve">jei šiuo metu vartojate avanafilio ar vardenafilio. </w:t>
      </w:r>
    </w:p>
    <w:p w14:paraId="3714A434" w14:textId="581DBB97" w:rsidR="00CA08B3" w:rsidRPr="00FB2719" w:rsidRDefault="00CA08B3" w:rsidP="00CA08B3">
      <w:pPr>
        <w:numPr>
          <w:ilvl w:val="1"/>
          <w:numId w:val="16"/>
        </w:numPr>
        <w:autoSpaceDE w:val="0"/>
        <w:autoSpaceDN w:val="0"/>
        <w:adjustRightInd w:val="0"/>
        <w:ind w:left="567" w:hanging="567"/>
        <w:rPr>
          <w:rFonts w:eastAsia="Calibri"/>
          <w:color w:val="000000"/>
          <w:sz w:val="22"/>
          <w:szCs w:val="22"/>
          <w:lang w:eastAsia="lt-LT"/>
        </w:rPr>
      </w:pPr>
      <w:r w:rsidRPr="00FB2719">
        <w:rPr>
          <w:sz w:val="22"/>
          <w:szCs w:val="22"/>
        </w:rPr>
        <w:t xml:space="preserve">Lopinavir/Ritonavir Sandoz </w:t>
      </w:r>
      <w:r w:rsidRPr="00FB2719">
        <w:rPr>
          <w:rFonts w:eastAsia="Calibri"/>
          <w:color w:val="000000"/>
          <w:sz w:val="22"/>
          <w:szCs w:val="22"/>
          <w:lang w:eastAsia="lt-LT"/>
        </w:rPr>
        <w:t>ir sildenafilio, jeigu juo gydoma plautinė arterinė hipertenzija (aukštas kraujospūdis plaučių arterijoje)</w:t>
      </w:r>
      <w:r w:rsidR="00917D2F" w:rsidRPr="00FB2719">
        <w:rPr>
          <w:rFonts w:eastAsia="Calibri"/>
          <w:color w:val="000000"/>
          <w:sz w:val="22"/>
          <w:szCs w:val="22"/>
          <w:lang w:eastAsia="lt-LT"/>
        </w:rPr>
        <w:t>,</w:t>
      </w:r>
      <w:r w:rsidRPr="00FB2719">
        <w:rPr>
          <w:rFonts w:eastAsia="Calibri"/>
          <w:color w:val="000000"/>
          <w:sz w:val="22"/>
          <w:szCs w:val="22"/>
          <w:lang w:eastAsia="lt-LT"/>
        </w:rPr>
        <w:t xml:space="preserve"> </w:t>
      </w:r>
      <w:r w:rsidR="00917D2F" w:rsidRPr="00FB2719">
        <w:rPr>
          <w:rFonts w:eastAsia="Calibri"/>
          <w:color w:val="000000"/>
          <w:sz w:val="22"/>
          <w:szCs w:val="22"/>
          <w:lang w:eastAsia="lt-LT"/>
        </w:rPr>
        <w:t xml:space="preserve">kartu vartoti draudžiama </w:t>
      </w:r>
      <w:r w:rsidRPr="00FB2719">
        <w:rPr>
          <w:rFonts w:eastAsia="Calibri"/>
          <w:color w:val="000000"/>
          <w:sz w:val="22"/>
          <w:szCs w:val="22"/>
          <w:lang w:eastAsia="lt-LT"/>
        </w:rPr>
        <w:t xml:space="preserve">(žr. </w:t>
      </w:r>
      <w:r w:rsidR="00EA7982" w:rsidRPr="00FB2719">
        <w:rPr>
          <w:rFonts w:eastAsia="Calibri"/>
          <w:color w:val="000000"/>
          <w:sz w:val="22"/>
          <w:szCs w:val="22"/>
          <w:lang w:eastAsia="lt-LT"/>
        </w:rPr>
        <w:t xml:space="preserve">aukščiau esantį </w:t>
      </w:r>
      <w:r w:rsidRPr="00FB2719">
        <w:rPr>
          <w:rFonts w:eastAsia="Calibri"/>
          <w:color w:val="000000"/>
          <w:sz w:val="22"/>
          <w:szCs w:val="22"/>
          <w:lang w:eastAsia="lt-LT"/>
        </w:rPr>
        <w:t>skyrių „Lopinavir/Ritonavir Sandoz vartoti negalima“)</w:t>
      </w:r>
      <w:r w:rsidR="00917D2F" w:rsidRPr="00FB2719">
        <w:rPr>
          <w:rFonts w:eastAsia="Calibri"/>
          <w:color w:val="000000"/>
          <w:sz w:val="22"/>
          <w:szCs w:val="22"/>
          <w:lang w:eastAsia="lt-LT"/>
        </w:rPr>
        <w:t>.</w:t>
      </w:r>
      <w:r w:rsidRPr="00FB2719">
        <w:rPr>
          <w:rFonts w:eastAsia="Calibri"/>
          <w:color w:val="000000"/>
          <w:sz w:val="22"/>
          <w:szCs w:val="22"/>
          <w:lang w:eastAsia="lt-LT"/>
        </w:rPr>
        <w:t xml:space="preserve">. </w:t>
      </w:r>
    </w:p>
    <w:p w14:paraId="2DEC1D88" w14:textId="77777777" w:rsidR="00CA08B3" w:rsidRPr="00FB2719" w:rsidRDefault="00CA08B3" w:rsidP="00CA08B3">
      <w:pPr>
        <w:numPr>
          <w:ilvl w:val="1"/>
          <w:numId w:val="16"/>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Jei vartojate sildenafilio ar tadalafilio kartu su Lopinavir/Ritonavir Sandoz, Jums gali būti didesnė šalutinio poveikio, tokio, kaip žemas kraujospūdis, nualpimas, regos pokyčiai ir varpos erekcija, trunkanti daugiau nei 4 valandas, rizika. Jeigu erekcija trunka daugiau nei 4 valandas, turite </w:t>
      </w:r>
      <w:r w:rsidRPr="00FB2719">
        <w:rPr>
          <w:rFonts w:eastAsia="Calibri"/>
          <w:b/>
          <w:bCs/>
          <w:color w:val="000000"/>
          <w:sz w:val="22"/>
          <w:szCs w:val="22"/>
          <w:lang w:eastAsia="lt-LT"/>
        </w:rPr>
        <w:t>nedels</w:t>
      </w:r>
      <w:r w:rsidR="00BB3B4D" w:rsidRPr="00FB2719">
        <w:rPr>
          <w:rFonts w:eastAsia="Calibri"/>
          <w:b/>
          <w:bCs/>
          <w:color w:val="000000"/>
          <w:sz w:val="22"/>
          <w:szCs w:val="22"/>
          <w:lang w:eastAsia="lt-LT"/>
        </w:rPr>
        <w:t>dami</w:t>
      </w:r>
      <w:r w:rsidRPr="00FB2719">
        <w:rPr>
          <w:rFonts w:eastAsia="Calibri"/>
          <w:b/>
          <w:bCs/>
          <w:color w:val="000000"/>
          <w:sz w:val="22"/>
          <w:szCs w:val="22"/>
          <w:lang w:eastAsia="lt-LT"/>
        </w:rPr>
        <w:t xml:space="preserve"> </w:t>
      </w:r>
      <w:r w:rsidRPr="00FB2719">
        <w:rPr>
          <w:rFonts w:eastAsia="Calibri"/>
          <w:color w:val="000000"/>
          <w:sz w:val="22"/>
          <w:szCs w:val="22"/>
          <w:lang w:eastAsia="lt-LT"/>
        </w:rPr>
        <w:t xml:space="preserve">kreiptis medicininės pagalbos, kad išvengti negrįžtamo varpos pakenkimo. Gydytojas Jums gali paaiškinti šiuos simptomus. </w:t>
      </w:r>
    </w:p>
    <w:p w14:paraId="5635BE8D" w14:textId="77777777" w:rsidR="00CA08B3" w:rsidRPr="00FB2719" w:rsidRDefault="00CA08B3" w:rsidP="00CA08B3">
      <w:pPr>
        <w:autoSpaceDE w:val="0"/>
        <w:autoSpaceDN w:val="0"/>
        <w:adjustRightInd w:val="0"/>
        <w:rPr>
          <w:rFonts w:eastAsia="Calibri"/>
          <w:color w:val="000000"/>
          <w:sz w:val="22"/>
          <w:szCs w:val="22"/>
          <w:lang w:eastAsia="lt-LT"/>
        </w:rPr>
      </w:pPr>
    </w:p>
    <w:p w14:paraId="66DC0063" w14:textId="77777777" w:rsidR="00CA08B3" w:rsidRPr="00FB2719" w:rsidRDefault="00CA08B3" w:rsidP="00CA08B3">
      <w:pPr>
        <w:autoSpaceDE w:val="0"/>
        <w:autoSpaceDN w:val="0"/>
        <w:adjustRightInd w:val="0"/>
        <w:rPr>
          <w:rFonts w:eastAsia="Calibri"/>
          <w:b/>
          <w:bCs/>
          <w:color w:val="000000"/>
          <w:sz w:val="22"/>
          <w:szCs w:val="22"/>
          <w:lang w:eastAsia="lt-LT"/>
        </w:rPr>
      </w:pPr>
      <w:r w:rsidRPr="00FB2719">
        <w:rPr>
          <w:rFonts w:eastAsia="Calibri"/>
          <w:b/>
          <w:bCs/>
          <w:color w:val="000000"/>
          <w:sz w:val="22"/>
          <w:szCs w:val="22"/>
          <w:lang w:eastAsia="lt-LT"/>
        </w:rPr>
        <w:t xml:space="preserve">Kontraceptiniai preparatai </w:t>
      </w:r>
    </w:p>
    <w:p w14:paraId="2107B5A7" w14:textId="77777777" w:rsidR="00CA08B3" w:rsidRPr="00FB2719" w:rsidRDefault="00CA08B3" w:rsidP="00CA08B3">
      <w:pPr>
        <w:numPr>
          <w:ilvl w:val="0"/>
          <w:numId w:val="17"/>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 xml:space="preserve">Jei vartojate geriamųjų kontraceptikų ar naudojate kontraceptinį pleistrą, Jums reikės papildomų ar kitokių kontracepcijos priemonių (pvz., prezervatyvo), nes Lopinavir/Ritonavir Sandoz gali sumažinti geriamųjų kontraceptikų ir kontraceptinių pleistrų veiksmingumą. </w:t>
      </w:r>
    </w:p>
    <w:p w14:paraId="3FD0796C" w14:textId="77777777" w:rsidR="00CA08B3" w:rsidRPr="00FB2719" w:rsidRDefault="00CA08B3" w:rsidP="00CA08B3">
      <w:pPr>
        <w:numPr>
          <w:ilvl w:val="0"/>
          <w:numId w:val="17"/>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Lopinavir/Ritonavir Sandoz nemažina ŽIV perdavimo kitiems rizikos. Reikia vartoti atitinkamas apsaugos priemones (pvz., naudoti prezervatyvą), kad liga nebūtų perduota lytinio kontakto metu.</w:t>
      </w:r>
    </w:p>
    <w:p w14:paraId="3BCEEF17" w14:textId="77777777" w:rsidR="00CA08B3" w:rsidRPr="00FB2719" w:rsidRDefault="00CA08B3" w:rsidP="00CA08B3">
      <w:pPr>
        <w:tabs>
          <w:tab w:val="left" w:pos="567"/>
        </w:tabs>
        <w:rPr>
          <w:b/>
          <w:sz w:val="22"/>
          <w:szCs w:val="22"/>
        </w:rPr>
      </w:pPr>
    </w:p>
    <w:p w14:paraId="74613689" w14:textId="77777777" w:rsidR="00CE0090" w:rsidRPr="00FB2719" w:rsidRDefault="00CE0090" w:rsidP="00CA08B3">
      <w:pPr>
        <w:tabs>
          <w:tab w:val="left" w:pos="567"/>
        </w:tabs>
        <w:rPr>
          <w:b/>
          <w:sz w:val="22"/>
          <w:szCs w:val="22"/>
        </w:rPr>
      </w:pPr>
    </w:p>
    <w:p w14:paraId="0CB70A71" w14:textId="77777777" w:rsidR="00CA08B3" w:rsidRPr="00FB2719" w:rsidRDefault="00CA08B3" w:rsidP="00CA08B3">
      <w:pPr>
        <w:autoSpaceDE w:val="0"/>
        <w:autoSpaceDN w:val="0"/>
        <w:adjustRightInd w:val="0"/>
        <w:rPr>
          <w:rFonts w:eastAsia="Calibri"/>
          <w:color w:val="000000"/>
          <w:sz w:val="22"/>
          <w:szCs w:val="22"/>
          <w:lang w:eastAsia="lt-LT"/>
        </w:rPr>
      </w:pPr>
      <w:r w:rsidRPr="00FB2719">
        <w:rPr>
          <w:rFonts w:eastAsia="Calibri"/>
          <w:b/>
          <w:bCs/>
          <w:color w:val="000000"/>
          <w:sz w:val="22"/>
          <w:szCs w:val="22"/>
          <w:lang w:eastAsia="lt-LT"/>
        </w:rPr>
        <w:t xml:space="preserve">Nėštumo ir žindymo laikotarpis </w:t>
      </w:r>
    </w:p>
    <w:p w14:paraId="651856A8" w14:textId="77777777" w:rsidR="00CA08B3" w:rsidRPr="00FB2719" w:rsidRDefault="00CA08B3" w:rsidP="00CA08B3">
      <w:pPr>
        <w:numPr>
          <w:ilvl w:val="0"/>
          <w:numId w:val="18"/>
        </w:numPr>
        <w:autoSpaceDE w:val="0"/>
        <w:autoSpaceDN w:val="0"/>
        <w:adjustRightInd w:val="0"/>
        <w:ind w:left="567" w:hanging="567"/>
        <w:rPr>
          <w:rFonts w:eastAsia="Calibri"/>
          <w:color w:val="000000"/>
          <w:sz w:val="22"/>
          <w:szCs w:val="22"/>
          <w:lang w:eastAsia="lt-LT"/>
        </w:rPr>
      </w:pPr>
      <w:r w:rsidRPr="00FB2719">
        <w:rPr>
          <w:rFonts w:eastAsia="Calibri"/>
          <w:b/>
          <w:bCs/>
          <w:color w:val="000000"/>
          <w:sz w:val="22"/>
          <w:szCs w:val="22"/>
          <w:lang w:eastAsia="lt-LT"/>
        </w:rPr>
        <w:t>Nedelsdama</w:t>
      </w:r>
      <w:r w:rsidRPr="00FB2719">
        <w:rPr>
          <w:rFonts w:eastAsia="Calibri"/>
          <w:bCs/>
          <w:color w:val="000000"/>
          <w:sz w:val="22"/>
          <w:szCs w:val="22"/>
          <w:lang w:eastAsia="lt-LT"/>
        </w:rPr>
        <w:t xml:space="preserve"> </w:t>
      </w:r>
      <w:r w:rsidRPr="00FB2719">
        <w:rPr>
          <w:rFonts w:eastAsia="Calibri"/>
          <w:color w:val="000000"/>
          <w:sz w:val="22"/>
          <w:szCs w:val="22"/>
          <w:lang w:eastAsia="lt-LT"/>
        </w:rPr>
        <w:t>pasakykite gydytojui, jei planuojate susilaukti kūdikio, esate nėščia, manote, jog pastojote, taip pat, jei žindote kūdikį.</w:t>
      </w:r>
    </w:p>
    <w:p w14:paraId="71C1616A" w14:textId="77777777" w:rsidR="00CA08B3" w:rsidRPr="00FB2719" w:rsidRDefault="00CA08B3" w:rsidP="00CA08B3">
      <w:pPr>
        <w:numPr>
          <w:ilvl w:val="0"/>
          <w:numId w:val="18"/>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Žindyvėms negalima vartoti Lopinavir/Ritonavir Sandoz, nebent būtų konkrečiai nurodyta gydytojo.</w:t>
      </w:r>
    </w:p>
    <w:p w14:paraId="22C31F6A" w14:textId="77777777" w:rsidR="00CA08B3" w:rsidRPr="00FB2719" w:rsidRDefault="00CA08B3" w:rsidP="00CA08B3">
      <w:pPr>
        <w:numPr>
          <w:ilvl w:val="0"/>
          <w:numId w:val="18"/>
        </w:numPr>
        <w:autoSpaceDE w:val="0"/>
        <w:autoSpaceDN w:val="0"/>
        <w:adjustRightInd w:val="0"/>
        <w:ind w:left="567" w:hanging="567"/>
        <w:rPr>
          <w:rFonts w:eastAsia="Calibri"/>
          <w:color w:val="000000"/>
          <w:sz w:val="22"/>
          <w:szCs w:val="22"/>
          <w:lang w:eastAsia="lt-LT"/>
        </w:rPr>
      </w:pPr>
      <w:r w:rsidRPr="00FB2719">
        <w:rPr>
          <w:rFonts w:eastAsia="Calibri"/>
          <w:color w:val="000000"/>
          <w:sz w:val="22"/>
          <w:szCs w:val="22"/>
          <w:lang w:eastAsia="lt-LT"/>
        </w:rPr>
        <w:t>ŽIV infekuotoms motinoms nerekomenduojama žindyti savo kūdikio, nes yra galimybė jį su pienu užkrėsti ŽIV.</w:t>
      </w:r>
    </w:p>
    <w:p w14:paraId="3298DB62" w14:textId="77777777" w:rsidR="00CA08B3" w:rsidRPr="00FB2719" w:rsidRDefault="00CA08B3" w:rsidP="00CA08B3">
      <w:pPr>
        <w:autoSpaceDE w:val="0"/>
        <w:autoSpaceDN w:val="0"/>
        <w:adjustRightInd w:val="0"/>
        <w:rPr>
          <w:rFonts w:eastAsia="Calibri"/>
          <w:color w:val="000000"/>
          <w:sz w:val="22"/>
          <w:szCs w:val="22"/>
          <w:lang w:eastAsia="lt-LT"/>
        </w:rPr>
      </w:pPr>
    </w:p>
    <w:p w14:paraId="2D250915" w14:textId="77777777" w:rsidR="00CA08B3" w:rsidRPr="00FB2719" w:rsidRDefault="00CA08B3" w:rsidP="00CA08B3">
      <w:pPr>
        <w:autoSpaceDE w:val="0"/>
        <w:autoSpaceDN w:val="0"/>
        <w:adjustRightInd w:val="0"/>
        <w:rPr>
          <w:rFonts w:eastAsia="Calibri"/>
          <w:color w:val="000000"/>
          <w:sz w:val="22"/>
          <w:szCs w:val="22"/>
          <w:lang w:eastAsia="lt-LT"/>
        </w:rPr>
      </w:pPr>
      <w:r w:rsidRPr="00FB2719">
        <w:rPr>
          <w:rFonts w:eastAsia="Calibri"/>
          <w:b/>
          <w:bCs/>
          <w:color w:val="000000"/>
          <w:sz w:val="22"/>
          <w:szCs w:val="22"/>
          <w:lang w:eastAsia="lt-LT"/>
        </w:rPr>
        <w:t xml:space="preserve">Vairavimas ir mechanizmų valdymas </w:t>
      </w:r>
    </w:p>
    <w:p w14:paraId="00DA333D" w14:textId="77777777" w:rsidR="00CA08B3" w:rsidRPr="00FB2719" w:rsidRDefault="00CA08B3" w:rsidP="00CA08B3">
      <w:pPr>
        <w:autoSpaceDE w:val="0"/>
        <w:autoSpaceDN w:val="0"/>
        <w:adjustRightInd w:val="0"/>
        <w:rPr>
          <w:rFonts w:eastAsia="Calibri"/>
          <w:color w:val="000000"/>
          <w:sz w:val="22"/>
          <w:szCs w:val="22"/>
          <w:lang w:eastAsia="lt-LT"/>
        </w:rPr>
      </w:pPr>
      <w:r w:rsidRPr="00FB2719">
        <w:rPr>
          <w:rFonts w:eastAsia="Calibri"/>
          <w:color w:val="000000"/>
          <w:sz w:val="22"/>
          <w:szCs w:val="22"/>
          <w:lang w:eastAsia="lt-LT"/>
        </w:rPr>
        <w:t xml:space="preserve">Lopinavir/Ritonavir Sandoz galimas poveikis gebėjimui vairuoti automobilį ar valdyti mechanizmus specialiai netirtas. Nevairuokite automobilio ir nevaldykite mechanizmų, jei pasireiškė bet koks šalutinis poveikis (pvz., pykinimas), kuri gali paveikti Jūsų gebėjimą tai daryti saugiai. Vietoj to, kreipkitės į savo gydytoją. </w:t>
      </w:r>
    </w:p>
    <w:p w14:paraId="4DEC5F03" w14:textId="77777777" w:rsidR="00CA08B3" w:rsidRPr="00FB2719" w:rsidRDefault="00CA08B3" w:rsidP="00CA08B3">
      <w:pPr>
        <w:autoSpaceDE w:val="0"/>
        <w:autoSpaceDN w:val="0"/>
        <w:adjustRightInd w:val="0"/>
        <w:rPr>
          <w:rFonts w:eastAsia="Calibri"/>
          <w:b/>
          <w:bCs/>
          <w:color w:val="000000"/>
          <w:sz w:val="22"/>
          <w:szCs w:val="22"/>
          <w:lang w:eastAsia="lt-LT"/>
        </w:rPr>
      </w:pPr>
    </w:p>
    <w:p w14:paraId="0005C43F" w14:textId="77777777" w:rsidR="00CA08B3" w:rsidRPr="00FB2719" w:rsidRDefault="00CA08B3" w:rsidP="00CA08B3">
      <w:pPr>
        <w:rPr>
          <w:sz w:val="22"/>
          <w:szCs w:val="22"/>
        </w:rPr>
      </w:pPr>
    </w:p>
    <w:p w14:paraId="78464EC5" w14:textId="77777777" w:rsidR="00CA08B3" w:rsidRPr="00FB2719" w:rsidRDefault="00CA08B3" w:rsidP="00CA08B3">
      <w:pPr>
        <w:keepNext/>
        <w:keepLines/>
        <w:ind w:left="540" w:hanging="540"/>
        <w:rPr>
          <w:b/>
          <w:bCs/>
          <w:i/>
          <w:iCs/>
          <w:sz w:val="22"/>
          <w:szCs w:val="22"/>
        </w:rPr>
      </w:pPr>
      <w:r w:rsidRPr="00FB2719">
        <w:rPr>
          <w:b/>
          <w:bCs/>
          <w:sz w:val="22"/>
          <w:szCs w:val="22"/>
        </w:rPr>
        <w:t>3.</w:t>
      </w:r>
      <w:r w:rsidRPr="00FB2719">
        <w:rPr>
          <w:b/>
          <w:bCs/>
          <w:sz w:val="22"/>
          <w:szCs w:val="22"/>
        </w:rPr>
        <w:tab/>
        <w:t>Kaip vartoti Lopinavir/Ritonavir Sandoz</w:t>
      </w:r>
    </w:p>
    <w:p w14:paraId="3C48CA03" w14:textId="77777777" w:rsidR="00CA08B3" w:rsidRPr="00FB2719" w:rsidRDefault="00CA08B3" w:rsidP="00CA08B3">
      <w:pPr>
        <w:rPr>
          <w:sz w:val="22"/>
          <w:szCs w:val="22"/>
        </w:rPr>
      </w:pPr>
    </w:p>
    <w:p w14:paraId="4F7AB2D3" w14:textId="77777777" w:rsidR="00CA08B3" w:rsidRPr="00FB2719" w:rsidRDefault="00CA08B3" w:rsidP="00AD237C">
      <w:pPr>
        <w:pBdr>
          <w:top w:val="single" w:sz="4" w:space="1" w:color="auto"/>
          <w:left w:val="single" w:sz="4" w:space="4" w:color="auto"/>
          <w:bottom w:val="single" w:sz="4" w:space="1" w:color="auto"/>
          <w:right w:val="single" w:sz="4" w:space="4" w:color="auto"/>
        </w:pBdr>
        <w:rPr>
          <w:sz w:val="22"/>
          <w:szCs w:val="22"/>
        </w:rPr>
      </w:pPr>
      <w:r w:rsidRPr="00FB2719">
        <w:rPr>
          <w:sz w:val="22"/>
          <w:szCs w:val="22"/>
        </w:rPr>
        <w:t xml:space="preserve">Yra svarbu, kad </w:t>
      </w:r>
      <w:r w:rsidRPr="00FB2719">
        <w:rPr>
          <w:rFonts w:eastAsia="Calibri"/>
          <w:color w:val="000000"/>
          <w:sz w:val="22"/>
          <w:szCs w:val="22"/>
          <w:lang w:eastAsia="lt-LT"/>
        </w:rPr>
        <w:t xml:space="preserve">Lopinavir/Ritonavir Sandoz </w:t>
      </w:r>
      <w:r w:rsidR="00402F3F" w:rsidRPr="00FB2719">
        <w:rPr>
          <w:rFonts w:eastAsia="Calibri"/>
          <w:color w:val="000000"/>
          <w:sz w:val="22"/>
          <w:szCs w:val="22"/>
          <w:lang w:eastAsia="lt-LT"/>
        </w:rPr>
        <w:t xml:space="preserve">plėvele dengtos </w:t>
      </w:r>
      <w:r w:rsidRPr="00FB2719">
        <w:rPr>
          <w:sz w:val="22"/>
          <w:szCs w:val="22"/>
        </w:rPr>
        <w:t>tabletės būtų nuryjamos sveikos. Jų kramtyti, laužyti ar smulkinti negalima.</w:t>
      </w:r>
    </w:p>
    <w:p w14:paraId="312B2B69" w14:textId="77777777" w:rsidR="00CA08B3" w:rsidRPr="00FB2719" w:rsidRDefault="00CA08B3" w:rsidP="00CA08B3">
      <w:pPr>
        <w:rPr>
          <w:sz w:val="22"/>
          <w:szCs w:val="22"/>
        </w:rPr>
      </w:pPr>
    </w:p>
    <w:p w14:paraId="602D1E0E" w14:textId="77777777" w:rsidR="00917D2F" w:rsidRPr="00FB2719" w:rsidRDefault="00CA08B3" w:rsidP="00917D2F">
      <w:pPr>
        <w:rPr>
          <w:sz w:val="22"/>
          <w:szCs w:val="22"/>
        </w:rPr>
      </w:pPr>
      <w:r w:rsidRPr="00FB2719">
        <w:rPr>
          <w:sz w:val="22"/>
          <w:szCs w:val="22"/>
        </w:rPr>
        <w:t xml:space="preserve">Visada vartokite </w:t>
      </w:r>
      <w:r w:rsidR="00402F3F" w:rsidRPr="00FB2719">
        <w:rPr>
          <w:rFonts w:eastAsia="Calibri"/>
          <w:color w:val="000000"/>
          <w:sz w:val="22"/>
          <w:szCs w:val="22"/>
          <w:lang w:eastAsia="lt-LT"/>
        </w:rPr>
        <w:t>šį vaistą</w:t>
      </w:r>
      <w:r w:rsidRPr="00FB2719">
        <w:rPr>
          <w:rFonts w:eastAsia="Calibri"/>
          <w:color w:val="000000"/>
          <w:sz w:val="22"/>
          <w:szCs w:val="22"/>
          <w:lang w:eastAsia="lt-LT"/>
        </w:rPr>
        <w:t xml:space="preserve"> </w:t>
      </w:r>
      <w:r w:rsidRPr="00FB2719">
        <w:rPr>
          <w:sz w:val="22"/>
          <w:szCs w:val="22"/>
        </w:rPr>
        <w:t>tiksliai kaip nurodė gydytojas.</w:t>
      </w:r>
      <w:r w:rsidR="00917D2F" w:rsidRPr="00FB2719">
        <w:rPr>
          <w:sz w:val="22"/>
          <w:szCs w:val="22"/>
        </w:rPr>
        <w:t xml:space="preserve"> Jeigu abejojate, kaip turite vartoti savo vaistą, kreipkitės į gydytoją arba vaistininką. </w:t>
      </w:r>
    </w:p>
    <w:p w14:paraId="26CC8585" w14:textId="77777777" w:rsidR="00917D2F" w:rsidRPr="00FB2719" w:rsidRDefault="00917D2F" w:rsidP="00CA08B3">
      <w:pPr>
        <w:rPr>
          <w:sz w:val="22"/>
          <w:szCs w:val="22"/>
        </w:rPr>
      </w:pPr>
    </w:p>
    <w:p w14:paraId="0F2B18EF" w14:textId="77777777" w:rsidR="00CA08B3" w:rsidRPr="00FB2719" w:rsidRDefault="00CA08B3" w:rsidP="00CA08B3">
      <w:pPr>
        <w:rPr>
          <w:b/>
          <w:sz w:val="22"/>
          <w:szCs w:val="22"/>
        </w:rPr>
      </w:pPr>
      <w:r w:rsidRPr="00FB2719">
        <w:rPr>
          <w:b/>
          <w:sz w:val="22"/>
          <w:szCs w:val="22"/>
        </w:rPr>
        <w:t xml:space="preserve">Kiek </w:t>
      </w:r>
      <w:r w:rsidRPr="00FB2719">
        <w:rPr>
          <w:rFonts w:eastAsia="Calibri"/>
          <w:b/>
          <w:color w:val="000000"/>
          <w:sz w:val="22"/>
          <w:szCs w:val="22"/>
          <w:lang w:eastAsia="lt-LT"/>
        </w:rPr>
        <w:t xml:space="preserve">Lopinavir/Ritonavir Sandoz </w:t>
      </w:r>
      <w:r w:rsidRPr="00FB2719">
        <w:rPr>
          <w:b/>
          <w:sz w:val="22"/>
          <w:szCs w:val="22"/>
        </w:rPr>
        <w:t>vartoti ir kada?</w:t>
      </w:r>
    </w:p>
    <w:p w14:paraId="03684598" w14:textId="77777777" w:rsidR="00CA08B3" w:rsidRPr="00FB2719" w:rsidRDefault="00CA08B3" w:rsidP="00CA08B3">
      <w:pPr>
        <w:rPr>
          <w:sz w:val="22"/>
          <w:szCs w:val="22"/>
        </w:rPr>
      </w:pPr>
    </w:p>
    <w:p w14:paraId="5242979B" w14:textId="77777777" w:rsidR="00CA08B3" w:rsidRPr="00FB2719" w:rsidRDefault="00CA08B3" w:rsidP="00CA08B3">
      <w:pPr>
        <w:rPr>
          <w:b/>
          <w:sz w:val="22"/>
          <w:szCs w:val="22"/>
        </w:rPr>
      </w:pPr>
      <w:r w:rsidRPr="00FB2719">
        <w:rPr>
          <w:b/>
          <w:sz w:val="22"/>
          <w:szCs w:val="22"/>
        </w:rPr>
        <w:t>Vartojimas suaugusiesiems</w:t>
      </w:r>
    </w:p>
    <w:p w14:paraId="5FBF08C5" w14:textId="77777777" w:rsidR="00CA08B3" w:rsidRPr="00FB2719" w:rsidRDefault="00CA08B3" w:rsidP="00CA08B3">
      <w:pPr>
        <w:numPr>
          <w:ilvl w:val="0"/>
          <w:numId w:val="20"/>
        </w:numPr>
        <w:ind w:left="567" w:hanging="567"/>
        <w:rPr>
          <w:sz w:val="22"/>
          <w:szCs w:val="22"/>
        </w:rPr>
      </w:pPr>
      <w:r w:rsidRPr="00FB2719">
        <w:rPr>
          <w:sz w:val="22"/>
          <w:szCs w:val="22"/>
        </w:rPr>
        <w:t>Įprastinė suaugusiųjų dozė yra po 400</w:t>
      </w:r>
      <w:r w:rsidR="005B415B" w:rsidRPr="00FB2719">
        <w:rPr>
          <w:sz w:val="22"/>
          <w:szCs w:val="22"/>
        </w:rPr>
        <w:t> </w:t>
      </w:r>
      <w:r w:rsidRPr="00FB2719">
        <w:rPr>
          <w:sz w:val="22"/>
          <w:szCs w:val="22"/>
        </w:rPr>
        <w:t>mg/100</w:t>
      </w:r>
      <w:r w:rsidR="005B415B" w:rsidRPr="00FB2719">
        <w:rPr>
          <w:sz w:val="22"/>
          <w:szCs w:val="22"/>
        </w:rPr>
        <w:t> </w:t>
      </w:r>
      <w:r w:rsidRPr="00FB2719">
        <w:rPr>
          <w:sz w:val="22"/>
          <w:szCs w:val="22"/>
        </w:rPr>
        <w:t>mg du kartus per parą, t.y. kas 12</w:t>
      </w:r>
      <w:r w:rsidR="005B415B" w:rsidRPr="00FB2719">
        <w:rPr>
          <w:sz w:val="22"/>
          <w:szCs w:val="22"/>
        </w:rPr>
        <w:t> </w:t>
      </w:r>
      <w:r w:rsidRPr="00FB2719">
        <w:rPr>
          <w:sz w:val="22"/>
          <w:szCs w:val="22"/>
        </w:rPr>
        <w:t xml:space="preserve">valandų, kartu su kitais vaistais nuo ŽIV. Suaugusieji pacientai, kurie iki šiol nebuvo gydyti antiretrovirusiniais vaistais, gali vartoti </w:t>
      </w:r>
      <w:r w:rsidRPr="00FB2719">
        <w:rPr>
          <w:rFonts w:eastAsia="Calibri"/>
          <w:color w:val="000000"/>
          <w:sz w:val="22"/>
          <w:szCs w:val="22"/>
          <w:lang w:eastAsia="lt-LT"/>
        </w:rPr>
        <w:t xml:space="preserve">Lopinavir/Ritonavir Sandoz </w:t>
      </w:r>
      <w:r w:rsidR="00402F3F" w:rsidRPr="00FB2719">
        <w:rPr>
          <w:rFonts w:eastAsia="Calibri"/>
          <w:color w:val="000000"/>
          <w:sz w:val="22"/>
          <w:szCs w:val="22"/>
          <w:lang w:eastAsia="lt-LT"/>
        </w:rPr>
        <w:t xml:space="preserve">plėvele dengtų </w:t>
      </w:r>
      <w:r w:rsidRPr="00FB2719">
        <w:rPr>
          <w:rFonts w:eastAsia="Calibri"/>
          <w:color w:val="000000"/>
          <w:sz w:val="22"/>
          <w:szCs w:val="22"/>
          <w:lang w:eastAsia="lt-LT"/>
        </w:rPr>
        <w:t>tablečių</w:t>
      </w:r>
      <w:r w:rsidRPr="00FB2719">
        <w:rPr>
          <w:sz w:val="22"/>
          <w:szCs w:val="22"/>
        </w:rPr>
        <w:t xml:space="preserve"> 800</w:t>
      </w:r>
      <w:r w:rsidR="005B415B" w:rsidRPr="00FB2719">
        <w:rPr>
          <w:sz w:val="22"/>
          <w:szCs w:val="22"/>
        </w:rPr>
        <w:t> </w:t>
      </w:r>
      <w:r w:rsidRPr="00FB2719">
        <w:rPr>
          <w:sz w:val="22"/>
          <w:szCs w:val="22"/>
        </w:rPr>
        <w:t>mg/200</w:t>
      </w:r>
      <w:r w:rsidR="005B415B" w:rsidRPr="00FB2719">
        <w:rPr>
          <w:sz w:val="22"/>
          <w:szCs w:val="22"/>
        </w:rPr>
        <w:t> </w:t>
      </w:r>
      <w:r w:rsidRPr="00FB2719">
        <w:rPr>
          <w:sz w:val="22"/>
          <w:szCs w:val="22"/>
        </w:rPr>
        <w:t xml:space="preserve">mg dozę kartą per parą. Jūsų gydytojas pasakys, kiek tablečių reikia gerti. Suaugusieji pacientai, kurie anksčiau jau buvo gydyti kitais antivirusiniais vaistais, gali vartoti </w:t>
      </w:r>
      <w:r w:rsidRPr="00FB2719">
        <w:rPr>
          <w:rFonts w:eastAsia="Calibri"/>
          <w:color w:val="000000"/>
          <w:sz w:val="22"/>
          <w:szCs w:val="22"/>
          <w:lang w:eastAsia="lt-LT"/>
        </w:rPr>
        <w:t xml:space="preserve">Lopinavir/Ritonavir Sandoz </w:t>
      </w:r>
      <w:r w:rsidR="00402F3F" w:rsidRPr="00FB2719">
        <w:rPr>
          <w:rFonts w:eastAsia="Calibri"/>
          <w:color w:val="000000"/>
          <w:sz w:val="22"/>
          <w:szCs w:val="22"/>
          <w:lang w:eastAsia="lt-LT"/>
        </w:rPr>
        <w:t xml:space="preserve">plėvele dengtų </w:t>
      </w:r>
      <w:r w:rsidRPr="00FB2719">
        <w:rPr>
          <w:sz w:val="22"/>
          <w:szCs w:val="22"/>
        </w:rPr>
        <w:t>tablečių 800</w:t>
      </w:r>
      <w:r w:rsidR="005B415B" w:rsidRPr="00FB2719">
        <w:rPr>
          <w:sz w:val="22"/>
          <w:szCs w:val="22"/>
        </w:rPr>
        <w:t> </w:t>
      </w:r>
      <w:r w:rsidRPr="00FB2719">
        <w:rPr>
          <w:sz w:val="22"/>
          <w:szCs w:val="22"/>
        </w:rPr>
        <w:t>mg/200</w:t>
      </w:r>
      <w:r w:rsidR="005B415B" w:rsidRPr="00FB2719">
        <w:rPr>
          <w:sz w:val="22"/>
          <w:szCs w:val="22"/>
        </w:rPr>
        <w:t> </w:t>
      </w:r>
      <w:r w:rsidRPr="00FB2719">
        <w:rPr>
          <w:sz w:val="22"/>
          <w:szCs w:val="22"/>
        </w:rPr>
        <w:t>mg dozę vieną kartą per parą, jei gydytojas mano, kad pacientui tai tinka.</w:t>
      </w:r>
    </w:p>
    <w:p w14:paraId="3EC06A3F" w14:textId="77777777" w:rsidR="00CA08B3" w:rsidRPr="00FB2719" w:rsidRDefault="00CA08B3" w:rsidP="00CA08B3">
      <w:pPr>
        <w:numPr>
          <w:ilvl w:val="0"/>
          <w:numId w:val="20"/>
        </w:numPr>
        <w:ind w:left="567" w:hanging="567"/>
        <w:rPr>
          <w:sz w:val="22"/>
          <w:szCs w:val="22"/>
        </w:rPr>
      </w:pPr>
      <w:r w:rsidRPr="00FB2719">
        <w:rPr>
          <w:rFonts w:eastAsia="Calibri"/>
          <w:color w:val="000000"/>
          <w:sz w:val="22"/>
          <w:szCs w:val="22"/>
          <w:lang w:eastAsia="lt-LT"/>
        </w:rPr>
        <w:t>Lopinavir/Ritonavir Sandoz paros dozės</w:t>
      </w:r>
      <w:r w:rsidRPr="00FB2719">
        <w:rPr>
          <w:sz w:val="22"/>
          <w:szCs w:val="22"/>
        </w:rPr>
        <w:t xml:space="preserve"> negalima gerti iš karto, jeigu kartu su šiuo vaistu vartojama efavirenzo, nevirapino, karbamazepino, fenobarbitalio ir fenitoino.</w:t>
      </w:r>
    </w:p>
    <w:p w14:paraId="76B8D650" w14:textId="77777777" w:rsidR="00CA08B3" w:rsidRPr="00FB2719" w:rsidRDefault="00CA08B3" w:rsidP="00CA08B3">
      <w:pPr>
        <w:numPr>
          <w:ilvl w:val="0"/>
          <w:numId w:val="20"/>
        </w:numPr>
        <w:ind w:left="567" w:hanging="567"/>
        <w:rPr>
          <w:sz w:val="22"/>
          <w:szCs w:val="22"/>
        </w:rPr>
      </w:pPr>
      <w:r w:rsidRPr="00FB2719">
        <w:rPr>
          <w:rFonts w:eastAsia="Calibri"/>
          <w:color w:val="000000"/>
          <w:sz w:val="22"/>
          <w:szCs w:val="22"/>
          <w:lang w:eastAsia="lt-LT"/>
        </w:rPr>
        <w:t xml:space="preserve">Lopinavir/Ritonavir Sandoz </w:t>
      </w:r>
      <w:r w:rsidRPr="00FB2719">
        <w:rPr>
          <w:sz w:val="22"/>
          <w:szCs w:val="22"/>
        </w:rPr>
        <w:t>tablečių galima gerti valgant ar kitu laiku.</w:t>
      </w:r>
    </w:p>
    <w:p w14:paraId="2C02BCB1" w14:textId="77777777" w:rsidR="00CA08B3" w:rsidRPr="00FB2719" w:rsidRDefault="00CA08B3" w:rsidP="00CA08B3">
      <w:pPr>
        <w:rPr>
          <w:sz w:val="22"/>
          <w:szCs w:val="22"/>
        </w:rPr>
      </w:pPr>
    </w:p>
    <w:p w14:paraId="000D8F12" w14:textId="77777777" w:rsidR="00CA08B3" w:rsidRPr="00FB2719" w:rsidRDefault="00CA08B3" w:rsidP="00CA08B3">
      <w:pPr>
        <w:rPr>
          <w:b/>
          <w:sz w:val="22"/>
          <w:szCs w:val="22"/>
        </w:rPr>
      </w:pPr>
      <w:r w:rsidRPr="00FB2719">
        <w:rPr>
          <w:b/>
          <w:sz w:val="22"/>
          <w:szCs w:val="22"/>
        </w:rPr>
        <w:t>Vartojimas vaikams</w:t>
      </w:r>
    </w:p>
    <w:p w14:paraId="233664EE" w14:textId="77777777" w:rsidR="00CA08B3" w:rsidRPr="00FB2719" w:rsidRDefault="00CA08B3" w:rsidP="00CA08B3">
      <w:pPr>
        <w:numPr>
          <w:ilvl w:val="0"/>
          <w:numId w:val="21"/>
        </w:numPr>
        <w:ind w:left="567" w:hanging="567"/>
        <w:rPr>
          <w:sz w:val="22"/>
          <w:szCs w:val="22"/>
        </w:rPr>
      </w:pPr>
      <w:r w:rsidRPr="00FB2719">
        <w:rPr>
          <w:sz w:val="22"/>
          <w:szCs w:val="22"/>
        </w:rPr>
        <w:t>Vaikams Jūsų gydytojas parinks reikiamą dozę (tablečių kiekį), remiantis vaiko ūgiu ir svoriu.</w:t>
      </w:r>
    </w:p>
    <w:p w14:paraId="78CACB8F" w14:textId="77777777" w:rsidR="00CA08B3" w:rsidRPr="00FB2719" w:rsidRDefault="00CA08B3" w:rsidP="00CA08B3">
      <w:pPr>
        <w:numPr>
          <w:ilvl w:val="0"/>
          <w:numId w:val="20"/>
        </w:numPr>
        <w:ind w:left="567" w:hanging="567"/>
        <w:rPr>
          <w:sz w:val="22"/>
          <w:szCs w:val="22"/>
        </w:rPr>
      </w:pPr>
      <w:r w:rsidRPr="00FB2719">
        <w:rPr>
          <w:rFonts w:eastAsia="Calibri"/>
          <w:color w:val="000000"/>
          <w:sz w:val="22"/>
          <w:szCs w:val="22"/>
          <w:lang w:eastAsia="lt-LT"/>
        </w:rPr>
        <w:t xml:space="preserve">Lopinavir/Ritonavir Sandoz </w:t>
      </w:r>
      <w:r w:rsidRPr="00FB2719">
        <w:rPr>
          <w:sz w:val="22"/>
          <w:szCs w:val="22"/>
        </w:rPr>
        <w:t>tablečių galima gerti valgant ar kitu laiku.</w:t>
      </w:r>
    </w:p>
    <w:p w14:paraId="16F03745" w14:textId="77777777" w:rsidR="00402F3F" w:rsidRPr="00FB2719" w:rsidRDefault="00402F3F" w:rsidP="00402F3F">
      <w:pPr>
        <w:rPr>
          <w:sz w:val="22"/>
          <w:szCs w:val="22"/>
        </w:rPr>
      </w:pPr>
    </w:p>
    <w:p w14:paraId="18851189" w14:textId="77777777" w:rsidR="00CA08B3" w:rsidRPr="00FB2719" w:rsidRDefault="00402F3F" w:rsidP="00402F3F">
      <w:pPr>
        <w:rPr>
          <w:sz w:val="22"/>
          <w:szCs w:val="22"/>
        </w:rPr>
      </w:pPr>
      <w:r w:rsidRPr="00FB2719">
        <w:rPr>
          <w:sz w:val="22"/>
          <w:szCs w:val="22"/>
        </w:rPr>
        <w:t>Pacientams, kurie negali vartoti plėvele dengtų tablečių, skiriamas lopinaviro/ritonaviro derinio geriamasis tirpalas.</w:t>
      </w:r>
    </w:p>
    <w:p w14:paraId="43FE627A" w14:textId="77777777" w:rsidR="00402F3F" w:rsidRPr="00FB2719" w:rsidRDefault="00402F3F" w:rsidP="00CA08B3">
      <w:pPr>
        <w:rPr>
          <w:b/>
          <w:sz w:val="22"/>
          <w:szCs w:val="22"/>
        </w:rPr>
      </w:pPr>
    </w:p>
    <w:p w14:paraId="1114B485" w14:textId="77777777" w:rsidR="00CA08B3" w:rsidRPr="00FB2719" w:rsidRDefault="00CA08B3" w:rsidP="00CA08B3">
      <w:pPr>
        <w:rPr>
          <w:b/>
          <w:sz w:val="22"/>
          <w:szCs w:val="22"/>
        </w:rPr>
      </w:pPr>
      <w:r w:rsidRPr="00FB2719">
        <w:rPr>
          <w:b/>
          <w:sz w:val="22"/>
          <w:szCs w:val="22"/>
        </w:rPr>
        <w:t xml:space="preserve">Ką daryti </w:t>
      </w:r>
      <w:r w:rsidR="00917D2F" w:rsidRPr="00FB2719">
        <w:rPr>
          <w:b/>
          <w:sz w:val="22"/>
          <w:szCs w:val="22"/>
        </w:rPr>
        <w:t xml:space="preserve">Jums arba Jūsų vaikui </w:t>
      </w:r>
      <w:r w:rsidRPr="00FB2719">
        <w:rPr>
          <w:b/>
          <w:sz w:val="22"/>
          <w:szCs w:val="22"/>
        </w:rPr>
        <w:t>pavartojus per didelę Lopinavir/Ritonavir Sandoz dozę?</w:t>
      </w:r>
    </w:p>
    <w:p w14:paraId="625E0FC1" w14:textId="77777777" w:rsidR="00CA08B3" w:rsidRPr="00FB2719" w:rsidRDefault="00CA08B3" w:rsidP="00CA08B3">
      <w:pPr>
        <w:numPr>
          <w:ilvl w:val="0"/>
          <w:numId w:val="22"/>
        </w:numPr>
        <w:ind w:left="567" w:hanging="567"/>
        <w:rPr>
          <w:sz w:val="22"/>
          <w:szCs w:val="22"/>
        </w:rPr>
      </w:pPr>
      <w:r w:rsidRPr="00FB2719">
        <w:rPr>
          <w:sz w:val="22"/>
          <w:szCs w:val="22"/>
        </w:rPr>
        <w:t xml:space="preserve">Suvokę, kad išgėrėte </w:t>
      </w:r>
      <w:r w:rsidRPr="00FB2719">
        <w:rPr>
          <w:rFonts w:eastAsia="Calibri"/>
          <w:color w:val="000000"/>
          <w:sz w:val="22"/>
          <w:szCs w:val="22"/>
          <w:lang w:eastAsia="lt-LT"/>
        </w:rPr>
        <w:t xml:space="preserve">Lopinavir/Ritonavir Sandoz </w:t>
      </w:r>
      <w:r w:rsidRPr="00FB2719">
        <w:rPr>
          <w:sz w:val="22"/>
          <w:szCs w:val="22"/>
        </w:rPr>
        <w:t>daugiau negu Jums numatyta, iš karto kreipkitės į savo gydytoją.</w:t>
      </w:r>
    </w:p>
    <w:p w14:paraId="4D8F5D38" w14:textId="77777777" w:rsidR="00CA08B3" w:rsidRPr="00FB2719" w:rsidRDefault="00CA08B3" w:rsidP="00CA08B3">
      <w:pPr>
        <w:numPr>
          <w:ilvl w:val="0"/>
          <w:numId w:val="22"/>
        </w:numPr>
        <w:ind w:left="567" w:hanging="567"/>
        <w:rPr>
          <w:sz w:val="22"/>
          <w:szCs w:val="22"/>
        </w:rPr>
      </w:pPr>
      <w:r w:rsidRPr="00FB2719">
        <w:rPr>
          <w:sz w:val="22"/>
          <w:szCs w:val="22"/>
        </w:rPr>
        <w:t>Jeigu negalite susisiekti su savo gydytoju, vykite į ligoninę.</w:t>
      </w:r>
    </w:p>
    <w:p w14:paraId="0FF7FBB9" w14:textId="77777777" w:rsidR="00CA08B3" w:rsidRPr="00FB2719" w:rsidRDefault="00CA08B3" w:rsidP="00CA08B3">
      <w:pPr>
        <w:rPr>
          <w:sz w:val="22"/>
          <w:szCs w:val="22"/>
        </w:rPr>
      </w:pPr>
    </w:p>
    <w:p w14:paraId="37809B89" w14:textId="5AC8E116" w:rsidR="00CA08B3" w:rsidRPr="00FB2719" w:rsidRDefault="00917D2F" w:rsidP="00CA08B3">
      <w:pPr>
        <w:rPr>
          <w:b/>
          <w:sz w:val="22"/>
          <w:szCs w:val="22"/>
        </w:rPr>
      </w:pPr>
      <w:r w:rsidRPr="00FB2719">
        <w:rPr>
          <w:b/>
          <w:sz w:val="22"/>
          <w:szCs w:val="22"/>
        </w:rPr>
        <w:t>Jums arba Jūsų vaikui p</w:t>
      </w:r>
      <w:r w:rsidR="00CA08B3" w:rsidRPr="00FB2719">
        <w:rPr>
          <w:b/>
          <w:sz w:val="22"/>
          <w:szCs w:val="22"/>
        </w:rPr>
        <w:t>amiršus pavartoti Lopinavir/Ritonavir Sandoz</w:t>
      </w:r>
    </w:p>
    <w:p w14:paraId="5BDB9A81" w14:textId="77777777" w:rsidR="00CA08B3" w:rsidRPr="00FB2719" w:rsidRDefault="00CA08B3" w:rsidP="00CA08B3">
      <w:pPr>
        <w:rPr>
          <w:i/>
          <w:sz w:val="22"/>
          <w:szCs w:val="22"/>
          <w:u w:val="single"/>
        </w:rPr>
      </w:pPr>
      <w:r w:rsidRPr="00FB2719">
        <w:rPr>
          <w:i/>
          <w:sz w:val="22"/>
          <w:szCs w:val="22"/>
          <w:u w:val="single"/>
        </w:rPr>
        <w:t>Jeigu vartojate Lopinavir/Ritonavir Sandoz du kartus per parą</w:t>
      </w:r>
    </w:p>
    <w:p w14:paraId="12C3287F" w14:textId="77777777" w:rsidR="00CA08B3" w:rsidRPr="00FB2719" w:rsidRDefault="00CA08B3" w:rsidP="00CA08B3">
      <w:pPr>
        <w:rPr>
          <w:sz w:val="22"/>
          <w:szCs w:val="22"/>
        </w:rPr>
      </w:pPr>
      <w:r w:rsidRPr="00FB2719">
        <w:rPr>
          <w:sz w:val="22"/>
          <w:szCs w:val="22"/>
        </w:rPr>
        <w:t>Jeigu per 6 valandas nuo įprasto vaisto vartojimo laiko pastebėjote, kad pamiršote pavartoti dozę, kuo greičiau ją išgerkite, paskui vartokite normalią dozę įprastine tvarka taip, kaip paskyrė gydytojas.</w:t>
      </w:r>
    </w:p>
    <w:p w14:paraId="63F55D9C" w14:textId="77777777" w:rsidR="00CA08B3" w:rsidRPr="00FB2719" w:rsidRDefault="00CA08B3" w:rsidP="00CA08B3">
      <w:pPr>
        <w:rPr>
          <w:sz w:val="22"/>
          <w:szCs w:val="22"/>
        </w:rPr>
      </w:pPr>
    </w:p>
    <w:p w14:paraId="571522D4" w14:textId="77777777" w:rsidR="00CA08B3" w:rsidRPr="00FB2719" w:rsidRDefault="00CA08B3" w:rsidP="00CA08B3">
      <w:pPr>
        <w:rPr>
          <w:sz w:val="22"/>
          <w:szCs w:val="22"/>
        </w:rPr>
      </w:pPr>
      <w:r w:rsidRPr="00FB2719">
        <w:rPr>
          <w:sz w:val="22"/>
          <w:szCs w:val="22"/>
        </w:rPr>
        <w:t>Jeigu pastebėjote, kad pamiršote pavartoti dozę praėjus daugiau nei 6 valandoms nuo įprasto vaisto vartojimo laiko, pamirštos dozės negerkite. Kitą dozę vartokite, kaip įprasta. Negalima vartoti dvigubos dozės norint kompensuoti praleistą dozę.</w:t>
      </w:r>
    </w:p>
    <w:p w14:paraId="60E61434" w14:textId="77777777" w:rsidR="00CA08B3" w:rsidRPr="00FB2719" w:rsidRDefault="00CA08B3" w:rsidP="00CA08B3">
      <w:pPr>
        <w:rPr>
          <w:sz w:val="22"/>
          <w:szCs w:val="22"/>
        </w:rPr>
      </w:pPr>
    </w:p>
    <w:p w14:paraId="75A1EC06" w14:textId="77777777" w:rsidR="00CA08B3" w:rsidRPr="00FB2719" w:rsidRDefault="00CA08B3" w:rsidP="00CA08B3">
      <w:pPr>
        <w:rPr>
          <w:i/>
          <w:sz w:val="22"/>
          <w:szCs w:val="22"/>
          <w:u w:val="single"/>
        </w:rPr>
      </w:pPr>
      <w:r w:rsidRPr="00FB2719">
        <w:rPr>
          <w:i/>
          <w:sz w:val="22"/>
          <w:szCs w:val="22"/>
          <w:u w:val="single"/>
        </w:rPr>
        <w:t>Jeigu vartojate Lopinavir/Ritonavir Sandoz vieną kartą per parą</w:t>
      </w:r>
    </w:p>
    <w:p w14:paraId="5FE899EA" w14:textId="77777777" w:rsidR="00CA08B3" w:rsidRPr="00FB2719" w:rsidRDefault="00CA08B3" w:rsidP="00CA08B3">
      <w:pPr>
        <w:rPr>
          <w:sz w:val="22"/>
          <w:szCs w:val="22"/>
        </w:rPr>
      </w:pPr>
      <w:r w:rsidRPr="00FB2719">
        <w:rPr>
          <w:sz w:val="22"/>
          <w:szCs w:val="22"/>
        </w:rPr>
        <w:t>Jeigu per 12</w:t>
      </w:r>
      <w:r w:rsidR="005B415B" w:rsidRPr="00FB2719">
        <w:rPr>
          <w:sz w:val="22"/>
          <w:szCs w:val="22"/>
        </w:rPr>
        <w:t> </w:t>
      </w:r>
      <w:r w:rsidRPr="00FB2719">
        <w:rPr>
          <w:sz w:val="22"/>
          <w:szCs w:val="22"/>
        </w:rPr>
        <w:t>valandų nuo įprasto vaisto vartojimo laiko pastebėjote, kad pamiršote pavartoti dozę, kuo greičiau ją išgerkite, paskui vartokite normalią dozę įprastine tvarka taip, kaip paskyrė gydytojas.</w:t>
      </w:r>
    </w:p>
    <w:p w14:paraId="79658A09" w14:textId="77777777" w:rsidR="00CA08B3" w:rsidRPr="00FB2719" w:rsidRDefault="00CA08B3" w:rsidP="00CA08B3">
      <w:pPr>
        <w:rPr>
          <w:sz w:val="22"/>
          <w:szCs w:val="22"/>
        </w:rPr>
      </w:pPr>
      <w:r w:rsidRPr="00FB2719">
        <w:rPr>
          <w:sz w:val="22"/>
          <w:szCs w:val="22"/>
        </w:rPr>
        <w:lastRenderedPageBreak/>
        <w:t>Jei pastebėjote, kad pamiršote pavartoti dozę praėjus daugiau nei 12</w:t>
      </w:r>
      <w:r w:rsidR="005B415B" w:rsidRPr="00FB2719">
        <w:rPr>
          <w:sz w:val="22"/>
          <w:szCs w:val="22"/>
        </w:rPr>
        <w:t> </w:t>
      </w:r>
      <w:r w:rsidRPr="00FB2719">
        <w:rPr>
          <w:sz w:val="22"/>
          <w:szCs w:val="22"/>
        </w:rPr>
        <w:t>valandų nuo įprasto vaisto vartojimo laiko, pamirštos dozės negerkite. Kitą dozę vartokite, kaip įprasta. Negalima vartoti dvigubos dozės norint kompensuoti praleistą dozę.</w:t>
      </w:r>
    </w:p>
    <w:p w14:paraId="476D67EA" w14:textId="77777777" w:rsidR="00CA08B3" w:rsidRPr="00FB2719" w:rsidRDefault="00CA08B3" w:rsidP="00CA08B3">
      <w:pPr>
        <w:rPr>
          <w:sz w:val="22"/>
          <w:szCs w:val="22"/>
        </w:rPr>
      </w:pPr>
    </w:p>
    <w:p w14:paraId="4B386488" w14:textId="676FF902" w:rsidR="00CA08B3" w:rsidRPr="00FB2719" w:rsidRDefault="00917D2F" w:rsidP="00CA08B3">
      <w:pPr>
        <w:rPr>
          <w:b/>
          <w:sz w:val="22"/>
          <w:szCs w:val="22"/>
        </w:rPr>
      </w:pPr>
      <w:r w:rsidRPr="00FB2719">
        <w:rPr>
          <w:b/>
          <w:sz w:val="22"/>
          <w:szCs w:val="22"/>
        </w:rPr>
        <w:t xml:space="preserve">Jums arba Jūsų vaikui nustojus </w:t>
      </w:r>
      <w:r w:rsidR="00CA08B3" w:rsidRPr="00FB2719">
        <w:rPr>
          <w:b/>
          <w:sz w:val="22"/>
          <w:szCs w:val="22"/>
        </w:rPr>
        <w:t>vartoti Lopinavir/Ritonavir Sandoz</w:t>
      </w:r>
    </w:p>
    <w:p w14:paraId="4D759E28" w14:textId="77777777" w:rsidR="00CA08B3" w:rsidRPr="00FB2719" w:rsidRDefault="00CA08B3" w:rsidP="00CA08B3">
      <w:pPr>
        <w:numPr>
          <w:ilvl w:val="1"/>
          <w:numId w:val="23"/>
        </w:numPr>
        <w:ind w:left="567" w:hanging="567"/>
        <w:rPr>
          <w:sz w:val="22"/>
          <w:szCs w:val="22"/>
        </w:rPr>
      </w:pPr>
      <w:r w:rsidRPr="00FB2719">
        <w:rPr>
          <w:sz w:val="22"/>
          <w:szCs w:val="22"/>
        </w:rPr>
        <w:t>Nekeiskite Lopinavir/Ritonavir Sandoz paros dozės bei nenustokite vaisto vartoti prieš tai nepasitarę su savo gydytoju.</w:t>
      </w:r>
    </w:p>
    <w:p w14:paraId="34413BD3" w14:textId="77777777" w:rsidR="00CA08B3" w:rsidRPr="00FB2719" w:rsidRDefault="00CA08B3" w:rsidP="00CA08B3">
      <w:pPr>
        <w:numPr>
          <w:ilvl w:val="1"/>
          <w:numId w:val="23"/>
        </w:numPr>
        <w:ind w:left="567" w:hanging="567"/>
        <w:rPr>
          <w:sz w:val="22"/>
          <w:szCs w:val="22"/>
        </w:rPr>
      </w:pPr>
      <w:r w:rsidRPr="00FB2719">
        <w:rPr>
          <w:sz w:val="22"/>
          <w:szCs w:val="22"/>
        </w:rPr>
        <w:t>Kad padėtų suvaldyti ŽIV infekciją, Lopinavir/Ritonavir Sandoz reikia vartoti du kartus per parą kasdien, neatsižvelgiant į geresnę Jūsų savijautą.</w:t>
      </w:r>
    </w:p>
    <w:p w14:paraId="45A0D895" w14:textId="77777777" w:rsidR="00CA08B3" w:rsidRPr="00FB2719" w:rsidRDefault="00CA08B3" w:rsidP="00CA08B3">
      <w:pPr>
        <w:numPr>
          <w:ilvl w:val="1"/>
          <w:numId w:val="23"/>
        </w:numPr>
        <w:ind w:left="567" w:hanging="567"/>
        <w:rPr>
          <w:sz w:val="22"/>
          <w:szCs w:val="22"/>
        </w:rPr>
      </w:pPr>
      <w:r w:rsidRPr="00FB2719">
        <w:rPr>
          <w:sz w:val="22"/>
          <w:szCs w:val="22"/>
        </w:rPr>
        <w:t>Lopinavir/Ritonavir Sandoz vartojimas taip, kaip rekomenduojama, Jums suteikia geriausią galimybę uždelsti atsparumo vaistui išsivystymą.</w:t>
      </w:r>
    </w:p>
    <w:p w14:paraId="46A1982E" w14:textId="77777777" w:rsidR="00CA08B3" w:rsidRPr="00FB2719" w:rsidRDefault="00CA08B3" w:rsidP="00CA08B3">
      <w:pPr>
        <w:numPr>
          <w:ilvl w:val="1"/>
          <w:numId w:val="23"/>
        </w:numPr>
        <w:ind w:left="567" w:hanging="567"/>
        <w:rPr>
          <w:sz w:val="22"/>
          <w:szCs w:val="22"/>
        </w:rPr>
      </w:pPr>
      <w:r w:rsidRPr="00FB2719">
        <w:rPr>
          <w:sz w:val="22"/>
          <w:szCs w:val="22"/>
        </w:rPr>
        <w:t>Jeigu dėl nepageidaujamo poveikio Lopinavir/Ritonavir Sandoz negalima vartoti taip, kaip nurodyta, nedels</w:t>
      </w:r>
      <w:r w:rsidR="00BB3B4D" w:rsidRPr="00FB2719">
        <w:rPr>
          <w:sz w:val="22"/>
          <w:szCs w:val="22"/>
        </w:rPr>
        <w:t>dami</w:t>
      </w:r>
      <w:r w:rsidRPr="00FB2719">
        <w:rPr>
          <w:sz w:val="22"/>
          <w:szCs w:val="22"/>
        </w:rPr>
        <w:t xml:space="preserve"> praneškite savo gydytojui.</w:t>
      </w:r>
    </w:p>
    <w:p w14:paraId="40580490" w14:textId="77777777" w:rsidR="00CA08B3" w:rsidRPr="00FB2719" w:rsidRDefault="00CA08B3" w:rsidP="00CA08B3">
      <w:pPr>
        <w:numPr>
          <w:ilvl w:val="1"/>
          <w:numId w:val="23"/>
        </w:numPr>
        <w:ind w:left="567" w:hanging="567"/>
        <w:rPr>
          <w:sz w:val="22"/>
          <w:szCs w:val="22"/>
        </w:rPr>
      </w:pPr>
      <w:r w:rsidRPr="00FB2719">
        <w:rPr>
          <w:sz w:val="22"/>
          <w:szCs w:val="22"/>
        </w:rPr>
        <w:t>Visada turėkite pakankamai Lopinavir/Ritonavir Sandoz, kad jis nepasibaigtų. Jeigu keliausite ar būsite guldomas į ligoninę, įsitikinkite, kad Jums pakaks Lopinavir/Ritonavir Sandoz, kol vėl galėsite jo įsigyti.</w:t>
      </w:r>
    </w:p>
    <w:p w14:paraId="0BB3D8B7" w14:textId="77777777" w:rsidR="00CA08B3" w:rsidRPr="00FB2719" w:rsidRDefault="00CA08B3" w:rsidP="00CA08B3">
      <w:pPr>
        <w:numPr>
          <w:ilvl w:val="1"/>
          <w:numId w:val="23"/>
        </w:numPr>
        <w:ind w:left="567" w:hanging="567"/>
        <w:rPr>
          <w:sz w:val="22"/>
          <w:szCs w:val="22"/>
        </w:rPr>
      </w:pPr>
      <w:r w:rsidRPr="00FB2719">
        <w:rPr>
          <w:sz w:val="22"/>
          <w:szCs w:val="22"/>
        </w:rPr>
        <w:t>Tęskite šio vaisto vartojimą tol, kol gydytojas nenurodys kitaip.</w:t>
      </w:r>
    </w:p>
    <w:p w14:paraId="0D8D9423" w14:textId="77777777" w:rsidR="00CA08B3" w:rsidRPr="00FB2719" w:rsidRDefault="00CA08B3" w:rsidP="00CA08B3">
      <w:pPr>
        <w:rPr>
          <w:sz w:val="22"/>
          <w:szCs w:val="22"/>
        </w:rPr>
      </w:pPr>
    </w:p>
    <w:p w14:paraId="0B78CA46" w14:textId="77777777" w:rsidR="00CA08B3" w:rsidRPr="00FB2719" w:rsidRDefault="00CA08B3" w:rsidP="00CA08B3">
      <w:pPr>
        <w:rPr>
          <w:sz w:val="22"/>
          <w:szCs w:val="22"/>
        </w:rPr>
      </w:pPr>
      <w:r w:rsidRPr="00FB2719">
        <w:rPr>
          <w:sz w:val="22"/>
          <w:szCs w:val="22"/>
        </w:rPr>
        <w:t>Jeigu kiltų daugiau klausimų dėl šio vaisto vartojimo, kreipkitės į gydytoją arba vaistininką.</w:t>
      </w:r>
    </w:p>
    <w:p w14:paraId="33F4A4D0" w14:textId="77777777" w:rsidR="00CA08B3" w:rsidRPr="00FB2719" w:rsidRDefault="00CA08B3" w:rsidP="00CA08B3">
      <w:pPr>
        <w:rPr>
          <w:sz w:val="22"/>
          <w:szCs w:val="22"/>
        </w:rPr>
      </w:pPr>
    </w:p>
    <w:p w14:paraId="4B63A10B" w14:textId="77777777" w:rsidR="00CA08B3" w:rsidRPr="00FB2719" w:rsidRDefault="00CA08B3" w:rsidP="00CA08B3">
      <w:pPr>
        <w:rPr>
          <w:sz w:val="22"/>
          <w:szCs w:val="22"/>
        </w:rPr>
      </w:pPr>
    </w:p>
    <w:p w14:paraId="482608E6" w14:textId="77777777" w:rsidR="00CA08B3" w:rsidRPr="00FB2719" w:rsidRDefault="00CA08B3" w:rsidP="00CA08B3">
      <w:pPr>
        <w:ind w:left="567" w:hanging="567"/>
        <w:rPr>
          <w:b/>
          <w:sz w:val="22"/>
          <w:szCs w:val="22"/>
        </w:rPr>
      </w:pPr>
      <w:r w:rsidRPr="00FB2719">
        <w:rPr>
          <w:b/>
          <w:sz w:val="22"/>
          <w:szCs w:val="22"/>
        </w:rPr>
        <w:t>4.</w:t>
      </w:r>
      <w:r w:rsidRPr="00FB2719">
        <w:rPr>
          <w:b/>
          <w:sz w:val="22"/>
          <w:szCs w:val="22"/>
        </w:rPr>
        <w:tab/>
        <w:t>Galimas šalutinis poveikis</w:t>
      </w:r>
    </w:p>
    <w:p w14:paraId="76303A97" w14:textId="77777777" w:rsidR="00CA08B3" w:rsidRPr="00FB2719" w:rsidRDefault="00CA08B3" w:rsidP="00CA08B3">
      <w:pPr>
        <w:rPr>
          <w:sz w:val="22"/>
          <w:szCs w:val="22"/>
        </w:rPr>
      </w:pPr>
    </w:p>
    <w:p w14:paraId="3344A74C" w14:textId="77777777" w:rsidR="00CA08B3" w:rsidRPr="00FB2719" w:rsidRDefault="00CA08B3" w:rsidP="00CA08B3">
      <w:pPr>
        <w:rPr>
          <w:sz w:val="22"/>
          <w:szCs w:val="22"/>
        </w:rPr>
      </w:pPr>
      <w:r w:rsidRPr="00FB2719">
        <w:rPr>
          <w:sz w:val="22"/>
          <w:szCs w:val="22"/>
        </w:rPr>
        <w:t>Šis vaistas, kaip ir visi kiti, gali sukelti šalutinį poveikį, nors jis pasireiškia ne visiems žmonėms.</w:t>
      </w:r>
    </w:p>
    <w:p w14:paraId="6BD2CC93" w14:textId="77777777" w:rsidR="00CA08B3" w:rsidRPr="00FB2719" w:rsidRDefault="00CA08B3" w:rsidP="00CA08B3">
      <w:pPr>
        <w:rPr>
          <w:sz w:val="22"/>
          <w:szCs w:val="22"/>
        </w:rPr>
      </w:pPr>
      <w:r w:rsidRPr="00FB2719">
        <w:rPr>
          <w:sz w:val="22"/>
          <w:szCs w:val="22"/>
        </w:rPr>
        <w:t>Gali būti sunku atskirti šalutinį Lopinavir/Ritonavir Sandoz sukeltą poveikį nuo poveikio, galinčio atsirasti dėl kitų kartu vartojamų vaistų ar dėl pačios ŽIV infekcijos komplikacijų.</w:t>
      </w:r>
    </w:p>
    <w:p w14:paraId="10FF0590" w14:textId="77777777" w:rsidR="008B2B17" w:rsidRPr="00FB2719" w:rsidRDefault="008B2B17" w:rsidP="008B2B17">
      <w:pPr>
        <w:rPr>
          <w:sz w:val="22"/>
          <w:szCs w:val="22"/>
        </w:rPr>
      </w:pPr>
    </w:p>
    <w:p w14:paraId="228516FE" w14:textId="4DB0B0C5" w:rsidR="008B2B17" w:rsidRPr="00FB2719" w:rsidRDefault="008B2B17" w:rsidP="008B2B17">
      <w:pPr>
        <w:autoSpaceDE w:val="0"/>
        <w:autoSpaceDN w:val="0"/>
        <w:adjustRightInd w:val="0"/>
        <w:rPr>
          <w:sz w:val="22"/>
          <w:szCs w:val="22"/>
        </w:rPr>
      </w:pPr>
      <w:r w:rsidRPr="00FB2719">
        <w:rPr>
          <w:sz w:val="22"/>
          <w:szCs w:val="22"/>
        </w:rPr>
        <w:t>Gydymo nuo ŽIV metu gali padid</w:t>
      </w:r>
      <w:r w:rsidR="00CF6C09" w:rsidRPr="00FB2719">
        <w:rPr>
          <w:sz w:val="22"/>
          <w:szCs w:val="22"/>
        </w:rPr>
        <w:t xml:space="preserve">ėti kūno masė ir lipidų </w:t>
      </w:r>
      <w:r w:rsidRPr="00FB2719">
        <w:rPr>
          <w:sz w:val="22"/>
          <w:szCs w:val="22"/>
        </w:rPr>
        <w:t>bei gliukozė</w:t>
      </w:r>
      <w:r w:rsidR="00AF2599" w:rsidRPr="00FB2719">
        <w:rPr>
          <w:sz w:val="22"/>
          <w:szCs w:val="22"/>
        </w:rPr>
        <w:t>s</w:t>
      </w:r>
      <w:r w:rsidRPr="00FB2719">
        <w:rPr>
          <w:sz w:val="22"/>
          <w:szCs w:val="22"/>
        </w:rPr>
        <w:t xml:space="preserve"> </w:t>
      </w:r>
      <w:r w:rsidR="00AF2599" w:rsidRPr="00FB2719">
        <w:rPr>
          <w:sz w:val="22"/>
          <w:szCs w:val="22"/>
        </w:rPr>
        <w:t>koncentracija kraujyje. I</w:t>
      </w:r>
      <w:r w:rsidRPr="00FB2719">
        <w:rPr>
          <w:sz w:val="22"/>
          <w:szCs w:val="22"/>
        </w:rPr>
        <w:t>š dalies gali b</w:t>
      </w:r>
      <w:r w:rsidR="00CF6C09" w:rsidRPr="00FB2719">
        <w:rPr>
          <w:sz w:val="22"/>
          <w:szCs w:val="22"/>
        </w:rPr>
        <w:t>ūti susiję su sveikatos būklės pagerėjimu ir gyvenimo būdu, o lipidų pokyčiai kai kuriais atvejais yra susiję su vaistų nuo ŽIV vartojimu. Jūsų gydytojas tirs, ar neatsiranda tokių pokyčių.</w:t>
      </w:r>
    </w:p>
    <w:p w14:paraId="66CFD228" w14:textId="77777777" w:rsidR="00AF2599" w:rsidRPr="00FB2719" w:rsidRDefault="00AF2599" w:rsidP="008B2B17">
      <w:pPr>
        <w:autoSpaceDE w:val="0"/>
        <w:autoSpaceDN w:val="0"/>
        <w:adjustRightInd w:val="0"/>
        <w:rPr>
          <w:sz w:val="22"/>
          <w:szCs w:val="22"/>
        </w:rPr>
      </w:pPr>
    </w:p>
    <w:p w14:paraId="4DBE3819" w14:textId="77777777" w:rsidR="008B2B17" w:rsidRPr="00FB2719" w:rsidRDefault="008B2B17" w:rsidP="008B2B17">
      <w:pPr>
        <w:autoSpaceDE w:val="0"/>
        <w:autoSpaceDN w:val="0"/>
        <w:adjustRightInd w:val="0"/>
        <w:rPr>
          <w:b/>
          <w:sz w:val="22"/>
          <w:szCs w:val="22"/>
        </w:rPr>
      </w:pPr>
      <w:r w:rsidRPr="00FB2719">
        <w:rPr>
          <w:b/>
          <w:sz w:val="22"/>
          <w:szCs w:val="22"/>
        </w:rPr>
        <w:t>Toliau išvard</w:t>
      </w:r>
      <w:r w:rsidR="009B308A" w:rsidRPr="00FB2719">
        <w:rPr>
          <w:b/>
          <w:sz w:val="22"/>
          <w:szCs w:val="22"/>
        </w:rPr>
        <w:t>y</w:t>
      </w:r>
      <w:r w:rsidRPr="00FB2719">
        <w:rPr>
          <w:b/>
          <w:sz w:val="22"/>
          <w:szCs w:val="22"/>
        </w:rPr>
        <w:t>ti šalutinio poveikio reiškiniai, apie kuriuos pranešė šį vaistą vartoję pacientai.</w:t>
      </w:r>
    </w:p>
    <w:p w14:paraId="157B02AF" w14:textId="77777777" w:rsidR="00CA08B3" w:rsidRPr="00FB2719" w:rsidRDefault="008B2B17" w:rsidP="00AD237C">
      <w:pPr>
        <w:autoSpaceDE w:val="0"/>
        <w:autoSpaceDN w:val="0"/>
        <w:adjustRightInd w:val="0"/>
        <w:rPr>
          <w:sz w:val="22"/>
          <w:szCs w:val="22"/>
        </w:rPr>
      </w:pPr>
      <w:r w:rsidRPr="00FB2719">
        <w:rPr>
          <w:sz w:val="22"/>
          <w:szCs w:val="22"/>
        </w:rPr>
        <w:t>Svarbu gydytojui pasakyti apie šiuos ar bet kokius kitus simptomus. Jei simptomai išlieka ilgai ar sunk</w:t>
      </w:r>
      <w:r w:rsidR="00CF6C09" w:rsidRPr="00FB2719">
        <w:rPr>
          <w:sz w:val="22"/>
          <w:szCs w:val="22"/>
        </w:rPr>
        <w:t>ė</w:t>
      </w:r>
      <w:r w:rsidRPr="00FB2719">
        <w:rPr>
          <w:sz w:val="22"/>
          <w:szCs w:val="22"/>
        </w:rPr>
        <w:t>ja, kreipkit</w:t>
      </w:r>
      <w:r w:rsidR="00CF6C09" w:rsidRPr="00FB2719">
        <w:rPr>
          <w:sz w:val="22"/>
          <w:szCs w:val="22"/>
        </w:rPr>
        <w:t>ės medicininės pagalbos.</w:t>
      </w:r>
    </w:p>
    <w:p w14:paraId="2B22A0C2" w14:textId="77777777" w:rsidR="008B2B17" w:rsidRPr="00FB2719" w:rsidRDefault="008B2B17" w:rsidP="008B2B17">
      <w:pPr>
        <w:rPr>
          <w:sz w:val="22"/>
          <w:szCs w:val="22"/>
        </w:rPr>
      </w:pPr>
    </w:p>
    <w:p w14:paraId="6A7DFA41" w14:textId="77777777" w:rsidR="00CA08B3" w:rsidRPr="00FB2719" w:rsidRDefault="008B2B17" w:rsidP="00CA08B3">
      <w:pPr>
        <w:rPr>
          <w:sz w:val="22"/>
          <w:szCs w:val="22"/>
        </w:rPr>
      </w:pPr>
      <w:r w:rsidRPr="00FB2719">
        <w:rPr>
          <w:b/>
          <w:sz w:val="22"/>
          <w:szCs w:val="22"/>
          <w:u w:val="single"/>
        </w:rPr>
        <w:t>Labai dažnas</w:t>
      </w:r>
      <w:r w:rsidR="00CA08B3" w:rsidRPr="00FB2719">
        <w:rPr>
          <w:sz w:val="22"/>
          <w:szCs w:val="22"/>
        </w:rPr>
        <w:t xml:space="preserve"> (gali pakenkti daugiau nei 1 iš 10 žmonių):</w:t>
      </w:r>
    </w:p>
    <w:p w14:paraId="7DF69043" w14:textId="77777777" w:rsidR="00CA08B3" w:rsidRPr="00FB2719" w:rsidRDefault="00CA08B3" w:rsidP="00CA08B3">
      <w:pPr>
        <w:numPr>
          <w:ilvl w:val="0"/>
          <w:numId w:val="24"/>
        </w:numPr>
        <w:ind w:left="567" w:hanging="567"/>
        <w:rPr>
          <w:sz w:val="22"/>
          <w:szCs w:val="22"/>
        </w:rPr>
      </w:pPr>
      <w:r w:rsidRPr="00FB2719">
        <w:rPr>
          <w:sz w:val="22"/>
          <w:szCs w:val="22"/>
        </w:rPr>
        <w:t>viduriavimas;</w:t>
      </w:r>
    </w:p>
    <w:p w14:paraId="770955D2" w14:textId="77777777" w:rsidR="00CA08B3" w:rsidRPr="00FB2719" w:rsidRDefault="00CA08B3" w:rsidP="00CA08B3">
      <w:pPr>
        <w:numPr>
          <w:ilvl w:val="0"/>
          <w:numId w:val="24"/>
        </w:numPr>
        <w:ind w:left="567" w:hanging="567"/>
        <w:rPr>
          <w:sz w:val="22"/>
          <w:szCs w:val="22"/>
        </w:rPr>
      </w:pPr>
      <w:r w:rsidRPr="00FB2719">
        <w:rPr>
          <w:sz w:val="22"/>
          <w:szCs w:val="22"/>
        </w:rPr>
        <w:t>pykinimas;</w:t>
      </w:r>
    </w:p>
    <w:p w14:paraId="3C2E4051" w14:textId="77777777" w:rsidR="00CA08B3" w:rsidRPr="00FB2719" w:rsidRDefault="00CA08B3" w:rsidP="00CA08B3">
      <w:pPr>
        <w:numPr>
          <w:ilvl w:val="0"/>
          <w:numId w:val="24"/>
        </w:numPr>
        <w:ind w:left="567" w:hanging="567"/>
        <w:rPr>
          <w:sz w:val="22"/>
          <w:szCs w:val="22"/>
        </w:rPr>
      </w:pPr>
      <w:r w:rsidRPr="00FB2719">
        <w:rPr>
          <w:sz w:val="22"/>
          <w:szCs w:val="22"/>
        </w:rPr>
        <w:t>viršutinių kvėpavimo takų infekcija.</w:t>
      </w:r>
    </w:p>
    <w:p w14:paraId="556633F9" w14:textId="77777777" w:rsidR="00CA08B3" w:rsidRPr="00FB2719" w:rsidRDefault="00CA08B3" w:rsidP="00CA08B3">
      <w:pPr>
        <w:rPr>
          <w:sz w:val="22"/>
          <w:szCs w:val="22"/>
        </w:rPr>
      </w:pPr>
    </w:p>
    <w:p w14:paraId="4CE4BB69" w14:textId="77777777" w:rsidR="00CA08B3" w:rsidRPr="00FB2719" w:rsidRDefault="008B2B17" w:rsidP="00CA08B3">
      <w:pPr>
        <w:rPr>
          <w:sz w:val="22"/>
          <w:szCs w:val="22"/>
        </w:rPr>
      </w:pPr>
      <w:r w:rsidRPr="00FB2719">
        <w:rPr>
          <w:b/>
          <w:sz w:val="22"/>
          <w:szCs w:val="22"/>
          <w:u w:val="single"/>
        </w:rPr>
        <w:t xml:space="preserve">Dažnas </w:t>
      </w:r>
      <w:r w:rsidR="00CA08B3" w:rsidRPr="00FB2719">
        <w:rPr>
          <w:sz w:val="22"/>
          <w:szCs w:val="22"/>
        </w:rPr>
        <w:t>(gali pakenkti ne daugiau kaip 1 iš 10 žmonių):</w:t>
      </w:r>
    </w:p>
    <w:p w14:paraId="7DF690D2" w14:textId="77777777" w:rsidR="00CA08B3" w:rsidRPr="00FB2719" w:rsidRDefault="00CA08B3" w:rsidP="00CA08B3">
      <w:pPr>
        <w:numPr>
          <w:ilvl w:val="0"/>
          <w:numId w:val="25"/>
        </w:numPr>
        <w:ind w:left="567" w:hanging="567"/>
        <w:rPr>
          <w:sz w:val="22"/>
          <w:szCs w:val="22"/>
        </w:rPr>
      </w:pPr>
      <w:r w:rsidRPr="00FB2719">
        <w:rPr>
          <w:sz w:val="22"/>
          <w:szCs w:val="22"/>
        </w:rPr>
        <w:t>kasos uždegimas;</w:t>
      </w:r>
    </w:p>
    <w:p w14:paraId="771EB4C8" w14:textId="77777777" w:rsidR="00EB351A" w:rsidRPr="00FB2719" w:rsidRDefault="00CA08B3" w:rsidP="00FB2719">
      <w:pPr>
        <w:numPr>
          <w:ilvl w:val="0"/>
          <w:numId w:val="25"/>
        </w:numPr>
        <w:ind w:left="567" w:hanging="567"/>
        <w:rPr>
          <w:sz w:val="22"/>
          <w:szCs w:val="22"/>
        </w:rPr>
      </w:pPr>
      <w:r w:rsidRPr="00FB2719">
        <w:rPr>
          <w:sz w:val="22"/>
          <w:szCs w:val="22"/>
        </w:rPr>
        <w:t>vėmimas, pilvo padidėjimas, pilvo viršutinės ir apatinės dalies skausmas, pilvo pūtimas, nevirškinimas, sumažėjęs apetitas, refliuksas iš skrandžio į stemplę, kuris gali sukelti skausmą;</w:t>
      </w:r>
    </w:p>
    <w:p w14:paraId="700A5D75" w14:textId="77777777" w:rsidR="00CA08B3" w:rsidRPr="00FB2719" w:rsidRDefault="00917D2F" w:rsidP="00FB2719">
      <w:pPr>
        <w:numPr>
          <w:ilvl w:val="0"/>
          <w:numId w:val="29"/>
        </w:numPr>
        <w:ind w:left="567" w:hanging="283"/>
        <w:rPr>
          <w:sz w:val="22"/>
          <w:szCs w:val="22"/>
        </w:rPr>
      </w:pPr>
      <w:r w:rsidRPr="00FB2719">
        <w:rPr>
          <w:sz w:val="22"/>
          <w:szCs w:val="22"/>
        </w:rPr>
        <w:t>Pasakykite gydytojui, jei Jums pasireiškia pykinimas, vėmimas ar pilvo skausmas, nes tai gali būti pakreatito (kasos uždegimo) požymiai.</w:t>
      </w:r>
    </w:p>
    <w:p w14:paraId="58B034A2" w14:textId="77777777" w:rsidR="00CA08B3" w:rsidRPr="00FB2719" w:rsidRDefault="00CA08B3" w:rsidP="00CA08B3">
      <w:pPr>
        <w:numPr>
          <w:ilvl w:val="0"/>
          <w:numId w:val="25"/>
        </w:numPr>
        <w:ind w:left="567" w:hanging="567"/>
        <w:rPr>
          <w:sz w:val="22"/>
          <w:szCs w:val="22"/>
        </w:rPr>
      </w:pPr>
      <w:r w:rsidRPr="00FB2719">
        <w:rPr>
          <w:sz w:val="22"/>
          <w:szCs w:val="22"/>
        </w:rPr>
        <w:t>skrandžio, plonųjų ir storųjų žarnų patinimas ar uždegimas;</w:t>
      </w:r>
    </w:p>
    <w:p w14:paraId="7AE010AD" w14:textId="77777777" w:rsidR="00CA08B3" w:rsidRPr="00FB2719" w:rsidRDefault="00CA08B3" w:rsidP="00CA08B3">
      <w:pPr>
        <w:numPr>
          <w:ilvl w:val="0"/>
          <w:numId w:val="25"/>
        </w:numPr>
        <w:ind w:left="567" w:hanging="567"/>
        <w:rPr>
          <w:sz w:val="22"/>
          <w:szCs w:val="22"/>
        </w:rPr>
      </w:pPr>
      <w:r w:rsidRPr="00FB2719">
        <w:rPr>
          <w:sz w:val="22"/>
          <w:szCs w:val="22"/>
        </w:rPr>
        <w:t>cholesterolio kiekio padidėjimas kraujyje, trigliceridų (tam tikra riebalų forma) kiekio padidėjimas kraujyje, aukštas kraujospūdis;</w:t>
      </w:r>
    </w:p>
    <w:p w14:paraId="00ECB749" w14:textId="77777777" w:rsidR="00CA08B3" w:rsidRPr="00FB2719" w:rsidRDefault="00CA08B3" w:rsidP="00CA08B3">
      <w:pPr>
        <w:numPr>
          <w:ilvl w:val="0"/>
          <w:numId w:val="25"/>
        </w:numPr>
        <w:ind w:left="567" w:hanging="567"/>
        <w:rPr>
          <w:sz w:val="22"/>
          <w:szCs w:val="22"/>
        </w:rPr>
      </w:pPr>
      <w:r w:rsidRPr="00FB2719">
        <w:rPr>
          <w:sz w:val="22"/>
          <w:szCs w:val="22"/>
        </w:rPr>
        <w:t>sumažėjęs organizmo gebėjimas reguliuoti cukraus kiekį, įskaitant cukrinį diabetą, svorio kritimas;</w:t>
      </w:r>
    </w:p>
    <w:p w14:paraId="14401781" w14:textId="77777777" w:rsidR="00CA08B3" w:rsidRPr="00FB2719" w:rsidRDefault="00CA08B3" w:rsidP="00CA08B3">
      <w:pPr>
        <w:numPr>
          <w:ilvl w:val="0"/>
          <w:numId w:val="25"/>
        </w:numPr>
        <w:ind w:left="567" w:hanging="567"/>
        <w:rPr>
          <w:sz w:val="22"/>
          <w:szCs w:val="22"/>
        </w:rPr>
      </w:pPr>
      <w:r w:rsidRPr="00FB2719">
        <w:rPr>
          <w:sz w:val="22"/>
          <w:szCs w:val="22"/>
        </w:rPr>
        <w:t>mažas raudonųjų kraujo kūnelių skaičius, mažas baltųjų kraujo kūnelių, kurie paprastai kovoja su infekcija, skaičius;</w:t>
      </w:r>
    </w:p>
    <w:p w14:paraId="79D27B3D" w14:textId="77777777" w:rsidR="00CA08B3" w:rsidRPr="00FB2719" w:rsidRDefault="00CA08B3" w:rsidP="00CA08B3">
      <w:pPr>
        <w:numPr>
          <w:ilvl w:val="0"/>
          <w:numId w:val="25"/>
        </w:numPr>
        <w:ind w:left="567" w:hanging="567"/>
        <w:rPr>
          <w:sz w:val="22"/>
          <w:szCs w:val="22"/>
        </w:rPr>
      </w:pPr>
      <w:r w:rsidRPr="00FB2719">
        <w:rPr>
          <w:sz w:val="22"/>
          <w:szCs w:val="22"/>
        </w:rPr>
        <w:t>išbėrimas, egzema, riebaluotos odos pleiskanų sankaupos;</w:t>
      </w:r>
    </w:p>
    <w:p w14:paraId="1ACED487" w14:textId="77777777" w:rsidR="00CA08B3" w:rsidRPr="00FB2719" w:rsidRDefault="00CA08B3" w:rsidP="00CA08B3">
      <w:pPr>
        <w:numPr>
          <w:ilvl w:val="0"/>
          <w:numId w:val="25"/>
        </w:numPr>
        <w:ind w:left="567" w:hanging="567"/>
        <w:rPr>
          <w:sz w:val="22"/>
          <w:szCs w:val="22"/>
        </w:rPr>
      </w:pPr>
      <w:r w:rsidRPr="00FB2719">
        <w:rPr>
          <w:sz w:val="22"/>
          <w:szCs w:val="22"/>
        </w:rPr>
        <w:t>svaigimas, nerimas, miegojimo sunkumai;</w:t>
      </w:r>
    </w:p>
    <w:p w14:paraId="0BBBF691" w14:textId="77777777" w:rsidR="00CA08B3" w:rsidRPr="00FB2719" w:rsidRDefault="00CA08B3" w:rsidP="00CA08B3">
      <w:pPr>
        <w:numPr>
          <w:ilvl w:val="0"/>
          <w:numId w:val="25"/>
        </w:numPr>
        <w:ind w:left="567" w:hanging="567"/>
        <w:rPr>
          <w:sz w:val="22"/>
          <w:szCs w:val="22"/>
        </w:rPr>
      </w:pPr>
      <w:r w:rsidRPr="00FB2719">
        <w:rPr>
          <w:sz w:val="22"/>
          <w:szCs w:val="22"/>
        </w:rPr>
        <w:lastRenderedPageBreak/>
        <w:t>nuovargio jausmas, jėgų ir energijos stoka, galvos skausmas, įskaitant migreną;</w:t>
      </w:r>
    </w:p>
    <w:p w14:paraId="44EEE301" w14:textId="77777777" w:rsidR="00CA08B3" w:rsidRPr="00FB2719" w:rsidRDefault="00CA08B3" w:rsidP="00CA08B3">
      <w:pPr>
        <w:numPr>
          <w:ilvl w:val="0"/>
          <w:numId w:val="25"/>
        </w:numPr>
        <w:ind w:left="567" w:hanging="567"/>
        <w:rPr>
          <w:sz w:val="22"/>
          <w:szCs w:val="22"/>
        </w:rPr>
      </w:pPr>
      <w:r w:rsidRPr="00FB2719">
        <w:rPr>
          <w:sz w:val="22"/>
          <w:szCs w:val="22"/>
        </w:rPr>
        <w:t>hemorojus;</w:t>
      </w:r>
    </w:p>
    <w:p w14:paraId="1B877E66" w14:textId="77777777" w:rsidR="00CA08B3" w:rsidRPr="00FB2719" w:rsidRDefault="00CA08B3" w:rsidP="00CA08B3">
      <w:pPr>
        <w:numPr>
          <w:ilvl w:val="0"/>
          <w:numId w:val="25"/>
        </w:numPr>
        <w:ind w:left="567" w:hanging="567"/>
        <w:rPr>
          <w:sz w:val="22"/>
          <w:szCs w:val="22"/>
        </w:rPr>
      </w:pPr>
      <w:r w:rsidRPr="00FB2719">
        <w:rPr>
          <w:sz w:val="22"/>
          <w:szCs w:val="22"/>
        </w:rPr>
        <w:t>kepenų uždegimas, įskaitant ir kepenų fermentų aktyvumo padidėjimą;</w:t>
      </w:r>
    </w:p>
    <w:p w14:paraId="3808CB26" w14:textId="77777777" w:rsidR="00CA08B3" w:rsidRPr="00FB2719" w:rsidRDefault="00CA08B3" w:rsidP="00CA08B3">
      <w:pPr>
        <w:numPr>
          <w:ilvl w:val="0"/>
          <w:numId w:val="25"/>
        </w:numPr>
        <w:ind w:left="567" w:hanging="567"/>
        <w:rPr>
          <w:sz w:val="22"/>
          <w:szCs w:val="22"/>
        </w:rPr>
      </w:pPr>
      <w:r w:rsidRPr="00FB2719">
        <w:rPr>
          <w:sz w:val="22"/>
          <w:szCs w:val="22"/>
        </w:rPr>
        <w:t>alerginės reakcijos, įskaitant dilgėlinę ir burnos ertmės uždegimą;</w:t>
      </w:r>
    </w:p>
    <w:p w14:paraId="44663E35" w14:textId="77777777" w:rsidR="00CA08B3" w:rsidRPr="00FB2719" w:rsidRDefault="00CA08B3" w:rsidP="00CA08B3">
      <w:pPr>
        <w:numPr>
          <w:ilvl w:val="0"/>
          <w:numId w:val="25"/>
        </w:numPr>
        <w:ind w:left="567" w:hanging="567"/>
        <w:rPr>
          <w:sz w:val="22"/>
          <w:szCs w:val="22"/>
        </w:rPr>
      </w:pPr>
      <w:r w:rsidRPr="00FB2719">
        <w:rPr>
          <w:sz w:val="22"/>
          <w:szCs w:val="22"/>
        </w:rPr>
        <w:t>apatinių kvėpavimo takų infekcijos;</w:t>
      </w:r>
    </w:p>
    <w:p w14:paraId="216D4315" w14:textId="77777777" w:rsidR="00CA08B3" w:rsidRPr="00FB2719" w:rsidRDefault="00CA08B3" w:rsidP="00CA08B3">
      <w:pPr>
        <w:numPr>
          <w:ilvl w:val="0"/>
          <w:numId w:val="25"/>
        </w:numPr>
        <w:ind w:left="567" w:hanging="567"/>
        <w:rPr>
          <w:sz w:val="22"/>
          <w:szCs w:val="22"/>
        </w:rPr>
      </w:pPr>
      <w:r w:rsidRPr="00FB2719">
        <w:rPr>
          <w:sz w:val="22"/>
          <w:szCs w:val="22"/>
        </w:rPr>
        <w:t>limfmazgių padidėjimas;</w:t>
      </w:r>
    </w:p>
    <w:p w14:paraId="77B34F92" w14:textId="77777777" w:rsidR="00CA08B3" w:rsidRPr="00FB2719" w:rsidRDefault="00CA08B3" w:rsidP="00CA08B3">
      <w:pPr>
        <w:numPr>
          <w:ilvl w:val="0"/>
          <w:numId w:val="25"/>
        </w:numPr>
        <w:ind w:left="567" w:hanging="567"/>
        <w:rPr>
          <w:sz w:val="22"/>
          <w:szCs w:val="22"/>
        </w:rPr>
      </w:pPr>
      <w:r w:rsidRPr="00FB2719">
        <w:rPr>
          <w:sz w:val="22"/>
          <w:szCs w:val="22"/>
        </w:rPr>
        <w:t>impotencija, nenormaliai stiprus ar užsitęsęs menstruacinis kraujavimas ar menstruacijų sutrikimas;</w:t>
      </w:r>
    </w:p>
    <w:p w14:paraId="3500972A" w14:textId="77777777" w:rsidR="00CA08B3" w:rsidRPr="00FB2719" w:rsidRDefault="00CA08B3" w:rsidP="00CA08B3">
      <w:pPr>
        <w:numPr>
          <w:ilvl w:val="0"/>
          <w:numId w:val="25"/>
        </w:numPr>
        <w:ind w:left="567" w:hanging="567"/>
        <w:rPr>
          <w:sz w:val="22"/>
          <w:szCs w:val="22"/>
        </w:rPr>
      </w:pPr>
      <w:r w:rsidRPr="00FB2719">
        <w:rPr>
          <w:sz w:val="22"/>
          <w:szCs w:val="22"/>
        </w:rPr>
        <w:t>raumenų sutrikimai, tokie kaip silpnumas ir spazmai, sąnarių, raumenų ir nugaros skausmai;</w:t>
      </w:r>
    </w:p>
    <w:p w14:paraId="72B3FB4C" w14:textId="77777777" w:rsidR="00CA08B3" w:rsidRPr="00FB2719" w:rsidRDefault="00CA08B3" w:rsidP="00CA08B3">
      <w:pPr>
        <w:numPr>
          <w:ilvl w:val="0"/>
          <w:numId w:val="25"/>
        </w:numPr>
        <w:ind w:left="567" w:hanging="567"/>
        <w:rPr>
          <w:sz w:val="22"/>
          <w:szCs w:val="22"/>
        </w:rPr>
      </w:pPr>
      <w:r w:rsidRPr="00FB2719">
        <w:rPr>
          <w:sz w:val="22"/>
          <w:szCs w:val="22"/>
        </w:rPr>
        <w:t>periferinės nervų sistemos nervų pažeidimas;</w:t>
      </w:r>
    </w:p>
    <w:p w14:paraId="7DBC9907" w14:textId="77777777" w:rsidR="00CA08B3" w:rsidRPr="00FB2719" w:rsidRDefault="00CA08B3" w:rsidP="00CA08B3">
      <w:pPr>
        <w:numPr>
          <w:ilvl w:val="0"/>
          <w:numId w:val="25"/>
        </w:numPr>
        <w:ind w:left="567" w:hanging="567"/>
        <w:rPr>
          <w:sz w:val="22"/>
          <w:szCs w:val="22"/>
        </w:rPr>
      </w:pPr>
      <w:r w:rsidRPr="00FB2719">
        <w:rPr>
          <w:sz w:val="22"/>
          <w:szCs w:val="22"/>
        </w:rPr>
        <w:t>naktinis prakaitavimas, niežulys, išbėrimas, įskaitant ant odos iškilusius gumbus, odos infekcija, odos ar plaukų porų uždegimas, skysčių susikaupimas ląstelėse ar audiniuose.</w:t>
      </w:r>
    </w:p>
    <w:p w14:paraId="47479CA6" w14:textId="77777777" w:rsidR="00CA08B3" w:rsidRPr="00FB2719" w:rsidRDefault="00CA08B3" w:rsidP="00CA08B3">
      <w:pPr>
        <w:rPr>
          <w:sz w:val="22"/>
          <w:szCs w:val="22"/>
        </w:rPr>
      </w:pPr>
    </w:p>
    <w:p w14:paraId="035EB870" w14:textId="77777777" w:rsidR="00CA08B3" w:rsidRPr="00FB2719" w:rsidRDefault="008B2B17" w:rsidP="00CA08B3">
      <w:pPr>
        <w:ind w:left="567" w:hanging="567"/>
        <w:rPr>
          <w:sz w:val="22"/>
          <w:szCs w:val="22"/>
        </w:rPr>
      </w:pPr>
      <w:r w:rsidRPr="00FB2719">
        <w:rPr>
          <w:b/>
          <w:sz w:val="22"/>
          <w:szCs w:val="22"/>
          <w:u w:val="single"/>
        </w:rPr>
        <w:t xml:space="preserve">Nedažnas </w:t>
      </w:r>
      <w:r w:rsidR="00CA08B3" w:rsidRPr="00FB2719">
        <w:rPr>
          <w:sz w:val="22"/>
          <w:szCs w:val="22"/>
        </w:rPr>
        <w:t>(gali pakenkti ne daugiau kaip 1 iš 100 žmonių);</w:t>
      </w:r>
    </w:p>
    <w:p w14:paraId="63D64FBE" w14:textId="77777777" w:rsidR="00CA08B3" w:rsidRPr="00FB2719" w:rsidRDefault="00CA08B3" w:rsidP="00CA08B3">
      <w:pPr>
        <w:numPr>
          <w:ilvl w:val="1"/>
          <w:numId w:val="26"/>
        </w:numPr>
        <w:ind w:left="567" w:hanging="567"/>
        <w:rPr>
          <w:sz w:val="22"/>
          <w:szCs w:val="22"/>
        </w:rPr>
      </w:pPr>
      <w:r w:rsidRPr="00FB2719">
        <w:rPr>
          <w:sz w:val="22"/>
          <w:szCs w:val="22"/>
        </w:rPr>
        <w:t>nenormalūs sapnai;</w:t>
      </w:r>
    </w:p>
    <w:p w14:paraId="2FBE0890" w14:textId="77777777" w:rsidR="00CA08B3" w:rsidRPr="00FB2719" w:rsidRDefault="00CA08B3" w:rsidP="00CA08B3">
      <w:pPr>
        <w:numPr>
          <w:ilvl w:val="1"/>
          <w:numId w:val="26"/>
        </w:numPr>
        <w:ind w:left="567" w:hanging="567"/>
        <w:rPr>
          <w:sz w:val="22"/>
          <w:szCs w:val="22"/>
        </w:rPr>
      </w:pPr>
      <w:r w:rsidRPr="00FB2719">
        <w:rPr>
          <w:sz w:val="22"/>
          <w:szCs w:val="22"/>
        </w:rPr>
        <w:t>skonio pojūčio praradimas ar pokytis;</w:t>
      </w:r>
    </w:p>
    <w:p w14:paraId="285B3C4E" w14:textId="77777777" w:rsidR="00CA08B3" w:rsidRPr="00FB2719" w:rsidRDefault="00CA08B3" w:rsidP="00CA08B3">
      <w:pPr>
        <w:numPr>
          <w:ilvl w:val="1"/>
          <w:numId w:val="26"/>
        </w:numPr>
        <w:ind w:left="567" w:hanging="567"/>
        <w:rPr>
          <w:sz w:val="22"/>
          <w:szCs w:val="22"/>
        </w:rPr>
      </w:pPr>
      <w:r w:rsidRPr="00FB2719">
        <w:rPr>
          <w:sz w:val="22"/>
          <w:szCs w:val="22"/>
        </w:rPr>
        <w:t>plaukų slinkimas;</w:t>
      </w:r>
    </w:p>
    <w:p w14:paraId="4F253475" w14:textId="77777777" w:rsidR="00CA08B3" w:rsidRPr="00FB2719" w:rsidRDefault="00CA08B3" w:rsidP="00CA08B3">
      <w:pPr>
        <w:numPr>
          <w:ilvl w:val="1"/>
          <w:numId w:val="26"/>
        </w:numPr>
        <w:ind w:left="567" w:hanging="567"/>
        <w:rPr>
          <w:sz w:val="22"/>
          <w:szCs w:val="22"/>
        </w:rPr>
      </w:pPr>
      <w:r w:rsidRPr="00FB2719">
        <w:rPr>
          <w:sz w:val="22"/>
          <w:szCs w:val="22"/>
        </w:rPr>
        <w:t>pokyčiai Jūsų elektrokardiogramoje</w:t>
      </w:r>
      <w:r w:rsidR="00EB351A" w:rsidRPr="00FB2719">
        <w:rPr>
          <w:sz w:val="22"/>
          <w:szCs w:val="22"/>
        </w:rPr>
        <w:t xml:space="preserve"> (EKG)</w:t>
      </w:r>
      <w:r w:rsidRPr="00FB2719">
        <w:rPr>
          <w:sz w:val="22"/>
          <w:szCs w:val="22"/>
        </w:rPr>
        <w:t>, vadinama atrioventrikulinė blokada;</w:t>
      </w:r>
    </w:p>
    <w:p w14:paraId="615A4837" w14:textId="77777777" w:rsidR="00CA08B3" w:rsidRPr="00FB2719" w:rsidRDefault="00CA08B3" w:rsidP="00CA08B3">
      <w:pPr>
        <w:numPr>
          <w:ilvl w:val="1"/>
          <w:numId w:val="26"/>
        </w:numPr>
        <w:ind w:left="567" w:hanging="567"/>
        <w:rPr>
          <w:sz w:val="22"/>
          <w:szCs w:val="22"/>
        </w:rPr>
      </w:pPr>
      <w:r w:rsidRPr="00FB2719">
        <w:rPr>
          <w:sz w:val="22"/>
          <w:szCs w:val="22"/>
        </w:rPr>
        <w:t>plokštelių susidarymas Jūsų arterijose, dėl kurių Jus gali ištikti širdies smūgis ar insultas;</w:t>
      </w:r>
    </w:p>
    <w:p w14:paraId="5F914C68" w14:textId="77777777" w:rsidR="00CA08B3" w:rsidRPr="00FB2719" w:rsidRDefault="00CA08B3" w:rsidP="00CA08B3">
      <w:pPr>
        <w:numPr>
          <w:ilvl w:val="1"/>
          <w:numId w:val="26"/>
        </w:numPr>
        <w:ind w:left="567" w:hanging="567"/>
        <w:rPr>
          <w:sz w:val="22"/>
          <w:szCs w:val="22"/>
        </w:rPr>
      </w:pPr>
      <w:r w:rsidRPr="00FB2719">
        <w:rPr>
          <w:sz w:val="22"/>
          <w:szCs w:val="22"/>
        </w:rPr>
        <w:t>kraujagyslių ir kapiliarų uždegimas;</w:t>
      </w:r>
    </w:p>
    <w:p w14:paraId="642D173B" w14:textId="77777777" w:rsidR="00CA08B3" w:rsidRPr="00FB2719" w:rsidRDefault="00CA08B3" w:rsidP="00CA08B3">
      <w:pPr>
        <w:numPr>
          <w:ilvl w:val="1"/>
          <w:numId w:val="26"/>
        </w:numPr>
        <w:ind w:left="567" w:hanging="567"/>
        <w:rPr>
          <w:sz w:val="22"/>
          <w:szCs w:val="22"/>
        </w:rPr>
      </w:pPr>
      <w:r w:rsidRPr="00FB2719">
        <w:rPr>
          <w:sz w:val="22"/>
          <w:szCs w:val="22"/>
        </w:rPr>
        <w:t>tulžies latakų uždegimas;</w:t>
      </w:r>
    </w:p>
    <w:p w14:paraId="30E13064" w14:textId="77777777" w:rsidR="00CA08B3" w:rsidRPr="00FB2719" w:rsidRDefault="00CA08B3" w:rsidP="00CA08B3">
      <w:pPr>
        <w:numPr>
          <w:ilvl w:val="1"/>
          <w:numId w:val="26"/>
        </w:numPr>
        <w:ind w:left="567" w:hanging="567"/>
        <w:rPr>
          <w:sz w:val="22"/>
          <w:szCs w:val="22"/>
        </w:rPr>
      </w:pPr>
      <w:r w:rsidRPr="00FB2719">
        <w:rPr>
          <w:sz w:val="22"/>
          <w:szCs w:val="22"/>
        </w:rPr>
        <w:t>nekontroliuojamas kūno drebulys;</w:t>
      </w:r>
    </w:p>
    <w:p w14:paraId="4A0A2CC4" w14:textId="77777777" w:rsidR="00CA08B3" w:rsidRPr="00FB2719" w:rsidRDefault="00CA08B3" w:rsidP="00CA08B3">
      <w:pPr>
        <w:numPr>
          <w:ilvl w:val="1"/>
          <w:numId w:val="26"/>
        </w:numPr>
        <w:ind w:left="567" w:hanging="567"/>
        <w:rPr>
          <w:sz w:val="22"/>
          <w:szCs w:val="22"/>
        </w:rPr>
      </w:pPr>
      <w:r w:rsidRPr="00FB2719">
        <w:rPr>
          <w:sz w:val="22"/>
          <w:szCs w:val="22"/>
        </w:rPr>
        <w:t>vidurių užkietėjimas;</w:t>
      </w:r>
    </w:p>
    <w:p w14:paraId="03643D23" w14:textId="77777777" w:rsidR="00CA08B3" w:rsidRPr="00FB2719" w:rsidRDefault="00CA08B3" w:rsidP="00CA08B3">
      <w:pPr>
        <w:numPr>
          <w:ilvl w:val="1"/>
          <w:numId w:val="26"/>
        </w:numPr>
        <w:ind w:left="567" w:hanging="567"/>
        <w:rPr>
          <w:sz w:val="22"/>
          <w:szCs w:val="22"/>
        </w:rPr>
      </w:pPr>
      <w:r w:rsidRPr="00FB2719">
        <w:rPr>
          <w:sz w:val="22"/>
          <w:szCs w:val="22"/>
        </w:rPr>
        <w:t>su kraujo krešuliu susijęs giliosios venos uždegimas;</w:t>
      </w:r>
    </w:p>
    <w:p w14:paraId="378A2AB4" w14:textId="77777777" w:rsidR="00CA08B3" w:rsidRPr="00FB2719" w:rsidRDefault="00CA08B3" w:rsidP="00CA08B3">
      <w:pPr>
        <w:numPr>
          <w:ilvl w:val="1"/>
          <w:numId w:val="26"/>
        </w:numPr>
        <w:ind w:left="567" w:hanging="567"/>
        <w:rPr>
          <w:sz w:val="22"/>
          <w:szCs w:val="22"/>
        </w:rPr>
      </w:pPr>
      <w:r w:rsidRPr="00FB2719">
        <w:rPr>
          <w:sz w:val="22"/>
          <w:szCs w:val="22"/>
        </w:rPr>
        <w:t>burnos sausmė;</w:t>
      </w:r>
    </w:p>
    <w:p w14:paraId="4A94FDB4" w14:textId="77777777" w:rsidR="00CA08B3" w:rsidRPr="00FB2719" w:rsidRDefault="00CA08B3" w:rsidP="00CA08B3">
      <w:pPr>
        <w:numPr>
          <w:ilvl w:val="1"/>
          <w:numId w:val="26"/>
        </w:numPr>
        <w:ind w:left="567" w:hanging="567"/>
        <w:rPr>
          <w:sz w:val="22"/>
          <w:szCs w:val="22"/>
        </w:rPr>
      </w:pPr>
      <w:r w:rsidRPr="00FB2719">
        <w:rPr>
          <w:sz w:val="22"/>
          <w:szCs w:val="22"/>
        </w:rPr>
        <w:t>negebėjimas kontroliuoti savo vidurių;</w:t>
      </w:r>
    </w:p>
    <w:p w14:paraId="50D5B2B7" w14:textId="77777777" w:rsidR="00CA08B3" w:rsidRPr="00FB2719" w:rsidRDefault="00CA08B3" w:rsidP="00CA08B3">
      <w:pPr>
        <w:numPr>
          <w:ilvl w:val="1"/>
          <w:numId w:val="26"/>
        </w:numPr>
        <w:ind w:left="567" w:hanging="567"/>
        <w:rPr>
          <w:sz w:val="22"/>
          <w:szCs w:val="22"/>
        </w:rPr>
      </w:pPr>
      <w:r w:rsidRPr="00FB2719">
        <w:rPr>
          <w:sz w:val="22"/>
          <w:szCs w:val="22"/>
        </w:rPr>
        <w:t>plonojo žarnyno dalies, esančios prie skrandžio, uždegimas, žaizdos ar opos virškinamajame trakte, kraujavimas iš žarnyno ir tiesiosios žarnos;</w:t>
      </w:r>
    </w:p>
    <w:p w14:paraId="3135E588" w14:textId="77777777" w:rsidR="00CA08B3" w:rsidRPr="00FB2719" w:rsidRDefault="00CA08B3" w:rsidP="00CA08B3">
      <w:pPr>
        <w:numPr>
          <w:ilvl w:val="1"/>
          <w:numId w:val="26"/>
        </w:numPr>
        <w:ind w:left="567" w:hanging="567"/>
        <w:rPr>
          <w:sz w:val="22"/>
          <w:szCs w:val="22"/>
        </w:rPr>
      </w:pPr>
      <w:r w:rsidRPr="00FB2719">
        <w:rPr>
          <w:sz w:val="22"/>
          <w:szCs w:val="22"/>
        </w:rPr>
        <w:t>eritrocitai šlapime;</w:t>
      </w:r>
    </w:p>
    <w:p w14:paraId="7BB35E15" w14:textId="77777777" w:rsidR="00CA08B3" w:rsidRPr="00FB2719" w:rsidRDefault="00CA08B3" w:rsidP="00CA08B3">
      <w:pPr>
        <w:numPr>
          <w:ilvl w:val="1"/>
          <w:numId w:val="26"/>
        </w:numPr>
        <w:ind w:left="567" w:hanging="567"/>
        <w:rPr>
          <w:sz w:val="22"/>
          <w:szCs w:val="22"/>
        </w:rPr>
      </w:pPr>
      <w:r w:rsidRPr="00FB2719">
        <w:rPr>
          <w:sz w:val="22"/>
          <w:szCs w:val="22"/>
        </w:rPr>
        <w:t>riebalų sankaupos kepenyse, kepenų padidėjimas;</w:t>
      </w:r>
    </w:p>
    <w:p w14:paraId="2B2D3701" w14:textId="77777777" w:rsidR="00CA08B3" w:rsidRPr="00FB2719" w:rsidRDefault="00CA08B3" w:rsidP="00CA08B3">
      <w:pPr>
        <w:numPr>
          <w:ilvl w:val="1"/>
          <w:numId w:val="26"/>
        </w:numPr>
        <w:ind w:left="567" w:hanging="567"/>
        <w:rPr>
          <w:sz w:val="22"/>
          <w:szCs w:val="22"/>
        </w:rPr>
      </w:pPr>
      <w:r w:rsidRPr="00FB2719">
        <w:rPr>
          <w:sz w:val="22"/>
          <w:szCs w:val="22"/>
        </w:rPr>
        <w:t>sėklidžių funkcijos susilpnėjimas;</w:t>
      </w:r>
    </w:p>
    <w:p w14:paraId="00A3E015" w14:textId="77777777" w:rsidR="00CA08B3" w:rsidRPr="00FB2719" w:rsidRDefault="00CA08B3" w:rsidP="00CA08B3">
      <w:pPr>
        <w:numPr>
          <w:ilvl w:val="1"/>
          <w:numId w:val="26"/>
        </w:numPr>
        <w:ind w:left="567" w:hanging="567"/>
        <w:rPr>
          <w:sz w:val="22"/>
          <w:szCs w:val="22"/>
        </w:rPr>
      </w:pPr>
      <w:r w:rsidRPr="00FB2719">
        <w:rPr>
          <w:sz w:val="22"/>
          <w:szCs w:val="22"/>
        </w:rPr>
        <w:t>simptomų, susijusių su infekcijų suaktyvėjimu, paūmėjimas (imuninės sistemos reaktyvacija);</w:t>
      </w:r>
    </w:p>
    <w:p w14:paraId="29D83A61" w14:textId="77777777" w:rsidR="00CA08B3" w:rsidRPr="00FB2719" w:rsidRDefault="00CA08B3" w:rsidP="00CA08B3">
      <w:pPr>
        <w:numPr>
          <w:ilvl w:val="1"/>
          <w:numId w:val="26"/>
        </w:numPr>
        <w:ind w:left="567" w:hanging="567"/>
        <w:rPr>
          <w:sz w:val="22"/>
          <w:szCs w:val="22"/>
        </w:rPr>
      </w:pPr>
      <w:r w:rsidRPr="00FB2719">
        <w:rPr>
          <w:sz w:val="22"/>
          <w:szCs w:val="22"/>
        </w:rPr>
        <w:t>apetito pagerėjimas;</w:t>
      </w:r>
    </w:p>
    <w:p w14:paraId="67447048" w14:textId="77777777" w:rsidR="00CA08B3" w:rsidRPr="00FB2719" w:rsidRDefault="00CA08B3" w:rsidP="00CA08B3">
      <w:pPr>
        <w:numPr>
          <w:ilvl w:val="1"/>
          <w:numId w:val="26"/>
        </w:numPr>
        <w:ind w:left="567" w:hanging="567"/>
        <w:rPr>
          <w:sz w:val="22"/>
          <w:szCs w:val="22"/>
        </w:rPr>
      </w:pPr>
      <w:r w:rsidRPr="00FB2719">
        <w:rPr>
          <w:sz w:val="22"/>
          <w:szCs w:val="22"/>
        </w:rPr>
        <w:t>nenormaliai didelis bilirubino (pigmento, kuris susidaro irstant eritrocitams) kiekis kraujyje;</w:t>
      </w:r>
    </w:p>
    <w:p w14:paraId="479465B7" w14:textId="77777777" w:rsidR="00CA08B3" w:rsidRPr="00FB2719" w:rsidRDefault="00CA08B3" w:rsidP="00CA08B3">
      <w:pPr>
        <w:numPr>
          <w:ilvl w:val="1"/>
          <w:numId w:val="26"/>
        </w:numPr>
        <w:ind w:left="567" w:hanging="567"/>
        <w:rPr>
          <w:sz w:val="22"/>
          <w:szCs w:val="22"/>
        </w:rPr>
      </w:pPr>
      <w:r w:rsidRPr="00FB2719">
        <w:rPr>
          <w:sz w:val="22"/>
          <w:szCs w:val="22"/>
        </w:rPr>
        <w:t>lytinio potraukio sumažėjimas;</w:t>
      </w:r>
    </w:p>
    <w:p w14:paraId="230F00B0" w14:textId="77777777" w:rsidR="00CA08B3" w:rsidRPr="00FB2719" w:rsidRDefault="00CA08B3" w:rsidP="00CA08B3">
      <w:pPr>
        <w:numPr>
          <w:ilvl w:val="1"/>
          <w:numId w:val="26"/>
        </w:numPr>
        <w:ind w:left="567" w:hanging="567"/>
        <w:rPr>
          <w:sz w:val="22"/>
          <w:szCs w:val="22"/>
        </w:rPr>
      </w:pPr>
      <w:r w:rsidRPr="00FB2719">
        <w:rPr>
          <w:sz w:val="22"/>
          <w:szCs w:val="22"/>
        </w:rPr>
        <w:t>inkstų uždegimas;</w:t>
      </w:r>
    </w:p>
    <w:p w14:paraId="119A264C" w14:textId="77777777" w:rsidR="00CA08B3" w:rsidRPr="00FB2719" w:rsidRDefault="00CA08B3" w:rsidP="00CA08B3">
      <w:pPr>
        <w:numPr>
          <w:ilvl w:val="1"/>
          <w:numId w:val="26"/>
        </w:numPr>
        <w:ind w:left="567" w:hanging="567"/>
        <w:rPr>
          <w:sz w:val="22"/>
          <w:szCs w:val="22"/>
        </w:rPr>
      </w:pPr>
      <w:r w:rsidRPr="00FB2719">
        <w:rPr>
          <w:sz w:val="22"/>
          <w:szCs w:val="22"/>
        </w:rPr>
        <w:t>kaulo žuvimas dėl sutrikusio šios srities aprūpinimo krauju;</w:t>
      </w:r>
    </w:p>
    <w:p w14:paraId="61BBFA96" w14:textId="77777777" w:rsidR="00CA08B3" w:rsidRPr="00FB2719" w:rsidRDefault="00CA08B3" w:rsidP="00CA08B3">
      <w:pPr>
        <w:numPr>
          <w:ilvl w:val="1"/>
          <w:numId w:val="26"/>
        </w:numPr>
        <w:ind w:left="567" w:hanging="567"/>
        <w:rPr>
          <w:sz w:val="22"/>
          <w:szCs w:val="22"/>
        </w:rPr>
      </w:pPr>
      <w:r w:rsidRPr="00FB2719">
        <w:rPr>
          <w:sz w:val="22"/>
          <w:szCs w:val="22"/>
        </w:rPr>
        <w:t>burnos ertmės išbėrimas ar opos, skrandžio ir žarnyno uždegimas;</w:t>
      </w:r>
    </w:p>
    <w:p w14:paraId="0389498D" w14:textId="77777777" w:rsidR="00CA08B3" w:rsidRPr="00FB2719" w:rsidRDefault="00CA08B3" w:rsidP="00CA08B3">
      <w:pPr>
        <w:numPr>
          <w:ilvl w:val="1"/>
          <w:numId w:val="26"/>
        </w:numPr>
        <w:ind w:left="567" w:hanging="567"/>
        <w:rPr>
          <w:sz w:val="22"/>
          <w:szCs w:val="22"/>
        </w:rPr>
      </w:pPr>
      <w:r w:rsidRPr="00FB2719">
        <w:rPr>
          <w:sz w:val="22"/>
          <w:szCs w:val="22"/>
        </w:rPr>
        <w:t>inkstų nepakankamumas;</w:t>
      </w:r>
    </w:p>
    <w:p w14:paraId="44D75FC5" w14:textId="77777777" w:rsidR="00CA08B3" w:rsidRPr="00FB2719" w:rsidRDefault="00CA08B3" w:rsidP="00CA08B3">
      <w:pPr>
        <w:numPr>
          <w:ilvl w:val="1"/>
          <w:numId w:val="26"/>
        </w:numPr>
        <w:ind w:left="567" w:hanging="567"/>
        <w:rPr>
          <w:sz w:val="22"/>
          <w:szCs w:val="22"/>
        </w:rPr>
      </w:pPr>
      <w:r w:rsidRPr="00FB2719">
        <w:rPr>
          <w:sz w:val="22"/>
          <w:szCs w:val="22"/>
        </w:rPr>
        <w:t>raumenų audinio irimas, sukeliantis raumenų skaidulų sudedamosios dalies (mioglobino) patekimą į kraują;</w:t>
      </w:r>
    </w:p>
    <w:p w14:paraId="1581CF3A" w14:textId="77777777" w:rsidR="00CA08B3" w:rsidRPr="00FB2719" w:rsidRDefault="00CA08B3" w:rsidP="00CA08B3">
      <w:pPr>
        <w:numPr>
          <w:ilvl w:val="1"/>
          <w:numId w:val="26"/>
        </w:numPr>
        <w:ind w:left="567" w:hanging="567"/>
        <w:rPr>
          <w:sz w:val="22"/>
          <w:szCs w:val="22"/>
        </w:rPr>
      </w:pPr>
      <w:r w:rsidRPr="00FB2719">
        <w:rPr>
          <w:sz w:val="22"/>
          <w:szCs w:val="22"/>
        </w:rPr>
        <w:t>garsai vienoje ar abiejose ausyse, tokie kaip zvimbimas, spengimas ar švilpimas;</w:t>
      </w:r>
    </w:p>
    <w:p w14:paraId="2FF7A290" w14:textId="77777777" w:rsidR="00CA08B3" w:rsidRPr="00FB2719" w:rsidRDefault="00CA08B3" w:rsidP="00CA08B3">
      <w:pPr>
        <w:numPr>
          <w:ilvl w:val="1"/>
          <w:numId w:val="26"/>
        </w:numPr>
        <w:ind w:left="567" w:hanging="567"/>
        <w:rPr>
          <w:sz w:val="22"/>
          <w:szCs w:val="22"/>
        </w:rPr>
      </w:pPr>
      <w:r w:rsidRPr="00FB2719">
        <w:rPr>
          <w:sz w:val="22"/>
          <w:szCs w:val="22"/>
        </w:rPr>
        <w:t>tremoras;</w:t>
      </w:r>
    </w:p>
    <w:p w14:paraId="4A243485" w14:textId="77777777" w:rsidR="00CA08B3" w:rsidRPr="00FB2719" w:rsidRDefault="00CA08B3" w:rsidP="00CA08B3">
      <w:pPr>
        <w:numPr>
          <w:ilvl w:val="1"/>
          <w:numId w:val="26"/>
        </w:numPr>
        <w:ind w:left="567" w:hanging="567"/>
        <w:rPr>
          <w:sz w:val="22"/>
          <w:szCs w:val="22"/>
        </w:rPr>
      </w:pPr>
      <w:r w:rsidRPr="00FB2719">
        <w:rPr>
          <w:sz w:val="22"/>
          <w:szCs w:val="22"/>
        </w:rPr>
        <w:t>nenormalus vieno iš vožtuvų užsidarymas (triburio vožtuvo Jūsų širdyje);</w:t>
      </w:r>
    </w:p>
    <w:p w14:paraId="69FFB3B9" w14:textId="77777777" w:rsidR="00CA08B3" w:rsidRPr="00FB2719" w:rsidRDefault="00CA08B3" w:rsidP="00CA08B3">
      <w:pPr>
        <w:numPr>
          <w:ilvl w:val="1"/>
          <w:numId w:val="26"/>
        </w:numPr>
        <w:ind w:left="567" w:hanging="567"/>
        <w:rPr>
          <w:sz w:val="22"/>
          <w:szCs w:val="22"/>
        </w:rPr>
      </w:pPr>
      <w:r w:rsidRPr="00FB2719">
        <w:rPr>
          <w:sz w:val="22"/>
          <w:szCs w:val="22"/>
        </w:rPr>
        <w:t>vertigo (sukimosi pojūtis);</w:t>
      </w:r>
    </w:p>
    <w:p w14:paraId="119E9F25" w14:textId="77777777" w:rsidR="00CA08B3" w:rsidRPr="00FB2719" w:rsidRDefault="00CA08B3" w:rsidP="00CA08B3">
      <w:pPr>
        <w:numPr>
          <w:ilvl w:val="1"/>
          <w:numId w:val="26"/>
        </w:numPr>
        <w:ind w:left="567" w:hanging="567"/>
        <w:rPr>
          <w:sz w:val="22"/>
          <w:szCs w:val="22"/>
        </w:rPr>
      </w:pPr>
      <w:r w:rsidRPr="00FB2719">
        <w:rPr>
          <w:sz w:val="22"/>
          <w:szCs w:val="22"/>
        </w:rPr>
        <w:t>akių sutrikimas, nenormalus matymas;</w:t>
      </w:r>
    </w:p>
    <w:p w14:paraId="0D4C073E" w14:textId="77777777" w:rsidR="00CA08B3" w:rsidRPr="00FB2719" w:rsidRDefault="00CA08B3" w:rsidP="00CA08B3">
      <w:pPr>
        <w:numPr>
          <w:ilvl w:val="1"/>
          <w:numId w:val="26"/>
        </w:numPr>
        <w:ind w:left="567" w:hanging="567"/>
        <w:rPr>
          <w:sz w:val="22"/>
          <w:szCs w:val="22"/>
        </w:rPr>
      </w:pPr>
      <w:r w:rsidRPr="00FB2719">
        <w:rPr>
          <w:sz w:val="22"/>
          <w:szCs w:val="22"/>
        </w:rPr>
        <w:t>svorio augimas.</w:t>
      </w:r>
    </w:p>
    <w:p w14:paraId="38BE7CDD" w14:textId="77777777" w:rsidR="00CA08B3" w:rsidRPr="00FB2719" w:rsidRDefault="00CA08B3" w:rsidP="00CA08B3">
      <w:pPr>
        <w:ind w:left="567" w:hanging="567"/>
        <w:rPr>
          <w:sz w:val="22"/>
          <w:szCs w:val="22"/>
        </w:rPr>
      </w:pPr>
    </w:p>
    <w:p w14:paraId="7EC8EB9E" w14:textId="77777777" w:rsidR="00EB351A" w:rsidRPr="00FB2719" w:rsidRDefault="00EB351A" w:rsidP="00CA08B3">
      <w:pPr>
        <w:rPr>
          <w:b/>
          <w:sz w:val="22"/>
          <w:szCs w:val="22"/>
        </w:rPr>
      </w:pPr>
      <w:r w:rsidRPr="00FB2719">
        <w:rPr>
          <w:b/>
          <w:sz w:val="22"/>
          <w:szCs w:val="22"/>
        </w:rPr>
        <w:t>Šalutinis poveikis, kurio dažnis nežinomas</w:t>
      </w:r>
    </w:p>
    <w:p w14:paraId="7D041B95" w14:textId="77777777" w:rsidR="00EB351A" w:rsidRPr="00FB2719" w:rsidRDefault="00CA08B3" w:rsidP="00CA08B3">
      <w:pPr>
        <w:rPr>
          <w:sz w:val="22"/>
          <w:szCs w:val="22"/>
        </w:rPr>
      </w:pPr>
      <w:r w:rsidRPr="00FB2719">
        <w:rPr>
          <w:sz w:val="22"/>
          <w:szCs w:val="22"/>
        </w:rPr>
        <w:t xml:space="preserve">Kitas šalutinis poveikis, apie kurį gauta pranešimų lopinaviro / ritonaviro vartojimo metu: </w:t>
      </w:r>
    </w:p>
    <w:p w14:paraId="21A327D4" w14:textId="6AFEDB7E" w:rsidR="00EB351A" w:rsidRPr="00FB2719" w:rsidRDefault="00CA08B3" w:rsidP="00FB2719">
      <w:pPr>
        <w:pStyle w:val="Sraopastraipa"/>
        <w:numPr>
          <w:ilvl w:val="0"/>
          <w:numId w:val="30"/>
        </w:numPr>
        <w:ind w:left="567" w:hanging="567"/>
        <w:rPr>
          <w:sz w:val="22"/>
          <w:szCs w:val="22"/>
        </w:rPr>
      </w:pPr>
      <w:r w:rsidRPr="00FB2719">
        <w:rPr>
          <w:sz w:val="22"/>
          <w:szCs w:val="22"/>
        </w:rPr>
        <w:t>odos ar akių obuolių pageltimas (gelta)</w:t>
      </w:r>
      <w:r w:rsidR="001452C9" w:rsidRPr="00FB2719">
        <w:rPr>
          <w:sz w:val="22"/>
          <w:szCs w:val="22"/>
        </w:rPr>
        <w:t>;</w:t>
      </w:r>
    </w:p>
    <w:p w14:paraId="0B3BBDDF" w14:textId="4288BC81" w:rsidR="00CA08B3" w:rsidRPr="00FB2719" w:rsidRDefault="00CA08B3" w:rsidP="00FB2719">
      <w:pPr>
        <w:pStyle w:val="Sraopastraipa"/>
        <w:numPr>
          <w:ilvl w:val="0"/>
          <w:numId w:val="30"/>
        </w:numPr>
        <w:ind w:left="567" w:hanging="567"/>
        <w:rPr>
          <w:sz w:val="22"/>
          <w:szCs w:val="22"/>
        </w:rPr>
      </w:pPr>
      <w:r w:rsidRPr="00FB2719">
        <w:rPr>
          <w:sz w:val="22"/>
          <w:szCs w:val="22"/>
        </w:rPr>
        <w:t xml:space="preserve">sunkus ar gyvybei gresiantis odos išbėrimas ir pūslės (Stivenso-Džonsono (Stevens-Johnson) sindromas ir daugiaformė eritema). </w:t>
      </w:r>
    </w:p>
    <w:p w14:paraId="0DEFBCED" w14:textId="77777777" w:rsidR="00CA08B3" w:rsidRPr="00FB2719" w:rsidRDefault="00CA08B3" w:rsidP="00CA08B3">
      <w:pPr>
        <w:ind w:left="567" w:hanging="567"/>
        <w:rPr>
          <w:sz w:val="22"/>
          <w:szCs w:val="22"/>
        </w:rPr>
      </w:pPr>
    </w:p>
    <w:p w14:paraId="412F8A51" w14:textId="12B46CEB" w:rsidR="00EB351A" w:rsidRPr="00FB2719" w:rsidRDefault="00EB351A" w:rsidP="00FB2719">
      <w:pPr>
        <w:rPr>
          <w:sz w:val="22"/>
          <w:szCs w:val="22"/>
        </w:rPr>
      </w:pPr>
      <w:r w:rsidRPr="00FB2719">
        <w:rPr>
          <w:sz w:val="22"/>
          <w:szCs w:val="22"/>
        </w:rPr>
        <w:lastRenderedPageBreak/>
        <w:t>Jeigu pasunkėjo bet kuris šalutinis poveikis arba pastebėjote bet kokį šiame pakuotės lapelyje nenurodytą šalutinį poveikį, prašom informuoti savo gydytoją arba vaistininką.</w:t>
      </w:r>
    </w:p>
    <w:p w14:paraId="57DA246F" w14:textId="77777777" w:rsidR="00EB351A" w:rsidRPr="00FB2719" w:rsidRDefault="00EB351A" w:rsidP="00CA08B3">
      <w:pPr>
        <w:ind w:left="567" w:hanging="567"/>
        <w:rPr>
          <w:sz w:val="22"/>
          <w:szCs w:val="22"/>
        </w:rPr>
      </w:pPr>
    </w:p>
    <w:p w14:paraId="66B49C73" w14:textId="77777777" w:rsidR="00CA08B3" w:rsidRPr="00FB2719" w:rsidRDefault="00CA08B3" w:rsidP="00CA08B3">
      <w:pPr>
        <w:tabs>
          <w:tab w:val="left" w:pos="567"/>
        </w:tabs>
        <w:rPr>
          <w:b/>
          <w:snapToGrid w:val="0"/>
          <w:sz w:val="22"/>
          <w:szCs w:val="22"/>
        </w:rPr>
      </w:pPr>
      <w:r w:rsidRPr="00FB2719">
        <w:rPr>
          <w:b/>
          <w:noProof/>
          <w:snapToGrid w:val="0"/>
          <w:sz w:val="22"/>
          <w:szCs w:val="22"/>
        </w:rPr>
        <w:t>Pranešimas apie šalutinį poveikį</w:t>
      </w:r>
    </w:p>
    <w:p w14:paraId="39E2D7B9" w14:textId="2EC334DC" w:rsidR="00CA08B3" w:rsidRPr="00FB2719" w:rsidRDefault="00CA08B3" w:rsidP="00CA08B3">
      <w:pPr>
        <w:tabs>
          <w:tab w:val="left" w:pos="567"/>
        </w:tabs>
        <w:spacing w:line="260" w:lineRule="exact"/>
        <w:ind w:right="-449"/>
        <w:rPr>
          <w:noProof/>
          <w:snapToGrid w:val="0"/>
          <w:sz w:val="22"/>
          <w:szCs w:val="22"/>
        </w:rPr>
      </w:pPr>
      <w:r w:rsidRPr="00FB2719">
        <w:rPr>
          <w:noProof/>
          <w:snapToGrid w:val="0"/>
          <w:sz w:val="22"/>
          <w:szCs w:val="22"/>
        </w:rPr>
        <w:t>Jeigu pasireiškė šalutinis poveikis, įskaitant šiame lapelyje nenurodytą, pasakykite gydytojui arba vaistininkui</w:t>
      </w:r>
      <w:r w:rsidRPr="00FB2719">
        <w:rPr>
          <w:snapToGrid w:val="0"/>
          <w:sz w:val="22"/>
          <w:szCs w:val="22"/>
        </w:rPr>
        <w:t>.</w:t>
      </w:r>
      <w:r w:rsidRPr="00FB2719">
        <w:rPr>
          <w:noProof/>
          <w:snapToGrid w:val="0"/>
          <w:sz w:val="22"/>
          <w:szCs w:val="22"/>
        </w:rPr>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4E7A95EB" w14:textId="77777777" w:rsidR="00CA08B3" w:rsidRPr="00FB2719" w:rsidRDefault="00CA08B3" w:rsidP="00CA08B3">
      <w:pPr>
        <w:rPr>
          <w:rFonts w:eastAsia="Calibri"/>
          <w:color w:val="000000"/>
          <w:sz w:val="22"/>
          <w:szCs w:val="22"/>
          <w:lang w:eastAsia="lt-LT"/>
        </w:rPr>
      </w:pPr>
    </w:p>
    <w:p w14:paraId="4FD63DAC" w14:textId="77777777" w:rsidR="00CA08B3" w:rsidRPr="00FB2719" w:rsidRDefault="00CA08B3" w:rsidP="00CA08B3">
      <w:pPr>
        <w:rPr>
          <w:sz w:val="22"/>
          <w:szCs w:val="22"/>
        </w:rPr>
      </w:pPr>
    </w:p>
    <w:p w14:paraId="6908DF80" w14:textId="77777777" w:rsidR="00CA08B3" w:rsidRPr="00FB2719" w:rsidRDefault="00CA08B3" w:rsidP="00CA08B3">
      <w:pPr>
        <w:tabs>
          <w:tab w:val="left" w:pos="567"/>
        </w:tabs>
        <w:ind w:left="540" w:hanging="540"/>
        <w:jc w:val="both"/>
        <w:rPr>
          <w:b/>
          <w:bCs/>
          <w:sz w:val="22"/>
          <w:szCs w:val="22"/>
        </w:rPr>
      </w:pPr>
      <w:r w:rsidRPr="00FB2719">
        <w:rPr>
          <w:b/>
          <w:bCs/>
          <w:sz w:val="22"/>
          <w:szCs w:val="22"/>
        </w:rPr>
        <w:t>5.</w:t>
      </w:r>
      <w:r w:rsidRPr="00FB2719">
        <w:rPr>
          <w:b/>
          <w:bCs/>
          <w:sz w:val="22"/>
          <w:szCs w:val="22"/>
        </w:rPr>
        <w:tab/>
        <w:t xml:space="preserve">Kaip laikyti Lopinavir/Ritonavir Sandoz </w:t>
      </w:r>
    </w:p>
    <w:p w14:paraId="1473208C" w14:textId="77777777" w:rsidR="008B2B17" w:rsidRPr="00FB2719" w:rsidRDefault="00CA08B3" w:rsidP="00AD237C">
      <w:pPr>
        <w:tabs>
          <w:tab w:val="left" w:pos="567"/>
        </w:tabs>
        <w:rPr>
          <w:sz w:val="22"/>
          <w:szCs w:val="22"/>
        </w:rPr>
      </w:pPr>
      <w:r w:rsidRPr="00FB2719">
        <w:rPr>
          <w:sz w:val="22"/>
          <w:szCs w:val="22"/>
        </w:rPr>
        <w:t>Šį vaistą laikykite vaikams nepastebimoje ir nepasiekiamoje vietoje.</w:t>
      </w:r>
    </w:p>
    <w:p w14:paraId="1FB455AE" w14:textId="77777777" w:rsidR="00AF2599" w:rsidRPr="00FB2719" w:rsidRDefault="008B2B17" w:rsidP="00AD237C">
      <w:pPr>
        <w:tabs>
          <w:tab w:val="left" w:pos="567"/>
        </w:tabs>
        <w:rPr>
          <w:sz w:val="22"/>
          <w:szCs w:val="22"/>
        </w:rPr>
      </w:pPr>
      <w:r w:rsidRPr="00FB2719">
        <w:rPr>
          <w:sz w:val="22"/>
          <w:szCs w:val="22"/>
        </w:rPr>
        <w:t>Šiam vaist</w:t>
      </w:r>
      <w:r w:rsidR="009B308A" w:rsidRPr="00FB2719">
        <w:rPr>
          <w:sz w:val="22"/>
          <w:szCs w:val="22"/>
        </w:rPr>
        <w:t>ui</w:t>
      </w:r>
      <w:r w:rsidRPr="00FB2719">
        <w:rPr>
          <w:sz w:val="22"/>
          <w:szCs w:val="22"/>
        </w:rPr>
        <w:t xml:space="preserve"> speciali</w:t>
      </w:r>
      <w:r w:rsidR="009C52A8" w:rsidRPr="00FB2719">
        <w:rPr>
          <w:sz w:val="22"/>
          <w:szCs w:val="22"/>
        </w:rPr>
        <w:t>ų laikymo sąlygų nereikia.</w:t>
      </w:r>
      <w:r w:rsidR="00AF2599" w:rsidRPr="00FB2719">
        <w:rPr>
          <w:sz w:val="22"/>
          <w:szCs w:val="22"/>
        </w:rPr>
        <w:t xml:space="preserve"> </w:t>
      </w:r>
    </w:p>
    <w:p w14:paraId="6447BE3D" w14:textId="11CFAC53" w:rsidR="00CA08B3" w:rsidRPr="00FB2719" w:rsidRDefault="00CA08B3" w:rsidP="00AD237C">
      <w:pPr>
        <w:tabs>
          <w:tab w:val="left" w:pos="567"/>
        </w:tabs>
        <w:rPr>
          <w:sz w:val="22"/>
          <w:szCs w:val="22"/>
        </w:rPr>
      </w:pPr>
      <w:r w:rsidRPr="00FB2719">
        <w:rPr>
          <w:iCs/>
          <w:noProof/>
          <w:sz w:val="22"/>
          <w:szCs w:val="22"/>
        </w:rPr>
        <w:t xml:space="preserve">Ant pakuotės po „EXP“ nurodytam tinkamumo laikui pasibaigus, </w:t>
      </w:r>
      <w:r w:rsidRPr="00FB2719">
        <w:rPr>
          <w:sz w:val="22"/>
          <w:szCs w:val="22"/>
        </w:rPr>
        <w:t xml:space="preserve">šio vaisto </w:t>
      </w:r>
      <w:r w:rsidRPr="00FB2719">
        <w:rPr>
          <w:iCs/>
          <w:noProof/>
          <w:sz w:val="22"/>
          <w:szCs w:val="22"/>
        </w:rPr>
        <w:t xml:space="preserve">vartoti negalima. Vaistas tinkamas vartoti iki paskutinės nurodyto mėnesio dienos. </w:t>
      </w:r>
    </w:p>
    <w:p w14:paraId="2F5A15AF" w14:textId="77777777" w:rsidR="00CA08B3" w:rsidRPr="00FB2719" w:rsidRDefault="00CA08B3" w:rsidP="00CA08B3">
      <w:pPr>
        <w:tabs>
          <w:tab w:val="left" w:pos="567"/>
        </w:tabs>
        <w:rPr>
          <w:sz w:val="22"/>
          <w:szCs w:val="22"/>
        </w:rPr>
      </w:pPr>
    </w:p>
    <w:p w14:paraId="2DFEA727" w14:textId="77777777" w:rsidR="00CA08B3" w:rsidRPr="00FB2719" w:rsidRDefault="00CA08B3" w:rsidP="00AD237C">
      <w:pPr>
        <w:tabs>
          <w:tab w:val="left" w:pos="567"/>
        </w:tabs>
        <w:rPr>
          <w:iCs/>
          <w:sz w:val="22"/>
          <w:szCs w:val="22"/>
        </w:rPr>
      </w:pPr>
      <w:r w:rsidRPr="00FB2719">
        <w:rPr>
          <w:sz w:val="22"/>
          <w:szCs w:val="22"/>
        </w:rPr>
        <w:t>Vaistų negalima išmesti į kanalizaciją arba su buitinėmis atliekomis. Kaip išmesti nereikalingus vaistus, klauskite vaistininko. Šios priemonės padės apsaugoti aplinką.</w:t>
      </w:r>
    </w:p>
    <w:p w14:paraId="1D5F4F13" w14:textId="77777777" w:rsidR="00CA08B3" w:rsidRPr="00FB2719" w:rsidRDefault="00CA08B3" w:rsidP="00CA08B3">
      <w:pPr>
        <w:rPr>
          <w:i/>
          <w:iCs/>
          <w:sz w:val="22"/>
          <w:szCs w:val="22"/>
        </w:rPr>
      </w:pPr>
    </w:p>
    <w:p w14:paraId="6C693F73" w14:textId="77777777" w:rsidR="00CA08B3" w:rsidRPr="00FB2719" w:rsidRDefault="00CA08B3" w:rsidP="00CA08B3">
      <w:pPr>
        <w:rPr>
          <w:i/>
          <w:iCs/>
          <w:sz w:val="22"/>
          <w:szCs w:val="22"/>
        </w:rPr>
      </w:pPr>
    </w:p>
    <w:p w14:paraId="1CB41DC9" w14:textId="77777777" w:rsidR="00CA08B3" w:rsidRPr="00FB2719" w:rsidRDefault="00CA08B3" w:rsidP="00CA08B3">
      <w:pPr>
        <w:tabs>
          <w:tab w:val="left" w:pos="567"/>
        </w:tabs>
        <w:rPr>
          <w:b/>
          <w:sz w:val="22"/>
          <w:szCs w:val="22"/>
        </w:rPr>
      </w:pPr>
      <w:r w:rsidRPr="00FB2719">
        <w:rPr>
          <w:b/>
          <w:sz w:val="22"/>
          <w:szCs w:val="22"/>
        </w:rPr>
        <w:t>6.</w:t>
      </w:r>
      <w:r w:rsidRPr="00FB2719">
        <w:rPr>
          <w:b/>
          <w:sz w:val="22"/>
          <w:szCs w:val="22"/>
        </w:rPr>
        <w:tab/>
        <w:t>Pakuotės turinys ir kita informacija</w:t>
      </w:r>
    </w:p>
    <w:p w14:paraId="44E75700" w14:textId="77777777" w:rsidR="00CA08B3" w:rsidRPr="00FB2719" w:rsidRDefault="00CA08B3" w:rsidP="00CA08B3">
      <w:pPr>
        <w:tabs>
          <w:tab w:val="left" w:pos="567"/>
        </w:tabs>
        <w:rPr>
          <w:sz w:val="22"/>
          <w:szCs w:val="22"/>
        </w:rPr>
      </w:pPr>
    </w:p>
    <w:p w14:paraId="7A017091" w14:textId="77777777" w:rsidR="00CA08B3" w:rsidRPr="00FB2719" w:rsidRDefault="00CA08B3" w:rsidP="00CA08B3">
      <w:pPr>
        <w:tabs>
          <w:tab w:val="left" w:pos="567"/>
        </w:tabs>
        <w:ind w:left="540" w:hanging="540"/>
        <w:rPr>
          <w:b/>
          <w:sz w:val="22"/>
          <w:szCs w:val="22"/>
        </w:rPr>
      </w:pPr>
      <w:r w:rsidRPr="00FB2719">
        <w:rPr>
          <w:b/>
          <w:sz w:val="22"/>
          <w:szCs w:val="22"/>
        </w:rPr>
        <w:t>Lopinavir/Ritonavir Sandoz sudėtis</w:t>
      </w:r>
    </w:p>
    <w:p w14:paraId="24485527" w14:textId="77777777" w:rsidR="00CA08B3" w:rsidRPr="00FB2719" w:rsidRDefault="00CA08B3" w:rsidP="00CA08B3">
      <w:pPr>
        <w:tabs>
          <w:tab w:val="left" w:pos="567"/>
        </w:tabs>
        <w:ind w:left="567" w:hanging="567"/>
        <w:rPr>
          <w:sz w:val="22"/>
          <w:szCs w:val="22"/>
        </w:rPr>
      </w:pPr>
      <w:r w:rsidRPr="00FB2719">
        <w:rPr>
          <w:sz w:val="22"/>
          <w:szCs w:val="22"/>
        </w:rPr>
        <w:t>-</w:t>
      </w:r>
      <w:r w:rsidRPr="00FB2719">
        <w:rPr>
          <w:sz w:val="22"/>
          <w:szCs w:val="22"/>
        </w:rPr>
        <w:tab/>
        <w:t xml:space="preserve">Veikliosios medžiagos yra lopinaviras ir ritonaviras. </w:t>
      </w:r>
    </w:p>
    <w:p w14:paraId="05F770FE" w14:textId="77777777" w:rsidR="00CA08B3" w:rsidRPr="00FB2719" w:rsidRDefault="00CA08B3" w:rsidP="00CA08B3">
      <w:pPr>
        <w:tabs>
          <w:tab w:val="left" w:pos="567"/>
        </w:tabs>
        <w:ind w:left="567"/>
        <w:rPr>
          <w:sz w:val="22"/>
          <w:szCs w:val="22"/>
        </w:rPr>
      </w:pPr>
      <w:r w:rsidRPr="00FB2719">
        <w:rPr>
          <w:sz w:val="22"/>
          <w:szCs w:val="22"/>
        </w:rPr>
        <w:t>Kiekvienoje plėvele dengtoje tabletėje yra 200 mg lopinaviro ir 50 mg ritonaviro.</w:t>
      </w:r>
    </w:p>
    <w:p w14:paraId="00B6801E" w14:textId="77777777" w:rsidR="00CA08B3" w:rsidRPr="00FB2719" w:rsidRDefault="00CA08B3" w:rsidP="00CA08B3">
      <w:pPr>
        <w:ind w:left="567" w:hanging="567"/>
        <w:rPr>
          <w:sz w:val="22"/>
          <w:szCs w:val="22"/>
        </w:rPr>
      </w:pPr>
      <w:r w:rsidRPr="00FB2719">
        <w:rPr>
          <w:sz w:val="22"/>
          <w:szCs w:val="22"/>
        </w:rPr>
        <w:t>-</w:t>
      </w:r>
      <w:r w:rsidRPr="00FB2719">
        <w:rPr>
          <w:sz w:val="22"/>
          <w:szCs w:val="22"/>
        </w:rPr>
        <w:tab/>
        <w:t xml:space="preserve">Pagalbinės medžiagos. </w:t>
      </w:r>
      <w:r w:rsidRPr="00FB2719">
        <w:rPr>
          <w:bCs/>
          <w:i/>
          <w:sz w:val="22"/>
          <w:szCs w:val="22"/>
        </w:rPr>
        <w:t>Tabletės branduolys</w:t>
      </w:r>
      <w:r w:rsidRPr="00FB2719">
        <w:rPr>
          <w:bCs/>
          <w:sz w:val="22"/>
          <w:szCs w:val="22"/>
        </w:rPr>
        <w:t>: k</w:t>
      </w:r>
      <w:r w:rsidRPr="00FB2719">
        <w:rPr>
          <w:sz w:val="22"/>
          <w:szCs w:val="22"/>
        </w:rPr>
        <w:t xml:space="preserve">opovidonas K30, sorbitano lauratas, bevandenis koloidinis silicio dioksidas, natrio stearilfumaratas. </w:t>
      </w:r>
      <w:r w:rsidRPr="00FB2719">
        <w:rPr>
          <w:i/>
          <w:sz w:val="22"/>
          <w:szCs w:val="22"/>
        </w:rPr>
        <w:t>Tabletės plėvelė</w:t>
      </w:r>
      <w:r w:rsidRPr="00FB2719">
        <w:rPr>
          <w:sz w:val="22"/>
          <w:szCs w:val="22"/>
        </w:rPr>
        <w:t>: HPMC 2910 / hipromeliozė 6 cP (E464), titano dioksidas (E171), makrogolis 400, hidroksipropilceliuliozė (E463), HPMC 2910 / hipromeliozė 15 cP (E464), talkas (E553b), bevandenis koloidinis silicio dioksidas (E551), makrogolis 3350, geltonasis geležies oksidas (E172), polisorbatas 80 (E433).</w:t>
      </w:r>
    </w:p>
    <w:p w14:paraId="745DA915" w14:textId="77777777" w:rsidR="00CA08B3" w:rsidRPr="00FB2719" w:rsidRDefault="00CA08B3" w:rsidP="00CA08B3">
      <w:pPr>
        <w:rPr>
          <w:sz w:val="22"/>
          <w:szCs w:val="22"/>
        </w:rPr>
      </w:pPr>
    </w:p>
    <w:p w14:paraId="482C6E96" w14:textId="77777777" w:rsidR="00CA08B3" w:rsidRPr="00FB2719" w:rsidRDefault="00CA08B3" w:rsidP="00CA08B3">
      <w:pPr>
        <w:rPr>
          <w:b/>
          <w:sz w:val="22"/>
          <w:szCs w:val="22"/>
        </w:rPr>
      </w:pPr>
      <w:r w:rsidRPr="00FB2719">
        <w:rPr>
          <w:b/>
          <w:sz w:val="22"/>
          <w:szCs w:val="22"/>
        </w:rPr>
        <w:t>Lopinavir/Ritonavir Sandoz išvaizda ir kiekis pakuotėje</w:t>
      </w:r>
    </w:p>
    <w:p w14:paraId="6B9B3B58" w14:textId="77777777" w:rsidR="00CA08B3" w:rsidRPr="00FB2719" w:rsidRDefault="00CA08B3" w:rsidP="00CA08B3">
      <w:pPr>
        <w:rPr>
          <w:sz w:val="22"/>
          <w:szCs w:val="22"/>
        </w:rPr>
      </w:pPr>
      <w:r w:rsidRPr="00FB2719">
        <w:rPr>
          <w:sz w:val="22"/>
          <w:szCs w:val="22"/>
        </w:rPr>
        <w:t>Lopinavir/Ritonavir Sandoz tabletės yra geltonos, ovalios, abipus išgaubtos plėvele dengtos tabletės (19,00</w:t>
      </w:r>
      <w:r w:rsidR="005B415B" w:rsidRPr="00FB2719">
        <w:rPr>
          <w:sz w:val="22"/>
          <w:szCs w:val="22"/>
        </w:rPr>
        <w:t> </w:t>
      </w:r>
      <w:r w:rsidRPr="00FB2719">
        <w:rPr>
          <w:sz w:val="22"/>
          <w:szCs w:val="22"/>
        </w:rPr>
        <w:t>x</w:t>
      </w:r>
      <w:r w:rsidR="005B415B" w:rsidRPr="00FB2719">
        <w:rPr>
          <w:sz w:val="22"/>
          <w:szCs w:val="22"/>
        </w:rPr>
        <w:t> </w:t>
      </w:r>
      <w:r w:rsidRPr="00FB2719">
        <w:rPr>
          <w:sz w:val="22"/>
          <w:szCs w:val="22"/>
        </w:rPr>
        <w:t>10,20</w:t>
      </w:r>
      <w:r w:rsidR="005B415B" w:rsidRPr="00FB2719">
        <w:rPr>
          <w:sz w:val="22"/>
          <w:szCs w:val="22"/>
        </w:rPr>
        <w:t> </w:t>
      </w:r>
      <w:r w:rsidRPr="00FB2719">
        <w:rPr>
          <w:sz w:val="22"/>
          <w:szCs w:val="22"/>
        </w:rPr>
        <w:t>mm) su įspaudu „H“ vienoje pusėje ir „L3“ kitoje pusėje.</w:t>
      </w:r>
    </w:p>
    <w:p w14:paraId="3D408A6B" w14:textId="77777777" w:rsidR="00CA08B3" w:rsidRPr="00FB2719" w:rsidRDefault="00CA08B3" w:rsidP="00CA08B3">
      <w:pPr>
        <w:rPr>
          <w:sz w:val="22"/>
          <w:szCs w:val="22"/>
        </w:rPr>
      </w:pPr>
    </w:p>
    <w:p w14:paraId="700AF0A0" w14:textId="77777777" w:rsidR="00CA08B3" w:rsidRPr="00FB2719" w:rsidRDefault="00CA08B3" w:rsidP="00CA08B3">
      <w:pPr>
        <w:rPr>
          <w:sz w:val="22"/>
          <w:szCs w:val="22"/>
        </w:rPr>
      </w:pPr>
      <w:r w:rsidRPr="00FB2719">
        <w:rPr>
          <w:sz w:val="22"/>
          <w:szCs w:val="22"/>
        </w:rPr>
        <w:t xml:space="preserve">Šis vaistas yra tiekiamas DTPE </w:t>
      </w:r>
      <w:r w:rsidR="00AF2599" w:rsidRPr="00FB2719">
        <w:rPr>
          <w:sz w:val="22"/>
          <w:szCs w:val="22"/>
        </w:rPr>
        <w:t xml:space="preserve">talpyklėje </w:t>
      </w:r>
      <w:r w:rsidRPr="00FB2719">
        <w:rPr>
          <w:sz w:val="22"/>
          <w:szCs w:val="22"/>
        </w:rPr>
        <w:t xml:space="preserve">(baltame didelio tankio polietileno buteliuke, kuriame yra </w:t>
      </w:r>
      <w:r w:rsidR="008B2B17" w:rsidRPr="00FB2719">
        <w:rPr>
          <w:sz w:val="22"/>
          <w:szCs w:val="22"/>
        </w:rPr>
        <w:t xml:space="preserve">dėžutė su </w:t>
      </w:r>
      <w:r w:rsidRPr="00FB2719">
        <w:rPr>
          <w:sz w:val="22"/>
          <w:szCs w:val="22"/>
        </w:rPr>
        <w:t>2 g sausiklio silikagelio, uždarytame baltu propileno užsukamuoju dangteliu). Pakuotėje yra 1 buteliukas, kuriame yra 120</w:t>
      </w:r>
      <w:r w:rsidR="008B2B17" w:rsidRPr="00FB2719">
        <w:rPr>
          <w:sz w:val="22"/>
          <w:szCs w:val="22"/>
        </w:rPr>
        <w:t xml:space="preserve"> plėvele dengtų</w:t>
      </w:r>
      <w:r w:rsidRPr="00FB2719">
        <w:rPr>
          <w:sz w:val="22"/>
          <w:szCs w:val="22"/>
        </w:rPr>
        <w:t xml:space="preserve"> tablečių ar 3 buteliukai, kurių kiekviename yra 120 </w:t>
      </w:r>
      <w:r w:rsidR="008B2B17" w:rsidRPr="00FB2719">
        <w:rPr>
          <w:sz w:val="22"/>
          <w:szCs w:val="22"/>
        </w:rPr>
        <w:t xml:space="preserve">plėvele dengtų </w:t>
      </w:r>
      <w:r w:rsidRPr="00FB2719">
        <w:rPr>
          <w:sz w:val="22"/>
          <w:szCs w:val="22"/>
        </w:rPr>
        <w:t>tablečių (360 tablečių).</w:t>
      </w:r>
    </w:p>
    <w:p w14:paraId="6EBE2E72" w14:textId="77777777" w:rsidR="00CA08B3" w:rsidRPr="00FB2719" w:rsidRDefault="00CA08B3" w:rsidP="00CA08B3">
      <w:pPr>
        <w:rPr>
          <w:sz w:val="22"/>
          <w:szCs w:val="22"/>
        </w:rPr>
      </w:pPr>
    </w:p>
    <w:p w14:paraId="1108C33A" w14:textId="77777777" w:rsidR="00CA08B3" w:rsidRPr="00FB2719" w:rsidRDefault="00CA08B3" w:rsidP="00CA08B3">
      <w:pPr>
        <w:rPr>
          <w:sz w:val="22"/>
          <w:szCs w:val="22"/>
        </w:rPr>
      </w:pPr>
      <w:r w:rsidRPr="00FB2719">
        <w:rPr>
          <w:sz w:val="22"/>
          <w:szCs w:val="22"/>
        </w:rPr>
        <w:t>Šis vaistas yra tiekiamas PVC/PVDC-Al lizdinėse plokštelėse kartono dėžutėje. Pakuotėje yra 30, 40, 60, 120, 120 (3x40) ar 360 (3x120) plėvele dengtų tablečių.</w:t>
      </w:r>
    </w:p>
    <w:p w14:paraId="18364CA2" w14:textId="77777777" w:rsidR="00CA08B3" w:rsidRPr="00FB2719" w:rsidRDefault="00CA08B3" w:rsidP="00CA08B3">
      <w:pPr>
        <w:rPr>
          <w:sz w:val="22"/>
          <w:szCs w:val="22"/>
        </w:rPr>
      </w:pPr>
    </w:p>
    <w:p w14:paraId="76269E0B" w14:textId="77777777" w:rsidR="00CA08B3" w:rsidRPr="00FB2719" w:rsidRDefault="00CA08B3" w:rsidP="00CA08B3">
      <w:pPr>
        <w:rPr>
          <w:sz w:val="22"/>
          <w:szCs w:val="22"/>
        </w:rPr>
      </w:pPr>
      <w:r w:rsidRPr="00FB2719">
        <w:rPr>
          <w:sz w:val="22"/>
          <w:szCs w:val="22"/>
        </w:rPr>
        <w:t>Gali būti tiekiamos ne visų dydžių pakuotės.</w:t>
      </w:r>
    </w:p>
    <w:p w14:paraId="4289F8DE" w14:textId="77777777" w:rsidR="00CA08B3" w:rsidRPr="00FB2719" w:rsidRDefault="00CA08B3" w:rsidP="00CA08B3">
      <w:pPr>
        <w:rPr>
          <w:sz w:val="22"/>
          <w:szCs w:val="22"/>
        </w:rPr>
      </w:pPr>
    </w:p>
    <w:p w14:paraId="421D33A4" w14:textId="77777777" w:rsidR="00CA08B3" w:rsidRPr="00FB2719" w:rsidRDefault="00CA08B3" w:rsidP="00CA08B3">
      <w:pPr>
        <w:tabs>
          <w:tab w:val="left" w:pos="567"/>
        </w:tabs>
        <w:rPr>
          <w:b/>
          <w:bCs/>
          <w:sz w:val="22"/>
          <w:szCs w:val="22"/>
        </w:rPr>
      </w:pPr>
      <w:r w:rsidRPr="00FB2719">
        <w:rPr>
          <w:b/>
          <w:bCs/>
          <w:sz w:val="22"/>
          <w:szCs w:val="22"/>
        </w:rPr>
        <w:t>Registruotojas ir gamintojas</w:t>
      </w:r>
    </w:p>
    <w:p w14:paraId="7552EFFE" w14:textId="77777777" w:rsidR="00CA08B3" w:rsidRPr="00FB2719" w:rsidRDefault="00CA08B3" w:rsidP="00CA08B3">
      <w:pPr>
        <w:tabs>
          <w:tab w:val="left" w:pos="567"/>
        </w:tabs>
        <w:rPr>
          <w:b/>
          <w:bCs/>
          <w:sz w:val="22"/>
          <w:szCs w:val="22"/>
        </w:rPr>
      </w:pPr>
    </w:p>
    <w:p w14:paraId="09CDE62D" w14:textId="77777777" w:rsidR="00CA08B3" w:rsidRPr="00FB2719" w:rsidRDefault="00CA08B3" w:rsidP="00CA08B3">
      <w:pPr>
        <w:tabs>
          <w:tab w:val="left" w:pos="567"/>
        </w:tabs>
        <w:rPr>
          <w:bCs/>
          <w:i/>
          <w:sz w:val="22"/>
          <w:szCs w:val="22"/>
        </w:rPr>
      </w:pPr>
      <w:r w:rsidRPr="00FB2719">
        <w:rPr>
          <w:bCs/>
          <w:i/>
          <w:sz w:val="22"/>
          <w:szCs w:val="22"/>
        </w:rPr>
        <w:t>Registruotojas</w:t>
      </w:r>
    </w:p>
    <w:p w14:paraId="3B040C69" w14:textId="77777777" w:rsidR="00CA08B3" w:rsidRPr="00FB2719" w:rsidRDefault="00CA08B3" w:rsidP="00CA08B3">
      <w:pPr>
        <w:tabs>
          <w:tab w:val="left" w:pos="567"/>
        </w:tabs>
        <w:rPr>
          <w:sz w:val="22"/>
          <w:szCs w:val="22"/>
        </w:rPr>
      </w:pPr>
      <w:r w:rsidRPr="00FB2719">
        <w:rPr>
          <w:sz w:val="22"/>
          <w:szCs w:val="22"/>
        </w:rPr>
        <w:t>Sandoz d.d.</w:t>
      </w:r>
    </w:p>
    <w:p w14:paraId="255CFD99" w14:textId="77777777" w:rsidR="00CA08B3" w:rsidRPr="00FB2719" w:rsidRDefault="00CA08B3" w:rsidP="00CA08B3">
      <w:pPr>
        <w:tabs>
          <w:tab w:val="left" w:pos="567"/>
        </w:tabs>
        <w:rPr>
          <w:sz w:val="22"/>
          <w:szCs w:val="22"/>
        </w:rPr>
      </w:pPr>
      <w:r w:rsidRPr="00FB2719">
        <w:rPr>
          <w:sz w:val="22"/>
          <w:szCs w:val="22"/>
        </w:rPr>
        <w:lastRenderedPageBreak/>
        <w:t>Verovškova 57</w:t>
      </w:r>
    </w:p>
    <w:p w14:paraId="7B79AE2B" w14:textId="77777777" w:rsidR="00CA08B3" w:rsidRPr="00FB2719" w:rsidRDefault="00CA08B3" w:rsidP="00CA08B3">
      <w:pPr>
        <w:tabs>
          <w:tab w:val="left" w:pos="567"/>
        </w:tabs>
        <w:rPr>
          <w:sz w:val="22"/>
          <w:szCs w:val="22"/>
        </w:rPr>
      </w:pPr>
      <w:r w:rsidRPr="00FB2719">
        <w:rPr>
          <w:sz w:val="22"/>
          <w:szCs w:val="22"/>
        </w:rPr>
        <w:t>SI-1000 Ljubljana</w:t>
      </w:r>
    </w:p>
    <w:p w14:paraId="061BB4CA" w14:textId="77777777" w:rsidR="00CA08B3" w:rsidRPr="00FB2719" w:rsidRDefault="00CA08B3" w:rsidP="00CA08B3">
      <w:pPr>
        <w:tabs>
          <w:tab w:val="left" w:pos="567"/>
        </w:tabs>
        <w:rPr>
          <w:sz w:val="22"/>
          <w:szCs w:val="22"/>
        </w:rPr>
      </w:pPr>
      <w:r w:rsidRPr="00FB2719">
        <w:rPr>
          <w:sz w:val="22"/>
          <w:szCs w:val="22"/>
        </w:rPr>
        <w:t>Slovėnija</w:t>
      </w:r>
    </w:p>
    <w:p w14:paraId="6FF364F3" w14:textId="77777777" w:rsidR="00CA08B3" w:rsidRPr="00FB2719" w:rsidRDefault="00CA08B3" w:rsidP="00CA08B3">
      <w:pPr>
        <w:tabs>
          <w:tab w:val="left" w:pos="567"/>
        </w:tabs>
        <w:rPr>
          <w:b/>
          <w:bCs/>
          <w:sz w:val="22"/>
          <w:szCs w:val="22"/>
        </w:rPr>
      </w:pPr>
    </w:p>
    <w:p w14:paraId="6774A7A0" w14:textId="77777777" w:rsidR="00CA08B3" w:rsidRPr="00FB2719" w:rsidRDefault="00CA08B3" w:rsidP="00CA08B3">
      <w:pPr>
        <w:tabs>
          <w:tab w:val="left" w:pos="567"/>
        </w:tabs>
        <w:jc w:val="both"/>
        <w:rPr>
          <w:bCs/>
          <w:i/>
          <w:sz w:val="22"/>
          <w:szCs w:val="22"/>
        </w:rPr>
      </w:pPr>
      <w:r w:rsidRPr="00FB2719">
        <w:rPr>
          <w:bCs/>
          <w:i/>
          <w:sz w:val="22"/>
          <w:szCs w:val="22"/>
        </w:rPr>
        <w:t>Gamintojas</w:t>
      </w:r>
    </w:p>
    <w:p w14:paraId="014F8DF4" w14:textId="77777777" w:rsidR="00CA08B3" w:rsidRPr="00FB2719" w:rsidRDefault="00CA08B3" w:rsidP="00CA08B3">
      <w:pPr>
        <w:autoSpaceDE w:val="0"/>
        <w:autoSpaceDN w:val="0"/>
        <w:adjustRightInd w:val="0"/>
        <w:rPr>
          <w:color w:val="000000"/>
          <w:sz w:val="22"/>
          <w:szCs w:val="22"/>
        </w:rPr>
      </w:pPr>
      <w:r w:rsidRPr="00FB2719">
        <w:rPr>
          <w:color w:val="000000"/>
          <w:sz w:val="22"/>
          <w:szCs w:val="22"/>
        </w:rPr>
        <w:t>Salutas Pharma GmbH</w:t>
      </w:r>
    </w:p>
    <w:p w14:paraId="64058189" w14:textId="77777777" w:rsidR="00CA08B3" w:rsidRPr="00FB2719" w:rsidRDefault="00CA08B3" w:rsidP="00CA08B3">
      <w:pPr>
        <w:autoSpaceDE w:val="0"/>
        <w:autoSpaceDN w:val="0"/>
        <w:adjustRightInd w:val="0"/>
        <w:rPr>
          <w:color w:val="000000"/>
          <w:sz w:val="22"/>
          <w:szCs w:val="22"/>
        </w:rPr>
      </w:pPr>
      <w:r w:rsidRPr="00FB2719">
        <w:rPr>
          <w:color w:val="000000"/>
          <w:sz w:val="22"/>
          <w:szCs w:val="22"/>
        </w:rPr>
        <w:t>Otto-von-Guericke-Allee 1</w:t>
      </w:r>
    </w:p>
    <w:p w14:paraId="424751F1" w14:textId="77777777" w:rsidR="00CA08B3" w:rsidRPr="00FB2719" w:rsidRDefault="00CA08B3" w:rsidP="00CA08B3">
      <w:pPr>
        <w:autoSpaceDE w:val="0"/>
        <w:autoSpaceDN w:val="0"/>
        <w:adjustRightInd w:val="0"/>
        <w:rPr>
          <w:color w:val="000000"/>
          <w:sz w:val="22"/>
          <w:szCs w:val="22"/>
        </w:rPr>
      </w:pPr>
      <w:r w:rsidRPr="00FB2719">
        <w:rPr>
          <w:color w:val="000000"/>
          <w:sz w:val="22"/>
          <w:szCs w:val="22"/>
        </w:rPr>
        <w:t>DE-39179 Barleben</w:t>
      </w:r>
    </w:p>
    <w:p w14:paraId="451F6271" w14:textId="77777777" w:rsidR="00CA08B3" w:rsidRPr="00FB2719" w:rsidRDefault="00CA08B3" w:rsidP="00CA08B3">
      <w:pPr>
        <w:autoSpaceDE w:val="0"/>
        <w:autoSpaceDN w:val="0"/>
        <w:adjustRightInd w:val="0"/>
        <w:rPr>
          <w:color w:val="000000"/>
          <w:sz w:val="22"/>
          <w:szCs w:val="22"/>
        </w:rPr>
      </w:pPr>
      <w:r w:rsidRPr="00FB2719">
        <w:rPr>
          <w:color w:val="000000"/>
          <w:sz w:val="22"/>
          <w:szCs w:val="22"/>
        </w:rPr>
        <w:t>Vokietija</w:t>
      </w:r>
    </w:p>
    <w:p w14:paraId="6010655C" w14:textId="77777777" w:rsidR="00CA08B3" w:rsidRPr="00FB2719" w:rsidRDefault="00CA08B3" w:rsidP="00CA08B3">
      <w:pPr>
        <w:autoSpaceDE w:val="0"/>
        <w:autoSpaceDN w:val="0"/>
        <w:adjustRightInd w:val="0"/>
        <w:rPr>
          <w:color w:val="000000"/>
          <w:sz w:val="22"/>
          <w:szCs w:val="22"/>
        </w:rPr>
      </w:pPr>
    </w:p>
    <w:p w14:paraId="700D723B" w14:textId="77777777" w:rsidR="00CA08B3" w:rsidRPr="00FB2719" w:rsidRDefault="00CA08B3" w:rsidP="00CA08B3">
      <w:pPr>
        <w:numPr>
          <w:ilvl w:val="12"/>
          <w:numId w:val="0"/>
        </w:numPr>
        <w:tabs>
          <w:tab w:val="left" w:pos="567"/>
        </w:tabs>
        <w:ind w:right="-2"/>
        <w:rPr>
          <w:noProof/>
          <w:snapToGrid w:val="0"/>
          <w:sz w:val="22"/>
          <w:szCs w:val="22"/>
        </w:rPr>
      </w:pPr>
      <w:r w:rsidRPr="00FB2719">
        <w:rPr>
          <w:noProof/>
          <w:snapToGrid w:val="0"/>
          <w:sz w:val="22"/>
          <w:szCs w:val="22"/>
        </w:rPr>
        <w:t>Jeigu apie šį vaistą norite sužinoti daugiau, kreipkitės į vietinį registruotojo atstovą.</w:t>
      </w:r>
    </w:p>
    <w:p w14:paraId="4EE42C48" w14:textId="77777777" w:rsidR="00CA08B3" w:rsidRPr="00FB2719" w:rsidRDefault="00CA08B3" w:rsidP="00CA08B3">
      <w:pPr>
        <w:pStyle w:val="BTEMEASMCA"/>
        <w:rPr>
          <w:noProof w:val="0"/>
          <w:sz w:val="22"/>
          <w:szCs w:val="22"/>
        </w:rPr>
      </w:pPr>
    </w:p>
    <w:p w14:paraId="2283A0E6" w14:textId="77777777" w:rsidR="00CA08B3" w:rsidRPr="00FB2719" w:rsidRDefault="00CA08B3" w:rsidP="00CA08B3">
      <w:pPr>
        <w:rPr>
          <w:noProof/>
          <w:sz w:val="22"/>
          <w:szCs w:val="22"/>
        </w:rPr>
      </w:pPr>
      <w:r w:rsidRPr="00FB2719">
        <w:rPr>
          <w:noProof/>
          <w:sz w:val="22"/>
          <w:szCs w:val="22"/>
        </w:rPr>
        <w:t>Sandoz Pharmaceuticals d.d. filialas</w:t>
      </w:r>
    </w:p>
    <w:p w14:paraId="2EC049C2" w14:textId="77777777" w:rsidR="00CA08B3" w:rsidRPr="00FB2719" w:rsidRDefault="00CA08B3" w:rsidP="00CA08B3">
      <w:pPr>
        <w:rPr>
          <w:noProof/>
          <w:sz w:val="22"/>
          <w:szCs w:val="22"/>
        </w:rPr>
      </w:pPr>
      <w:r w:rsidRPr="00FB2719">
        <w:rPr>
          <w:noProof/>
          <w:sz w:val="22"/>
          <w:szCs w:val="22"/>
        </w:rPr>
        <w:t>Šeimyniškių 3A</w:t>
      </w:r>
    </w:p>
    <w:p w14:paraId="21DA65C7" w14:textId="77777777" w:rsidR="00CA08B3" w:rsidRPr="00FB2719" w:rsidRDefault="00CA08B3" w:rsidP="00CA08B3">
      <w:pPr>
        <w:rPr>
          <w:noProof/>
          <w:sz w:val="22"/>
          <w:szCs w:val="22"/>
        </w:rPr>
      </w:pPr>
      <w:r w:rsidRPr="00FB2719">
        <w:rPr>
          <w:noProof/>
          <w:sz w:val="22"/>
          <w:szCs w:val="22"/>
        </w:rPr>
        <w:t>LT-09312 Vilnius</w:t>
      </w:r>
    </w:p>
    <w:p w14:paraId="527F5603" w14:textId="77777777" w:rsidR="00CA08B3" w:rsidRPr="00FB2719" w:rsidRDefault="00CA08B3" w:rsidP="00CA08B3">
      <w:pPr>
        <w:rPr>
          <w:sz w:val="22"/>
          <w:szCs w:val="22"/>
        </w:rPr>
      </w:pPr>
      <w:r w:rsidRPr="00FB2719">
        <w:rPr>
          <w:sz w:val="22"/>
          <w:szCs w:val="22"/>
        </w:rPr>
        <w:t>Tel.: +370 5 2636037</w:t>
      </w:r>
    </w:p>
    <w:p w14:paraId="7A139F4E" w14:textId="77777777" w:rsidR="00CA08B3" w:rsidRPr="00FB2719" w:rsidRDefault="00CA08B3" w:rsidP="00CA08B3">
      <w:pPr>
        <w:rPr>
          <w:sz w:val="22"/>
          <w:szCs w:val="22"/>
          <w:lang w:eastAsia="lt-LT"/>
        </w:rPr>
      </w:pPr>
      <w:r w:rsidRPr="00FB2719">
        <w:rPr>
          <w:sz w:val="22"/>
          <w:szCs w:val="22"/>
          <w:lang w:eastAsia="lt-LT"/>
        </w:rPr>
        <w:t>Nemokama linija pacientams +370 800 00877</w:t>
      </w:r>
    </w:p>
    <w:p w14:paraId="5DD37AF4" w14:textId="77777777" w:rsidR="00CA08B3" w:rsidRPr="00FB2719" w:rsidRDefault="00CA08B3" w:rsidP="00CA08B3">
      <w:pPr>
        <w:rPr>
          <w:sz w:val="22"/>
          <w:szCs w:val="22"/>
          <w:lang w:eastAsia="lt-LT"/>
        </w:rPr>
      </w:pPr>
      <w:r w:rsidRPr="00FB2719">
        <w:rPr>
          <w:sz w:val="22"/>
          <w:szCs w:val="22"/>
          <w:lang w:eastAsia="lt-LT"/>
        </w:rPr>
        <w:t>Faksas +370 5 2636 036</w:t>
      </w:r>
    </w:p>
    <w:p w14:paraId="1520DA27" w14:textId="77777777" w:rsidR="00CA08B3" w:rsidRPr="00FB2719" w:rsidRDefault="00CA08B3" w:rsidP="00CA08B3">
      <w:pPr>
        <w:rPr>
          <w:rStyle w:val="Hipersaitas"/>
          <w:rFonts w:eastAsiaTheme="majorEastAsia"/>
        </w:rPr>
      </w:pPr>
      <w:r w:rsidRPr="00FB2719">
        <w:rPr>
          <w:sz w:val="22"/>
          <w:szCs w:val="22"/>
          <w:lang w:eastAsia="lt-LT"/>
        </w:rPr>
        <w:t xml:space="preserve">El. paštas: </w:t>
      </w:r>
      <w:hyperlink r:id="rId8" w:history="1">
        <w:r w:rsidRPr="00FB2719">
          <w:rPr>
            <w:rStyle w:val="Hipersaitas"/>
            <w:rFonts w:eastAsiaTheme="majorEastAsia"/>
            <w:sz w:val="22"/>
            <w:szCs w:val="22"/>
          </w:rPr>
          <w:t>info.lithuania@sandoz.com</w:t>
        </w:r>
      </w:hyperlink>
    </w:p>
    <w:p w14:paraId="285DD925" w14:textId="77777777" w:rsidR="00CA08B3" w:rsidRPr="00FB2719" w:rsidRDefault="00CA08B3" w:rsidP="00CA08B3">
      <w:pPr>
        <w:tabs>
          <w:tab w:val="left" w:pos="567"/>
        </w:tabs>
        <w:rPr>
          <w:rFonts w:eastAsiaTheme="majorEastAsia"/>
        </w:rPr>
      </w:pPr>
    </w:p>
    <w:p w14:paraId="33602527" w14:textId="77777777" w:rsidR="00CA08B3" w:rsidRPr="00FB2719" w:rsidRDefault="00CA08B3" w:rsidP="00CA08B3">
      <w:pPr>
        <w:tabs>
          <w:tab w:val="left" w:pos="567"/>
        </w:tabs>
        <w:rPr>
          <w:b/>
          <w:sz w:val="22"/>
          <w:szCs w:val="22"/>
        </w:rPr>
      </w:pPr>
      <w:r w:rsidRPr="00FB2719">
        <w:rPr>
          <w:b/>
          <w:sz w:val="22"/>
          <w:szCs w:val="22"/>
        </w:rPr>
        <w:t>Šis vaistas EEE valstybėse narėse registruotas tokiais pavadinimais:</w:t>
      </w:r>
    </w:p>
    <w:p w14:paraId="0A7E124D" w14:textId="77777777" w:rsidR="00CA08B3" w:rsidRPr="00FB2719" w:rsidRDefault="00CA08B3" w:rsidP="00CA08B3">
      <w:pPr>
        <w:tabs>
          <w:tab w:val="left" w:pos="567"/>
        </w:tabs>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5"/>
        <w:gridCol w:w="3429"/>
      </w:tblGrid>
      <w:tr w:rsidR="00CA08B3" w:rsidRPr="00FB2719" w14:paraId="29299D6D" w14:textId="77777777" w:rsidTr="003F2F10">
        <w:tc>
          <w:tcPr>
            <w:tcW w:w="6205" w:type="dxa"/>
            <w:tcBorders>
              <w:top w:val="single" w:sz="4" w:space="0" w:color="auto"/>
              <w:left w:val="single" w:sz="4" w:space="0" w:color="auto"/>
              <w:bottom w:val="single" w:sz="4" w:space="0" w:color="auto"/>
              <w:right w:val="single" w:sz="4" w:space="0" w:color="auto"/>
            </w:tcBorders>
            <w:hideMark/>
          </w:tcPr>
          <w:p w14:paraId="2190D23E" w14:textId="77777777" w:rsidR="00CA08B3" w:rsidRPr="00FB2719" w:rsidRDefault="00CA08B3">
            <w:pPr>
              <w:spacing w:line="276" w:lineRule="auto"/>
              <w:jc w:val="center"/>
              <w:rPr>
                <w:b/>
                <w:lang w:val="en-US"/>
              </w:rPr>
            </w:pPr>
            <w:r w:rsidRPr="00FB2719">
              <w:rPr>
                <w:b/>
                <w:lang w:val="en-US"/>
              </w:rPr>
              <w:t>Valstybės narės pavadinimas</w:t>
            </w:r>
          </w:p>
        </w:tc>
        <w:tc>
          <w:tcPr>
            <w:tcW w:w="3429" w:type="dxa"/>
            <w:tcBorders>
              <w:top w:val="single" w:sz="4" w:space="0" w:color="auto"/>
              <w:left w:val="single" w:sz="4" w:space="0" w:color="auto"/>
              <w:bottom w:val="single" w:sz="4" w:space="0" w:color="auto"/>
              <w:right w:val="single" w:sz="4" w:space="0" w:color="auto"/>
            </w:tcBorders>
            <w:hideMark/>
          </w:tcPr>
          <w:p w14:paraId="4BDE45D3" w14:textId="77777777" w:rsidR="00CA08B3" w:rsidRPr="00FB2719" w:rsidRDefault="00CA08B3">
            <w:pPr>
              <w:spacing w:line="276" w:lineRule="auto"/>
              <w:jc w:val="center"/>
              <w:rPr>
                <w:b/>
                <w:lang w:val="en-US"/>
              </w:rPr>
            </w:pPr>
            <w:r w:rsidRPr="00FB2719">
              <w:rPr>
                <w:b/>
                <w:lang w:val="en-US"/>
              </w:rPr>
              <w:t>Vaisto pavadinimas</w:t>
            </w:r>
          </w:p>
        </w:tc>
      </w:tr>
      <w:tr w:rsidR="00CA08B3" w:rsidRPr="00FB2719" w14:paraId="3F8CB0FF" w14:textId="77777777" w:rsidTr="003F2F10">
        <w:tc>
          <w:tcPr>
            <w:tcW w:w="6205" w:type="dxa"/>
            <w:tcBorders>
              <w:top w:val="single" w:sz="4" w:space="0" w:color="auto"/>
              <w:left w:val="single" w:sz="4" w:space="0" w:color="auto"/>
              <w:bottom w:val="single" w:sz="4" w:space="0" w:color="auto"/>
              <w:right w:val="single" w:sz="4" w:space="0" w:color="auto"/>
            </w:tcBorders>
            <w:hideMark/>
          </w:tcPr>
          <w:p w14:paraId="3C89160C" w14:textId="67129BCE" w:rsidR="00CA08B3" w:rsidRPr="00FB2719" w:rsidRDefault="00CA08B3">
            <w:pPr>
              <w:tabs>
                <w:tab w:val="left" w:pos="0"/>
              </w:tabs>
              <w:spacing w:line="276" w:lineRule="auto"/>
              <w:rPr>
                <w:b/>
                <w:sz w:val="22"/>
                <w:szCs w:val="22"/>
              </w:rPr>
            </w:pPr>
            <w:r w:rsidRPr="00FB2719">
              <w:rPr>
                <w:sz w:val="22"/>
                <w:szCs w:val="22"/>
                <w:lang w:val="nl-NL"/>
              </w:rPr>
              <w:t>Airija</w:t>
            </w:r>
            <w:r w:rsidR="00351401" w:rsidRPr="00FB2719">
              <w:rPr>
                <w:sz w:val="22"/>
                <w:szCs w:val="22"/>
                <w:lang w:val="nl-NL"/>
              </w:rPr>
              <w:t>, Austrija, Belgija, Estija, Ispanija,</w:t>
            </w:r>
            <w:r w:rsidR="00595963" w:rsidRPr="00FB2719">
              <w:rPr>
                <w:sz w:val="22"/>
                <w:szCs w:val="22"/>
                <w:lang w:val="nl-NL"/>
              </w:rPr>
              <w:t xml:space="preserve"> </w:t>
            </w:r>
            <w:r w:rsidR="00351401" w:rsidRPr="00FB2719">
              <w:rPr>
                <w:sz w:val="22"/>
                <w:szCs w:val="22"/>
                <w:lang w:val="nl-NL"/>
              </w:rPr>
              <w:t>Kroatija, Lietuva, Latvija, Liukse</w:t>
            </w:r>
            <w:r w:rsidR="00595963" w:rsidRPr="00FB2719">
              <w:rPr>
                <w:sz w:val="22"/>
                <w:szCs w:val="22"/>
                <w:lang w:val="nl-NL"/>
              </w:rPr>
              <w:t>m</w:t>
            </w:r>
            <w:r w:rsidR="00351401" w:rsidRPr="00FB2719">
              <w:rPr>
                <w:sz w:val="22"/>
                <w:szCs w:val="22"/>
                <w:lang w:val="nl-NL"/>
              </w:rPr>
              <w:t>burgas, Nyderlandai, Prancūzija, Rumunija, Slovėnija, Suomija</w:t>
            </w:r>
          </w:p>
        </w:tc>
        <w:tc>
          <w:tcPr>
            <w:tcW w:w="3429" w:type="dxa"/>
            <w:tcBorders>
              <w:top w:val="single" w:sz="4" w:space="0" w:color="auto"/>
              <w:left w:val="single" w:sz="4" w:space="0" w:color="auto"/>
              <w:bottom w:val="single" w:sz="4" w:space="0" w:color="auto"/>
              <w:right w:val="single" w:sz="4" w:space="0" w:color="auto"/>
            </w:tcBorders>
            <w:hideMark/>
          </w:tcPr>
          <w:p w14:paraId="721F8DB8" w14:textId="7B85DE0C" w:rsidR="00CA08B3" w:rsidRPr="00FB2719" w:rsidRDefault="00CA08B3" w:rsidP="003F2F10">
            <w:pPr>
              <w:spacing w:line="276" w:lineRule="auto"/>
              <w:rPr>
                <w:b/>
                <w:sz w:val="22"/>
                <w:szCs w:val="22"/>
                <w:lang w:val="en-US"/>
              </w:rPr>
            </w:pPr>
            <w:r w:rsidRPr="00FB2719">
              <w:rPr>
                <w:sz w:val="22"/>
                <w:szCs w:val="22"/>
                <w:lang w:val="en-US"/>
              </w:rPr>
              <w:t>Lopinavir/ Ritonavir Sandoz 200</w:t>
            </w:r>
            <w:r w:rsidR="003F2F10">
              <w:rPr>
                <w:sz w:val="22"/>
                <w:szCs w:val="22"/>
                <w:lang w:val="en-US"/>
              </w:rPr>
              <w:t> </w:t>
            </w:r>
            <w:r w:rsidRPr="00FB2719">
              <w:rPr>
                <w:sz w:val="22"/>
                <w:szCs w:val="22"/>
                <w:lang w:val="en-US"/>
              </w:rPr>
              <w:t>mg /50 mg Film-coated tablets</w:t>
            </w:r>
          </w:p>
        </w:tc>
      </w:tr>
      <w:tr w:rsidR="00CA08B3" w:rsidRPr="00FB2719" w14:paraId="2862868B" w14:textId="77777777" w:rsidTr="003F2F10">
        <w:tc>
          <w:tcPr>
            <w:tcW w:w="6205" w:type="dxa"/>
            <w:tcBorders>
              <w:top w:val="single" w:sz="4" w:space="0" w:color="auto"/>
              <w:left w:val="single" w:sz="4" w:space="0" w:color="auto"/>
              <w:bottom w:val="single" w:sz="4" w:space="0" w:color="auto"/>
              <w:right w:val="single" w:sz="4" w:space="0" w:color="auto"/>
            </w:tcBorders>
            <w:hideMark/>
          </w:tcPr>
          <w:p w14:paraId="55224CDC" w14:textId="77777777" w:rsidR="00CA08B3" w:rsidRPr="00FB2719" w:rsidRDefault="00CA08B3">
            <w:pPr>
              <w:spacing w:line="276" w:lineRule="auto"/>
              <w:rPr>
                <w:sz w:val="22"/>
                <w:szCs w:val="22"/>
                <w:lang w:val="nl-NL"/>
              </w:rPr>
            </w:pPr>
            <w:r w:rsidRPr="00FB2719">
              <w:rPr>
                <w:sz w:val="22"/>
                <w:szCs w:val="22"/>
                <w:lang w:val="nl-NL"/>
              </w:rPr>
              <w:t>Graikija</w:t>
            </w:r>
          </w:p>
        </w:tc>
        <w:tc>
          <w:tcPr>
            <w:tcW w:w="3429" w:type="dxa"/>
            <w:tcBorders>
              <w:top w:val="single" w:sz="4" w:space="0" w:color="auto"/>
              <w:left w:val="single" w:sz="4" w:space="0" w:color="auto"/>
              <w:bottom w:val="single" w:sz="4" w:space="0" w:color="auto"/>
              <w:right w:val="single" w:sz="4" w:space="0" w:color="auto"/>
            </w:tcBorders>
            <w:hideMark/>
          </w:tcPr>
          <w:p w14:paraId="1FEB7E8C" w14:textId="77777777" w:rsidR="00CA08B3" w:rsidRPr="00FB2719" w:rsidRDefault="00CA08B3">
            <w:pPr>
              <w:spacing w:line="276" w:lineRule="auto"/>
              <w:rPr>
                <w:sz w:val="22"/>
                <w:szCs w:val="22"/>
                <w:lang w:val="nl-NL"/>
              </w:rPr>
            </w:pPr>
            <w:r w:rsidRPr="00FB2719">
              <w:rPr>
                <w:sz w:val="22"/>
                <w:szCs w:val="22"/>
                <w:lang w:val="nl-NL"/>
              </w:rPr>
              <w:t>Lopinavir + Ritonavir/ Sandoz</w:t>
            </w:r>
          </w:p>
        </w:tc>
      </w:tr>
      <w:tr w:rsidR="00CA08B3" w:rsidRPr="00FB2719" w14:paraId="6956AA2D" w14:textId="77777777" w:rsidTr="003F2F10">
        <w:tc>
          <w:tcPr>
            <w:tcW w:w="6205" w:type="dxa"/>
            <w:tcBorders>
              <w:top w:val="single" w:sz="4" w:space="0" w:color="auto"/>
              <w:left w:val="single" w:sz="4" w:space="0" w:color="auto"/>
              <w:bottom w:val="single" w:sz="4" w:space="0" w:color="auto"/>
              <w:right w:val="single" w:sz="4" w:space="0" w:color="auto"/>
            </w:tcBorders>
            <w:hideMark/>
          </w:tcPr>
          <w:p w14:paraId="45F05193" w14:textId="77777777" w:rsidR="00CA08B3" w:rsidRPr="00FB2719" w:rsidRDefault="00CA08B3">
            <w:pPr>
              <w:spacing w:line="276" w:lineRule="auto"/>
              <w:rPr>
                <w:sz w:val="22"/>
                <w:szCs w:val="22"/>
                <w:lang w:val="nl-NL"/>
              </w:rPr>
            </w:pPr>
            <w:r w:rsidRPr="00FB2719">
              <w:rPr>
                <w:sz w:val="22"/>
                <w:szCs w:val="22"/>
                <w:lang w:val="nl-NL"/>
              </w:rPr>
              <w:t>Italija</w:t>
            </w:r>
          </w:p>
        </w:tc>
        <w:tc>
          <w:tcPr>
            <w:tcW w:w="3429" w:type="dxa"/>
            <w:tcBorders>
              <w:top w:val="single" w:sz="4" w:space="0" w:color="auto"/>
              <w:left w:val="single" w:sz="4" w:space="0" w:color="auto"/>
              <w:bottom w:val="single" w:sz="4" w:space="0" w:color="auto"/>
              <w:right w:val="single" w:sz="4" w:space="0" w:color="auto"/>
            </w:tcBorders>
            <w:hideMark/>
          </w:tcPr>
          <w:p w14:paraId="2F7652E3" w14:textId="77777777" w:rsidR="00CA08B3" w:rsidRPr="00FB2719" w:rsidRDefault="00CA08B3">
            <w:pPr>
              <w:spacing w:line="276" w:lineRule="auto"/>
              <w:rPr>
                <w:sz w:val="22"/>
                <w:szCs w:val="22"/>
                <w:lang w:val="es-ES"/>
              </w:rPr>
            </w:pPr>
            <w:r w:rsidRPr="00FB2719">
              <w:rPr>
                <w:sz w:val="22"/>
                <w:szCs w:val="22"/>
                <w:lang w:val="nl-NL"/>
              </w:rPr>
              <w:t>Lopinavir e ritonavir Sandoz</w:t>
            </w:r>
          </w:p>
        </w:tc>
      </w:tr>
      <w:tr w:rsidR="00CA08B3" w:rsidRPr="00FB2719" w14:paraId="65B0AA84" w14:textId="77777777" w:rsidTr="003F2F10">
        <w:trPr>
          <w:trHeight w:val="188"/>
        </w:trPr>
        <w:tc>
          <w:tcPr>
            <w:tcW w:w="6205" w:type="dxa"/>
            <w:tcBorders>
              <w:top w:val="single" w:sz="4" w:space="0" w:color="auto"/>
              <w:left w:val="single" w:sz="4" w:space="0" w:color="auto"/>
              <w:bottom w:val="single" w:sz="4" w:space="0" w:color="auto"/>
              <w:right w:val="single" w:sz="4" w:space="0" w:color="auto"/>
            </w:tcBorders>
            <w:hideMark/>
          </w:tcPr>
          <w:p w14:paraId="3583F0E2" w14:textId="0DE3A5D6" w:rsidR="00CA08B3" w:rsidRPr="00FB2719" w:rsidRDefault="00CA08B3">
            <w:pPr>
              <w:spacing w:line="276" w:lineRule="auto"/>
              <w:rPr>
                <w:sz w:val="22"/>
                <w:szCs w:val="22"/>
                <w:lang w:val="nl-NL"/>
              </w:rPr>
            </w:pPr>
            <w:r w:rsidRPr="00FB2719">
              <w:rPr>
                <w:sz w:val="22"/>
                <w:szCs w:val="22"/>
                <w:lang w:val="nl-NL"/>
              </w:rPr>
              <w:t>Lenkija</w:t>
            </w:r>
            <w:r w:rsidR="001A445D" w:rsidRPr="00FB2719">
              <w:rPr>
                <w:sz w:val="22"/>
                <w:szCs w:val="22"/>
                <w:lang w:val="nl-NL"/>
              </w:rPr>
              <w:t>, Portugalija</w:t>
            </w:r>
          </w:p>
        </w:tc>
        <w:tc>
          <w:tcPr>
            <w:tcW w:w="3429" w:type="dxa"/>
            <w:tcBorders>
              <w:top w:val="single" w:sz="4" w:space="0" w:color="auto"/>
              <w:left w:val="single" w:sz="4" w:space="0" w:color="auto"/>
              <w:bottom w:val="single" w:sz="4" w:space="0" w:color="auto"/>
              <w:right w:val="single" w:sz="4" w:space="0" w:color="auto"/>
            </w:tcBorders>
            <w:hideMark/>
          </w:tcPr>
          <w:p w14:paraId="21BCDE80" w14:textId="77777777" w:rsidR="00CA08B3" w:rsidRPr="00FB2719" w:rsidRDefault="00CA08B3">
            <w:pPr>
              <w:spacing w:line="276" w:lineRule="auto"/>
              <w:rPr>
                <w:sz w:val="22"/>
                <w:szCs w:val="22"/>
                <w:lang w:val="es-ES"/>
              </w:rPr>
            </w:pPr>
            <w:r w:rsidRPr="00FB2719">
              <w:rPr>
                <w:sz w:val="22"/>
                <w:szCs w:val="22"/>
                <w:lang w:val="nl-NL"/>
              </w:rPr>
              <w:t>Lopinavir+Ritonavir Sandoz</w:t>
            </w:r>
          </w:p>
        </w:tc>
      </w:tr>
      <w:tr w:rsidR="001A445D" w:rsidRPr="00FB2719" w14:paraId="7855A0F5" w14:textId="77777777" w:rsidTr="003F2F10">
        <w:trPr>
          <w:trHeight w:val="188"/>
        </w:trPr>
        <w:tc>
          <w:tcPr>
            <w:tcW w:w="6205" w:type="dxa"/>
            <w:tcBorders>
              <w:top w:val="single" w:sz="4" w:space="0" w:color="auto"/>
              <w:left w:val="single" w:sz="4" w:space="0" w:color="auto"/>
              <w:bottom w:val="single" w:sz="4" w:space="0" w:color="auto"/>
              <w:right w:val="single" w:sz="4" w:space="0" w:color="auto"/>
            </w:tcBorders>
          </w:tcPr>
          <w:p w14:paraId="458A77DF" w14:textId="4FF01BC1" w:rsidR="001A445D" w:rsidRPr="00FB2719" w:rsidRDefault="001A445D" w:rsidP="001A445D">
            <w:pPr>
              <w:spacing w:line="276" w:lineRule="auto"/>
              <w:rPr>
                <w:lang w:val="nl-NL"/>
              </w:rPr>
            </w:pPr>
            <w:r w:rsidRPr="00FB2719">
              <w:rPr>
                <w:sz w:val="22"/>
                <w:szCs w:val="22"/>
                <w:lang w:val="nl-NL"/>
              </w:rPr>
              <w:t>Vokietija</w:t>
            </w:r>
          </w:p>
        </w:tc>
        <w:tc>
          <w:tcPr>
            <w:tcW w:w="3429" w:type="dxa"/>
            <w:tcBorders>
              <w:top w:val="single" w:sz="4" w:space="0" w:color="auto"/>
              <w:left w:val="single" w:sz="4" w:space="0" w:color="auto"/>
              <w:bottom w:val="single" w:sz="4" w:space="0" w:color="auto"/>
              <w:right w:val="single" w:sz="4" w:space="0" w:color="auto"/>
            </w:tcBorders>
          </w:tcPr>
          <w:p w14:paraId="6C2591C2" w14:textId="4965A6DC" w:rsidR="001A445D" w:rsidRPr="00FB2719" w:rsidRDefault="001A445D" w:rsidP="001A445D">
            <w:pPr>
              <w:spacing w:line="276" w:lineRule="auto"/>
              <w:rPr>
                <w:lang w:val="nl-NL"/>
              </w:rPr>
            </w:pPr>
            <w:r w:rsidRPr="00FB2719">
              <w:rPr>
                <w:sz w:val="22"/>
                <w:szCs w:val="22"/>
                <w:lang w:val="nl-NL"/>
              </w:rPr>
              <w:t>Lopinavir/Ritonavir HEXAL 200 mg/50 mg Filmtabletten</w:t>
            </w:r>
          </w:p>
        </w:tc>
      </w:tr>
    </w:tbl>
    <w:p w14:paraId="3959E2AA" w14:textId="77777777" w:rsidR="00CA08B3" w:rsidRPr="00FB2719" w:rsidRDefault="00CA08B3" w:rsidP="00CA08B3">
      <w:pPr>
        <w:tabs>
          <w:tab w:val="left" w:pos="567"/>
        </w:tabs>
        <w:rPr>
          <w:b/>
          <w:sz w:val="22"/>
          <w:szCs w:val="22"/>
        </w:rPr>
      </w:pPr>
    </w:p>
    <w:p w14:paraId="4859631B" w14:textId="77777777" w:rsidR="00CA08B3" w:rsidRPr="00FB2719" w:rsidRDefault="00CA08B3" w:rsidP="00CA08B3">
      <w:pPr>
        <w:tabs>
          <w:tab w:val="left" w:pos="567"/>
        </w:tabs>
        <w:rPr>
          <w:b/>
          <w:sz w:val="22"/>
          <w:szCs w:val="22"/>
        </w:rPr>
      </w:pPr>
    </w:p>
    <w:p w14:paraId="283BEA5C" w14:textId="2880095E" w:rsidR="00CA08B3" w:rsidRPr="00FB2719" w:rsidRDefault="00CA08B3" w:rsidP="00CA08B3">
      <w:pPr>
        <w:tabs>
          <w:tab w:val="left" w:pos="567"/>
        </w:tabs>
        <w:rPr>
          <w:b/>
          <w:sz w:val="22"/>
          <w:szCs w:val="22"/>
        </w:rPr>
      </w:pPr>
      <w:r w:rsidRPr="00FB2719">
        <w:rPr>
          <w:b/>
          <w:sz w:val="22"/>
          <w:szCs w:val="22"/>
        </w:rPr>
        <w:t>Šis pakuotės lapelis paskutinį kartą peržiūrėtas</w:t>
      </w:r>
      <w:r w:rsidR="00CF6C09" w:rsidRPr="00FB2719">
        <w:rPr>
          <w:b/>
          <w:sz w:val="22"/>
          <w:szCs w:val="22"/>
        </w:rPr>
        <w:t xml:space="preserve"> </w:t>
      </w:r>
      <w:r w:rsidR="00AC2616">
        <w:rPr>
          <w:b/>
          <w:sz w:val="22"/>
          <w:szCs w:val="22"/>
        </w:rPr>
        <w:t>2019-03-28.</w:t>
      </w:r>
    </w:p>
    <w:p w14:paraId="1D9AA650" w14:textId="77777777" w:rsidR="00CA08B3" w:rsidRPr="00FB2719" w:rsidRDefault="00CA08B3" w:rsidP="00CA08B3">
      <w:pPr>
        <w:pStyle w:val="BTEMEASMCA"/>
        <w:rPr>
          <w:sz w:val="22"/>
          <w:szCs w:val="22"/>
        </w:rPr>
      </w:pPr>
    </w:p>
    <w:p w14:paraId="50EB0B33" w14:textId="77777777" w:rsidR="00CA08B3" w:rsidRPr="00FB2719" w:rsidRDefault="00CA08B3" w:rsidP="00CA08B3">
      <w:pPr>
        <w:pStyle w:val="BTEMEASMCA"/>
        <w:rPr>
          <w:sz w:val="22"/>
          <w:szCs w:val="22"/>
        </w:rPr>
      </w:pPr>
    </w:p>
    <w:p w14:paraId="64198FF2" w14:textId="1CDCE845" w:rsidR="00CA08B3" w:rsidRDefault="00CA08B3" w:rsidP="00CA08B3">
      <w:pPr>
        <w:pStyle w:val="BTEMEASMCA"/>
        <w:rPr>
          <w:rStyle w:val="Hipersaitas"/>
          <w:sz w:val="22"/>
          <w:szCs w:val="22"/>
        </w:rPr>
      </w:pPr>
      <w:r w:rsidRPr="00FB2719">
        <w:rPr>
          <w:sz w:val="22"/>
          <w:szCs w:val="22"/>
        </w:rPr>
        <w:t>Išsami informacija apie šį vaistą pateikiama Valstybinės vaistų kontrolės tarnybos prie Lietuvos Respublikos sveikatos apsaugos ministerijos tinklalapyje</w:t>
      </w:r>
      <w:r w:rsidRPr="00FB2719">
        <w:rPr>
          <w:i/>
          <w:sz w:val="22"/>
          <w:szCs w:val="22"/>
        </w:rPr>
        <w:t xml:space="preserve"> </w:t>
      </w:r>
      <w:hyperlink r:id="rId9" w:history="1">
        <w:r w:rsidRPr="00FB2719">
          <w:rPr>
            <w:rStyle w:val="Hipersaitas"/>
            <w:sz w:val="22"/>
            <w:szCs w:val="22"/>
          </w:rPr>
          <w:t>http://www.vvkt.lt/</w:t>
        </w:r>
      </w:hyperlink>
      <w:r w:rsidR="00595963" w:rsidRPr="00FB2719">
        <w:rPr>
          <w:rStyle w:val="Hipersaitas"/>
          <w:sz w:val="22"/>
          <w:szCs w:val="22"/>
        </w:rPr>
        <w:t>.</w:t>
      </w:r>
    </w:p>
    <w:p w14:paraId="61C7638D" w14:textId="3942F2D0" w:rsidR="003F2F10" w:rsidRDefault="003F2F10" w:rsidP="00CA08B3">
      <w:pPr>
        <w:pStyle w:val="BTEMEASMCA"/>
        <w:rPr>
          <w:rStyle w:val="Hipersaitas"/>
          <w:sz w:val="22"/>
          <w:szCs w:val="22"/>
        </w:rPr>
      </w:pPr>
    </w:p>
    <w:p w14:paraId="5869E031" w14:textId="77777777" w:rsidR="003F2F10" w:rsidRDefault="003F2F10" w:rsidP="00CA08B3">
      <w:pPr>
        <w:pStyle w:val="BTEMEASMCA"/>
        <w:rPr>
          <w:sz w:val="22"/>
          <w:szCs w:val="22"/>
        </w:rPr>
      </w:pPr>
      <w:bookmarkStart w:id="12" w:name="_GoBack"/>
      <w:bookmarkEnd w:id="12"/>
    </w:p>
    <w:sectPr w:rsidR="003F2F10">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lbany">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6FF" w:usb1="420024FF" w:usb2="02000000" w:usb3="00000000" w:csb0="0000019F" w:csb1="00000000"/>
  </w:font>
  <w:font w:name="Aistika">
    <w:panose1 w:val="02020603050405020304"/>
    <w:charset w:val="BA"/>
    <w:family w:val="roman"/>
    <w:pitch w:val="variable"/>
    <w:sig w:usb0="A00002FF" w:usb1="500078FB" w:usb2="00000000" w:usb3="00000000" w:csb0="0000019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0D85BDB"/>
    <w:multiLevelType w:val="hybridMultilevel"/>
    <w:tmpl w:val="5C2C6B8E"/>
    <w:lvl w:ilvl="0" w:tplc="03E47A94">
      <w:numFmt w:val="bullet"/>
      <w:lvlText w:val="-"/>
      <w:lvlJc w:val="left"/>
      <w:pPr>
        <w:ind w:left="1440" w:hanging="360"/>
      </w:pPr>
      <w:rPr>
        <w:rFonts w:ascii="Times New Roman" w:hAnsi="Times New Roman" w:cs="Times New Roman" w:hint="default"/>
        <w:sz w:val="22"/>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 w15:restartNumberingAfterBreak="0">
    <w:nsid w:val="10F24DE5"/>
    <w:multiLevelType w:val="hybridMultilevel"/>
    <w:tmpl w:val="3C6EA3EE"/>
    <w:lvl w:ilvl="0" w:tplc="03E47A94">
      <w:numFmt w:val="bullet"/>
      <w:lvlText w:val="-"/>
      <w:lvlJc w:val="left"/>
      <w:pPr>
        <w:ind w:left="1440" w:hanging="360"/>
      </w:pPr>
      <w:rPr>
        <w:rFonts w:ascii="Times New Roman" w:hAnsi="Times New Roman" w:cs="Times New Roman" w:hint="default"/>
        <w:sz w:val="22"/>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3" w15:restartNumberingAfterBreak="0">
    <w:nsid w:val="141A5341"/>
    <w:multiLevelType w:val="hybridMultilevel"/>
    <w:tmpl w:val="737AB3DC"/>
    <w:lvl w:ilvl="0" w:tplc="FFFFFFFF">
      <w:start w:val="1"/>
      <w:numFmt w:val="bullet"/>
      <w:lvlText w:val="-"/>
      <w:lvlJc w:val="left"/>
      <w:pPr>
        <w:ind w:left="720" w:hanging="360"/>
      </w:pPr>
    </w:lvl>
    <w:lvl w:ilvl="1" w:tplc="FFFFFFFF">
      <w:start w:val="1"/>
      <w:numFmt w:val="bullet"/>
      <w:lvlText w:val="-"/>
      <w:lvlJc w:val="left"/>
      <w:pPr>
        <w:ind w:left="1440" w:hanging="360"/>
      </w:p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59405D7"/>
    <w:multiLevelType w:val="hybridMultilevel"/>
    <w:tmpl w:val="634CB468"/>
    <w:lvl w:ilvl="0" w:tplc="03E47A94">
      <w:numFmt w:val="bullet"/>
      <w:lvlText w:val="-"/>
      <w:lvlJc w:val="left"/>
      <w:pPr>
        <w:ind w:left="720" w:hanging="360"/>
      </w:pPr>
      <w:rPr>
        <w:rFonts w:ascii="Times New Roman" w:hAnsi="Times New Roman" w:cs="Times New Roman" w:hint="default"/>
        <w:sz w:val="22"/>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5FB6289"/>
    <w:multiLevelType w:val="hybridMultilevel"/>
    <w:tmpl w:val="CC521180"/>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754175E"/>
    <w:multiLevelType w:val="hybridMultilevel"/>
    <w:tmpl w:val="6BD08296"/>
    <w:lvl w:ilvl="0" w:tplc="FFFFFFFF">
      <w:start w:val="1"/>
      <w:numFmt w:val="bullet"/>
      <w:lvlText w:val="-"/>
      <w:lvlJc w:val="left"/>
      <w:pPr>
        <w:ind w:left="720" w:hanging="360"/>
      </w:pPr>
    </w:lvl>
    <w:lvl w:ilvl="1" w:tplc="FFFFFFFF">
      <w:start w:val="1"/>
      <w:numFmt w:val="bullet"/>
      <w:lvlText w:val="-"/>
      <w:lvlJc w:val="left"/>
      <w:pPr>
        <w:ind w:left="1440" w:hanging="360"/>
      </w:p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B8D3974"/>
    <w:multiLevelType w:val="hybridMultilevel"/>
    <w:tmpl w:val="902C80C0"/>
    <w:lvl w:ilvl="0" w:tplc="FFFFFFFF">
      <w:start w:val="1"/>
      <w:numFmt w:val="bullet"/>
      <w:lvlText w:val="-"/>
      <w:lvlJc w:val="left"/>
      <w:pPr>
        <w:ind w:left="720" w:hanging="360"/>
      </w:pPr>
    </w:lvl>
    <w:lvl w:ilvl="1" w:tplc="03E47A94">
      <w:numFmt w:val="bullet"/>
      <w:lvlText w:val="-"/>
      <w:lvlJc w:val="left"/>
      <w:pPr>
        <w:ind w:left="1440" w:hanging="360"/>
      </w:pPr>
      <w:rPr>
        <w:rFonts w:ascii="Times New Roman" w:hAnsi="Times New Roman" w:cs="Times New Roman" w:hint="default"/>
        <w:sz w:val="22"/>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15B4F98"/>
    <w:multiLevelType w:val="hybridMultilevel"/>
    <w:tmpl w:val="89F04678"/>
    <w:lvl w:ilvl="0" w:tplc="4A341CFE">
      <w:start w:val="1"/>
      <w:numFmt w:val="bullet"/>
      <w:lvlText w:val="-"/>
      <w:lvlJc w:val="left"/>
      <w:pPr>
        <w:ind w:left="360" w:hanging="360"/>
      </w:pPr>
      <w:rPr>
        <w:rFonts w:ascii="Tahoma" w:hAnsi="Tahoma"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9" w15:restartNumberingAfterBreak="0">
    <w:nsid w:val="26251FCE"/>
    <w:multiLevelType w:val="hybridMultilevel"/>
    <w:tmpl w:val="CB20261E"/>
    <w:lvl w:ilvl="0" w:tplc="3FCAA52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9B13134"/>
    <w:multiLevelType w:val="hybridMultilevel"/>
    <w:tmpl w:val="9AD09B34"/>
    <w:lvl w:ilvl="0" w:tplc="FFFFFFFF">
      <w:start w:val="1"/>
      <w:numFmt w:val="bullet"/>
      <w:pStyle w:val="Char"/>
      <w:lvlText w:val=""/>
      <w:lvlJc w:val="left"/>
      <w:pPr>
        <w:tabs>
          <w:tab w:val="num" w:pos="2160"/>
        </w:tabs>
        <w:ind w:left="216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E25D72"/>
    <w:multiLevelType w:val="hybridMultilevel"/>
    <w:tmpl w:val="416422A8"/>
    <w:lvl w:ilvl="0" w:tplc="03E47A94">
      <w:numFmt w:val="bullet"/>
      <w:lvlText w:val="-"/>
      <w:lvlJc w:val="left"/>
      <w:pPr>
        <w:ind w:left="720" w:hanging="360"/>
      </w:pPr>
      <w:rPr>
        <w:rFonts w:ascii="Times New Roman" w:hAnsi="Times New Roman" w:cs="Times New Roman" w:hint="default"/>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C1313F1"/>
    <w:multiLevelType w:val="hybridMultilevel"/>
    <w:tmpl w:val="8438EBAE"/>
    <w:lvl w:ilvl="0" w:tplc="FFFFFFFF">
      <w:start w:val="1"/>
      <w:numFmt w:val="bullet"/>
      <w:lvlText w:val="-"/>
      <w:lvlJc w:val="left"/>
      <w:pPr>
        <w:ind w:left="720" w:hanging="360"/>
      </w:pPr>
    </w:lvl>
    <w:lvl w:ilvl="1" w:tplc="FFFFFFFF">
      <w:start w:val="1"/>
      <w:numFmt w:val="bullet"/>
      <w:lvlText w:val="-"/>
      <w:lvlJc w:val="left"/>
      <w:pPr>
        <w:ind w:left="1440" w:hanging="360"/>
      </w:p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DA00EDE"/>
    <w:multiLevelType w:val="hybridMultilevel"/>
    <w:tmpl w:val="28C6BA5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2A93A5A"/>
    <w:multiLevelType w:val="hybridMultilevel"/>
    <w:tmpl w:val="F558C698"/>
    <w:lvl w:ilvl="0" w:tplc="FFFFFFFF">
      <w:start w:val="1"/>
      <w:numFmt w:val="bullet"/>
      <w:lvlText w:val="-"/>
      <w:lvlJc w:val="left"/>
      <w:pPr>
        <w:ind w:left="1080" w:hanging="360"/>
      </w:pPr>
    </w:lvl>
    <w:lvl w:ilvl="1" w:tplc="FFFFFFFF">
      <w:start w:val="1"/>
      <w:numFmt w:val="bullet"/>
      <w:lvlText w:val="-"/>
      <w:lvlJc w:val="left"/>
      <w:pPr>
        <w:ind w:left="1800" w:hanging="360"/>
      </w:p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5" w15:restartNumberingAfterBreak="0">
    <w:nsid w:val="335C1CBD"/>
    <w:multiLevelType w:val="hybridMultilevel"/>
    <w:tmpl w:val="C9ECD93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E0D4092"/>
    <w:multiLevelType w:val="hybridMultilevel"/>
    <w:tmpl w:val="B67C5266"/>
    <w:lvl w:ilvl="0" w:tplc="03E47A94">
      <w:numFmt w:val="bullet"/>
      <w:lvlText w:val="-"/>
      <w:lvlJc w:val="left"/>
      <w:pPr>
        <w:ind w:left="1440" w:hanging="360"/>
      </w:pPr>
      <w:rPr>
        <w:rFonts w:ascii="Times New Roman" w:hAnsi="Times New Roman" w:cs="Times New Roman" w:hint="default"/>
        <w:sz w:val="22"/>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7" w15:restartNumberingAfterBreak="0">
    <w:nsid w:val="4BBD589D"/>
    <w:multiLevelType w:val="hybridMultilevel"/>
    <w:tmpl w:val="AA96D18A"/>
    <w:lvl w:ilvl="0" w:tplc="03E47A94">
      <w:numFmt w:val="bullet"/>
      <w:lvlText w:val="-"/>
      <w:lvlJc w:val="left"/>
      <w:pPr>
        <w:ind w:left="720" w:hanging="360"/>
      </w:pPr>
      <w:rPr>
        <w:rFonts w:ascii="Times New Roman" w:hAnsi="Times New Roman" w:cs="Times New Roman" w:hint="default"/>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4D410671"/>
    <w:multiLevelType w:val="hybridMultilevel"/>
    <w:tmpl w:val="808856A0"/>
    <w:lvl w:ilvl="0" w:tplc="FFFFFFFF">
      <w:start w:val="1"/>
      <w:numFmt w:val="bullet"/>
      <w:lvlText w:val="-"/>
      <w:lvlJc w:val="left"/>
      <w:pPr>
        <w:ind w:left="720" w:hanging="360"/>
      </w:pPr>
    </w:lvl>
    <w:lvl w:ilvl="1" w:tplc="3FCAA52C">
      <w:numFmt w:val="bullet"/>
      <w:lvlText w:val="-"/>
      <w:lvlJc w:val="left"/>
      <w:pPr>
        <w:ind w:left="1440" w:hanging="360"/>
      </w:pPr>
      <w:rPr>
        <w:rFonts w:ascii="Times New Roman" w:eastAsia="Times New Roman" w:hAnsi="Times New Roman"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4EDC1323"/>
    <w:multiLevelType w:val="hybridMultilevel"/>
    <w:tmpl w:val="90B8491A"/>
    <w:lvl w:ilvl="0" w:tplc="FFFFFFFF">
      <w:start w:val="1"/>
      <w:numFmt w:val="bullet"/>
      <w:lvlText w:val="-"/>
      <w:lvlJc w:val="left"/>
      <w:pPr>
        <w:ind w:left="1080" w:hanging="360"/>
      </w:pPr>
    </w:lvl>
    <w:lvl w:ilvl="1" w:tplc="FFFFFFFF">
      <w:start w:val="1"/>
      <w:numFmt w:val="bullet"/>
      <w:lvlText w:val="-"/>
      <w:lvlJc w:val="left"/>
      <w:pPr>
        <w:ind w:left="1800" w:hanging="360"/>
      </w:p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0" w15:restartNumberingAfterBreak="0">
    <w:nsid w:val="541038EE"/>
    <w:multiLevelType w:val="hybridMultilevel"/>
    <w:tmpl w:val="7E948DB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58C24B96"/>
    <w:multiLevelType w:val="hybridMultilevel"/>
    <w:tmpl w:val="01D80DDE"/>
    <w:lvl w:ilvl="0" w:tplc="03E47A94">
      <w:numFmt w:val="bullet"/>
      <w:lvlText w:val="-"/>
      <w:lvlJc w:val="left"/>
      <w:pPr>
        <w:ind w:left="720" w:hanging="360"/>
      </w:pPr>
      <w:rPr>
        <w:rFonts w:ascii="Times New Roman" w:hAnsi="Times New Roman" w:cs="Times New Roman" w:hint="default"/>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58C66F2B"/>
    <w:multiLevelType w:val="hybridMultilevel"/>
    <w:tmpl w:val="4CDCEAB6"/>
    <w:lvl w:ilvl="0" w:tplc="FFFFFFFF">
      <w:start w:val="1"/>
      <w:numFmt w:val="bullet"/>
      <w:lvlText w:val="-"/>
      <w:lvlJc w:val="left"/>
      <w:pPr>
        <w:ind w:left="720" w:hanging="360"/>
      </w:pPr>
    </w:lvl>
    <w:lvl w:ilvl="1" w:tplc="03E47A94">
      <w:numFmt w:val="bullet"/>
      <w:lvlText w:val="-"/>
      <w:lvlJc w:val="left"/>
      <w:pPr>
        <w:ind w:left="1440" w:hanging="360"/>
      </w:pPr>
      <w:rPr>
        <w:rFonts w:ascii="Times New Roman" w:hAnsi="Times New Roman" w:cs="Times New Roman" w:hint="default"/>
        <w:sz w:val="22"/>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5C53304B"/>
    <w:multiLevelType w:val="hybridMultilevel"/>
    <w:tmpl w:val="230246CA"/>
    <w:lvl w:ilvl="0" w:tplc="04270001">
      <w:start w:val="1"/>
      <w:numFmt w:val="bullet"/>
      <w:lvlText w:val=""/>
      <w:lvlJc w:val="left"/>
      <w:pPr>
        <w:ind w:left="720" w:hanging="360"/>
      </w:pPr>
      <w:rPr>
        <w:rFonts w:ascii="Symbol" w:hAnsi="Symbol" w:hint="default"/>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5D8B6C71"/>
    <w:multiLevelType w:val="hybridMultilevel"/>
    <w:tmpl w:val="D2B61712"/>
    <w:lvl w:ilvl="0" w:tplc="03E47A94">
      <w:numFmt w:val="bullet"/>
      <w:lvlText w:val="-"/>
      <w:lvlJc w:val="left"/>
      <w:pPr>
        <w:ind w:left="1440" w:hanging="360"/>
      </w:pPr>
      <w:rPr>
        <w:rFonts w:ascii="Times New Roman" w:hAnsi="Times New Roman" w:cs="Times New Roman" w:hint="default"/>
        <w:sz w:val="22"/>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5" w15:restartNumberingAfterBreak="0">
    <w:nsid w:val="5FD53210"/>
    <w:multiLevelType w:val="hybridMultilevel"/>
    <w:tmpl w:val="B9A0C04E"/>
    <w:lvl w:ilvl="0" w:tplc="FFFFFFFF">
      <w:start w:val="1"/>
      <w:numFmt w:val="bullet"/>
      <w:lvlText w:val="-"/>
      <w:lvlJc w:val="left"/>
      <w:pPr>
        <w:ind w:left="1080" w:hanging="360"/>
      </w:pPr>
    </w:lvl>
    <w:lvl w:ilvl="1" w:tplc="FFFFFFFF">
      <w:start w:val="1"/>
      <w:numFmt w:val="bullet"/>
      <w:lvlText w:val="-"/>
      <w:lvlJc w:val="left"/>
      <w:pPr>
        <w:ind w:left="1800" w:hanging="360"/>
      </w:p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6" w15:restartNumberingAfterBreak="0">
    <w:nsid w:val="6027077F"/>
    <w:multiLevelType w:val="hybridMultilevel"/>
    <w:tmpl w:val="C686BA38"/>
    <w:lvl w:ilvl="0" w:tplc="FFFFFFFF">
      <w:start w:val="1"/>
      <w:numFmt w:val="bullet"/>
      <w:lvlText w:val="-"/>
      <w:lvlJc w:val="left"/>
      <w:pPr>
        <w:ind w:left="720" w:hanging="360"/>
      </w:pPr>
    </w:lvl>
    <w:lvl w:ilvl="1" w:tplc="94924318">
      <w:start w:val="3"/>
      <w:numFmt w:val="bullet"/>
      <w:lvlText w:val="−"/>
      <w:lvlJc w:val="left"/>
      <w:pPr>
        <w:ind w:left="1440" w:hanging="360"/>
      </w:pPr>
      <w:rPr>
        <w:rFonts w:ascii="Times New Roman" w:eastAsia="Calibri" w:hAnsi="Times New Roman"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62367248"/>
    <w:multiLevelType w:val="hybridMultilevel"/>
    <w:tmpl w:val="2452B004"/>
    <w:lvl w:ilvl="0" w:tplc="03E47A94">
      <w:numFmt w:val="bullet"/>
      <w:lvlText w:val="-"/>
      <w:lvlJc w:val="left"/>
      <w:pPr>
        <w:ind w:left="720" w:hanging="360"/>
      </w:pPr>
      <w:rPr>
        <w:rFonts w:ascii="Times New Roman" w:hAnsi="Times New Roman" w:cs="Times New Roman" w:hint="default"/>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68A147BE"/>
    <w:multiLevelType w:val="hybridMultilevel"/>
    <w:tmpl w:val="09E85E7C"/>
    <w:lvl w:ilvl="0" w:tplc="03E47A94">
      <w:numFmt w:val="bullet"/>
      <w:lvlText w:val="-"/>
      <w:lvlJc w:val="left"/>
      <w:pPr>
        <w:ind w:left="720" w:hanging="360"/>
      </w:pPr>
      <w:rPr>
        <w:rFonts w:ascii="Times New Roman" w:hAnsi="Times New Roman" w:cs="Times New Roman" w:hint="default"/>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71AB75AE"/>
    <w:multiLevelType w:val="hybridMultilevel"/>
    <w:tmpl w:val="AA6A0F38"/>
    <w:lvl w:ilvl="0" w:tplc="8C3433B6">
      <w:numFmt w:val="bullet"/>
      <w:lvlText w:val=""/>
      <w:lvlJc w:val="left"/>
      <w:pPr>
        <w:ind w:left="720" w:hanging="360"/>
      </w:pPr>
      <w:rPr>
        <w:rFonts w:ascii="Symbol" w:hAnsi="Symbol" w:hint="default"/>
        <w:sz w:val="22"/>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10"/>
  </w:num>
  <w:num w:numId="2">
    <w:abstractNumId w:val="29"/>
  </w:num>
  <w:num w:numId="3">
    <w:abstractNumId w:val="4"/>
  </w:num>
  <w:num w:numId="4">
    <w:abstractNumId w:val="5"/>
  </w:num>
  <w:num w:numId="5">
    <w:abstractNumId w:val="8"/>
  </w:num>
  <w:num w:numId="6">
    <w:abstractNumId w:val="0"/>
    <w:lvlOverride w:ilvl="0">
      <w:lvl w:ilvl="0">
        <w:numFmt w:val="bullet"/>
        <w:lvlText w:val="-"/>
        <w:legacy w:legacy="1" w:legacySpace="0" w:legacyIndent="360"/>
        <w:lvlJc w:val="left"/>
        <w:pPr>
          <w:ind w:left="360" w:hanging="360"/>
        </w:pPr>
        <w:rPr>
          <w:rFonts w:cs="Times New Roman"/>
        </w:rPr>
      </w:lvl>
    </w:lvlOverride>
  </w:num>
  <w:num w:numId="7">
    <w:abstractNumId w:val="20"/>
  </w:num>
  <w:num w:numId="8">
    <w:abstractNumId w:val="14"/>
  </w:num>
  <w:num w:numId="9">
    <w:abstractNumId w:val="13"/>
  </w:num>
  <w:num w:numId="10">
    <w:abstractNumId w:val="25"/>
  </w:num>
  <w:num w:numId="11">
    <w:abstractNumId w:val="19"/>
  </w:num>
  <w:num w:numId="12">
    <w:abstractNumId w:val="26"/>
  </w:num>
  <w:num w:numId="13">
    <w:abstractNumId w:val="6"/>
  </w:num>
  <w:num w:numId="14">
    <w:abstractNumId w:val="3"/>
  </w:num>
  <w:num w:numId="15">
    <w:abstractNumId w:val="12"/>
  </w:num>
  <w:num w:numId="16">
    <w:abstractNumId w:val="7"/>
  </w:num>
  <w:num w:numId="17">
    <w:abstractNumId w:val="24"/>
  </w:num>
  <w:num w:numId="18">
    <w:abstractNumId w:val="11"/>
  </w:num>
  <w:num w:numId="19">
    <w:abstractNumId w:val="27"/>
  </w:num>
  <w:num w:numId="20">
    <w:abstractNumId w:val="1"/>
  </w:num>
  <w:num w:numId="21">
    <w:abstractNumId w:val="16"/>
  </w:num>
  <w:num w:numId="22">
    <w:abstractNumId w:val="28"/>
  </w:num>
  <w:num w:numId="23">
    <w:abstractNumId w:val="22"/>
  </w:num>
  <w:num w:numId="24">
    <w:abstractNumId w:val="2"/>
  </w:num>
  <w:num w:numId="25">
    <w:abstractNumId w:val="17"/>
  </w:num>
  <w:num w:numId="26">
    <w:abstractNumId w:val="18"/>
  </w:num>
  <w:num w:numId="27">
    <w:abstractNumId w:val="9"/>
  </w:num>
  <w:num w:numId="28">
    <w:abstractNumId w:val="15"/>
  </w:num>
  <w:num w:numId="29">
    <w:abstractNumId w:val="23"/>
  </w:num>
  <w:num w:numId="30">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ocumentProtection w:edit="readOnly" w:enforcement="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8B3"/>
    <w:rsid w:val="00043A68"/>
    <w:rsid w:val="000853B0"/>
    <w:rsid w:val="000B09F0"/>
    <w:rsid w:val="00122BD9"/>
    <w:rsid w:val="00123591"/>
    <w:rsid w:val="0012743A"/>
    <w:rsid w:val="001452C9"/>
    <w:rsid w:val="00162C14"/>
    <w:rsid w:val="00171CB4"/>
    <w:rsid w:val="001A2A0E"/>
    <w:rsid w:val="001A445D"/>
    <w:rsid w:val="001E5E80"/>
    <w:rsid w:val="001F0AE6"/>
    <w:rsid w:val="002035CC"/>
    <w:rsid w:val="0021404B"/>
    <w:rsid w:val="00220E35"/>
    <w:rsid w:val="00237548"/>
    <w:rsid w:val="00242BCF"/>
    <w:rsid w:val="0025420A"/>
    <w:rsid w:val="002835DC"/>
    <w:rsid w:val="002C744F"/>
    <w:rsid w:val="00323491"/>
    <w:rsid w:val="00351401"/>
    <w:rsid w:val="003A3E7D"/>
    <w:rsid w:val="003C15FD"/>
    <w:rsid w:val="003E38D1"/>
    <w:rsid w:val="003F2F10"/>
    <w:rsid w:val="00402F3F"/>
    <w:rsid w:val="00434A92"/>
    <w:rsid w:val="00447DEF"/>
    <w:rsid w:val="004D2D1E"/>
    <w:rsid w:val="004E1E7F"/>
    <w:rsid w:val="00517CFD"/>
    <w:rsid w:val="00561CDE"/>
    <w:rsid w:val="0058744C"/>
    <w:rsid w:val="00595963"/>
    <w:rsid w:val="005A5BF8"/>
    <w:rsid w:val="005B415B"/>
    <w:rsid w:val="005B529D"/>
    <w:rsid w:val="005C58FE"/>
    <w:rsid w:val="00611316"/>
    <w:rsid w:val="006350A9"/>
    <w:rsid w:val="00637FEB"/>
    <w:rsid w:val="0064111D"/>
    <w:rsid w:val="006852D5"/>
    <w:rsid w:val="006D2636"/>
    <w:rsid w:val="006E40DB"/>
    <w:rsid w:val="00701016"/>
    <w:rsid w:val="00762A37"/>
    <w:rsid w:val="00765A36"/>
    <w:rsid w:val="007708A2"/>
    <w:rsid w:val="00774503"/>
    <w:rsid w:val="007B47B2"/>
    <w:rsid w:val="007C62CC"/>
    <w:rsid w:val="007D18AF"/>
    <w:rsid w:val="007D241C"/>
    <w:rsid w:val="007E0C4E"/>
    <w:rsid w:val="008304B5"/>
    <w:rsid w:val="008465CF"/>
    <w:rsid w:val="00870AAC"/>
    <w:rsid w:val="00895257"/>
    <w:rsid w:val="008B05BD"/>
    <w:rsid w:val="008B2B17"/>
    <w:rsid w:val="0091018A"/>
    <w:rsid w:val="00917D2F"/>
    <w:rsid w:val="009928A1"/>
    <w:rsid w:val="009B02A4"/>
    <w:rsid w:val="009B308A"/>
    <w:rsid w:val="009C52A8"/>
    <w:rsid w:val="009C640C"/>
    <w:rsid w:val="009E54FC"/>
    <w:rsid w:val="00A11A7C"/>
    <w:rsid w:val="00A655EC"/>
    <w:rsid w:val="00AA707B"/>
    <w:rsid w:val="00AC2616"/>
    <w:rsid w:val="00AD237C"/>
    <w:rsid w:val="00AE75C4"/>
    <w:rsid w:val="00AF2599"/>
    <w:rsid w:val="00B116AB"/>
    <w:rsid w:val="00B429EB"/>
    <w:rsid w:val="00B57725"/>
    <w:rsid w:val="00B603D4"/>
    <w:rsid w:val="00B83AD1"/>
    <w:rsid w:val="00BB3B4D"/>
    <w:rsid w:val="00BE6A56"/>
    <w:rsid w:val="00C34D73"/>
    <w:rsid w:val="00C8094F"/>
    <w:rsid w:val="00CA08B3"/>
    <w:rsid w:val="00CE0090"/>
    <w:rsid w:val="00CE0275"/>
    <w:rsid w:val="00CF6C09"/>
    <w:rsid w:val="00D022F2"/>
    <w:rsid w:val="00D02F71"/>
    <w:rsid w:val="00D04EDE"/>
    <w:rsid w:val="00D50FC6"/>
    <w:rsid w:val="00D5243A"/>
    <w:rsid w:val="00D53B6B"/>
    <w:rsid w:val="00D5541E"/>
    <w:rsid w:val="00D74C65"/>
    <w:rsid w:val="00D81DCF"/>
    <w:rsid w:val="00DB437B"/>
    <w:rsid w:val="00DF256D"/>
    <w:rsid w:val="00E33AF6"/>
    <w:rsid w:val="00E41D2F"/>
    <w:rsid w:val="00E46BB7"/>
    <w:rsid w:val="00E74916"/>
    <w:rsid w:val="00EA7982"/>
    <w:rsid w:val="00EB351A"/>
    <w:rsid w:val="00F31B5C"/>
    <w:rsid w:val="00F5410F"/>
    <w:rsid w:val="00F80BD1"/>
    <w:rsid w:val="00F82002"/>
    <w:rsid w:val="00FB2719"/>
    <w:rsid w:val="00FB3752"/>
    <w:rsid w:val="00FC65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F6BF"/>
  <w15:docId w15:val="{269DFF2C-ED23-485F-9B0A-A91A1DCD4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08B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autoRedefine/>
    <w:uiPriority w:val="99"/>
    <w:qFormat/>
    <w:rsid w:val="00CA08B3"/>
    <w:pPr>
      <w:keepNext/>
      <w:tabs>
        <w:tab w:val="left" w:pos="540"/>
      </w:tabs>
      <w:outlineLvl w:val="0"/>
    </w:pPr>
    <w:rPr>
      <w:rFonts w:eastAsia="Calibri"/>
      <w:b/>
      <w:sz w:val="20"/>
      <w:szCs w:val="20"/>
      <w:lang w:eastAsia="lt-LT"/>
    </w:rPr>
  </w:style>
  <w:style w:type="paragraph" w:styleId="Antrat2">
    <w:name w:val="heading 2"/>
    <w:basedOn w:val="prastasis"/>
    <w:next w:val="prastasis"/>
    <w:link w:val="Antrat2Diagrama"/>
    <w:uiPriority w:val="99"/>
    <w:semiHidden/>
    <w:unhideWhenUsed/>
    <w:qFormat/>
    <w:rsid w:val="00CA08B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semiHidden/>
    <w:unhideWhenUsed/>
    <w:qFormat/>
    <w:rsid w:val="00CA08B3"/>
    <w:pPr>
      <w:keepNext/>
      <w:spacing w:line="360" w:lineRule="auto"/>
      <w:jc w:val="both"/>
      <w:outlineLvl w:val="2"/>
    </w:pPr>
    <w:rPr>
      <w:i/>
      <w:iCs/>
      <w:sz w:val="28"/>
    </w:rPr>
  </w:style>
  <w:style w:type="paragraph" w:styleId="Antrat5">
    <w:name w:val="heading 5"/>
    <w:basedOn w:val="prastasis"/>
    <w:next w:val="prastasis"/>
    <w:link w:val="Antrat5Diagrama"/>
    <w:uiPriority w:val="99"/>
    <w:semiHidden/>
    <w:unhideWhenUsed/>
    <w:qFormat/>
    <w:rsid w:val="00CA08B3"/>
    <w:pPr>
      <w:spacing w:before="240" w:after="60"/>
      <w:outlineLvl w:val="4"/>
    </w:pPr>
    <w:rPr>
      <w:b/>
      <w:bCs/>
      <w:i/>
      <w:iCs/>
      <w:sz w:val="26"/>
      <w:szCs w:val="26"/>
    </w:rPr>
  </w:style>
  <w:style w:type="paragraph" w:styleId="Antrat6">
    <w:name w:val="heading 6"/>
    <w:basedOn w:val="prastasis"/>
    <w:next w:val="prastasis"/>
    <w:link w:val="Antrat6Diagrama"/>
    <w:uiPriority w:val="99"/>
    <w:semiHidden/>
    <w:unhideWhenUsed/>
    <w:qFormat/>
    <w:rsid w:val="00CA08B3"/>
    <w:pPr>
      <w:spacing w:before="240" w:after="60"/>
      <w:outlineLvl w:val="5"/>
    </w:pPr>
    <w:rPr>
      <w:b/>
      <w:bCs/>
      <w:sz w:val="22"/>
      <w:szCs w:val="22"/>
    </w:rPr>
  </w:style>
  <w:style w:type="paragraph" w:styleId="Antrat7">
    <w:name w:val="heading 7"/>
    <w:basedOn w:val="prastasis"/>
    <w:next w:val="prastasis"/>
    <w:link w:val="Antrat7Diagrama"/>
    <w:uiPriority w:val="99"/>
    <w:semiHidden/>
    <w:unhideWhenUsed/>
    <w:qFormat/>
    <w:rsid w:val="00CA08B3"/>
    <w:pPr>
      <w:keepNext/>
      <w:outlineLvl w:val="6"/>
    </w:pPr>
    <w:rPr>
      <w:i/>
      <w:iCs/>
      <w:sz w:val="22"/>
      <w:szCs w:val="20"/>
    </w:rPr>
  </w:style>
  <w:style w:type="paragraph" w:styleId="Antrat8">
    <w:name w:val="heading 8"/>
    <w:basedOn w:val="prastasis"/>
    <w:next w:val="prastasis"/>
    <w:link w:val="Antrat8Diagrama"/>
    <w:uiPriority w:val="99"/>
    <w:semiHidden/>
    <w:unhideWhenUsed/>
    <w:qFormat/>
    <w:rsid w:val="00CA08B3"/>
    <w:pPr>
      <w:keepNext/>
      <w:outlineLvl w:val="7"/>
    </w:pPr>
    <w:rPr>
      <w:b/>
      <w:bCs/>
      <w:sz w:val="22"/>
      <w:szCs w:val="20"/>
    </w:rPr>
  </w:style>
  <w:style w:type="paragraph" w:styleId="Antrat9">
    <w:name w:val="heading 9"/>
    <w:basedOn w:val="prastasis"/>
    <w:next w:val="prastasis"/>
    <w:link w:val="Antrat9Diagrama"/>
    <w:uiPriority w:val="99"/>
    <w:semiHidden/>
    <w:unhideWhenUsed/>
    <w:qFormat/>
    <w:rsid w:val="00CA08B3"/>
    <w:pPr>
      <w:spacing w:before="240" w:after="60"/>
      <w:outlineLvl w:val="8"/>
    </w:pPr>
    <w:rPr>
      <w:rFonts w:ascii="Arial" w:hAnsi="Arial" w:cs="Arial"/>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uiPriority w:val="99"/>
    <w:rsid w:val="00CA08B3"/>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9"/>
    <w:semiHidden/>
    <w:rsid w:val="00CA08B3"/>
    <w:rPr>
      <w:rFonts w:ascii="Arial" w:eastAsia="Times New Roman" w:hAnsi="Arial" w:cs="Arial"/>
      <w:b/>
      <w:bCs/>
      <w:i/>
      <w:iCs/>
      <w:sz w:val="28"/>
      <w:szCs w:val="28"/>
    </w:rPr>
  </w:style>
  <w:style w:type="character" w:customStyle="1" w:styleId="Antrat3Diagrama">
    <w:name w:val="Antraštė 3 Diagrama"/>
    <w:basedOn w:val="Numatytasispastraiposriftas"/>
    <w:link w:val="Antrat3"/>
    <w:uiPriority w:val="99"/>
    <w:semiHidden/>
    <w:rsid w:val="00CA08B3"/>
    <w:rPr>
      <w:rFonts w:ascii="Times New Roman" w:eastAsia="Times New Roman" w:hAnsi="Times New Roman" w:cs="Times New Roman"/>
      <w:i/>
      <w:iCs/>
      <w:sz w:val="28"/>
      <w:szCs w:val="24"/>
    </w:rPr>
  </w:style>
  <w:style w:type="character" w:customStyle="1" w:styleId="Antrat5Diagrama">
    <w:name w:val="Antraštė 5 Diagrama"/>
    <w:basedOn w:val="Numatytasispastraiposriftas"/>
    <w:link w:val="Antrat5"/>
    <w:uiPriority w:val="99"/>
    <w:semiHidden/>
    <w:rsid w:val="00CA08B3"/>
    <w:rPr>
      <w:rFonts w:ascii="Times New Roman" w:eastAsia="Times New Roman" w:hAnsi="Times New Roman" w:cs="Times New Roman"/>
      <w:b/>
      <w:bCs/>
      <w:i/>
      <w:iCs/>
      <w:sz w:val="26"/>
      <w:szCs w:val="26"/>
    </w:rPr>
  </w:style>
  <w:style w:type="character" w:customStyle="1" w:styleId="Antrat6Diagrama">
    <w:name w:val="Antraštė 6 Diagrama"/>
    <w:basedOn w:val="Numatytasispastraiposriftas"/>
    <w:link w:val="Antrat6"/>
    <w:uiPriority w:val="99"/>
    <w:semiHidden/>
    <w:rsid w:val="00CA08B3"/>
    <w:rPr>
      <w:rFonts w:ascii="Times New Roman" w:eastAsia="Times New Roman" w:hAnsi="Times New Roman" w:cs="Times New Roman"/>
      <w:b/>
      <w:bCs/>
    </w:rPr>
  </w:style>
  <w:style w:type="character" w:customStyle="1" w:styleId="Antrat7Diagrama">
    <w:name w:val="Antraštė 7 Diagrama"/>
    <w:basedOn w:val="Numatytasispastraiposriftas"/>
    <w:link w:val="Antrat7"/>
    <w:uiPriority w:val="99"/>
    <w:semiHidden/>
    <w:rsid w:val="00CA08B3"/>
    <w:rPr>
      <w:rFonts w:ascii="Times New Roman" w:eastAsia="Times New Roman" w:hAnsi="Times New Roman" w:cs="Times New Roman"/>
      <w:i/>
      <w:iCs/>
      <w:szCs w:val="20"/>
    </w:rPr>
  </w:style>
  <w:style w:type="character" w:customStyle="1" w:styleId="Antrat8Diagrama">
    <w:name w:val="Antraštė 8 Diagrama"/>
    <w:basedOn w:val="Numatytasispastraiposriftas"/>
    <w:link w:val="Antrat8"/>
    <w:uiPriority w:val="99"/>
    <w:semiHidden/>
    <w:rsid w:val="00CA08B3"/>
    <w:rPr>
      <w:rFonts w:ascii="Times New Roman" w:eastAsia="Times New Roman" w:hAnsi="Times New Roman" w:cs="Times New Roman"/>
      <w:b/>
      <w:bCs/>
      <w:szCs w:val="20"/>
    </w:rPr>
  </w:style>
  <w:style w:type="character" w:customStyle="1" w:styleId="Antrat9Diagrama">
    <w:name w:val="Antraštė 9 Diagrama"/>
    <w:basedOn w:val="Numatytasispastraiposriftas"/>
    <w:link w:val="Antrat9"/>
    <w:uiPriority w:val="99"/>
    <w:semiHidden/>
    <w:rsid w:val="00CA08B3"/>
    <w:rPr>
      <w:rFonts w:ascii="Arial" w:eastAsia="Times New Roman" w:hAnsi="Arial" w:cs="Arial"/>
      <w:lang w:eastAsia="lt-LT"/>
    </w:rPr>
  </w:style>
  <w:style w:type="character" w:styleId="Hipersaitas">
    <w:name w:val="Hyperlink"/>
    <w:uiPriority w:val="99"/>
    <w:semiHidden/>
    <w:unhideWhenUsed/>
    <w:rsid w:val="00CA08B3"/>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CA08B3"/>
    <w:rPr>
      <w:color w:val="954F72" w:themeColor="followedHyperlink"/>
      <w:u w:val="single"/>
    </w:rPr>
  </w:style>
  <w:style w:type="paragraph" w:styleId="Komentarotekstas">
    <w:name w:val="annotation text"/>
    <w:basedOn w:val="prastasis"/>
    <w:link w:val="KomentarotekstasDiagrama"/>
    <w:uiPriority w:val="99"/>
    <w:semiHidden/>
    <w:unhideWhenUsed/>
    <w:rsid w:val="00CA08B3"/>
    <w:rPr>
      <w:noProof/>
      <w:sz w:val="20"/>
      <w:szCs w:val="20"/>
      <w:lang w:eastAsia="lt-LT"/>
    </w:rPr>
  </w:style>
  <w:style w:type="character" w:customStyle="1" w:styleId="KomentarotekstasDiagrama">
    <w:name w:val="Komentaro tekstas Diagrama"/>
    <w:basedOn w:val="Numatytasispastraiposriftas"/>
    <w:link w:val="Komentarotekstas"/>
    <w:uiPriority w:val="99"/>
    <w:semiHidden/>
    <w:rsid w:val="00CA08B3"/>
    <w:rPr>
      <w:rFonts w:ascii="Times New Roman" w:eastAsia="Times New Roman" w:hAnsi="Times New Roman" w:cs="Times New Roman"/>
      <w:noProof/>
      <w:sz w:val="20"/>
      <w:szCs w:val="20"/>
      <w:lang w:eastAsia="lt-LT"/>
    </w:rPr>
  </w:style>
  <w:style w:type="paragraph" w:styleId="Antrats">
    <w:name w:val="header"/>
    <w:basedOn w:val="prastasis"/>
    <w:link w:val="AntratsDiagrama"/>
    <w:uiPriority w:val="99"/>
    <w:semiHidden/>
    <w:unhideWhenUsed/>
    <w:rsid w:val="00CA08B3"/>
    <w:pPr>
      <w:tabs>
        <w:tab w:val="center" w:pos="4819"/>
        <w:tab w:val="right" w:pos="9638"/>
      </w:tabs>
    </w:pPr>
    <w:rPr>
      <w:noProof/>
      <w:lang w:eastAsia="lt-LT"/>
    </w:rPr>
  </w:style>
  <w:style w:type="character" w:customStyle="1" w:styleId="AntratsDiagrama">
    <w:name w:val="Antraštės Diagrama"/>
    <w:basedOn w:val="Numatytasispastraiposriftas"/>
    <w:link w:val="Antrats"/>
    <w:uiPriority w:val="99"/>
    <w:semiHidden/>
    <w:rsid w:val="00CA08B3"/>
    <w:rPr>
      <w:rFonts w:ascii="Times New Roman" w:eastAsia="Times New Roman" w:hAnsi="Times New Roman" w:cs="Times New Roman"/>
      <w:noProof/>
      <w:sz w:val="24"/>
      <w:szCs w:val="24"/>
      <w:lang w:eastAsia="lt-LT"/>
    </w:rPr>
  </w:style>
  <w:style w:type="paragraph" w:styleId="Porat">
    <w:name w:val="footer"/>
    <w:basedOn w:val="prastasis"/>
    <w:link w:val="PoratDiagrama"/>
    <w:uiPriority w:val="99"/>
    <w:semiHidden/>
    <w:unhideWhenUsed/>
    <w:rsid w:val="00CA08B3"/>
    <w:pPr>
      <w:tabs>
        <w:tab w:val="center" w:pos="4819"/>
        <w:tab w:val="right" w:pos="9638"/>
      </w:tabs>
    </w:pPr>
    <w:rPr>
      <w:rFonts w:eastAsia="Calibri"/>
      <w:noProof/>
      <w:szCs w:val="20"/>
      <w:lang w:eastAsia="lt-LT"/>
    </w:rPr>
  </w:style>
  <w:style w:type="character" w:customStyle="1" w:styleId="FooterChar">
    <w:name w:val="Footer Char"/>
    <w:basedOn w:val="Numatytasispastraiposriftas"/>
    <w:uiPriority w:val="99"/>
    <w:semiHidden/>
    <w:rsid w:val="00CA08B3"/>
    <w:rPr>
      <w:rFonts w:ascii="Times New Roman" w:eastAsia="Times New Roman" w:hAnsi="Times New Roman" w:cs="Times New Roman"/>
      <w:sz w:val="24"/>
      <w:szCs w:val="24"/>
    </w:rPr>
  </w:style>
  <w:style w:type="paragraph" w:styleId="Dokumentoinaostekstas">
    <w:name w:val="endnote text"/>
    <w:basedOn w:val="prastasis"/>
    <w:next w:val="prastasis"/>
    <w:link w:val="DokumentoinaostekstasDiagrama"/>
    <w:uiPriority w:val="99"/>
    <w:semiHidden/>
    <w:unhideWhenUsed/>
    <w:rsid w:val="00CA08B3"/>
    <w:pPr>
      <w:tabs>
        <w:tab w:val="left" w:pos="567"/>
      </w:tabs>
    </w:pPr>
    <w:rPr>
      <w:sz w:val="20"/>
      <w:szCs w:val="20"/>
      <w:lang w:val="en-GB" w:eastAsia="lt-LT"/>
    </w:rPr>
  </w:style>
  <w:style w:type="character" w:customStyle="1" w:styleId="DokumentoinaostekstasDiagrama">
    <w:name w:val="Dokumento išnašos tekstas Diagrama"/>
    <w:basedOn w:val="Numatytasispastraiposriftas"/>
    <w:link w:val="Dokumentoinaostekstas"/>
    <w:uiPriority w:val="99"/>
    <w:semiHidden/>
    <w:rsid w:val="00CA08B3"/>
    <w:rPr>
      <w:rFonts w:ascii="Times New Roman" w:eastAsia="Times New Roman" w:hAnsi="Times New Roman" w:cs="Times New Roman"/>
      <w:sz w:val="20"/>
      <w:szCs w:val="20"/>
      <w:lang w:val="en-GB" w:eastAsia="lt-LT"/>
    </w:rPr>
  </w:style>
  <w:style w:type="paragraph" w:styleId="Pavadinimas">
    <w:name w:val="Title"/>
    <w:basedOn w:val="prastasis"/>
    <w:link w:val="PavadinimasDiagrama"/>
    <w:uiPriority w:val="99"/>
    <w:qFormat/>
    <w:rsid w:val="00CA08B3"/>
    <w:pPr>
      <w:jc w:val="center"/>
    </w:pPr>
    <w:rPr>
      <w:rFonts w:eastAsia="SimSun"/>
      <w:b/>
      <w:sz w:val="20"/>
      <w:szCs w:val="20"/>
      <w:lang w:val="en-GB" w:eastAsia="lt-LT"/>
    </w:rPr>
  </w:style>
  <w:style w:type="character" w:customStyle="1" w:styleId="TitleChar">
    <w:name w:val="Title Char"/>
    <w:basedOn w:val="Numatytasispastraiposriftas"/>
    <w:uiPriority w:val="99"/>
    <w:rsid w:val="00CA08B3"/>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CA08B3"/>
    <w:pPr>
      <w:spacing w:line="360" w:lineRule="auto"/>
      <w:jc w:val="both"/>
    </w:pPr>
    <w:rPr>
      <w:sz w:val="22"/>
    </w:rPr>
  </w:style>
  <w:style w:type="character" w:customStyle="1" w:styleId="PagrindinistekstasDiagrama">
    <w:name w:val="Pagrindinis tekstas Diagrama"/>
    <w:basedOn w:val="Numatytasispastraiposriftas"/>
    <w:link w:val="Pagrindinistekstas"/>
    <w:uiPriority w:val="99"/>
    <w:semiHidden/>
    <w:rsid w:val="00CA08B3"/>
    <w:rPr>
      <w:rFonts w:ascii="Times New Roman" w:eastAsia="Times New Roman" w:hAnsi="Times New Roman" w:cs="Times New Roman"/>
      <w:szCs w:val="24"/>
    </w:rPr>
  </w:style>
  <w:style w:type="paragraph" w:styleId="Pagrindiniotekstotrauka">
    <w:name w:val="Body Text Indent"/>
    <w:basedOn w:val="prastasis"/>
    <w:link w:val="PagrindiniotekstotraukaDiagrama"/>
    <w:uiPriority w:val="99"/>
    <w:semiHidden/>
    <w:unhideWhenUsed/>
    <w:rsid w:val="00CA08B3"/>
    <w:pPr>
      <w:spacing w:after="120"/>
      <w:ind w:left="283"/>
    </w:pPr>
    <w:rPr>
      <w:noProof/>
      <w:lang w:eastAsia="lt-LT"/>
    </w:rPr>
  </w:style>
  <w:style w:type="character" w:customStyle="1" w:styleId="PagrindiniotekstotraukaDiagrama">
    <w:name w:val="Pagrindinio teksto įtrauka Diagrama"/>
    <w:basedOn w:val="Numatytasispastraiposriftas"/>
    <w:link w:val="Pagrindiniotekstotrauka"/>
    <w:uiPriority w:val="99"/>
    <w:semiHidden/>
    <w:rsid w:val="00CA08B3"/>
    <w:rPr>
      <w:rFonts w:ascii="Times New Roman" w:eastAsia="Times New Roman" w:hAnsi="Times New Roman" w:cs="Times New Roman"/>
      <w:noProof/>
      <w:sz w:val="24"/>
      <w:szCs w:val="24"/>
      <w:lang w:eastAsia="lt-LT"/>
    </w:rPr>
  </w:style>
  <w:style w:type="paragraph" w:styleId="Pagrindinistekstas2">
    <w:name w:val="Body Text 2"/>
    <w:basedOn w:val="prastasis"/>
    <w:link w:val="Pagrindinistekstas2Diagrama"/>
    <w:uiPriority w:val="99"/>
    <w:semiHidden/>
    <w:unhideWhenUsed/>
    <w:rsid w:val="00CA08B3"/>
    <w:pPr>
      <w:spacing w:line="360" w:lineRule="auto"/>
      <w:jc w:val="both"/>
    </w:pPr>
  </w:style>
  <w:style w:type="character" w:customStyle="1" w:styleId="Pagrindinistekstas2Diagrama">
    <w:name w:val="Pagrindinis tekstas 2 Diagrama"/>
    <w:basedOn w:val="Numatytasispastraiposriftas"/>
    <w:link w:val="Pagrindinistekstas2"/>
    <w:uiPriority w:val="99"/>
    <w:semiHidden/>
    <w:rsid w:val="00CA08B3"/>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iPriority w:val="99"/>
    <w:semiHidden/>
    <w:unhideWhenUsed/>
    <w:rsid w:val="00CA08B3"/>
    <w:pPr>
      <w:tabs>
        <w:tab w:val="left" w:pos="540"/>
      </w:tabs>
      <w:ind w:left="540" w:hanging="540"/>
    </w:pPr>
    <w:rPr>
      <w:noProof/>
      <w:sz w:val="20"/>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CA08B3"/>
    <w:rPr>
      <w:rFonts w:ascii="Times New Roman" w:eastAsia="Times New Roman" w:hAnsi="Times New Roman" w:cs="Times New Roman"/>
      <w:noProof/>
      <w:sz w:val="20"/>
      <w:szCs w:val="20"/>
      <w:lang w:eastAsia="lt-LT"/>
    </w:rPr>
  </w:style>
  <w:style w:type="paragraph" w:styleId="Paprastasistekstas">
    <w:name w:val="Plain Text"/>
    <w:basedOn w:val="prastasis"/>
    <w:link w:val="PaprastasistekstasDiagrama"/>
    <w:uiPriority w:val="99"/>
    <w:semiHidden/>
    <w:unhideWhenUsed/>
    <w:rsid w:val="00CA08B3"/>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semiHidden/>
    <w:rsid w:val="00CA08B3"/>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CA08B3"/>
    <w:rPr>
      <w:b/>
      <w:bCs/>
      <w:noProof w:val="0"/>
      <w:lang w:eastAsia="en-US"/>
    </w:rPr>
  </w:style>
  <w:style w:type="character" w:customStyle="1" w:styleId="KomentarotemaDiagrama">
    <w:name w:val="Komentaro tema Diagrama"/>
    <w:basedOn w:val="KomentarotekstasDiagrama"/>
    <w:link w:val="Komentarotema"/>
    <w:uiPriority w:val="99"/>
    <w:semiHidden/>
    <w:rsid w:val="00CA08B3"/>
    <w:rPr>
      <w:rFonts w:ascii="Times New Roman" w:eastAsia="Times New Roman" w:hAnsi="Times New Roman" w:cs="Times New Roman"/>
      <w:b/>
      <w:bCs/>
      <w:noProof/>
      <w:sz w:val="20"/>
      <w:szCs w:val="20"/>
      <w:lang w:eastAsia="lt-LT"/>
    </w:rPr>
  </w:style>
  <w:style w:type="paragraph" w:styleId="Debesliotekstas">
    <w:name w:val="Balloon Text"/>
    <w:basedOn w:val="prastasis"/>
    <w:link w:val="DebesliotekstasDiagrama"/>
    <w:uiPriority w:val="99"/>
    <w:semiHidden/>
    <w:unhideWhenUsed/>
    <w:rsid w:val="00CA08B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A08B3"/>
    <w:rPr>
      <w:rFonts w:ascii="Tahoma" w:eastAsia="Times New Roman" w:hAnsi="Tahoma" w:cs="Tahoma"/>
      <w:sz w:val="16"/>
      <w:szCs w:val="16"/>
    </w:rPr>
  </w:style>
  <w:style w:type="paragraph" w:styleId="Pataisymai">
    <w:name w:val="Revision"/>
    <w:uiPriority w:val="99"/>
    <w:semiHidden/>
    <w:rsid w:val="00CA08B3"/>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99"/>
    <w:qFormat/>
    <w:rsid w:val="00CA08B3"/>
    <w:pPr>
      <w:ind w:left="720"/>
      <w:contextualSpacing/>
    </w:pPr>
  </w:style>
  <w:style w:type="character" w:customStyle="1" w:styleId="BTEMEASMCAChar">
    <w:name w:val="BT EMEA_SMCA Char"/>
    <w:link w:val="BTEMEASMCA"/>
    <w:uiPriority w:val="99"/>
    <w:locked/>
    <w:rsid w:val="00CA08B3"/>
    <w:rPr>
      <w:rFonts w:ascii="Times New Roman" w:eastAsia="Calibri" w:hAnsi="Times New Roman" w:cs="Times New Roman"/>
      <w:noProof/>
      <w:sz w:val="20"/>
      <w:szCs w:val="20"/>
      <w:lang w:eastAsia="lt-LT"/>
    </w:rPr>
  </w:style>
  <w:style w:type="paragraph" w:customStyle="1" w:styleId="BTEMEASMCA">
    <w:name w:val="BT EMEA_SMCA"/>
    <w:basedOn w:val="prastasis"/>
    <w:link w:val="BTEMEASMCAChar"/>
    <w:autoRedefine/>
    <w:uiPriority w:val="99"/>
    <w:rsid w:val="00CA08B3"/>
    <w:rPr>
      <w:rFonts w:eastAsia="Calibri"/>
      <w:noProof/>
      <w:sz w:val="20"/>
      <w:szCs w:val="20"/>
      <w:lang w:eastAsia="lt-LT"/>
    </w:rPr>
  </w:style>
  <w:style w:type="character" w:customStyle="1" w:styleId="PI-1EMEASMCAChar">
    <w:name w:val="PI-1 EMEA_SMCA Char"/>
    <w:link w:val="PI-1EMEASMCA"/>
    <w:uiPriority w:val="99"/>
    <w:locked/>
    <w:rsid w:val="00CA08B3"/>
    <w:rPr>
      <w:rFonts w:ascii="Times New Roman" w:eastAsia="Calibri" w:hAnsi="Times New Roman" w:cs="Times New Roman"/>
      <w:b/>
      <w:sz w:val="20"/>
      <w:szCs w:val="20"/>
      <w:lang w:eastAsia="lt-LT"/>
    </w:rPr>
  </w:style>
  <w:style w:type="paragraph" w:customStyle="1" w:styleId="PI-1EMEASMCA">
    <w:name w:val="PI-1 EMEA_SMCA"/>
    <w:basedOn w:val="Antrat2"/>
    <w:link w:val="PI-1EMEASMCAChar"/>
    <w:autoRedefine/>
    <w:uiPriority w:val="99"/>
    <w:rsid w:val="00CA08B3"/>
    <w:pPr>
      <w:tabs>
        <w:tab w:val="left" w:pos="567"/>
      </w:tabs>
      <w:spacing w:before="0" w:after="0"/>
      <w:ind w:left="567" w:hanging="567"/>
    </w:pPr>
    <w:rPr>
      <w:rFonts w:ascii="Times New Roman" w:eastAsia="Calibri" w:hAnsi="Times New Roman" w:cs="Times New Roman"/>
      <w:bCs w:val="0"/>
      <w:i w:val="0"/>
      <w:iCs w:val="0"/>
      <w:sz w:val="20"/>
      <w:szCs w:val="20"/>
      <w:lang w:eastAsia="lt-LT"/>
    </w:rPr>
  </w:style>
  <w:style w:type="paragraph" w:customStyle="1" w:styleId="PI-2EMEASMCA">
    <w:name w:val="PI-2 EMEA_SMCA"/>
    <w:basedOn w:val="Antrat3"/>
    <w:autoRedefine/>
    <w:uiPriority w:val="99"/>
    <w:rsid w:val="00CA08B3"/>
    <w:pPr>
      <w:keepLines/>
      <w:tabs>
        <w:tab w:val="left" w:pos="567"/>
      </w:tabs>
      <w:spacing w:line="240" w:lineRule="auto"/>
      <w:ind w:left="567" w:hanging="567"/>
      <w:jc w:val="left"/>
    </w:pPr>
    <w:rPr>
      <w:b/>
      <w:i w:val="0"/>
      <w:iCs w:val="0"/>
      <w:kern w:val="28"/>
      <w:sz w:val="22"/>
      <w:szCs w:val="22"/>
    </w:rPr>
  </w:style>
  <w:style w:type="paragraph" w:customStyle="1" w:styleId="BTbEMEASMCA">
    <w:name w:val="BT(b) EMEA_SMCA"/>
    <w:basedOn w:val="BTEMEASMCA"/>
    <w:autoRedefine/>
    <w:uiPriority w:val="99"/>
    <w:rsid w:val="00CA08B3"/>
    <w:rPr>
      <w:b/>
    </w:rPr>
  </w:style>
  <w:style w:type="paragraph" w:customStyle="1" w:styleId="PI-3EMEASMCA">
    <w:name w:val="PI-3 EMEA_SMCA"/>
    <w:basedOn w:val="prastasis"/>
    <w:autoRedefine/>
    <w:uiPriority w:val="99"/>
    <w:rsid w:val="00CA08B3"/>
    <w:pPr>
      <w:spacing w:line="220" w:lineRule="exact"/>
    </w:pPr>
    <w:rPr>
      <w:b/>
      <w:bCs/>
      <w:sz w:val="22"/>
      <w:szCs w:val="22"/>
    </w:rPr>
  </w:style>
  <w:style w:type="paragraph" w:customStyle="1" w:styleId="Default">
    <w:name w:val="Default"/>
    <w:rsid w:val="00CA08B3"/>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customStyle="1" w:styleId="BT-EMEASMCA">
    <w:name w:val="BT- EMEA_SMCA"/>
    <w:basedOn w:val="prastasis"/>
    <w:autoRedefine/>
    <w:uiPriority w:val="99"/>
    <w:rsid w:val="00CA08B3"/>
    <w:pPr>
      <w:tabs>
        <w:tab w:val="num" w:pos="720"/>
      </w:tabs>
      <w:ind w:left="720" w:hanging="363"/>
    </w:pPr>
    <w:rPr>
      <w:noProof/>
      <w:sz w:val="22"/>
      <w:szCs w:val="22"/>
    </w:rPr>
  </w:style>
  <w:style w:type="character" w:customStyle="1" w:styleId="PI-1labEMEASMCAChar">
    <w:name w:val="PI-1_lab EMEA_SMCA Char"/>
    <w:link w:val="PI-1labEMEASMCA"/>
    <w:uiPriority w:val="99"/>
    <w:locked/>
    <w:rsid w:val="00CA08B3"/>
    <w:rPr>
      <w:rFonts w:ascii="Times New Roman" w:eastAsia="Calibri" w:hAnsi="Times New Roman" w:cs="Times New Roman"/>
      <w:b/>
      <w:noProof/>
      <w:sz w:val="20"/>
      <w:szCs w:val="20"/>
      <w:lang w:eastAsia="lt-LT"/>
    </w:rPr>
  </w:style>
  <w:style w:type="paragraph" w:customStyle="1" w:styleId="PI-1labEMEASMCA">
    <w:name w:val="PI-1_lab EMEA_SMCA"/>
    <w:basedOn w:val="prastasis"/>
    <w:link w:val="PI-1labEMEASMCAChar"/>
    <w:autoRedefine/>
    <w:uiPriority w:val="99"/>
    <w:rsid w:val="00CA08B3"/>
    <w:pPr>
      <w:pBdr>
        <w:top w:val="single" w:sz="4" w:space="1" w:color="auto"/>
        <w:left w:val="single" w:sz="4" w:space="4" w:color="auto"/>
        <w:bottom w:val="single" w:sz="4" w:space="1" w:color="auto"/>
        <w:right w:val="single" w:sz="4" w:space="4" w:color="auto"/>
      </w:pBdr>
      <w:tabs>
        <w:tab w:val="left" w:pos="540"/>
      </w:tabs>
    </w:pPr>
    <w:rPr>
      <w:rFonts w:eastAsia="Calibri"/>
      <w:b/>
      <w:noProof/>
      <w:sz w:val="20"/>
      <w:szCs w:val="20"/>
      <w:lang w:eastAsia="lt-LT"/>
    </w:rPr>
  </w:style>
  <w:style w:type="character" w:customStyle="1" w:styleId="TTEMEASMCAChar">
    <w:name w:val="TT EMEA_SMCA Char"/>
    <w:link w:val="TTEMEASMCA"/>
    <w:uiPriority w:val="99"/>
    <w:locked/>
    <w:rsid w:val="00CA08B3"/>
    <w:rPr>
      <w:rFonts w:ascii="Times New Roman" w:eastAsia="Calibri" w:hAnsi="Times New Roman" w:cs="Times New Roman"/>
      <w:b/>
      <w:bCs/>
      <w:caps/>
      <w:sz w:val="20"/>
      <w:szCs w:val="20"/>
      <w:lang w:eastAsia="lt-LT"/>
    </w:rPr>
  </w:style>
  <w:style w:type="paragraph" w:customStyle="1" w:styleId="TTEMEASMCA">
    <w:name w:val="TT EMEA_SMCA"/>
    <w:basedOn w:val="Antrat1"/>
    <w:link w:val="TTEMEASMCAChar"/>
    <w:autoRedefine/>
    <w:uiPriority w:val="99"/>
    <w:rsid w:val="00CA08B3"/>
    <w:pPr>
      <w:keepNext w:val="0"/>
      <w:tabs>
        <w:tab w:val="clear" w:pos="540"/>
        <w:tab w:val="left" w:pos="567"/>
      </w:tabs>
      <w:ind w:left="567" w:hanging="567"/>
      <w:jc w:val="center"/>
    </w:pPr>
    <w:rPr>
      <w:bCs/>
      <w:caps/>
    </w:rPr>
  </w:style>
  <w:style w:type="paragraph" w:customStyle="1" w:styleId="BTAnIIEMEASMCA">
    <w:name w:val="BT(AnII) EMEA_SMCA"/>
    <w:basedOn w:val="Debesliotekstas"/>
    <w:autoRedefine/>
    <w:uiPriority w:val="99"/>
    <w:rsid w:val="00CA08B3"/>
    <w:pPr>
      <w:tabs>
        <w:tab w:val="left" w:pos="1701"/>
      </w:tabs>
      <w:ind w:left="1701" w:hanging="567"/>
    </w:pPr>
    <w:rPr>
      <w:rFonts w:ascii="Times New Roman" w:hAnsi="Times New Roman"/>
      <w:b/>
      <w:sz w:val="22"/>
      <w:szCs w:val="22"/>
      <w:lang w:val="en-GB"/>
    </w:rPr>
  </w:style>
  <w:style w:type="paragraph" w:customStyle="1" w:styleId="BTbeEMEASMCA">
    <w:name w:val="BT(be) EMEA_SMCA"/>
    <w:basedOn w:val="BTEMEASMCA"/>
    <w:autoRedefine/>
    <w:uiPriority w:val="99"/>
    <w:rsid w:val="00CA08B3"/>
    <w:pPr>
      <w:jc w:val="center"/>
    </w:pPr>
    <w:rPr>
      <w:b/>
    </w:rPr>
  </w:style>
  <w:style w:type="paragraph" w:customStyle="1" w:styleId="BTeEMEASMCA">
    <w:name w:val="BT(e) EMEA_SMCA"/>
    <w:basedOn w:val="BTEMEASMCA"/>
    <w:autoRedefine/>
    <w:uiPriority w:val="99"/>
    <w:rsid w:val="00CA08B3"/>
    <w:pPr>
      <w:jc w:val="center"/>
    </w:pPr>
  </w:style>
  <w:style w:type="character" w:customStyle="1" w:styleId="BTgEMEASMCAChar">
    <w:name w:val="BT(g) EMEA_SMCA Char"/>
    <w:link w:val="BTgEMEASMCA"/>
    <w:uiPriority w:val="99"/>
    <w:locked/>
    <w:rsid w:val="00CA08B3"/>
    <w:rPr>
      <w:rFonts w:ascii="Times New Roman" w:eastAsia="Calibri" w:hAnsi="Times New Roman" w:cs="Times New Roman"/>
      <w:i/>
      <w:noProof/>
      <w:color w:val="008000"/>
      <w:sz w:val="20"/>
      <w:szCs w:val="20"/>
      <w:lang w:eastAsia="lt-LT"/>
    </w:rPr>
  </w:style>
  <w:style w:type="paragraph" w:customStyle="1" w:styleId="BTgEMEASMCA">
    <w:name w:val="BT(g) EMEA_SMCA"/>
    <w:basedOn w:val="BTEMEASMCA"/>
    <w:link w:val="BTgEMEASMCAChar"/>
    <w:autoRedefine/>
    <w:uiPriority w:val="99"/>
    <w:rsid w:val="00CA08B3"/>
    <w:rPr>
      <w:i/>
      <w:color w:val="008000"/>
    </w:rPr>
  </w:style>
  <w:style w:type="paragraph" w:customStyle="1" w:styleId="BTuEMEASMCA">
    <w:name w:val="BT(u) EMEA_SMCA"/>
    <w:basedOn w:val="BTEMEASMCA"/>
    <w:autoRedefine/>
    <w:uiPriority w:val="99"/>
    <w:rsid w:val="00CA08B3"/>
    <w:rPr>
      <w:u w:val="single"/>
    </w:rPr>
  </w:style>
  <w:style w:type="paragraph" w:customStyle="1" w:styleId="mdTblEntryMod">
    <w:name w:val="md_Tbl Entry/Mod"/>
    <w:basedOn w:val="prastasis"/>
    <w:uiPriority w:val="99"/>
    <w:rsid w:val="00CA08B3"/>
    <w:pPr>
      <w:keepNext/>
      <w:keepLines/>
      <w:spacing w:line="259" w:lineRule="atLeast"/>
    </w:pPr>
    <w:rPr>
      <w:sz w:val="20"/>
      <w:szCs w:val="20"/>
      <w:lang w:val="en-US"/>
    </w:rPr>
  </w:style>
  <w:style w:type="paragraph" w:customStyle="1" w:styleId="Cmsor">
    <w:name w:val="Címsor"/>
    <w:basedOn w:val="prastasis"/>
    <w:next w:val="Pagrindinistekstas"/>
    <w:uiPriority w:val="99"/>
    <w:rsid w:val="00CA08B3"/>
    <w:pPr>
      <w:keepNext/>
      <w:suppressAutoHyphens/>
      <w:spacing w:before="240" w:after="120"/>
    </w:pPr>
    <w:rPr>
      <w:rFonts w:ascii="Albany" w:hAnsi="Albany" w:cs="Albany"/>
      <w:noProof/>
      <w:color w:val="000000"/>
      <w:sz w:val="28"/>
      <w:szCs w:val="28"/>
      <w:lang w:val="hu-HU" w:eastAsia="lt-LT"/>
    </w:rPr>
  </w:style>
  <w:style w:type="paragraph" w:customStyle="1" w:styleId="knZulassung02">
    <w:name w:val="knZulassung02"/>
    <w:basedOn w:val="prastasis"/>
    <w:uiPriority w:val="99"/>
    <w:rsid w:val="00CA08B3"/>
    <w:pPr>
      <w:spacing w:after="240"/>
      <w:ind w:left="1843" w:right="284"/>
      <w:jc w:val="both"/>
    </w:pPr>
    <w:rPr>
      <w:rFonts w:ascii="Arial" w:hAnsi="Arial"/>
      <w:szCs w:val="20"/>
      <w:lang w:val="de-DE" w:eastAsia="de-DE"/>
    </w:rPr>
  </w:style>
  <w:style w:type="paragraph" w:customStyle="1" w:styleId="Agendaindenteda">
    <w:name w:val="Agenda indented a)"/>
    <w:basedOn w:val="prastasis"/>
    <w:uiPriority w:val="99"/>
    <w:rsid w:val="00CA08B3"/>
    <w:pPr>
      <w:tabs>
        <w:tab w:val="num" w:pos="2160"/>
      </w:tabs>
      <w:ind w:left="2160" w:hanging="360"/>
    </w:pPr>
    <w:rPr>
      <w:sz w:val="20"/>
      <w:szCs w:val="20"/>
      <w:lang w:val="en-GB"/>
    </w:rPr>
  </w:style>
  <w:style w:type="paragraph" w:customStyle="1" w:styleId="Char">
    <w:name w:val="Char"/>
    <w:basedOn w:val="prastasis"/>
    <w:uiPriority w:val="99"/>
    <w:rsid w:val="00CA08B3"/>
    <w:pPr>
      <w:numPr>
        <w:numId w:val="1"/>
      </w:numPr>
      <w:spacing w:after="160" w:line="240" w:lineRule="exact"/>
    </w:pPr>
    <w:rPr>
      <w:rFonts w:ascii="Verdana" w:hAnsi="Verdana" w:cs="Verdana"/>
      <w:sz w:val="20"/>
      <w:szCs w:val="20"/>
      <w:lang w:val="en-GB"/>
    </w:rPr>
  </w:style>
  <w:style w:type="paragraph" w:customStyle="1" w:styleId="TOCHeading1">
    <w:name w:val="TOC Heading1"/>
    <w:basedOn w:val="prastasis"/>
    <w:uiPriority w:val="99"/>
    <w:rsid w:val="00CA08B3"/>
    <w:pPr>
      <w:tabs>
        <w:tab w:val="left" w:pos="7649"/>
        <w:tab w:val="left" w:pos="7920"/>
      </w:tabs>
      <w:spacing w:after="240" w:line="359" w:lineRule="atLeast"/>
    </w:pPr>
    <w:rPr>
      <w:rFonts w:ascii="Times" w:hAnsi="Times"/>
      <w:b/>
      <w:sz w:val="22"/>
      <w:szCs w:val="20"/>
      <w:lang w:val="en-US"/>
    </w:rPr>
  </w:style>
  <w:style w:type="paragraph" w:customStyle="1" w:styleId="mdTblEntryC">
    <w:name w:val="md_Tbl Entry/C"/>
    <w:basedOn w:val="prastasis"/>
    <w:uiPriority w:val="99"/>
    <w:rsid w:val="00CA08B3"/>
    <w:pPr>
      <w:keepNext/>
      <w:keepLines/>
      <w:spacing w:line="259" w:lineRule="atLeast"/>
      <w:jc w:val="center"/>
    </w:pPr>
    <w:rPr>
      <w:sz w:val="20"/>
      <w:szCs w:val="20"/>
      <w:lang w:val="en-US"/>
    </w:rPr>
  </w:style>
  <w:style w:type="paragraph" w:customStyle="1" w:styleId="FigFootnote">
    <w:name w:val="Fig Footnote"/>
    <w:basedOn w:val="prastasis"/>
    <w:next w:val="prastasis"/>
    <w:uiPriority w:val="99"/>
    <w:rsid w:val="00CA08B3"/>
    <w:pPr>
      <w:keepNext/>
      <w:keepLines/>
      <w:spacing w:line="259" w:lineRule="atLeast"/>
      <w:ind w:left="2304"/>
    </w:pPr>
    <w:rPr>
      <w:sz w:val="20"/>
      <w:szCs w:val="20"/>
      <w:lang w:val="en-US"/>
    </w:rPr>
  </w:style>
  <w:style w:type="paragraph" w:customStyle="1" w:styleId="msolistparagraph0">
    <w:name w:val="msolistparagraph"/>
    <w:basedOn w:val="prastasis"/>
    <w:uiPriority w:val="99"/>
    <w:rsid w:val="00CA08B3"/>
    <w:pPr>
      <w:ind w:left="720"/>
    </w:pPr>
    <w:rPr>
      <w:rFonts w:ascii="Calibri" w:hAnsi="Calibri"/>
      <w:sz w:val="22"/>
      <w:szCs w:val="22"/>
      <w:lang w:val="en-US"/>
    </w:rPr>
  </w:style>
  <w:style w:type="paragraph" w:customStyle="1" w:styleId="CM6">
    <w:name w:val="CM6"/>
    <w:basedOn w:val="prastasis"/>
    <w:next w:val="prastasis"/>
    <w:uiPriority w:val="99"/>
    <w:rsid w:val="00CA08B3"/>
    <w:pPr>
      <w:widowControl w:val="0"/>
      <w:autoSpaceDE w:val="0"/>
      <w:autoSpaceDN w:val="0"/>
      <w:adjustRightInd w:val="0"/>
      <w:spacing w:line="253" w:lineRule="atLeast"/>
    </w:pPr>
    <w:rPr>
      <w:lang w:val="de-DE" w:eastAsia="de-DE"/>
    </w:rPr>
  </w:style>
  <w:style w:type="paragraph" w:customStyle="1" w:styleId="TextTi10">
    <w:name w:val="Text:Ti10"/>
    <w:basedOn w:val="prastasis"/>
    <w:uiPriority w:val="99"/>
    <w:rsid w:val="00CA08B3"/>
    <w:rPr>
      <w:sz w:val="22"/>
      <w:szCs w:val="20"/>
      <w:lang w:val="en-US"/>
    </w:rPr>
  </w:style>
  <w:style w:type="paragraph" w:customStyle="1" w:styleId="StyleTextTi12AsianMSMincho9ptBold">
    <w:name w:val="Style Text:Ti12 + (Asian) MS Mincho 9 pt Bold"/>
    <w:basedOn w:val="prastasis"/>
    <w:uiPriority w:val="99"/>
    <w:rsid w:val="00CA08B3"/>
    <w:pPr>
      <w:spacing w:line="280" w:lineRule="atLeast"/>
    </w:pPr>
    <w:rPr>
      <w:rFonts w:eastAsia="MS Mincho"/>
      <w:b/>
      <w:bCs/>
      <w:sz w:val="18"/>
      <w:lang w:val="en-US" w:eastAsia="de-DE"/>
    </w:rPr>
  </w:style>
  <w:style w:type="paragraph" w:customStyle="1" w:styleId="Annex">
    <w:name w:val="Annex"/>
    <w:basedOn w:val="prastasis"/>
    <w:next w:val="prastasis"/>
    <w:uiPriority w:val="99"/>
    <w:rsid w:val="00CA08B3"/>
    <w:pPr>
      <w:jc w:val="center"/>
    </w:pPr>
    <w:rPr>
      <w:b/>
      <w:sz w:val="22"/>
      <w:szCs w:val="20"/>
      <w:lang w:val="en-US" w:eastAsia="ja-JP"/>
    </w:rPr>
  </w:style>
  <w:style w:type="paragraph" w:customStyle="1" w:styleId="Description">
    <w:name w:val="Description"/>
    <w:basedOn w:val="prastasis"/>
    <w:next w:val="prastasis"/>
    <w:uiPriority w:val="99"/>
    <w:rsid w:val="00CA08B3"/>
    <w:rPr>
      <w:sz w:val="22"/>
      <w:szCs w:val="20"/>
      <w:lang w:val="en-US" w:eastAsia="ja-JP"/>
    </w:rPr>
  </w:style>
  <w:style w:type="character" w:customStyle="1" w:styleId="BodytextAgencyChar">
    <w:name w:val="Body text (Agency) Char"/>
    <w:link w:val="BodytextAgency"/>
    <w:uiPriority w:val="99"/>
    <w:locked/>
    <w:rsid w:val="00CA08B3"/>
    <w:rPr>
      <w:rFonts w:ascii="Verdana" w:eastAsia="Times New Roman" w:hAnsi="Verdana" w:cs="Times New Roman"/>
      <w:sz w:val="18"/>
      <w:szCs w:val="20"/>
      <w:lang w:val="en-GB" w:eastAsia="x-none"/>
    </w:rPr>
  </w:style>
  <w:style w:type="paragraph" w:customStyle="1" w:styleId="BodytextAgency">
    <w:name w:val="Body text (Agency)"/>
    <w:basedOn w:val="prastasis"/>
    <w:link w:val="BodytextAgencyChar"/>
    <w:uiPriority w:val="99"/>
    <w:rsid w:val="00CA08B3"/>
    <w:pPr>
      <w:snapToGrid w:val="0"/>
      <w:spacing w:after="140" w:line="280" w:lineRule="atLeast"/>
    </w:pPr>
    <w:rPr>
      <w:rFonts w:ascii="Verdana" w:hAnsi="Verdana"/>
      <w:sz w:val="18"/>
      <w:szCs w:val="20"/>
      <w:lang w:val="en-GB" w:eastAsia="x-none"/>
    </w:rPr>
  </w:style>
  <w:style w:type="character" w:styleId="Komentaronuoroda">
    <w:name w:val="annotation reference"/>
    <w:uiPriority w:val="99"/>
    <w:semiHidden/>
    <w:unhideWhenUsed/>
    <w:rsid w:val="00CA08B3"/>
    <w:rPr>
      <w:rFonts w:ascii="Times New Roman" w:hAnsi="Times New Roman" w:cs="Times New Roman" w:hint="default"/>
      <w:sz w:val="16"/>
    </w:rPr>
  </w:style>
  <w:style w:type="character" w:styleId="Puslapionumeris">
    <w:name w:val="page number"/>
    <w:uiPriority w:val="99"/>
    <w:semiHidden/>
    <w:unhideWhenUsed/>
    <w:rsid w:val="00CA08B3"/>
    <w:rPr>
      <w:rFonts w:ascii="Times New Roman" w:hAnsi="Times New Roman" w:cs="Times New Roman" w:hint="default"/>
    </w:rPr>
  </w:style>
  <w:style w:type="character" w:customStyle="1" w:styleId="Antrat1Diagrama">
    <w:name w:val="Antraštė 1 Diagrama"/>
    <w:link w:val="Antrat1"/>
    <w:uiPriority w:val="99"/>
    <w:locked/>
    <w:rsid w:val="00CA08B3"/>
    <w:rPr>
      <w:rFonts w:ascii="Times New Roman" w:eastAsia="Calibri" w:hAnsi="Times New Roman" w:cs="Times New Roman"/>
      <w:b/>
      <w:sz w:val="20"/>
      <w:szCs w:val="20"/>
      <w:lang w:eastAsia="lt-LT"/>
    </w:rPr>
  </w:style>
  <w:style w:type="character" w:customStyle="1" w:styleId="PavadinimasDiagrama">
    <w:name w:val="Pavadinimas Diagrama"/>
    <w:link w:val="Pavadinimas"/>
    <w:uiPriority w:val="99"/>
    <w:locked/>
    <w:rsid w:val="00CA08B3"/>
    <w:rPr>
      <w:rFonts w:ascii="Times New Roman" w:eastAsia="SimSun" w:hAnsi="Times New Roman" w:cs="Times New Roman"/>
      <w:b/>
      <w:sz w:val="20"/>
      <w:szCs w:val="20"/>
      <w:lang w:val="en-GB" w:eastAsia="lt-LT"/>
    </w:rPr>
  </w:style>
  <w:style w:type="character" w:customStyle="1" w:styleId="PoratDiagrama">
    <w:name w:val="Poraštė Diagrama"/>
    <w:link w:val="Porat"/>
    <w:uiPriority w:val="99"/>
    <w:semiHidden/>
    <w:locked/>
    <w:rsid w:val="00CA08B3"/>
    <w:rPr>
      <w:rFonts w:ascii="Times New Roman" w:eastAsia="Calibri" w:hAnsi="Times New Roman" w:cs="Times New Roman"/>
      <w:noProof/>
      <w:sz w:val="24"/>
      <w:szCs w:val="20"/>
      <w:lang w:eastAsia="lt-LT"/>
    </w:rPr>
  </w:style>
  <w:style w:type="character" w:customStyle="1" w:styleId="CharChar5">
    <w:name w:val="Char Char5"/>
    <w:uiPriority w:val="99"/>
    <w:locked/>
    <w:rsid w:val="00CA08B3"/>
    <w:rPr>
      <w:rFonts w:ascii="Times New Roman" w:hAnsi="Times New Roman" w:cs="Times New Roman" w:hint="default"/>
      <w:b/>
      <w:bCs w:val="0"/>
      <w:kern w:val="28"/>
      <w:lang w:eastAsia="lt-LT"/>
    </w:rPr>
  </w:style>
  <w:style w:type="character" w:customStyle="1" w:styleId="CharChar12">
    <w:name w:val="Char Char12"/>
    <w:uiPriority w:val="99"/>
    <w:locked/>
    <w:rsid w:val="00CA08B3"/>
    <w:rPr>
      <w:rFonts w:ascii="Times New Roman" w:hAnsi="Times New Roman" w:cs="Times New Roman" w:hint="default"/>
      <w:b/>
      <w:bCs w:val="0"/>
      <w:lang w:val="lt-LT" w:eastAsia="lt-LT"/>
    </w:rPr>
  </w:style>
  <w:style w:type="character" w:customStyle="1" w:styleId="CharChar14">
    <w:name w:val="Char Char14"/>
    <w:uiPriority w:val="99"/>
    <w:locked/>
    <w:rsid w:val="00CA08B3"/>
    <w:rPr>
      <w:b/>
      <w:bCs w:val="0"/>
      <w:lang w:val="lt-LT" w:eastAsia="lt-LT"/>
    </w:rPr>
  </w:style>
  <w:style w:type="character" w:customStyle="1" w:styleId="CharChar13">
    <w:name w:val="Char Char13"/>
    <w:uiPriority w:val="99"/>
    <w:locked/>
    <w:rsid w:val="00CA08B3"/>
    <w:rPr>
      <w:b/>
      <w:bCs w:val="0"/>
      <w:lang w:val="lt-LT" w:eastAsia="lt-LT"/>
    </w:rPr>
  </w:style>
  <w:style w:type="character" w:customStyle="1" w:styleId="CharChar17">
    <w:name w:val="Char Char17"/>
    <w:uiPriority w:val="99"/>
    <w:locked/>
    <w:rsid w:val="00CA08B3"/>
    <w:rPr>
      <w:rFonts w:ascii="Cambria" w:hAnsi="Cambria" w:hint="default"/>
      <w:b/>
      <w:bCs w:val="0"/>
      <w:kern w:val="32"/>
      <w:sz w:val="32"/>
      <w:lang w:eastAsia="en-US"/>
    </w:rPr>
  </w:style>
  <w:style w:type="character" w:customStyle="1" w:styleId="ltcm">
    <w:name w:val="ltcm"/>
    <w:uiPriority w:val="99"/>
    <w:rsid w:val="00CA08B3"/>
    <w:rPr>
      <w:rFonts w:ascii="Aistika" w:hAnsi="Aistika" w:cs="Times New Roman" w:hint="default"/>
      <w:i/>
      <w:iCs/>
      <w:color w:val="808080"/>
    </w:rPr>
  </w:style>
  <w:style w:type="table" w:styleId="Lentelstinklelis">
    <w:name w:val="Table Grid"/>
    <w:basedOn w:val="prastojilentel"/>
    <w:uiPriority w:val="99"/>
    <w:rsid w:val="00CA08B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4111D"/>
    <w:pPr>
      <w:spacing w:after="0" w:line="240" w:lineRule="auto"/>
    </w:pPr>
    <w:rPr>
      <w:rFonts w:ascii="Times New Roman" w:eastAsia="Times New Roman" w:hAnsi="Times New Roman" w:cs="Times New Roman"/>
      <w:sz w:val="24"/>
      <w:szCs w:val="24"/>
    </w:rPr>
  </w:style>
  <w:style w:type="character" w:customStyle="1" w:styleId="shorttext">
    <w:name w:val="short_text"/>
    <w:basedOn w:val="Numatytasispastraiposriftas"/>
    <w:rsid w:val="009E5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67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thuania@sandoz.com" TargetMode="External"/><Relationship Id="rId3" Type="http://schemas.openxmlformats.org/officeDocument/2006/relationships/styles" Target="styles.xml"/><Relationship Id="rId7" Type="http://schemas.openxmlformats.org/officeDocument/2006/relationships/hyperlink" Target="http://www.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3BE89-7FED-458F-BD95-FFC7497D3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67</Pages>
  <Words>87685</Words>
  <Characters>49982</Characters>
  <Application>Microsoft Office Word</Application>
  <DocSecurity>0</DocSecurity>
  <Lines>416</Lines>
  <Paragraphs>274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137393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Slekiene, Svetlana</dc:creator>
  <cp:lastModifiedBy>Albina Burkauskaitė</cp:lastModifiedBy>
  <cp:revision>3</cp:revision>
  <dcterms:created xsi:type="dcterms:W3CDTF">2019-04-02T06:32:00Z</dcterms:created>
  <dcterms:modified xsi:type="dcterms:W3CDTF">2019-04-02T06:33:00Z</dcterms:modified>
</cp:coreProperties>
</file>