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F3" w:rsidRPr="0069252F" w:rsidRDefault="006155F3" w:rsidP="006155F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69252F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69252F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69252F">
        <w:rPr>
          <w:rFonts w:ascii="Times New Roman" w:hAnsi="Times New Roman"/>
          <w:i w:val="0"/>
          <w:sz w:val="22"/>
          <w:szCs w:val="22"/>
          <w:lang w:val="lt-LT"/>
        </w:rPr>
        <w:t>informacija pacientui</w:t>
      </w:r>
    </w:p>
    <w:p w:rsidR="006155F3" w:rsidRPr="0069252F" w:rsidRDefault="006155F3" w:rsidP="006155F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6155F3" w:rsidRPr="0069252F" w:rsidRDefault="006155F3" w:rsidP="006155F3">
      <w:pPr>
        <w:spacing w:line="240" w:lineRule="auto"/>
        <w:jc w:val="center"/>
        <w:rPr>
          <w:b/>
          <w:szCs w:val="22"/>
          <w:lang w:val="lt-LT"/>
        </w:rPr>
      </w:pPr>
      <w:proofErr w:type="spellStart"/>
      <w:r w:rsidRPr="0069252F">
        <w:rPr>
          <w:b/>
          <w:szCs w:val="22"/>
          <w:lang w:val="lt-LT"/>
        </w:rPr>
        <w:t>Paracetamol</w:t>
      </w:r>
      <w:proofErr w:type="spellEnd"/>
      <w:r w:rsidRPr="0069252F">
        <w:rPr>
          <w:b/>
          <w:szCs w:val="22"/>
          <w:lang w:val="lt-LT"/>
        </w:rPr>
        <w:t xml:space="preserve"> </w:t>
      </w:r>
      <w:proofErr w:type="spellStart"/>
      <w:r w:rsidRPr="0069252F">
        <w:rPr>
          <w:b/>
          <w:szCs w:val="22"/>
          <w:lang w:val="lt-LT"/>
        </w:rPr>
        <w:t>Accord</w:t>
      </w:r>
      <w:proofErr w:type="spellEnd"/>
      <w:r w:rsidRPr="0069252F">
        <w:rPr>
          <w:b/>
          <w:szCs w:val="22"/>
          <w:lang w:val="lt-LT"/>
        </w:rPr>
        <w:t xml:space="preserve"> 500 mg tabletės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Paracetamolis</w:t>
      </w:r>
      <w:proofErr w:type="spellEnd"/>
      <w:r w:rsidRPr="0069252F">
        <w:rPr>
          <w:szCs w:val="22"/>
          <w:lang w:val="lt-LT"/>
        </w:rPr>
        <w:t xml:space="preserve"> </w:t>
      </w:r>
    </w:p>
    <w:p w:rsidR="006155F3" w:rsidRPr="0069252F" w:rsidRDefault="006155F3" w:rsidP="006155F3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69252F">
        <w:rPr>
          <w:b/>
          <w:szCs w:val="22"/>
          <w:lang w:val="lt-LT"/>
        </w:rPr>
        <w:t>Atidžiai perskaitykite visą šį lapelį, prieš pradėdami vartoti šį vaistą, nes jame pateikiama Jums svarbi informacija.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69252F">
        <w:rPr>
          <w:szCs w:val="22"/>
          <w:lang w:val="lt-LT"/>
        </w:rPr>
        <w:t>Visada vartokite šį vaistą tiksliai kaip aprašyta šiame lapelyje arba kaip nurodė gydytojas, vaistininkas arba slaugytojas.</w:t>
      </w:r>
    </w:p>
    <w:p w:rsidR="006155F3" w:rsidRPr="0069252F" w:rsidRDefault="006155F3" w:rsidP="006155F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69252F">
        <w:rPr>
          <w:szCs w:val="22"/>
          <w:lang w:val="lt-LT"/>
        </w:rPr>
        <w:t xml:space="preserve">Neišmeskite šio lapelio, nes vėl gali prireikti jį perskaityti. </w:t>
      </w:r>
    </w:p>
    <w:p w:rsidR="006155F3" w:rsidRPr="0069252F" w:rsidRDefault="006155F3" w:rsidP="006155F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69252F">
        <w:rPr>
          <w:szCs w:val="22"/>
          <w:lang w:val="lt-LT"/>
        </w:rPr>
        <w:t>Jeigu norite sužinoti daugiau arba pasitarti, kreipkitės į vaistininką.</w:t>
      </w:r>
    </w:p>
    <w:p w:rsidR="006155F3" w:rsidRPr="0069252F" w:rsidRDefault="006155F3" w:rsidP="006155F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69252F">
        <w:rPr>
          <w:szCs w:val="22"/>
          <w:lang w:val="lt-LT"/>
        </w:rPr>
        <w:t>Jeigu pasireiškė šalutinis poveikis (net jeigu jis šiame lapelyje nenurodytas), kreipkitės į gydytoją, vaistininką arba slaugytoją. Žr. 4 skyrių.</w:t>
      </w:r>
    </w:p>
    <w:p w:rsidR="006155F3" w:rsidRPr="0069252F" w:rsidRDefault="006155F3" w:rsidP="006155F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69252F">
        <w:rPr>
          <w:szCs w:val="22"/>
          <w:lang w:val="lt-LT"/>
        </w:rPr>
        <w:t>Jeigu per 3 dienas Jūsų savijauta nepagerėjo arba net pablogėjo, kreipkitės į gydytoją.</w:t>
      </w:r>
    </w:p>
    <w:p w:rsidR="006155F3" w:rsidRPr="0069252F" w:rsidRDefault="006155F3" w:rsidP="006155F3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252F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252F">
        <w:rPr>
          <w:szCs w:val="22"/>
          <w:lang w:val="lt-LT"/>
        </w:rPr>
        <w:t>1.</w:t>
      </w:r>
      <w:r w:rsidRPr="0069252F">
        <w:rPr>
          <w:szCs w:val="22"/>
          <w:lang w:val="lt-LT"/>
        </w:rPr>
        <w:tab/>
        <w:t xml:space="preserve">Kas yra </w:t>
      </w:r>
      <w:proofErr w:type="spellStart"/>
      <w:r w:rsidRPr="0069252F">
        <w:rPr>
          <w:szCs w:val="22"/>
          <w:lang w:val="lt-LT"/>
        </w:rPr>
        <w:t>Paracetamol</w:t>
      </w:r>
      <w:proofErr w:type="spellEnd"/>
      <w:r w:rsidRPr="0069252F">
        <w:rPr>
          <w:szCs w:val="22"/>
          <w:lang w:val="lt-LT"/>
        </w:rPr>
        <w:t xml:space="preserve"> </w:t>
      </w:r>
      <w:proofErr w:type="spellStart"/>
      <w:r w:rsidRPr="0069252F">
        <w:rPr>
          <w:szCs w:val="22"/>
          <w:lang w:val="lt-LT"/>
        </w:rPr>
        <w:t>Accord</w:t>
      </w:r>
      <w:proofErr w:type="spellEnd"/>
      <w:r w:rsidRPr="0069252F">
        <w:rPr>
          <w:szCs w:val="22"/>
          <w:lang w:val="lt-LT"/>
        </w:rPr>
        <w:t xml:space="preserve"> ir kam jis vartojamas 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252F">
        <w:rPr>
          <w:szCs w:val="22"/>
          <w:lang w:val="lt-LT"/>
        </w:rPr>
        <w:t>2.</w:t>
      </w:r>
      <w:r w:rsidRPr="0069252F">
        <w:rPr>
          <w:szCs w:val="22"/>
          <w:lang w:val="lt-LT"/>
        </w:rPr>
        <w:tab/>
        <w:t xml:space="preserve">Kas žinotina prieš vartojant </w:t>
      </w:r>
      <w:proofErr w:type="spellStart"/>
      <w:r w:rsidRPr="0069252F">
        <w:rPr>
          <w:szCs w:val="22"/>
          <w:lang w:val="lt-LT"/>
        </w:rPr>
        <w:t>Paracetamol</w:t>
      </w:r>
      <w:proofErr w:type="spellEnd"/>
      <w:r w:rsidRPr="0069252F">
        <w:rPr>
          <w:szCs w:val="22"/>
          <w:lang w:val="lt-LT"/>
        </w:rPr>
        <w:t xml:space="preserve"> </w:t>
      </w:r>
      <w:proofErr w:type="spellStart"/>
      <w:r w:rsidRPr="0069252F">
        <w:rPr>
          <w:szCs w:val="22"/>
          <w:lang w:val="lt-LT"/>
        </w:rPr>
        <w:t>Accord</w:t>
      </w:r>
      <w:proofErr w:type="spellEnd"/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252F">
        <w:rPr>
          <w:szCs w:val="22"/>
          <w:lang w:val="lt-LT"/>
        </w:rPr>
        <w:t>3.</w:t>
      </w:r>
      <w:r w:rsidRPr="0069252F">
        <w:rPr>
          <w:szCs w:val="22"/>
          <w:lang w:val="lt-LT"/>
        </w:rPr>
        <w:tab/>
        <w:t xml:space="preserve">Kaip vartoti </w:t>
      </w:r>
      <w:proofErr w:type="spellStart"/>
      <w:r w:rsidRPr="0069252F">
        <w:rPr>
          <w:szCs w:val="22"/>
          <w:lang w:val="lt-LT"/>
        </w:rPr>
        <w:t>Paracetamol</w:t>
      </w:r>
      <w:proofErr w:type="spellEnd"/>
      <w:r w:rsidRPr="0069252F">
        <w:rPr>
          <w:szCs w:val="22"/>
          <w:lang w:val="lt-LT"/>
        </w:rPr>
        <w:t xml:space="preserve"> </w:t>
      </w:r>
      <w:proofErr w:type="spellStart"/>
      <w:r w:rsidRPr="0069252F">
        <w:rPr>
          <w:szCs w:val="22"/>
          <w:lang w:val="lt-LT"/>
        </w:rPr>
        <w:t>Accord</w:t>
      </w:r>
      <w:proofErr w:type="spellEnd"/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252F">
        <w:rPr>
          <w:szCs w:val="22"/>
          <w:lang w:val="lt-LT"/>
        </w:rPr>
        <w:t>4.</w:t>
      </w:r>
      <w:r w:rsidRPr="0069252F">
        <w:rPr>
          <w:szCs w:val="22"/>
          <w:lang w:val="lt-LT"/>
        </w:rPr>
        <w:tab/>
        <w:t xml:space="preserve">Galimas šalutinis poveikis 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67" w:right="-2" w:hanging="567"/>
        <w:rPr>
          <w:szCs w:val="22"/>
          <w:lang w:val="lt-LT"/>
        </w:rPr>
      </w:pPr>
      <w:r w:rsidRPr="0069252F">
        <w:rPr>
          <w:szCs w:val="22"/>
          <w:lang w:val="lt-LT"/>
        </w:rPr>
        <w:t>5.</w:t>
      </w:r>
      <w:r w:rsidRPr="0069252F">
        <w:rPr>
          <w:szCs w:val="22"/>
          <w:lang w:val="lt-LT"/>
        </w:rPr>
        <w:tab/>
        <w:t xml:space="preserve">Kaip laikyti </w:t>
      </w:r>
      <w:proofErr w:type="spellStart"/>
      <w:r w:rsidRPr="0069252F">
        <w:rPr>
          <w:szCs w:val="22"/>
          <w:lang w:val="lt-LT"/>
        </w:rPr>
        <w:t>Paracetamol</w:t>
      </w:r>
      <w:proofErr w:type="spellEnd"/>
      <w:r w:rsidRPr="0069252F">
        <w:rPr>
          <w:szCs w:val="22"/>
          <w:lang w:val="lt-LT"/>
        </w:rPr>
        <w:t xml:space="preserve"> </w:t>
      </w:r>
      <w:proofErr w:type="spellStart"/>
      <w:r w:rsidRPr="0069252F">
        <w:rPr>
          <w:szCs w:val="22"/>
          <w:lang w:val="lt-LT"/>
        </w:rPr>
        <w:t>Accord</w:t>
      </w:r>
      <w:proofErr w:type="spellEnd"/>
      <w:r w:rsidRPr="0069252F">
        <w:rPr>
          <w:szCs w:val="22"/>
          <w:lang w:val="lt-LT"/>
        </w:rPr>
        <w:t xml:space="preserve"> 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252F">
        <w:rPr>
          <w:szCs w:val="22"/>
          <w:lang w:val="lt-LT"/>
        </w:rPr>
        <w:t>6.</w:t>
      </w:r>
      <w:r w:rsidRPr="0069252F">
        <w:rPr>
          <w:szCs w:val="22"/>
          <w:lang w:val="lt-LT"/>
        </w:rPr>
        <w:tab/>
        <w:t>Pakuotės turinys ir kita informacija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252F">
        <w:rPr>
          <w:rFonts w:ascii="Times New Roman" w:hAnsi="Times New Roman"/>
          <w:sz w:val="22"/>
          <w:szCs w:val="22"/>
          <w:lang w:val="lt-LT"/>
        </w:rPr>
        <w:t>1.</w:t>
      </w:r>
      <w:r w:rsidRPr="0069252F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Paracetamol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Paracetamol</w:t>
      </w:r>
      <w:proofErr w:type="spellEnd"/>
      <w:r w:rsidRPr="0069252F">
        <w:rPr>
          <w:szCs w:val="22"/>
          <w:lang w:val="lt-LT"/>
        </w:rPr>
        <w:t xml:space="preserve"> </w:t>
      </w:r>
      <w:proofErr w:type="spellStart"/>
      <w:r w:rsidRPr="0069252F">
        <w:rPr>
          <w:szCs w:val="22"/>
          <w:lang w:val="lt-LT"/>
        </w:rPr>
        <w:t>Accord</w:t>
      </w:r>
      <w:proofErr w:type="spellEnd"/>
      <w:r w:rsidRPr="0069252F">
        <w:rPr>
          <w:szCs w:val="22"/>
          <w:lang w:val="lt-LT"/>
        </w:rPr>
        <w:t xml:space="preserve"> sudėtyje yra veikliosios medžiagos </w:t>
      </w:r>
      <w:proofErr w:type="spellStart"/>
      <w:r w:rsidRPr="0069252F">
        <w:rPr>
          <w:szCs w:val="22"/>
          <w:lang w:val="lt-LT"/>
        </w:rPr>
        <w:t>paracetamolio</w:t>
      </w:r>
      <w:proofErr w:type="spellEnd"/>
      <w:r w:rsidRPr="0069252F">
        <w:rPr>
          <w:szCs w:val="22"/>
          <w:lang w:val="lt-LT"/>
        </w:rPr>
        <w:t>, priklausančio vaistų, vadinamų analgetikais (vaistais nuo skausmo), grupei.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Paracetamol</w:t>
      </w:r>
      <w:proofErr w:type="spellEnd"/>
      <w:r w:rsidRPr="0069252F">
        <w:rPr>
          <w:szCs w:val="22"/>
          <w:lang w:val="lt-LT"/>
        </w:rPr>
        <w:t xml:space="preserve"> </w:t>
      </w:r>
      <w:proofErr w:type="spellStart"/>
      <w:r w:rsidRPr="0069252F">
        <w:rPr>
          <w:szCs w:val="22"/>
          <w:lang w:val="lt-LT"/>
        </w:rPr>
        <w:t>Accord</w:t>
      </w:r>
      <w:proofErr w:type="spellEnd"/>
      <w:r w:rsidRPr="0069252F">
        <w:rPr>
          <w:szCs w:val="22"/>
          <w:lang w:val="lt-LT"/>
        </w:rPr>
        <w:t xml:space="preserve"> vartojamas skausmui malšinti bei karščiavimui mažinti. Tablečių galima vartoti lengvam ar vidutinio stiprumo skausmui ir (arba) karščiavimui lengvinti.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Paracetamol</w:t>
      </w:r>
      <w:proofErr w:type="spellEnd"/>
      <w:r w:rsidRPr="0069252F">
        <w:rPr>
          <w:szCs w:val="22"/>
          <w:lang w:val="lt-LT"/>
        </w:rPr>
        <w:t xml:space="preserve"> </w:t>
      </w:r>
      <w:proofErr w:type="spellStart"/>
      <w:r w:rsidRPr="0069252F">
        <w:rPr>
          <w:szCs w:val="22"/>
          <w:lang w:val="lt-LT"/>
        </w:rPr>
        <w:t>Accord</w:t>
      </w:r>
      <w:proofErr w:type="spellEnd"/>
      <w:r w:rsidRPr="0069252F">
        <w:rPr>
          <w:szCs w:val="22"/>
          <w:lang w:val="lt-LT"/>
        </w:rPr>
        <w:t xml:space="preserve"> gali vartoti vaikai ir paaugliai, tačiau jis netinka jaunesniems kaip 6 metų vaikams.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252F">
        <w:rPr>
          <w:rFonts w:ascii="Times New Roman" w:hAnsi="Times New Roman"/>
          <w:sz w:val="22"/>
          <w:szCs w:val="22"/>
          <w:lang w:val="lt-LT"/>
        </w:rPr>
        <w:t>2.</w:t>
      </w:r>
      <w:r w:rsidRPr="0069252F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Paracetamol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Paracetamol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vartoti negalima:</w:t>
      </w:r>
    </w:p>
    <w:p w:rsidR="006155F3" w:rsidRPr="0069252F" w:rsidRDefault="006155F3" w:rsidP="006155F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69252F">
        <w:rPr>
          <w:szCs w:val="22"/>
          <w:lang w:val="lt-LT"/>
        </w:rPr>
        <w:t>-</w:t>
      </w:r>
      <w:r w:rsidRPr="0069252F">
        <w:rPr>
          <w:szCs w:val="22"/>
          <w:lang w:val="lt-LT"/>
        </w:rPr>
        <w:tab/>
        <w:t xml:space="preserve">jeigu yra alergija </w:t>
      </w:r>
      <w:proofErr w:type="spellStart"/>
      <w:r w:rsidRPr="0069252F">
        <w:rPr>
          <w:szCs w:val="22"/>
          <w:lang w:val="lt-LT"/>
        </w:rPr>
        <w:t>paracetamoliui</w:t>
      </w:r>
      <w:proofErr w:type="spellEnd"/>
      <w:r w:rsidRPr="0069252F">
        <w:rPr>
          <w:szCs w:val="22"/>
          <w:lang w:val="lt-LT"/>
        </w:rPr>
        <w:t xml:space="preserve"> arba bet kuriai pagalbinei šio vaisto medžiagai (jos išvardytos 6 skyriuje);</w:t>
      </w:r>
    </w:p>
    <w:p w:rsidR="006155F3" w:rsidRPr="0069252F" w:rsidRDefault="006155F3" w:rsidP="006155F3">
      <w:pPr>
        <w:numPr>
          <w:ilvl w:val="12"/>
          <w:numId w:val="0"/>
        </w:numPr>
        <w:spacing w:line="240" w:lineRule="auto"/>
        <w:ind w:left="567" w:hanging="567"/>
        <w:rPr>
          <w:snapToGrid/>
          <w:color w:val="000000"/>
          <w:szCs w:val="22"/>
          <w:lang w:val="lt-LT"/>
        </w:rPr>
      </w:pPr>
      <w:r w:rsidRPr="0069252F">
        <w:rPr>
          <w:szCs w:val="22"/>
          <w:lang w:val="lt-LT"/>
        </w:rPr>
        <w:t>-</w:t>
      </w:r>
      <w:r w:rsidRPr="0069252F">
        <w:rPr>
          <w:szCs w:val="22"/>
          <w:lang w:val="lt-LT"/>
        </w:rPr>
        <w:tab/>
        <w:t>jeigu pacientas yra jaunesnis kaip 6 metų.</w:t>
      </w:r>
    </w:p>
    <w:p w:rsidR="006155F3" w:rsidRPr="0069252F" w:rsidRDefault="006155F3" w:rsidP="006155F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</w:p>
    <w:p w:rsidR="006155F3" w:rsidRPr="0069252F" w:rsidRDefault="006155F3" w:rsidP="006155F3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252F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252F">
        <w:rPr>
          <w:szCs w:val="22"/>
          <w:lang w:val="lt-LT"/>
        </w:rPr>
        <w:t xml:space="preserve">Pasitarkite su gydytoju, vaistininku arba slaugytoju, prieš pradėdami vartoti </w:t>
      </w:r>
      <w:proofErr w:type="spellStart"/>
      <w:r w:rsidRPr="0069252F">
        <w:rPr>
          <w:szCs w:val="22"/>
          <w:lang w:val="lt-LT"/>
        </w:rPr>
        <w:t>Paracetamol</w:t>
      </w:r>
      <w:proofErr w:type="spellEnd"/>
      <w:r w:rsidRPr="0069252F">
        <w:rPr>
          <w:szCs w:val="22"/>
          <w:lang w:val="lt-LT"/>
        </w:rPr>
        <w:t xml:space="preserve"> </w:t>
      </w:r>
      <w:proofErr w:type="spellStart"/>
      <w:r w:rsidRPr="0069252F">
        <w:rPr>
          <w:szCs w:val="22"/>
          <w:lang w:val="lt-LT"/>
        </w:rPr>
        <w:t>Accord</w:t>
      </w:r>
      <w:proofErr w:type="spellEnd"/>
      <w:r w:rsidRPr="0069252F">
        <w:rPr>
          <w:szCs w:val="22"/>
          <w:lang w:val="lt-LT"/>
        </w:rPr>
        <w:t>:</w:t>
      </w:r>
    </w:p>
    <w:p w:rsidR="006155F3" w:rsidRPr="0069252F" w:rsidRDefault="006155F3" w:rsidP="006155F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69252F">
        <w:rPr>
          <w:szCs w:val="22"/>
          <w:lang w:val="lt-LT"/>
        </w:rPr>
        <w:t>-</w:t>
      </w:r>
      <w:r w:rsidRPr="0069252F">
        <w:rPr>
          <w:szCs w:val="22"/>
          <w:lang w:val="lt-LT"/>
        </w:rPr>
        <w:tab/>
        <w:t xml:space="preserve">jeigu vartojate kitų vaistų, kurių sudėtyje yra </w:t>
      </w:r>
      <w:proofErr w:type="spellStart"/>
      <w:r w:rsidRPr="0069252F">
        <w:rPr>
          <w:szCs w:val="22"/>
          <w:lang w:val="lt-LT"/>
        </w:rPr>
        <w:t>paracetamolio</w:t>
      </w:r>
      <w:proofErr w:type="spellEnd"/>
      <w:r w:rsidRPr="0069252F">
        <w:rPr>
          <w:szCs w:val="22"/>
          <w:lang w:val="lt-LT"/>
        </w:rPr>
        <w:t>, kadangi tai gali sukelti sunkų kepenų pažeidimą;</w:t>
      </w:r>
    </w:p>
    <w:p w:rsidR="006155F3" w:rsidRPr="0069252F" w:rsidRDefault="006155F3" w:rsidP="006155F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69252F">
        <w:rPr>
          <w:szCs w:val="22"/>
          <w:lang w:val="lt-LT"/>
        </w:rPr>
        <w:t>-</w:t>
      </w:r>
      <w:r w:rsidRPr="0069252F">
        <w:rPr>
          <w:szCs w:val="22"/>
          <w:lang w:val="lt-LT"/>
        </w:rPr>
        <w:tab/>
        <w:t xml:space="preserve">jeigu sergate inkstų ar kepenų liga (įskaitant </w:t>
      </w:r>
      <w:proofErr w:type="spellStart"/>
      <w:r w:rsidRPr="0069252F">
        <w:rPr>
          <w:szCs w:val="22"/>
          <w:lang w:val="lt-LT"/>
        </w:rPr>
        <w:t>Žilberto</w:t>
      </w:r>
      <w:proofErr w:type="spellEnd"/>
      <w:r w:rsidRPr="0069252F">
        <w:rPr>
          <w:szCs w:val="22"/>
          <w:lang w:val="lt-LT"/>
        </w:rPr>
        <w:t xml:space="preserve"> (</w:t>
      </w:r>
      <w:proofErr w:type="spellStart"/>
      <w:r w:rsidRPr="00371738">
        <w:rPr>
          <w:i/>
          <w:szCs w:val="22"/>
          <w:lang w:val="lt-LT"/>
        </w:rPr>
        <w:t>Gilbert</w:t>
      </w:r>
      <w:proofErr w:type="spellEnd"/>
      <w:r w:rsidRPr="0069252F">
        <w:rPr>
          <w:szCs w:val="22"/>
          <w:lang w:val="lt-LT"/>
        </w:rPr>
        <w:t>) sindromą ar ūminį hepatitą);</w:t>
      </w:r>
    </w:p>
    <w:p w:rsidR="006155F3" w:rsidRPr="0069252F" w:rsidRDefault="006155F3" w:rsidP="006155F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69252F">
        <w:rPr>
          <w:szCs w:val="22"/>
          <w:lang w:val="lt-LT"/>
        </w:rPr>
        <w:t>-</w:t>
      </w:r>
      <w:r w:rsidRPr="0069252F">
        <w:rPr>
          <w:szCs w:val="22"/>
          <w:lang w:val="lt-LT"/>
        </w:rPr>
        <w:tab/>
        <w:t>jeigu Jūsų organizme trūksta tam tikro fermento, vadinamo gliukozės-6-fosfataze;</w:t>
      </w:r>
    </w:p>
    <w:p w:rsidR="006155F3" w:rsidRPr="0069252F" w:rsidRDefault="006155F3" w:rsidP="006155F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69252F">
        <w:rPr>
          <w:szCs w:val="22"/>
          <w:lang w:val="lt-LT"/>
        </w:rPr>
        <w:t>-</w:t>
      </w:r>
      <w:r w:rsidRPr="0069252F">
        <w:rPr>
          <w:szCs w:val="22"/>
          <w:lang w:val="lt-LT"/>
        </w:rPr>
        <w:tab/>
        <w:t>jeigu Jums pasireiškė hemolizinė mažakraujystė (nenormalus raudonųjų kraujo ląstelių irimas);</w:t>
      </w:r>
    </w:p>
    <w:p w:rsidR="006155F3" w:rsidRPr="0069252F" w:rsidRDefault="006155F3" w:rsidP="006155F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69252F">
        <w:rPr>
          <w:szCs w:val="22"/>
          <w:lang w:val="lt-LT"/>
        </w:rPr>
        <w:t>-</w:t>
      </w:r>
      <w:r w:rsidRPr="0069252F">
        <w:rPr>
          <w:szCs w:val="22"/>
          <w:lang w:val="lt-LT"/>
        </w:rPr>
        <w:tab/>
        <w:t>jeigu reguliariai geriate daug alkoholio. Niekada negerkite daugiau kaip 4 tablečių per parą;</w:t>
      </w:r>
    </w:p>
    <w:p w:rsidR="006155F3" w:rsidRPr="0069252F" w:rsidRDefault="006155F3" w:rsidP="006155F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69252F">
        <w:rPr>
          <w:szCs w:val="22"/>
          <w:lang w:val="lt-LT"/>
        </w:rPr>
        <w:t>-</w:t>
      </w:r>
      <w:r w:rsidRPr="0069252F">
        <w:rPr>
          <w:szCs w:val="22"/>
          <w:lang w:val="lt-LT"/>
        </w:rPr>
        <w:tab/>
        <w:t xml:space="preserve">jeigu sergate astma ir esate jautrūs </w:t>
      </w:r>
      <w:proofErr w:type="spellStart"/>
      <w:r w:rsidRPr="0069252F">
        <w:rPr>
          <w:szCs w:val="22"/>
          <w:lang w:val="lt-LT"/>
        </w:rPr>
        <w:t>acetilsalicilo</w:t>
      </w:r>
      <w:proofErr w:type="spellEnd"/>
      <w:r w:rsidRPr="0069252F">
        <w:rPr>
          <w:szCs w:val="22"/>
          <w:lang w:val="lt-LT"/>
        </w:rPr>
        <w:t xml:space="preserve"> rūgščiai;</w:t>
      </w:r>
    </w:p>
    <w:p w:rsidR="006155F3" w:rsidRPr="0069252F" w:rsidRDefault="006155F3" w:rsidP="006155F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69252F">
        <w:rPr>
          <w:szCs w:val="22"/>
          <w:lang w:val="lt-LT"/>
        </w:rPr>
        <w:t>-</w:t>
      </w:r>
      <w:r w:rsidRPr="0069252F">
        <w:rPr>
          <w:szCs w:val="22"/>
          <w:lang w:val="lt-LT"/>
        </w:rPr>
        <w:tab/>
        <w:t>jeigu organizme trūksta skysčių arba Jūsų mityba yra bloga.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252F">
        <w:rPr>
          <w:szCs w:val="22"/>
          <w:lang w:val="lt-LT"/>
        </w:rPr>
        <w:lastRenderedPageBreak/>
        <w:t>Jei yra didelė kūno temperatūra, yra antrinės infekcijos požymių arba simptomų išlieka ilgiau kaip tris dienas, pasitarkite su gydytoju arba vaistininku.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69252F">
        <w:rPr>
          <w:szCs w:val="22"/>
          <w:lang w:val="lt-LT"/>
        </w:rPr>
        <w:t>Piktnaudžiavimo vaistais nuo skausmo sukelto galvos skausmo negalima malšinti didinant dozę. Tokiais atvejais vaistų nuo skausmo galima vartoti tik pasitarus su gydytoju.</w:t>
      </w:r>
    </w:p>
    <w:p w:rsidR="006155F3" w:rsidRPr="0069252F" w:rsidRDefault="006155F3" w:rsidP="006155F3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</w:p>
    <w:p w:rsidR="006155F3" w:rsidRPr="0069252F" w:rsidRDefault="006155F3" w:rsidP="006155F3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252F">
        <w:rPr>
          <w:rFonts w:ascii="Times New Roman" w:hAnsi="Times New Roman"/>
          <w:sz w:val="22"/>
          <w:szCs w:val="22"/>
          <w:lang w:val="lt-LT"/>
        </w:rPr>
        <w:t>Vaikams ir paaugliams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Paracetamol</w:t>
      </w:r>
      <w:proofErr w:type="spellEnd"/>
      <w:r w:rsidRPr="0069252F">
        <w:rPr>
          <w:szCs w:val="22"/>
          <w:lang w:val="lt-LT"/>
        </w:rPr>
        <w:t xml:space="preserve"> </w:t>
      </w:r>
      <w:proofErr w:type="spellStart"/>
      <w:r w:rsidRPr="0069252F">
        <w:rPr>
          <w:szCs w:val="22"/>
          <w:lang w:val="lt-LT"/>
        </w:rPr>
        <w:t>Accord</w:t>
      </w:r>
      <w:proofErr w:type="spellEnd"/>
      <w:r w:rsidRPr="0069252F">
        <w:rPr>
          <w:szCs w:val="22"/>
          <w:lang w:val="lt-LT"/>
        </w:rPr>
        <w:t xml:space="preserve"> negalima vartoti jaunesniems kaip 6 metų vaikams.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252F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Paracetamol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252F">
        <w:rPr>
          <w:szCs w:val="22"/>
          <w:lang w:val="lt-LT"/>
        </w:rPr>
        <w:t>Jeigu vartojate ar neseniai vartojote kitų vaistų, įskaitant įsigytus be recepto, arba dėl to nesate tikri, apie tai pasakykite gydytojui arba vaistininkui.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tabs>
          <w:tab w:val="clear" w:pos="567"/>
        </w:tabs>
        <w:spacing w:line="240" w:lineRule="auto"/>
        <w:rPr>
          <w:b/>
          <w:snapToGrid/>
          <w:color w:val="000000"/>
          <w:szCs w:val="22"/>
          <w:lang w:val="lt-LT"/>
        </w:rPr>
      </w:pPr>
      <w:proofErr w:type="spellStart"/>
      <w:r w:rsidRPr="0069252F">
        <w:rPr>
          <w:b/>
          <w:szCs w:val="22"/>
          <w:lang w:val="lt-LT"/>
        </w:rPr>
        <w:t>Paracetamol</w:t>
      </w:r>
      <w:proofErr w:type="spellEnd"/>
      <w:r w:rsidRPr="0069252F">
        <w:rPr>
          <w:b/>
          <w:szCs w:val="22"/>
          <w:lang w:val="lt-LT"/>
        </w:rPr>
        <w:t xml:space="preserve"> </w:t>
      </w:r>
      <w:proofErr w:type="spellStart"/>
      <w:r w:rsidRPr="0069252F">
        <w:rPr>
          <w:b/>
          <w:szCs w:val="22"/>
          <w:lang w:val="lt-LT"/>
        </w:rPr>
        <w:t>Accord</w:t>
      </w:r>
      <w:proofErr w:type="spellEnd"/>
      <w:r w:rsidRPr="0069252F">
        <w:rPr>
          <w:b/>
          <w:snapToGrid/>
          <w:color w:val="000000"/>
          <w:szCs w:val="22"/>
          <w:lang w:val="lt-LT"/>
        </w:rPr>
        <w:t xml:space="preserve"> nevartokite kartu su kitais vaistais, kurių sudėtyje yra </w:t>
      </w:r>
      <w:proofErr w:type="spellStart"/>
      <w:r w:rsidRPr="0069252F">
        <w:rPr>
          <w:b/>
          <w:snapToGrid/>
          <w:color w:val="000000"/>
          <w:szCs w:val="22"/>
          <w:lang w:val="lt-LT"/>
        </w:rPr>
        <w:t>paracetamolio</w:t>
      </w:r>
      <w:proofErr w:type="spellEnd"/>
      <w:r w:rsidRPr="0069252F">
        <w:rPr>
          <w:b/>
          <w:snapToGrid/>
          <w:color w:val="000000"/>
          <w:szCs w:val="22"/>
          <w:lang w:val="lt-LT"/>
        </w:rPr>
        <w:t>.</w:t>
      </w:r>
    </w:p>
    <w:p w:rsidR="006155F3" w:rsidRPr="0069252F" w:rsidRDefault="006155F3" w:rsidP="006155F3">
      <w:pPr>
        <w:tabs>
          <w:tab w:val="clear" w:pos="567"/>
        </w:tabs>
        <w:spacing w:line="240" w:lineRule="auto"/>
        <w:jc w:val="both"/>
        <w:rPr>
          <w:snapToGrid/>
          <w:color w:val="000000"/>
          <w:szCs w:val="22"/>
          <w:lang w:val="lt-LT"/>
        </w:rPr>
      </w:pPr>
    </w:p>
    <w:p w:rsidR="006155F3" w:rsidRPr="0069252F" w:rsidRDefault="006155F3" w:rsidP="006155F3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 xml:space="preserve">Prieš </w:t>
      </w:r>
      <w:proofErr w:type="spellStart"/>
      <w:r w:rsidRPr="0069252F">
        <w:rPr>
          <w:snapToGrid/>
          <w:color w:val="000000"/>
          <w:szCs w:val="22"/>
          <w:lang w:val="lt-LT"/>
        </w:rPr>
        <w:t>paracetamolio</w:t>
      </w:r>
      <w:proofErr w:type="spellEnd"/>
      <w:r w:rsidRPr="0069252F">
        <w:rPr>
          <w:snapToGrid/>
          <w:color w:val="000000"/>
          <w:szCs w:val="22"/>
          <w:lang w:val="lt-LT"/>
        </w:rPr>
        <w:t xml:space="preserve"> vartojimą pasitarkite su gydytoju, jei vartojate kurį nors iš šių vaistų:</w:t>
      </w:r>
    </w:p>
    <w:p w:rsidR="006155F3" w:rsidRPr="0069252F" w:rsidRDefault="006155F3" w:rsidP="006155F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metoklopramidą</w:t>
      </w:r>
      <w:proofErr w:type="spellEnd"/>
      <w:r w:rsidRPr="0069252F">
        <w:rPr>
          <w:szCs w:val="22"/>
          <w:lang w:val="lt-LT"/>
        </w:rPr>
        <w:t xml:space="preserve"> ar </w:t>
      </w:r>
      <w:proofErr w:type="spellStart"/>
      <w:r w:rsidRPr="0069252F">
        <w:rPr>
          <w:szCs w:val="22"/>
          <w:lang w:val="lt-LT"/>
        </w:rPr>
        <w:t>domperidoną</w:t>
      </w:r>
      <w:proofErr w:type="spellEnd"/>
      <w:r w:rsidRPr="0069252F">
        <w:rPr>
          <w:szCs w:val="22"/>
          <w:lang w:val="lt-LT"/>
        </w:rPr>
        <w:t xml:space="preserve"> (vaistus nuo pykinimo ir vėmimo);</w:t>
      </w:r>
    </w:p>
    <w:p w:rsidR="006155F3" w:rsidRPr="0069252F" w:rsidRDefault="006155F3" w:rsidP="006155F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cholestiraminą</w:t>
      </w:r>
      <w:proofErr w:type="spellEnd"/>
      <w:r w:rsidRPr="0069252F">
        <w:rPr>
          <w:szCs w:val="22"/>
          <w:lang w:val="lt-LT"/>
        </w:rPr>
        <w:t xml:space="preserve"> (jo vartojama cholesterolio kiekiui mažinti);</w:t>
      </w:r>
    </w:p>
    <w:p w:rsidR="006155F3" w:rsidRPr="0069252F" w:rsidRDefault="006155F3" w:rsidP="006155F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varfariną</w:t>
      </w:r>
      <w:proofErr w:type="spellEnd"/>
      <w:r w:rsidRPr="0069252F">
        <w:rPr>
          <w:szCs w:val="22"/>
          <w:lang w:val="lt-LT"/>
        </w:rPr>
        <w:t xml:space="preserve"> ar kitus kumarino darinius (kraują skystinančius vaistus), ypač jei </w:t>
      </w:r>
      <w:proofErr w:type="spellStart"/>
      <w:r w:rsidRPr="0069252F">
        <w:rPr>
          <w:szCs w:val="22"/>
          <w:lang w:val="lt-LT"/>
        </w:rPr>
        <w:t>paracetamolio</w:t>
      </w:r>
      <w:proofErr w:type="spellEnd"/>
      <w:r w:rsidRPr="0069252F">
        <w:rPr>
          <w:szCs w:val="22"/>
          <w:lang w:val="lt-LT"/>
        </w:rPr>
        <w:t xml:space="preserve"> reikia vartoti kasdien ir ilgai;</w:t>
      </w:r>
    </w:p>
    <w:p w:rsidR="006155F3" w:rsidRPr="0069252F" w:rsidRDefault="006155F3" w:rsidP="006155F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salicilamidą</w:t>
      </w:r>
      <w:proofErr w:type="spellEnd"/>
      <w:r w:rsidRPr="0069252F">
        <w:rPr>
          <w:szCs w:val="22"/>
          <w:lang w:val="lt-LT"/>
        </w:rPr>
        <w:t xml:space="preserve"> (vaistą nuo skausmo);</w:t>
      </w:r>
    </w:p>
    <w:p w:rsidR="006155F3" w:rsidRPr="0069252F" w:rsidRDefault="006155F3" w:rsidP="006155F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probenecidą</w:t>
      </w:r>
      <w:proofErr w:type="spellEnd"/>
      <w:r w:rsidRPr="0069252F">
        <w:rPr>
          <w:szCs w:val="22"/>
          <w:lang w:val="lt-LT"/>
        </w:rPr>
        <w:t xml:space="preserve"> (vaistą podagrai gydyti);</w:t>
      </w:r>
    </w:p>
    <w:p w:rsidR="006155F3" w:rsidRPr="0069252F" w:rsidRDefault="006155F3" w:rsidP="006155F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izoniazidą</w:t>
      </w:r>
      <w:proofErr w:type="spellEnd"/>
      <w:r w:rsidRPr="0069252F">
        <w:rPr>
          <w:szCs w:val="22"/>
          <w:lang w:val="lt-LT"/>
        </w:rPr>
        <w:t xml:space="preserve"> ar </w:t>
      </w:r>
      <w:proofErr w:type="spellStart"/>
      <w:r w:rsidRPr="0069252F">
        <w:rPr>
          <w:szCs w:val="22"/>
          <w:lang w:val="lt-LT"/>
        </w:rPr>
        <w:t>rifampiciną</w:t>
      </w:r>
      <w:proofErr w:type="spellEnd"/>
      <w:r w:rsidRPr="0069252F">
        <w:rPr>
          <w:szCs w:val="22"/>
          <w:lang w:val="lt-LT"/>
        </w:rPr>
        <w:t xml:space="preserve"> (vaistus tuberkuliozei gydyti);</w:t>
      </w:r>
    </w:p>
    <w:p w:rsidR="006155F3" w:rsidRPr="0069252F" w:rsidRDefault="006155F3" w:rsidP="006155F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lamotriginą</w:t>
      </w:r>
      <w:proofErr w:type="spellEnd"/>
      <w:r w:rsidRPr="0069252F">
        <w:rPr>
          <w:szCs w:val="22"/>
          <w:lang w:val="lt-LT"/>
        </w:rPr>
        <w:t xml:space="preserve"> ar </w:t>
      </w:r>
      <w:proofErr w:type="spellStart"/>
      <w:r w:rsidRPr="0069252F">
        <w:rPr>
          <w:szCs w:val="22"/>
          <w:lang w:val="lt-LT"/>
        </w:rPr>
        <w:t>fenitoiną</w:t>
      </w:r>
      <w:proofErr w:type="spellEnd"/>
      <w:r w:rsidRPr="0069252F">
        <w:rPr>
          <w:szCs w:val="22"/>
          <w:lang w:val="lt-LT"/>
        </w:rPr>
        <w:t xml:space="preserve"> (vaistus epilepsijai gydyti);</w:t>
      </w:r>
    </w:p>
    <w:p w:rsidR="006155F3" w:rsidRPr="0069252F" w:rsidRDefault="006155F3" w:rsidP="006155F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69252F">
        <w:rPr>
          <w:szCs w:val="22"/>
          <w:lang w:val="lt-LT"/>
        </w:rPr>
        <w:t xml:space="preserve">barbitūratus ar </w:t>
      </w:r>
      <w:proofErr w:type="spellStart"/>
      <w:r w:rsidRPr="0069252F">
        <w:rPr>
          <w:szCs w:val="22"/>
          <w:lang w:val="lt-LT"/>
        </w:rPr>
        <w:t>karbamazepiną</w:t>
      </w:r>
      <w:proofErr w:type="spellEnd"/>
      <w:r w:rsidRPr="0069252F">
        <w:rPr>
          <w:szCs w:val="22"/>
          <w:lang w:val="lt-LT"/>
        </w:rPr>
        <w:t xml:space="preserve"> (atsipalaidavimą ir mieguistumą sukeliančius vaistus);</w:t>
      </w:r>
    </w:p>
    <w:p w:rsidR="006155F3" w:rsidRPr="0069252F" w:rsidRDefault="006155F3" w:rsidP="006155F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69252F">
        <w:rPr>
          <w:szCs w:val="22"/>
          <w:lang w:val="lt-LT"/>
        </w:rPr>
        <w:t>paprastųjų jonažolių preparatus (jų vartojama depresijai gydyti);</w:t>
      </w:r>
    </w:p>
    <w:p w:rsidR="006155F3" w:rsidRPr="0069252F" w:rsidRDefault="006155F3" w:rsidP="006155F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chloramfenikolį</w:t>
      </w:r>
      <w:proofErr w:type="spellEnd"/>
      <w:r w:rsidRPr="0069252F">
        <w:rPr>
          <w:szCs w:val="22"/>
          <w:lang w:val="lt-LT"/>
        </w:rPr>
        <w:t xml:space="preserve"> (antibiotiką);</w:t>
      </w:r>
    </w:p>
    <w:p w:rsidR="006155F3" w:rsidRPr="0069252F" w:rsidRDefault="006155F3" w:rsidP="006155F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zidovudiną</w:t>
      </w:r>
      <w:proofErr w:type="spellEnd"/>
      <w:r w:rsidRPr="0069252F">
        <w:rPr>
          <w:szCs w:val="22"/>
          <w:lang w:val="lt-LT"/>
        </w:rPr>
        <w:t xml:space="preserve"> (vaistą AIDS gydyti).</w:t>
      </w:r>
    </w:p>
    <w:p w:rsidR="006155F3" w:rsidRPr="0069252F" w:rsidRDefault="006155F3" w:rsidP="006155F3">
      <w:pPr>
        <w:tabs>
          <w:tab w:val="clear" w:pos="567"/>
        </w:tabs>
        <w:spacing w:line="240" w:lineRule="auto"/>
        <w:jc w:val="both"/>
        <w:rPr>
          <w:snapToGrid/>
          <w:color w:val="000000"/>
          <w:szCs w:val="22"/>
          <w:lang w:val="lt-LT"/>
        </w:rPr>
      </w:pPr>
    </w:p>
    <w:p w:rsidR="006155F3" w:rsidRPr="0069252F" w:rsidRDefault="006155F3" w:rsidP="006155F3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 xml:space="preserve">Jei Jums bus atliekamas bet koks laboratorinis tyrimas (pvz., kraujo tyrimas, šlapimo tyrimas, odos alergijos testas ir kt.), gydytojui turite pasakyti, kad vartojate </w:t>
      </w:r>
      <w:proofErr w:type="spellStart"/>
      <w:r w:rsidRPr="0069252F">
        <w:rPr>
          <w:snapToGrid/>
          <w:color w:val="000000"/>
          <w:szCs w:val="22"/>
          <w:lang w:val="lt-LT"/>
        </w:rPr>
        <w:t>paracetamolio</w:t>
      </w:r>
      <w:proofErr w:type="spellEnd"/>
      <w:r w:rsidRPr="0069252F">
        <w:rPr>
          <w:snapToGrid/>
          <w:color w:val="000000"/>
          <w:szCs w:val="22"/>
          <w:lang w:val="lt-LT"/>
        </w:rPr>
        <w:t>, kadangi jis gali turėti įtakos šių tyrimų rezultatams.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Paracetamol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vartojimas su maistu, gėrimais ir alkoholiu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Paracetamol</w:t>
      </w:r>
      <w:proofErr w:type="spellEnd"/>
      <w:r w:rsidRPr="0069252F">
        <w:rPr>
          <w:szCs w:val="22"/>
          <w:lang w:val="lt-LT"/>
        </w:rPr>
        <w:t xml:space="preserve"> </w:t>
      </w:r>
      <w:proofErr w:type="spellStart"/>
      <w:r w:rsidRPr="0069252F">
        <w:rPr>
          <w:szCs w:val="22"/>
          <w:lang w:val="lt-LT"/>
        </w:rPr>
        <w:t>Accord</w:t>
      </w:r>
      <w:proofErr w:type="spellEnd"/>
      <w:r w:rsidRPr="0069252F">
        <w:rPr>
          <w:szCs w:val="22"/>
          <w:lang w:val="lt-LT"/>
        </w:rPr>
        <w:t xml:space="preserve"> vartojimo laikotarpiu nerekomenduojama gerti alkoholio dideliais kiekiais.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6155F3" w:rsidRPr="0069252F" w:rsidRDefault="006155F3" w:rsidP="006155F3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252F">
        <w:rPr>
          <w:rFonts w:ascii="Times New Roman" w:hAnsi="Times New Roman"/>
          <w:sz w:val="22"/>
          <w:szCs w:val="22"/>
          <w:lang w:val="lt-LT"/>
        </w:rPr>
        <w:t>Nėštumas, žindymo laikotarpis ir vaisingumas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69252F">
        <w:rPr>
          <w:szCs w:val="22"/>
          <w:u w:val="single"/>
          <w:lang w:val="lt-LT"/>
        </w:rPr>
        <w:t>Nėštumas</w:t>
      </w:r>
    </w:p>
    <w:p w:rsidR="006155F3" w:rsidRPr="00F22AF9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F22AF9">
        <w:rPr>
          <w:szCs w:val="22"/>
          <w:lang w:val="lt-LT"/>
        </w:rPr>
        <w:t xml:space="preserve">Jei būtina, </w:t>
      </w:r>
      <w:proofErr w:type="spellStart"/>
      <w:r>
        <w:rPr>
          <w:szCs w:val="22"/>
          <w:lang w:val="lt-LT"/>
        </w:rPr>
        <w:t>Paracetamol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Accord</w:t>
      </w:r>
      <w:proofErr w:type="spellEnd"/>
      <w:r w:rsidRPr="00F22AF9">
        <w:rPr>
          <w:szCs w:val="22"/>
          <w:lang w:val="lt-LT"/>
        </w:rPr>
        <w:t xml:space="preserve"> galima vartoti nėštumo metu. Turėtumėte vartoti kuo</w:t>
      </w:r>
    </w:p>
    <w:p w:rsidR="006155F3" w:rsidRPr="00F22AF9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F22AF9">
        <w:rPr>
          <w:szCs w:val="22"/>
          <w:lang w:val="lt-LT"/>
        </w:rPr>
        <w:t>mažesnę vaisto dozę, kurios pakanka skausmui ir (arba) karščiavimui sumažinti, ir vartoti vaistą kuo</w:t>
      </w:r>
    </w:p>
    <w:p w:rsidR="006155F3" w:rsidRPr="00F22AF9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F22AF9">
        <w:rPr>
          <w:szCs w:val="22"/>
          <w:lang w:val="lt-LT"/>
        </w:rPr>
        <w:t>trumpiau. Jeigu skausmas ir (arba) karščiavimas nemažėja arba Jums reikia dažniau vartoti šį vaistą,</w:t>
      </w:r>
    </w:p>
    <w:p w:rsidR="006155F3" w:rsidRPr="00BC3311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F22AF9">
        <w:rPr>
          <w:szCs w:val="22"/>
          <w:lang w:val="lt-LT"/>
        </w:rPr>
        <w:t>kreipkitės į savo gydytoją.</w:t>
      </w:r>
    </w:p>
    <w:p w:rsidR="006155F3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69252F">
        <w:rPr>
          <w:szCs w:val="22"/>
          <w:lang w:val="lt-LT"/>
        </w:rPr>
        <w:t>Prieš bet kokio vaisto vartojimą pasitarkite su gydytoju arba vaistininku.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69252F">
        <w:rPr>
          <w:szCs w:val="22"/>
          <w:u w:val="single"/>
          <w:lang w:val="lt-LT"/>
        </w:rPr>
        <w:t>Žindymas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Paracetamolio</w:t>
      </w:r>
      <w:proofErr w:type="spellEnd"/>
      <w:r w:rsidRPr="0069252F">
        <w:rPr>
          <w:szCs w:val="22"/>
          <w:lang w:val="lt-LT"/>
        </w:rPr>
        <w:t xml:space="preserve"> išsiskiria į moters pieną kliniškai mažais kiekiais, tačiau krūtimi maitinamam kūdikiui nepageidaujamo poveikio nepasireiškia. Jei neviršijama rekomenduojama dozė, </w:t>
      </w:r>
      <w:proofErr w:type="spellStart"/>
      <w:r w:rsidRPr="0069252F">
        <w:rPr>
          <w:szCs w:val="22"/>
          <w:lang w:val="lt-LT"/>
        </w:rPr>
        <w:t>paracetamolio</w:t>
      </w:r>
      <w:proofErr w:type="spellEnd"/>
      <w:r w:rsidRPr="0069252F">
        <w:rPr>
          <w:szCs w:val="22"/>
          <w:lang w:val="lt-LT"/>
        </w:rPr>
        <w:t xml:space="preserve"> krūtimi maitinančioms moterims vartoti galima. Ilgalaikio vartojimo atveju būtinas atsargumas.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69252F">
        <w:rPr>
          <w:szCs w:val="22"/>
          <w:u w:val="single"/>
          <w:lang w:val="lt-LT"/>
        </w:rPr>
        <w:t>Vaisingumas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69252F">
        <w:rPr>
          <w:szCs w:val="22"/>
          <w:lang w:val="lt-LT"/>
        </w:rPr>
        <w:t xml:space="preserve">Duomenų apie žalingą įprastai vartojamo </w:t>
      </w:r>
      <w:proofErr w:type="spellStart"/>
      <w:r w:rsidRPr="0069252F">
        <w:rPr>
          <w:szCs w:val="22"/>
          <w:lang w:val="lt-LT"/>
        </w:rPr>
        <w:t>paracetamolio</w:t>
      </w:r>
      <w:proofErr w:type="spellEnd"/>
      <w:r w:rsidRPr="0069252F">
        <w:rPr>
          <w:szCs w:val="22"/>
          <w:lang w:val="lt-LT"/>
        </w:rPr>
        <w:t xml:space="preserve"> poveikį vaisingumui nėra.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69252F">
        <w:rPr>
          <w:szCs w:val="22"/>
          <w:lang w:val="lt-LT"/>
        </w:rPr>
        <w:t>Prieš bet kokio vaisto vartojimą pasitarkite su gydytoju arba vaistininku.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6155F3" w:rsidRPr="0069252F" w:rsidRDefault="006155F3" w:rsidP="006155F3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252F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252F">
        <w:rPr>
          <w:szCs w:val="22"/>
          <w:lang w:val="lt-LT"/>
        </w:rPr>
        <w:t xml:space="preserve">Nėra tikėtina, kad </w:t>
      </w:r>
      <w:proofErr w:type="spellStart"/>
      <w:r w:rsidRPr="0069252F">
        <w:rPr>
          <w:szCs w:val="22"/>
          <w:lang w:val="lt-LT"/>
        </w:rPr>
        <w:t>Paracetamol</w:t>
      </w:r>
      <w:proofErr w:type="spellEnd"/>
      <w:r w:rsidRPr="0069252F">
        <w:rPr>
          <w:szCs w:val="22"/>
          <w:lang w:val="lt-LT"/>
        </w:rPr>
        <w:t xml:space="preserve"> </w:t>
      </w:r>
      <w:proofErr w:type="spellStart"/>
      <w:r w:rsidRPr="0069252F">
        <w:rPr>
          <w:szCs w:val="22"/>
          <w:lang w:val="lt-LT"/>
        </w:rPr>
        <w:t>Accord</w:t>
      </w:r>
      <w:proofErr w:type="spellEnd"/>
      <w:r w:rsidRPr="0069252F">
        <w:rPr>
          <w:szCs w:val="22"/>
          <w:lang w:val="lt-LT"/>
        </w:rPr>
        <w:t xml:space="preserve"> trikdytų gebėjimą vairuoti ar valdyti mechanizmus.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252F">
        <w:rPr>
          <w:rFonts w:ascii="Times New Roman" w:hAnsi="Times New Roman"/>
          <w:sz w:val="22"/>
          <w:szCs w:val="22"/>
          <w:lang w:val="lt-LT"/>
        </w:rPr>
        <w:t>3.</w:t>
      </w:r>
      <w:r w:rsidRPr="0069252F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Paracetamol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252F">
        <w:rPr>
          <w:szCs w:val="22"/>
          <w:lang w:val="lt-LT"/>
        </w:rPr>
        <w:t xml:space="preserve">Visada vartokite šį vaistą tiksliai kaip aprašyta šiame lapelyje arba kaip nurodė gydytojas, vaistininkas arba slaugytojas. Jeigu abejojate, kreipkitės į gydytoją, vaistininką arba slaugytoją. 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69252F">
        <w:rPr>
          <w:b/>
          <w:snapToGrid/>
          <w:szCs w:val="22"/>
          <w:lang w:val="lt-LT"/>
        </w:rPr>
        <w:t>Rekomenduojamos dozės</w:t>
      </w: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u w:val="single"/>
          <w:lang w:val="lt-LT"/>
        </w:rPr>
      </w:pPr>
      <w:r w:rsidRPr="0069252F">
        <w:rPr>
          <w:snapToGrid/>
          <w:color w:val="000000"/>
          <w:szCs w:val="22"/>
          <w:u w:val="single"/>
          <w:lang w:val="lt-LT"/>
        </w:rPr>
        <w:t>Suaugusiesiems ir vyresniems kaip 15 </w:t>
      </w:r>
      <w:r w:rsidRPr="0069252F">
        <w:rPr>
          <w:szCs w:val="22"/>
          <w:u w:val="single"/>
          <w:lang w:val="lt-LT"/>
        </w:rPr>
        <w:t>metų vaikams</w:t>
      </w:r>
      <w:r w:rsidRPr="0069252F">
        <w:rPr>
          <w:snapToGrid/>
          <w:color w:val="000000"/>
          <w:szCs w:val="22"/>
          <w:u w:val="single"/>
          <w:lang w:val="lt-LT"/>
        </w:rPr>
        <w:t xml:space="preserve"> (sveriantiems &gt;55 kg)</w:t>
      </w:r>
    </w:p>
    <w:p w:rsidR="006155F3" w:rsidRPr="0069252F" w:rsidRDefault="006155F3" w:rsidP="006155F3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>Vienkartinė dozė yra 1—2 tabletės (500</w:t>
      </w:r>
      <w:r w:rsidRPr="0069252F">
        <w:rPr>
          <w:snapToGrid/>
          <w:color w:val="000000"/>
          <w:szCs w:val="22"/>
          <w:lang w:val="lt-LT"/>
        </w:rPr>
        <w:noBreakHyphen/>
        <w:t>1000 mg), tokią dozę galima kartotinai vartoti kas 4</w:t>
      </w:r>
      <w:r w:rsidRPr="0069252F">
        <w:rPr>
          <w:snapToGrid/>
          <w:color w:val="000000"/>
          <w:szCs w:val="22"/>
          <w:lang w:val="lt-LT"/>
        </w:rPr>
        <w:noBreakHyphen/>
        <w:t>6 valandas, per 24 valandas galima suvartoti ne daugiau kaip 6 tabletes (3000 mg).</w:t>
      </w: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u w:val="single"/>
          <w:lang w:val="lt-LT"/>
        </w:rPr>
      </w:pPr>
      <w:r w:rsidRPr="0069252F">
        <w:rPr>
          <w:snapToGrid/>
          <w:color w:val="000000"/>
          <w:szCs w:val="22"/>
          <w:u w:val="single"/>
          <w:lang w:val="lt-LT"/>
        </w:rPr>
        <w:t>6</w:t>
      </w:r>
      <w:r w:rsidRPr="0069252F">
        <w:rPr>
          <w:snapToGrid/>
          <w:color w:val="000000"/>
          <w:szCs w:val="22"/>
          <w:u w:val="single"/>
          <w:lang w:val="lt-LT"/>
        </w:rPr>
        <w:noBreakHyphen/>
        <w:t>9 metų vaikams (sveriantiems 22</w:t>
      </w:r>
      <w:r w:rsidRPr="0069252F">
        <w:rPr>
          <w:snapToGrid/>
          <w:color w:val="000000"/>
          <w:szCs w:val="22"/>
          <w:u w:val="single"/>
          <w:lang w:val="lt-LT"/>
        </w:rPr>
        <w:noBreakHyphen/>
        <w:t>30 kg)</w:t>
      </w: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>Vienkartinė dozė yra pusė tabletės, tokią dozę 24 valandų laikotarpiu galima vartoti iki 4</w:t>
      </w:r>
      <w:r w:rsidRPr="0069252F">
        <w:rPr>
          <w:snapToGrid/>
          <w:color w:val="000000"/>
          <w:szCs w:val="22"/>
          <w:lang w:val="lt-LT"/>
        </w:rPr>
        <w:noBreakHyphen/>
        <w:t xml:space="preserve">6 kartų. </w:t>
      </w: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u w:val="single"/>
          <w:lang w:val="lt-LT"/>
        </w:rPr>
      </w:pP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u w:val="single"/>
          <w:lang w:val="lt-LT"/>
        </w:rPr>
      </w:pPr>
      <w:r w:rsidRPr="0069252F">
        <w:rPr>
          <w:snapToGrid/>
          <w:color w:val="000000"/>
          <w:szCs w:val="22"/>
          <w:u w:val="single"/>
          <w:lang w:val="lt-LT"/>
        </w:rPr>
        <w:t>9</w:t>
      </w:r>
      <w:r w:rsidRPr="0069252F">
        <w:rPr>
          <w:snapToGrid/>
          <w:color w:val="000000"/>
          <w:szCs w:val="22"/>
          <w:u w:val="single"/>
          <w:lang w:val="lt-LT"/>
        </w:rPr>
        <w:noBreakHyphen/>
        <w:t>12 metų vaikams (sveriantiems 30</w:t>
      </w:r>
      <w:r w:rsidRPr="0069252F">
        <w:rPr>
          <w:snapToGrid/>
          <w:color w:val="000000"/>
          <w:szCs w:val="22"/>
          <w:u w:val="single"/>
          <w:lang w:val="lt-LT"/>
        </w:rPr>
        <w:noBreakHyphen/>
        <w:t>40 kg)</w:t>
      </w: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>Vienkartinė dozė yra viena tabletė, tokią dozę 24 valandų laikotarpiu galima vartoti iki 3</w:t>
      </w:r>
      <w:r w:rsidRPr="0069252F">
        <w:rPr>
          <w:snapToGrid/>
          <w:color w:val="000000"/>
          <w:szCs w:val="22"/>
          <w:lang w:val="lt-LT"/>
        </w:rPr>
        <w:noBreakHyphen/>
        <w:t xml:space="preserve">4 kartų. </w:t>
      </w: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u w:val="single"/>
          <w:lang w:val="lt-LT"/>
        </w:rPr>
      </w:pPr>
      <w:r w:rsidRPr="0069252F">
        <w:rPr>
          <w:snapToGrid/>
          <w:color w:val="000000"/>
          <w:szCs w:val="22"/>
          <w:u w:val="single"/>
          <w:lang w:val="lt-LT"/>
        </w:rPr>
        <w:t>12</w:t>
      </w:r>
      <w:r w:rsidRPr="0069252F">
        <w:rPr>
          <w:snapToGrid/>
          <w:color w:val="000000"/>
          <w:szCs w:val="22"/>
          <w:u w:val="single"/>
          <w:lang w:val="lt-LT"/>
        </w:rPr>
        <w:noBreakHyphen/>
        <w:t>15 metų vaikams (sveriantiems 40</w:t>
      </w:r>
      <w:r w:rsidRPr="0069252F">
        <w:rPr>
          <w:snapToGrid/>
          <w:color w:val="000000"/>
          <w:szCs w:val="22"/>
          <w:u w:val="single"/>
          <w:lang w:val="lt-LT"/>
        </w:rPr>
        <w:noBreakHyphen/>
        <w:t>55 kg)</w:t>
      </w: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>Vienkartinė dozė yra viena tabletė (500 mg), tokią dozę 24 valandų laikotarpiu galima vartoti iki 4</w:t>
      </w:r>
      <w:r w:rsidRPr="0069252F">
        <w:rPr>
          <w:snapToGrid/>
          <w:color w:val="000000"/>
          <w:szCs w:val="22"/>
          <w:lang w:val="lt-LT"/>
        </w:rPr>
        <w:noBreakHyphen/>
        <w:t xml:space="preserve">6 kartų. </w:t>
      </w: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</w:p>
    <w:p w:rsidR="006155F3" w:rsidRPr="0069252F" w:rsidRDefault="006155F3" w:rsidP="006155F3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>Vaistą reikia vartoti mažiausią nurodytą kiekį kartų jauniausiems tam tikros grupės vaikams.</w:t>
      </w: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>Tabletę reikia nuryti užgeriant dideliu kiekiu vandens. Be to, tabletę galima ištirpdyti dideliame kiekyje vandens, gerai išmaišyti ir išgerti.</w:t>
      </w:r>
    </w:p>
    <w:p w:rsidR="006155F3" w:rsidRPr="0069252F" w:rsidRDefault="006155F3" w:rsidP="006155F3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color w:val="000000"/>
          <w:szCs w:val="22"/>
          <w:lang w:val="lt-LT"/>
        </w:rPr>
      </w:pPr>
      <w:proofErr w:type="spellStart"/>
      <w:r w:rsidRPr="0069252F">
        <w:rPr>
          <w:snapToGrid/>
          <w:color w:val="000000"/>
          <w:szCs w:val="22"/>
          <w:lang w:val="lt-LT"/>
        </w:rPr>
        <w:t>Paracetamol</w:t>
      </w:r>
      <w:proofErr w:type="spellEnd"/>
      <w:r w:rsidRPr="0069252F">
        <w:rPr>
          <w:snapToGrid/>
          <w:color w:val="000000"/>
          <w:szCs w:val="22"/>
          <w:lang w:val="lt-LT"/>
        </w:rPr>
        <w:t xml:space="preserve"> </w:t>
      </w:r>
      <w:proofErr w:type="spellStart"/>
      <w:r w:rsidRPr="0069252F">
        <w:rPr>
          <w:snapToGrid/>
          <w:color w:val="000000"/>
          <w:szCs w:val="22"/>
          <w:lang w:val="lt-LT"/>
        </w:rPr>
        <w:t>Accord</w:t>
      </w:r>
      <w:proofErr w:type="spellEnd"/>
      <w:r w:rsidRPr="0069252F">
        <w:rPr>
          <w:snapToGrid/>
          <w:color w:val="000000"/>
          <w:szCs w:val="22"/>
          <w:lang w:val="lt-LT"/>
        </w:rPr>
        <w:t xml:space="preserve"> nėra tinkamas vartoti jaunesniems kaip 6 metų vaikams.</w:t>
      </w:r>
    </w:p>
    <w:p w:rsidR="006155F3" w:rsidRPr="0069252F" w:rsidRDefault="006155F3" w:rsidP="006155F3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>Tarp dozių vartojimo turi praeiti mažiausiai 4 valandos.</w:t>
      </w:r>
    </w:p>
    <w:p w:rsidR="006155F3" w:rsidRPr="0069252F" w:rsidRDefault="006155F3" w:rsidP="006155F3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 xml:space="preserve">Kartu negalima vartoti jokių kitų vaistų, kurių sudėtyje yra </w:t>
      </w:r>
      <w:proofErr w:type="spellStart"/>
      <w:r w:rsidRPr="0069252F">
        <w:rPr>
          <w:snapToGrid/>
          <w:color w:val="000000"/>
          <w:szCs w:val="22"/>
          <w:lang w:val="lt-LT"/>
        </w:rPr>
        <w:t>paracetamolio</w:t>
      </w:r>
      <w:proofErr w:type="spellEnd"/>
      <w:r w:rsidRPr="0069252F">
        <w:rPr>
          <w:snapToGrid/>
          <w:color w:val="000000"/>
          <w:szCs w:val="22"/>
          <w:lang w:val="lt-LT"/>
        </w:rPr>
        <w:t>.</w:t>
      </w:r>
    </w:p>
    <w:p w:rsidR="006155F3" w:rsidRPr="0069252F" w:rsidRDefault="006155F3" w:rsidP="006155F3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>Negalima viršyti nurodytos dozės.</w:t>
      </w:r>
    </w:p>
    <w:p w:rsidR="006155F3" w:rsidRPr="0069252F" w:rsidRDefault="006155F3" w:rsidP="006155F3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 xml:space="preserve">Jei tokie simptomai kaip karščiavimas ir (arba) skausmas pasikartoja, gydymą </w:t>
      </w:r>
      <w:proofErr w:type="spellStart"/>
      <w:r w:rsidRPr="0069252F">
        <w:rPr>
          <w:snapToGrid/>
          <w:color w:val="000000"/>
          <w:szCs w:val="22"/>
          <w:lang w:val="lt-LT"/>
        </w:rPr>
        <w:t>Paracetamol</w:t>
      </w:r>
      <w:proofErr w:type="spellEnd"/>
      <w:r w:rsidRPr="0069252F">
        <w:rPr>
          <w:snapToGrid/>
          <w:color w:val="000000"/>
          <w:szCs w:val="22"/>
          <w:lang w:val="lt-LT"/>
        </w:rPr>
        <w:t xml:space="preserve"> </w:t>
      </w:r>
      <w:proofErr w:type="spellStart"/>
      <w:r w:rsidRPr="0069252F">
        <w:rPr>
          <w:snapToGrid/>
          <w:color w:val="000000"/>
          <w:szCs w:val="22"/>
          <w:lang w:val="lt-LT"/>
        </w:rPr>
        <w:t>Accord</w:t>
      </w:r>
      <w:proofErr w:type="spellEnd"/>
      <w:r w:rsidRPr="0069252F">
        <w:rPr>
          <w:snapToGrid/>
          <w:color w:val="000000"/>
          <w:szCs w:val="22"/>
          <w:lang w:val="lt-LT"/>
        </w:rPr>
        <w:t xml:space="preserve"> galima kartoti.</w:t>
      </w:r>
    </w:p>
    <w:p w:rsidR="006155F3" w:rsidRPr="0069252F" w:rsidRDefault="006155F3" w:rsidP="006155F3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color w:val="000000"/>
          <w:szCs w:val="22"/>
          <w:lang w:val="lt-LT"/>
        </w:rPr>
      </w:pPr>
      <w:proofErr w:type="spellStart"/>
      <w:r w:rsidRPr="0069252F">
        <w:rPr>
          <w:snapToGrid/>
          <w:color w:val="000000"/>
          <w:szCs w:val="22"/>
          <w:lang w:val="lt-LT"/>
        </w:rPr>
        <w:t>Paracetamol</w:t>
      </w:r>
      <w:proofErr w:type="spellEnd"/>
      <w:r w:rsidRPr="0069252F">
        <w:rPr>
          <w:snapToGrid/>
          <w:color w:val="000000"/>
          <w:szCs w:val="22"/>
          <w:lang w:val="lt-LT"/>
        </w:rPr>
        <w:t xml:space="preserve"> </w:t>
      </w:r>
      <w:proofErr w:type="spellStart"/>
      <w:r w:rsidRPr="0069252F">
        <w:rPr>
          <w:snapToGrid/>
          <w:color w:val="000000"/>
          <w:szCs w:val="22"/>
          <w:lang w:val="lt-LT"/>
        </w:rPr>
        <w:t>Accord</w:t>
      </w:r>
      <w:proofErr w:type="spellEnd"/>
      <w:r w:rsidRPr="0069252F">
        <w:rPr>
          <w:snapToGrid/>
          <w:color w:val="000000"/>
          <w:szCs w:val="22"/>
          <w:lang w:val="lt-LT"/>
        </w:rPr>
        <w:t xml:space="preserve"> turi vagelę, kad tabletę būtų galima lengvai perlaužti, jei vaistą vartoja vaikas.</w:t>
      </w:r>
    </w:p>
    <w:p w:rsidR="006155F3" w:rsidRPr="0069252F" w:rsidRDefault="006155F3" w:rsidP="006155F3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>Jei skausmas tęsiasi ilgiau kaip 5 dienas, karščiuojama ilgiau kaip 3 dienas, minėti simptomai pasunkėja arba atsiranda bet kokių kitokių simptomų, būtina nutraukti gydymą ir kreiptis į gydytoją.</w:t>
      </w: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</w:p>
    <w:p w:rsidR="006155F3" w:rsidRPr="0069252F" w:rsidRDefault="006155F3" w:rsidP="006155F3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 xml:space="preserve">Jei yra toliau išvaryta būklė, veiksminga paros dozė negali būti didesnė kaip 60 mg/kg kūno svorio per parą (ne daugiau kaip </w:t>
      </w:r>
      <w:r w:rsidRPr="0069252F">
        <w:rPr>
          <w:szCs w:val="22"/>
          <w:lang w:val="lt-LT"/>
        </w:rPr>
        <w:t>2 g per parą</w:t>
      </w:r>
      <w:r w:rsidRPr="0069252F">
        <w:rPr>
          <w:snapToGrid/>
          <w:color w:val="000000"/>
          <w:szCs w:val="22"/>
          <w:lang w:val="lt-LT"/>
        </w:rPr>
        <w:t>).</w:t>
      </w:r>
    </w:p>
    <w:p w:rsidR="006155F3" w:rsidRPr="0069252F" w:rsidRDefault="006155F3" w:rsidP="006155F3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>Suaugęs pacientas sveria mažiau kaip 50</w:t>
      </w:r>
      <w:r>
        <w:rPr>
          <w:snapToGrid/>
          <w:color w:val="000000"/>
          <w:szCs w:val="22"/>
          <w:lang w:val="lt-LT"/>
        </w:rPr>
        <w:t> </w:t>
      </w:r>
      <w:r w:rsidRPr="0069252F">
        <w:rPr>
          <w:snapToGrid/>
          <w:color w:val="000000"/>
          <w:szCs w:val="22"/>
          <w:lang w:val="lt-LT"/>
        </w:rPr>
        <w:t>kg.</w:t>
      </w:r>
    </w:p>
    <w:p w:rsidR="006155F3" w:rsidRPr="0069252F" w:rsidRDefault="006155F3" w:rsidP="006155F3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 xml:space="preserve">Lengvas ar vidutinio sunkumo kepenų nepakankamumas, </w:t>
      </w:r>
      <w:proofErr w:type="spellStart"/>
      <w:r w:rsidRPr="0069252F">
        <w:rPr>
          <w:snapToGrid/>
          <w:color w:val="000000"/>
          <w:szCs w:val="22"/>
          <w:lang w:val="lt-LT"/>
        </w:rPr>
        <w:t>Žilberto</w:t>
      </w:r>
      <w:proofErr w:type="spellEnd"/>
      <w:r w:rsidRPr="0069252F">
        <w:rPr>
          <w:snapToGrid/>
          <w:color w:val="000000"/>
          <w:szCs w:val="22"/>
          <w:lang w:val="lt-LT"/>
        </w:rPr>
        <w:t xml:space="preserve"> (</w:t>
      </w:r>
      <w:proofErr w:type="spellStart"/>
      <w:r w:rsidRPr="00371738">
        <w:rPr>
          <w:i/>
          <w:snapToGrid/>
          <w:color w:val="000000"/>
          <w:szCs w:val="22"/>
          <w:lang w:val="lt-LT"/>
        </w:rPr>
        <w:t>Gilbert</w:t>
      </w:r>
      <w:proofErr w:type="spellEnd"/>
      <w:r w:rsidRPr="0069252F">
        <w:rPr>
          <w:snapToGrid/>
          <w:color w:val="000000"/>
          <w:szCs w:val="22"/>
          <w:lang w:val="lt-LT"/>
        </w:rPr>
        <w:t>) sindromas (šeiminė nehemolizinė gelta).</w:t>
      </w:r>
    </w:p>
    <w:p w:rsidR="006155F3" w:rsidRPr="0069252F" w:rsidRDefault="006155F3" w:rsidP="006155F3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>Organizme trūksta skysčių.</w:t>
      </w:r>
    </w:p>
    <w:p w:rsidR="006155F3" w:rsidRPr="0069252F" w:rsidRDefault="006155F3" w:rsidP="006155F3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>Nuolatinė bloga mityba.</w:t>
      </w: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>Vykdykite šiuos nurodymus, nebent gydytojas patarė kitaip.</w:t>
      </w: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lang w:val="lt-LT"/>
        </w:rPr>
        <w:t xml:space="preserve">Jei manote, kad </w:t>
      </w:r>
      <w:proofErr w:type="spellStart"/>
      <w:r w:rsidRPr="0069252F">
        <w:rPr>
          <w:snapToGrid/>
          <w:color w:val="000000"/>
          <w:szCs w:val="22"/>
          <w:lang w:val="lt-LT"/>
        </w:rPr>
        <w:t>Paracetamol</w:t>
      </w:r>
      <w:proofErr w:type="spellEnd"/>
      <w:r w:rsidRPr="0069252F">
        <w:rPr>
          <w:snapToGrid/>
          <w:color w:val="000000"/>
          <w:szCs w:val="22"/>
          <w:lang w:val="lt-LT"/>
        </w:rPr>
        <w:t xml:space="preserve"> </w:t>
      </w:r>
      <w:proofErr w:type="spellStart"/>
      <w:r w:rsidRPr="0069252F">
        <w:rPr>
          <w:snapToGrid/>
          <w:color w:val="000000"/>
          <w:szCs w:val="22"/>
          <w:lang w:val="lt-LT"/>
        </w:rPr>
        <w:t>Accord</w:t>
      </w:r>
      <w:proofErr w:type="spellEnd"/>
      <w:r w:rsidRPr="0069252F">
        <w:rPr>
          <w:snapToGrid/>
          <w:color w:val="000000"/>
          <w:szCs w:val="22"/>
          <w:lang w:val="lt-LT"/>
        </w:rPr>
        <w:t xml:space="preserve"> veikia per stipriai arba per silpnai, pasitarkite su gydytoju arba vaistininku.</w:t>
      </w:r>
    </w:p>
    <w:p w:rsidR="006155F3" w:rsidRPr="0069252F" w:rsidRDefault="006155F3" w:rsidP="006155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u w:val="single"/>
          <w:lang w:val="lt-LT"/>
        </w:rPr>
      </w:pPr>
    </w:p>
    <w:p w:rsidR="006155F3" w:rsidRPr="0069252F" w:rsidRDefault="006155F3" w:rsidP="006155F3">
      <w:pPr>
        <w:shd w:val="clear" w:color="auto" w:fill="FFFFFF"/>
        <w:tabs>
          <w:tab w:val="clear" w:pos="567"/>
        </w:tabs>
        <w:spacing w:line="240" w:lineRule="auto"/>
        <w:rPr>
          <w:bCs/>
          <w:snapToGrid/>
          <w:color w:val="000000"/>
          <w:szCs w:val="22"/>
          <w:u w:val="single"/>
          <w:lang w:val="lt-LT"/>
        </w:rPr>
      </w:pPr>
      <w:r w:rsidRPr="0069252F">
        <w:rPr>
          <w:bCs/>
          <w:snapToGrid/>
          <w:color w:val="000000"/>
          <w:szCs w:val="22"/>
          <w:u w:val="single"/>
          <w:lang w:val="lt-LT"/>
        </w:rPr>
        <w:t>Vartojimo metodas</w:t>
      </w:r>
    </w:p>
    <w:p w:rsidR="006155F3" w:rsidRPr="0069252F" w:rsidRDefault="006155F3" w:rsidP="006155F3">
      <w:pPr>
        <w:shd w:val="clear" w:color="auto" w:fill="FFFFFF"/>
        <w:tabs>
          <w:tab w:val="clear" w:pos="567"/>
        </w:tabs>
        <w:spacing w:line="240" w:lineRule="auto"/>
        <w:rPr>
          <w:bCs/>
          <w:snapToGrid/>
          <w:color w:val="000000"/>
          <w:szCs w:val="22"/>
          <w:lang w:val="lt-LT"/>
        </w:rPr>
      </w:pPr>
      <w:r w:rsidRPr="0069252F">
        <w:rPr>
          <w:bCs/>
          <w:snapToGrid/>
          <w:color w:val="000000"/>
          <w:szCs w:val="22"/>
          <w:lang w:val="lt-LT"/>
        </w:rPr>
        <w:t>Tabletę reikia nuryti užgeriant stikline vandens arba ištirpinti stiklinėje vandens, kurį prieš išgeriant reikia gerai išmaišyti.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252F">
        <w:rPr>
          <w:rFonts w:ascii="Times New Roman" w:hAnsi="Times New Roman"/>
          <w:sz w:val="22"/>
          <w:szCs w:val="22"/>
          <w:lang w:val="lt-LT"/>
        </w:rPr>
        <w:lastRenderedPageBreak/>
        <w:t xml:space="preserve">Ką daryti pavartojus per didelę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Paracetamol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dozę?</w:t>
      </w:r>
    </w:p>
    <w:p w:rsidR="006155F3" w:rsidRPr="0069252F" w:rsidRDefault="006155F3" w:rsidP="006155F3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69252F">
        <w:rPr>
          <w:snapToGrid/>
          <w:color w:val="000000"/>
          <w:szCs w:val="22"/>
          <w:u w:val="single"/>
          <w:lang w:val="lt-LT"/>
        </w:rPr>
        <w:t xml:space="preserve">PERDOZAVĘ NEDELSDAMI KREIPKITĖS Į MEDIKUS, NET JEI JAUČIATĖS GERAI, </w:t>
      </w:r>
      <w:r w:rsidRPr="0069252F">
        <w:rPr>
          <w:snapToGrid/>
          <w:color w:val="000000"/>
          <w:szCs w:val="22"/>
          <w:lang w:val="lt-LT"/>
        </w:rPr>
        <w:t xml:space="preserve">kadangi gali pasireikšti </w:t>
      </w:r>
      <w:r w:rsidRPr="0069252F">
        <w:rPr>
          <w:b/>
          <w:snapToGrid/>
          <w:color w:val="000000"/>
          <w:szCs w:val="22"/>
          <w:lang w:val="lt-LT"/>
        </w:rPr>
        <w:t>vėlyvas sunkus kepenų pažeidimas.</w:t>
      </w:r>
      <w:r w:rsidRPr="0069252F">
        <w:rPr>
          <w:snapToGrid/>
          <w:color w:val="000000"/>
          <w:szCs w:val="22"/>
          <w:lang w:val="lt-LT"/>
        </w:rPr>
        <w:t xml:space="preserve"> </w:t>
      </w:r>
      <w:proofErr w:type="spellStart"/>
      <w:r w:rsidRPr="0069252F">
        <w:rPr>
          <w:snapToGrid/>
          <w:color w:val="000000"/>
          <w:szCs w:val="22"/>
          <w:lang w:val="lt-LT"/>
        </w:rPr>
        <w:t>Paracetamolio</w:t>
      </w:r>
      <w:proofErr w:type="spellEnd"/>
      <w:r w:rsidRPr="0069252F">
        <w:rPr>
          <w:snapToGrid/>
          <w:color w:val="000000"/>
          <w:szCs w:val="22"/>
          <w:lang w:val="lt-LT"/>
        </w:rPr>
        <w:t xml:space="preserve"> perdozavimo simptomai yra pykinimas, vėmimas ir apetito sumažėjimas. Sąmonė paprastai neišnyksta.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252F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Paracetamol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69252F">
        <w:rPr>
          <w:szCs w:val="22"/>
          <w:lang w:val="lt-LT"/>
        </w:rPr>
        <w:t>Negalima vartoti dvigubos dozės norint kompensuoti praleistą tabletę. Tiesiog tęskite gydymą, kitą dozę išgerdami numatytu laiku.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252F">
        <w:rPr>
          <w:rFonts w:ascii="Times New Roman" w:hAnsi="Times New Roman"/>
          <w:sz w:val="22"/>
          <w:szCs w:val="22"/>
          <w:lang w:val="lt-LT"/>
        </w:rPr>
        <w:t xml:space="preserve">Nustojus vartoti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Paracetamol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69252F">
        <w:rPr>
          <w:szCs w:val="22"/>
          <w:lang w:val="lt-LT"/>
        </w:rPr>
        <w:t>Jeigu kiltų daugiau klausimų dėl šio vaisto vartojimo, kreipkitės į gydytoją arba vaistininką.</w:t>
      </w:r>
    </w:p>
    <w:p w:rsidR="006155F3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6155F3" w:rsidRPr="0069252F" w:rsidRDefault="006155F3" w:rsidP="006155F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252F">
        <w:rPr>
          <w:rFonts w:ascii="Times New Roman" w:hAnsi="Times New Roman"/>
          <w:sz w:val="22"/>
          <w:szCs w:val="22"/>
          <w:lang w:val="lt-LT"/>
        </w:rPr>
        <w:t>4.</w:t>
      </w:r>
      <w:r w:rsidRPr="0069252F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69252F">
        <w:rPr>
          <w:szCs w:val="22"/>
          <w:lang w:val="lt-LT"/>
        </w:rPr>
        <w:t>Šis vaistas, kaip ir visi kiti, gali sukelti šalutinį poveikį, nors jis pasireiškia ne visiems žmonėms.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6155F3" w:rsidRPr="0069252F" w:rsidRDefault="006155F3" w:rsidP="006155F3">
      <w:pPr>
        <w:spacing w:line="240" w:lineRule="auto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Toliau išvardytas ir suklasifikuotas galimas šalutinis poveikis.</w:t>
      </w:r>
    </w:p>
    <w:p w:rsidR="006155F3" w:rsidRPr="0069252F" w:rsidRDefault="006155F3" w:rsidP="006155F3">
      <w:pPr>
        <w:spacing w:line="240" w:lineRule="auto"/>
        <w:rPr>
          <w:bCs/>
          <w:szCs w:val="22"/>
          <w:lang w:val="lt-LT"/>
        </w:rPr>
      </w:pPr>
    </w:p>
    <w:p w:rsidR="006155F3" w:rsidRPr="0069252F" w:rsidRDefault="006155F3" w:rsidP="006155F3">
      <w:pPr>
        <w:spacing w:line="240" w:lineRule="auto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Retas šalutinis poveikis (pasireiškia 1</w:t>
      </w:r>
      <w:r w:rsidRPr="0069252F">
        <w:rPr>
          <w:bCs/>
          <w:szCs w:val="22"/>
          <w:lang w:val="lt-LT"/>
        </w:rPr>
        <w:noBreakHyphen/>
        <w:t>10 vartotojų iš 10 000)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 xml:space="preserve">Sunkūs kraujo sutrikimai, įskaitant </w:t>
      </w:r>
      <w:proofErr w:type="spellStart"/>
      <w:r w:rsidRPr="0069252F">
        <w:rPr>
          <w:bCs/>
          <w:szCs w:val="22"/>
          <w:lang w:val="lt-LT"/>
        </w:rPr>
        <w:t>agranulocitozę</w:t>
      </w:r>
      <w:proofErr w:type="spellEnd"/>
      <w:r w:rsidRPr="0069252F">
        <w:rPr>
          <w:bCs/>
          <w:szCs w:val="22"/>
          <w:lang w:val="lt-LT"/>
        </w:rPr>
        <w:t xml:space="preserve">, </w:t>
      </w:r>
      <w:proofErr w:type="spellStart"/>
      <w:r w:rsidRPr="0069252F">
        <w:rPr>
          <w:bCs/>
          <w:szCs w:val="22"/>
          <w:lang w:val="lt-LT"/>
        </w:rPr>
        <w:t>trombocitopeniją</w:t>
      </w:r>
      <w:proofErr w:type="spellEnd"/>
      <w:r w:rsidRPr="0069252F">
        <w:rPr>
          <w:bCs/>
          <w:szCs w:val="22"/>
          <w:lang w:val="lt-LT"/>
        </w:rPr>
        <w:t xml:space="preserve">, </w:t>
      </w:r>
      <w:proofErr w:type="spellStart"/>
      <w:r w:rsidRPr="0069252F">
        <w:rPr>
          <w:bCs/>
          <w:szCs w:val="22"/>
          <w:lang w:val="lt-LT"/>
        </w:rPr>
        <w:t>trombocitopeninę</w:t>
      </w:r>
      <w:proofErr w:type="spellEnd"/>
      <w:r w:rsidRPr="0069252F">
        <w:rPr>
          <w:bCs/>
          <w:szCs w:val="22"/>
          <w:lang w:val="lt-LT"/>
        </w:rPr>
        <w:t xml:space="preserve"> purpurą, hemolizinę anemiją, </w:t>
      </w:r>
      <w:proofErr w:type="spellStart"/>
      <w:r w:rsidRPr="0069252F">
        <w:rPr>
          <w:bCs/>
          <w:szCs w:val="22"/>
          <w:lang w:val="lt-LT"/>
        </w:rPr>
        <w:t>leukopeniją</w:t>
      </w:r>
      <w:proofErr w:type="spellEnd"/>
      <w:r w:rsidRPr="0069252F">
        <w:rPr>
          <w:bCs/>
          <w:szCs w:val="22"/>
          <w:lang w:val="lt-LT"/>
        </w:rPr>
        <w:t>, trombocitų sutrikimus (kraujo krešėjimo sutrikimus) ir kamieninių ląstelių sutrikimus (kraują kaulų čiulpuose gaminančių ląstelių sutrikimus).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>Alerginės reakcijos.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>Depresija, minčių susipainiojimas, haliucinacijos.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>Drebulys, galvos skausmas.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>Regos sutrikimas.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>Pabrinkimas (nenormalus skysčio kaupimasis po oda).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>Pilvo skausmas, kraujavimas iš skrandžio ar žarnų, viduriavimas, pykinimas, vėmimas.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>Nenormali kepenų funkcija, kepenų nepakankamumas, gelta (simptomai yra odos ir akių pageltimas), kepenų nekrozė (kepenų ląstelių žūtis).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 xml:space="preserve">Išbėrimas, niežėjimas, prakaitavimas, dilgėlinė, raudonos odos dėmės, </w:t>
      </w:r>
      <w:proofErr w:type="spellStart"/>
      <w:r w:rsidRPr="0069252F">
        <w:rPr>
          <w:bCs/>
          <w:szCs w:val="22"/>
          <w:lang w:val="lt-LT"/>
        </w:rPr>
        <w:t>angioneurozinė</w:t>
      </w:r>
      <w:proofErr w:type="spellEnd"/>
      <w:r w:rsidRPr="0069252F">
        <w:rPr>
          <w:bCs/>
          <w:szCs w:val="22"/>
          <w:lang w:val="lt-LT"/>
        </w:rPr>
        <w:t xml:space="preserve"> edema (jos simptomai yra veido, lūpų, </w:t>
      </w:r>
      <w:r>
        <w:rPr>
          <w:bCs/>
          <w:szCs w:val="22"/>
          <w:lang w:val="lt-LT"/>
        </w:rPr>
        <w:t>ryklės</w:t>
      </w:r>
      <w:r w:rsidRPr="0069252F">
        <w:rPr>
          <w:bCs/>
          <w:szCs w:val="22"/>
          <w:lang w:val="lt-LT"/>
        </w:rPr>
        <w:t xml:space="preserve"> ar liežuvio patinimas).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>Svaigulys, bloga bendroji savijauta (negalavimas), karščiavimas, slopinimas, sąveika su vaistais.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>Perdozavimas ir apsinuodijimas.</w:t>
      </w:r>
    </w:p>
    <w:p w:rsidR="006155F3" w:rsidRPr="0069252F" w:rsidRDefault="006155F3" w:rsidP="006155F3">
      <w:pPr>
        <w:spacing w:line="240" w:lineRule="auto"/>
        <w:rPr>
          <w:bCs/>
          <w:szCs w:val="22"/>
          <w:lang w:val="lt-LT"/>
        </w:rPr>
      </w:pPr>
    </w:p>
    <w:p w:rsidR="006155F3" w:rsidRPr="0069252F" w:rsidRDefault="006155F3" w:rsidP="006155F3">
      <w:pPr>
        <w:spacing w:line="240" w:lineRule="auto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 xml:space="preserve">Labai retas šalutinis poveikis (pasireiškia </w:t>
      </w:r>
      <w:r>
        <w:rPr>
          <w:bCs/>
          <w:szCs w:val="22"/>
          <w:lang w:val="lt-LT"/>
        </w:rPr>
        <w:t>rečiau</w:t>
      </w:r>
      <w:r w:rsidRPr="0069252F">
        <w:rPr>
          <w:bCs/>
          <w:szCs w:val="22"/>
          <w:lang w:val="lt-LT"/>
        </w:rPr>
        <w:t xml:space="preserve"> kaip 1 vartotojui iš 10 000)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</w:r>
      <w:proofErr w:type="spellStart"/>
      <w:r w:rsidRPr="0069252F">
        <w:rPr>
          <w:bCs/>
          <w:szCs w:val="22"/>
          <w:lang w:val="lt-LT"/>
        </w:rPr>
        <w:t>Pancitopenija</w:t>
      </w:r>
      <w:proofErr w:type="spellEnd"/>
      <w:r w:rsidRPr="0069252F">
        <w:rPr>
          <w:bCs/>
          <w:szCs w:val="22"/>
          <w:lang w:val="lt-LT"/>
        </w:rPr>
        <w:t xml:space="preserve"> (kraujo ląstelių kiekio sumažėjimas).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 xml:space="preserve">Alerginės reakcijos, dėl kurių reikia nutraukti gydymą, įskaitant </w:t>
      </w:r>
      <w:proofErr w:type="spellStart"/>
      <w:r w:rsidRPr="0069252F">
        <w:rPr>
          <w:bCs/>
          <w:szCs w:val="22"/>
          <w:lang w:val="lt-LT"/>
        </w:rPr>
        <w:t>angioneurozinę</w:t>
      </w:r>
      <w:proofErr w:type="spellEnd"/>
      <w:r w:rsidRPr="0069252F">
        <w:rPr>
          <w:bCs/>
          <w:szCs w:val="22"/>
          <w:lang w:val="lt-LT"/>
        </w:rPr>
        <w:t xml:space="preserve"> edemą, kvėpavimo pasunkėjimą, prakaitavimą, pykinimą, </w:t>
      </w:r>
      <w:proofErr w:type="spellStart"/>
      <w:r w:rsidRPr="0069252F">
        <w:rPr>
          <w:bCs/>
          <w:szCs w:val="22"/>
          <w:lang w:val="lt-LT"/>
        </w:rPr>
        <w:t>hipotenziją</w:t>
      </w:r>
      <w:proofErr w:type="spellEnd"/>
      <w:r w:rsidRPr="0069252F">
        <w:rPr>
          <w:bCs/>
          <w:szCs w:val="22"/>
          <w:lang w:val="lt-LT"/>
        </w:rPr>
        <w:t xml:space="preserve">, šoką ir </w:t>
      </w:r>
      <w:proofErr w:type="spellStart"/>
      <w:r w:rsidRPr="0069252F">
        <w:rPr>
          <w:bCs/>
          <w:szCs w:val="22"/>
          <w:lang w:val="lt-LT"/>
        </w:rPr>
        <w:t>anafilaksiją</w:t>
      </w:r>
      <w:proofErr w:type="spellEnd"/>
      <w:r w:rsidRPr="0069252F">
        <w:rPr>
          <w:bCs/>
          <w:szCs w:val="22"/>
          <w:lang w:val="lt-LT"/>
        </w:rPr>
        <w:t>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>Mažas gliukozės kiekis kraujyje.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>Toksinis poveikis kepenims (cheminių medžiagų sukeltas kepenų pažeidimas).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 xml:space="preserve">Šlapimo </w:t>
      </w:r>
      <w:proofErr w:type="spellStart"/>
      <w:r w:rsidRPr="0069252F">
        <w:rPr>
          <w:bCs/>
          <w:szCs w:val="22"/>
          <w:lang w:val="lt-LT"/>
        </w:rPr>
        <w:t>drumstumas</w:t>
      </w:r>
      <w:proofErr w:type="spellEnd"/>
      <w:r w:rsidRPr="0069252F">
        <w:rPr>
          <w:bCs/>
          <w:szCs w:val="22"/>
          <w:lang w:val="lt-LT"/>
        </w:rPr>
        <w:t xml:space="preserve"> ir inkstų sutrikimai.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>Bronchų spazmas (kvėpavimo pasunkėjimas) pacientams, kurie yra jautrūs aspirinui ar kitiems vaistams nuo uždegimo.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</w:r>
      <w:proofErr w:type="spellStart"/>
      <w:r w:rsidRPr="0069252F">
        <w:rPr>
          <w:bCs/>
          <w:szCs w:val="22"/>
          <w:lang w:val="lt-LT"/>
        </w:rPr>
        <w:t>Hematurija</w:t>
      </w:r>
      <w:proofErr w:type="spellEnd"/>
      <w:r w:rsidRPr="0069252F">
        <w:rPr>
          <w:bCs/>
          <w:szCs w:val="22"/>
          <w:lang w:val="lt-LT"/>
        </w:rPr>
        <w:t xml:space="preserve"> (kraujas šlapime). 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</w:r>
      <w:proofErr w:type="spellStart"/>
      <w:r w:rsidRPr="0069252F">
        <w:rPr>
          <w:bCs/>
          <w:szCs w:val="22"/>
          <w:lang w:val="lt-LT"/>
        </w:rPr>
        <w:t>Anurezė</w:t>
      </w:r>
      <w:proofErr w:type="spellEnd"/>
      <w:r w:rsidRPr="0069252F">
        <w:rPr>
          <w:bCs/>
          <w:szCs w:val="22"/>
          <w:lang w:val="lt-LT"/>
        </w:rPr>
        <w:t xml:space="preserve"> (negalėjimas pasišlapinti).</w:t>
      </w:r>
    </w:p>
    <w:p w:rsidR="006155F3" w:rsidRPr="0069252F" w:rsidRDefault="006155F3" w:rsidP="006155F3">
      <w:pPr>
        <w:spacing w:line="240" w:lineRule="auto"/>
        <w:rPr>
          <w:bCs/>
          <w:szCs w:val="22"/>
          <w:lang w:val="lt-LT"/>
        </w:rPr>
      </w:pPr>
    </w:p>
    <w:p w:rsidR="006155F3" w:rsidRPr="0069252F" w:rsidRDefault="006155F3" w:rsidP="006155F3">
      <w:pPr>
        <w:spacing w:line="240" w:lineRule="auto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Šalutinis poveikis, kurio dažnis nežinomas (negali būti apskaičiuotas pagal turimus duomenis)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 xml:space="preserve">Ūminė išplitusi </w:t>
      </w:r>
      <w:proofErr w:type="spellStart"/>
      <w:r w:rsidRPr="0069252F">
        <w:rPr>
          <w:bCs/>
          <w:szCs w:val="22"/>
          <w:lang w:val="lt-LT"/>
        </w:rPr>
        <w:t>egzanteminė</w:t>
      </w:r>
      <w:proofErr w:type="spellEnd"/>
      <w:r w:rsidRPr="0069252F">
        <w:rPr>
          <w:bCs/>
          <w:szCs w:val="22"/>
          <w:lang w:val="lt-LT"/>
        </w:rPr>
        <w:t xml:space="preserve"> </w:t>
      </w:r>
      <w:proofErr w:type="spellStart"/>
      <w:r w:rsidRPr="0069252F">
        <w:rPr>
          <w:bCs/>
          <w:szCs w:val="22"/>
          <w:lang w:val="lt-LT"/>
        </w:rPr>
        <w:t>pustuliozė</w:t>
      </w:r>
      <w:proofErr w:type="spellEnd"/>
      <w:r w:rsidRPr="0069252F">
        <w:rPr>
          <w:bCs/>
          <w:szCs w:val="22"/>
          <w:lang w:val="lt-LT"/>
        </w:rPr>
        <w:t xml:space="preserve"> (vaisto sukeltas išbėrimas, pasireiškiantis gausiomis mažomis, daugiausia nefolikulinėmis, steriliomis </w:t>
      </w:r>
      <w:proofErr w:type="spellStart"/>
      <w:r w:rsidRPr="0069252F">
        <w:rPr>
          <w:bCs/>
          <w:szCs w:val="22"/>
          <w:lang w:val="lt-LT"/>
        </w:rPr>
        <w:t>pustulėmis</w:t>
      </w:r>
      <w:proofErr w:type="spellEnd"/>
      <w:r w:rsidRPr="0069252F">
        <w:rPr>
          <w:bCs/>
          <w:szCs w:val="22"/>
          <w:lang w:val="lt-LT"/>
        </w:rPr>
        <w:t>).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  <w:t>Sunkus odos išbėrimas ar lupimasis.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</w:r>
      <w:proofErr w:type="spellStart"/>
      <w:r w:rsidRPr="009735BD">
        <w:rPr>
          <w:bCs/>
          <w:szCs w:val="22"/>
        </w:rPr>
        <w:t>Stivenso-Džonsono</w:t>
      </w:r>
      <w:proofErr w:type="spellEnd"/>
      <w:r w:rsidRPr="009735BD">
        <w:rPr>
          <w:bCs/>
          <w:szCs w:val="22"/>
        </w:rPr>
        <w:t xml:space="preserve"> </w:t>
      </w:r>
      <w:r>
        <w:rPr>
          <w:bCs/>
          <w:szCs w:val="22"/>
        </w:rPr>
        <w:t>(</w:t>
      </w:r>
      <w:proofErr w:type="spellStart"/>
      <w:r w:rsidRPr="0069252F">
        <w:rPr>
          <w:bCs/>
          <w:i/>
          <w:szCs w:val="22"/>
          <w:lang w:val="lt-LT"/>
        </w:rPr>
        <w:t>Stevens</w:t>
      </w:r>
      <w:proofErr w:type="spellEnd"/>
      <w:r w:rsidRPr="0069252F">
        <w:rPr>
          <w:bCs/>
          <w:i/>
          <w:szCs w:val="22"/>
          <w:lang w:val="lt-LT"/>
        </w:rPr>
        <w:t>–</w:t>
      </w:r>
      <w:proofErr w:type="spellStart"/>
      <w:r w:rsidRPr="0069252F">
        <w:rPr>
          <w:bCs/>
          <w:i/>
          <w:szCs w:val="22"/>
          <w:lang w:val="lt-LT"/>
        </w:rPr>
        <w:t>Johnson</w:t>
      </w:r>
      <w:proofErr w:type="spellEnd"/>
      <w:r>
        <w:rPr>
          <w:bCs/>
          <w:i/>
          <w:szCs w:val="22"/>
          <w:lang w:val="lt-LT"/>
        </w:rPr>
        <w:t>)</w:t>
      </w:r>
      <w:r w:rsidRPr="0069252F">
        <w:rPr>
          <w:bCs/>
          <w:szCs w:val="22"/>
          <w:lang w:val="lt-LT"/>
        </w:rPr>
        <w:t xml:space="preserve"> sindromas (sunkus gyvybei pavojingas odos sutrikimas).</w:t>
      </w:r>
    </w:p>
    <w:p w:rsidR="006155F3" w:rsidRPr="0069252F" w:rsidRDefault="006155F3" w:rsidP="006155F3">
      <w:pPr>
        <w:spacing w:line="240" w:lineRule="auto"/>
        <w:ind w:left="567" w:hanging="567"/>
        <w:rPr>
          <w:bCs/>
          <w:szCs w:val="22"/>
          <w:lang w:val="lt-LT"/>
        </w:rPr>
      </w:pPr>
      <w:r w:rsidRPr="0069252F">
        <w:rPr>
          <w:bCs/>
          <w:szCs w:val="22"/>
          <w:lang w:val="lt-LT"/>
        </w:rPr>
        <w:t>-</w:t>
      </w:r>
      <w:r w:rsidRPr="0069252F">
        <w:rPr>
          <w:bCs/>
          <w:szCs w:val="22"/>
          <w:lang w:val="lt-LT"/>
        </w:rPr>
        <w:tab/>
      </w:r>
      <w:proofErr w:type="spellStart"/>
      <w:r w:rsidRPr="0069252F">
        <w:rPr>
          <w:bCs/>
          <w:szCs w:val="22"/>
          <w:lang w:val="lt-LT"/>
        </w:rPr>
        <w:t>Paracetamolio</w:t>
      </w:r>
      <w:proofErr w:type="spellEnd"/>
      <w:r w:rsidRPr="0069252F">
        <w:rPr>
          <w:bCs/>
          <w:szCs w:val="22"/>
          <w:lang w:val="lt-LT"/>
        </w:rPr>
        <w:t xml:space="preserve"> vartojimo sukeltas odos paraudimas, pūslėjimas arba išbėrimas.</w:t>
      </w:r>
    </w:p>
    <w:p w:rsidR="006155F3" w:rsidRPr="0069252F" w:rsidRDefault="006155F3" w:rsidP="006155F3">
      <w:pPr>
        <w:spacing w:line="240" w:lineRule="auto"/>
        <w:rPr>
          <w:bCs/>
          <w:szCs w:val="22"/>
          <w:lang w:val="lt-LT"/>
        </w:rPr>
      </w:pPr>
    </w:p>
    <w:p w:rsidR="006155F3" w:rsidRPr="0069252F" w:rsidRDefault="006155F3" w:rsidP="006155F3">
      <w:pPr>
        <w:spacing w:line="240" w:lineRule="auto"/>
        <w:rPr>
          <w:szCs w:val="22"/>
          <w:lang w:val="lt-LT"/>
        </w:rPr>
      </w:pPr>
      <w:r w:rsidRPr="0069252F">
        <w:rPr>
          <w:bCs/>
          <w:szCs w:val="22"/>
          <w:lang w:val="lt-LT"/>
        </w:rPr>
        <w:lastRenderedPageBreak/>
        <w:t>Nutraukus vaisto vartojimą, toks šalutinis poveikis išnyksta. Jei bet koks šalutinis poveikis tampa sunkus, pasakykite gydytojui arba vaistininkui.</w:t>
      </w:r>
    </w:p>
    <w:p w:rsidR="006155F3" w:rsidRPr="0069252F" w:rsidRDefault="006155F3" w:rsidP="006155F3">
      <w:pPr>
        <w:spacing w:line="240" w:lineRule="auto"/>
        <w:rPr>
          <w:szCs w:val="22"/>
          <w:lang w:val="lt-LT"/>
        </w:rPr>
      </w:pPr>
    </w:p>
    <w:p w:rsidR="006155F3" w:rsidRPr="0069252F" w:rsidRDefault="006155F3" w:rsidP="006155F3">
      <w:pPr>
        <w:spacing w:line="240" w:lineRule="auto"/>
        <w:rPr>
          <w:b/>
          <w:szCs w:val="22"/>
          <w:lang w:val="lt-LT"/>
        </w:rPr>
      </w:pPr>
      <w:r w:rsidRPr="0069252F">
        <w:rPr>
          <w:b/>
          <w:szCs w:val="22"/>
          <w:lang w:val="lt-LT"/>
        </w:rPr>
        <w:t>Pranešimas apie šalutinį poveikį</w:t>
      </w:r>
    </w:p>
    <w:p w:rsidR="006155F3" w:rsidRPr="0069252F" w:rsidRDefault="006155F3" w:rsidP="006155F3">
      <w:pPr>
        <w:spacing w:line="240" w:lineRule="auto"/>
        <w:ind w:right="-449"/>
        <w:rPr>
          <w:szCs w:val="22"/>
          <w:lang w:val="lt-LT"/>
        </w:rPr>
      </w:pPr>
      <w:r w:rsidRPr="0069252F">
        <w:rPr>
          <w:szCs w:val="22"/>
          <w:lang w:val="lt-LT"/>
        </w:rPr>
        <w:t xml:space="preserve">Jeigu pasireiškė šalutinis poveikis, įskaitant šiame lapelyje nenurodytą, pasakykite gydytojui, vaistininkui arba slaugytojui. </w:t>
      </w:r>
      <w:r w:rsidRPr="009735BD">
        <w:rPr>
          <w:noProof/>
          <w:szCs w:val="24"/>
          <w:lang w:val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9735BD">
          <w:rPr>
            <w:rStyle w:val="Hipersaitas"/>
            <w:noProof/>
            <w:szCs w:val="24"/>
            <w:lang w:val="lt-LT"/>
          </w:rPr>
          <w:t>www.vvkt.lt</w:t>
        </w:r>
      </w:hyperlink>
      <w:r w:rsidRPr="009735BD">
        <w:rPr>
          <w:noProof/>
          <w:szCs w:val="24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9735BD">
          <w:rPr>
            <w:rStyle w:val="Hipersaitas"/>
            <w:noProof/>
            <w:szCs w:val="24"/>
            <w:lang w:val="lt-LT"/>
          </w:rPr>
          <w:t>NepageidaujamaR@vvkt.lt</w:t>
        </w:r>
      </w:hyperlink>
      <w:r w:rsidRPr="009735BD">
        <w:rPr>
          <w:noProof/>
          <w:szCs w:val="24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9735BD">
          <w:rPr>
            <w:rStyle w:val="Hipersaitas"/>
            <w:noProof/>
            <w:szCs w:val="24"/>
            <w:lang w:val="lt-LT"/>
          </w:rPr>
          <w:t>http://www.vvkt.lt</w:t>
        </w:r>
      </w:hyperlink>
      <w:r w:rsidRPr="009735BD">
        <w:rPr>
          <w:noProof/>
          <w:szCs w:val="24"/>
          <w:lang w:val="lt-LT"/>
        </w:rPr>
        <w:t>). Pranešdami apie šalutinį poveikį galite mums padėti gauti daugiau informacijos apie šio vaisto saugumą.</w:t>
      </w:r>
    </w:p>
    <w:p w:rsidR="006155F3" w:rsidRDefault="006155F3" w:rsidP="006155F3">
      <w:pPr>
        <w:spacing w:line="240" w:lineRule="auto"/>
        <w:ind w:right="-449"/>
        <w:rPr>
          <w:szCs w:val="22"/>
          <w:lang w:val="lt-LT"/>
        </w:rPr>
      </w:pPr>
    </w:p>
    <w:p w:rsidR="006155F3" w:rsidRPr="0069252F" w:rsidRDefault="006155F3" w:rsidP="006155F3">
      <w:pPr>
        <w:spacing w:line="240" w:lineRule="auto"/>
        <w:ind w:right="-449"/>
        <w:rPr>
          <w:szCs w:val="22"/>
          <w:lang w:val="lt-LT"/>
        </w:rPr>
      </w:pPr>
    </w:p>
    <w:p w:rsidR="006155F3" w:rsidRPr="0069252F" w:rsidRDefault="006155F3" w:rsidP="006155F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252F">
        <w:rPr>
          <w:rFonts w:ascii="Times New Roman" w:hAnsi="Times New Roman"/>
          <w:sz w:val="22"/>
          <w:szCs w:val="22"/>
          <w:lang w:val="lt-LT"/>
        </w:rPr>
        <w:t>5.</w:t>
      </w:r>
      <w:r w:rsidRPr="0069252F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Paracetamol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252F">
        <w:rPr>
          <w:szCs w:val="22"/>
          <w:lang w:val="lt-LT"/>
        </w:rPr>
        <w:t>Šį vaistą laikykite vaikams nepastebimoje ir nepasiekiamoje vietoje.</w:t>
      </w:r>
    </w:p>
    <w:p w:rsidR="006155F3" w:rsidRPr="0069252F" w:rsidRDefault="006155F3" w:rsidP="006155F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252F">
        <w:rPr>
          <w:szCs w:val="22"/>
          <w:lang w:val="lt-LT"/>
        </w:rPr>
        <w:t>Ant dėžutės po „Tinka iki“ ir ant lizdinės plokštelės po „EXP“ nurodytam tinkamumo laikui pasibaigus, šio vaisto vartoti negalima. Vaistas tinkamas vartoti iki paskutinės nurodyto mėnesio dienos.</w:t>
      </w:r>
    </w:p>
    <w:p w:rsidR="006155F3" w:rsidRPr="0069252F" w:rsidRDefault="006155F3" w:rsidP="006155F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252F">
        <w:rPr>
          <w:szCs w:val="22"/>
          <w:lang w:val="lt-LT"/>
        </w:rPr>
        <w:t xml:space="preserve">Šiam </w:t>
      </w:r>
      <w:r>
        <w:rPr>
          <w:szCs w:val="22"/>
          <w:lang w:val="lt-LT"/>
        </w:rPr>
        <w:t>vaistui</w:t>
      </w:r>
      <w:r w:rsidRPr="0069252F">
        <w:rPr>
          <w:szCs w:val="22"/>
          <w:lang w:val="lt-LT"/>
        </w:rPr>
        <w:t xml:space="preserve"> specialių laikymo sąlygų nereikia.</w:t>
      </w:r>
    </w:p>
    <w:p w:rsidR="006155F3" w:rsidRPr="0069252F" w:rsidRDefault="006155F3" w:rsidP="006155F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i/>
          <w:szCs w:val="22"/>
          <w:lang w:val="lt-LT"/>
        </w:rPr>
      </w:pPr>
      <w:r w:rsidRPr="0069252F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252F">
        <w:rPr>
          <w:rFonts w:ascii="Times New Roman" w:hAnsi="Times New Roman"/>
          <w:sz w:val="22"/>
          <w:szCs w:val="22"/>
          <w:lang w:val="lt-LT"/>
        </w:rPr>
        <w:t>6.</w:t>
      </w:r>
      <w:r w:rsidRPr="0069252F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69252F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6155F3" w:rsidRPr="0069252F" w:rsidRDefault="006155F3" w:rsidP="006155F3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Paracetamol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sudėtis </w:t>
      </w:r>
    </w:p>
    <w:p w:rsidR="006155F3" w:rsidRPr="0069252F" w:rsidRDefault="006155F3" w:rsidP="006155F3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252F">
        <w:rPr>
          <w:szCs w:val="22"/>
          <w:lang w:val="lt-LT"/>
        </w:rPr>
        <w:t xml:space="preserve">Veiklioji medžiaga yra </w:t>
      </w:r>
      <w:proofErr w:type="spellStart"/>
      <w:r w:rsidRPr="0069252F">
        <w:rPr>
          <w:szCs w:val="22"/>
          <w:lang w:val="lt-LT"/>
        </w:rPr>
        <w:t>paracetamolis</w:t>
      </w:r>
      <w:proofErr w:type="spellEnd"/>
      <w:r w:rsidRPr="0069252F">
        <w:rPr>
          <w:szCs w:val="22"/>
          <w:lang w:val="lt-LT"/>
        </w:rPr>
        <w:t xml:space="preserve">. Kiekvienoje tabletėje yra 500 mg </w:t>
      </w:r>
      <w:proofErr w:type="spellStart"/>
      <w:r w:rsidRPr="0069252F">
        <w:rPr>
          <w:szCs w:val="22"/>
          <w:lang w:val="lt-LT"/>
        </w:rPr>
        <w:t>paracetamolio</w:t>
      </w:r>
      <w:proofErr w:type="spellEnd"/>
      <w:r w:rsidRPr="0069252F">
        <w:rPr>
          <w:szCs w:val="22"/>
          <w:lang w:val="lt-LT"/>
        </w:rPr>
        <w:t>.</w:t>
      </w:r>
    </w:p>
    <w:p w:rsidR="006155F3" w:rsidRPr="0069252F" w:rsidRDefault="006155F3" w:rsidP="006155F3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252F">
        <w:rPr>
          <w:szCs w:val="22"/>
          <w:lang w:val="lt-LT"/>
        </w:rPr>
        <w:t xml:space="preserve">Pagalbinės medžiagos yra kukurūzų krakmolas, želatina (E441), bevandenis koloidinis silicio dioksidas (E551), talkas (E553B), </w:t>
      </w:r>
      <w:proofErr w:type="spellStart"/>
      <w:r w:rsidRPr="0069252F">
        <w:rPr>
          <w:szCs w:val="22"/>
          <w:lang w:val="lt-LT"/>
        </w:rPr>
        <w:t>karboksimetilkrakmolo</w:t>
      </w:r>
      <w:proofErr w:type="spellEnd"/>
      <w:r w:rsidRPr="0069252F">
        <w:rPr>
          <w:szCs w:val="22"/>
          <w:lang w:val="lt-LT"/>
        </w:rPr>
        <w:t xml:space="preserve"> A natrio druska (E468) ir magnio </w:t>
      </w:r>
      <w:proofErr w:type="spellStart"/>
      <w:r w:rsidRPr="0069252F">
        <w:rPr>
          <w:szCs w:val="22"/>
          <w:lang w:val="lt-LT"/>
        </w:rPr>
        <w:t>stearatas</w:t>
      </w:r>
      <w:proofErr w:type="spellEnd"/>
      <w:r w:rsidRPr="0069252F">
        <w:rPr>
          <w:szCs w:val="22"/>
          <w:lang w:val="lt-LT"/>
        </w:rPr>
        <w:t xml:space="preserve"> (E572).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Paracetamol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69252F">
        <w:rPr>
          <w:rFonts w:ascii="Times New Roman" w:hAnsi="Times New Roman"/>
          <w:sz w:val="22"/>
          <w:szCs w:val="22"/>
          <w:lang w:val="lt-LT"/>
        </w:rPr>
        <w:t>Accord</w:t>
      </w:r>
      <w:proofErr w:type="spellEnd"/>
      <w:r w:rsidRPr="0069252F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Paracetamol</w:t>
      </w:r>
      <w:proofErr w:type="spellEnd"/>
      <w:r w:rsidRPr="0069252F">
        <w:rPr>
          <w:szCs w:val="22"/>
          <w:lang w:val="lt-LT"/>
        </w:rPr>
        <w:t xml:space="preserve"> </w:t>
      </w:r>
      <w:proofErr w:type="spellStart"/>
      <w:r w:rsidRPr="0069252F">
        <w:rPr>
          <w:szCs w:val="22"/>
          <w:lang w:val="lt-LT"/>
        </w:rPr>
        <w:t>Accord</w:t>
      </w:r>
      <w:proofErr w:type="spellEnd"/>
      <w:r w:rsidRPr="0069252F">
        <w:rPr>
          <w:szCs w:val="22"/>
          <w:lang w:val="lt-LT"/>
        </w:rPr>
        <w:t xml:space="preserve"> yra baltos</w:t>
      </w:r>
      <w:r>
        <w:rPr>
          <w:szCs w:val="22"/>
          <w:lang w:val="lt-LT"/>
        </w:rPr>
        <w:t xml:space="preserve"> spalvos</w:t>
      </w:r>
      <w:r w:rsidRPr="0069252F">
        <w:rPr>
          <w:szCs w:val="22"/>
          <w:lang w:val="lt-LT"/>
        </w:rPr>
        <w:t>, nedengtos, kapsulės formos tabletės, vienoje pusėje yra užrašas „B</w:t>
      </w:r>
      <w:r>
        <w:rPr>
          <w:szCs w:val="22"/>
          <w:lang w:val="lt-LT"/>
        </w:rPr>
        <w:t>“</w:t>
      </w:r>
      <w:r w:rsidRPr="0069252F">
        <w:rPr>
          <w:szCs w:val="22"/>
          <w:lang w:val="lt-LT"/>
        </w:rPr>
        <w:t xml:space="preserve"> </w:t>
      </w:r>
      <w:r>
        <w:rPr>
          <w:szCs w:val="22"/>
          <w:lang w:val="lt-LT"/>
        </w:rPr>
        <w:t>vagelė</w:t>
      </w:r>
      <w:r w:rsidRPr="0069252F">
        <w:rPr>
          <w:szCs w:val="22"/>
          <w:lang w:val="lt-LT"/>
        </w:rPr>
        <w:t xml:space="preserve"> </w:t>
      </w:r>
      <w:r>
        <w:rPr>
          <w:szCs w:val="22"/>
          <w:lang w:val="lt-LT"/>
        </w:rPr>
        <w:t>„</w:t>
      </w:r>
      <w:r w:rsidRPr="0069252F">
        <w:rPr>
          <w:szCs w:val="22"/>
          <w:lang w:val="lt-LT"/>
        </w:rPr>
        <w:t>T“, kita pusė lygi. Tabletę galima padalyti į lygias dozes.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252F">
        <w:rPr>
          <w:b/>
          <w:szCs w:val="22"/>
          <w:lang w:val="lt-LT"/>
        </w:rPr>
        <w:t>Išmatavimai</w:t>
      </w:r>
      <w:r w:rsidRPr="0069252F">
        <w:rPr>
          <w:szCs w:val="22"/>
          <w:lang w:val="lt-LT"/>
        </w:rPr>
        <w:t>. Tabletės ilgis, plotis ir storis yra atitinkamai 16,50±0,20 mm, 8,20±0,20 mm ir 5,10±0,30 mm.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69252F">
        <w:rPr>
          <w:szCs w:val="22"/>
          <w:lang w:val="lt-LT"/>
        </w:rPr>
        <w:t>Paracetamol</w:t>
      </w:r>
      <w:proofErr w:type="spellEnd"/>
      <w:r w:rsidRPr="0069252F">
        <w:rPr>
          <w:szCs w:val="22"/>
          <w:lang w:val="lt-LT"/>
        </w:rPr>
        <w:t xml:space="preserve"> </w:t>
      </w:r>
      <w:proofErr w:type="spellStart"/>
      <w:r w:rsidRPr="0069252F">
        <w:rPr>
          <w:szCs w:val="22"/>
          <w:lang w:val="lt-LT"/>
        </w:rPr>
        <w:t>Accord</w:t>
      </w:r>
      <w:proofErr w:type="spellEnd"/>
      <w:r w:rsidRPr="0069252F">
        <w:rPr>
          <w:szCs w:val="22"/>
          <w:lang w:val="lt-LT"/>
        </w:rPr>
        <w:t xml:space="preserve"> tiekiamas aliuminio-PVC lizdinėse plokštelėse. Pakuotėje yra </w:t>
      </w:r>
      <w:r w:rsidRPr="00A469F3">
        <w:rPr>
          <w:color w:val="000000"/>
          <w:lang w:val="lt-LT"/>
        </w:rPr>
        <w:t xml:space="preserve">10, 12 </w:t>
      </w:r>
      <w:r w:rsidRPr="0069252F">
        <w:rPr>
          <w:szCs w:val="22"/>
          <w:lang w:val="lt-LT"/>
        </w:rPr>
        <w:t xml:space="preserve">arba </w:t>
      </w:r>
      <w:r>
        <w:rPr>
          <w:szCs w:val="22"/>
          <w:lang w:val="lt-LT"/>
        </w:rPr>
        <w:t>2</w:t>
      </w:r>
      <w:r w:rsidRPr="0069252F">
        <w:rPr>
          <w:szCs w:val="22"/>
          <w:lang w:val="lt-LT"/>
        </w:rPr>
        <w:t>0 tablečių.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252F">
        <w:rPr>
          <w:szCs w:val="22"/>
          <w:lang w:val="lt-LT"/>
        </w:rPr>
        <w:t>Gali būti tiekiamos ne visų dydžių pakuotės.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Default="006155F3" w:rsidP="006155F3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Registruotojas</w:t>
      </w:r>
    </w:p>
    <w:p w:rsidR="006155F3" w:rsidRPr="00BC3311" w:rsidRDefault="006155F3" w:rsidP="006155F3">
      <w:pPr>
        <w:spacing w:line="240" w:lineRule="auto"/>
        <w:rPr>
          <w:lang w:val="lt-LT"/>
        </w:rPr>
      </w:pPr>
      <w:proofErr w:type="spellStart"/>
      <w:r w:rsidRPr="00BC3311">
        <w:rPr>
          <w:lang w:val="lt-LT"/>
        </w:rPr>
        <w:t>Accord</w:t>
      </w:r>
      <w:proofErr w:type="spellEnd"/>
      <w:r w:rsidRPr="00BC3311">
        <w:rPr>
          <w:lang w:val="lt-LT"/>
        </w:rPr>
        <w:t xml:space="preserve"> </w:t>
      </w:r>
      <w:proofErr w:type="spellStart"/>
      <w:r w:rsidRPr="00BC3311">
        <w:rPr>
          <w:lang w:val="lt-LT"/>
        </w:rPr>
        <w:t>Healthcare</w:t>
      </w:r>
      <w:proofErr w:type="spellEnd"/>
      <w:r w:rsidRPr="00BC3311">
        <w:rPr>
          <w:lang w:val="lt-LT"/>
        </w:rPr>
        <w:t xml:space="preserve"> B.V. </w:t>
      </w:r>
    </w:p>
    <w:p w:rsidR="006155F3" w:rsidRPr="00BC3311" w:rsidRDefault="006155F3" w:rsidP="006155F3">
      <w:pPr>
        <w:spacing w:line="240" w:lineRule="auto"/>
        <w:rPr>
          <w:lang w:val="lt-LT"/>
        </w:rPr>
      </w:pPr>
      <w:proofErr w:type="spellStart"/>
      <w:r w:rsidRPr="00BC3311">
        <w:rPr>
          <w:lang w:val="lt-LT"/>
        </w:rPr>
        <w:t>Winthontlaan</w:t>
      </w:r>
      <w:proofErr w:type="spellEnd"/>
      <w:r w:rsidRPr="00BC3311">
        <w:rPr>
          <w:lang w:val="lt-LT"/>
        </w:rPr>
        <w:t xml:space="preserve"> 200 </w:t>
      </w:r>
    </w:p>
    <w:p w:rsidR="006155F3" w:rsidRPr="00BC3311" w:rsidRDefault="006155F3" w:rsidP="006155F3">
      <w:pPr>
        <w:spacing w:line="240" w:lineRule="auto"/>
        <w:rPr>
          <w:lang w:val="lt-LT"/>
        </w:rPr>
      </w:pPr>
      <w:r w:rsidRPr="00BC3311">
        <w:rPr>
          <w:lang w:val="lt-LT"/>
        </w:rPr>
        <w:t xml:space="preserve">3526 KV </w:t>
      </w:r>
      <w:proofErr w:type="spellStart"/>
      <w:r w:rsidRPr="00BC3311">
        <w:rPr>
          <w:lang w:val="lt-LT"/>
        </w:rPr>
        <w:t>Utrecht</w:t>
      </w:r>
      <w:proofErr w:type="spellEnd"/>
      <w:r w:rsidRPr="00BC3311">
        <w:rPr>
          <w:lang w:val="lt-LT"/>
        </w:rPr>
        <w:t xml:space="preserve"> </w:t>
      </w:r>
    </w:p>
    <w:p w:rsidR="006155F3" w:rsidRPr="00BC3311" w:rsidRDefault="006155F3" w:rsidP="006155F3">
      <w:pPr>
        <w:spacing w:line="240" w:lineRule="auto"/>
        <w:rPr>
          <w:lang w:val="lt-LT"/>
        </w:rPr>
      </w:pPr>
      <w:r w:rsidRPr="00BC3311">
        <w:rPr>
          <w:lang w:val="lt-LT"/>
        </w:rPr>
        <w:t>Nyderlandai</w:t>
      </w:r>
    </w:p>
    <w:p w:rsidR="006155F3" w:rsidRPr="00BC3311" w:rsidRDefault="006155F3" w:rsidP="006155F3">
      <w:pPr>
        <w:pStyle w:val="Antrat4"/>
        <w:spacing w:line="240" w:lineRule="auto"/>
        <w:rPr>
          <w:lang w:val="lt-LT"/>
        </w:rPr>
      </w:pPr>
    </w:p>
    <w:p w:rsidR="006155F3" w:rsidRPr="00BC3311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BC3311">
        <w:rPr>
          <w:b/>
          <w:lang w:val="lt-LT"/>
        </w:rPr>
        <w:t>Gamintojas</w:t>
      </w:r>
    </w:p>
    <w:p w:rsidR="006155F3" w:rsidRPr="00BC3311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 w:rsidRPr="00BC3311">
        <w:rPr>
          <w:lang w:val="lt-LT"/>
        </w:rPr>
        <w:t>Accord</w:t>
      </w:r>
      <w:proofErr w:type="spellEnd"/>
      <w:r w:rsidRPr="00BC3311">
        <w:rPr>
          <w:lang w:val="lt-LT"/>
        </w:rPr>
        <w:t xml:space="preserve"> </w:t>
      </w:r>
      <w:proofErr w:type="spellStart"/>
      <w:r w:rsidRPr="00BC3311">
        <w:rPr>
          <w:lang w:val="lt-LT"/>
        </w:rPr>
        <w:t>Healthcare</w:t>
      </w:r>
      <w:proofErr w:type="spellEnd"/>
      <w:r w:rsidRPr="00BC3311">
        <w:rPr>
          <w:lang w:val="lt-LT"/>
        </w:rPr>
        <w:t xml:space="preserve"> </w:t>
      </w:r>
      <w:proofErr w:type="spellStart"/>
      <w:r w:rsidRPr="00BC3311">
        <w:rPr>
          <w:lang w:val="lt-LT"/>
        </w:rPr>
        <w:t>Limited</w:t>
      </w:r>
      <w:proofErr w:type="spellEnd"/>
    </w:p>
    <w:p w:rsidR="006155F3" w:rsidRPr="00BC3311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BC3311">
        <w:rPr>
          <w:lang w:val="lt-LT"/>
        </w:rPr>
        <w:t xml:space="preserve">Sage </w:t>
      </w:r>
      <w:proofErr w:type="spellStart"/>
      <w:r w:rsidRPr="00BC3311">
        <w:rPr>
          <w:lang w:val="lt-LT"/>
        </w:rPr>
        <w:t>House</w:t>
      </w:r>
      <w:proofErr w:type="spellEnd"/>
      <w:r w:rsidRPr="00BC3311">
        <w:rPr>
          <w:lang w:val="lt-LT"/>
        </w:rPr>
        <w:t xml:space="preserve">, 319 </w:t>
      </w:r>
      <w:proofErr w:type="spellStart"/>
      <w:r w:rsidRPr="00BC3311">
        <w:rPr>
          <w:lang w:val="lt-LT"/>
        </w:rPr>
        <w:t>Pinner</w:t>
      </w:r>
      <w:proofErr w:type="spellEnd"/>
      <w:r w:rsidRPr="00BC3311">
        <w:rPr>
          <w:lang w:val="lt-LT"/>
        </w:rPr>
        <w:t xml:space="preserve"> </w:t>
      </w:r>
      <w:proofErr w:type="spellStart"/>
      <w:r w:rsidRPr="00BC3311">
        <w:rPr>
          <w:lang w:val="lt-LT"/>
        </w:rPr>
        <w:t>Road</w:t>
      </w:r>
      <w:proofErr w:type="spellEnd"/>
    </w:p>
    <w:p w:rsidR="006155F3" w:rsidRPr="00BC3311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 w:rsidRPr="00BC3311">
        <w:rPr>
          <w:lang w:val="lt-LT"/>
        </w:rPr>
        <w:t>North</w:t>
      </w:r>
      <w:proofErr w:type="spellEnd"/>
      <w:r w:rsidRPr="00BC3311">
        <w:rPr>
          <w:lang w:val="lt-LT"/>
        </w:rPr>
        <w:t xml:space="preserve"> </w:t>
      </w:r>
      <w:proofErr w:type="spellStart"/>
      <w:r w:rsidRPr="00BC3311">
        <w:rPr>
          <w:lang w:val="lt-LT"/>
        </w:rPr>
        <w:t>Harrow</w:t>
      </w:r>
      <w:proofErr w:type="spellEnd"/>
      <w:r w:rsidRPr="00BC3311">
        <w:rPr>
          <w:lang w:val="lt-LT"/>
        </w:rPr>
        <w:t xml:space="preserve">, </w:t>
      </w:r>
      <w:proofErr w:type="spellStart"/>
      <w:r w:rsidRPr="00BC3311">
        <w:rPr>
          <w:lang w:val="lt-LT"/>
        </w:rPr>
        <w:t>Middlesex</w:t>
      </w:r>
      <w:proofErr w:type="spellEnd"/>
      <w:r w:rsidRPr="00BC3311">
        <w:rPr>
          <w:lang w:val="lt-LT"/>
        </w:rPr>
        <w:t>, HA1 4HF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C3311">
        <w:rPr>
          <w:lang w:val="lt-LT"/>
        </w:rPr>
        <w:t>Jungtin</w:t>
      </w:r>
      <w:r w:rsidRPr="0069252F">
        <w:rPr>
          <w:szCs w:val="22"/>
          <w:lang w:val="lt-LT"/>
        </w:rPr>
        <w:t>ė Karalystė</w:t>
      </w:r>
    </w:p>
    <w:p w:rsidR="006155F3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lastRenderedPageBreak/>
        <w:t>arba</w:t>
      </w: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E83C92" w:rsidRDefault="006155F3" w:rsidP="006155F3">
      <w:pPr>
        <w:rPr>
          <w:szCs w:val="22"/>
          <w:lang w:val="lt-LT"/>
        </w:rPr>
      </w:pPr>
      <w:proofErr w:type="spellStart"/>
      <w:r w:rsidRPr="00E83C92">
        <w:rPr>
          <w:szCs w:val="22"/>
          <w:lang w:val="lt-LT"/>
        </w:rPr>
        <w:t>Accord</w:t>
      </w:r>
      <w:proofErr w:type="spellEnd"/>
      <w:r w:rsidRPr="00E83C92">
        <w:rPr>
          <w:szCs w:val="22"/>
          <w:lang w:val="lt-LT"/>
        </w:rPr>
        <w:t xml:space="preserve"> </w:t>
      </w:r>
      <w:proofErr w:type="spellStart"/>
      <w:r w:rsidRPr="00E83C92">
        <w:rPr>
          <w:szCs w:val="22"/>
          <w:lang w:val="lt-LT"/>
        </w:rPr>
        <w:t>Healthcare</w:t>
      </w:r>
      <w:proofErr w:type="spellEnd"/>
      <w:r w:rsidRPr="00E83C92">
        <w:rPr>
          <w:szCs w:val="22"/>
          <w:lang w:val="lt-LT"/>
        </w:rPr>
        <w:t xml:space="preserve"> </w:t>
      </w:r>
      <w:proofErr w:type="spellStart"/>
      <w:r w:rsidRPr="00E83C92">
        <w:rPr>
          <w:szCs w:val="22"/>
          <w:lang w:val="lt-LT"/>
        </w:rPr>
        <w:t>Polska</w:t>
      </w:r>
      <w:proofErr w:type="spellEnd"/>
      <w:r w:rsidRPr="00E83C92">
        <w:rPr>
          <w:szCs w:val="22"/>
          <w:lang w:val="lt-LT"/>
        </w:rPr>
        <w:t xml:space="preserve"> </w:t>
      </w:r>
      <w:proofErr w:type="spellStart"/>
      <w:r w:rsidRPr="00E83C92">
        <w:rPr>
          <w:szCs w:val="22"/>
          <w:lang w:val="lt-LT"/>
        </w:rPr>
        <w:t>Sp.z</w:t>
      </w:r>
      <w:proofErr w:type="spellEnd"/>
      <w:r w:rsidRPr="00E83C92">
        <w:rPr>
          <w:szCs w:val="22"/>
          <w:lang w:val="lt-LT"/>
        </w:rPr>
        <w:t xml:space="preserve"> </w:t>
      </w:r>
      <w:proofErr w:type="spellStart"/>
      <w:r w:rsidRPr="00E83C92">
        <w:rPr>
          <w:szCs w:val="22"/>
          <w:lang w:val="lt-LT"/>
        </w:rPr>
        <w:t>o.o</w:t>
      </w:r>
      <w:proofErr w:type="spellEnd"/>
      <w:r w:rsidRPr="00E83C92">
        <w:rPr>
          <w:szCs w:val="22"/>
          <w:lang w:val="lt-LT"/>
        </w:rPr>
        <w:t>.</w:t>
      </w:r>
    </w:p>
    <w:p w:rsidR="006155F3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E83C92">
        <w:rPr>
          <w:szCs w:val="22"/>
          <w:lang w:val="lt-LT"/>
        </w:rPr>
        <w:t>ul</w:t>
      </w:r>
      <w:proofErr w:type="spellEnd"/>
      <w:r w:rsidRPr="00E83C92">
        <w:rPr>
          <w:szCs w:val="22"/>
          <w:lang w:val="lt-LT"/>
        </w:rPr>
        <w:t xml:space="preserve">. </w:t>
      </w:r>
      <w:proofErr w:type="spellStart"/>
      <w:r w:rsidRPr="00E83C92">
        <w:rPr>
          <w:szCs w:val="22"/>
          <w:lang w:val="lt-LT"/>
        </w:rPr>
        <w:t>Lutomierska</w:t>
      </w:r>
      <w:proofErr w:type="spellEnd"/>
      <w:r w:rsidRPr="00E83C92">
        <w:rPr>
          <w:szCs w:val="22"/>
          <w:lang w:val="lt-LT"/>
        </w:rPr>
        <w:t xml:space="preserve"> 50</w:t>
      </w:r>
    </w:p>
    <w:p w:rsidR="006155F3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83C92">
        <w:rPr>
          <w:szCs w:val="22"/>
          <w:lang w:val="lt-LT"/>
        </w:rPr>
        <w:t xml:space="preserve">95-200 </w:t>
      </w:r>
      <w:proofErr w:type="spellStart"/>
      <w:r w:rsidRPr="00E83C92">
        <w:rPr>
          <w:szCs w:val="22"/>
          <w:lang w:val="lt-LT"/>
        </w:rPr>
        <w:t>Pabianice</w:t>
      </w:r>
      <w:proofErr w:type="spellEnd"/>
    </w:p>
    <w:p w:rsidR="006155F3" w:rsidRPr="00E83C92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E83C92">
        <w:rPr>
          <w:szCs w:val="22"/>
          <w:lang w:val="lt-LT"/>
        </w:rPr>
        <w:t>Lenkija</w:t>
      </w:r>
    </w:p>
    <w:p w:rsidR="006155F3" w:rsidRPr="00E83C92" w:rsidRDefault="006155F3" w:rsidP="006155F3">
      <w:pPr>
        <w:spacing w:line="240" w:lineRule="auto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:rsidR="006155F3" w:rsidRDefault="006155F3" w:rsidP="006155F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69252F">
        <w:rPr>
          <w:b/>
          <w:szCs w:val="22"/>
          <w:lang w:val="lt-LT"/>
        </w:rPr>
        <w:t>Ši</w:t>
      </w:r>
      <w:r>
        <w:rPr>
          <w:b/>
          <w:szCs w:val="22"/>
          <w:lang w:val="lt-LT"/>
        </w:rPr>
        <w:t>s vaistas</w:t>
      </w:r>
      <w:r w:rsidRPr="0069252F">
        <w:rPr>
          <w:b/>
          <w:szCs w:val="22"/>
          <w:lang w:val="lt-LT"/>
        </w:rPr>
        <w:t xml:space="preserve"> EEE valstybėse narėse </w:t>
      </w:r>
      <w:r>
        <w:rPr>
          <w:b/>
          <w:szCs w:val="22"/>
          <w:lang w:val="lt-LT"/>
        </w:rPr>
        <w:t>registruotas</w:t>
      </w:r>
      <w:r w:rsidRPr="0069252F">
        <w:rPr>
          <w:b/>
          <w:szCs w:val="22"/>
          <w:lang w:val="lt-LT"/>
        </w:rPr>
        <w:t xml:space="preserve"> tokiais pavadinimais</w:t>
      </w:r>
      <w:r w:rsidRPr="0069252F">
        <w:rPr>
          <w:szCs w:val="22"/>
          <w:lang w:val="lt-LT"/>
        </w:rPr>
        <w:t>:</w:t>
      </w:r>
    </w:p>
    <w:p w:rsidR="006155F3" w:rsidRPr="0069252F" w:rsidRDefault="006155F3" w:rsidP="006155F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tbl>
      <w:tblPr>
        <w:tblW w:w="8080" w:type="dxa"/>
        <w:tblLook w:val="01E0" w:firstRow="1" w:lastRow="1" w:firstColumn="1" w:lastColumn="1" w:noHBand="0" w:noVBand="0"/>
      </w:tblPr>
      <w:tblGrid>
        <w:gridCol w:w="3119"/>
        <w:gridCol w:w="4961"/>
      </w:tblGrid>
      <w:tr w:rsidR="006155F3" w:rsidRPr="0069252F" w:rsidTr="00872DEB">
        <w:tc>
          <w:tcPr>
            <w:tcW w:w="3119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b/>
                <w:snapToGrid/>
                <w:color w:val="000000"/>
                <w:szCs w:val="22"/>
                <w:lang w:val="lt-LT"/>
              </w:rPr>
            </w:pPr>
            <w:r w:rsidRPr="0069252F">
              <w:rPr>
                <w:b/>
                <w:szCs w:val="22"/>
                <w:lang w:val="lt-LT"/>
              </w:rPr>
              <w:t>Valstybės narės pavadinimas</w:t>
            </w:r>
          </w:p>
        </w:tc>
        <w:tc>
          <w:tcPr>
            <w:tcW w:w="4961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b/>
                <w:snapToGrid/>
                <w:color w:val="000000"/>
                <w:szCs w:val="22"/>
                <w:lang w:val="lt-LT"/>
              </w:rPr>
            </w:pPr>
            <w:r w:rsidRPr="0069252F">
              <w:rPr>
                <w:b/>
                <w:szCs w:val="22"/>
                <w:lang w:val="lt-LT"/>
              </w:rPr>
              <w:t>Vaistinio preparato pavadinimas</w:t>
            </w:r>
          </w:p>
        </w:tc>
      </w:tr>
      <w:tr w:rsidR="006155F3" w:rsidRPr="0069252F" w:rsidTr="00872DEB">
        <w:tc>
          <w:tcPr>
            <w:tcW w:w="3119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r w:rsidRPr="0069252F">
              <w:rPr>
                <w:snapToGrid/>
                <w:color w:val="000000"/>
                <w:szCs w:val="22"/>
                <w:lang w:val="lt-LT"/>
              </w:rPr>
              <w:t>Austrija</w:t>
            </w:r>
          </w:p>
        </w:tc>
        <w:tc>
          <w:tcPr>
            <w:tcW w:w="4961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Paracetamol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Accord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500 mg </w:t>
            </w: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tabletten</w:t>
            </w:r>
            <w:proofErr w:type="spellEnd"/>
          </w:p>
        </w:tc>
      </w:tr>
      <w:tr w:rsidR="006155F3" w:rsidRPr="0069252F" w:rsidTr="00872DEB">
        <w:tc>
          <w:tcPr>
            <w:tcW w:w="3119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r w:rsidRPr="0069252F">
              <w:rPr>
                <w:snapToGrid/>
                <w:color w:val="000000"/>
                <w:szCs w:val="22"/>
                <w:lang w:val="lt-LT"/>
              </w:rPr>
              <w:t>Bulgarija</w:t>
            </w:r>
          </w:p>
        </w:tc>
        <w:tc>
          <w:tcPr>
            <w:tcW w:w="4961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Paracetamol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Accord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500 mg </w:t>
            </w: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tablets</w:t>
            </w:r>
            <w:proofErr w:type="spellEnd"/>
          </w:p>
        </w:tc>
      </w:tr>
      <w:tr w:rsidR="006155F3" w:rsidRPr="0069252F" w:rsidTr="00872DEB">
        <w:tc>
          <w:tcPr>
            <w:tcW w:w="3119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r w:rsidRPr="0069252F">
              <w:rPr>
                <w:snapToGrid/>
                <w:color w:val="000000"/>
                <w:szCs w:val="22"/>
                <w:lang w:val="lt-LT"/>
              </w:rPr>
              <w:t>Kipras</w:t>
            </w:r>
          </w:p>
        </w:tc>
        <w:tc>
          <w:tcPr>
            <w:tcW w:w="4961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Paracetamol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Accord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500 mg </w:t>
            </w: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tablets</w:t>
            </w:r>
            <w:proofErr w:type="spellEnd"/>
          </w:p>
        </w:tc>
      </w:tr>
      <w:tr w:rsidR="006155F3" w:rsidRPr="0069252F" w:rsidTr="00872DEB">
        <w:tc>
          <w:tcPr>
            <w:tcW w:w="3119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r w:rsidRPr="0069252F">
              <w:rPr>
                <w:snapToGrid/>
                <w:color w:val="000000"/>
                <w:szCs w:val="22"/>
                <w:lang w:val="lt-LT"/>
              </w:rPr>
              <w:t>Estija</w:t>
            </w:r>
          </w:p>
        </w:tc>
        <w:tc>
          <w:tcPr>
            <w:tcW w:w="4961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Paracetamol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Accord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</w:t>
            </w:r>
          </w:p>
        </w:tc>
      </w:tr>
      <w:tr w:rsidR="006155F3" w:rsidRPr="0069252F" w:rsidTr="00872DEB">
        <w:tc>
          <w:tcPr>
            <w:tcW w:w="3119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r w:rsidRPr="0069252F">
              <w:rPr>
                <w:snapToGrid/>
                <w:color w:val="000000"/>
                <w:szCs w:val="22"/>
                <w:lang w:val="lt-LT"/>
              </w:rPr>
              <w:t>Suomija</w:t>
            </w:r>
          </w:p>
        </w:tc>
        <w:tc>
          <w:tcPr>
            <w:tcW w:w="4961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Paracetamol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Accord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500 mg </w:t>
            </w: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tabletti</w:t>
            </w:r>
            <w:proofErr w:type="spellEnd"/>
          </w:p>
        </w:tc>
      </w:tr>
      <w:tr w:rsidR="006155F3" w:rsidRPr="0069252F" w:rsidTr="00872DEB">
        <w:tc>
          <w:tcPr>
            <w:tcW w:w="3119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r w:rsidRPr="0069252F">
              <w:rPr>
                <w:snapToGrid/>
                <w:color w:val="000000"/>
                <w:szCs w:val="22"/>
                <w:lang w:val="lt-LT"/>
              </w:rPr>
              <w:t>Prancūzija</w:t>
            </w:r>
          </w:p>
        </w:tc>
        <w:tc>
          <w:tcPr>
            <w:tcW w:w="4961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Paracetamol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Accord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500 mg </w:t>
            </w: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comprimé</w:t>
            </w:r>
            <w:proofErr w:type="spellEnd"/>
          </w:p>
        </w:tc>
      </w:tr>
      <w:tr w:rsidR="006155F3" w:rsidRPr="0069252F" w:rsidTr="00872DEB">
        <w:tc>
          <w:tcPr>
            <w:tcW w:w="3119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r w:rsidRPr="0069252F">
              <w:rPr>
                <w:snapToGrid/>
                <w:color w:val="000000"/>
                <w:szCs w:val="22"/>
                <w:lang w:val="lt-LT"/>
              </w:rPr>
              <w:t>Airija</w:t>
            </w:r>
          </w:p>
        </w:tc>
        <w:tc>
          <w:tcPr>
            <w:tcW w:w="4961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Paracetamol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500 mg </w:t>
            </w: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tablets</w:t>
            </w:r>
            <w:proofErr w:type="spellEnd"/>
          </w:p>
        </w:tc>
      </w:tr>
      <w:tr w:rsidR="006155F3" w:rsidRPr="0069252F" w:rsidTr="00872DEB">
        <w:trPr>
          <w:trHeight w:val="171"/>
        </w:trPr>
        <w:tc>
          <w:tcPr>
            <w:tcW w:w="3119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r w:rsidRPr="0069252F">
              <w:rPr>
                <w:snapToGrid/>
                <w:color w:val="000000"/>
                <w:szCs w:val="22"/>
                <w:lang w:val="lt-LT"/>
              </w:rPr>
              <w:t>Latvija</w:t>
            </w:r>
          </w:p>
        </w:tc>
        <w:tc>
          <w:tcPr>
            <w:tcW w:w="4961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Paracetamol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Accord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500 mg tabletes</w:t>
            </w:r>
          </w:p>
        </w:tc>
      </w:tr>
      <w:tr w:rsidR="006155F3" w:rsidRPr="0069252F" w:rsidTr="00872DEB">
        <w:tc>
          <w:tcPr>
            <w:tcW w:w="3119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r w:rsidRPr="0069252F">
              <w:rPr>
                <w:snapToGrid/>
                <w:color w:val="000000"/>
                <w:szCs w:val="22"/>
                <w:lang w:val="lt-LT"/>
              </w:rPr>
              <w:t>Lietuva</w:t>
            </w:r>
          </w:p>
        </w:tc>
        <w:tc>
          <w:tcPr>
            <w:tcW w:w="4961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Paracetamol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Accord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500 mg tabletės</w:t>
            </w:r>
          </w:p>
        </w:tc>
      </w:tr>
      <w:tr w:rsidR="006155F3" w:rsidRPr="0069252F" w:rsidTr="00872DEB">
        <w:tc>
          <w:tcPr>
            <w:tcW w:w="3119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r w:rsidRPr="0069252F">
              <w:rPr>
                <w:snapToGrid/>
                <w:color w:val="000000"/>
                <w:szCs w:val="22"/>
                <w:lang w:val="lt-LT"/>
              </w:rPr>
              <w:t>Malta</w:t>
            </w:r>
          </w:p>
        </w:tc>
        <w:tc>
          <w:tcPr>
            <w:tcW w:w="4961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Paracetamol</w:t>
            </w:r>
            <w:proofErr w:type="spellEnd"/>
            <w:r w:rsidRPr="0069252F">
              <w:rPr>
                <w:snapToGrid/>
                <w:color w:val="000000"/>
                <w:szCs w:val="22"/>
                <w:lang w:val="lt-LT"/>
              </w:rPr>
              <w:t xml:space="preserve"> 500 mg </w:t>
            </w:r>
            <w:proofErr w:type="spellStart"/>
            <w:r w:rsidRPr="0069252F">
              <w:rPr>
                <w:snapToGrid/>
                <w:color w:val="000000"/>
                <w:szCs w:val="22"/>
                <w:lang w:val="lt-LT"/>
              </w:rPr>
              <w:t>tablets</w:t>
            </w:r>
            <w:proofErr w:type="spellEnd"/>
          </w:p>
        </w:tc>
      </w:tr>
      <w:tr w:rsidR="006155F3" w:rsidRPr="0069252F" w:rsidTr="00872DEB">
        <w:tc>
          <w:tcPr>
            <w:tcW w:w="3119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r w:rsidRPr="0069252F">
              <w:rPr>
                <w:snapToGrid/>
                <w:color w:val="000000"/>
                <w:szCs w:val="22"/>
                <w:lang w:val="lt-LT"/>
              </w:rPr>
              <w:t>Nyderlandai</w:t>
            </w:r>
          </w:p>
        </w:tc>
        <w:tc>
          <w:tcPr>
            <w:tcW w:w="4961" w:type="dxa"/>
          </w:tcPr>
          <w:p w:rsidR="006155F3" w:rsidRPr="0069252F" w:rsidRDefault="006155F3" w:rsidP="00872DEB">
            <w:pPr>
              <w:tabs>
                <w:tab w:val="clear" w:pos="567"/>
              </w:tabs>
              <w:spacing w:line="240" w:lineRule="auto"/>
              <w:rPr>
                <w:snapToGrid/>
                <w:color w:val="000000"/>
                <w:szCs w:val="22"/>
                <w:lang w:val="lt-LT"/>
              </w:rPr>
            </w:pPr>
            <w:proofErr w:type="spellStart"/>
            <w:r w:rsidRPr="0069252F">
              <w:rPr>
                <w:iCs/>
                <w:snapToGrid/>
                <w:color w:val="000000"/>
                <w:szCs w:val="22"/>
                <w:lang w:val="lt-LT"/>
              </w:rPr>
              <w:t>Paracetamol</w:t>
            </w:r>
            <w:proofErr w:type="spellEnd"/>
            <w:r w:rsidRPr="0069252F">
              <w:rPr>
                <w:iCs/>
                <w:snapToGrid/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69252F">
              <w:rPr>
                <w:iCs/>
                <w:snapToGrid/>
                <w:color w:val="000000"/>
                <w:szCs w:val="22"/>
                <w:lang w:val="lt-LT"/>
              </w:rPr>
              <w:t>Accord</w:t>
            </w:r>
            <w:proofErr w:type="spellEnd"/>
            <w:r w:rsidRPr="0069252F">
              <w:rPr>
                <w:iCs/>
                <w:snapToGrid/>
                <w:color w:val="000000"/>
                <w:szCs w:val="22"/>
                <w:lang w:val="lt-LT"/>
              </w:rPr>
              <w:t xml:space="preserve"> 500 mg </w:t>
            </w:r>
            <w:proofErr w:type="spellStart"/>
            <w:r w:rsidRPr="0069252F">
              <w:rPr>
                <w:iCs/>
                <w:snapToGrid/>
                <w:color w:val="000000"/>
                <w:szCs w:val="22"/>
                <w:lang w:val="lt-LT"/>
              </w:rPr>
              <w:t>tabletten</w:t>
            </w:r>
            <w:proofErr w:type="spellEnd"/>
          </w:p>
        </w:tc>
      </w:tr>
    </w:tbl>
    <w:p w:rsidR="006155F3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69252F">
        <w:rPr>
          <w:b/>
          <w:szCs w:val="22"/>
          <w:lang w:val="lt-LT"/>
        </w:rPr>
        <w:t>Šis pakuotės lapelis paskutinį kartą peržiūrėtas</w:t>
      </w:r>
      <w:r w:rsidRPr="00C82776">
        <w:rPr>
          <w:b/>
          <w:lang w:val="lt-LT"/>
        </w:rPr>
        <w:t xml:space="preserve"> </w:t>
      </w:r>
      <w:r>
        <w:rPr>
          <w:b/>
          <w:lang w:val="lt-LT"/>
        </w:rPr>
        <w:t>2020-</w:t>
      </w:r>
      <w:r>
        <w:rPr>
          <w:b/>
          <w:lang w:val="en-US"/>
        </w:rPr>
        <w:t>11-05</w:t>
      </w:r>
      <w:r>
        <w:rPr>
          <w:b/>
          <w:szCs w:val="22"/>
          <w:lang w:val="lt-LT"/>
        </w:rPr>
        <w:t>.</w:t>
      </w:r>
    </w:p>
    <w:p w:rsidR="006155F3" w:rsidRPr="0069252F" w:rsidRDefault="006155F3" w:rsidP="006155F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:rsidR="006155F3" w:rsidRPr="0069252F" w:rsidRDefault="006155F3" w:rsidP="006155F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69252F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69252F">
        <w:rPr>
          <w:i/>
          <w:szCs w:val="22"/>
          <w:lang w:val="lt-LT"/>
        </w:rPr>
        <w:t xml:space="preserve"> </w:t>
      </w:r>
      <w:hyperlink r:id="rId8" w:history="1">
        <w:r w:rsidRPr="0069252F">
          <w:rPr>
            <w:rStyle w:val="Hipersaitas"/>
            <w:rFonts w:eastAsia="SimSun"/>
            <w:szCs w:val="22"/>
            <w:lang w:val="lt-LT"/>
          </w:rPr>
          <w:t>http://www.vvkt.lt/</w:t>
        </w:r>
      </w:hyperlink>
      <w:r w:rsidRPr="0069252F">
        <w:rPr>
          <w:szCs w:val="22"/>
          <w:lang w:val="lt-LT"/>
        </w:rPr>
        <w:t>.</w:t>
      </w:r>
    </w:p>
    <w:p w:rsidR="006155F3" w:rsidRDefault="006155F3" w:rsidP="006155F3">
      <w:pPr>
        <w:rPr>
          <w:lang w:val="lt-LT"/>
        </w:rPr>
      </w:pPr>
    </w:p>
    <w:p w:rsidR="006155F3" w:rsidRPr="00A469F3" w:rsidRDefault="006155F3" w:rsidP="006155F3">
      <w:pPr>
        <w:rPr>
          <w:lang w:val="lt-LT"/>
        </w:rPr>
      </w:pPr>
    </w:p>
    <w:p w:rsidR="009041DB" w:rsidRDefault="009041DB"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083051E"/>
    <w:multiLevelType w:val="hybridMultilevel"/>
    <w:tmpl w:val="E54AF14A"/>
    <w:lvl w:ilvl="0" w:tplc="77F0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64A34"/>
    <w:multiLevelType w:val="hybridMultilevel"/>
    <w:tmpl w:val="CE3C75CA"/>
    <w:lvl w:ilvl="0" w:tplc="77F0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F3"/>
    <w:rsid w:val="006155F3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196F2-8818-40DC-9C11-B68170F3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55F3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155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155F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155F3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6155F3"/>
    <w:rPr>
      <w:rFonts w:ascii="Cambria" w:hAnsi="Cambria" w:cs="Times New Roman"/>
      <w:b/>
      <w:bCs/>
      <w:i/>
      <w:iCs/>
      <w:snapToGrid w:val="0"/>
      <w:sz w:val="28"/>
      <w:szCs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155F3"/>
    <w:rPr>
      <w:rFonts w:ascii="Cambria" w:hAnsi="Cambria" w:cs="Times New Roman"/>
      <w:b/>
      <w:bCs/>
      <w:snapToGrid w:val="0"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155F3"/>
    <w:rPr>
      <w:rFonts w:ascii="Calibri" w:hAnsi="Calibri" w:cs="Times New Roman"/>
      <w:b/>
      <w:bCs/>
      <w:snapToGrid w:val="0"/>
      <w:sz w:val="28"/>
      <w:szCs w:val="28"/>
      <w:lang w:val="en-GB"/>
    </w:rPr>
  </w:style>
  <w:style w:type="character" w:styleId="Hipersaitas">
    <w:name w:val="Hyperlink"/>
    <w:uiPriority w:val="99"/>
    <w:rsid w:val="00615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9229</Words>
  <Characters>5261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2020-11-06T07:41:00Z</dcterms:created>
  <dcterms:modified xsi:type="dcterms:W3CDTF">2020-11-06T07:41:00Z</dcterms:modified>
</cp:coreProperties>
</file>