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BD6" w:rsidRPr="000E1775" w:rsidRDefault="00AA5BD6" w:rsidP="00AA5BD6">
      <w:pPr>
        <w:rPr>
          <w:rFonts w:ascii="Times New Roman" w:hAnsi="Times New Roman"/>
          <w:sz w:val="22"/>
          <w:szCs w:val="22"/>
          <w:lang w:val="lt-LT"/>
        </w:rPr>
      </w:pPr>
    </w:p>
    <w:p w:rsidR="00AA5BD6" w:rsidRPr="000E1775" w:rsidRDefault="00AA5BD6" w:rsidP="00AA5BD6">
      <w:pPr>
        <w:rPr>
          <w:rFonts w:ascii="Times New Roman" w:hAnsi="Times New Roman"/>
          <w:sz w:val="22"/>
          <w:szCs w:val="22"/>
          <w:lang w:val="lt-LT"/>
        </w:rPr>
      </w:pPr>
    </w:p>
    <w:p w:rsidR="00AA5BD6" w:rsidRPr="000E1775" w:rsidRDefault="00AA5BD6" w:rsidP="00AA5BD6">
      <w:pPr>
        <w:rPr>
          <w:rFonts w:ascii="Times New Roman" w:hAnsi="Times New Roman"/>
          <w:sz w:val="22"/>
          <w:szCs w:val="22"/>
          <w:lang w:val="lt-LT"/>
        </w:rPr>
      </w:pPr>
    </w:p>
    <w:p w:rsidR="00AA5BD6" w:rsidRPr="000E1775" w:rsidRDefault="00AA5BD6" w:rsidP="00AA5BD6">
      <w:pPr>
        <w:rPr>
          <w:rFonts w:ascii="Times New Roman" w:hAnsi="Times New Roman"/>
          <w:sz w:val="22"/>
          <w:szCs w:val="22"/>
          <w:lang w:val="lt-LT"/>
        </w:rPr>
      </w:pPr>
    </w:p>
    <w:p w:rsidR="00AA5BD6" w:rsidRPr="000E1775" w:rsidRDefault="00AA5BD6" w:rsidP="00AA5BD6">
      <w:pPr>
        <w:rPr>
          <w:rFonts w:ascii="Times New Roman" w:hAnsi="Times New Roman"/>
          <w:sz w:val="22"/>
          <w:szCs w:val="22"/>
          <w:lang w:val="lt-LT"/>
        </w:rPr>
      </w:pPr>
    </w:p>
    <w:p w:rsidR="00AA5BD6" w:rsidRPr="000E1775" w:rsidRDefault="00AA5BD6" w:rsidP="00AA5BD6">
      <w:pPr>
        <w:rPr>
          <w:rFonts w:ascii="Times New Roman" w:hAnsi="Times New Roman"/>
          <w:sz w:val="22"/>
          <w:szCs w:val="22"/>
          <w:lang w:val="lt-LT"/>
        </w:rPr>
      </w:pPr>
    </w:p>
    <w:p w:rsidR="00AA5BD6" w:rsidRPr="000E1775" w:rsidRDefault="00AA5BD6" w:rsidP="00AA5BD6">
      <w:pPr>
        <w:rPr>
          <w:rFonts w:ascii="Times New Roman" w:hAnsi="Times New Roman"/>
          <w:sz w:val="22"/>
          <w:szCs w:val="22"/>
          <w:lang w:val="lt-LT"/>
        </w:rPr>
      </w:pPr>
    </w:p>
    <w:p w:rsidR="00E5066C" w:rsidRPr="000E1775" w:rsidRDefault="00E5066C" w:rsidP="00E5066C">
      <w:pPr>
        <w:widowControl w:val="0"/>
        <w:rPr>
          <w:rFonts w:ascii="Times New Roman" w:hAnsi="Times New Roman"/>
          <w:color w:val="008000"/>
          <w:sz w:val="22"/>
          <w:szCs w:val="22"/>
          <w:lang w:val="lt-LT"/>
        </w:rPr>
      </w:pPr>
    </w:p>
    <w:p w:rsidR="00E5066C" w:rsidRPr="000E1775" w:rsidRDefault="00E5066C" w:rsidP="00E5066C">
      <w:pPr>
        <w:outlineLvl w:val="0"/>
        <w:rPr>
          <w:rFonts w:ascii="Times New Roman" w:hAnsi="Times New Roman"/>
          <w:b/>
          <w:sz w:val="22"/>
          <w:szCs w:val="22"/>
          <w:lang w:val="lt-LT"/>
        </w:rPr>
      </w:pPr>
    </w:p>
    <w:p w:rsidR="00E5066C" w:rsidRPr="000E1775" w:rsidRDefault="00E5066C" w:rsidP="00E5066C">
      <w:pPr>
        <w:outlineLvl w:val="0"/>
        <w:rPr>
          <w:rFonts w:ascii="Times New Roman" w:hAnsi="Times New Roman"/>
          <w:b/>
          <w:sz w:val="22"/>
          <w:szCs w:val="22"/>
          <w:lang w:val="lt-LT"/>
        </w:rPr>
      </w:pPr>
    </w:p>
    <w:p w:rsidR="00E5066C" w:rsidRPr="000E1775" w:rsidRDefault="00E5066C" w:rsidP="00E5066C">
      <w:pPr>
        <w:outlineLvl w:val="0"/>
        <w:rPr>
          <w:rFonts w:ascii="Times New Roman" w:hAnsi="Times New Roman"/>
          <w:b/>
          <w:sz w:val="22"/>
          <w:szCs w:val="22"/>
          <w:lang w:val="lt-LT"/>
        </w:rPr>
      </w:pPr>
    </w:p>
    <w:p w:rsidR="00E5066C" w:rsidRPr="000E1775" w:rsidRDefault="00E5066C" w:rsidP="00E5066C">
      <w:pPr>
        <w:outlineLvl w:val="0"/>
        <w:rPr>
          <w:rFonts w:ascii="Times New Roman" w:hAnsi="Times New Roman"/>
          <w:b/>
          <w:sz w:val="22"/>
          <w:szCs w:val="22"/>
          <w:lang w:val="lt-LT"/>
        </w:rPr>
      </w:pPr>
    </w:p>
    <w:p w:rsidR="00E5066C" w:rsidRPr="000E1775" w:rsidRDefault="00E5066C" w:rsidP="00E5066C">
      <w:pPr>
        <w:tabs>
          <w:tab w:val="left" w:pos="-1440"/>
          <w:tab w:val="left" w:pos="-720"/>
        </w:tabs>
        <w:rPr>
          <w:rFonts w:ascii="Times New Roman" w:hAnsi="Times New Roman"/>
          <w:b/>
          <w:sz w:val="22"/>
          <w:szCs w:val="22"/>
          <w:lang w:val="lt-LT"/>
        </w:rPr>
      </w:pPr>
    </w:p>
    <w:p w:rsidR="00E5066C" w:rsidRPr="000E1775" w:rsidRDefault="00E5066C" w:rsidP="00E5066C">
      <w:pPr>
        <w:tabs>
          <w:tab w:val="left" w:pos="-1440"/>
          <w:tab w:val="left" w:pos="-720"/>
        </w:tabs>
        <w:rPr>
          <w:rFonts w:ascii="Times New Roman" w:hAnsi="Times New Roman"/>
          <w:b/>
          <w:sz w:val="22"/>
          <w:szCs w:val="22"/>
          <w:lang w:val="lt-LT"/>
        </w:rPr>
      </w:pPr>
    </w:p>
    <w:p w:rsidR="00E5066C" w:rsidRPr="000E1775" w:rsidRDefault="00E5066C" w:rsidP="00E5066C">
      <w:pPr>
        <w:tabs>
          <w:tab w:val="left" w:pos="-1440"/>
          <w:tab w:val="left" w:pos="-720"/>
        </w:tabs>
        <w:rPr>
          <w:rFonts w:ascii="Times New Roman" w:hAnsi="Times New Roman"/>
          <w:b/>
          <w:sz w:val="22"/>
          <w:szCs w:val="22"/>
          <w:lang w:val="lt-LT"/>
        </w:rPr>
      </w:pPr>
    </w:p>
    <w:p w:rsidR="00E5066C" w:rsidRPr="000E1775" w:rsidRDefault="00E5066C" w:rsidP="00E5066C">
      <w:pPr>
        <w:tabs>
          <w:tab w:val="left" w:pos="-1440"/>
          <w:tab w:val="left" w:pos="-720"/>
        </w:tabs>
        <w:rPr>
          <w:rFonts w:ascii="Times New Roman" w:hAnsi="Times New Roman"/>
          <w:b/>
          <w:sz w:val="22"/>
          <w:szCs w:val="22"/>
          <w:lang w:val="lt-LT"/>
        </w:rPr>
      </w:pPr>
    </w:p>
    <w:p w:rsidR="00E5066C" w:rsidRPr="000E1775" w:rsidRDefault="00E5066C" w:rsidP="00E5066C">
      <w:pPr>
        <w:tabs>
          <w:tab w:val="left" w:pos="-1440"/>
          <w:tab w:val="left" w:pos="-720"/>
        </w:tabs>
        <w:rPr>
          <w:rFonts w:ascii="Times New Roman" w:hAnsi="Times New Roman"/>
          <w:b/>
          <w:sz w:val="22"/>
          <w:szCs w:val="22"/>
          <w:lang w:val="lt-LT"/>
        </w:rPr>
      </w:pPr>
    </w:p>
    <w:p w:rsidR="00E5066C" w:rsidRPr="000E1775" w:rsidRDefault="00E5066C" w:rsidP="00E5066C">
      <w:pPr>
        <w:tabs>
          <w:tab w:val="left" w:pos="-1440"/>
          <w:tab w:val="left" w:pos="-720"/>
        </w:tabs>
        <w:rPr>
          <w:rFonts w:ascii="Times New Roman" w:hAnsi="Times New Roman"/>
          <w:b/>
          <w:sz w:val="22"/>
          <w:szCs w:val="22"/>
          <w:lang w:val="lt-LT"/>
        </w:rPr>
      </w:pPr>
    </w:p>
    <w:p w:rsidR="00E5066C" w:rsidRPr="000E1775" w:rsidRDefault="00E5066C" w:rsidP="00E5066C">
      <w:pPr>
        <w:tabs>
          <w:tab w:val="left" w:pos="-1440"/>
          <w:tab w:val="left" w:pos="-720"/>
        </w:tabs>
        <w:rPr>
          <w:rFonts w:ascii="Times New Roman" w:hAnsi="Times New Roman"/>
          <w:b/>
          <w:sz w:val="22"/>
          <w:szCs w:val="22"/>
          <w:lang w:val="lt-LT"/>
        </w:rPr>
      </w:pPr>
    </w:p>
    <w:p w:rsidR="00E5066C" w:rsidRPr="000E1775" w:rsidRDefault="00E5066C" w:rsidP="00E5066C">
      <w:pPr>
        <w:tabs>
          <w:tab w:val="left" w:pos="-1440"/>
          <w:tab w:val="left" w:pos="-720"/>
        </w:tabs>
        <w:rPr>
          <w:rFonts w:ascii="Times New Roman" w:hAnsi="Times New Roman"/>
          <w:b/>
          <w:sz w:val="22"/>
          <w:szCs w:val="22"/>
          <w:lang w:val="lt-LT"/>
        </w:rPr>
      </w:pPr>
    </w:p>
    <w:p w:rsidR="00E5066C" w:rsidRPr="000E1775" w:rsidRDefault="00E5066C" w:rsidP="00E5066C">
      <w:pPr>
        <w:tabs>
          <w:tab w:val="left" w:pos="-1440"/>
          <w:tab w:val="left" w:pos="-720"/>
        </w:tabs>
        <w:rPr>
          <w:rFonts w:ascii="Times New Roman" w:hAnsi="Times New Roman"/>
          <w:b/>
          <w:sz w:val="22"/>
          <w:szCs w:val="22"/>
          <w:lang w:val="lt-LT"/>
        </w:rPr>
      </w:pPr>
    </w:p>
    <w:p w:rsidR="00E5066C" w:rsidRPr="000E1775" w:rsidRDefault="00E5066C" w:rsidP="00E5066C">
      <w:pPr>
        <w:tabs>
          <w:tab w:val="left" w:pos="-1440"/>
          <w:tab w:val="left" w:pos="-720"/>
        </w:tabs>
        <w:rPr>
          <w:rFonts w:ascii="Times New Roman" w:hAnsi="Times New Roman"/>
          <w:b/>
          <w:sz w:val="22"/>
          <w:szCs w:val="22"/>
          <w:lang w:val="lt-LT"/>
        </w:rPr>
      </w:pPr>
    </w:p>
    <w:p w:rsidR="00E5066C" w:rsidRPr="000E1775" w:rsidRDefault="00E5066C" w:rsidP="00E5066C">
      <w:pPr>
        <w:tabs>
          <w:tab w:val="left" w:pos="-1440"/>
          <w:tab w:val="left" w:pos="-720"/>
        </w:tabs>
        <w:rPr>
          <w:rFonts w:ascii="Times New Roman" w:hAnsi="Times New Roman"/>
          <w:b/>
          <w:sz w:val="22"/>
          <w:szCs w:val="22"/>
          <w:lang w:val="lt-LT"/>
        </w:rPr>
      </w:pPr>
    </w:p>
    <w:p w:rsidR="00E5066C" w:rsidRPr="000E1775" w:rsidRDefault="00E5066C" w:rsidP="00E5066C">
      <w:pPr>
        <w:pStyle w:val="Antrat2"/>
        <w:spacing w:before="0" w:after="0"/>
        <w:jc w:val="center"/>
        <w:rPr>
          <w:rFonts w:ascii="Times New Roman" w:hAnsi="Times New Roman"/>
          <w:bCs w:val="0"/>
          <w:i w:val="0"/>
          <w:iCs w:val="0"/>
          <w:sz w:val="22"/>
          <w:szCs w:val="22"/>
          <w:lang w:val="lt-LT"/>
        </w:rPr>
      </w:pPr>
      <w:r w:rsidRPr="000E1775">
        <w:rPr>
          <w:rFonts w:ascii="Times New Roman" w:hAnsi="Times New Roman"/>
          <w:i w:val="0"/>
          <w:sz w:val="22"/>
          <w:szCs w:val="22"/>
          <w:lang w:val="lt-LT"/>
        </w:rPr>
        <w:t>I PRIEDAS</w:t>
      </w:r>
    </w:p>
    <w:p w:rsidR="00E5066C" w:rsidRPr="000E1775" w:rsidRDefault="00E5066C" w:rsidP="00E5066C">
      <w:pPr>
        <w:rPr>
          <w:rFonts w:ascii="Times New Roman" w:hAnsi="Times New Roman"/>
          <w:sz w:val="22"/>
          <w:szCs w:val="22"/>
          <w:lang w:val="lt-LT"/>
        </w:rPr>
      </w:pPr>
    </w:p>
    <w:p w:rsidR="00E5066C" w:rsidRPr="000E1775" w:rsidRDefault="00E5066C" w:rsidP="00E5066C">
      <w:pPr>
        <w:tabs>
          <w:tab w:val="left" w:pos="-1440"/>
          <w:tab w:val="left" w:pos="-720"/>
        </w:tabs>
        <w:jc w:val="center"/>
        <w:rPr>
          <w:rFonts w:ascii="Times New Roman" w:hAnsi="Times New Roman"/>
          <w:b/>
          <w:sz w:val="22"/>
          <w:szCs w:val="22"/>
          <w:lang w:val="lt-LT"/>
        </w:rPr>
      </w:pPr>
      <w:r w:rsidRPr="000E1775">
        <w:rPr>
          <w:rFonts w:ascii="Times New Roman" w:hAnsi="Times New Roman"/>
          <w:b/>
          <w:sz w:val="22"/>
          <w:szCs w:val="22"/>
          <w:lang w:val="lt-LT"/>
        </w:rPr>
        <w:t>PREPARATO CHARAKTERISTIKŲ SANTRAUKA</w:t>
      </w:r>
    </w:p>
    <w:p w:rsidR="00E5066C" w:rsidRPr="000E1775" w:rsidRDefault="00E5066C" w:rsidP="000E177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eastAsia="zh-CN"/>
        </w:rPr>
        <w:br w:type="page"/>
      </w:r>
      <w:r w:rsidRPr="000E1775">
        <w:rPr>
          <w:rFonts w:ascii="Times New Roman" w:hAnsi="Times New Roman"/>
          <w:sz w:val="22"/>
          <w:szCs w:val="22"/>
          <w:lang w:val="lt-LT"/>
        </w:rPr>
        <w:lastRenderedPageBreak/>
        <w:t>1.</w:t>
      </w:r>
      <w:r w:rsidRPr="000E1775">
        <w:rPr>
          <w:rFonts w:ascii="Times New Roman" w:hAnsi="Times New Roman"/>
          <w:sz w:val="22"/>
          <w:szCs w:val="22"/>
          <w:lang w:val="lt-LT"/>
        </w:rPr>
        <w:tab/>
        <w:t>VAISTINIO PREPARATO PAVADINIMAS</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hAnsi="Times New Roman"/>
          <w:sz w:val="22"/>
          <w:szCs w:val="22"/>
          <w:lang w:val="lt-LT"/>
        </w:rPr>
        <w:t xml:space="preserve">VORICONAZOLE RICHTER 50 mg plėvele dengtos tabletės </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highlight w:val="lightGray"/>
          <w:lang w:val="lt-LT"/>
        </w:rPr>
        <w:t>VORICONAZOLE RICHTER 200 mg plėvele dengtos tabletės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0E177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2.</w:t>
      </w:r>
      <w:r w:rsidRPr="000E1775">
        <w:rPr>
          <w:rFonts w:ascii="Times New Roman" w:hAnsi="Times New Roman"/>
          <w:sz w:val="22"/>
          <w:szCs w:val="22"/>
          <w:lang w:val="lt-LT"/>
        </w:rPr>
        <w:tab/>
        <w:t>KOKYBINĖ IR KIEKYBINĖ SUDĖTIS</w:t>
      </w:r>
    </w:p>
    <w:p w:rsidR="00E5066C" w:rsidRPr="000E1775" w:rsidRDefault="00E5066C" w:rsidP="00E5066C">
      <w:pPr>
        <w:autoSpaceDE w:val="0"/>
        <w:autoSpaceDN w:val="0"/>
        <w:adjustRightInd w:val="0"/>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hAnsi="Times New Roman"/>
          <w:sz w:val="22"/>
          <w:szCs w:val="22"/>
          <w:lang w:val="lt-LT"/>
        </w:rPr>
        <w:t xml:space="preserve">VORICONAZOLE RICHTER 50 mg plėvele dengtos tabletės </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Kiekvienoje plėvele dengtoje tabletėje yra 50 mg vorikonazolo.</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highlight w:val="lightGray"/>
          <w:lang w:val="lt-LT"/>
        </w:rPr>
      </w:pPr>
      <w:r w:rsidRPr="000E1775">
        <w:rPr>
          <w:rFonts w:ascii="Times New Roman" w:hAnsi="Times New Roman"/>
          <w:sz w:val="22"/>
          <w:szCs w:val="22"/>
          <w:highlight w:val="lightGray"/>
          <w:lang w:val="lt-LT"/>
        </w:rPr>
        <w:t>VORICONAZOLE RICHTER 200 mg plėvele dengtos tabletės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highlight w:val="lightGray"/>
          <w:lang w:val="lt-LT"/>
        </w:rPr>
        <w:t>Kiekvienoje plėvele dengtoje tabletėje yra 200 mg vorikonazolo.</w:t>
      </w:r>
    </w:p>
    <w:p w:rsidR="00E5066C" w:rsidRPr="000E1775" w:rsidRDefault="00E5066C" w:rsidP="00E5066C">
      <w:pPr>
        <w:rPr>
          <w:rFonts w:ascii="Times New Roman" w:hAnsi="Times New Roman"/>
          <w:sz w:val="22"/>
          <w:szCs w:val="22"/>
          <w:u w:val="single"/>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u w:val="single"/>
          <w:lang w:val="lt-LT"/>
        </w:rPr>
        <w:t xml:space="preserve">Pagalbinė medžiaga, </w:t>
      </w:r>
      <w:r w:rsidRPr="000E1775">
        <w:rPr>
          <w:rFonts w:ascii="Times New Roman" w:hAnsi="Times New Roman"/>
          <w:noProof/>
          <w:sz w:val="22"/>
          <w:szCs w:val="22"/>
          <w:u w:val="single"/>
          <w:lang w:val="lt-LT"/>
        </w:rPr>
        <w:t xml:space="preserve">kurios </w:t>
      </w:r>
      <w:r w:rsidRPr="000E1775">
        <w:rPr>
          <w:rFonts w:ascii="Times New Roman" w:hAnsi="Times New Roman"/>
          <w:sz w:val="22"/>
          <w:szCs w:val="22"/>
          <w:u w:val="single"/>
          <w:lang w:val="lt-LT"/>
        </w:rPr>
        <w:t>poveikis žinomas: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hAnsi="Times New Roman"/>
          <w:sz w:val="22"/>
          <w:szCs w:val="22"/>
          <w:lang w:val="lt-LT"/>
        </w:rPr>
        <w:t>Kiekvienoje VORICONAZOLE RICHTER 50 mg plėvele dengtoje tabletėje yra daugiausiai 59,525 mg laktozės (62,665 mg laktozės monohidrato).</w:t>
      </w:r>
    </w:p>
    <w:p w:rsidR="00E5066C" w:rsidRPr="000E1775" w:rsidRDefault="00E5066C" w:rsidP="00E5066C">
      <w:pPr>
        <w:rPr>
          <w:rFonts w:ascii="Times New Roman" w:hAnsi="Times New Roman"/>
          <w:sz w:val="22"/>
          <w:szCs w:val="22"/>
          <w:u w:val="single"/>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hAnsi="Times New Roman"/>
          <w:sz w:val="22"/>
          <w:szCs w:val="22"/>
          <w:highlight w:val="lightGray"/>
          <w:lang w:val="lt-LT"/>
        </w:rPr>
        <w:t>Kiekvienoje VORICONAZOLE RICHTER 200 mg plėvele dengtoje tabletėje yra daugiausiai 238,128 mg laktozės (250,650 mg laktozės monohidrato).</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Visos pagalbinės medžiagos išvardytos 6.1 skyriuje.</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0E177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3.</w:t>
      </w:r>
      <w:r w:rsidRPr="000E1775">
        <w:rPr>
          <w:rFonts w:ascii="Times New Roman" w:hAnsi="Times New Roman"/>
          <w:sz w:val="22"/>
          <w:szCs w:val="22"/>
          <w:lang w:val="lt-LT"/>
        </w:rPr>
        <w:tab/>
        <w:t>FARMACINĖ FORMA</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Plėvele dengta tabletė</w:t>
      </w:r>
    </w:p>
    <w:p w:rsidR="00E5066C" w:rsidRPr="000E1775" w:rsidRDefault="00E5066C" w:rsidP="00E5066C">
      <w:pPr>
        <w:autoSpaceDE w:val="0"/>
        <w:autoSpaceDN w:val="0"/>
        <w:adjustRightInd w:val="0"/>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hAnsi="Times New Roman"/>
          <w:sz w:val="22"/>
          <w:szCs w:val="22"/>
          <w:lang w:val="lt-LT"/>
        </w:rPr>
        <w:t>VORICONAZOLE RICHTER 50 mg plėvele dengta tabletė</w:t>
      </w:r>
    </w:p>
    <w:p w:rsidR="00E5066C" w:rsidRPr="000E1775" w:rsidRDefault="00E5066C" w:rsidP="00E5066C">
      <w:pPr>
        <w:rPr>
          <w:rFonts w:ascii="Times New Roman" w:hAnsi="Times New Roman"/>
          <w:sz w:val="22"/>
          <w:szCs w:val="22"/>
          <w:lang w:val="lt-LT"/>
        </w:rPr>
      </w:pPr>
      <w:r w:rsidRPr="000E1775">
        <w:rPr>
          <w:rFonts w:ascii="Times New Roman" w:eastAsia="Calibri" w:hAnsi="Times New Roman"/>
          <w:sz w:val="22"/>
          <w:szCs w:val="22"/>
          <w:lang w:val="lt-LT"/>
        </w:rPr>
        <w:t xml:space="preserve">Balta arba balkšva, apvali, maždaug 7,0 mm skersmens plėvele dengta tabletė, kurios vienoje pusėje yra įspaudas “V50”, kita pusė lygi. </w:t>
      </w:r>
    </w:p>
    <w:p w:rsidR="00E5066C" w:rsidRPr="000E1775" w:rsidRDefault="00E5066C" w:rsidP="00E5066C">
      <w:pPr>
        <w:autoSpaceDE w:val="0"/>
        <w:autoSpaceDN w:val="0"/>
        <w:adjustRightInd w:val="0"/>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highlight w:val="lightGray"/>
          <w:lang w:val="lt-LT"/>
        </w:rPr>
      </w:pPr>
      <w:r w:rsidRPr="000E1775">
        <w:rPr>
          <w:rFonts w:ascii="Times New Roman" w:hAnsi="Times New Roman"/>
          <w:sz w:val="22"/>
          <w:szCs w:val="22"/>
          <w:highlight w:val="lightGray"/>
          <w:lang w:val="lt-LT"/>
        </w:rPr>
        <w:t>VORICONAZOLE RICHTER 200 mg plėvele dengta tabletė</w:t>
      </w:r>
    </w:p>
    <w:p w:rsidR="00E5066C" w:rsidRPr="000E1775" w:rsidRDefault="00E5066C" w:rsidP="00E5066C">
      <w:pPr>
        <w:rPr>
          <w:rFonts w:ascii="Times New Roman" w:hAnsi="Times New Roman"/>
          <w:sz w:val="22"/>
          <w:szCs w:val="22"/>
          <w:lang w:val="lt-LT"/>
        </w:rPr>
      </w:pPr>
      <w:r w:rsidRPr="000E1775">
        <w:rPr>
          <w:rFonts w:ascii="Times New Roman" w:eastAsia="Calibri" w:hAnsi="Times New Roman"/>
          <w:sz w:val="22"/>
          <w:szCs w:val="22"/>
          <w:highlight w:val="lightGray"/>
          <w:lang w:val="lt-LT"/>
        </w:rPr>
        <w:t>Balta arba balkšva, ovali, maždaug 15,6 mm ilgio ir 7,8 mm pločio plėvele dengta tabletė, kurios vienoje pusėje yra įspaudas “V200”, kita pusė lygi.</w:t>
      </w:r>
      <w:r w:rsidRPr="000E1775">
        <w:rPr>
          <w:rFonts w:ascii="Times New Roman" w:eastAsia="Calibri" w:hAnsi="Times New Roman"/>
          <w:sz w:val="22"/>
          <w:szCs w:val="22"/>
          <w:lang w:val="lt-LT"/>
        </w:rPr>
        <w:t xml:space="preserve"> </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0E177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4.</w:t>
      </w:r>
      <w:r w:rsidRPr="000E1775">
        <w:rPr>
          <w:rFonts w:ascii="Times New Roman" w:hAnsi="Times New Roman"/>
          <w:sz w:val="22"/>
          <w:szCs w:val="22"/>
          <w:lang w:val="lt-LT"/>
        </w:rPr>
        <w:tab/>
        <w:t>KLINIKINĖ INFORMACIJA</w:t>
      </w:r>
    </w:p>
    <w:p w:rsidR="00E5066C" w:rsidRPr="000E1775" w:rsidRDefault="00E5066C" w:rsidP="00E5066C">
      <w:pPr>
        <w:rPr>
          <w:rFonts w:ascii="Times New Roman" w:hAnsi="Times New Roman"/>
          <w:sz w:val="22"/>
          <w:szCs w:val="22"/>
          <w:lang w:val="lt-LT"/>
        </w:rPr>
      </w:pPr>
    </w:p>
    <w:p w:rsidR="00E5066C" w:rsidRPr="000E1775" w:rsidRDefault="00E5066C" w:rsidP="000E1775">
      <w:pPr>
        <w:pStyle w:val="Antrat4"/>
        <w:ind w:left="567" w:hanging="567"/>
        <w:rPr>
          <w:sz w:val="22"/>
          <w:szCs w:val="22"/>
          <w:lang w:val="lt-LT"/>
        </w:rPr>
      </w:pPr>
      <w:r w:rsidRPr="000E1775">
        <w:rPr>
          <w:sz w:val="22"/>
          <w:szCs w:val="22"/>
          <w:lang w:val="lt-LT"/>
        </w:rPr>
        <w:t>4.1</w:t>
      </w:r>
      <w:r w:rsidRPr="000E1775">
        <w:rPr>
          <w:sz w:val="22"/>
          <w:szCs w:val="22"/>
          <w:lang w:val="lt-LT"/>
        </w:rPr>
        <w:tab/>
        <w:t>Terapinės indikacijos</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Vorikonazolas yra plataus priešgrybelinio poveikio triazolų grupės vaistinis preparatas, skirtas suaugusiesiems ir 2 metų bei vyresniems vaikams:</w:t>
      </w:r>
    </w:p>
    <w:p w:rsidR="00E5066C" w:rsidRPr="000E1775" w:rsidRDefault="00E5066C" w:rsidP="00E5066C">
      <w:pPr>
        <w:numPr>
          <w:ilvl w:val="0"/>
          <w:numId w:val="12"/>
        </w:num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invazinės aspergiliozės gydymui;</w:t>
      </w:r>
    </w:p>
    <w:p w:rsidR="00E5066C" w:rsidRPr="000E1775" w:rsidRDefault="00E5066C" w:rsidP="00E5066C">
      <w:pPr>
        <w:numPr>
          <w:ilvl w:val="0"/>
          <w:numId w:val="12"/>
        </w:num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kandidemijos gydymui pacientams, kuriems nėra neutropenijos;</w:t>
      </w:r>
    </w:p>
    <w:p w:rsidR="00E5066C" w:rsidRPr="000E1775" w:rsidRDefault="00E5066C" w:rsidP="00E5066C">
      <w:pPr>
        <w:numPr>
          <w:ilvl w:val="0"/>
          <w:numId w:val="12"/>
        </w:num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atsparios flukonazolui, sunkios formos </w:t>
      </w:r>
      <w:r w:rsidRPr="000E1775">
        <w:rPr>
          <w:rFonts w:ascii="Times New Roman" w:eastAsia="TimesNewRoman,Italic" w:hAnsi="Times New Roman"/>
          <w:i/>
          <w:iCs/>
          <w:sz w:val="22"/>
          <w:szCs w:val="22"/>
          <w:lang w:val="en-US"/>
        </w:rPr>
        <w:t xml:space="preserve">Candida </w:t>
      </w:r>
      <w:r w:rsidRPr="000E1775">
        <w:rPr>
          <w:rFonts w:ascii="Times New Roman" w:eastAsia="Calibri" w:hAnsi="Times New Roman"/>
          <w:sz w:val="22"/>
          <w:szCs w:val="22"/>
          <w:lang w:val="en-US"/>
        </w:rPr>
        <w:t xml:space="preserve">(įskaitant </w:t>
      </w:r>
      <w:r w:rsidRPr="000E1775">
        <w:rPr>
          <w:rFonts w:ascii="Times New Roman" w:eastAsia="TimesNewRoman,Italic" w:hAnsi="Times New Roman"/>
          <w:i/>
          <w:iCs/>
          <w:sz w:val="22"/>
          <w:szCs w:val="22"/>
          <w:lang w:val="en-US"/>
        </w:rPr>
        <w:t>C. krusei</w:t>
      </w:r>
      <w:r w:rsidRPr="000E1775">
        <w:rPr>
          <w:rFonts w:ascii="Times New Roman" w:eastAsia="Calibri" w:hAnsi="Times New Roman"/>
          <w:sz w:val="22"/>
          <w:szCs w:val="22"/>
          <w:lang w:val="en-US"/>
        </w:rPr>
        <w:t>) grybelių sukeltos infekcijos gydymui;</w:t>
      </w:r>
    </w:p>
    <w:p w:rsidR="00E5066C" w:rsidRPr="000E1775" w:rsidRDefault="00E5066C" w:rsidP="00E5066C">
      <w:pPr>
        <w:numPr>
          <w:ilvl w:val="0"/>
          <w:numId w:val="12"/>
        </w:numPr>
        <w:autoSpaceDE w:val="0"/>
        <w:autoSpaceDN w:val="0"/>
        <w:adjustRightInd w:val="0"/>
        <w:rPr>
          <w:rFonts w:ascii="Times New Roman" w:eastAsia="Calibri" w:hAnsi="Times New Roman"/>
          <w:sz w:val="22"/>
          <w:szCs w:val="22"/>
          <w:lang w:val="en-US"/>
        </w:rPr>
      </w:pPr>
      <w:proofErr w:type="gramStart"/>
      <w:r w:rsidRPr="000E1775">
        <w:rPr>
          <w:rFonts w:ascii="Times New Roman" w:eastAsia="Calibri" w:hAnsi="Times New Roman"/>
          <w:sz w:val="22"/>
          <w:szCs w:val="22"/>
          <w:lang w:val="en-US"/>
        </w:rPr>
        <w:t>sunkios</w:t>
      </w:r>
      <w:proofErr w:type="gramEnd"/>
      <w:r w:rsidRPr="000E1775">
        <w:rPr>
          <w:rFonts w:ascii="Times New Roman" w:eastAsia="Calibri" w:hAnsi="Times New Roman"/>
          <w:sz w:val="22"/>
          <w:szCs w:val="22"/>
          <w:lang w:val="en-US"/>
        </w:rPr>
        <w:t xml:space="preserve"> grybelių </w:t>
      </w:r>
      <w:r w:rsidRPr="000E1775">
        <w:rPr>
          <w:rFonts w:ascii="Times New Roman" w:eastAsia="TimesNewRoman,Italic" w:hAnsi="Times New Roman"/>
          <w:i/>
          <w:iCs/>
          <w:sz w:val="22"/>
          <w:szCs w:val="22"/>
          <w:lang w:val="en-US"/>
        </w:rPr>
        <w:t>Scedospo</w:t>
      </w:r>
      <w:r w:rsidRPr="000E1775">
        <w:rPr>
          <w:rFonts w:ascii="Times New Roman" w:eastAsia="Calibri" w:hAnsi="Times New Roman"/>
          <w:i/>
          <w:iCs/>
          <w:sz w:val="22"/>
          <w:szCs w:val="22"/>
          <w:lang w:val="en-US"/>
        </w:rPr>
        <w:t xml:space="preserve">rium </w:t>
      </w:r>
      <w:r w:rsidRPr="000E1775">
        <w:rPr>
          <w:rFonts w:ascii="Times New Roman" w:eastAsia="Calibri" w:hAnsi="Times New Roman"/>
          <w:sz w:val="22"/>
          <w:szCs w:val="22"/>
          <w:lang w:val="en-US"/>
        </w:rPr>
        <w:t xml:space="preserve">ir </w:t>
      </w:r>
      <w:r w:rsidRPr="000E1775">
        <w:rPr>
          <w:rFonts w:ascii="Times New Roman" w:eastAsia="Calibri" w:hAnsi="Times New Roman"/>
          <w:i/>
          <w:iCs/>
          <w:sz w:val="22"/>
          <w:szCs w:val="22"/>
          <w:lang w:val="en-US"/>
        </w:rPr>
        <w:t>Fus</w:t>
      </w:r>
      <w:r w:rsidRPr="000E1775">
        <w:rPr>
          <w:rFonts w:ascii="Times New Roman" w:eastAsia="TimesNewRoman,Italic" w:hAnsi="Times New Roman"/>
          <w:i/>
          <w:iCs/>
          <w:sz w:val="22"/>
          <w:szCs w:val="22"/>
          <w:lang w:val="en-US"/>
        </w:rPr>
        <w:t>arium rūš</w:t>
      </w:r>
      <w:r w:rsidRPr="000E1775">
        <w:rPr>
          <w:rFonts w:ascii="Times New Roman" w:eastAsia="Calibri" w:hAnsi="Times New Roman"/>
          <w:sz w:val="22"/>
          <w:szCs w:val="22"/>
          <w:lang w:val="en-US"/>
        </w:rPr>
        <w:t>ių sukeltos infekcijos gydymui.</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Pirmiausiai VORICON</w:t>
      </w:r>
      <w:r w:rsidRPr="000E1775">
        <w:rPr>
          <w:rFonts w:ascii="Times New Roman" w:hAnsi="Times New Roman"/>
          <w:sz w:val="22"/>
          <w:szCs w:val="22"/>
          <w:lang w:val="en-US"/>
        </w:rPr>
        <w:t xml:space="preserve">AZOLE RICHTER </w:t>
      </w:r>
      <w:r w:rsidRPr="000E1775">
        <w:rPr>
          <w:rFonts w:ascii="Times New Roman" w:eastAsia="Calibri" w:hAnsi="Times New Roman"/>
          <w:sz w:val="22"/>
          <w:szCs w:val="22"/>
          <w:lang w:val="en-US"/>
        </w:rPr>
        <w:t>yra skirtinas pacientams, sergantiems progresuojančia ir gyvybei pavojinga infekcine liga.</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lastRenderedPageBreak/>
        <w:t>Invazinės grybelių sukeltos infekcijos profilaktika didelės rizikos pacientams, kuriems buvo persodintos alogeninės kamieninės hematopoezinės ląstelės.</w:t>
      </w:r>
    </w:p>
    <w:p w:rsidR="00E5066C" w:rsidRPr="000E1775" w:rsidRDefault="00E5066C" w:rsidP="00E5066C">
      <w:pPr>
        <w:rPr>
          <w:rFonts w:ascii="Times New Roman" w:eastAsia="Calibri" w:hAnsi="Times New Roman"/>
          <w:b/>
          <w:bCs/>
          <w:sz w:val="22"/>
          <w:szCs w:val="22"/>
          <w:lang w:val="en-US"/>
        </w:rPr>
      </w:pPr>
    </w:p>
    <w:p w:rsidR="00E5066C" w:rsidRPr="000E1775" w:rsidRDefault="00E5066C" w:rsidP="000E1775">
      <w:pPr>
        <w:pStyle w:val="Antrat4"/>
        <w:ind w:left="567" w:hanging="567"/>
        <w:rPr>
          <w:sz w:val="22"/>
          <w:szCs w:val="22"/>
          <w:lang w:val="lt-LT"/>
        </w:rPr>
      </w:pPr>
      <w:r w:rsidRPr="000E1775">
        <w:rPr>
          <w:rFonts w:eastAsia="Calibri"/>
          <w:bCs w:val="0"/>
          <w:sz w:val="22"/>
          <w:szCs w:val="22"/>
          <w:lang w:val="en-US"/>
        </w:rPr>
        <w:t xml:space="preserve">4.2 </w:t>
      </w:r>
      <w:r w:rsidR="000E1775">
        <w:rPr>
          <w:rFonts w:eastAsia="Calibri"/>
          <w:bCs w:val="0"/>
          <w:sz w:val="22"/>
          <w:szCs w:val="22"/>
          <w:lang w:val="en-US"/>
        </w:rPr>
        <w:tab/>
      </w:r>
      <w:r w:rsidRPr="000E1775">
        <w:rPr>
          <w:rFonts w:eastAsia="Calibri"/>
          <w:bCs w:val="0"/>
          <w:sz w:val="22"/>
          <w:szCs w:val="22"/>
          <w:lang w:val="en-US"/>
        </w:rPr>
        <w:t>Dozavimas</w:t>
      </w:r>
      <w:r w:rsidRPr="000E1775">
        <w:rPr>
          <w:sz w:val="22"/>
          <w:szCs w:val="22"/>
          <w:lang w:val="lt-LT"/>
        </w:rPr>
        <w:t xml:space="preserve"> ir vartojimo metodas</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Dozavimas</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Reikia stebėti ir prireikus koreguoti elektrolitų sutrikimus (</w:t>
      </w:r>
      <w:proofErr w:type="gramStart"/>
      <w:r w:rsidRPr="000E1775">
        <w:rPr>
          <w:rFonts w:ascii="Times New Roman" w:eastAsia="Calibri" w:hAnsi="Times New Roman"/>
          <w:sz w:val="22"/>
          <w:szCs w:val="22"/>
          <w:lang w:val="en-US"/>
        </w:rPr>
        <w:t>pvz.,</w:t>
      </w:r>
      <w:proofErr w:type="gramEnd"/>
      <w:r w:rsidRPr="000E1775">
        <w:rPr>
          <w:rFonts w:ascii="Times New Roman" w:eastAsia="Calibri" w:hAnsi="Times New Roman"/>
          <w:sz w:val="22"/>
          <w:szCs w:val="22"/>
          <w:lang w:val="en-US"/>
        </w:rPr>
        <w:t xml:space="preserve"> hipokalemiją, hipomagnezemiją ir hipokalcemiją) prieš pradedant ir vorikonazolo terapijos metu (žr. 4.4 skyrių).</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hAnsi="Times New Roman"/>
          <w:sz w:val="22"/>
          <w:szCs w:val="22"/>
          <w:lang w:val="en-US"/>
        </w:rPr>
        <w:t xml:space="preserve">VORICONAZOLE RICHTER tiekiamas 50 mg ir </w:t>
      </w:r>
      <w:r w:rsidRPr="000E1775">
        <w:rPr>
          <w:rFonts w:ascii="Times New Roman" w:eastAsia="Calibri" w:hAnsi="Times New Roman"/>
          <w:sz w:val="22"/>
          <w:szCs w:val="22"/>
          <w:lang w:val="en-US"/>
        </w:rPr>
        <w:t>200 mg plėvele dengtomis tabletėmis.</w:t>
      </w: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en-US"/>
        </w:rPr>
        <w:t xml:space="preserve">Rinkoje yra ir kitų vorikonazolo farmacinių formų, tokių kaip 200 mg milteliai infuziniam tirpalui ir 40 mg/ml milteliai geriamajai suspensijai. </w:t>
      </w:r>
      <w:r w:rsidRPr="000E1775">
        <w:rPr>
          <w:rFonts w:ascii="Times New Roman" w:hAnsi="Times New Roman"/>
          <w:noProof/>
          <w:sz w:val="22"/>
          <w:szCs w:val="22"/>
          <w:lang w:val="lt-LT"/>
        </w:rPr>
        <w:t xml:space="preserve"> </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Gydymas</w:t>
      </w: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r w:rsidRPr="000E1775">
        <w:rPr>
          <w:rFonts w:ascii="Times New Roman" w:eastAsia="TimesNewRoman,Italic" w:hAnsi="Times New Roman"/>
          <w:i/>
          <w:iCs/>
          <w:sz w:val="22"/>
          <w:szCs w:val="22"/>
          <w:lang w:val="lt-LT"/>
        </w:rPr>
        <w:t>Suaugusiesiems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Gydymą būtina pradėti pagal specialų įsotinamosios dozės planą į veną arba per burną, kad per pirmąją parą būtų pasiekta vaistinio preparato koncentracija plazmoje, artima koncentracijai nusistovėjus pusiausvyrai. Kadangi išgerto vaistinio preparato biologinis prieinamumas yra didelis (96%, žr. 5.2 skyrių), į veną vartojamo vaistinio preparato pakeitimas į vartojamą per burną priklauso nuo paciento būklės.</w:t>
      </w:r>
    </w:p>
    <w:p w:rsidR="00E5066C" w:rsidRPr="000E1775" w:rsidRDefault="00E5066C" w:rsidP="00E5066C">
      <w:pPr>
        <w:rPr>
          <w:rFonts w:ascii="Times New Roman" w:hAnsi="Times New Roman"/>
          <w:sz w:val="22"/>
          <w:szCs w:val="22"/>
          <w:lang w:val="lt-LT"/>
        </w:rPr>
      </w:pPr>
      <w:r w:rsidRPr="000E1775">
        <w:rPr>
          <w:rFonts w:ascii="Times New Roman" w:eastAsia="Calibri" w:hAnsi="Times New Roman"/>
          <w:sz w:val="22"/>
          <w:szCs w:val="22"/>
          <w:lang w:val="lt-LT"/>
        </w:rPr>
        <w:t>Išsami vaistinio preparato dozavimo informacija pateikta toliau esančioje lentelėje.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1"/>
        <w:gridCol w:w="1863"/>
        <w:gridCol w:w="2648"/>
        <w:gridCol w:w="2480"/>
      </w:tblGrid>
      <w:tr w:rsidR="00E5066C" w:rsidRPr="000E1775" w:rsidTr="009852BC">
        <w:tc>
          <w:tcPr>
            <w:tcW w:w="1985" w:type="dxa"/>
            <w:vMerge w:val="restart"/>
            <w:tcBorders>
              <w:top w:val="single" w:sz="4" w:space="0" w:color="000000"/>
              <w:left w:val="single" w:sz="4" w:space="0" w:color="000000"/>
              <w:bottom w:val="single" w:sz="4" w:space="0" w:color="000000"/>
              <w:right w:val="single" w:sz="4" w:space="0" w:color="000000"/>
            </w:tcBorders>
          </w:tcPr>
          <w:p w:rsidR="00E5066C" w:rsidRPr="000E1775" w:rsidRDefault="00E5066C" w:rsidP="009852BC">
            <w:pPr>
              <w:widowControl w:val="0"/>
              <w:autoSpaceDE w:val="0"/>
              <w:autoSpaceDN w:val="0"/>
              <w:adjustRightInd w:val="0"/>
              <w:rPr>
                <w:rFonts w:ascii="Times New Roman" w:hAnsi="Times New Roman"/>
                <w:color w:val="000000"/>
                <w:sz w:val="22"/>
                <w:szCs w:val="22"/>
                <w:lang w:val="lt-LT" w:eastAsia="hu-HU"/>
              </w:rPr>
            </w:pPr>
          </w:p>
        </w:tc>
        <w:tc>
          <w:tcPr>
            <w:tcW w:w="1913" w:type="dxa"/>
            <w:vMerge w:val="restart"/>
            <w:tcBorders>
              <w:top w:val="single" w:sz="4" w:space="0" w:color="000000"/>
              <w:left w:val="single" w:sz="4" w:space="0" w:color="000000"/>
              <w:bottom w:val="single" w:sz="4" w:space="0" w:color="000000"/>
              <w:right w:val="single" w:sz="4" w:space="0" w:color="000000"/>
            </w:tcBorders>
            <w:hideMark/>
          </w:tcPr>
          <w:p w:rsidR="00E5066C" w:rsidRPr="000E1775" w:rsidRDefault="00E5066C" w:rsidP="009852BC">
            <w:pPr>
              <w:pStyle w:val="Default"/>
              <w:widowControl w:val="0"/>
              <w:rPr>
                <w:b/>
                <w:i/>
                <w:color w:val="auto"/>
                <w:sz w:val="22"/>
                <w:szCs w:val="22"/>
                <w:lang w:val="en-GB" w:eastAsia="hu-HU"/>
              </w:rPr>
            </w:pPr>
            <w:r w:rsidRPr="000E1775">
              <w:rPr>
                <w:b/>
                <w:i/>
                <w:color w:val="auto"/>
                <w:sz w:val="22"/>
                <w:szCs w:val="22"/>
                <w:lang w:val="en-GB" w:eastAsia="hu-HU"/>
              </w:rPr>
              <w:t>Į veną</w:t>
            </w:r>
          </w:p>
        </w:tc>
        <w:tc>
          <w:tcPr>
            <w:tcW w:w="5281" w:type="dxa"/>
            <w:gridSpan w:val="2"/>
            <w:tcBorders>
              <w:top w:val="single" w:sz="4" w:space="0" w:color="000000"/>
              <w:left w:val="single" w:sz="4" w:space="0" w:color="000000"/>
              <w:bottom w:val="single" w:sz="4" w:space="0" w:color="000000"/>
              <w:right w:val="single" w:sz="4" w:space="0" w:color="000000"/>
            </w:tcBorders>
            <w:hideMark/>
          </w:tcPr>
          <w:p w:rsidR="00E5066C" w:rsidRPr="000E1775" w:rsidRDefault="00E5066C" w:rsidP="009852BC">
            <w:pPr>
              <w:widowControl w:val="0"/>
              <w:autoSpaceDE w:val="0"/>
              <w:autoSpaceDN w:val="0"/>
              <w:adjustRightInd w:val="0"/>
              <w:jc w:val="center"/>
              <w:rPr>
                <w:rFonts w:ascii="Times New Roman" w:hAnsi="Times New Roman"/>
                <w:b/>
                <w:color w:val="000000"/>
                <w:sz w:val="22"/>
                <w:szCs w:val="22"/>
                <w:lang w:eastAsia="hu-HU"/>
              </w:rPr>
            </w:pPr>
            <w:r w:rsidRPr="000E1775">
              <w:rPr>
                <w:rFonts w:ascii="Times New Roman" w:hAnsi="Times New Roman"/>
                <w:b/>
                <w:color w:val="000000"/>
                <w:sz w:val="22"/>
                <w:szCs w:val="22"/>
                <w:lang w:eastAsia="hu-HU"/>
              </w:rPr>
              <w:t>Per burną</w:t>
            </w:r>
          </w:p>
        </w:tc>
      </w:tr>
      <w:tr w:rsidR="00E5066C" w:rsidRPr="000E1775" w:rsidTr="009852B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066C" w:rsidRPr="000E1775" w:rsidRDefault="00E5066C" w:rsidP="009852BC">
            <w:pPr>
              <w:rPr>
                <w:rFonts w:ascii="Times New Roman" w:hAnsi="Times New Roman"/>
                <w:color w:val="000000"/>
                <w:sz w:val="22"/>
                <w:szCs w:val="22"/>
                <w:lang w:eastAsia="hu-H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066C" w:rsidRPr="000E1775" w:rsidRDefault="00E5066C" w:rsidP="009852BC">
            <w:pPr>
              <w:rPr>
                <w:rFonts w:ascii="Times New Roman" w:hAnsi="Times New Roman"/>
                <w:sz w:val="22"/>
                <w:szCs w:val="22"/>
                <w:lang w:eastAsia="hu-HU"/>
              </w:rPr>
            </w:pPr>
          </w:p>
        </w:tc>
        <w:tc>
          <w:tcPr>
            <w:tcW w:w="2729" w:type="dxa"/>
            <w:tcBorders>
              <w:top w:val="single" w:sz="4" w:space="0" w:color="000000"/>
              <w:left w:val="single" w:sz="4" w:space="0" w:color="000000"/>
              <w:bottom w:val="single" w:sz="4" w:space="0" w:color="000000"/>
              <w:right w:val="single" w:sz="4" w:space="0" w:color="000000"/>
            </w:tcBorders>
            <w:hideMark/>
          </w:tcPr>
          <w:p w:rsidR="00E5066C" w:rsidRPr="000E1775" w:rsidRDefault="00E5066C" w:rsidP="009852BC">
            <w:pPr>
              <w:widowControl w:val="0"/>
              <w:autoSpaceDE w:val="0"/>
              <w:autoSpaceDN w:val="0"/>
              <w:adjustRightInd w:val="0"/>
              <w:rPr>
                <w:rFonts w:ascii="Times New Roman" w:hAnsi="Times New Roman"/>
                <w:color w:val="000000"/>
                <w:sz w:val="22"/>
                <w:szCs w:val="22"/>
                <w:lang w:eastAsia="hu-HU"/>
              </w:rPr>
            </w:pPr>
            <w:r w:rsidRPr="000E1775">
              <w:rPr>
                <w:rFonts w:ascii="Times New Roman" w:eastAsia="Calibri" w:hAnsi="Times New Roman"/>
                <w:sz w:val="22"/>
                <w:szCs w:val="22"/>
                <w:lang w:val="en-US"/>
              </w:rPr>
              <w:t>40 kg ir daugiau sveriantys pacientai*</w:t>
            </w:r>
            <w:r w:rsidRPr="000E1775">
              <w:rPr>
                <w:rFonts w:ascii="Times New Roman" w:hAnsi="Times New Roman"/>
                <w:color w:val="000000"/>
                <w:sz w:val="22"/>
                <w:szCs w:val="22"/>
                <w:lang w:eastAsia="hu-H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E5066C" w:rsidRPr="000E1775" w:rsidRDefault="00E5066C" w:rsidP="009852BC">
            <w:pPr>
              <w:widowControl w:val="0"/>
              <w:autoSpaceDE w:val="0"/>
              <w:autoSpaceDN w:val="0"/>
              <w:adjustRightInd w:val="0"/>
              <w:rPr>
                <w:rFonts w:ascii="Times New Roman" w:hAnsi="Times New Roman"/>
                <w:color w:val="000000"/>
                <w:sz w:val="22"/>
                <w:szCs w:val="22"/>
                <w:lang w:eastAsia="hu-HU"/>
              </w:rPr>
            </w:pPr>
            <w:r w:rsidRPr="000E1775">
              <w:rPr>
                <w:rFonts w:ascii="Times New Roman" w:eastAsia="Calibri" w:hAnsi="Times New Roman"/>
                <w:sz w:val="22"/>
                <w:szCs w:val="22"/>
                <w:lang w:val="en-US"/>
              </w:rPr>
              <w:t>Mažiau kaip 40 kg sveriantys pacientai *</w:t>
            </w:r>
            <w:r w:rsidRPr="000E1775">
              <w:rPr>
                <w:rFonts w:ascii="Times New Roman" w:hAnsi="Times New Roman"/>
                <w:color w:val="000000"/>
                <w:sz w:val="22"/>
                <w:szCs w:val="22"/>
                <w:lang w:eastAsia="hu-HU"/>
              </w:rPr>
              <w:t xml:space="preserve"> </w:t>
            </w:r>
          </w:p>
        </w:tc>
      </w:tr>
      <w:tr w:rsidR="00E5066C" w:rsidRPr="000E1775" w:rsidTr="009852BC">
        <w:tc>
          <w:tcPr>
            <w:tcW w:w="1985" w:type="dxa"/>
            <w:tcBorders>
              <w:top w:val="single" w:sz="4" w:space="0" w:color="000000"/>
              <w:left w:val="single" w:sz="4" w:space="0" w:color="000000"/>
              <w:bottom w:val="single" w:sz="4" w:space="0" w:color="000000"/>
              <w:right w:val="single" w:sz="4" w:space="0" w:color="000000"/>
            </w:tcBorders>
            <w:hideMark/>
          </w:tcPr>
          <w:p w:rsidR="00E5066C" w:rsidRPr="000E1775" w:rsidRDefault="00E5066C" w:rsidP="009852BC">
            <w:pPr>
              <w:widowControl w:val="0"/>
              <w:autoSpaceDE w:val="0"/>
              <w:autoSpaceDN w:val="0"/>
              <w:adjustRightInd w:val="0"/>
              <w:rPr>
                <w:rFonts w:ascii="Times New Roman" w:hAnsi="Times New Roman"/>
                <w:color w:val="000000"/>
                <w:sz w:val="22"/>
                <w:szCs w:val="22"/>
                <w:lang w:val="fr-FR" w:eastAsia="hu-HU"/>
              </w:rPr>
            </w:pPr>
            <w:r w:rsidRPr="000E1775">
              <w:rPr>
                <w:rFonts w:ascii="Times New Roman" w:eastAsia="Calibri" w:hAnsi="Times New Roman"/>
                <w:b/>
                <w:bCs/>
                <w:sz w:val="22"/>
                <w:szCs w:val="22"/>
                <w:lang w:val="fr-FR"/>
              </w:rPr>
              <w:t>Įsotinamosios dozės planas (pirmąsias 24 valandas)</w:t>
            </w:r>
            <w:r w:rsidRPr="000E1775">
              <w:rPr>
                <w:rFonts w:ascii="Times New Roman" w:hAnsi="Times New Roman"/>
                <w:b/>
                <w:bCs/>
                <w:color w:val="000000"/>
                <w:sz w:val="22"/>
                <w:szCs w:val="22"/>
                <w:lang w:val="fr-FR" w:eastAsia="hu-HU"/>
              </w:rPr>
              <w:t xml:space="preserve"> </w:t>
            </w:r>
          </w:p>
        </w:tc>
        <w:tc>
          <w:tcPr>
            <w:tcW w:w="1913" w:type="dxa"/>
            <w:tcBorders>
              <w:top w:val="single" w:sz="4" w:space="0" w:color="000000"/>
              <w:left w:val="single" w:sz="4" w:space="0" w:color="000000"/>
              <w:bottom w:val="single" w:sz="4" w:space="0" w:color="000000"/>
              <w:right w:val="single" w:sz="4" w:space="0" w:color="000000"/>
            </w:tcBorders>
            <w:hideMark/>
          </w:tcPr>
          <w:p w:rsidR="00E5066C" w:rsidRPr="000E1775" w:rsidRDefault="00E5066C" w:rsidP="009852BC">
            <w:pPr>
              <w:pStyle w:val="Default"/>
              <w:widowControl w:val="0"/>
              <w:rPr>
                <w:sz w:val="22"/>
                <w:szCs w:val="22"/>
                <w:lang w:val="en-GB" w:eastAsia="hu-HU"/>
              </w:rPr>
            </w:pPr>
            <w:r w:rsidRPr="000E1775">
              <w:rPr>
                <w:rFonts w:eastAsia="Calibri"/>
                <w:sz w:val="22"/>
                <w:szCs w:val="22"/>
              </w:rPr>
              <w:t>6 mg/kg kas 12 valandų</w:t>
            </w:r>
            <w:r w:rsidRPr="000E1775">
              <w:rPr>
                <w:sz w:val="22"/>
                <w:szCs w:val="22"/>
                <w:lang w:val="en-GB" w:eastAsia="hu-HU"/>
              </w:rPr>
              <w:t xml:space="preserve"> </w:t>
            </w:r>
          </w:p>
          <w:p w:rsidR="00E5066C" w:rsidRPr="000E1775" w:rsidRDefault="00E5066C" w:rsidP="009852BC">
            <w:pPr>
              <w:pStyle w:val="Default"/>
              <w:widowControl w:val="0"/>
              <w:rPr>
                <w:sz w:val="22"/>
                <w:szCs w:val="22"/>
                <w:lang w:val="en-GB" w:eastAsia="hu-HU"/>
              </w:rPr>
            </w:pPr>
          </w:p>
        </w:tc>
        <w:tc>
          <w:tcPr>
            <w:tcW w:w="2729" w:type="dxa"/>
            <w:tcBorders>
              <w:top w:val="single" w:sz="4" w:space="0" w:color="000000"/>
              <w:left w:val="single" w:sz="4" w:space="0" w:color="000000"/>
              <w:bottom w:val="single" w:sz="4" w:space="0" w:color="000000"/>
              <w:right w:val="single" w:sz="4" w:space="0" w:color="000000"/>
            </w:tcBorders>
            <w:hideMark/>
          </w:tcPr>
          <w:p w:rsidR="00E5066C" w:rsidRPr="000E1775" w:rsidRDefault="00E5066C" w:rsidP="009852BC">
            <w:pPr>
              <w:widowControl w:val="0"/>
              <w:autoSpaceDE w:val="0"/>
              <w:autoSpaceDN w:val="0"/>
              <w:adjustRightInd w:val="0"/>
              <w:rPr>
                <w:rFonts w:ascii="Times New Roman" w:hAnsi="Times New Roman"/>
                <w:color w:val="000000"/>
                <w:sz w:val="22"/>
                <w:szCs w:val="22"/>
                <w:lang w:eastAsia="hu-HU"/>
              </w:rPr>
            </w:pPr>
            <w:r w:rsidRPr="000E1775">
              <w:rPr>
                <w:rFonts w:ascii="Times New Roman" w:eastAsia="Calibri" w:hAnsi="Times New Roman"/>
                <w:sz w:val="22"/>
                <w:szCs w:val="22"/>
                <w:lang w:val="en-US"/>
              </w:rPr>
              <w:t>400 mg kas 12 valandų</w:t>
            </w:r>
            <w:r w:rsidRPr="000E1775">
              <w:rPr>
                <w:rFonts w:ascii="Times New Roman" w:hAnsi="Times New Roman"/>
                <w:color w:val="000000"/>
                <w:sz w:val="22"/>
                <w:szCs w:val="22"/>
                <w:lang w:eastAsia="hu-HU"/>
              </w:rPr>
              <w:t xml:space="preserve"> </w:t>
            </w:r>
          </w:p>
          <w:p w:rsidR="00E5066C" w:rsidRPr="000E1775" w:rsidRDefault="00E5066C" w:rsidP="009852BC">
            <w:pPr>
              <w:widowControl w:val="0"/>
              <w:autoSpaceDE w:val="0"/>
              <w:autoSpaceDN w:val="0"/>
              <w:adjustRightInd w:val="0"/>
              <w:rPr>
                <w:rFonts w:ascii="Times New Roman" w:hAnsi="Times New Roman"/>
                <w:color w:val="000000"/>
                <w:sz w:val="22"/>
                <w:szCs w:val="22"/>
                <w:lang w:eastAsia="hu-HU"/>
              </w:rPr>
            </w:pPr>
          </w:p>
        </w:tc>
        <w:tc>
          <w:tcPr>
            <w:tcW w:w="2552" w:type="dxa"/>
            <w:tcBorders>
              <w:top w:val="single" w:sz="4" w:space="0" w:color="000000"/>
              <w:left w:val="single" w:sz="4" w:space="0" w:color="000000"/>
              <w:bottom w:val="single" w:sz="4" w:space="0" w:color="000000"/>
              <w:right w:val="single" w:sz="4" w:space="0" w:color="000000"/>
            </w:tcBorders>
            <w:hideMark/>
          </w:tcPr>
          <w:p w:rsidR="00E5066C" w:rsidRPr="000E1775" w:rsidRDefault="00E5066C" w:rsidP="009852BC">
            <w:pPr>
              <w:widowControl w:val="0"/>
              <w:autoSpaceDE w:val="0"/>
              <w:autoSpaceDN w:val="0"/>
              <w:adjustRightInd w:val="0"/>
              <w:rPr>
                <w:rFonts w:ascii="Times New Roman" w:hAnsi="Times New Roman"/>
                <w:color w:val="000000"/>
                <w:sz w:val="22"/>
                <w:szCs w:val="22"/>
                <w:lang w:eastAsia="hu-HU"/>
              </w:rPr>
            </w:pPr>
            <w:r w:rsidRPr="000E1775">
              <w:rPr>
                <w:rFonts w:ascii="Times New Roman" w:eastAsia="Calibri" w:hAnsi="Times New Roman"/>
                <w:sz w:val="22"/>
                <w:szCs w:val="22"/>
                <w:lang w:val="en-US"/>
              </w:rPr>
              <w:t>200 mg kas 12 valandų</w:t>
            </w:r>
            <w:r w:rsidRPr="000E1775">
              <w:rPr>
                <w:rFonts w:ascii="Times New Roman" w:hAnsi="Times New Roman"/>
                <w:color w:val="000000"/>
                <w:sz w:val="22"/>
                <w:szCs w:val="22"/>
                <w:lang w:eastAsia="hu-HU"/>
              </w:rPr>
              <w:t xml:space="preserve"> </w:t>
            </w:r>
          </w:p>
          <w:p w:rsidR="00E5066C" w:rsidRPr="000E1775" w:rsidRDefault="00E5066C" w:rsidP="009852BC">
            <w:pPr>
              <w:widowControl w:val="0"/>
              <w:autoSpaceDE w:val="0"/>
              <w:autoSpaceDN w:val="0"/>
              <w:adjustRightInd w:val="0"/>
              <w:rPr>
                <w:rFonts w:ascii="Times New Roman" w:hAnsi="Times New Roman"/>
                <w:color w:val="000000"/>
                <w:sz w:val="22"/>
                <w:szCs w:val="22"/>
                <w:lang w:eastAsia="hu-HU"/>
              </w:rPr>
            </w:pPr>
          </w:p>
        </w:tc>
      </w:tr>
      <w:tr w:rsidR="00E5066C" w:rsidRPr="000E1775" w:rsidTr="009852BC">
        <w:tc>
          <w:tcPr>
            <w:tcW w:w="1985" w:type="dxa"/>
            <w:tcBorders>
              <w:top w:val="single" w:sz="4" w:space="0" w:color="000000"/>
              <w:left w:val="single" w:sz="4" w:space="0" w:color="000000"/>
              <w:bottom w:val="single" w:sz="4" w:space="0" w:color="000000"/>
              <w:right w:val="single" w:sz="4" w:space="0" w:color="000000"/>
            </w:tcBorders>
            <w:hideMark/>
          </w:tcPr>
          <w:p w:rsidR="00E5066C" w:rsidRPr="000E1775" w:rsidRDefault="00E5066C" w:rsidP="009852BC">
            <w:pPr>
              <w:widowControl w:val="0"/>
              <w:autoSpaceDE w:val="0"/>
              <w:autoSpaceDN w:val="0"/>
              <w:adjustRightInd w:val="0"/>
              <w:rPr>
                <w:rFonts w:ascii="Times New Roman" w:hAnsi="Times New Roman"/>
                <w:color w:val="000000"/>
                <w:sz w:val="22"/>
                <w:szCs w:val="22"/>
                <w:lang w:eastAsia="hu-HU"/>
              </w:rPr>
            </w:pPr>
            <w:r w:rsidRPr="000E1775">
              <w:rPr>
                <w:rFonts w:ascii="Times New Roman" w:eastAsia="Calibri" w:hAnsi="Times New Roman"/>
                <w:b/>
                <w:bCs/>
                <w:sz w:val="22"/>
                <w:szCs w:val="22"/>
                <w:lang w:val="en-US"/>
              </w:rPr>
              <w:t>Palaikomoji dozė</w:t>
            </w:r>
            <w:r w:rsidRPr="000E1775" w:rsidDel="009459E8">
              <w:rPr>
                <w:rFonts w:ascii="Times New Roman" w:eastAsia="Calibri" w:hAnsi="Times New Roman"/>
                <w:b/>
                <w:bCs/>
                <w:sz w:val="22"/>
                <w:szCs w:val="22"/>
                <w:lang w:val="en-US"/>
              </w:rPr>
              <w:t xml:space="preserve"> </w:t>
            </w:r>
            <w:r w:rsidRPr="000E1775">
              <w:rPr>
                <w:rFonts w:ascii="Times New Roman" w:eastAsia="Calibri" w:hAnsi="Times New Roman"/>
                <w:b/>
                <w:bCs/>
                <w:sz w:val="22"/>
                <w:szCs w:val="22"/>
                <w:lang w:val="en-US"/>
              </w:rPr>
              <w:t>(po pirmųjų 24 valandų)</w:t>
            </w:r>
          </w:p>
        </w:tc>
        <w:tc>
          <w:tcPr>
            <w:tcW w:w="1913" w:type="dxa"/>
            <w:tcBorders>
              <w:top w:val="single" w:sz="4" w:space="0" w:color="000000"/>
              <w:left w:val="single" w:sz="4" w:space="0" w:color="000000"/>
              <w:bottom w:val="single" w:sz="4" w:space="0" w:color="000000"/>
              <w:right w:val="single" w:sz="4" w:space="0" w:color="000000"/>
            </w:tcBorders>
            <w:hideMark/>
          </w:tcPr>
          <w:p w:rsidR="00E5066C" w:rsidRPr="000E1775" w:rsidRDefault="00E5066C" w:rsidP="009852BC">
            <w:pPr>
              <w:autoSpaceDE w:val="0"/>
              <w:autoSpaceDN w:val="0"/>
              <w:adjustRightInd w:val="0"/>
              <w:rPr>
                <w:rFonts w:ascii="Times New Roman" w:hAnsi="Times New Roman"/>
                <w:sz w:val="22"/>
                <w:szCs w:val="22"/>
              </w:rPr>
            </w:pPr>
            <w:r w:rsidRPr="000E1775">
              <w:rPr>
                <w:rFonts w:ascii="Times New Roman" w:eastAsia="Calibri" w:hAnsi="Times New Roman"/>
                <w:sz w:val="22"/>
                <w:szCs w:val="22"/>
                <w:lang w:val="en-US"/>
              </w:rPr>
              <w:t xml:space="preserve">4 mg/kg du kartus per </w:t>
            </w:r>
            <w:r w:rsidRPr="000E1775">
              <w:rPr>
                <w:rFonts w:ascii="Times New Roman" w:eastAsia="Calibri" w:hAnsi="Times New Roman"/>
                <w:sz w:val="22"/>
                <w:szCs w:val="22"/>
              </w:rPr>
              <w:t>parą</w:t>
            </w:r>
            <w:r w:rsidRPr="000E1775">
              <w:rPr>
                <w:rFonts w:ascii="Times New Roman" w:hAnsi="Times New Roman"/>
                <w:sz w:val="22"/>
                <w:szCs w:val="22"/>
              </w:rPr>
              <w:t xml:space="preserve"> </w:t>
            </w:r>
          </w:p>
          <w:p w:rsidR="00E5066C" w:rsidRPr="000E1775" w:rsidRDefault="00E5066C" w:rsidP="009852BC">
            <w:pPr>
              <w:pStyle w:val="Default"/>
              <w:widowControl w:val="0"/>
              <w:rPr>
                <w:sz w:val="22"/>
                <w:szCs w:val="22"/>
                <w:lang w:val="en-GB" w:eastAsia="hu-HU"/>
              </w:rPr>
            </w:pPr>
          </w:p>
        </w:tc>
        <w:tc>
          <w:tcPr>
            <w:tcW w:w="2729" w:type="dxa"/>
            <w:tcBorders>
              <w:top w:val="single" w:sz="4" w:space="0" w:color="000000"/>
              <w:left w:val="single" w:sz="4" w:space="0" w:color="000000"/>
              <w:bottom w:val="single" w:sz="4" w:space="0" w:color="000000"/>
              <w:right w:val="single" w:sz="4" w:space="0" w:color="000000"/>
            </w:tcBorders>
            <w:hideMark/>
          </w:tcPr>
          <w:p w:rsidR="00E5066C" w:rsidRPr="000E1775" w:rsidRDefault="00E5066C" w:rsidP="009852BC">
            <w:pPr>
              <w:autoSpaceDE w:val="0"/>
              <w:autoSpaceDN w:val="0"/>
              <w:adjustRightInd w:val="0"/>
              <w:rPr>
                <w:rFonts w:ascii="Times New Roman" w:hAnsi="Times New Roman"/>
                <w:color w:val="000000"/>
                <w:sz w:val="22"/>
                <w:szCs w:val="22"/>
                <w:lang w:eastAsia="hu-HU"/>
              </w:rPr>
            </w:pPr>
            <w:r w:rsidRPr="000E1775">
              <w:rPr>
                <w:rFonts w:ascii="Times New Roman" w:eastAsia="Calibri" w:hAnsi="Times New Roman"/>
                <w:sz w:val="22"/>
                <w:szCs w:val="22"/>
                <w:lang w:val="en-US"/>
              </w:rPr>
              <w:t>200 mg du kartus per parą</w:t>
            </w:r>
            <w:r w:rsidRPr="000E1775">
              <w:rPr>
                <w:rFonts w:ascii="Times New Roman" w:hAnsi="Times New Roman"/>
                <w:color w:val="000000"/>
                <w:sz w:val="22"/>
                <w:szCs w:val="22"/>
                <w:lang w:eastAsia="hu-HU"/>
              </w:rPr>
              <w:t xml:space="preserve"> </w:t>
            </w:r>
          </w:p>
          <w:p w:rsidR="00E5066C" w:rsidRPr="000E1775" w:rsidRDefault="00E5066C" w:rsidP="009852BC">
            <w:pPr>
              <w:widowControl w:val="0"/>
              <w:autoSpaceDE w:val="0"/>
              <w:autoSpaceDN w:val="0"/>
              <w:adjustRightInd w:val="0"/>
              <w:rPr>
                <w:rFonts w:ascii="Times New Roman" w:hAnsi="Times New Roman"/>
                <w:color w:val="000000"/>
                <w:sz w:val="22"/>
                <w:szCs w:val="22"/>
                <w:lang w:eastAsia="hu-HU"/>
              </w:rPr>
            </w:pPr>
          </w:p>
        </w:tc>
        <w:tc>
          <w:tcPr>
            <w:tcW w:w="2552" w:type="dxa"/>
            <w:tcBorders>
              <w:top w:val="single" w:sz="4" w:space="0" w:color="000000"/>
              <w:left w:val="single" w:sz="4" w:space="0" w:color="000000"/>
              <w:bottom w:val="single" w:sz="4" w:space="0" w:color="000000"/>
              <w:right w:val="single" w:sz="4" w:space="0" w:color="000000"/>
            </w:tcBorders>
            <w:hideMark/>
          </w:tcPr>
          <w:p w:rsidR="00E5066C" w:rsidRPr="000E1775" w:rsidRDefault="00E5066C" w:rsidP="009852BC">
            <w:pPr>
              <w:autoSpaceDE w:val="0"/>
              <w:autoSpaceDN w:val="0"/>
              <w:adjustRightInd w:val="0"/>
              <w:rPr>
                <w:rFonts w:ascii="Times New Roman" w:hAnsi="Times New Roman"/>
                <w:color w:val="000000"/>
                <w:sz w:val="22"/>
                <w:szCs w:val="22"/>
                <w:lang w:eastAsia="hu-HU"/>
              </w:rPr>
            </w:pPr>
            <w:r w:rsidRPr="000E1775">
              <w:rPr>
                <w:rFonts w:ascii="Times New Roman" w:eastAsia="Calibri" w:hAnsi="Times New Roman"/>
                <w:sz w:val="22"/>
                <w:szCs w:val="22"/>
                <w:lang w:val="en-US"/>
              </w:rPr>
              <w:t>100 mg du kartus per parą</w:t>
            </w:r>
            <w:r w:rsidRPr="000E1775">
              <w:rPr>
                <w:rFonts w:ascii="Times New Roman" w:hAnsi="Times New Roman"/>
                <w:color w:val="000000"/>
                <w:sz w:val="22"/>
                <w:szCs w:val="22"/>
                <w:lang w:eastAsia="hu-HU"/>
              </w:rPr>
              <w:t xml:space="preserve"> </w:t>
            </w:r>
          </w:p>
          <w:p w:rsidR="00E5066C" w:rsidRPr="000E1775" w:rsidRDefault="00E5066C" w:rsidP="009852BC">
            <w:pPr>
              <w:widowControl w:val="0"/>
              <w:autoSpaceDE w:val="0"/>
              <w:autoSpaceDN w:val="0"/>
              <w:adjustRightInd w:val="0"/>
              <w:rPr>
                <w:rFonts w:ascii="Times New Roman" w:hAnsi="Times New Roman"/>
                <w:color w:val="000000"/>
                <w:sz w:val="22"/>
                <w:szCs w:val="22"/>
                <w:lang w:eastAsia="hu-HU"/>
              </w:rPr>
            </w:pPr>
          </w:p>
        </w:tc>
      </w:tr>
    </w:tbl>
    <w:p w:rsidR="00E5066C" w:rsidRPr="000E1775" w:rsidRDefault="00E5066C" w:rsidP="00E5066C">
      <w:pPr>
        <w:widowControl w:val="0"/>
        <w:rPr>
          <w:rFonts w:ascii="Times New Roman" w:hAnsi="Times New Roman"/>
          <w:sz w:val="22"/>
          <w:szCs w:val="22"/>
        </w:rPr>
      </w:pP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Taip pat taikomas 15 metų ir vyresniems pacientams</w:t>
      </w:r>
      <w:r w:rsidRPr="000E1775">
        <w:rPr>
          <w:rFonts w:ascii="Times New Roman" w:hAnsi="Times New Roman"/>
          <w:sz w:val="22"/>
          <w:szCs w:val="22"/>
        </w:rPr>
        <w:t>.</w:t>
      </w:r>
    </w:p>
    <w:p w:rsidR="00EF383A" w:rsidRPr="000E1775" w:rsidRDefault="00EF383A" w:rsidP="00EF383A">
      <w:pPr>
        <w:autoSpaceDE w:val="0"/>
        <w:autoSpaceDN w:val="0"/>
        <w:adjustRightInd w:val="0"/>
        <w:rPr>
          <w:rFonts w:ascii="Times New Roman" w:eastAsia="Calibri" w:hAnsi="Times New Roman"/>
          <w:i/>
          <w:sz w:val="22"/>
          <w:szCs w:val="22"/>
          <w:lang w:val="lt-LT"/>
        </w:rPr>
      </w:pPr>
    </w:p>
    <w:p w:rsidR="00EF383A" w:rsidRPr="000E1775" w:rsidRDefault="00EF383A" w:rsidP="00EF383A">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Gydymo trukmė</w:t>
      </w:r>
    </w:p>
    <w:p w:rsidR="00EF383A" w:rsidRPr="000E1775" w:rsidRDefault="00EF383A" w:rsidP="00EF383A">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Atsižvelgiant į paciento klinikinį ir mikologinį atsaką, gydymo trukmė turi būti kaip įmanoma trumpesnė. </w:t>
      </w:r>
    </w:p>
    <w:p w:rsidR="00EF383A" w:rsidRPr="000E1775" w:rsidRDefault="00EF383A" w:rsidP="00EF383A">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Jei </w:t>
      </w:r>
      <w:r w:rsidR="00954806" w:rsidRPr="000E1775">
        <w:rPr>
          <w:rFonts w:ascii="Times New Roman" w:eastAsia="Calibri" w:hAnsi="Times New Roman"/>
          <w:sz w:val="22"/>
          <w:szCs w:val="22"/>
          <w:lang w:val="lt-LT"/>
        </w:rPr>
        <w:t>v</w:t>
      </w:r>
      <w:r w:rsidRPr="000E1775">
        <w:rPr>
          <w:rFonts w:ascii="Times New Roman" w:eastAsia="Calibri" w:hAnsi="Times New Roman"/>
          <w:sz w:val="22"/>
          <w:szCs w:val="22"/>
          <w:lang w:val="lt-LT"/>
        </w:rPr>
        <w:t xml:space="preserve">orikonazolo vartojama ilgiau kaip180 parų (6 mėnesius), reikia atidžiai įvertinti naudos ir rizikos santykį (žr. 4.4 ir 5.1 skyrius). </w:t>
      </w: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r w:rsidRPr="000E1775">
        <w:rPr>
          <w:rFonts w:ascii="Times New Roman" w:eastAsia="TimesNewRoman,Italic" w:hAnsi="Times New Roman"/>
          <w:i/>
          <w:iCs/>
          <w:sz w:val="22"/>
          <w:szCs w:val="22"/>
          <w:lang w:val="lt-LT"/>
        </w:rPr>
        <w:t>Dozės koregavimas (suaugusiesiems)</w:t>
      </w:r>
    </w:p>
    <w:p w:rsidR="00E5066C" w:rsidRPr="000E1775" w:rsidRDefault="00E5066C" w:rsidP="00E5066C">
      <w:pPr>
        <w:autoSpaceDE w:val="0"/>
        <w:autoSpaceDN w:val="0"/>
        <w:adjustRightInd w:val="0"/>
        <w:rPr>
          <w:rFonts w:ascii="Times New Roman" w:eastAsia="TimesNewRoman,Italic" w:hAnsi="Times New Roman"/>
          <w:sz w:val="22"/>
          <w:szCs w:val="22"/>
          <w:lang w:val="en-US"/>
        </w:rPr>
      </w:pPr>
      <w:r w:rsidRPr="000E1775">
        <w:rPr>
          <w:rFonts w:ascii="Times New Roman" w:eastAsia="TimesNewRoman,Italic" w:hAnsi="Times New Roman"/>
          <w:sz w:val="22"/>
          <w:szCs w:val="22"/>
          <w:lang w:val="lt-LT"/>
        </w:rPr>
        <w:t xml:space="preserve">Jeigu paciento organizmo atsakas į gydymą yra nepakankamas, palaikomąją dozę galima didinti ir skirti gerti po 300 mg du kartus per parą. </w:t>
      </w:r>
      <w:r w:rsidRPr="000E1775">
        <w:rPr>
          <w:rFonts w:ascii="Times New Roman" w:eastAsia="TimesNewRoman,Italic" w:hAnsi="Times New Roman"/>
          <w:sz w:val="22"/>
          <w:szCs w:val="22"/>
          <w:lang w:val="en-US"/>
        </w:rPr>
        <w:t>Pacientams, sveriantiems mažiau kaip 40 kg, geriamojo vaistinio preparato dozę galima didinti ir skirti gerti po 150 mg du kartus per parą.</w:t>
      </w:r>
    </w:p>
    <w:p w:rsidR="00E5066C" w:rsidRPr="000E1775" w:rsidRDefault="00E5066C" w:rsidP="00E5066C">
      <w:pPr>
        <w:autoSpaceDE w:val="0"/>
        <w:autoSpaceDN w:val="0"/>
        <w:adjustRightInd w:val="0"/>
        <w:rPr>
          <w:rFonts w:ascii="Times New Roman" w:eastAsia="TimesNewRoman,Italic" w:hAnsi="Times New Roman"/>
          <w:sz w:val="22"/>
          <w:szCs w:val="22"/>
          <w:lang w:val="en-US"/>
        </w:rPr>
      </w:pPr>
      <w:r w:rsidRPr="000E1775">
        <w:rPr>
          <w:rFonts w:ascii="Times New Roman" w:eastAsia="TimesNewRoman,Italic" w:hAnsi="Times New Roman"/>
          <w:sz w:val="22"/>
          <w:szCs w:val="22"/>
          <w:lang w:val="en-US"/>
        </w:rPr>
        <w:t xml:space="preserve">Jei ligonis didelės palaikomosios dozės netoleruoja, </w:t>
      </w:r>
      <w:proofErr w:type="gramStart"/>
      <w:r w:rsidRPr="000E1775">
        <w:rPr>
          <w:rFonts w:ascii="Times New Roman" w:eastAsia="TimesNewRoman,Italic" w:hAnsi="Times New Roman"/>
          <w:sz w:val="22"/>
          <w:szCs w:val="22"/>
          <w:lang w:val="en-US"/>
        </w:rPr>
        <w:t>ją</w:t>
      </w:r>
      <w:proofErr w:type="gramEnd"/>
      <w:r w:rsidRPr="000E1775">
        <w:rPr>
          <w:rFonts w:ascii="Times New Roman" w:eastAsia="TimesNewRoman,Italic" w:hAnsi="Times New Roman"/>
          <w:sz w:val="22"/>
          <w:szCs w:val="22"/>
          <w:lang w:val="en-US"/>
        </w:rPr>
        <w:t xml:space="preserve"> reikia palaipsniui po 50 mg mažinti ir gerti 200 mg palaikomąją dozę du kartus per parą (pacientams, sveriantiems mažiau kaip 40 kg, reikia gerti po 100 mg du kartus per parą).</w:t>
      </w:r>
    </w:p>
    <w:p w:rsidR="00E5066C" w:rsidRPr="000E1775" w:rsidRDefault="00E5066C" w:rsidP="00E5066C">
      <w:pPr>
        <w:autoSpaceDE w:val="0"/>
        <w:autoSpaceDN w:val="0"/>
        <w:adjustRightInd w:val="0"/>
        <w:rPr>
          <w:rFonts w:ascii="Times New Roman" w:eastAsia="TimesNewRoman,Italic" w:hAnsi="Times New Roman"/>
          <w:sz w:val="22"/>
          <w:szCs w:val="22"/>
          <w:lang w:val="en-US"/>
        </w:rPr>
      </w:pPr>
      <w:r w:rsidRPr="000E1775">
        <w:rPr>
          <w:rFonts w:ascii="Times New Roman" w:eastAsia="TimesNewRoman,Italic" w:hAnsi="Times New Roman"/>
          <w:sz w:val="22"/>
          <w:szCs w:val="22"/>
          <w:lang w:val="en-US"/>
        </w:rPr>
        <w:t>Apie vartojimą profilaktikai žr.toliau.</w:t>
      </w:r>
    </w:p>
    <w:p w:rsidR="00E5066C" w:rsidRPr="000E1775" w:rsidRDefault="00E5066C" w:rsidP="00E5066C">
      <w:pPr>
        <w:autoSpaceDE w:val="0"/>
        <w:autoSpaceDN w:val="0"/>
        <w:adjustRightInd w:val="0"/>
        <w:rPr>
          <w:rFonts w:ascii="Times New Roman" w:eastAsia="TimesNewRoman,Italic" w:hAnsi="Times New Roman"/>
          <w:i/>
          <w:iCs/>
          <w:sz w:val="22"/>
          <w:szCs w:val="22"/>
          <w:lang w:val="en-US"/>
        </w:rPr>
      </w:pPr>
    </w:p>
    <w:p w:rsidR="00E5066C" w:rsidRPr="000E1775" w:rsidRDefault="00E5066C" w:rsidP="00E5066C">
      <w:pPr>
        <w:autoSpaceDE w:val="0"/>
        <w:autoSpaceDN w:val="0"/>
        <w:adjustRightInd w:val="0"/>
        <w:rPr>
          <w:rFonts w:ascii="Times New Roman" w:eastAsia="TimesNewRoman,Italic" w:hAnsi="Times New Roman"/>
          <w:i/>
          <w:iCs/>
          <w:sz w:val="22"/>
          <w:szCs w:val="22"/>
          <w:lang w:val="en-US"/>
        </w:rPr>
      </w:pPr>
      <w:r w:rsidRPr="000E1775">
        <w:rPr>
          <w:rFonts w:ascii="Times New Roman" w:eastAsia="TimesNewRoman,Italic" w:hAnsi="Times New Roman"/>
          <w:i/>
          <w:iCs/>
          <w:sz w:val="22"/>
          <w:szCs w:val="22"/>
          <w:lang w:val="en-US"/>
        </w:rPr>
        <w:t>Vaikams (nuo 2 iki &lt; 12 metų) ir jauniems paaugliams, kurių kūno masė yra maža (12-14 metų ir &lt; 50 kg)</w:t>
      </w:r>
    </w:p>
    <w:p w:rsidR="00E5066C" w:rsidRPr="000E1775" w:rsidRDefault="00E5066C" w:rsidP="00E5066C">
      <w:pPr>
        <w:autoSpaceDE w:val="0"/>
        <w:autoSpaceDN w:val="0"/>
        <w:adjustRightInd w:val="0"/>
        <w:rPr>
          <w:rFonts w:ascii="Times New Roman" w:eastAsia="TimesNewRoman,Italic" w:hAnsi="Times New Roman"/>
          <w:sz w:val="22"/>
          <w:szCs w:val="22"/>
          <w:lang w:val="en-US"/>
        </w:rPr>
      </w:pPr>
      <w:r w:rsidRPr="000E1775">
        <w:rPr>
          <w:rFonts w:ascii="Times New Roman" w:eastAsia="TimesNewRoman,Italic" w:hAnsi="Times New Roman"/>
          <w:sz w:val="22"/>
          <w:szCs w:val="22"/>
          <w:lang w:val="en-US"/>
        </w:rPr>
        <w:lastRenderedPageBreak/>
        <w:t>Vorikonazolas dozuojamas taip pat kaip vaikams, nes šiems jauniems paaugliams vorikonazolo metabolizmas labiau panašus į vaikų nei į suaugusių.</w:t>
      </w:r>
    </w:p>
    <w:p w:rsidR="00E5066C" w:rsidRPr="000E1775" w:rsidRDefault="00E5066C" w:rsidP="00E5066C">
      <w:pPr>
        <w:rPr>
          <w:rFonts w:ascii="Times New Roman" w:eastAsia="TimesNewRoman,Italic" w:hAnsi="Times New Roman"/>
          <w:sz w:val="22"/>
          <w:szCs w:val="22"/>
          <w:lang w:val="en-US"/>
        </w:rPr>
      </w:pPr>
    </w:p>
    <w:p w:rsidR="00E5066C" w:rsidRPr="000E1775" w:rsidRDefault="00E5066C" w:rsidP="00E5066C">
      <w:pPr>
        <w:rPr>
          <w:rFonts w:ascii="Times New Roman" w:eastAsia="TimesNewRoman,Italic" w:hAnsi="Times New Roman"/>
          <w:sz w:val="22"/>
          <w:szCs w:val="22"/>
          <w:lang w:val="en-US"/>
        </w:rPr>
      </w:pPr>
      <w:r w:rsidRPr="000E1775">
        <w:rPr>
          <w:rFonts w:ascii="Times New Roman" w:eastAsia="TimesNewRoman,Italic" w:hAnsi="Times New Roman"/>
          <w:sz w:val="22"/>
          <w:szCs w:val="22"/>
          <w:lang w:val="en-US"/>
        </w:rPr>
        <w:t>Rekomenduojamas toks dozavimo planas: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4"/>
        <w:gridCol w:w="3001"/>
        <w:gridCol w:w="3037"/>
      </w:tblGrid>
      <w:tr w:rsidR="00E5066C" w:rsidRPr="000E1775" w:rsidTr="009852BC">
        <w:trPr>
          <w:tblHeader/>
        </w:trPr>
        <w:tc>
          <w:tcPr>
            <w:tcW w:w="2962"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p>
        </w:tc>
        <w:tc>
          <w:tcPr>
            <w:tcW w:w="3070" w:type="dxa"/>
          </w:tcPr>
          <w:p w:rsidR="00E5066C" w:rsidRPr="000E1775" w:rsidRDefault="00E5066C" w:rsidP="009852BC">
            <w:pPr>
              <w:widowControl w:val="0"/>
              <w:autoSpaceDE w:val="0"/>
              <w:autoSpaceDN w:val="0"/>
              <w:adjustRightInd w:val="0"/>
              <w:jc w:val="center"/>
              <w:rPr>
                <w:rFonts w:ascii="Times New Roman" w:hAnsi="Times New Roman"/>
                <w:b/>
                <w:bCs/>
                <w:sz w:val="22"/>
                <w:szCs w:val="22"/>
                <w:lang w:eastAsia="hu-HU"/>
              </w:rPr>
            </w:pPr>
            <w:r w:rsidRPr="000E1775">
              <w:rPr>
                <w:rFonts w:ascii="Times New Roman" w:hAnsi="Times New Roman"/>
                <w:b/>
                <w:bCs/>
                <w:sz w:val="22"/>
                <w:szCs w:val="22"/>
                <w:lang w:eastAsia="hu-HU"/>
              </w:rPr>
              <w:t>Į veną</w:t>
            </w:r>
          </w:p>
        </w:tc>
        <w:tc>
          <w:tcPr>
            <w:tcW w:w="3071" w:type="dxa"/>
          </w:tcPr>
          <w:p w:rsidR="00E5066C" w:rsidRPr="000E1775" w:rsidRDefault="00E5066C" w:rsidP="009852BC">
            <w:pPr>
              <w:widowControl w:val="0"/>
              <w:autoSpaceDE w:val="0"/>
              <w:autoSpaceDN w:val="0"/>
              <w:adjustRightInd w:val="0"/>
              <w:jc w:val="center"/>
              <w:rPr>
                <w:rFonts w:ascii="Times New Roman" w:hAnsi="Times New Roman"/>
                <w:b/>
                <w:bCs/>
                <w:sz w:val="22"/>
                <w:szCs w:val="22"/>
                <w:lang w:val="lt-LT" w:eastAsia="hu-HU"/>
              </w:rPr>
            </w:pPr>
            <w:r w:rsidRPr="000E1775">
              <w:rPr>
                <w:rFonts w:ascii="Times New Roman" w:hAnsi="Times New Roman"/>
                <w:b/>
                <w:bCs/>
                <w:sz w:val="22"/>
                <w:szCs w:val="22"/>
                <w:lang w:eastAsia="hu-HU"/>
              </w:rPr>
              <w:t>Per bur</w:t>
            </w:r>
            <w:r w:rsidRPr="000E1775">
              <w:rPr>
                <w:rFonts w:ascii="Times New Roman" w:hAnsi="Times New Roman"/>
                <w:b/>
                <w:bCs/>
                <w:sz w:val="22"/>
                <w:szCs w:val="22"/>
                <w:lang w:val="lt-LT" w:eastAsia="hu-HU"/>
              </w:rPr>
              <w:t>ną</w:t>
            </w:r>
          </w:p>
        </w:tc>
      </w:tr>
      <w:tr w:rsidR="00E5066C" w:rsidRPr="000E1775" w:rsidTr="009852BC">
        <w:tc>
          <w:tcPr>
            <w:tcW w:w="2962" w:type="dxa"/>
          </w:tcPr>
          <w:p w:rsidR="00E5066C" w:rsidRPr="000E1775" w:rsidRDefault="00E5066C" w:rsidP="009852BC">
            <w:pPr>
              <w:autoSpaceDE w:val="0"/>
              <w:autoSpaceDN w:val="0"/>
              <w:adjustRightInd w:val="0"/>
              <w:rPr>
                <w:rFonts w:ascii="Times New Roman" w:hAnsi="Times New Roman"/>
                <w:b/>
                <w:bCs/>
                <w:sz w:val="22"/>
                <w:szCs w:val="22"/>
                <w:lang w:val="fr-FR" w:eastAsia="hu-HU"/>
              </w:rPr>
            </w:pPr>
            <w:r w:rsidRPr="000E1775">
              <w:rPr>
                <w:rFonts w:ascii="Times New Roman" w:eastAsia="Calibri" w:hAnsi="Times New Roman"/>
                <w:b/>
                <w:bCs/>
                <w:sz w:val="22"/>
                <w:szCs w:val="22"/>
                <w:lang w:val="fr-FR"/>
              </w:rPr>
              <w:t>Įsotinamosios dozės planas</w:t>
            </w:r>
            <w:r w:rsidRPr="000E1775" w:rsidDel="003A4FD2">
              <w:rPr>
                <w:rFonts w:ascii="Times New Roman" w:eastAsia="Calibri" w:hAnsi="Times New Roman"/>
                <w:b/>
                <w:bCs/>
                <w:sz w:val="22"/>
                <w:szCs w:val="22"/>
                <w:lang w:val="fr-FR"/>
              </w:rPr>
              <w:t xml:space="preserve"> </w:t>
            </w:r>
            <w:r w:rsidRPr="000E1775">
              <w:rPr>
                <w:rFonts w:ascii="Times New Roman" w:eastAsia="Calibri" w:hAnsi="Times New Roman"/>
                <w:b/>
                <w:bCs/>
                <w:sz w:val="22"/>
                <w:szCs w:val="22"/>
                <w:lang w:val="fr-FR"/>
              </w:rPr>
              <w:t>(pirmąsias 24 valandas)</w:t>
            </w:r>
          </w:p>
        </w:tc>
        <w:tc>
          <w:tcPr>
            <w:tcW w:w="3070"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eastAsia="Calibri" w:hAnsi="Times New Roman"/>
                <w:sz w:val="22"/>
                <w:szCs w:val="22"/>
                <w:lang w:val="en-US"/>
              </w:rPr>
              <w:t>9 mg/kg kas 12 valandų</w:t>
            </w:r>
          </w:p>
        </w:tc>
        <w:tc>
          <w:tcPr>
            <w:tcW w:w="3071" w:type="dxa"/>
          </w:tcPr>
          <w:p w:rsidR="00E5066C" w:rsidRPr="000E1775" w:rsidRDefault="00E5066C" w:rsidP="009852BC">
            <w:pPr>
              <w:widowControl w:val="0"/>
              <w:autoSpaceDE w:val="0"/>
              <w:autoSpaceDN w:val="0"/>
              <w:adjustRightInd w:val="0"/>
              <w:rPr>
                <w:rFonts w:ascii="Times New Roman" w:hAnsi="Times New Roman"/>
                <w:bCs/>
                <w:sz w:val="22"/>
                <w:szCs w:val="22"/>
                <w:lang w:eastAsia="hu-HU"/>
              </w:rPr>
            </w:pPr>
            <w:r w:rsidRPr="000E1775">
              <w:rPr>
                <w:rFonts w:ascii="Times New Roman" w:hAnsi="Times New Roman"/>
                <w:bCs/>
                <w:sz w:val="22"/>
                <w:szCs w:val="22"/>
                <w:lang w:eastAsia="hu-HU"/>
              </w:rPr>
              <w:t>Nerekomenduojama</w:t>
            </w:r>
          </w:p>
        </w:tc>
      </w:tr>
      <w:tr w:rsidR="00E5066C" w:rsidRPr="000E1775" w:rsidTr="009852BC">
        <w:tc>
          <w:tcPr>
            <w:tcW w:w="2962" w:type="dxa"/>
          </w:tcPr>
          <w:p w:rsidR="00E5066C" w:rsidRPr="000E1775" w:rsidRDefault="00E5066C" w:rsidP="009852BC">
            <w:pPr>
              <w:autoSpaceDE w:val="0"/>
              <w:autoSpaceDN w:val="0"/>
              <w:adjustRightInd w:val="0"/>
              <w:rPr>
                <w:rFonts w:ascii="Times New Roman" w:hAnsi="Times New Roman"/>
                <w:b/>
                <w:bCs/>
                <w:sz w:val="22"/>
                <w:szCs w:val="22"/>
                <w:lang w:eastAsia="hu-HU"/>
              </w:rPr>
            </w:pPr>
            <w:r w:rsidRPr="000E1775">
              <w:rPr>
                <w:rFonts w:ascii="Times New Roman" w:eastAsia="Calibri" w:hAnsi="Times New Roman"/>
                <w:b/>
                <w:bCs/>
                <w:sz w:val="22"/>
                <w:szCs w:val="22"/>
                <w:lang w:val="en-US"/>
              </w:rPr>
              <w:t>Palaikomoji dozė</w:t>
            </w:r>
            <w:r w:rsidRPr="000E1775" w:rsidDel="003A4FD2">
              <w:rPr>
                <w:rFonts w:ascii="Times New Roman" w:eastAsia="Calibri" w:hAnsi="Times New Roman"/>
                <w:b/>
                <w:bCs/>
                <w:sz w:val="22"/>
                <w:szCs w:val="22"/>
                <w:lang w:val="en-US"/>
              </w:rPr>
              <w:t xml:space="preserve"> </w:t>
            </w:r>
            <w:r w:rsidRPr="000E1775">
              <w:rPr>
                <w:rFonts w:ascii="Times New Roman" w:eastAsia="Calibri" w:hAnsi="Times New Roman"/>
                <w:b/>
                <w:bCs/>
                <w:sz w:val="22"/>
                <w:szCs w:val="22"/>
                <w:lang w:val="en-US"/>
              </w:rPr>
              <w:t>(po pirmųjų 24 valandų)</w:t>
            </w:r>
          </w:p>
        </w:tc>
        <w:tc>
          <w:tcPr>
            <w:tcW w:w="3070"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eastAsia="Calibri" w:hAnsi="Times New Roman"/>
                <w:sz w:val="22"/>
                <w:szCs w:val="22"/>
                <w:lang w:val="en-US"/>
              </w:rPr>
              <w:t>8 mg/kg du kartus per parą</w:t>
            </w:r>
          </w:p>
        </w:tc>
        <w:tc>
          <w:tcPr>
            <w:tcW w:w="3071" w:type="dxa"/>
          </w:tcPr>
          <w:p w:rsidR="00E5066C" w:rsidRPr="000E1775" w:rsidRDefault="00E5066C" w:rsidP="009852BC">
            <w:pPr>
              <w:autoSpaceDE w:val="0"/>
              <w:autoSpaceDN w:val="0"/>
              <w:adjustRightInd w:val="0"/>
              <w:rPr>
                <w:rFonts w:ascii="Times New Roman" w:hAnsi="Times New Roman"/>
                <w:sz w:val="22"/>
                <w:szCs w:val="22"/>
                <w:lang w:eastAsia="hu-HU"/>
              </w:rPr>
            </w:pPr>
            <w:r w:rsidRPr="000E1775">
              <w:rPr>
                <w:rFonts w:ascii="Times New Roman" w:eastAsia="Calibri" w:hAnsi="Times New Roman"/>
                <w:sz w:val="22"/>
                <w:szCs w:val="22"/>
                <w:lang w:val="en-US"/>
              </w:rPr>
              <w:t>9 mg/kg du kartus per parą</w:t>
            </w:r>
            <w:r w:rsidRPr="000E1775" w:rsidDel="003A4FD2">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(didžiausia dozė yra 350 mg du kartus per parą</w:t>
            </w:r>
          </w:p>
        </w:tc>
      </w:tr>
    </w:tbl>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Pastaba: Remiantis farmakokinetikos populiacijoje (112 nuo 2 iki &lt; 12 metų vaikų ir paauglių, kurių imunitetas yra susilpnėjęs, ir 26 nuo 12 iki &lt; 17 metų paaugliai, kurių imunitetas yra susilpnėjęs) duomenų analize.</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Gydymą rekomenduojama pradėti pagal vartojimo į veną planą, o gydymo vaistiniu preparatu per burną planą reikia apgalvotai taikyti tik tada, kai paciento būklė reikšmingai pagerėja. Reikia pastebėti, kad vartojant 8 mg/kg dozę į veną, vorikonazolo ekspozicija būna maždaug 2 kartus didesnė nei vartojant 9 mg/kg dozę per burną.</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 xml:space="preserve">Kadangi pagal rekomenduojamą dozavimo planą šiam vaikų populiacijos pogrupiui gydymas pradedamas </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 xml:space="preserve">į veną leidžiamu vorikanazolu, tokiems pacientams gydymą reikia pradėti rinkoje esančiu kito gamintojo į veną vartojamu vorikonazolo preparatu, nes gydymo pradžiai VORICONAZOLE RICHTER tabletės netiks. </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Šios dozavimo per burną rekomendacijos vaikams pagrįstos tyrimais, kurių metu buvo vartoti vorikonazolo milteliai geriamajai suspensijai. Miltelių geriamajai suspensijai ir tablečių bioekvivalentiškumas vaikų populiacijoje nebuvo tirtas. Atsižvelgiant į numanomą trumpesnį slinkimo vaikų skrandžiu ir žarnynu laiką, tablečių absorbcija vaikų organizme gali skirtis nuo suaugusių pacientų. Todėl nuo 2 iki &lt; 12 metų vaikams rekomenduojama vartoti geriamosios suspensijos formą.</w:t>
      </w:r>
      <w:r w:rsidRPr="000E1775" w:rsidDel="009B2BC0">
        <w:rPr>
          <w:rFonts w:ascii="Times New Roman" w:eastAsia="Calibri" w:hAnsi="Times New Roman"/>
          <w:sz w:val="22"/>
          <w:szCs w:val="22"/>
          <w:lang w:val="lt-LT"/>
        </w:rPr>
        <w:t xml:space="preserve"> </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i/>
          <w:sz w:val="22"/>
          <w:szCs w:val="22"/>
          <w:lang w:val="lt-LT"/>
        </w:rPr>
        <w:t>Visiems kitiems paaugliams</w:t>
      </w:r>
      <w:r w:rsidRPr="000E1775">
        <w:rPr>
          <w:rFonts w:ascii="Times New Roman" w:eastAsia="Calibri" w:hAnsi="Times New Roman"/>
          <w:sz w:val="22"/>
          <w:szCs w:val="22"/>
          <w:lang w:val="lt-LT"/>
        </w:rPr>
        <w:t xml:space="preserve"> </w:t>
      </w:r>
      <w:r w:rsidRPr="000E1775">
        <w:rPr>
          <w:rFonts w:ascii="Times New Roman" w:eastAsia="TimesNewRoman,Italic" w:hAnsi="Times New Roman"/>
          <w:i/>
          <w:iCs/>
          <w:sz w:val="22"/>
          <w:szCs w:val="22"/>
          <w:lang w:val="lt-LT"/>
        </w:rPr>
        <w:t>(12-14 metų ir ≥ 50 kg; 15-17 metų, neatsižvelgiant į kūno masę)</w:t>
      </w:r>
      <w:r w:rsidRPr="000E1775" w:rsidDel="00530703">
        <w:rPr>
          <w:rFonts w:ascii="Times New Roman" w:eastAsia="TimesNewRoman,Italic" w:hAnsi="Times New Roman"/>
          <w:i/>
          <w:iCs/>
          <w:sz w:val="22"/>
          <w:szCs w:val="22"/>
          <w:lang w:val="lt-LT"/>
        </w:rPr>
        <w:t xml:space="preserve"> </w:t>
      </w:r>
      <w:r w:rsidRPr="000E1775">
        <w:rPr>
          <w:rFonts w:ascii="Times New Roman" w:eastAsia="Calibri" w:hAnsi="Times New Roman"/>
          <w:sz w:val="22"/>
          <w:szCs w:val="22"/>
          <w:lang w:val="lt-LT"/>
        </w:rPr>
        <w:t>Vorikonazolas dozuojamas kaip suaugusiesiems.</w:t>
      </w: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r w:rsidRPr="000E1775">
        <w:rPr>
          <w:rFonts w:ascii="Times New Roman" w:eastAsia="TimesNewRoman,Italic" w:hAnsi="Times New Roman"/>
          <w:i/>
          <w:iCs/>
          <w:sz w:val="22"/>
          <w:szCs w:val="22"/>
          <w:lang w:val="lt-LT"/>
        </w:rPr>
        <w:t>Dozės koregavimas (vaikai (2–&lt;12 metų) ir nedidelio svorio paaugliai (12–14 metų ir sveriantys &lt;50 kg))</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Jeigu paciento organizmo atsakas į gydymą yra nepakankamas, dozę galima palaipsniui didinti po 1 mg/kg (arba po 50 mg, jeigu iš pradžių buvo vartota didžiausia 350 mg dozė). Jeigu pacientas negali toleruoti gydymo, dozę reikia palaipsniui mažinti po 1 mg/kg (arba po 50 mg, jeigu iš pradžių buvo vartota didžiausia 350 mg dozė).</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Vartojimas 2–&lt;12 metų vaikams, kuriems yra kepenų arba inkstų nepakankamumas,</w:t>
      </w:r>
      <w:r w:rsidRPr="000E1775" w:rsidDel="00530703">
        <w:rPr>
          <w:rFonts w:ascii="Times New Roman" w:eastAsia="Calibri" w:hAnsi="Times New Roman"/>
          <w:sz w:val="22"/>
          <w:szCs w:val="22"/>
          <w:lang w:val="lt-LT"/>
        </w:rPr>
        <w:t xml:space="preserve"> </w:t>
      </w:r>
      <w:r w:rsidRPr="000E1775">
        <w:rPr>
          <w:rFonts w:ascii="Times New Roman" w:eastAsia="Calibri" w:hAnsi="Times New Roman"/>
          <w:sz w:val="22"/>
          <w:szCs w:val="22"/>
          <w:lang w:val="lt-LT"/>
        </w:rPr>
        <w:t>neištirtas (žr. 4.8 ir 5.2 skyrius).</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Vartojimas suaugusiesiems ir vaikams profilaktikos tikslais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Profilaktinis gydymas turi būti pradėtas transplantacijos dieną ir gali būti tęsiamas iki 100 parų.</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Profilaktinis gydymas turi būti kuo trumpesnis, priklausomai nuo invazinės grybelių sukeltos infekcijos atsiradimo rizikos, kurią rodo neutropenija arba imunosupresija. Gydymas gali būti tęsiamas iki 180 parų po transplantacijos, jeigu tęsiasi imunosupresija arba atsiranda recipiento ir donoro organų nesuderinamumo liga (žr. 5.1 skyrių).</w:t>
      </w: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r w:rsidRPr="000E1775">
        <w:rPr>
          <w:rFonts w:ascii="Times New Roman" w:eastAsia="TimesNewRoman,Italic" w:hAnsi="Times New Roman"/>
          <w:i/>
          <w:iCs/>
          <w:sz w:val="22"/>
          <w:szCs w:val="22"/>
          <w:lang w:val="lt-LT"/>
        </w:rPr>
        <w:t>Dozavimas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Profilaktikai rekomenduojamas toks pats dozavimo režimas kaip ir atitinkamų amžiaus grupių gydymo režimas. Žr. anksčiau pateiktas gydymo lenteles.</w:t>
      </w: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r w:rsidRPr="000E1775">
        <w:rPr>
          <w:rFonts w:ascii="Times New Roman" w:eastAsia="TimesNewRoman,Italic" w:hAnsi="Times New Roman"/>
          <w:i/>
          <w:iCs/>
          <w:sz w:val="22"/>
          <w:szCs w:val="22"/>
          <w:lang w:val="lt-LT"/>
        </w:rPr>
        <w:t>Profilaktikos trukmė</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Vorikonazolo vartojimo ilgesnį nei 180 parų laikotarpį saugumas ir veiksmingumas nebuvo tinkamai ištirtas klinikiniuose tyrimuose.</w:t>
      </w:r>
    </w:p>
    <w:p w:rsidR="00E5066C" w:rsidRPr="000E1775" w:rsidRDefault="00E5066C" w:rsidP="00E5066C">
      <w:pPr>
        <w:rPr>
          <w:rFonts w:ascii="Times New Roman" w:hAnsi="Times New Roman"/>
          <w:sz w:val="22"/>
          <w:szCs w:val="22"/>
          <w:lang w:val="lt-LT"/>
        </w:rPr>
      </w:pPr>
      <w:r w:rsidRPr="000E1775">
        <w:rPr>
          <w:rFonts w:ascii="Times New Roman" w:eastAsia="Calibri" w:hAnsi="Times New Roman"/>
          <w:sz w:val="22"/>
          <w:szCs w:val="22"/>
          <w:lang w:val="lt-LT"/>
        </w:rPr>
        <w:t xml:space="preserve">Jeigu profilaktinis gydymas vorikonazolu trunka ilgiau kaip 180 parų (6 mėnesius), reikia atidžiai </w:t>
      </w:r>
      <w:r w:rsidRPr="000E1775">
        <w:rPr>
          <w:rFonts w:ascii="Times New Roman" w:eastAsia="Calibri" w:hAnsi="Times New Roman"/>
          <w:b/>
          <w:sz w:val="22"/>
          <w:szCs w:val="22"/>
          <w:lang w:val="lt-LT"/>
        </w:rPr>
        <w:t>įvertinti naudos ir rizikos santykį (žr. 4.4 ir 5.1 skyrius).</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Toliau pateikta informacija skirta ir gydymui, ir profilaktikai</w:t>
      </w: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r w:rsidRPr="000E1775">
        <w:rPr>
          <w:rFonts w:ascii="Times New Roman" w:eastAsia="TimesNewRoman,Italic" w:hAnsi="Times New Roman"/>
          <w:i/>
          <w:iCs/>
          <w:sz w:val="22"/>
          <w:szCs w:val="22"/>
          <w:lang w:val="lt-LT"/>
        </w:rPr>
        <w:t>Dozės koregavimas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Vartojant profilaktikai dozės koreguoti nerekomenduojama, jeigu veiksmingumas nepakankamas arba atsiranda su gydymu susijusių nepageidaujamų reiškinių. Jeigu atsiranda su gydymu susiję nepageidaujami reiškiniai, reikėtų apsvarstyti vorikonazolo vartojimo nutraukimą ir kitų priešgrybelinių preparatų vartojimą (žr. 4.4 ir 4.8 skyrius).</w:t>
      </w: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r w:rsidRPr="000E1775">
        <w:rPr>
          <w:rFonts w:ascii="Times New Roman" w:eastAsia="TimesNewRoman,Italic" w:hAnsi="Times New Roman"/>
          <w:i/>
          <w:iCs/>
          <w:sz w:val="22"/>
          <w:szCs w:val="22"/>
          <w:lang w:val="lt-LT"/>
        </w:rPr>
        <w:t>Dozės koregavimas vartojant kartu kitus vaistus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Fenitoiną galima vartoti kartu su vorikonazolu, jeigu palaikomoji per burną vartojamo vorikonazolo dozė padidinama nuo 200 mg iki 400 mg du kartus per parą (nuo 100 mg iki 200 mg du kartus per parą tuo atveju, kai pacientas sveria mažiau kaip 40 kg) (žr. 4.4 ir 4.5 skyrius).</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Jeigu įmanoma, vorikonazolo geriau nevartoti kartu su rifabutinu. Vis dėlto jeigu tokį derinį vartoti neabejotinai būtina, palaikomąją per burną vartojamo vorikonazolo dozę reikia didinti nuo 200 mg iki 350 mg du kartus per parą (nuo 100 mg iki 200 mg du kartus per parą tuo atveju, kai pacientas sveria mažiau kaip 40 kg) (žr. 4.4 ir 4.5 skyrius).</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Efavirenzą galima vartoti kartu su vorikonazolu, jeigu palaikomoji vorikonazolo dozė padidinama ir vartojama po 400 mg kas 12 valandų, o efavirenzo dozė sumažinama 50 %, t. y. vartojama po 300 mg vieną kartą per parą. Baigiant gydymą vorikonazolu, reikia atnaujinti pradinės efavirenzo dozės vartojimą (žr. 4.4 ir 4.5 skyrius).</w:t>
      </w:r>
    </w:p>
    <w:p w:rsidR="00E5066C" w:rsidRPr="000E1775" w:rsidRDefault="00E5066C" w:rsidP="00E5066C">
      <w:pPr>
        <w:rPr>
          <w:rFonts w:ascii="Times New Roman" w:hAnsi="Times New Roman"/>
          <w:sz w:val="22"/>
          <w:szCs w:val="22"/>
          <w:lang w:val="lt-LT"/>
        </w:rPr>
      </w:pPr>
    </w:p>
    <w:p w:rsidR="00E5066C" w:rsidRPr="000E1775" w:rsidRDefault="00E5066C" w:rsidP="00E5066C">
      <w:pPr>
        <w:contextualSpacing/>
        <w:outlineLvl w:val="0"/>
        <w:rPr>
          <w:rFonts w:ascii="Times New Roman" w:hAnsi="Times New Roman"/>
          <w:i/>
          <w:iCs/>
          <w:color w:val="000000"/>
          <w:sz w:val="22"/>
          <w:szCs w:val="22"/>
          <w:lang w:val="lt-LT"/>
        </w:rPr>
      </w:pPr>
      <w:r w:rsidRPr="000E1775">
        <w:rPr>
          <w:rFonts w:ascii="Times New Roman" w:hAnsi="Times New Roman"/>
          <w:i/>
          <w:iCs/>
          <w:color w:val="000000"/>
          <w:sz w:val="22"/>
          <w:szCs w:val="22"/>
          <w:lang w:val="lt-LT"/>
        </w:rPr>
        <w:t>Senyviems pacientams</w:t>
      </w:r>
    </w:p>
    <w:p w:rsidR="00E5066C" w:rsidRPr="000E1775" w:rsidRDefault="00E5066C" w:rsidP="00E5066C">
      <w:pPr>
        <w:contextualSpacing/>
        <w:outlineLvl w:val="0"/>
        <w:rPr>
          <w:rFonts w:ascii="Times New Roman" w:hAnsi="Times New Roman"/>
          <w:iCs/>
          <w:color w:val="000000"/>
          <w:sz w:val="22"/>
          <w:szCs w:val="22"/>
          <w:lang w:val="lt-LT"/>
        </w:rPr>
      </w:pPr>
      <w:r w:rsidRPr="000E1775">
        <w:rPr>
          <w:rFonts w:ascii="Times New Roman" w:eastAsia="Calibri" w:hAnsi="Times New Roman"/>
          <w:sz w:val="22"/>
          <w:szCs w:val="22"/>
          <w:lang w:val="lt-LT"/>
        </w:rPr>
        <w:t>Dozės koreguoti nebūtina (žr. 5.2 skyrių).</w:t>
      </w:r>
    </w:p>
    <w:p w:rsidR="00E5066C" w:rsidRPr="000E1775" w:rsidRDefault="00E5066C" w:rsidP="00E5066C">
      <w:pPr>
        <w:contextualSpacing/>
        <w:outlineLvl w:val="0"/>
        <w:rPr>
          <w:rFonts w:ascii="Times New Roman" w:hAnsi="Times New Roman"/>
          <w:iCs/>
          <w:color w:val="000000"/>
          <w:sz w:val="22"/>
          <w:szCs w:val="22"/>
          <w:lang w:val="lt-LT"/>
        </w:rPr>
      </w:pPr>
    </w:p>
    <w:p w:rsidR="00E5066C" w:rsidRPr="000E1775" w:rsidRDefault="00E5066C" w:rsidP="00E5066C">
      <w:pPr>
        <w:contextualSpacing/>
        <w:outlineLvl w:val="0"/>
        <w:rPr>
          <w:rFonts w:ascii="Times New Roman" w:hAnsi="Times New Roman"/>
          <w:i/>
          <w:iCs/>
          <w:color w:val="000000"/>
          <w:sz w:val="22"/>
          <w:szCs w:val="22"/>
          <w:lang w:val="lt-LT"/>
        </w:rPr>
      </w:pPr>
      <w:r w:rsidRPr="000E1775">
        <w:rPr>
          <w:rFonts w:ascii="Times New Roman" w:hAnsi="Times New Roman"/>
          <w:i/>
          <w:iCs/>
          <w:color w:val="000000"/>
          <w:sz w:val="22"/>
          <w:szCs w:val="22"/>
          <w:lang w:val="lt-LT"/>
        </w:rPr>
        <w:t>Pacientams, kurių inkstų funkcija sutrikusi</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funkcijos sutrikimas yra vidutinio sunkumo arba sunkus, geriamojo vorikonazolo dozės koreguotinebūtina (žr. 5.2 skyrių).</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Vorikonazolas hemodializuojamas, jo klirensas yra 121 ml/min. keturių valandų trukmės hemodialize tiekvarikonazolo nepašalinama, kad dėl to reikėtų keisti dozę.</w:t>
      </w:r>
    </w:p>
    <w:p w:rsidR="00E5066C" w:rsidRPr="000E1775" w:rsidRDefault="00E5066C" w:rsidP="00E5066C">
      <w:pPr>
        <w:contextualSpacing/>
        <w:outlineLvl w:val="0"/>
        <w:rPr>
          <w:rFonts w:ascii="Times New Roman" w:hAnsi="Times New Roman"/>
          <w:iCs/>
          <w:color w:val="000000"/>
          <w:sz w:val="22"/>
          <w:szCs w:val="22"/>
          <w:lang w:val="lt-LT"/>
        </w:rPr>
      </w:pPr>
    </w:p>
    <w:p w:rsidR="00E5066C" w:rsidRPr="000E1775" w:rsidRDefault="00E5066C" w:rsidP="00E5066C">
      <w:pPr>
        <w:contextualSpacing/>
        <w:outlineLvl w:val="0"/>
        <w:rPr>
          <w:rFonts w:ascii="Times New Roman" w:hAnsi="Times New Roman"/>
          <w:i/>
          <w:iCs/>
          <w:color w:val="000000"/>
          <w:sz w:val="22"/>
          <w:szCs w:val="22"/>
          <w:lang w:val="lt-LT"/>
        </w:rPr>
      </w:pPr>
      <w:r w:rsidRPr="000E1775">
        <w:rPr>
          <w:rFonts w:ascii="Times New Roman" w:hAnsi="Times New Roman"/>
          <w:i/>
          <w:iCs/>
          <w:color w:val="000000"/>
          <w:sz w:val="22"/>
          <w:szCs w:val="22"/>
          <w:lang w:val="lt-LT"/>
        </w:rPr>
        <w:t>Pacientams, kurių kepenų funkcija sutrikusi</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Rekomenduojama taikyti įprastinius įsotinamosios dozės planus, tačiau palaikomoji vorikonazolo dozė pacientams, sergantiems nesunkia arba vidutinio sunkumo kepenų ciroze (A ir B klasės pagal Child- Pugh), turi būti mažinama per pusę (žr. 5.2 skyrių).</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Vorikonazolo poveikis ligoniams, sergantiems sunkia lėtine kepenų ciroze (C klasės pagal Child- Pugh) netirtas.</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Pacientų, kurių kepenų funkcijos tyrimų rodmenys nenormalūs (aspartato transaminazės [AST], alanininės transaminazės [ALT], šarminės fosfatazės [ALP] aktyvumo arba bendrojo bilirubino koncentracija daugiau kaip 5 kartus viršija viršutinę normos ribą), vorikonazolo saugumo duomenys riboti.</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Vorikonazolas gali būti susijęs su kepenų funkcijos rodmenų suaktyvėjimu bei kepenų pažeidimo požymiais, pvz., gelta. Todėl ligoniai, kurių kepenų funkcija labai pažeista, vaistinį preparatą gali vartoti tik tuo atveju, jei nauda viršija riziką. Pacientai, kurių kepenų funkcija stipriai pažeista, turi būti atidžiai sekami, kad nepasireikštų medikamento toksinis poveikis (žr. 4.8 skyrių).</w:t>
      </w:r>
    </w:p>
    <w:p w:rsidR="00E5066C" w:rsidRPr="000E1775" w:rsidRDefault="00E5066C" w:rsidP="00E5066C">
      <w:pPr>
        <w:contextualSpacing/>
        <w:outlineLvl w:val="0"/>
        <w:rPr>
          <w:rFonts w:ascii="Times New Roman" w:eastAsia="TimesNewRoman,Italic" w:hAnsi="Times New Roman"/>
          <w:i/>
          <w:iCs/>
          <w:sz w:val="22"/>
          <w:szCs w:val="22"/>
          <w:lang w:val="lt-LT"/>
        </w:rPr>
      </w:pPr>
    </w:p>
    <w:p w:rsidR="00E5066C" w:rsidRPr="000E1775" w:rsidRDefault="00E5066C" w:rsidP="00E5066C">
      <w:pPr>
        <w:contextualSpacing/>
        <w:outlineLvl w:val="0"/>
        <w:rPr>
          <w:rFonts w:ascii="Times New Roman" w:hAnsi="Times New Roman"/>
          <w:iCs/>
          <w:color w:val="000000"/>
          <w:sz w:val="22"/>
          <w:szCs w:val="22"/>
          <w:lang w:val="lt-LT"/>
        </w:rPr>
      </w:pPr>
      <w:r w:rsidRPr="000E1775">
        <w:rPr>
          <w:rFonts w:ascii="Times New Roman" w:eastAsia="TimesNewRoman,Italic" w:hAnsi="Times New Roman"/>
          <w:i/>
          <w:iCs/>
          <w:sz w:val="22"/>
          <w:szCs w:val="22"/>
          <w:lang w:val="lt-LT"/>
        </w:rPr>
        <w:t>Vaikų populiacija</w:t>
      </w:r>
    </w:p>
    <w:p w:rsidR="00E5066C" w:rsidRPr="000E1775" w:rsidRDefault="00E5066C" w:rsidP="00E5066C">
      <w:pPr>
        <w:autoSpaceDE w:val="0"/>
        <w:autoSpaceDN w:val="0"/>
        <w:adjustRightInd w:val="0"/>
        <w:rPr>
          <w:rFonts w:ascii="Times New Roman" w:hAnsi="Times New Roman"/>
          <w:iCs/>
          <w:color w:val="000000"/>
          <w:sz w:val="22"/>
          <w:szCs w:val="22"/>
          <w:lang w:val="lt-LT"/>
        </w:rPr>
      </w:pPr>
      <w:r w:rsidRPr="000E1775">
        <w:rPr>
          <w:rFonts w:ascii="Times New Roman" w:eastAsia="TimesNewRoman,Italic" w:hAnsi="Times New Roman"/>
          <w:i/>
          <w:iCs/>
          <w:sz w:val="22"/>
          <w:szCs w:val="22"/>
          <w:lang w:val="lt-LT"/>
        </w:rPr>
        <w:t>Dozės koregavimas (vaikai (2–&lt;12 metų) ir paaugliai (12–14 metų ir sveriantys&lt;50 kg))</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 xml:space="preserve">Kadangi pagal rekomenduojamą dozavimo planą šiam vaikų populiacijos pogrupiui gydymas pradedamasį veną leidžiamu vorikanazolu, tokiems pacientams gydymą reikia pradėti rinkoje esančiu kito gamintojo į veną vartojamu vorikonazolo preparatu, nes gydymo pradžiai VORICONAZOLE RICHTER tabletės netiks. </w:t>
      </w:r>
    </w:p>
    <w:p w:rsidR="00E5066C" w:rsidRPr="000E1775" w:rsidRDefault="00E5066C" w:rsidP="00E5066C">
      <w:pPr>
        <w:contextualSpacing/>
        <w:outlineLvl w:val="0"/>
        <w:rPr>
          <w:rFonts w:ascii="Times New Roman" w:hAnsi="Times New Roman"/>
          <w:iCs/>
          <w:color w:val="000000"/>
          <w:sz w:val="22"/>
          <w:szCs w:val="22"/>
          <w:lang w:val="lt-LT"/>
        </w:rPr>
      </w:pPr>
    </w:p>
    <w:p w:rsidR="00E5066C" w:rsidRPr="000E1775" w:rsidRDefault="00E5066C" w:rsidP="00E5066C">
      <w:pPr>
        <w:contextualSpacing/>
        <w:outlineLvl w:val="0"/>
        <w:rPr>
          <w:rFonts w:ascii="Times New Roman" w:hAnsi="Times New Roman"/>
          <w:i/>
          <w:iCs/>
          <w:color w:val="000000"/>
          <w:sz w:val="22"/>
          <w:szCs w:val="22"/>
          <w:lang w:val="lt-LT"/>
        </w:rPr>
      </w:pPr>
      <w:r w:rsidRPr="000E1775">
        <w:rPr>
          <w:rFonts w:ascii="Times New Roman" w:hAnsi="Times New Roman"/>
          <w:i/>
          <w:iCs/>
          <w:color w:val="000000"/>
          <w:sz w:val="22"/>
          <w:szCs w:val="22"/>
          <w:lang w:val="lt-LT"/>
        </w:rPr>
        <w:t>Jaunesni nei 2 metų vaikai</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Vorikonazolo saugumas ir veiksmingumas jaunesniems kaip 2 metų kūdikiams neištirti. Šiuo metu turimi duomenys pateikiami 4.8 ir 5.1 skyriuose, tačiau dozavimo rekomendacijų pateikti negalima.</w:t>
      </w:r>
    </w:p>
    <w:p w:rsidR="00E5066C" w:rsidRPr="000E1775" w:rsidRDefault="00E5066C" w:rsidP="00E5066C">
      <w:pPr>
        <w:autoSpaceDE w:val="0"/>
        <w:autoSpaceDN w:val="0"/>
        <w:adjustRightInd w:val="0"/>
        <w:rPr>
          <w:rFonts w:ascii="Times New Roman" w:eastAsia="Calibri" w:hAnsi="Times New Roman"/>
          <w:i/>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Vartojimo metodas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VORICONAZOLE RICHTER plėvele dengtas tabletes reikia vartoti mažiausiai 1 valandą prieš valgį arba praėjus 1 valandai po pavalgymo.</w:t>
      </w:r>
    </w:p>
    <w:p w:rsidR="00E5066C" w:rsidRPr="000E1775" w:rsidRDefault="00E5066C" w:rsidP="00E5066C">
      <w:pPr>
        <w:rPr>
          <w:rFonts w:ascii="Times New Roman" w:hAnsi="Times New Roman"/>
          <w:sz w:val="22"/>
          <w:szCs w:val="22"/>
          <w:lang w:val="lt-LT"/>
        </w:rPr>
      </w:pPr>
    </w:p>
    <w:p w:rsidR="00E5066C" w:rsidRPr="000E1775" w:rsidRDefault="00E5066C" w:rsidP="000E1775">
      <w:pPr>
        <w:pStyle w:val="Antrat4"/>
        <w:ind w:left="567" w:hanging="567"/>
        <w:rPr>
          <w:sz w:val="22"/>
          <w:szCs w:val="22"/>
          <w:lang w:val="lt-LT"/>
        </w:rPr>
      </w:pPr>
      <w:r w:rsidRPr="000E1775">
        <w:rPr>
          <w:sz w:val="22"/>
          <w:szCs w:val="22"/>
          <w:lang w:val="lt-LT"/>
        </w:rPr>
        <w:t>4.3</w:t>
      </w:r>
      <w:r w:rsidRPr="000E1775">
        <w:rPr>
          <w:sz w:val="22"/>
          <w:szCs w:val="22"/>
          <w:lang w:val="lt-LT"/>
        </w:rPr>
        <w:tab/>
        <w:t>Kontraindikacijos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Padidėjęs jautrumas veikliajai arba bet kuriai 6.1 skyriuje nurodytai pagalbinei medžiagai.</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Vartojimas kartu su CYP3A4 substratais (terfenadinu, astemizolu, cisapridu, pimozidu ar chinidinu), nes dėl padidėjusių šių vaistinių preparatų koncentracijų plazmoje gali prailgėti QTc intervalas ir retais atvejais atsirasti </w:t>
      </w:r>
      <w:r w:rsidRPr="000E1775">
        <w:rPr>
          <w:rFonts w:ascii="Times New Roman" w:eastAsia="TimesNewRoman,Italic" w:hAnsi="Times New Roman"/>
          <w:i/>
          <w:iCs/>
          <w:sz w:val="22"/>
          <w:szCs w:val="22"/>
          <w:lang w:val="lt-LT"/>
        </w:rPr>
        <w:t xml:space="preserve">torsades de pointes </w:t>
      </w:r>
      <w:r w:rsidRPr="000E1775">
        <w:rPr>
          <w:rFonts w:ascii="Times New Roman" w:eastAsia="Calibri" w:hAnsi="Times New Roman"/>
          <w:sz w:val="22"/>
          <w:szCs w:val="22"/>
          <w:lang w:val="lt-LT"/>
        </w:rPr>
        <w:t>(žr. 4.5 skyrių).</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Vartojimas kartu su rifampicinu, karbamazepinu ar fenobarbitaliu, nes šie vaistiniai preparatai gali reikšmingai sumažinti vorikonazolo koncentracijas plazmoje (žr. 4.5 skyrių).</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Įprastinės vorikonazolo dozės vartojimas kartu su 400 mg ir didesne efavirenzo doze vieną kartą perparą yra negalimas, nes efavirenzas reikšmingai sumažina vorikonazolo koncentracijas sveikųsavanorių, vartojančių šias dozes, plazmoje. Vorikonazolas taip pat reikšmingai padidina efavirenzo koncentracijas plazmoje (žr. 4.5 skyrių, apie mažesnes dozes žr. 4.4 skyriuje).</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Vartojimas kartu su didele ritonaviro doze (400 mg ir didesne du kartus per parą), nes tokia ritonaviro dozė sveikiems asmenims reikšmingai sumažino vorikonazolo koncentracijas plazmoje (žr. 4.5 skyrių,apie mažesnes dozes žr. 4.4 skyriuje).</w:t>
      </w:r>
    </w:p>
    <w:p w:rsidR="00E5066C" w:rsidRPr="000E1775" w:rsidRDefault="00E5066C" w:rsidP="00E5066C">
      <w:pPr>
        <w:pStyle w:val="Antrat4"/>
        <w:rPr>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Vartojimas kartu su skalsių alkaloidais (ergotaminu, dihidroergotaminu), kurie yra CYP3A4substratai, nes plazmoje padidėja šių vaistinių preparatų koncentracijos ir gali pasireikšti ergotizmas (žr. 4.5 skyrių).</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Vartojimas kartu su sirolimuzu, nes vorikonazolas reikšmingai padidina sirolimuzo koncentracijas plazmoje (žr. 4.5 skyrių).</w:t>
      </w:r>
    </w:p>
    <w:p w:rsidR="00E5066C" w:rsidRPr="000E1775" w:rsidRDefault="00E5066C" w:rsidP="00E5066C">
      <w:pPr>
        <w:pStyle w:val="Antrat4"/>
        <w:rPr>
          <w:sz w:val="22"/>
          <w:szCs w:val="22"/>
          <w:lang w:val="lt-LT"/>
        </w:rPr>
      </w:pPr>
      <w:r w:rsidRPr="000E1775">
        <w:rPr>
          <w:rFonts w:eastAsia="Calibri"/>
          <w:b w:val="0"/>
          <w:bCs w:val="0"/>
          <w:sz w:val="22"/>
          <w:szCs w:val="22"/>
          <w:lang w:val="lt-LT"/>
        </w:rPr>
        <w:t>Vartojimas kartu su jonažolės preparatais (žr. 4.5 skyrių).</w:t>
      </w:r>
    </w:p>
    <w:p w:rsidR="00E5066C" w:rsidRPr="000E1775" w:rsidRDefault="00E5066C" w:rsidP="000E1775">
      <w:pPr>
        <w:pStyle w:val="Antrat4"/>
        <w:ind w:left="567" w:hanging="567"/>
        <w:rPr>
          <w:sz w:val="22"/>
          <w:szCs w:val="22"/>
          <w:lang w:val="lt-LT"/>
        </w:rPr>
      </w:pPr>
      <w:r w:rsidRPr="000E1775">
        <w:rPr>
          <w:sz w:val="22"/>
          <w:szCs w:val="22"/>
          <w:lang w:val="lt-LT"/>
        </w:rPr>
        <w:t>4.4</w:t>
      </w:r>
      <w:r w:rsidRPr="000E1775">
        <w:rPr>
          <w:sz w:val="22"/>
          <w:szCs w:val="22"/>
          <w:lang w:val="lt-LT"/>
        </w:rPr>
        <w:tab/>
        <w:t>Specialūs įspėjimai ir atsargumo priemonės</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Padidėjęs jautrumas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Gydytojas atsargiai turi skirti VORICONAZOLE RICHTER ligoniui, kurio jautrumas kitiems azolo dariniams yra padidėjęs (žr. 4.8 skyrių).</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Širdies ir kraujagyslių sistema</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Vorikonazolas buvo susijęs su QTc intervalo pailgėjimu. Buvo nustatyti reti </w:t>
      </w:r>
      <w:r w:rsidRPr="000E1775">
        <w:rPr>
          <w:rFonts w:ascii="Times New Roman" w:eastAsia="TimesNewRoman,Italic" w:hAnsi="Times New Roman"/>
          <w:i/>
          <w:iCs/>
          <w:sz w:val="22"/>
          <w:szCs w:val="22"/>
          <w:lang w:val="lt-LT"/>
        </w:rPr>
        <w:t xml:space="preserve">torsades de pointes </w:t>
      </w:r>
      <w:r w:rsidRPr="000E1775">
        <w:rPr>
          <w:rFonts w:ascii="Times New Roman" w:eastAsia="Calibri" w:hAnsi="Times New Roman"/>
          <w:sz w:val="22"/>
          <w:szCs w:val="22"/>
          <w:lang w:val="lt-LT"/>
        </w:rPr>
        <w:t>atvejai pacientams, vartojusiems vorikonazolą, kuriems buvo tokių rizikos veiksnių, kaip širdies ir kraujagyslių sistemai toksiškas chemoterapijos kursas, kardiomiopatija, hipokalemija ir kartu vartojami vaistiniai preparatai, kurie gali turėti įtakos. Vorikonazolas turi būti skiriamas atsargiai pacientams, kuriems yra širdies ritmo sutrikimo rizika, pavyzdžiui:</w:t>
      </w:r>
    </w:p>
    <w:p w:rsidR="00E5066C" w:rsidRPr="000E1775" w:rsidRDefault="00E5066C" w:rsidP="00E5066C">
      <w:pPr>
        <w:numPr>
          <w:ilvl w:val="0"/>
          <w:numId w:val="12"/>
        </w:num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įgimtas arba įgytas QTc intervalo pailgėjimas;</w:t>
      </w:r>
    </w:p>
    <w:p w:rsidR="00E5066C" w:rsidRPr="000E1775" w:rsidRDefault="00E5066C" w:rsidP="00E5066C">
      <w:pPr>
        <w:numPr>
          <w:ilvl w:val="0"/>
          <w:numId w:val="12"/>
        </w:num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kardiomiopatija, ypač esant širdies nepakankamumui;</w:t>
      </w:r>
    </w:p>
    <w:p w:rsidR="00E5066C" w:rsidRPr="000E1775" w:rsidRDefault="00E5066C" w:rsidP="00E5066C">
      <w:pPr>
        <w:numPr>
          <w:ilvl w:val="0"/>
          <w:numId w:val="12"/>
        </w:num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sinusinė bradikardija;</w:t>
      </w:r>
    </w:p>
    <w:p w:rsidR="00E5066C" w:rsidRPr="000E1775" w:rsidRDefault="00E5066C" w:rsidP="00E5066C">
      <w:pPr>
        <w:numPr>
          <w:ilvl w:val="0"/>
          <w:numId w:val="12"/>
        </w:num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esamas simptominis širdies ritmo sutrikimas;</w:t>
      </w:r>
    </w:p>
    <w:p w:rsidR="00E5066C" w:rsidRPr="000E1775" w:rsidRDefault="00E5066C" w:rsidP="00E5066C">
      <w:pPr>
        <w:numPr>
          <w:ilvl w:val="0"/>
          <w:numId w:val="12"/>
        </w:num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kartu vartojami vaistiniai preparatai, kurie ilgina QTc intervalą. Reikia stebėti ir prireikus koreguoti elektrolitų sutrikimus (</w:t>
      </w:r>
      <w:proofErr w:type="gramStart"/>
      <w:r w:rsidRPr="000E1775">
        <w:rPr>
          <w:rFonts w:ascii="Times New Roman" w:eastAsia="Calibri" w:hAnsi="Times New Roman"/>
          <w:sz w:val="22"/>
          <w:szCs w:val="22"/>
          <w:lang w:val="fr-FR"/>
        </w:rPr>
        <w:t>pvz.,</w:t>
      </w:r>
      <w:proofErr w:type="gramEnd"/>
      <w:r w:rsidRPr="000E1775">
        <w:rPr>
          <w:rFonts w:ascii="Times New Roman" w:eastAsia="Calibri" w:hAnsi="Times New Roman"/>
          <w:sz w:val="22"/>
          <w:szCs w:val="22"/>
          <w:lang w:val="fr-FR"/>
        </w:rPr>
        <w:t xml:space="preserve"> hipokalemiją, hipomagnezemiją ir hipokalcemiją) pries pradedant ir vorikonazolo terapijos metu (žr. 4.2 skyrių). Buvo atliktas tyrimas su sveikais savanoriais, kurio metu tirtas vorikonazolo poveikis į QTc intervalą geriant vienkartines ir iki 4 kartų didesnes už įprastą vaistinio preparato paros dozes. Nei vieno iš tirtų žmonių intervalas nepasiekė kliniškai svarbios 500 ms reikšmės (žr. 5.1 skyrių).</w:t>
      </w:r>
    </w:p>
    <w:p w:rsidR="00E5066C" w:rsidRPr="000E1775" w:rsidRDefault="00E5066C" w:rsidP="00E5066C">
      <w:pPr>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i/>
          <w:sz w:val="22"/>
          <w:szCs w:val="22"/>
          <w:lang w:val="fr-FR"/>
        </w:rPr>
      </w:pPr>
      <w:r w:rsidRPr="000E1775">
        <w:rPr>
          <w:rFonts w:ascii="Times New Roman" w:eastAsia="Calibri" w:hAnsi="Times New Roman"/>
          <w:i/>
          <w:sz w:val="22"/>
          <w:szCs w:val="22"/>
          <w:lang w:val="fr-FR"/>
        </w:rPr>
        <w:t>Toksinis poveikis kepenims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Klinikinių tyrimų metu nustatyta, kad gydymo vorikonazolu metu gali pasireikšti sunkus kepenų funkcijos </w:t>
      </w:r>
      <w:proofErr w:type="gramStart"/>
      <w:r w:rsidRPr="000E1775">
        <w:rPr>
          <w:rFonts w:ascii="Times New Roman" w:eastAsia="Calibri" w:hAnsi="Times New Roman"/>
          <w:sz w:val="22"/>
          <w:szCs w:val="22"/>
          <w:lang w:val="fr-FR"/>
        </w:rPr>
        <w:t>pažeidimas:</w:t>
      </w:r>
      <w:proofErr w:type="gramEnd"/>
      <w:r w:rsidRPr="000E1775">
        <w:rPr>
          <w:rFonts w:ascii="Times New Roman" w:eastAsia="Calibri" w:hAnsi="Times New Roman"/>
          <w:sz w:val="22"/>
          <w:szCs w:val="22"/>
          <w:lang w:val="fr-FR"/>
        </w:rPr>
        <w:t xml:space="preserve"> hepatitas, tulžies stazė ir žaibinis kepenų pažeidimas, įskaitant mirtiną. Kepenų reakcija daugiausia pasireiškia pacientams, kurie serga sunkiomis ligomis, ypač piktybine kraujo liga. Trumpalaikis kepenų funkcijos sutrikimas, įskaitant hepatitą ir geltą, gali atsirasti ir tiems ligoniams, kuriems rizikos faktorių nenustatyta. Paprastai kepenų funkcijos sutrikimas praeina,</w:t>
      </w:r>
      <w:r w:rsidR="00954806"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nutraukus preparato vartojimą (žr. 4.8 skyrių).</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i/>
          <w:sz w:val="22"/>
          <w:szCs w:val="22"/>
          <w:lang w:val="fr-FR"/>
        </w:rPr>
      </w:pPr>
      <w:r w:rsidRPr="000E1775">
        <w:rPr>
          <w:rFonts w:ascii="Times New Roman" w:eastAsia="Calibri" w:hAnsi="Times New Roman"/>
          <w:i/>
          <w:sz w:val="22"/>
          <w:szCs w:val="22"/>
          <w:lang w:val="fr-FR"/>
        </w:rPr>
        <w:t>Kepenų funkcijos stebėjimas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VORICONAZOLE RICHTER gydomus pacientus reikia atidžiai stebėti, ar nepasireiškia toksinis poveikis kepenims. Pradėjus gydyti VORICONAZOLE RICHTER ir pirmąjį mėnesį bent kartą per savaitę reikia atlikti kepenų funkcijos (ypač AST ir ALT) laboratorinį įvertinimą. Gydymas turi būti kuo trumpesnis, bet, jei įvertinus </w:t>
      </w:r>
      <w:r w:rsidRPr="000E1775">
        <w:rPr>
          <w:rFonts w:ascii="Times New Roman" w:eastAsia="Calibri" w:hAnsi="Times New Roman"/>
          <w:sz w:val="22"/>
          <w:szCs w:val="22"/>
          <w:lang w:val="fr-FR"/>
        </w:rPr>
        <w:lastRenderedPageBreak/>
        <w:t>naudą ir riziką gydymas tęsiamas (žr. 4.2 skyrių) ir jei kepenų funkcijos tyrimų rodmenys nekinta, stebėjimo dažnį galima sumažinti iki vieno karto per mėnesį. Jei kepenų funkcijos tyrimų rodmenys gerokai padidėję, gydymą VORICONAZOLE RICHTER reikia nutraukti, nebent įvertinus gydymo riziką ir naudą nusprendžiama gydyti toliau.</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Reikia stebėti tiek vaikų, tiek suaugusiųjų kepenų funkciją.</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Nepageidaujamos akių reakcijos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Gauta pranešimų apie ilgalaikes nepageidaujamas akių reakcijas, įskaitant miglotą matymą, regos nervo uždegimą ir regos nervo disko edemą (žr. 4.8 skyrių).</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Nepageidaujamos reakcijos inkstams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Sunkiai sergantiems vorikonazolu gydytiems pacientams pasireiškė ūminis inkstų nepakankamumas. Tačiau tikėtina, kad pacientai, kurie buvo gydyti vorikonazolu, buvo gydomi ir nefrotoksinio poveikio vaistiniais preparatais bei sirgo ligomis, kurios galėjo silpninti inkstų funkciją (žr. 4.8 skyrių).</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Inkstų funkcijos stebėjimas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Reikia stebėti, ar pacientams neatsiranda inkstų funkcijos sutrikimo. Dėl to būtina atlikti laboratorinius tyrimus, ypač kreatinino koncentracijos serume.</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Kasos funkcijos stebėjimas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Gydant VORICONAZOLE RICHTER, reikia atidžiai stebėti pacientus, ypač vaikus, kuriems yra ūminio pankreatito rizikos veiksnių (pvz., neseniai taikyta chemoterapija, kamieninių hematopoezės ląstelių persodinimas [KHLP]). Tokiomis aplinkybėmis galima stebėti amilazės ar lipazės aktyvumą serume.</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Dermatologinės nepageidaujamos reakcijos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Gydymo vorikonazolu metu pacientams pasireiškė eksfoliacinės odos reakcijos, pavyzdžiui: </w:t>
      </w:r>
      <w:r w:rsidRPr="000E1775">
        <w:rPr>
          <w:rFonts w:ascii="Times New Roman" w:eastAsia="Calibri" w:hAnsi="Times New Roman"/>
          <w:i/>
          <w:sz w:val="22"/>
          <w:szCs w:val="22"/>
          <w:lang w:val="lt-LT"/>
        </w:rPr>
        <w:t>Stevens-Johnson</w:t>
      </w:r>
      <w:r w:rsidRPr="000E1775">
        <w:rPr>
          <w:rFonts w:ascii="Times New Roman" w:eastAsia="Calibri" w:hAnsi="Times New Roman"/>
          <w:sz w:val="22"/>
          <w:szCs w:val="22"/>
          <w:lang w:val="lt-LT"/>
        </w:rPr>
        <w:t xml:space="preserve"> sindromas. Jeigu pacientui pasireiškia išbėrimas, jį reikia atidžiai stebėti ir nutraukti gydymą VORICONAZOLE RICHTER, jeigu pažeidimas progresuoja.</w:t>
      </w:r>
    </w:p>
    <w:p w:rsidR="00E5066C" w:rsidRPr="000E1775" w:rsidRDefault="00E5066C" w:rsidP="000E3777">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Be to, vorikonazolas buvo susijęs su fototoksiniu poveikiu</w:t>
      </w:r>
      <w:r w:rsidR="00C70FB2" w:rsidRPr="000E1775">
        <w:rPr>
          <w:rFonts w:ascii="Times New Roman" w:eastAsia="Calibri" w:hAnsi="Times New Roman"/>
          <w:sz w:val="22"/>
          <w:szCs w:val="22"/>
          <w:lang w:val="lt-LT"/>
        </w:rPr>
        <w:t>,</w:t>
      </w:r>
      <w:r w:rsidR="000E3777" w:rsidRPr="000E1775">
        <w:rPr>
          <w:rFonts w:ascii="TimesNewRoman" w:eastAsia="TimesNewRoman" w:hAnsi="Times New Roman" w:cs="TimesNewRoman" w:hint="eastAsia"/>
          <w:sz w:val="22"/>
          <w:szCs w:val="22"/>
          <w:lang w:val="lt-LT"/>
        </w:rPr>
        <w:t xml:space="preserve"> </w:t>
      </w:r>
      <w:r w:rsidR="000E3777" w:rsidRPr="000E1775">
        <w:rPr>
          <w:rFonts w:ascii="Times New Roman" w:eastAsia="TimesNewRoman" w:hAnsi="Times New Roman"/>
          <w:sz w:val="22"/>
          <w:szCs w:val="22"/>
          <w:lang w:val="lt-LT"/>
        </w:rPr>
        <w:t>įskaitant tokias reakcijas kaip strazdanos, šlakai (lentigo), spindulinė (aktininė) keratozė</w:t>
      </w:r>
      <w:r w:rsidR="00C70FB2" w:rsidRPr="000E1775">
        <w:rPr>
          <w:rFonts w:ascii="Times New Roman" w:eastAsia="Calibri" w:hAnsi="Times New Roman"/>
          <w:sz w:val="22"/>
          <w:szCs w:val="22"/>
          <w:lang w:val="lt-LT"/>
        </w:rPr>
        <w:t xml:space="preserve"> </w:t>
      </w:r>
      <w:r w:rsidRPr="000E1775">
        <w:rPr>
          <w:rFonts w:ascii="Times New Roman" w:eastAsia="Calibri" w:hAnsi="Times New Roman"/>
          <w:sz w:val="22"/>
          <w:szCs w:val="22"/>
          <w:lang w:val="lt-LT"/>
        </w:rPr>
        <w:t>ir pseudoporfirija. Rekomenduojama, kad visi pacientai, įskaitant ir vaikus, vengtų tiesioginių saulės spindulių ekspozicijos gydymo VORICONAZOLE RICHTER metu ir naudotų apsaugos priemones, pavyzdžiui: apsauginius rūbus ir nuo saulės poveikio saugančius gaminius, kurių apsaugos nuo saulės koeficientas (SPF) didelis.</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Ilgalaikis gydymas</w:t>
      </w:r>
    </w:p>
    <w:p w:rsidR="00954806"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Ilgalaikės ekspozicijos (vartojant gydymui ar profilaktikai), trunkančios ilgiau kaip 180 parų (6 mėnesius) atveju, reikia atidžiai įvertinti naudos ir rizikos santykį, todėl gydytojai turi nuspręsti, ar būtina riboti VORICONAZOLE RICHTER ekspoziciją (žr. 4.2 ir 5.1 skyrius). Buvo pranešta apie toliau išvardytus sunkius šalutinius reiškinius, susijusius su ilgalaikiu vorikonazolo vartojimu </w:t>
      </w:r>
    </w:p>
    <w:p w:rsidR="00954806" w:rsidRPr="000E1775" w:rsidRDefault="00954806"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Buvo pranešta, kad pacientams, daliai kurių anksčiau buvo pasireiškusios fototoksinės reakcijos, buvo diagnozuotas </w:t>
      </w:r>
      <w:r w:rsidRPr="000E1775">
        <w:rPr>
          <w:rFonts w:ascii="Times New Roman" w:eastAsia="Calibri" w:hAnsi="Times New Roman"/>
          <w:sz w:val="22"/>
          <w:szCs w:val="22"/>
          <w:u w:val="single"/>
          <w:lang w:val="lt-LT"/>
        </w:rPr>
        <w:t>odos plokščiųjų ląstelių vėžys.</w:t>
      </w:r>
      <w:r w:rsidRPr="000E1775">
        <w:rPr>
          <w:rFonts w:ascii="Times New Roman" w:eastAsia="Calibri" w:hAnsi="Times New Roman"/>
          <w:sz w:val="22"/>
          <w:szCs w:val="22"/>
          <w:lang w:val="lt-LT"/>
        </w:rPr>
        <w:t xml:space="preserve"> Jeigu pasireiškia fototoksinės reakcijos, reikia konsultuotis su įvairių sričių specialistais ir pacientą nukreipti pas dermatologą. Reikia apsvarstyti VORICONAZOLE RICHTER vartojimo nutraukimo ir kitų priešgrybelinių vaistinių preparatų vartojimo galimybę. Sisteminis ir reguliarus dermatologinis įvertinimas būtinas, kai VORICONAZOLE RICHTER vartojama </w:t>
      </w:r>
      <w:r w:rsidRPr="000E1775">
        <w:rPr>
          <w:rFonts w:ascii="Times New Roman" w:eastAsia="Calibri" w:hAnsi="Times New Roman"/>
          <w:sz w:val="22"/>
          <w:szCs w:val="22"/>
          <w:lang w:val="lt-LT"/>
        </w:rPr>
        <w:lastRenderedPageBreak/>
        <w:t>toliau, nors atsiranda su fototoksiškumu susijusių pažeidimų, nes tik taip galima anksti nustatyti ir gydyti ikivėžinius pažeidimus. Jei nustatomi ikivėžiniai odos pažeidimai arba odos plokščiųjų ląstelių vėžys, VORICONAZOLE RICHTER vartoti nebegalima.</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Buvo pranešta, kad pacientams, kuriems buvo persodintas organas, pasireiškė neinfekcinis periostitas, kuriam esant, padidėja fluoridų ir šarminės fosfatazės koncentracijos. Jeigu pacientui pasireiškia kaulų skausmas ir radiologinio tyrimo duomenys rodo periostitą, po konsultacijų su įvairių sričių specialistais, reikia apsvarstyti VORICONAZOLE RICHTER vartojimo nutraukimo galimybę.</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Vaikų populiacija</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Saugumas ir veiksmingumas jaunesniems kaip 2 metų kūdikiams neištirti (žr. 4.8 ir 5.1 skyrius).</w:t>
      </w:r>
    </w:p>
    <w:p w:rsidR="00E5066C" w:rsidRPr="000E1775" w:rsidRDefault="00E5066C" w:rsidP="009D4E33">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Vorikonazolas skiriamas vartoti dviejų metų ir vyresniems vaikams.</w:t>
      </w:r>
      <w:r w:rsidR="00766C37" w:rsidRPr="000E1775">
        <w:rPr>
          <w:rFonts w:ascii="Times New Roman" w:eastAsia="TimesNewRoman,Italic" w:hAnsi="Times New Roman"/>
          <w:iCs/>
          <w:sz w:val="22"/>
          <w:szCs w:val="22"/>
          <w:lang w:val="lt-LT"/>
        </w:rPr>
        <w:t xml:space="preserve">VORICONAZOLE RICHTER skiriamas vartoti 12-14 metų paaugliams (sveriantiems ≥ 50 kg) ir vyresniems paaugliams (15-17 metų, neatsižvelgiant į kūno masę). </w:t>
      </w:r>
      <w:r w:rsidR="009D4E33" w:rsidRPr="000E1775">
        <w:rPr>
          <w:rFonts w:ascii="Times New Roman" w:eastAsia="TimesNewRoman,Italic" w:hAnsi="Times New Roman"/>
          <w:iCs/>
          <w:sz w:val="22"/>
          <w:szCs w:val="22"/>
          <w:lang w:val="lt-LT"/>
        </w:rPr>
        <w:t>Pastebėta, kad vaikų populiacijai dažniau padidėja kepenų fermentų aktyvumas (žr. 4.8 skyrių).</w:t>
      </w:r>
      <w:r w:rsidR="00384752" w:rsidRPr="000E1775">
        <w:rPr>
          <w:rFonts w:ascii="Times New Roman" w:eastAsia="TimesNewRoman,Italic" w:hAnsi="Times New Roman"/>
          <w:iCs/>
          <w:sz w:val="22"/>
          <w:szCs w:val="22"/>
          <w:lang w:val="lt-LT"/>
        </w:rPr>
        <w:t xml:space="preserve"> </w:t>
      </w:r>
      <w:r w:rsidRPr="000E1775">
        <w:rPr>
          <w:rFonts w:ascii="Times New Roman" w:eastAsia="Calibri" w:hAnsi="Times New Roman"/>
          <w:sz w:val="22"/>
          <w:szCs w:val="22"/>
          <w:lang w:val="lt-LT"/>
        </w:rPr>
        <w:t>Reikia stebėti ir suaugusiųjų, ir vaikų kepenų funkciją. 2-&lt; 12 metų vaikų, kurie serga malabsorbcija ir kurių pagal amžių yra labai maža kūno masė, išgerto vaistinio preparato biologinis prieinamumas gali būti mažesnis. Tokiu atveju rekomenduojama skirti vartoti vorikonazolą į veną.</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Fototoksiškumo reakcijos dažniau pasireiškia vaikų populiacijos pacientams. Kai buvo pranešta apie odos plokščiųjų ląstelių vėžio atsiradimą, buvo imtasi griežtų priemonių siekiant užtikrinti šioje pacientų populiacijoje apsaugos nuo šviesos priemones. Vaikams, kuriems atsiranda odos senėjimui būdingų pažeidimų, pavyzdžiui, pigmentinių dėmių arba strazdanų, rekomenduojama vengti saulės ir netgi nutraukus gydymą rekomenduojamas odos būklės stebėjimas.</w:t>
      </w:r>
    </w:p>
    <w:p w:rsidR="00E5066C" w:rsidRPr="000E1775" w:rsidRDefault="00E5066C" w:rsidP="00E5066C">
      <w:pPr>
        <w:pStyle w:val="Antrat4"/>
        <w:rPr>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Profilaktika</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Atsiradus su gydymu susijusių nepageidaujamų reiškinių (toksiniam poveikiui kepenims, sunkioms odos reakcijoms, įskaitant fototoksiškumą ir odos plokščiųjų ląstelių vėžį, arba sunkiems ar ilgalaikiams regos sutrikimams ir periostitui), reikėtų apsvarstyti galimą vorikonazolo vartojimo nutraukimą ir kitų vaistinių preparatų nuo grybelių vartojimą.</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fr-FR"/>
        </w:rPr>
      </w:pPr>
      <w:r w:rsidRPr="000E1775">
        <w:rPr>
          <w:rFonts w:ascii="Times New Roman" w:eastAsia="Calibri" w:hAnsi="Times New Roman"/>
          <w:i/>
          <w:sz w:val="22"/>
          <w:szCs w:val="22"/>
          <w:lang w:val="fr-FR"/>
        </w:rPr>
        <w:t>Fenitoinas (CYP2C9 substratas ir stipraus poveikio CYP450 sužadinantis vaistinis preparatas)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Jei kartu vartojama vorikonazolo, rekomenduojama atidžiai stebėti fenitoino koncentracijas. Reikia vengti vartoti vorikonazolą kartu su fenitoinu, išskyrus atvejus, kai nauda yra didesnė už riziką (žr. 4.5 skyrių).</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i/>
          <w:sz w:val="22"/>
          <w:szCs w:val="22"/>
          <w:lang w:val="fr-FR"/>
        </w:rPr>
      </w:pPr>
      <w:r w:rsidRPr="000E1775">
        <w:rPr>
          <w:rFonts w:ascii="Times New Roman" w:eastAsia="Calibri" w:hAnsi="Times New Roman"/>
          <w:i/>
          <w:sz w:val="22"/>
          <w:szCs w:val="22"/>
          <w:lang w:val="fr-FR"/>
        </w:rPr>
        <w:t>Efavirenzas (CYP450 sužadinantis vaistinis preparatas, CYP3A4 inhibitorius ir substratas)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Vorikonazolą vartojant kartu su efavirenzu, vorikonazolo dozę reikia padidinti iki 400 mg kas 12 valandų, efavirenzo dozę sumažinti iki 300 mg kas 24 valandas (žr. 4.2, 4.3 ir 4.5 skyrius).</w:t>
      </w:r>
    </w:p>
    <w:p w:rsidR="00E5066C" w:rsidRPr="000E1775" w:rsidRDefault="00E5066C" w:rsidP="00E5066C">
      <w:pPr>
        <w:autoSpaceDE w:val="0"/>
        <w:autoSpaceDN w:val="0"/>
        <w:adjustRightInd w:val="0"/>
        <w:rPr>
          <w:rFonts w:ascii="Times New Roman" w:eastAsia="Calibri" w:hAnsi="Times New Roman"/>
          <w:i/>
          <w:sz w:val="22"/>
          <w:szCs w:val="22"/>
          <w:lang w:val="fr-FR"/>
        </w:rPr>
      </w:pPr>
    </w:p>
    <w:p w:rsidR="00E5066C" w:rsidRPr="000E1775" w:rsidRDefault="00E5066C" w:rsidP="00E5066C">
      <w:pPr>
        <w:autoSpaceDE w:val="0"/>
        <w:autoSpaceDN w:val="0"/>
        <w:adjustRightInd w:val="0"/>
        <w:rPr>
          <w:rFonts w:ascii="Times New Roman" w:eastAsia="Calibri" w:hAnsi="Times New Roman"/>
          <w:i/>
          <w:sz w:val="22"/>
          <w:szCs w:val="22"/>
          <w:lang w:val="fr-FR"/>
        </w:rPr>
      </w:pPr>
      <w:r w:rsidRPr="000E1775">
        <w:rPr>
          <w:rFonts w:ascii="Times New Roman" w:eastAsia="Calibri" w:hAnsi="Times New Roman"/>
          <w:i/>
          <w:sz w:val="22"/>
          <w:szCs w:val="22"/>
          <w:lang w:val="fr-FR"/>
        </w:rPr>
        <w:t>Rifabutinas (stipraus poveikio CYP450 sužadinantis vaistinis preparatas)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Jei rifabutino vartojama kartu su vorikonazolu, rekomenduojama atidžiai stebėti kraujo ląstelių kiekį ir nepageidaujamas reakcijas į rifabutiną (gali pasireikšti uveitas). Reikia vengti vartoti vorikonazolą kartu su rifabutinu, išskyrus atvejus, kai nauda yra didesnė už riziką (žr. 4.5 skyrių).</w:t>
      </w:r>
    </w:p>
    <w:p w:rsidR="00E5066C" w:rsidRPr="000E1775" w:rsidRDefault="00E5066C" w:rsidP="00E5066C">
      <w:pPr>
        <w:rPr>
          <w:rFonts w:ascii="Times New Roman" w:eastAsia="Calibri" w:hAnsi="Times New Roman"/>
          <w:i/>
          <w:sz w:val="22"/>
          <w:szCs w:val="22"/>
          <w:lang w:val="fr-FR"/>
        </w:rPr>
      </w:pPr>
      <w:r w:rsidRPr="000E1775">
        <w:rPr>
          <w:rFonts w:ascii="Times New Roman" w:eastAsia="Calibri" w:hAnsi="Times New Roman"/>
          <w:i/>
          <w:sz w:val="22"/>
          <w:szCs w:val="22"/>
          <w:lang w:val="fr-FR"/>
        </w:rPr>
        <w:lastRenderedPageBreak/>
        <w:t>Ritonaviras (stipraus poveikio CYP450 sužadinantis vaistinis preparatas, CYP3A4 inhibitorius ir substratas)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Reikia vengti vartoti vorikonazolą kartu su maža ritonaviro doze (100 mg du kartus per parą), išskyrus atvejus, kai įvertinus naudą ir riziką pacientui, vorikonazolo vartojimas yra pateisinamas (žr. 4.3 ir 4.5 skyrius).</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i/>
          <w:sz w:val="22"/>
          <w:szCs w:val="22"/>
          <w:lang w:val="fr-FR"/>
        </w:rPr>
      </w:pPr>
      <w:r w:rsidRPr="000E1775">
        <w:rPr>
          <w:rFonts w:ascii="Times New Roman" w:eastAsia="Calibri" w:hAnsi="Times New Roman"/>
          <w:i/>
          <w:sz w:val="22"/>
          <w:szCs w:val="22"/>
          <w:lang w:val="fr-FR"/>
        </w:rPr>
        <w:t>Everolimuzas (CYP3A4 substratas, P-gp substratas)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Vorikonazolo nerekomenduojama vartoti kartu su everolimuzu, nes numatoma, kad vorikonazolas reikšmingai didina everolimuzo koncentracijas. Šiuo metu nepakanka duomenų, kad būtų galima pateikti dozavimo rekomendacijas, esant tokioms aplinkybėms (žr. 4.5 skyrių).</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i/>
          <w:sz w:val="22"/>
          <w:szCs w:val="22"/>
          <w:lang w:val="fr-FR"/>
        </w:rPr>
      </w:pPr>
      <w:r w:rsidRPr="000E1775">
        <w:rPr>
          <w:rFonts w:ascii="Times New Roman" w:eastAsia="Calibri" w:hAnsi="Times New Roman"/>
          <w:i/>
          <w:sz w:val="22"/>
          <w:szCs w:val="22"/>
          <w:lang w:val="fr-FR"/>
        </w:rPr>
        <w:t>Metadonas (CYP3A4 substratas)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Vartojamo kartu su vorikonazolu metadono koncentracijos padidėja, todėl vorikonazolą vartojant kartu su metadonu, reikia dažnai tikrinti, ar nepasireiškia su metadonu susijusios nepageidaujamos reakcijos ir toksinis poveikis, įskaitant QTc intervalo pailgėjimą. Gali prireikti mažinti metadono dozę (žr. 4.5 skyrių).</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i/>
          <w:sz w:val="22"/>
          <w:szCs w:val="22"/>
          <w:lang w:val="fr-FR"/>
        </w:rPr>
      </w:pPr>
      <w:r w:rsidRPr="000E1775">
        <w:rPr>
          <w:rFonts w:ascii="Times New Roman" w:eastAsia="Calibri" w:hAnsi="Times New Roman"/>
          <w:i/>
          <w:sz w:val="22"/>
          <w:szCs w:val="22"/>
          <w:lang w:val="fr-FR"/>
        </w:rPr>
        <w:t>Trumpai veikiantys opioidai (CYP3A4 substratai)</w:t>
      </w: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fr-FR"/>
        </w:rPr>
        <w:t>Reikia apgalvotai sumažinti kartu su vorikonazolu vartojamų alfentanilio, fentanilio ar kitų į alfentanilį panašios sandaros trumpai veikiančių opioidų, kurie metabolizuojami veikiant CYP3A4 (</w:t>
      </w:r>
      <w:proofErr w:type="gramStart"/>
      <w:r w:rsidRPr="000E1775">
        <w:rPr>
          <w:rFonts w:ascii="Times New Roman" w:eastAsia="Calibri" w:hAnsi="Times New Roman"/>
          <w:sz w:val="22"/>
          <w:szCs w:val="22"/>
          <w:lang w:val="fr-FR"/>
        </w:rPr>
        <w:t>pvz.,</w:t>
      </w:r>
      <w:proofErr w:type="gramEnd"/>
      <w:r w:rsidRPr="000E1775">
        <w:rPr>
          <w:rFonts w:ascii="Times New Roman" w:eastAsia="Calibri" w:hAnsi="Times New Roman"/>
          <w:sz w:val="22"/>
          <w:szCs w:val="22"/>
          <w:lang w:val="fr-FR"/>
        </w:rPr>
        <w:t xml:space="preserve"> sufentanilio), dozę (žr. 4.5 skyrių). Alfentanilį vartojant kartu su vorikonazolu, alfentanilio pusinis gyvavimo periodas pailgėjo 4 kartus, o paskelbto nepriklausomo tyrimo duomenimis, fentanilį </w:t>
      </w:r>
      <w:r w:rsidRPr="000E1775">
        <w:rPr>
          <w:rFonts w:ascii="Times New Roman" w:eastAsia="Calibri" w:hAnsi="Times New Roman"/>
          <w:b/>
          <w:sz w:val="22"/>
          <w:szCs w:val="22"/>
          <w:lang w:val="fr-FR"/>
        </w:rPr>
        <w:t>vartojant kartu su vorikonazolu, pailgėjo vidutinė fentanilio AUC0-∞, todėl gali prireikti dažnai stebėti,</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ar neatsiranda su opioidais susijusių nepageidaujamų reakcijų (įskaitant ilgesnį kvėpavimo funkcijos stebėjimo laikotarpį).</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lt-LT"/>
        </w:rPr>
      </w:pPr>
      <w:r w:rsidRPr="000E1775">
        <w:rPr>
          <w:rFonts w:ascii="Times New Roman" w:eastAsia="Calibri" w:hAnsi="Times New Roman"/>
          <w:i/>
          <w:sz w:val="22"/>
          <w:szCs w:val="22"/>
          <w:lang w:val="lt-LT"/>
        </w:rPr>
        <w:t>Ilgai veikiantys opioidai (CYP3A4 substratai)</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Reikia apgalvotai sumažinti kartu su vorikonazolu vartojamų oksikodono ar kitų ilgai veikiančių opioidų, kurie metabolizuojami veikiant CYP3A4 (pvz., hidrokodono), dozę. Gali prireikti dažnai stebėti, ar neatsiranda su opioidais susijusių nepageidaujamų reakcijų (žr. 4.5 skyrių).</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i/>
          <w:sz w:val="22"/>
          <w:szCs w:val="22"/>
          <w:lang w:val="en-US"/>
        </w:rPr>
      </w:pPr>
      <w:r w:rsidRPr="000E1775">
        <w:rPr>
          <w:rFonts w:ascii="Times New Roman" w:eastAsia="Calibri" w:hAnsi="Times New Roman"/>
          <w:i/>
          <w:sz w:val="22"/>
          <w:szCs w:val="22"/>
          <w:lang w:val="en-US"/>
        </w:rPr>
        <w:t>Flukonazolas (</w:t>
      </w:r>
      <w:proofErr w:type="gramStart"/>
      <w:r w:rsidRPr="000E1775">
        <w:rPr>
          <w:rFonts w:ascii="Times New Roman" w:eastAsia="Calibri" w:hAnsi="Times New Roman"/>
          <w:i/>
          <w:sz w:val="22"/>
          <w:szCs w:val="22"/>
          <w:lang w:val="en-US"/>
        </w:rPr>
        <w:t>CYP(</w:t>
      </w:r>
      <w:proofErr w:type="gramEnd"/>
      <w:r w:rsidRPr="000E1775">
        <w:rPr>
          <w:rFonts w:ascii="Times New Roman" w:eastAsia="Calibri" w:hAnsi="Times New Roman"/>
          <w:i/>
          <w:sz w:val="22"/>
          <w:szCs w:val="22"/>
          <w:lang w:val="en-US"/>
        </w:rPr>
        <w:t>CYP2C9, CYP2C19 ir CYP3A4 inhibitorius)</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Vartojant vorikonazolą per burną kartu su per burną vartojamu flukonazolu, sveikų savanorių organizme reikšmingai padidėjo vorikonazolo Cmax ir AUCτ. Kiek reikėtų sumažinti vorikonazolo ir flukonazolo dozę ir (arba) vartojimo dažnį, kad būtų išvengta tokio poveikio, nenustatyta. Jeigu vorikonazolo skiriama vartoti po to, kai buvo vartota flukonazolo, rekomenduojama stebėti, ar neatsiranda su vorikonazolu susijusių nepageidaujamų reakcijų (žr. 4.5 skyrių).</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VORICONAZOLE RICHTER tablečių sudėtyje yra laktozės. Šio vaisto negalima vartoti pacientams, kuriems nustatytas retas paveldimas sutrikimas – galaktozės netoleravimas, </w:t>
      </w:r>
      <w:r w:rsidRPr="000E1775">
        <w:rPr>
          <w:rFonts w:ascii="Times New Roman" w:eastAsia="TimesNewRoman,Italic" w:hAnsi="Times New Roman"/>
          <w:i/>
          <w:iCs/>
          <w:sz w:val="22"/>
          <w:szCs w:val="22"/>
          <w:lang w:val="en-US"/>
        </w:rPr>
        <w:t xml:space="preserve">Lapp </w:t>
      </w:r>
      <w:r w:rsidRPr="000E1775">
        <w:rPr>
          <w:rFonts w:ascii="Times New Roman" w:eastAsia="Calibri" w:hAnsi="Times New Roman"/>
          <w:sz w:val="22"/>
          <w:szCs w:val="22"/>
          <w:lang w:val="en-US"/>
        </w:rPr>
        <w:t>laktazės stygius arba gliukozės ir galaktozės malabsorbcija.</w:t>
      </w:r>
    </w:p>
    <w:p w:rsidR="00E5066C" w:rsidRPr="000E1775" w:rsidRDefault="00E5066C" w:rsidP="000E1775">
      <w:pPr>
        <w:pStyle w:val="Antrat4"/>
        <w:ind w:left="567" w:hanging="567"/>
        <w:rPr>
          <w:sz w:val="22"/>
          <w:szCs w:val="22"/>
          <w:lang w:val="lt-LT"/>
        </w:rPr>
      </w:pPr>
      <w:r w:rsidRPr="000E1775">
        <w:rPr>
          <w:sz w:val="22"/>
          <w:szCs w:val="22"/>
          <w:lang w:val="lt-LT"/>
        </w:rPr>
        <w:t>4.5</w:t>
      </w:r>
      <w:r w:rsidRPr="000E1775">
        <w:rPr>
          <w:sz w:val="22"/>
          <w:szCs w:val="22"/>
          <w:lang w:val="lt-LT"/>
        </w:rPr>
        <w:tab/>
        <w:t>Sąveika su kitais vaistiniais preparatais ir kitokia sąveika</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Vorikonazolas metabolizuojamas veikiant citochromo P450 CYP2C19, CYP2C9 ir CYP3A4 izofermentams ir slopina šių fermentų aktyvumą. Šiuos izofermentus slopi</w:t>
      </w:r>
      <w:r w:rsidRPr="000E1775">
        <w:rPr>
          <w:rFonts w:ascii="Times New Roman" w:eastAsia="Calibri" w:hAnsi="Times New Roman"/>
          <w:sz w:val="22"/>
          <w:szCs w:val="22"/>
          <w:lang w:val="fr-FR"/>
        </w:rPr>
        <w:lastRenderedPageBreak/>
        <w:t>nantys arba sužadinantys vaistiniai preparatai gali atitinkamai didinti arba mažinti vorikonazolo koncentracijas plazmoje ir vorikonazolas gali didinti medžiagų, kurios metabolizuojamos veikiant šiems citochromo P450 izofermentams, koncentracijas plazmoje.</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Jeigu nenurodyta kitaip, vaistinių preparatų sąveikos tyrimai atlikti su sveikais savanoriais vyrais,</w:t>
      </w:r>
      <w:r w:rsidRPr="000E1775" w:rsidDel="00997679">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kurie pusiausvyros apykaitos sąlygomis vartojo kartotines 200 mg vorikonazolo dozes du kartus per parą (2 x per parą). Šie rezultatai yra svarbūs kitoms populiacijoms ir vartojimo būdams.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Vorikonazolą reikia atsargiai vartoti pacientams, kurie kartu vartoja vaistinių preparatų, kurie ilgina QTc intervalą. Be to, negalima vartoti kartu, jeigu yra tikimybė, kad vorikonazolas padidins medžiagų, kurių metabolizmą veikia CYP3A4 izofermentai (kai kurių antihistamininių preparatų, kvinidino, cisaprido, pimozido), koncentracijas plazmoje (žr. toliau ir 4.3 skyriuje).</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i/>
          <w:sz w:val="22"/>
          <w:szCs w:val="22"/>
          <w:lang w:val="fr-FR"/>
        </w:rPr>
      </w:pPr>
      <w:r w:rsidRPr="000E1775">
        <w:rPr>
          <w:rFonts w:ascii="Times New Roman" w:eastAsia="Calibri" w:hAnsi="Times New Roman"/>
          <w:i/>
          <w:sz w:val="22"/>
          <w:szCs w:val="22"/>
          <w:lang w:val="fr-FR"/>
        </w:rPr>
        <w:t>Sąveikos lentelė</w:t>
      </w: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fr-FR"/>
        </w:rPr>
        <w:t xml:space="preserve">Vorikonazolo sąveika su kitais vaistiniais preparatais yra išvardyta toliau esančioje lentelėje (vieną kartą per parą nurodyta </w:t>
      </w:r>
      <w:proofErr w:type="gramStart"/>
      <w:r w:rsidRPr="000E1775">
        <w:rPr>
          <w:rFonts w:ascii="Times New Roman" w:eastAsia="Calibri" w:hAnsi="Times New Roman"/>
          <w:sz w:val="22"/>
          <w:szCs w:val="22"/>
          <w:lang w:val="fr-FR"/>
        </w:rPr>
        <w:t>,,1</w:t>
      </w:r>
      <w:proofErr w:type="gramEnd"/>
      <w:r w:rsidRPr="000E1775">
        <w:rPr>
          <w:rFonts w:ascii="Times New Roman" w:eastAsia="Calibri" w:hAnsi="Times New Roman"/>
          <w:sz w:val="22"/>
          <w:szCs w:val="22"/>
          <w:lang w:val="fr-FR"/>
        </w:rPr>
        <w:t xml:space="preserve"> x per parą”, du kartus per parą – ,,2 x per parą”, tris kartus per parą –,,3 x per parą ir nenustatytas ,,NN”). Rodyklės kryptis kiekvienam farmakokinetiniam parametrui pagrįsta geometrinio vidurkio koeficiento 90 % pasikliautinuoju </w:t>
      </w:r>
      <w:proofErr w:type="gramStart"/>
      <w:r w:rsidRPr="000E1775">
        <w:rPr>
          <w:rFonts w:ascii="Times New Roman" w:eastAsia="Calibri" w:hAnsi="Times New Roman"/>
          <w:sz w:val="22"/>
          <w:szCs w:val="22"/>
          <w:lang w:val="fr-FR"/>
        </w:rPr>
        <w:t>intervalu:</w:t>
      </w:r>
      <w:proofErr w:type="gramEnd"/>
      <w:r w:rsidRPr="000E1775">
        <w:rPr>
          <w:rFonts w:ascii="Times New Roman" w:eastAsia="Calibri" w:hAnsi="Times New Roman"/>
          <w:sz w:val="22"/>
          <w:szCs w:val="22"/>
          <w:lang w:val="fr-FR"/>
        </w:rPr>
        <w:t xml:space="preserve"> (↔) reiškia neviršijant ribų, (↓) – žemiau arba (↑) – virš 80-125 % ribos. Žvaigždute (*) pažymėti abipusės sąveikos atvejai. </w:t>
      </w:r>
      <w:r w:rsidR="00954806" w:rsidRPr="000E1775">
        <w:rPr>
          <w:rFonts w:ascii="Times New Roman" w:hAnsi="Times New Roman"/>
          <w:sz w:val="22"/>
          <w:szCs w:val="22"/>
          <w:lang w:val="fr-FR" w:eastAsia="hu-HU"/>
        </w:rPr>
        <w:t>AUC</w:t>
      </w:r>
      <w:r w:rsidR="00954806" w:rsidRPr="000E1775">
        <w:rPr>
          <w:rFonts w:ascii="Times New Roman" w:hAnsi="Times New Roman"/>
          <w:sz w:val="22"/>
          <w:szCs w:val="22"/>
          <w:vertAlign w:val="subscript"/>
          <w:lang w:eastAsia="hu-HU"/>
        </w:rPr>
        <w:t>τ</w:t>
      </w:r>
      <w:r w:rsidR="00954806" w:rsidRPr="000E1775">
        <w:rPr>
          <w:rFonts w:ascii="Times New Roman" w:hAnsi="Times New Roman"/>
          <w:sz w:val="22"/>
          <w:szCs w:val="22"/>
          <w:lang w:val="fr-FR" w:eastAsia="hu-HU"/>
        </w:rPr>
        <w:t>, AUC</w:t>
      </w:r>
      <w:r w:rsidR="00954806" w:rsidRPr="000E1775">
        <w:rPr>
          <w:rFonts w:ascii="Times New Roman" w:hAnsi="Times New Roman"/>
          <w:sz w:val="22"/>
          <w:szCs w:val="22"/>
          <w:vertAlign w:val="subscript"/>
          <w:lang w:val="fr-FR" w:eastAsia="hu-HU"/>
        </w:rPr>
        <w:t>t</w:t>
      </w:r>
      <w:r w:rsidR="00954806" w:rsidRPr="000E1775">
        <w:rPr>
          <w:rFonts w:ascii="Times New Roman" w:hAnsi="Times New Roman"/>
          <w:sz w:val="22"/>
          <w:szCs w:val="22"/>
          <w:lang w:val="fr-FR" w:eastAsia="hu-HU"/>
        </w:rPr>
        <w:t xml:space="preserve"> </w:t>
      </w:r>
      <w:r w:rsidRPr="000E1775">
        <w:rPr>
          <w:rFonts w:ascii="Times New Roman" w:eastAsia="Calibri" w:hAnsi="Times New Roman"/>
          <w:sz w:val="22"/>
          <w:szCs w:val="22"/>
          <w:lang w:val="fr-FR"/>
        </w:rPr>
        <w:t xml:space="preserve">ir </w:t>
      </w:r>
      <w:r w:rsidR="00954806" w:rsidRPr="000E1775">
        <w:rPr>
          <w:rFonts w:ascii="Times New Roman" w:hAnsi="Times New Roman"/>
          <w:sz w:val="22"/>
          <w:szCs w:val="22"/>
          <w:lang w:val="fr-FR" w:eastAsia="hu-HU"/>
        </w:rPr>
        <w:t>AUC</w:t>
      </w:r>
      <w:r w:rsidR="00954806" w:rsidRPr="000E1775">
        <w:rPr>
          <w:rFonts w:ascii="Times New Roman" w:hAnsi="Times New Roman"/>
          <w:sz w:val="22"/>
          <w:szCs w:val="22"/>
          <w:vertAlign w:val="subscript"/>
          <w:lang w:val="fr-FR" w:eastAsia="hu-HU"/>
        </w:rPr>
        <w:t>0-∞</w:t>
      </w:r>
      <w:r w:rsidR="00954806" w:rsidRPr="000E1775">
        <w:rPr>
          <w:sz w:val="22"/>
          <w:szCs w:val="22"/>
          <w:lang w:val="fr-FR" w:eastAsia="hu-HU"/>
        </w:rPr>
        <w:t xml:space="preserve"> </w:t>
      </w:r>
      <w:r w:rsidRPr="000E1775">
        <w:rPr>
          <w:rFonts w:ascii="Times New Roman" w:eastAsia="Calibri" w:hAnsi="Times New Roman"/>
          <w:sz w:val="22"/>
          <w:szCs w:val="22"/>
          <w:lang w:val="fr-FR"/>
        </w:rPr>
        <w:t>- nurodo plotą po koncentracijų laiko atžvilgiu kreive atitinkamai per dozavimo intervalą, nuo nulinio laiko iki laiko, kuriuo koncentracijos buvo išmatuojamos, ir nuo nulinio laiko iki begalybės.</w:t>
      </w: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Sąveikos lentelėje duomenys pateikiami tokia tvarka: kontraindikacijos, vaistiniai preparatai, kurių dozę dėl sąveikos reikia keisti ir juos vartojant būtinas atidus klinikinis ir (arba) biologinis stebėjimas, ir galiausiai vaistiniai preparatai, farmakokinetinė sąveika su kuriais yra nereikšminga, bet gali kelti klinikinį susidomėjimą gydant.</w:t>
      </w:r>
    </w:p>
    <w:p w:rsidR="00E5066C" w:rsidRPr="000E1775" w:rsidRDefault="00E5066C" w:rsidP="00E5066C">
      <w:pPr>
        <w:rPr>
          <w:rFonts w:ascii="Times New Roman" w:hAnsi="Times New Roman"/>
          <w:noProof/>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3009"/>
        <w:gridCol w:w="3320"/>
        <w:gridCol w:w="2731"/>
      </w:tblGrid>
      <w:tr w:rsidR="00E5066C" w:rsidRPr="000E1775" w:rsidTr="009852BC">
        <w:trPr>
          <w:trHeight w:val="400"/>
          <w:tblHeader/>
        </w:trPr>
        <w:tc>
          <w:tcPr>
            <w:tcW w:w="1661" w:type="pct"/>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b/>
                <w:bCs/>
                <w:sz w:val="22"/>
                <w:szCs w:val="22"/>
                <w:lang w:val="en-US"/>
              </w:rPr>
              <w:t xml:space="preserve">Vaistinis preparatas </w:t>
            </w:r>
            <w:r w:rsidRPr="000E1775">
              <w:rPr>
                <w:rFonts w:ascii="Times New Roman" w:eastAsia="TimesNewRoman,BoldItalic" w:hAnsi="Times New Roman"/>
                <w:b/>
                <w:bCs/>
                <w:i/>
                <w:iCs/>
                <w:sz w:val="22"/>
                <w:szCs w:val="22"/>
                <w:lang w:val="en-US"/>
              </w:rPr>
              <w:t>[sąveikos mechanizmas]</w:t>
            </w:r>
          </w:p>
        </w:tc>
        <w:tc>
          <w:tcPr>
            <w:tcW w:w="1832" w:type="pct"/>
          </w:tcPr>
          <w:p w:rsidR="00E5066C" w:rsidRPr="000E1775" w:rsidRDefault="00E5066C" w:rsidP="009852BC">
            <w:pPr>
              <w:autoSpaceDE w:val="0"/>
              <w:autoSpaceDN w:val="0"/>
              <w:adjustRightInd w:val="0"/>
              <w:rPr>
                <w:rFonts w:ascii="Times New Roman" w:eastAsia="Calibri" w:hAnsi="Times New Roman"/>
                <w:b/>
                <w:bCs/>
                <w:sz w:val="22"/>
                <w:szCs w:val="22"/>
                <w:lang w:val="en-US"/>
              </w:rPr>
            </w:pPr>
            <w:r w:rsidRPr="000E1775">
              <w:rPr>
                <w:rFonts w:ascii="Times New Roman" w:hAnsi="Times New Roman"/>
                <w:b/>
                <w:bCs/>
                <w:sz w:val="22"/>
                <w:szCs w:val="22"/>
                <w:lang w:eastAsia="hu-HU"/>
              </w:rPr>
              <w:t xml:space="preserve"> </w:t>
            </w:r>
            <w:r w:rsidRPr="000E1775">
              <w:rPr>
                <w:rFonts w:ascii="Times New Roman" w:eastAsia="Calibri" w:hAnsi="Times New Roman"/>
                <w:b/>
                <w:bCs/>
                <w:sz w:val="22"/>
                <w:szCs w:val="22"/>
                <w:lang w:val="en-US"/>
              </w:rPr>
              <w:t>Sąveika</w:t>
            </w:r>
          </w:p>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b/>
                <w:bCs/>
                <w:sz w:val="22"/>
                <w:szCs w:val="22"/>
                <w:lang w:val="en-US"/>
              </w:rPr>
              <w:t>Geometrinio vidurkio pokytis (%)</w:t>
            </w:r>
          </w:p>
        </w:tc>
        <w:tc>
          <w:tcPr>
            <w:tcW w:w="1507" w:type="pct"/>
          </w:tcPr>
          <w:p w:rsidR="00E5066C" w:rsidRPr="000E1775" w:rsidRDefault="00E5066C" w:rsidP="009852BC">
            <w:pPr>
              <w:autoSpaceDE w:val="0"/>
              <w:autoSpaceDN w:val="0"/>
              <w:adjustRightInd w:val="0"/>
              <w:rPr>
                <w:rFonts w:ascii="Times New Roman" w:eastAsia="Calibri" w:hAnsi="Times New Roman"/>
                <w:b/>
                <w:bCs/>
                <w:sz w:val="22"/>
                <w:szCs w:val="22"/>
                <w:lang w:val="en-US"/>
              </w:rPr>
            </w:pPr>
            <w:r w:rsidRPr="000E1775">
              <w:rPr>
                <w:rFonts w:ascii="Times New Roman" w:eastAsia="Calibri" w:hAnsi="Times New Roman"/>
                <w:b/>
                <w:bCs/>
                <w:sz w:val="22"/>
                <w:szCs w:val="22"/>
                <w:lang w:val="en-US"/>
              </w:rPr>
              <w:t>Vartojimo kartu rekomendacijos</w:t>
            </w:r>
          </w:p>
          <w:p w:rsidR="00E5066C" w:rsidRPr="000E1775" w:rsidRDefault="00E5066C" w:rsidP="009852BC">
            <w:pPr>
              <w:widowControl w:val="0"/>
              <w:autoSpaceDE w:val="0"/>
              <w:autoSpaceDN w:val="0"/>
              <w:adjustRightInd w:val="0"/>
              <w:rPr>
                <w:rFonts w:ascii="Times New Roman" w:hAnsi="Times New Roman"/>
                <w:sz w:val="22"/>
                <w:szCs w:val="22"/>
                <w:lang w:eastAsia="hu-HU"/>
              </w:rPr>
            </w:pPr>
          </w:p>
        </w:tc>
      </w:tr>
      <w:tr w:rsidR="00E5066C" w:rsidRPr="000E1775" w:rsidTr="009852BC">
        <w:trPr>
          <w:trHeight w:val="651"/>
        </w:trPr>
        <w:tc>
          <w:tcPr>
            <w:tcW w:w="1661" w:type="pct"/>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sz w:val="22"/>
                <w:szCs w:val="22"/>
                <w:lang w:val="en-US"/>
              </w:rPr>
              <w:t>Astemizolas, cisapridas,</w:t>
            </w:r>
            <w:r w:rsidRPr="000E1775" w:rsidDel="00273899">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 xml:space="preserve">pimozidas, chinidinas ir terfenadinas </w:t>
            </w:r>
            <w:r w:rsidRPr="000E1775">
              <w:rPr>
                <w:rFonts w:ascii="Times New Roman" w:eastAsia="TimesNewRoman,Italic" w:hAnsi="Times New Roman"/>
                <w:i/>
                <w:iCs/>
                <w:sz w:val="22"/>
                <w:szCs w:val="22"/>
                <w:lang w:val="en-US"/>
              </w:rPr>
              <w:t>[CYP3A4 substratai]</w:t>
            </w:r>
          </w:p>
        </w:tc>
        <w:tc>
          <w:tcPr>
            <w:tcW w:w="1832" w:type="pct"/>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sz w:val="22"/>
                <w:szCs w:val="22"/>
                <w:lang w:val="en-US"/>
              </w:rPr>
              <w:t xml:space="preserve">Nors tyrimai neatlikti, dėl šių vaistinių preparatų koncentracijų </w:t>
            </w:r>
            <w:r w:rsidRPr="000E1775">
              <w:rPr>
                <w:rFonts w:ascii="Times New Roman" w:eastAsia="Calibri" w:hAnsi="Times New Roman"/>
                <w:sz w:val="22"/>
                <w:szCs w:val="22"/>
                <w:lang w:val="fr-FR"/>
              </w:rPr>
              <w:t xml:space="preserve">plazmoje padidėjimo gali pailgėti QTc intervalas ir retais atvejais </w:t>
            </w:r>
            <w:r w:rsidRPr="000E1775">
              <w:rPr>
                <w:rFonts w:ascii="Times New Roman" w:eastAsia="Calibri" w:hAnsi="Times New Roman"/>
                <w:sz w:val="22"/>
                <w:szCs w:val="22"/>
                <w:lang w:val="en-US"/>
              </w:rPr>
              <w:t xml:space="preserve">pasireikšti </w:t>
            </w:r>
            <w:r w:rsidRPr="000E1775">
              <w:rPr>
                <w:rFonts w:ascii="Times New Roman" w:eastAsia="TimesNewRoman,Italic" w:hAnsi="Times New Roman"/>
                <w:i/>
                <w:iCs/>
                <w:sz w:val="22"/>
                <w:szCs w:val="22"/>
                <w:lang w:val="en-US"/>
              </w:rPr>
              <w:t>torsades de pointes</w:t>
            </w:r>
            <w:r w:rsidRPr="000E1775">
              <w:rPr>
                <w:rFonts w:ascii="Times New Roman" w:eastAsia="Calibri" w:hAnsi="Times New Roman"/>
                <w:sz w:val="22"/>
                <w:szCs w:val="22"/>
                <w:lang w:val="en-US"/>
              </w:rPr>
              <w:t>.</w:t>
            </w:r>
          </w:p>
        </w:tc>
        <w:tc>
          <w:tcPr>
            <w:tcW w:w="1507" w:type="pct"/>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b/>
                <w:bCs/>
                <w:sz w:val="22"/>
                <w:szCs w:val="22"/>
                <w:lang w:val="en-US"/>
              </w:rPr>
              <w:t xml:space="preserve">Kontraindikacija </w:t>
            </w:r>
            <w:r w:rsidRPr="000E1775">
              <w:rPr>
                <w:rFonts w:ascii="Times New Roman" w:eastAsia="Calibri" w:hAnsi="Times New Roman"/>
                <w:sz w:val="22"/>
                <w:szCs w:val="22"/>
                <w:lang w:val="en-US"/>
              </w:rPr>
              <w:t>(žr. 4.3 skyrių)</w:t>
            </w:r>
          </w:p>
        </w:tc>
      </w:tr>
      <w:tr w:rsidR="00E5066C" w:rsidRPr="000E1775" w:rsidTr="009852BC">
        <w:trPr>
          <w:trHeight w:val="651"/>
        </w:trPr>
        <w:tc>
          <w:tcPr>
            <w:tcW w:w="1661" w:type="pct"/>
          </w:tcPr>
          <w:p w:rsidR="00E5066C" w:rsidRPr="000E1775" w:rsidRDefault="00E5066C" w:rsidP="009852BC">
            <w:pPr>
              <w:widowControl w:val="0"/>
              <w:autoSpaceDE w:val="0"/>
              <w:autoSpaceDN w:val="0"/>
              <w:adjustRightInd w:val="0"/>
              <w:rPr>
                <w:rFonts w:ascii="Times New Roman" w:hAnsi="Times New Roman"/>
                <w:sz w:val="22"/>
                <w:szCs w:val="22"/>
                <w:lang w:val="fr-FR" w:eastAsia="hu-HU"/>
              </w:rPr>
            </w:pPr>
            <w:r w:rsidRPr="000E1775">
              <w:rPr>
                <w:rFonts w:ascii="Times New Roman" w:hAnsi="Times New Roman"/>
                <w:i/>
                <w:iCs/>
                <w:sz w:val="22"/>
                <w:szCs w:val="22"/>
                <w:lang w:eastAsia="hu-HU"/>
              </w:rPr>
              <w:t xml:space="preserve"> </w:t>
            </w:r>
            <w:r w:rsidRPr="000E1775">
              <w:rPr>
                <w:rFonts w:ascii="Times New Roman" w:eastAsia="Calibri" w:hAnsi="Times New Roman"/>
                <w:sz w:val="22"/>
                <w:szCs w:val="22"/>
                <w:lang w:val="en-US"/>
              </w:rPr>
              <w:t>Karbamazepinas ir ilgai veikiantys barbitūratai (pvz.,</w:t>
            </w:r>
            <w:r w:rsidRPr="000E1775" w:rsidDel="00273899">
              <w:rPr>
                <w:rFonts w:ascii="Times New Roman" w:eastAsia="Calibri" w:hAnsi="Times New Roman"/>
                <w:sz w:val="22"/>
                <w:szCs w:val="22"/>
                <w:lang w:val="en-US"/>
              </w:rPr>
              <w:t xml:space="preserve"> </w:t>
            </w:r>
            <w:r w:rsidRPr="000E1775">
              <w:rPr>
                <w:rFonts w:ascii="Times New Roman" w:eastAsia="Calibri" w:hAnsi="Times New Roman"/>
                <w:sz w:val="22"/>
                <w:szCs w:val="22"/>
                <w:lang w:val="fr-FR"/>
              </w:rPr>
              <w:t xml:space="preserve">fenobarbitalis, mefobarbitalis) </w:t>
            </w:r>
            <w:r w:rsidRPr="000E1775">
              <w:rPr>
                <w:rFonts w:ascii="Times New Roman" w:eastAsia="TimesNewRoman,Italic" w:hAnsi="Times New Roman"/>
                <w:i/>
                <w:iCs/>
                <w:sz w:val="22"/>
                <w:szCs w:val="22"/>
                <w:lang w:val="fr-FR"/>
              </w:rPr>
              <w:t>[stiprus CYP450 induktorius]</w:t>
            </w:r>
          </w:p>
        </w:tc>
        <w:tc>
          <w:tcPr>
            <w:tcW w:w="1832" w:type="pct"/>
          </w:tcPr>
          <w:p w:rsidR="00E5066C" w:rsidRPr="000E1775" w:rsidRDefault="00E5066C" w:rsidP="009852BC">
            <w:pPr>
              <w:widowControl w:val="0"/>
              <w:autoSpaceDE w:val="0"/>
              <w:autoSpaceDN w:val="0"/>
              <w:adjustRightInd w:val="0"/>
              <w:rPr>
                <w:rFonts w:ascii="Times New Roman" w:hAnsi="Times New Roman"/>
                <w:sz w:val="22"/>
                <w:szCs w:val="22"/>
                <w:lang w:val="fr-FR" w:eastAsia="hu-HU"/>
              </w:rPr>
            </w:pPr>
            <w:r w:rsidRPr="000E1775">
              <w:rPr>
                <w:rFonts w:ascii="Times New Roman" w:eastAsia="Calibri" w:hAnsi="Times New Roman"/>
                <w:sz w:val="22"/>
                <w:szCs w:val="22"/>
                <w:lang w:val="fr-FR"/>
              </w:rPr>
              <w:t>Nors tyrimai neatlikti, tikėtina, kad karbamazepinas ir ilgai veikiantys barbitūratai reikšmingai mažins vorikonazolo koncentracijas plazmoje.</w:t>
            </w:r>
          </w:p>
        </w:tc>
        <w:tc>
          <w:tcPr>
            <w:tcW w:w="1507" w:type="pct"/>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b/>
                <w:bCs/>
                <w:sz w:val="22"/>
                <w:szCs w:val="22"/>
                <w:lang w:val="en-US"/>
              </w:rPr>
              <w:t xml:space="preserve">Kontraindikacija </w:t>
            </w:r>
            <w:r w:rsidRPr="000E1775">
              <w:rPr>
                <w:rFonts w:ascii="Times New Roman" w:eastAsia="Calibri" w:hAnsi="Times New Roman"/>
                <w:sz w:val="22"/>
                <w:szCs w:val="22"/>
                <w:lang w:val="en-US"/>
              </w:rPr>
              <w:t>(žr. 4.3 skyrių)</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TimesNewRoman,Italic" w:hAnsi="Times New Roman"/>
                <w:i/>
                <w:iCs/>
                <w:sz w:val="22"/>
                <w:szCs w:val="22"/>
                <w:lang w:val="en-US"/>
              </w:rPr>
            </w:pPr>
            <w:r w:rsidRPr="000E1775">
              <w:rPr>
                <w:rFonts w:ascii="Times New Roman" w:eastAsia="Calibri" w:hAnsi="Times New Roman"/>
                <w:sz w:val="22"/>
                <w:szCs w:val="22"/>
                <w:lang w:val="en-US"/>
              </w:rPr>
              <w:t xml:space="preserve">Efavirenzas (nenukleozido atvirkštinės transkriptazės inhibitorius) </w:t>
            </w:r>
            <w:r w:rsidRPr="000E1775">
              <w:rPr>
                <w:rFonts w:ascii="Times New Roman" w:eastAsia="TimesNewRoman,Italic" w:hAnsi="Times New Roman"/>
                <w:i/>
                <w:iCs/>
                <w:sz w:val="22"/>
                <w:szCs w:val="22"/>
                <w:lang w:val="en-US"/>
              </w:rPr>
              <w:t>[CYP450  sužadinantis vaistinis preparatas, CYP3A4 inhibitorius ir substratas]</w:t>
            </w:r>
          </w:p>
          <w:p w:rsidR="00E5066C" w:rsidRPr="000E1775" w:rsidRDefault="00E5066C" w:rsidP="009852BC">
            <w:pPr>
              <w:autoSpaceDE w:val="0"/>
              <w:autoSpaceDN w:val="0"/>
              <w:adjustRightInd w:val="0"/>
              <w:rPr>
                <w:rFonts w:ascii="Times New Roman" w:eastAsia="TimesNewRoman,Italic" w:hAnsi="Times New Roman"/>
                <w:i/>
                <w:iCs/>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400 mg efavirenzo dozė 1 x per parą vartojama kartu su 200 mg vorikonazolo 2 x per parą *</w:t>
            </w: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r w:rsidRPr="000E1775">
              <w:rPr>
                <w:rFonts w:ascii="Times New Roman" w:eastAsia="Calibri" w:hAnsi="Times New Roman"/>
                <w:sz w:val="22"/>
                <w:szCs w:val="22"/>
                <w:lang w:val="en-US"/>
              </w:rPr>
              <w:t xml:space="preserve">300 mg efavirenzo dozė  1 x per parą, vartojama kartu </w:t>
            </w:r>
            <w:r w:rsidRPr="000E1775">
              <w:rPr>
                <w:rFonts w:ascii="Times New Roman" w:eastAsia="Calibri" w:hAnsi="Times New Roman"/>
                <w:sz w:val="22"/>
                <w:szCs w:val="22"/>
                <w:lang w:val="fr-FR"/>
              </w:rPr>
              <w:t>su 400 mg vorikonazolo 2 x per parą*</w:t>
            </w:r>
          </w:p>
        </w:tc>
        <w:tc>
          <w:tcPr>
            <w:tcW w:w="1832" w:type="pct"/>
          </w:tcPr>
          <w:p w:rsidR="00E5066C" w:rsidRPr="000E1775" w:rsidRDefault="00E5066C" w:rsidP="009852BC">
            <w:pPr>
              <w:widowControl w:val="0"/>
              <w:autoSpaceDE w:val="0"/>
              <w:autoSpaceDN w:val="0"/>
              <w:adjustRightInd w:val="0"/>
              <w:rPr>
                <w:rFonts w:ascii="Times New Roman" w:hAnsi="Times New Roman"/>
                <w:sz w:val="22"/>
                <w:szCs w:val="22"/>
                <w:lang w:val="fr-FR" w:eastAsia="hu-HU"/>
              </w:rPr>
            </w:pP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Efavirenzo Cmax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38 %</w:t>
            </w: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r w:rsidRPr="000E1775">
              <w:rPr>
                <w:rFonts w:ascii="Times New Roman" w:eastAsia="Calibri" w:hAnsi="Times New Roman"/>
                <w:sz w:val="22"/>
                <w:szCs w:val="22"/>
                <w:lang w:val="fr-FR"/>
              </w:rPr>
              <w:t xml:space="preserve">Efavirenzo </w:t>
            </w:r>
            <w:r w:rsidRPr="000E1775">
              <w:rPr>
                <w:rFonts w:ascii="Times New Roman" w:hAnsi="Times New Roman"/>
                <w:sz w:val="22"/>
                <w:szCs w:val="22"/>
                <w:lang w:val="fr-FR" w:eastAsia="hu-HU"/>
              </w:rPr>
              <w:t>AUC</w:t>
            </w:r>
            <w:r w:rsidRPr="000E1775">
              <w:rPr>
                <w:rFonts w:ascii="Times New Roman" w:hAnsi="Times New Roman"/>
                <w:sz w:val="22"/>
                <w:szCs w:val="22"/>
                <w:vertAlign w:val="subscript"/>
                <w:lang w:eastAsia="hu-HU"/>
              </w:rPr>
              <w:t>τ</w:t>
            </w:r>
            <w:r w:rsidRPr="000E1775">
              <w:rPr>
                <w:rFonts w:ascii="Times New Roman" w:hAnsi="Times New Roman"/>
                <w:sz w:val="22"/>
                <w:szCs w:val="22"/>
                <w:lang w:val="fr-FR" w:eastAsia="hu-HU"/>
              </w:rPr>
              <w:t xml:space="preserve"> ↑ 44% </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Vorikonazolo Cmax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61 %</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Vorikonazolo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fr-FR"/>
              </w:rPr>
              <w:t xml:space="preserve">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77 %</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Palyginti su 600 mg efavirenzo doze 1 x per parą,</w:t>
            </w:r>
            <w:r w:rsidRPr="000E1775" w:rsidDel="009E2CB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 xml:space="preserve">efavirenzo Cmax ↔ efavirenzo </w:t>
            </w:r>
            <w:r w:rsidRPr="000E1775">
              <w:rPr>
                <w:rFonts w:ascii="Times New Roman" w:hAnsi="Times New Roman"/>
                <w:sz w:val="22"/>
                <w:szCs w:val="22"/>
                <w:lang w:val="fr-FR" w:eastAsia="hu-HU"/>
              </w:rPr>
              <w:t>AUC</w:t>
            </w:r>
            <w:r w:rsidRPr="000E1775">
              <w:rPr>
                <w:rFonts w:ascii="Times New Roman" w:hAnsi="Times New Roman"/>
                <w:sz w:val="22"/>
                <w:szCs w:val="22"/>
                <w:vertAlign w:val="subscript"/>
                <w:lang w:eastAsia="hu-HU"/>
              </w:rPr>
              <w:t>τ</w:t>
            </w:r>
            <w:r w:rsidRPr="000E1775">
              <w:rPr>
                <w:rFonts w:ascii="Times New Roman" w:hAnsi="Times New Roman"/>
                <w:sz w:val="22"/>
                <w:szCs w:val="22"/>
                <w:lang w:val="fr-FR" w:eastAsia="hu-HU"/>
              </w:rPr>
              <w:t xml:space="preserve"> ↑</w:t>
            </w:r>
            <w:r w:rsidRPr="000E1775">
              <w:rPr>
                <w:rFonts w:ascii="Times New Roman" w:eastAsia="Calibri" w:hAnsi="Times New Roman"/>
                <w:sz w:val="22"/>
                <w:szCs w:val="22"/>
                <w:lang w:val="fr-FR"/>
              </w:rPr>
              <w:t>17 %</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r w:rsidRPr="000E1775">
              <w:rPr>
                <w:rFonts w:ascii="Times New Roman" w:eastAsia="Calibri" w:hAnsi="Times New Roman"/>
                <w:sz w:val="22"/>
                <w:szCs w:val="22"/>
                <w:lang w:val="fr-FR"/>
              </w:rPr>
              <w:t xml:space="preserve">Palyginti su 200 mg vorikonazolo doze 2 x per parą, vorikonazolo Cmax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23 % vorikonazolo </w:t>
            </w:r>
            <w:r w:rsidRPr="000E1775">
              <w:rPr>
                <w:rFonts w:ascii="Times New Roman" w:hAnsi="Times New Roman"/>
                <w:sz w:val="22"/>
                <w:szCs w:val="22"/>
                <w:lang w:val="fr-FR" w:eastAsia="hu-HU"/>
              </w:rPr>
              <w:t>AUC</w:t>
            </w:r>
            <w:r w:rsidRPr="000E1775">
              <w:rPr>
                <w:rFonts w:ascii="Times New Roman" w:hAnsi="Times New Roman"/>
                <w:sz w:val="22"/>
                <w:szCs w:val="22"/>
                <w:vertAlign w:val="subscript"/>
                <w:lang w:eastAsia="hu-HU"/>
              </w:rPr>
              <w:t>τ</w:t>
            </w:r>
            <w:r w:rsidRPr="000E1775">
              <w:rPr>
                <w:rFonts w:ascii="Times New Roman" w:hAnsi="Times New Roman"/>
                <w:sz w:val="22"/>
                <w:szCs w:val="22"/>
                <w:lang w:val="fr-FR" w:eastAsia="hu-HU"/>
              </w:rPr>
              <w:t xml:space="preserve"> ↓ </w:t>
            </w:r>
            <w:r w:rsidRPr="000E1775">
              <w:rPr>
                <w:rFonts w:ascii="Times New Roman" w:eastAsia="Calibri" w:hAnsi="Times New Roman"/>
                <w:sz w:val="22"/>
                <w:szCs w:val="22"/>
                <w:lang w:val="fr-FR"/>
              </w:rPr>
              <w:t>7 %</w:t>
            </w:r>
          </w:p>
        </w:tc>
        <w:tc>
          <w:tcPr>
            <w:tcW w:w="1507" w:type="pct"/>
          </w:tcPr>
          <w:p w:rsidR="00E5066C" w:rsidRPr="000E1775" w:rsidRDefault="00E5066C" w:rsidP="009852BC">
            <w:pPr>
              <w:autoSpaceDE w:val="0"/>
              <w:autoSpaceDN w:val="0"/>
              <w:adjustRightInd w:val="0"/>
              <w:rPr>
                <w:rFonts w:ascii="Times New Roman" w:eastAsia="Calibri" w:hAnsi="Times New Roman"/>
                <w:b/>
                <w:bCs/>
                <w:sz w:val="22"/>
                <w:szCs w:val="22"/>
                <w:lang w:val="fr-FR"/>
              </w:rPr>
            </w:pPr>
          </w:p>
          <w:p w:rsidR="00E5066C" w:rsidRPr="000E1775" w:rsidRDefault="00E5066C" w:rsidP="009852BC">
            <w:pPr>
              <w:autoSpaceDE w:val="0"/>
              <w:autoSpaceDN w:val="0"/>
              <w:adjustRightInd w:val="0"/>
              <w:rPr>
                <w:rFonts w:ascii="Times New Roman" w:eastAsia="Calibri" w:hAnsi="Times New Roman"/>
                <w:b/>
                <w:bCs/>
                <w:sz w:val="22"/>
                <w:szCs w:val="22"/>
                <w:lang w:val="fr-FR"/>
              </w:rPr>
            </w:pPr>
          </w:p>
          <w:p w:rsidR="00E5066C" w:rsidRPr="000E1775" w:rsidRDefault="00E5066C" w:rsidP="009852BC">
            <w:pPr>
              <w:autoSpaceDE w:val="0"/>
              <w:autoSpaceDN w:val="0"/>
              <w:adjustRightInd w:val="0"/>
              <w:rPr>
                <w:rFonts w:ascii="Times New Roman" w:eastAsia="Calibri" w:hAnsi="Times New Roman"/>
                <w:b/>
                <w:bCs/>
                <w:sz w:val="22"/>
                <w:szCs w:val="22"/>
                <w:lang w:val="fr-FR"/>
              </w:rPr>
            </w:pPr>
          </w:p>
          <w:p w:rsidR="00E5066C" w:rsidRPr="000E1775" w:rsidRDefault="00E5066C" w:rsidP="009852BC">
            <w:pPr>
              <w:autoSpaceDE w:val="0"/>
              <w:autoSpaceDN w:val="0"/>
              <w:adjustRightInd w:val="0"/>
              <w:rPr>
                <w:rFonts w:ascii="Times New Roman" w:eastAsia="Calibri" w:hAnsi="Times New Roman"/>
                <w:b/>
                <w:bCs/>
                <w:sz w:val="22"/>
                <w:szCs w:val="22"/>
                <w:lang w:val="fr-FR"/>
              </w:rPr>
            </w:pPr>
          </w:p>
          <w:p w:rsidR="00E5066C" w:rsidRPr="000E1775" w:rsidRDefault="00E5066C" w:rsidP="009852BC">
            <w:pPr>
              <w:autoSpaceDE w:val="0"/>
              <w:autoSpaceDN w:val="0"/>
              <w:adjustRightInd w:val="0"/>
              <w:rPr>
                <w:rFonts w:ascii="Times New Roman" w:eastAsia="Calibri" w:hAnsi="Times New Roman"/>
                <w:b/>
                <w:bCs/>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b/>
                <w:bCs/>
                <w:sz w:val="22"/>
                <w:szCs w:val="22"/>
                <w:lang w:val="fr-FR"/>
              </w:rPr>
              <w:t xml:space="preserve">Kontraindikacija </w:t>
            </w:r>
            <w:r w:rsidRPr="000E1775">
              <w:rPr>
                <w:rFonts w:ascii="Times New Roman" w:eastAsia="Calibri" w:hAnsi="Times New Roman"/>
                <w:sz w:val="22"/>
                <w:szCs w:val="22"/>
                <w:lang w:val="fr-FR"/>
              </w:rPr>
              <w:t>vartoti įprastas vorikonazolo dozes kartu su efavirenzo 400 mg 1 x per parą arba didesnėmis dozėmis (žr. 4.3 skyrių).</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hAnsi="Times New Roman"/>
                <w:sz w:val="22"/>
                <w:szCs w:val="22"/>
                <w:lang w:val="fr-FR" w:eastAsia="hu-HU"/>
              </w:rPr>
            </w:pPr>
            <w:r w:rsidRPr="000E1775">
              <w:rPr>
                <w:rFonts w:ascii="Times New Roman" w:eastAsia="Calibri" w:hAnsi="Times New Roman"/>
                <w:sz w:val="22"/>
                <w:szCs w:val="22"/>
                <w:lang w:val="fr-FR"/>
              </w:rPr>
              <w:t xml:space="preserve">Vorikonazolą galima vartoti kartu su efavirenzu, jeigu vorikonazolo palaikomoji dozė padidinama iki 400 mg 2 x per </w:t>
            </w:r>
            <w:r w:rsidRPr="000E1775">
              <w:rPr>
                <w:rFonts w:ascii="Times New Roman" w:eastAsia="Calibri" w:hAnsi="Times New Roman"/>
                <w:sz w:val="22"/>
                <w:szCs w:val="22"/>
                <w:lang w:val="fr-FR"/>
              </w:rPr>
              <w:lastRenderedPageBreak/>
              <w:t>parą, o efavirenzo dozė sumažinama iki 300 mg 1 x per parą. Nutraukus gydymą vorikonazolu, reikia vėl atnaujinti pradinės efavirenzo dozės vartojimą (žr.</w:t>
            </w:r>
            <w:r w:rsidRPr="000E1775" w:rsidDel="009E2CB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4.2 ir 4.4 skyrius).</w:t>
            </w:r>
          </w:p>
        </w:tc>
      </w:tr>
      <w:tr w:rsidR="00E5066C" w:rsidRPr="000E1775" w:rsidTr="009852BC">
        <w:trPr>
          <w:trHeight w:val="651"/>
        </w:trPr>
        <w:tc>
          <w:tcPr>
            <w:tcW w:w="1661" w:type="pct"/>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sz w:val="22"/>
                <w:szCs w:val="22"/>
                <w:lang w:val="en-US"/>
              </w:rPr>
              <w:lastRenderedPageBreak/>
              <w:t xml:space="preserve">Skalsių alkaloidai (pvz., ergotaminas ir dihidroergotaminas) </w:t>
            </w:r>
            <w:r w:rsidRPr="000E1775">
              <w:rPr>
                <w:rFonts w:ascii="Times New Roman" w:eastAsia="TimesNewRoman,Italic" w:hAnsi="Times New Roman"/>
                <w:i/>
                <w:iCs/>
                <w:sz w:val="22"/>
                <w:szCs w:val="22"/>
                <w:lang w:val="en-US"/>
              </w:rPr>
              <w:t>[CYP3A4 substratai]</w:t>
            </w:r>
          </w:p>
        </w:tc>
        <w:tc>
          <w:tcPr>
            <w:tcW w:w="1832" w:type="pct"/>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sz w:val="22"/>
                <w:szCs w:val="22"/>
                <w:lang w:val="en-US"/>
              </w:rPr>
              <w:t>Nors tyrimų neatlikta, tikėtina, kad vorikonazolas didins skalsių alkaloidų koncentracijas plazmoje ir gali sukelti ergotizmą.</w:t>
            </w:r>
          </w:p>
        </w:tc>
        <w:tc>
          <w:tcPr>
            <w:tcW w:w="1507" w:type="pct"/>
          </w:tcPr>
          <w:p w:rsidR="00E5066C" w:rsidRPr="000E1775" w:rsidRDefault="00E5066C" w:rsidP="009852BC">
            <w:pPr>
              <w:autoSpaceDE w:val="0"/>
              <w:autoSpaceDN w:val="0"/>
              <w:adjustRightInd w:val="0"/>
              <w:rPr>
                <w:rFonts w:ascii="Times New Roman" w:hAnsi="Times New Roman"/>
                <w:sz w:val="22"/>
                <w:szCs w:val="22"/>
                <w:lang w:eastAsia="hu-HU"/>
              </w:rPr>
            </w:pPr>
            <w:r w:rsidRPr="000E1775">
              <w:rPr>
                <w:rFonts w:ascii="Times New Roman" w:eastAsia="Calibri" w:hAnsi="Times New Roman"/>
                <w:b/>
                <w:bCs/>
                <w:sz w:val="22"/>
                <w:szCs w:val="22"/>
                <w:lang w:val="en-US"/>
              </w:rPr>
              <w:t xml:space="preserve">Kontraindikacija </w:t>
            </w:r>
            <w:r w:rsidRPr="000E1775">
              <w:rPr>
                <w:rFonts w:ascii="Times New Roman" w:eastAsia="Calibri" w:hAnsi="Times New Roman"/>
                <w:sz w:val="22"/>
                <w:szCs w:val="22"/>
                <w:lang w:val="en-US"/>
              </w:rPr>
              <w:t>(žr. 4.3 skyrių)</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fr-FR"/>
              </w:rPr>
              <w:t xml:space="preserve">Rifabutinas </w:t>
            </w:r>
            <w:r w:rsidRPr="000E1775">
              <w:rPr>
                <w:rFonts w:ascii="Times New Roman" w:eastAsia="TimesNewRoman,Italic" w:hAnsi="Times New Roman"/>
                <w:i/>
                <w:iCs/>
                <w:sz w:val="22"/>
                <w:szCs w:val="22"/>
                <w:lang w:val="fr-FR"/>
              </w:rPr>
              <w:t xml:space="preserve">[stipraus poveikio CYP450 sužadinantis vaistinis </w:t>
            </w:r>
            <w:r w:rsidRPr="000E1775">
              <w:rPr>
                <w:rFonts w:ascii="Times New Roman" w:eastAsia="TimesNewRoman,Italic" w:hAnsi="Times New Roman"/>
                <w:i/>
                <w:iCs/>
                <w:sz w:val="22"/>
                <w:szCs w:val="22"/>
                <w:lang w:val="en-US"/>
              </w:rPr>
              <w:t xml:space="preserve">preparatas]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300 mg dozė 1 x per parą</w:t>
            </w: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300 mg dozė 1 x per parą (vartojama kartu su 350 mg vorikonazolo 2 x per parą)*</w:t>
            </w: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300 mg dozė 1 x per parą</w:t>
            </w: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r w:rsidRPr="000E1775">
              <w:rPr>
                <w:rFonts w:ascii="Times New Roman" w:eastAsia="Calibri" w:hAnsi="Times New Roman"/>
                <w:sz w:val="22"/>
                <w:szCs w:val="22"/>
                <w:lang w:val="fr-FR"/>
              </w:rPr>
              <w:t>(vartojama kartu su 400 mg vorikonazolo 2 x per parą)*</w:t>
            </w:r>
          </w:p>
        </w:tc>
        <w:tc>
          <w:tcPr>
            <w:tcW w:w="1832" w:type="pct"/>
          </w:tcPr>
          <w:p w:rsidR="00E5066C" w:rsidRPr="000E1775" w:rsidRDefault="00E5066C" w:rsidP="009852BC">
            <w:pPr>
              <w:widowControl w:val="0"/>
              <w:autoSpaceDE w:val="0"/>
              <w:autoSpaceDN w:val="0"/>
              <w:adjustRightInd w:val="0"/>
              <w:rPr>
                <w:rFonts w:ascii="Times New Roman" w:hAnsi="Times New Roman"/>
                <w:sz w:val="22"/>
                <w:szCs w:val="22"/>
                <w:lang w:val="fr-FR" w:eastAsia="hu-HU"/>
              </w:rPr>
            </w:pP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Vorikonazolo Cmax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69 %</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Vorikonazolo </w:t>
            </w:r>
            <w:r w:rsidRPr="000E1775">
              <w:rPr>
                <w:rFonts w:ascii="Times New Roman" w:hAnsi="Times New Roman"/>
                <w:sz w:val="22"/>
                <w:szCs w:val="22"/>
                <w:lang w:val="fr-FR" w:eastAsia="hu-HU"/>
              </w:rPr>
              <w:t>AUC</w:t>
            </w:r>
            <w:r w:rsidRPr="000E1775">
              <w:rPr>
                <w:rFonts w:ascii="Times New Roman" w:hAnsi="Times New Roman"/>
                <w:sz w:val="22"/>
                <w:szCs w:val="22"/>
                <w:vertAlign w:val="subscript"/>
                <w:lang w:eastAsia="hu-HU"/>
              </w:rPr>
              <w:t>τ</w:t>
            </w:r>
            <w:r w:rsidRPr="000E1775">
              <w:rPr>
                <w:rFonts w:ascii="Times New Roman" w:hAnsi="Times New Roman"/>
                <w:sz w:val="22"/>
                <w:szCs w:val="22"/>
                <w:lang w:val="fr-FR" w:eastAsia="hu-HU"/>
              </w:rPr>
              <w:t xml:space="preserve"> ↓</w:t>
            </w:r>
            <w:r w:rsidRPr="000E1775">
              <w:rPr>
                <w:rFonts w:ascii="Times New Roman" w:eastAsia="Calibri" w:hAnsi="Times New Roman"/>
                <w:sz w:val="22"/>
                <w:szCs w:val="22"/>
                <w:lang w:val="fr-FR"/>
              </w:rPr>
              <w:t xml:space="preserve"> 78 %</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Palyginti su 200 mg vorikonazolo doze 2 x per parą, vorikonazolo Cmax ↓ 4 % vorikonazolo </w:t>
            </w:r>
            <w:r w:rsidRPr="000E1775">
              <w:rPr>
                <w:rFonts w:ascii="Times New Roman" w:hAnsi="Times New Roman"/>
                <w:sz w:val="22"/>
                <w:szCs w:val="22"/>
                <w:lang w:val="fr-FR" w:eastAsia="hu-HU"/>
              </w:rPr>
              <w:t>AUC</w:t>
            </w:r>
            <w:r w:rsidRPr="000E1775">
              <w:rPr>
                <w:rFonts w:ascii="Times New Roman" w:hAnsi="Times New Roman"/>
                <w:sz w:val="22"/>
                <w:szCs w:val="22"/>
                <w:vertAlign w:val="subscript"/>
                <w:lang w:eastAsia="hu-HU"/>
              </w:rPr>
              <w:t>τ</w:t>
            </w:r>
            <w:r w:rsidRPr="000E1775">
              <w:rPr>
                <w:rFonts w:ascii="Times New Roman" w:hAnsi="Times New Roman"/>
                <w:sz w:val="22"/>
                <w:szCs w:val="22"/>
                <w:lang w:val="fr-FR" w:eastAsia="hu-HU"/>
              </w:rPr>
              <w:t xml:space="preserve"> ↓</w:t>
            </w:r>
            <w:r w:rsidRPr="000E1775">
              <w:rPr>
                <w:rFonts w:ascii="Times New Roman" w:eastAsia="Calibri" w:hAnsi="Times New Roman"/>
                <w:sz w:val="22"/>
                <w:szCs w:val="22"/>
                <w:lang w:val="fr-FR"/>
              </w:rPr>
              <w:t xml:space="preserve"> 32 %</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Rifabutino Cmax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195 % Rifabutino </w:t>
            </w:r>
            <w:r w:rsidRPr="000E1775">
              <w:rPr>
                <w:rFonts w:ascii="Times New Roman" w:hAnsi="Times New Roman"/>
                <w:sz w:val="22"/>
                <w:szCs w:val="22"/>
                <w:lang w:val="fr-FR" w:eastAsia="hu-HU"/>
              </w:rPr>
              <w:t>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fr-FR"/>
              </w:rPr>
              <w:t xml:space="preserve">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331 % </w:t>
            </w:r>
          </w:p>
          <w:p w:rsidR="00E5066C" w:rsidRPr="000E1775" w:rsidRDefault="00E5066C" w:rsidP="009852BC">
            <w:pPr>
              <w:widowControl w:val="0"/>
              <w:autoSpaceDE w:val="0"/>
              <w:autoSpaceDN w:val="0"/>
              <w:adjustRightInd w:val="0"/>
              <w:rPr>
                <w:rFonts w:ascii="Times New Roman" w:hAnsi="Times New Roman"/>
                <w:sz w:val="22"/>
                <w:szCs w:val="22"/>
                <w:lang w:val="fr-FR" w:eastAsia="hu-HU"/>
              </w:rPr>
            </w:pPr>
            <w:r w:rsidRPr="000E1775">
              <w:rPr>
                <w:rFonts w:ascii="Times New Roman" w:eastAsia="Calibri" w:hAnsi="Times New Roman"/>
                <w:sz w:val="22"/>
                <w:szCs w:val="22"/>
                <w:lang w:val="fr-FR"/>
              </w:rPr>
              <w:t>Palyginti su 200 mg vorikonazolo doze 2 x per parą,</w:t>
            </w:r>
            <w:r w:rsidRPr="000E1775" w:rsidDel="00E27C17">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 xml:space="preserve">vorikonazolo </w:t>
            </w:r>
            <w:proofErr w:type="gramStart"/>
            <w:r w:rsidRPr="000E1775">
              <w:rPr>
                <w:rFonts w:ascii="Times New Roman" w:eastAsia="Calibri" w:hAnsi="Times New Roman"/>
                <w:sz w:val="22"/>
                <w:szCs w:val="22"/>
                <w:lang w:val="fr-FR"/>
              </w:rPr>
              <w:t xml:space="preserve">Cmax  </w:t>
            </w:r>
            <w:r w:rsidRPr="000E1775">
              <w:rPr>
                <w:rFonts w:ascii="Times New Roman" w:hAnsi="Times New Roman"/>
                <w:sz w:val="22"/>
                <w:szCs w:val="22"/>
                <w:lang w:val="fr-FR" w:eastAsia="hu-HU"/>
              </w:rPr>
              <w:t>↑</w:t>
            </w:r>
            <w:proofErr w:type="gramEnd"/>
            <w:r w:rsidRPr="000E1775">
              <w:rPr>
                <w:rFonts w:ascii="Times New Roman" w:eastAsia="Calibri" w:hAnsi="Times New Roman"/>
                <w:sz w:val="22"/>
                <w:szCs w:val="22"/>
                <w:lang w:val="fr-FR"/>
              </w:rPr>
              <w:t xml:space="preserve">104 % vorikonazolo </w:t>
            </w:r>
            <w:r w:rsidRPr="000E1775">
              <w:rPr>
                <w:rFonts w:ascii="Times New Roman" w:hAnsi="Times New Roman"/>
                <w:sz w:val="22"/>
                <w:szCs w:val="22"/>
                <w:lang w:val="fr-FR" w:eastAsia="hu-HU"/>
              </w:rPr>
              <w:t>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fr-FR"/>
              </w:rPr>
              <w:t xml:space="preserve">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87 %</w:t>
            </w:r>
          </w:p>
        </w:tc>
        <w:tc>
          <w:tcPr>
            <w:tcW w:w="1507" w:type="pct"/>
          </w:tcPr>
          <w:p w:rsidR="00E5066C" w:rsidRPr="000E1775" w:rsidRDefault="00E5066C" w:rsidP="009852BC">
            <w:pPr>
              <w:autoSpaceDE w:val="0"/>
              <w:autoSpaceDN w:val="0"/>
              <w:adjustRightInd w:val="0"/>
              <w:rPr>
                <w:rFonts w:ascii="Times New Roman" w:hAnsi="Times New Roman"/>
                <w:sz w:val="22"/>
                <w:szCs w:val="22"/>
                <w:lang w:val="fr-FR" w:eastAsia="hu-HU"/>
              </w:rPr>
            </w:pPr>
            <w:r w:rsidRPr="000E1775">
              <w:rPr>
                <w:rFonts w:ascii="Times New Roman" w:eastAsia="Calibri" w:hAnsi="Times New Roman"/>
                <w:sz w:val="22"/>
                <w:szCs w:val="22"/>
                <w:lang w:val="fr-FR"/>
              </w:rPr>
              <w:t>Reikia vengti vorikonazolą vartoti kartu su rifabutinu,</w:t>
            </w:r>
            <w:r w:rsidRPr="000E1775" w:rsidDel="007B07FF">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išskyrus atvejus, kai nauda nusveria riziką. Palaikomąją vorikonazolo dozę galima padidinti iki 5 mg/kg į veną 2 x per parą arba nuo 200 mg iki 350 mg per burną 2 x per parą (nuo 100 mg iki 200 mg per burną 2 x per parą pacientams, kurių kūno masė mažesnė kaip 40 kg) (žr.</w:t>
            </w:r>
            <w:r w:rsidRPr="000E1775" w:rsidDel="00E27C17">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4.2 skyrių). Rekomenduojama atidžiai stebėti visų kraujo ląstelių kiekį ir nepageidaujamas reakcijas į rifabutiną (</w:t>
            </w:r>
            <w:proofErr w:type="gramStart"/>
            <w:r w:rsidRPr="000E1775">
              <w:rPr>
                <w:rFonts w:ascii="Times New Roman" w:eastAsia="Calibri" w:hAnsi="Times New Roman"/>
                <w:sz w:val="22"/>
                <w:szCs w:val="22"/>
                <w:lang w:val="fr-FR"/>
              </w:rPr>
              <w:t>pvz.,</w:t>
            </w:r>
            <w:proofErr w:type="gramEnd"/>
            <w:r w:rsidRPr="000E1775">
              <w:rPr>
                <w:rFonts w:ascii="Times New Roman" w:eastAsia="Calibri" w:hAnsi="Times New Roman"/>
                <w:sz w:val="22"/>
                <w:szCs w:val="22"/>
                <w:lang w:val="fr-FR"/>
              </w:rPr>
              <w:t xml:space="preserve"> uveitas),</w:t>
            </w:r>
            <w:r w:rsidRPr="000E1775" w:rsidDel="00E27C17">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vartojant rifabutiną kartu su vorikonazolu.</w:t>
            </w:r>
          </w:p>
        </w:tc>
      </w:tr>
      <w:tr w:rsidR="00E5066C" w:rsidRPr="000E1775" w:rsidTr="009852BC">
        <w:trPr>
          <w:trHeight w:val="651"/>
        </w:trPr>
        <w:tc>
          <w:tcPr>
            <w:tcW w:w="1661" w:type="pct"/>
          </w:tcPr>
          <w:p w:rsidR="00E5066C" w:rsidRPr="000E1775" w:rsidRDefault="00E5066C" w:rsidP="009852BC">
            <w:pPr>
              <w:widowControl w:val="0"/>
              <w:autoSpaceDE w:val="0"/>
              <w:autoSpaceDN w:val="0"/>
              <w:adjustRightInd w:val="0"/>
              <w:rPr>
                <w:rFonts w:ascii="Times New Roman" w:hAnsi="Times New Roman"/>
                <w:sz w:val="22"/>
                <w:szCs w:val="22"/>
                <w:lang w:val="fr-FR" w:eastAsia="hu-HU"/>
              </w:rPr>
            </w:pPr>
            <w:r w:rsidRPr="000E1775">
              <w:rPr>
                <w:rFonts w:ascii="Times New Roman" w:eastAsia="Calibri" w:hAnsi="Times New Roman"/>
                <w:sz w:val="22"/>
                <w:szCs w:val="22"/>
                <w:lang w:val="en-US"/>
              </w:rPr>
              <w:t xml:space="preserve">Rifampicinas (600 mg dozė 1 x per parą) </w:t>
            </w:r>
            <w:r w:rsidRPr="000E1775">
              <w:rPr>
                <w:rFonts w:ascii="Times New Roman" w:eastAsia="TimesNewRoman,Italic" w:hAnsi="Times New Roman"/>
                <w:i/>
                <w:iCs/>
                <w:sz w:val="22"/>
                <w:szCs w:val="22"/>
                <w:lang w:val="fr-FR"/>
              </w:rPr>
              <w:t>[stipraus poveikio CYP450 sužadinantis vaistinis preparatas]</w:t>
            </w:r>
          </w:p>
        </w:tc>
        <w:tc>
          <w:tcPr>
            <w:tcW w:w="1832" w:type="pct"/>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sz w:val="22"/>
                <w:szCs w:val="22"/>
                <w:lang w:val="en-US"/>
              </w:rPr>
              <w:t xml:space="preserve">Vorikonazolo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93 % Vorikonazolo </w:t>
            </w:r>
            <w:r w:rsidRPr="000E1775">
              <w:rPr>
                <w:rFonts w:ascii="Times New Roman" w:hAnsi="Times New Roman"/>
                <w:sz w:val="22"/>
                <w:szCs w:val="22"/>
                <w:lang w:eastAsia="hu-HU"/>
              </w:rPr>
              <w:t>AUC</w:t>
            </w:r>
            <w:r w:rsidRPr="000E1775">
              <w:rPr>
                <w:rFonts w:ascii="Times New Roman" w:hAnsi="Times New Roman"/>
                <w:sz w:val="22"/>
                <w:szCs w:val="22"/>
                <w:vertAlign w:val="subscript"/>
                <w:lang w:eastAsia="hu-HU"/>
              </w:rPr>
              <w:t>τ</w:t>
            </w:r>
            <w:r w:rsidRPr="000E1775">
              <w:rPr>
                <w:rFonts w:ascii="Times New Roman" w:hAnsi="Times New Roman"/>
                <w:sz w:val="22"/>
                <w:szCs w:val="22"/>
                <w:lang w:eastAsia="hu-HU"/>
              </w:rPr>
              <w:t xml:space="preserve"> ↓</w:t>
            </w:r>
            <w:r w:rsidRPr="000E1775">
              <w:rPr>
                <w:rFonts w:ascii="Times New Roman" w:eastAsia="Calibri" w:hAnsi="Times New Roman"/>
                <w:sz w:val="22"/>
                <w:szCs w:val="22"/>
                <w:lang w:val="en-US"/>
              </w:rPr>
              <w:t xml:space="preserve"> 96 %</w:t>
            </w:r>
          </w:p>
        </w:tc>
        <w:tc>
          <w:tcPr>
            <w:tcW w:w="1507" w:type="pct"/>
          </w:tcPr>
          <w:p w:rsidR="00E5066C" w:rsidRPr="000E1775" w:rsidRDefault="00E5066C" w:rsidP="009852BC">
            <w:pPr>
              <w:autoSpaceDE w:val="0"/>
              <w:autoSpaceDN w:val="0"/>
              <w:adjustRightInd w:val="0"/>
              <w:rPr>
                <w:rFonts w:ascii="Times New Roman" w:hAnsi="Times New Roman"/>
                <w:sz w:val="22"/>
                <w:szCs w:val="22"/>
                <w:lang w:eastAsia="hu-HU"/>
              </w:rPr>
            </w:pPr>
            <w:r w:rsidRPr="000E1775">
              <w:rPr>
                <w:rFonts w:ascii="Times New Roman" w:eastAsia="Calibri" w:hAnsi="Times New Roman"/>
                <w:b/>
                <w:bCs/>
                <w:sz w:val="22"/>
                <w:szCs w:val="22"/>
                <w:lang w:val="en-US"/>
              </w:rPr>
              <w:t xml:space="preserve">Kontraindikacija </w:t>
            </w:r>
            <w:r w:rsidRPr="000E1775">
              <w:rPr>
                <w:rFonts w:ascii="Times New Roman" w:eastAsia="Calibri" w:hAnsi="Times New Roman"/>
                <w:sz w:val="22"/>
                <w:szCs w:val="22"/>
                <w:lang w:val="en-US"/>
              </w:rPr>
              <w:t>(žr. 4.3 skyrių)</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TimesNewRoman,Italic" w:hAnsi="Times New Roman"/>
                <w:i/>
                <w:iCs/>
                <w:sz w:val="22"/>
                <w:szCs w:val="22"/>
                <w:lang w:val="en-US"/>
              </w:rPr>
            </w:pPr>
            <w:r w:rsidRPr="000E1775">
              <w:rPr>
                <w:rFonts w:ascii="Times New Roman" w:eastAsia="Calibri" w:hAnsi="Times New Roman"/>
                <w:sz w:val="22"/>
                <w:szCs w:val="22"/>
                <w:lang w:val="en-US"/>
              </w:rPr>
              <w:t xml:space="preserve">Ritonaviras (proteazės inhibitorius) </w:t>
            </w:r>
            <w:r w:rsidRPr="000E1775">
              <w:rPr>
                <w:rFonts w:ascii="Times New Roman" w:eastAsia="TimesNewRoman,Italic" w:hAnsi="Times New Roman"/>
                <w:i/>
                <w:iCs/>
                <w:sz w:val="22"/>
                <w:szCs w:val="22"/>
                <w:lang w:val="en-US"/>
              </w:rPr>
              <w:t>[stipraus poveikio CYP450 sužadinantis vaistinis preparatas, CYP3A4 inhibitorius ir substratas]</w:t>
            </w: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Didelė dozė (400 mg dozė 2 x per parą)</w:t>
            </w: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Maža dozė (100 mg dozė 2 x per parą)*</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Ritonaviro Cmax ir </w:t>
            </w:r>
            <w:r w:rsidRPr="000E1775">
              <w:rPr>
                <w:rFonts w:ascii="Times New Roman" w:hAnsi="Times New Roman"/>
                <w:sz w:val="22"/>
                <w:szCs w:val="22"/>
                <w:lang w:eastAsia="hu-HU"/>
              </w:rPr>
              <w:t>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Vorikonazolo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66 %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Vorikonazolo </w:t>
            </w:r>
            <w:r w:rsidRPr="000E1775">
              <w:rPr>
                <w:rFonts w:ascii="Times New Roman" w:hAnsi="Times New Roman"/>
                <w:sz w:val="22"/>
                <w:szCs w:val="22"/>
                <w:lang w:eastAsia="hu-HU"/>
              </w:rPr>
              <w:t>AUC</w:t>
            </w:r>
            <w:r w:rsidRPr="000E1775">
              <w:rPr>
                <w:rFonts w:ascii="Times New Roman" w:hAnsi="Times New Roman"/>
                <w:sz w:val="22"/>
                <w:szCs w:val="22"/>
                <w:vertAlign w:val="subscript"/>
                <w:lang w:eastAsia="hu-HU"/>
              </w:rPr>
              <w:t>τ</w:t>
            </w:r>
            <w:r w:rsidRPr="000E1775">
              <w:rPr>
                <w:rFonts w:ascii="Times New Roman" w:hAnsi="Times New Roman"/>
                <w:sz w:val="22"/>
                <w:szCs w:val="22"/>
                <w:lang w:eastAsia="hu-HU"/>
              </w:rPr>
              <w:t xml:space="preserve"> ↓</w:t>
            </w:r>
            <w:r w:rsidRPr="000E1775">
              <w:rPr>
                <w:rFonts w:ascii="Times New Roman" w:eastAsia="Calibri" w:hAnsi="Times New Roman"/>
                <w:sz w:val="22"/>
                <w:szCs w:val="22"/>
                <w:lang w:val="en-US"/>
              </w:rPr>
              <w:t xml:space="preserve"> 82 %</w:t>
            </w: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Ritonaviro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25 %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Ritonaviro </w:t>
            </w:r>
            <w:r w:rsidRPr="000E1775">
              <w:rPr>
                <w:rFonts w:ascii="Times New Roman" w:hAnsi="Times New Roman"/>
                <w:sz w:val="22"/>
                <w:szCs w:val="22"/>
                <w:lang w:eastAsia="hu-HU"/>
              </w:rPr>
              <w:t>AUC</w:t>
            </w:r>
            <w:r w:rsidRPr="000E1775">
              <w:rPr>
                <w:rFonts w:ascii="Times New Roman" w:hAnsi="Times New Roman"/>
                <w:sz w:val="22"/>
                <w:szCs w:val="22"/>
                <w:vertAlign w:val="subscript"/>
                <w:lang w:eastAsia="hu-HU"/>
              </w:rPr>
              <w:t>τ</w:t>
            </w:r>
            <w:r w:rsidRPr="000E1775">
              <w:rPr>
                <w:rFonts w:ascii="Times New Roman" w:hAnsi="Times New Roman"/>
                <w:sz w:val="22"/>
                <w:szCs w:val="22"/>
                <w:lang w:eastAsia="hu-HU"/>
              </w:rPr>
              <w:t xml:space="preserve"> ↓</w:t>
            </w:r>
            <w:r w:rsidRPr="000E1775">
              <w:rPr>
                <w:rFonts w:ascii="Times New Roman" w:eastAsia="Calibri" w:hAnsi="Times New Roman"/>
                <w:sz w:val="22"/>
                <w:szCs w:val="22"/>
                <w:lang w:val="en-US"/>
              </w:rPr>
              <w:t xml:space="preserve">  13 %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Vorikonazolo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24 %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Vorikonazolo </w:t>
            </w:r>
            <w:r w:rsidRPr="000E1775">
              <w:rPr>
                <w:rFonts w:ascii="Times New Roman" w:hAnsi="Times New Roman"/>
                <w:sz w:val="22"/>
                <w:szCs w:val="22"/>
                <w:lang w:eastAsia="hu-HU"/>
              </w:rPr>
              <w:t>AUC</w:t>
            </w:r>
            <w:r w:rsidRPr="000E1775">
              <w:rPr>
                <w:rFonts w:ascii="Times New Roman" w:hAnsi="Times New Roman"/>
                <w:sz w:val="22"/>
                <w:szCs w:val="22"/>
                <w:vertAlign w:val="subscript"/>
                <w:lang w:eastAsia="hu-HU"/>
              </w:rPr>
              <w:t>τ</w:t>
            </w:r>
            <w:r w:rsidRPr="000E1775">
              <w:rPr>
                <w:rFonts w:ascii="Times New Roman" w:hAnsi="Times New Roman"/>
                <w:sz w:val="22"/>
                <w:szCs w:val="22"/>
                <w:lang w:eastAsia="hu-HU"/>
              </w:rPr>
              <w:t xml:space="preserve"> ↓</w:t>
            </w:r>
            <w:r w:rsidRPr="000E1775">
              <w:rPr>
                <w:rFonts w:ascii="Times New Roman" w:eastAsia="Calibri" w:hAnsi="Times New Roman"/>
                <w:sz w:val="22"/>
                <w:szCs w:val="22"/>
                <w:lang w:val="en-US"/>
              </w:rPr>
              <w:t xml:space="preserve"> 39 %</w:t>
            </w:r>
          </w:p>
        </w:tc>
        <w:tc>
          <w:tcPr>
            <w:tcW w:w="1507" w:type="pct"/>
          </w:tcPr>
          <w:p w:rsidR="00E5066C" w:rsidRPr="000E1775" w:rsidRDefault="00E5066C" w:rsidP="009852BC">
            <w:pPr>
              <w:autoSpaceDE w:val="0"/>
              <w:autoSpaceDN w:val="0"/>
              <w:adjustRightInd w:val="0"/>
              <w:rPr>
                <w:rFonts w:ascii="Times New Roman" w:eastAsia="Calibri" w:hAnsi="Times New Roman"/>
                <w:b/>
                <w:bCs/>
                <w:sz w:val="22"/>
                <w:szCs w:val="22"/>
                <w:lang w:val="en-US"/>
              </w:rPr>
            </w:pPr>
          </w:p>
          <w:p w:rsidR="00E5066C" w:rsidRPr="000E1775" w:rsidRDefault="00E5066C" w:rsidP="009852BC">
            <w:pPr>
              <w:autoSpaceDE w:val="0"/>
              <w:autoSpaceDN w:val="0"/>
              <w:adjustRightInd w:val="0"/>
              <w:rPr>
                <w:rFonts w:ascii="Times New Roman" w:eastAsia="Calibri" w:hAnsi="Times New Roman"/>
                <w:b/>
                <w:bCs/>
                <w:sz w:val="22"/>
                <w:szCs w:val="22"/>
                <w:lang w:val="en-US"/>
              </w:rPr>
            </w:pPr>
          </w:p>
          <w:p w:rsidR="00E5066C" w:rsidRPr="000E1775" w:rsidRDefault="00E5066C" w:rsidP="009852BC">
            <w:pPr>
              <w:autoSpaceDE w:val="0"/>
              <w:autoSpaceDN w:val="0"/>
              <w:adjustRightInd w:val="0"/>
              <w:rPr>
                <w:rFonts w:ascii="Times New Roman" w:eastAsia="Calibri" w:hAnsi="Times New Roman"/>
                <w:b/>
                <w:bCs/>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b/>
                <w:bCs/>
                <w:sz w:val="22"/>
                <w:szCs w:val="22"/>
                <w:lang w:val="en-US"/>
              </w:rPr>
              <w:t xml:space="preserve">Kontraindikacija </w:t>
            </w:r>
            <w:r w:rsidRPr="000E1775">
              <w:rPr>
                <w:rFonts w:ascii="Times New Roman" w:eastAsia="Calibri" w:hAnsi="Times New Roman"/>
                <w:sz w:val="22"/>
                <w:szCs w:val="22"/>
                <w:lang w:val="en-US"/>
              </w:rPr>
              <w:t>vartoti vorikonazolą kartu su didelėmis ritonaviro dozėmis (400 mg ir didesnėmis 2 x per parą) (žr. 4.3 skyrių).</w:t>
            </w: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b/>
                <w:bCs/>
                <w:sz w:val="22"/>
                <w:szCs w:val="22"/>
                <w:lang w:val="en-US"/>
              </w:rPr>
            </w:pPr>
            <w:r w:rsidRPr="000E1775">
              <w:rPr>
                <w:rFonts w:ascii="Times New Roman" w:eastAsia="Calibri" w:hAnsi="Times New Roman"/>
                <w:sz w:val="22"/>
                <w:szCs w:val="22"/>
                <w:lang w:val="en-US"/>
              </w:rPr>
              <w:t>Reikia vengti vorikonazolą vartoti kartu su maža ritonaviro doze (100 mg doze 2 x per parą), išskyrus atvejus,</w:t>
            </w:r>
            <w:r w:rsidRPr="000E1775" w:rsidDel="004E6D46">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kai įvertinus naudos ir rizikos santykį, vorikonazolo vartojimas pacientui yra pateisinamas.</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Jonažolės preparatai</w:t>
            </w:r>
          </w:p>
          <w:p w:rsidR="00E5066C" w:rsidRPr="000E1775" w:rsidRDefault="00E5066C" w:rsidP="009852BC">
            <w:pPr>
              <w:autoSpaceDE w:val="0"/>
              <w:autoSpaceDN w:val="0"/>
              <w:adjustRightInd w:val="0"/>
              <w:rPr>
                <w:rFonts w:ascii="Times New Roman" w:eastAsia="TimesNewRoman,Italic" w:hAnsi="Times New Roman"/>
                <w:i/>
                <w:iCs/>
                <w:sz w:val="22"/>
                <w:szCs w:val="22"/>
                <w:lang w:val="fr-FR"/>
              </w:rPr>
            </w:pPr>
            <w:r w:rsidRPr="000E1775">
              <w:rPr>
                <w:rFonts w:ascii="Times New Roman" w:eastAsia="TimesNewRoman,Italic" w:hAnsi="Times New Roman"/>
                <w:i/>
                <w:iCs/>
                <w:sz w:val="22"/>
                <w:szCs w:val="22"/>
                <w:lang w:val="fr-FR"/>
              </w:rPr>
              <w:t>[CYP450 sužadinantis vaistinis preparatas, P-gp sužadinantis vaistinis preparatas]</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fr-FR"/>
              </w:rPr>
              <w:t xml:space="preserve">300 mg dozė 3 x per parą (pavartota kartu su vienkartine </w:t>
            </w:r>
            <w:r w:rsidRPr="000E1775">
              <w:rPr>
                <w:rFonts w:ascii="Times New Roman" w:eastAsia="Calibri" w:hAnsi="Times New Roman"/>
                <w:sz w:val="22"/>
                <w:szCs w:val="22"/>
                <w:lang w:val="en-US"/>
              </w:rPr>
              <w:t>400 mg vorikonazolo doze)</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Paskelbto nepriklausomo tyrimo duomenimis,</w:t>
            </w:r>
            <w:r w:rsidRPr="000E1775" w:rsidDel="004E6D46">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vorikonazolo AUC</w:t>
            </w:r>
            <w:r w:rsidRPr="000E1775">
              <w:rPr>
                <w:rFonts w:ascii="Times New Roman" w:hAnsi="Times New Roman"/>
                <w:sz w:val="22"/>
                <w:szCs w:val="22"/>
                <w:vertAlign w:val="subscript"/>
                <w:lang w:eastAsia="hu-HU"/>
              </w:rPr>
              <w:t>0−∞</w:t>
            </w:r>
            <w:r w:rsidRPr="000E1775">
              <w:rPr>
                <w:rFonts w:ascii="Times New Roman" w:hAnsi="Times New Roman"/>
                <w:sz w:val="22"/>
                <w:szCs w:val="22"/>
                <w:lang w:eastAsia="hu-HU"/>
              </w:rPr>
              <w:t xml:space="preserve"> </w:t>
            </w:r>
            <w:r w:rsidRPr="000E1775">
              <w:rPr>
                <w:rFonts w:ascii="Times New Roman" w:eastAsia="Calibri" w:hAnsi="Times New Roman"/>
                <w:sz w:val="22"/>
                <w:szCs w:val="22"/>
                <w:lang w:val="en-US"/>
              </w:rPr>
              <w:t xml:space="preserve">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59 %</w:t>
            </w:r>
          </w:p>
        </w:tc>
        <w:tc>
          <w:tcPr>
            <w:tcW w:w="1507" w:type="pct"/>
          </w:tcPr>
          <w:p w:rsidR="00E5066C" w:rsidRPr="000E1775" w:rsidRDefault="00E5066C" w:rsidP="009852BC">
            <w:pPr>
              <w:autoSpaceDE w:val="0"/>
              <w:autoSpaceDN w:val="0"/>
              <w:adjustRightInd w:val="0"/>
              <w:rPr>
                <w:rFonts w:ascii="Times New Roman" w:eastAsia="Calibri" w:hAnsi="Times New Roman"/>
                <w:b/>
                <w:bCs/>
                <w:sz w:val="22"/>
                <w:szCs w:val="22"/>
                <w:lang w:val="en-US"/>
              </w:rPr>
            </w:pPr>
            <w:r w:rsidRPr="000E1775">
              <w:rPr>
                <w:rFonts w:ascii="Times New Roman" w:eastAsia="Calibri" w:hAnsi="Times New Roman"/>
                <w:b/>
                <w:bCs/>
                <w:sz w:val="22"/>
                <w:szCs w:val="22"/>
                <w:lang w:val="en-US"/>
              </w:rPr>
              <w:t>Kontraindikacija</w:t>
            </w:r>
            <w:r w:rsidRPr="000E1775" w:rsidDel="004E6D46">
              <w:rPr>
                <w:rFonts w:ascii="Times New Roman" w:eastAsia="Calibri" w:hAnsi="Times New Roman"/>
                <w:b/>
                <w:bCs/>
                <w:sz w:val="22"/>
                <w:szCs w:val="22"/>
                <w:lang w:val="en-US"/>
              </w:rPr>
              <w:t xml:space="preserve"> </w:t>
            </w:r>
            <w:r w:rsidRPr="000E1775">
              <w:rPr>
                <w:rFonts w:ascii="Times New Roman" w:eastAsia="Calibri" w:hAnsi="Times New Roman"/>
                <w:sz w:val="22"/>
                <w:szCs w:val="22"/>
                <w:lang w:val="en-US"/>
              </w:rPr>
              <w:t>(žr. 4.3 skyrių)</w:t>
            </w:r>
          </w:p>
        </w:tc>
      </w:tr>
      <w:tr w:rsidR="00E5066C" w:rsidRPr="000E1775" w:rsidTr="009852BC">
        <w:trPr>
          <w:trHeight w:val="2203"/>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lastRenderedPageBreak/>
              <w:t>Everolimuzas</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TimesNewRoman,Italic" w:hAnsi="Times New Roman"/>
                <w:i/>
                <w:iCs/>
                <w:sz w:val="22"/>
                <w:szCs w:val="22"/>
                <w:lang w:val="en-US"/>
              </w:rPr>
              <w:t>[CYP3A4 substratas,</w:t>
            </w:r>
            <w:r w:rsidRPr="000E1775" w:rsidDel="004E6D46">
              <w:rPr>
                <w:rFonts w:ascii="Times New Roman" w:eastAsia="TimesNewRoman,Italic" w:hAnsi="Times New Roman"/>
                <w:i/>
                <w:iCs/>
                <w:sz w:val="22"/>
                <w:szCs w:val="22"/>
                <w:lang w:val="en-US"/>
              </w:rPr>
              <w:t xml:space="preserve"> </w:t>
            </w:r>
            <w:r w:rsidRPr="000E1775">
              <w:rPr>
                <w:rFonts w:ascii="Times New Roman" w:eastAsia="TimesNewRoman,Italic" w:hAnsi="Times New Roman"/>
                <w:i/>
                <w:iCs/>
                <w:sz w:val="22"/>
                <w:szCs w:val="22"/>
                <w:lang w:val="en-US"/>
              </w:rPr>
              <w:t>P-gp substratas]</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Nors tyrimų neatlikta, tikėtina, kad vorikonazolas reikšmingai didins everolimuzo koncentracijas plazmoje.</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Vorikonazolą vartoti kartu su everolimuzu nerekomenduojama, nes numatoma, kad vorikonazolas reikšmingai padidins everolimuzo koncentracijas (žr. 4.4 skyrių).</w:t>
            </w:r>
          </w:p>
          <w:p w:rsidR="00E5066C" w:rsidRPr="000E1775" w:rsidRDefault="00E5066C" w:rsidP="009852BC">
            <w:pPr>
              <w:autoSpaceDE w:val="0"/>
              <w:autoSpaceDN w:val="0"/>
              <w:adjustRightInd w:val="0"/>
              <w:rPr>
                <w:rFonts w:ascii="Times New Roman" w:eastAsia="Calibri" w:hAnsi="Times New Roman"/>
                <w:b/>
                <w:bCs/>
                <w:sz w:val="22"/>
                <w:szCs w:val="22"/>
                <w:lang w:val="en-US"/>
              </w:rPr>
            </w:pP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Flukonazolas (200 mg dozė 1 x per parą)</w:t>
            </w:r>
          </w:p>
          <w:p w:rsidR="00E5066C" w:rsidRPr="000E1775" w:rsidRDefault="00E5066C" w:rsidP="009852BC">
            <w:pPr>
              <w:autoSpaceDE w:val="0"/>
              <w:autoSpaceDN w:val="0"/>
              <w:adjustRightInd w:val="0"/>
              <w:rPr>
                <w:rFonts w:ascii="Times New Roman" w:eastAsia="TimesNewRoman,Italic" w:hAnsi="Times New Roman"/>
                <w:i/>
                <w:iCs/>
                <w:sz w:val="22"/>
                <w:szCs w:val="22"/>
                <w:lang w:val="en-US"/>
              </w:rPr>
            </w:pPr>
            <w:r w:rsidRPr="000E1775">
              <w:rPr>
                <w:rFonts w:ascii="Times New Roman" w:eastAsia="TimesNewRoman,Italic" w:hAnsi="Times New Roman"/>
                <w:i/>
                <w:iCs/>
                <w:sz w:val="22"/>
                <w:szCs w:val="22"/>
                <w:lang w:val="en-US"/>
              </w:rPr>
              <w:t>[CYP2C9, CYP2C19 ir CYP3A4 inhibitorius]</w:t>
            </w:r>
          </w:p>
          <w:p w:rsidR="00E5066C" w:rsidRPr="000E1775" w:rsidRDefault="00E5066C" w:rsidP="009852BC">
            <w:pPr>
              <w:autoSpaceDE w:val="0"/>
              <w:autoSpaceDN w:val="0"/>
              <w:adjustRightInd w:val="0"/>
              <w:rPr>
                <w:rFonts w:ascii="Times New Roman" w:eastAsia="Calibri" w:hAnsi="Times New Roman"/>
                <w:sz w:val="22"/>
                <w:szCs w:val="22"/>
                <w:lang w:val="en-US"/>
              </w:rPr>
            </w:pP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Vorikonazolo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57 %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79 %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Flukonazolo Cmax NN</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Flukonazolo AUC </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NN</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Mažesnės vorikonazolo ir (arba) flukonazolo dozės ir vartojimo dažnis, kurie panaikintų tokį poveikį,</w:t>
            </w:r>
            <w:r w:rsidRPr="000E1775" w:rsidDel="000114DC">
              <w:rPr>
                <w:rFonts w:ascii="Times New Roman" w:eastAsia="Calibri" w:hAnsi="Times New Roman"/>
                <w:sz w:val="22"/>
                <w:szCs w:val="22"/>
                <w:lang w:val="en-US"/>
              </w:rPr>
              <w:t xml:space="preserve"> </w:t>
            </w:r>
            <w:proofErr w:type="gramStart"/>
            <w:r w:rsidRPr="000E1775">
              <w:rPr>
                <w:rFonts w:ascii="Times New Roman" w:eastAsia="Calibri" w:hAnsi="Times New Roman"/>
                <w:sz w:val="22"/>
                <w:szCs w:val="22"/>
                <w:lang w:val="en-US"/>
              </w:rPr>
              <w:t>nebuvo</w:t>
            </w:r>
            <w:proofErr w:type="gramEnd"/>
            <w:r w:rsidRPr="000E1775">
              <w:rPr>
                <w:rFonts w:ascii="Times New Roman" w:eastAsia="Calibri" w:hAnsi="Times New Roman"/>
                <w:sz w:val="22"/>
                <w:szCs w:val="22"/>
                <w:lang w:val="en-US"/>
              </w:rPr>
              <w:t xml:space="preserve"> nustatyti.</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Rekomenduojama stebėti, ar neatsiranda su vorikonazolo vartojimu susijusių nepageidaujamų reakcijų,</w:t>
            </w:r>
            <w:r w:rsidRPr="000E1775" w:rsidDel="000114DC">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jeigu vorikonazolas vartojamas nuosekliai po flukonazolo.</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Fenitoinas</w:t>
            </w:r>
          </w:p>
          <w:p w:rsidR="00E5066C" w:rsidRPr="000E1775" w:rsidRDefault="00E5066C" w:rsidP="009852BC">
            <w:pPr>
              <w:autoSpaceDE w:val="0"/>
              <w:autoSpaceDN w:val="0"/>
              <w:adjustRightInd w:val="0"/>
              <w:rPr>
                <w:rFonts w:ascii="Times New Roman" w:eastAsia="TimesNewRoman,Italic" w:hAnsi="Times New Roman"/>
                <w:i/>
                <w:iCs/>
                <w:sz w:val="22"/>
                <w:szCs w:val="22"/>
                <w:lang w:val="en-US"/>
              </w:rPr>
            </w:pPr>
            <w:r w:rsidRPr="000E1775">
              <w:rPr>
                <w:rFonts w:ascii="Times New Roman" w:eastAsia="TimesNewRoman,Italic" w:hAnsi="Times New Roman"/>
                <w:i/>
                <w:iCs/>
                <w:sz w:val="22"/>
                <w:szCs w:val="22"/>
                <w:lang w:val="en-US"/>
              </w:rPr>
              <w:t>[CYP2C9 substratas ir stipraus poveikio CYP450 sužadinantis vaistinis preparatas]</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300 mg dozė 1 x per parą</w:t>
            </w: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en-US"/>
              </w:rPr>
              <w:t xml:space="preserve">300 mg dozė 1 x per parą </w:t>
            </w:r>
            <w:r w:rsidRPr="000E1775">
              <w:rPr>
                <w:rFonts w:ascii="Times New Roman" w:eastAsia="Calibri" w:hAnsi="Times New Roman"/>
                <w:sz w:val="22"/>
                <w:szCs w:val="22"/>
                <w:lang w:val="fr-FR"/>
              </w:rPr>
              <w:t>(vartojama kartu su 400 mg vorikonazolo 2 x per parą)*</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Vorikonazolo </w:t>
            </w:r>
            <w:proofErr w:type="gramStart"/>
            <w:r w:rsidRPr="000E1775">
              <w:rPr>
                <w:rFonts w:ascii="Times New Roman" w:eastAsia="Calibri" w:hAnsi="Times New Roman"/>
                <w:sz w:val="22"/>
                <w:szCs w:val="22"/>
                <w:lang w:val="fr-FR"/>
              </w:rPr>
              <w:t xml:space="preserve">Cmax  </w:t>
            </w:r>
            <w:r w:rsidRPr="000E1775">
              <w:rPr>
                <w:rFonts w:ascii="Times New Roman" w:hAnsi="Times New Roman"/>
                <w:sz w:val="22"/>
                <w:szCs w:val="22"/>
                <w:lang w:val="fr-FR" w:eastAsia="hu-HU"/>
              </w:rPr>
              <w:t>↓</w:t>
            </w:r>
            <w:proofErr w:type="gramEnd"/>
            <w:r w:rsidRPr="000E1775">
              <w:rPr>
                <w:rFonts w:ascii="Times New Roman" w:eastAsia="Calibri" w:hAnsi="Times New Roman"/>
                <w:sz w:val="22"/>
                <w:szCs w:val="22"/>
                <w:lang w:val="fr-FR"/>
              </w:rPr>
              <w:t>49 %</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Vorikonazolo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fr-FR"/>
              </w:rPr>
              <w:t xml:space="preserve">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69 %</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Fenitoino </w:t>
            </w:r>
            <w:proofErr w:type="gramStart"/>
            <w:r w:rsidRPr="000E1775">
              <w:rPr>
                <w:rFonts w:ascii="Times New Roman" w:eastAsia="Calibri" w:hAnsi="Times New Roman"/>
                <w:sz w:val="22"/>
                <w:szCs w:val="22"/>
                <w:lang w:val="fr-FR"/>
              </w:rPr>
              <w:t xml:space="preserve">Cmax  </w:t>
            </w:r>
            <w:r w:rsidRPr="000E1775">
              <w:rPr>
                <w:rFonts w:ascii="Times New Roman" w:hAnsi="Times New Roman"/>
                <w:sz w:val="22"/>
                <w:szCs w:val="22"/>
                <w:lang w:val="fr-FR" w:eastAsia="hu-HU"/>
              </w:rPr>
              <w:t>↑</w:t>
            </w:r>
            <w:proofErr w:type="gramEnd"/>
            <w:r w:rsidRPr="000E1775">
              <w:rPr>
                <w:rFonts w:ascii="Times New Roman" w:eastAsia="Calibri" w:hAnsi="Times New Roman"/>
                <w:sz w:val="22"/>
                <w:szCs w:val="22"/>
                <w:lang w:val="fr-FR"/>
              </w:rPr>
              <w:t>67 %</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Fenitoino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fr-FR"/>
              </w:rPr>
              <w:t xml:space="preserve">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81 %</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Palyginti su 200 mg vorikonazolo 2 x per parą,</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vorikonazolo Cmax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34 %</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vorikonazolo AUC</w:t>
            </w:r>
            <w:r w:rsidRPr="000E1775">
              <w:rPr>
                <w:rFonts w:ascii="Times New Roman" w:hAnsi="Times New Roman"/>
                <w:sz w:val="22"/>
                <w:szCs w:val="22"/>
                <w:vertAlign w:val="subscript"/>
                <w:lang w:eastAsia="hu-HU"/>
              </w:rPr>
              <w:t>τ</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39 %</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Reikia vengti vorikonazolą vartoti kartu su fenitoinu,</w:t>
            </w:r>
            <w:r w:rsidRPr="000E1775" w:rsidDel="00CB662A">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išskyrus atvejus, kai nauda persveria riziką.</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Rekomenduojama atidžiai stebėti fenitoino koncentracijas plazmoje.</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Fenitoiną galima vartoti kartu su vorikonazolu, jeigu vorikonazolo palaikomoji dozė padidinama iki 5 mg/kg į veną 2 x per parą arba nuo 200 mg iki 400 mg dozės per burną 2 x per parą (nuo 100 mg iki200 mg dozės per burną 2 x per parą pacientams, kurių kūno masė yra mažesnė kaip 40 kg) (žr. 4.2 skyrių).</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Antikoaguliantai</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Varfarinas (30 mg vienkartinė dozė, vartojama kartu su 300 mg vorikonazolo 2 x per parą)</w:t>
            </w:r>
          </w:p>
          <w:p w:rsidR="00E5066C" w:rsidRPr="000E1775" w:rsidRDefault="00E5066C" w:rsidP="009852BC">
            <w:pPr>
              <w:autoSpaceDE w:val="0"/>
              <w:autoSpaceDN w:val="0"/>
              <w:adjustRightInd w:val="0"/>
              <w:rPr>
                <w:rFonts w:ascii="Times New Roman" w:eastAsia="TimesNewRoman,Italic" w:hAnsi="Times New Roman"/>
                <w:i/>
                <w:iCs/>
                <w:sz w:val="22"/>
                <w:szCs w:val="22"/>
                <w:lang w:val="en-US"/>
              </w:rPr>
            </w:pPr>
          </w:p>
          <w:p w:rsidR="00E5066C" w:rsidRPr="000E1775" w:rsidRDefault="00E5066C" w:rsidP="009852BC">
            <w:pPr>
              <w:autoSpaceDE w:val="0"/>
              <w:autoSpaceDN w:val="0"/>
              <w:adjustRightInd w:val="0"/>
              <w:rPr>
                <w:rFonts w:ascii="Times New Roman" w:eastAsia="TimesNewRoman,Italic" w:hAnsi="Times New Roman"/>
                <w:i/>
                <w:iCs/>
                <w:sz w:val="22"/>
                <w:szCs w:val="22"/>
                <w:lang w:val="en-US"/>
              </w:rPr>
            </w:pPr>
            <w:r w:rsidRPr="000E1775">
              <w:rPr>
                <w:rFonts w:ascii="Times New Roman" w:eastAsia="TimesNewRoman,Italic" w:hAnsi="Times New Roman"/>
                <w:i/>
                <w:iCs/>
                <w:sz w:val="22"/>
                <w:szCs w:val="22"/>
                <w:lang w:val="en-US"/>
              </w:rPr>
              <w:t>[CYP2C9 substratas]</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Kiti geriamieji kumarinai</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(pvz., fenprokumonas,</w:t>
            </w:r>
            <w:r w:rsidRPr="000E1775" w:rsidDel="00CB662A">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acenokumarolis)</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TimesNewRoman,Italic" w:hAnsi="Times New Roman"/>
                <w:i/>
                <w:iCs/>
                <w:sz w:val="22"/>
                <w:szCs w:val="22"/>
                <w:lang w:val="en-US"/>
              </w:rPr>
              <w:t>[CYP2C9 ir CYP3A4 substratai]</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Protrombino laikas daugiausiai pailgėjo maždaug 2 kartus.</w:t>
            </w: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Nors tyrimų neatlikta,</w:t>
            </w:r>
            <w:r w:rsidRPr="000E1775" w:rsidDel="00CB662A">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vorikonazolas gali didinti kumarinų koncentracijas plazmoje ir dėl to pailgėti protrombino laikas.</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Rekomenduojama atidžiai stebėti protrombino laiką arba kitus tinkamus antikoaguliacinius tyrimus ir atitinkamai keisti antikoaguliantų dozes.</w:t>
            </w:r>
          </w:p>
          <w:p w:rsidR="00E5066C" w:rsidRPr="000E1775" w:rsidRDefault="00E5066C" w:rsidP="009852BC">
            <w:pPr>
              <w:autoSpaceDE w:val="0"/>
              <w:autoSpaceDN w:val="0"/>
              <w:adjustRightInd w:val="0"/>
              <w:rPr>
                <w:rFonts w:ascii="Times New Roman" w:eastAsia="Calibri" w:hAnsi="Times New Roman"/>
                <w:sz w:val="22"/>
                <w:szCs w:val="22"/>
                <w:lang w:val="en-US"/>
              </w:rPr>
            </w:pP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Rekomenduojama atidžiai stebėti protrombino laiką arba kitus tinkamus antikoaguliacinius tyrimus ir atitinkamai keisti antikoaguliantų dozes.</w:t>
            </w: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Benzodiazepinai (pvz., midazolamas, triazolamas,</w:t>
            </w:r>
            <w:r w:rsidRPr="000E1775" w:rsidDel="00BF6C3D">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alprazolamas)</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TimesNewRoman,Italic" w:hAnsi="Times New Roman"/>
                <w:i/>
                <w:iCs/>
                <w:sz w:val="22"/>
                <w:szCs w:val="22"/>
                <w:lang w:val="en-US"/>
              </w:rPr>
              <w:t>[CYP3A4 substratai]</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Nors klinikinių tyrimų neatlikta,</w:t>
            </w:r>
            <w:r w:rsidRPr="000E1775" w:rsidDel="00BF6C3D">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 xml:space="preserve">tikėtina, kad vorikonazolas didina benzodiazepinų, kurių metabolizmą </w:t>
            </w:r>
            <w:r w:rsidRPr="000E1775">
              <w:rPr>
                <w:rFonts w:ascii="Times New Roman" w:eastAsia="Calibri" w:hAnsi="Times New Roman"/>
                <w:sz w:val="22"/>
                <w:szCs w:val="22"/>
                <w:lang w:val="en-US"/>
              </w:rPr>
              <w:lastRenderedPageBreak/>
              <w:t>veikia CYP3A4, koncentracijas plazmoje ir pailgina sedacinį poveikį.</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lastRenderedPageBreak/>
              <w:t>Reikia apsvarstyti benzodiazepinų dozės mažinimo galimybę.</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Imunosupresantai</w:t>
            </w:r>
          </w:p>
          <w:p w:rsidR="00E5066C" w:rsidRPr="000E1775" w:rsidRDefault="00E5066C" w:rsidP="009852BC">
            <w:pPr>
              <w:autoSpaceDE w:val="0"/>
              <w:autoSpaceDN w:val="0"/>
              <w:adjustRightInd w:val="0"/>
              <w:rPr>
                <w:rFonts w:ascii="Times New Roman" w:eastAsia="TimesNewRoman,Italic" w:hAnsi="Times New Roman"/>
                <w:i/>
                <w:iCs/>
                <w:sz w:val="22"/>
                <w:szCs w:val="22"/>
                <w:lang w:val="fr-FR"/>
              </w:rPr>
            </w:pPr>
            <w:r w:rsidRPr="000E1775">
              <w:rPr>
                <w:rFonts w:ascii="Times New Roman" w:eastAsia="TimesNewRoman,Italic" w:hAnsi="Times New Roman"/>
                <w:i/>
                <w:iCs/>
                <w:sz w:val="22"/>
                <w:szCs w:val="22"/>
                <w:lang w:val="fr-FR"/>
              </w:rPr>
              <w:t>[CYP3A4 substratai]</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Sirolimuzas (vienkartinė 2 mg dozė)</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Ciklosporinas (pacientų, kurių būklė po inksto persodinimo yra stabili, ir kuriems taikomas ilgalaikis gydymas ciklosporinu)</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Takrolimuzas (vienkartinė 0,1 mg/kg dozė)</w:t>
            </w:r>
          </w:p>
          <w:p w:rsidR="00E5066C" w:rsidRPr="000E1775" w:rsidRDefault="00E5066C" w:rsidP="009852BC">
            <w:pPr>
              <w:autoSpaceDE w:val="0"/>
              <w:autoSpaceDN w:val="0"/>
              <w:adjustRightInd w:val="0"/>
              <w:rPr>
                <w:rFonts w:ascii="Times New Roman" w:eastAsia="Calibri" w:hAnsi="Times New Roman"/>
                <w:sz w:val="22"/>
                <w:szCs w:val="22"/>
                <w:lang w:val="fr-FR"/>
              </w:rPr>
            </w:pP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Paskelbto nepriklausomo tyrimo duomenimis,</w:t>
            </w:r>
            <w:r w:rsidRPr="000E1775" w:rsidDel="00BF6C3D">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 xml:space="preserve">sirolimuzo Cmax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6,6 karto </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sirolimuzo AUC</w:t>
            </w:r>
            <w:r w:rsidRPr="000E1775">
              <w:rPr>
                <w:rFonts w:ascii="Times New Roman" w:hAnsi="Times New Roman"/>
                <w:sz w:val="22"/>
                <w:szCs w:val="22"/>
                <w:vertAlign w:val="subscript"/>
                <w:lang w:val="fr-FR" w:eastAsia="hu-HU"/>
              </w:rPr>
              <w:t>0−</w:t>
            </w:r>
            <w:proofErr w:type="gramStart"/>
            <w:r w:rsidRPr="000E1775">
              <w:rPr>
                <w:rFonts w:ascii="Times New Roman" w:hAnsi="Times New Roman"/>
                <w:sz w:val="22"/>
                <w:szCs w:val="22"/>
                <w:vertAlign w:val="subscript"/>
                <w:lang w:val="fr-FR" w:eastAsia="hu-HU"/>
              </w:rPr>
              <w:t>∞</w:t>
            </w:r>
            <w:r w:rsidRPr="000E1775">
              <w:rPr>
                <w:rFonts w:ascii="Times New Roman" w:hAnsi="Times New Roman"/>
                <w:sz w:val="22"/>
                <w:szCs w:val="22"/>
                <w:lang w:val="fr-FR" w:eastAsia="hu-HU"/>
              </w:rPr>
              <w:t xml:space="preserve"> </w:t>
            </w:r>
            <w:r w:rsidRPr="000E1775">
              <w:rPr>
                <w:rFonts w:ascii="Times New Roman" w:eastAsia="Calibri" w:hAnsi="Times New Roman"/>
                <w:sz w:val="22"/>
                <w:szCs w:val="22"/>
                <w:lang w:val="fr-FR"/>
              </w:rPr>
              <w:t xml:space="preserve"> </w:t>
            </w:r>
            <w:r w:rsidRPr="000E1775">
              <w:rPr>
                <w:rFonts w:ascii="Times New Roman" w:hAnsi="Times New Roman"/>
                <w:sz w:val="22"/>
                <w:szCs w:val="22"/>
                <w:lang w:val="fr-FR" w:eastAsia="hu-HU"/>
              </w:rPr>
              <w:t>↑</w:t>
            </w:r>
            <w:proofErr w:type="gramEnd"/>
            <w:r w:rsidRPr="000E1775">
              <w:rPr>
                <w:rFonts w:ascii="Times New Roman" w:eastAsia="Calibri" w:hAnsi="Times New Roman"/>
                <w:sz w:val="22"/>
                <w:szCs w:val="22"/>
                <w:lang w:val="fr-FR"/>
              </w:rPr>
              <w:t xml:space="preserve"> 11 kartų</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Ciklosporino </w:t>
            </w:r>
            <w:proofErr w:type="gramStart"/>
            <w:r w:rsidRPr="000E1775">
              <w:rPr>
                <w:rFonts w:ascii="Times New Roman" w:eastAsia="Calibri" w:hAnsi="Times New Roman"/>
                <w:sz w:val="22"/>
                <w:szCs w:val="22"/>
                <w:lang w:val="fr-FR"/>
              </w:rPr>
              <w:t xml:space="preserve">Cmax  </w:t>
            </w:r>
            <w:r w:rsidRPr="000E1775">
              <w:rPr>
                <w:rFonts w:ascii="Times New Roman" w:hAnsi="Times New Roman"/>
                <w:sz w:val="22"/>
                <w:szCs w:val="22"/>
                <w:lang w:val="fr-FR" w:eastAsia="hu-HU"/>
              </w:rPr>
              <w:t>↑</w:t>
            </w:r>
            <w:proofErr w:type="gramEnd"/>
            <w:r w:rsidRPr="000E1775">
              <w:rPr>
                <w:rFonts w:ascii="Times New Roman" w:eastAsia="Calibri" w:hAnsi="Times New Roman"/>
                <w:sz w:val="22"/>
                <w:szCs w:val="22"/>
                <w:lang w:val="fr-FR"/>
              </w:rPr>
              <w:t>13 %</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Ciklosporino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fr-FR"/>
              </w:rPr>
              <w:t xml:space="preserve">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70 %</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Takrolimuzo Cmax </w:t>
            </w:r>
            <w:r w:rsidRPr="000E1775">
              <w:rPr>
                <w:rFonts w:ascii="Times New Roman" w:hAnsi="Times New Roman"/>
                <w:sz w:val="22"/>
                <w:szCs w:val="22"/>
                <w:lang w:val="fr-FR" w:eastAsia="hu-HU"/>
              </w:rPr>
              <w:t>↑</w:t>
            </w:r>
            <w:r w:rsidRPr="000E1775">
              <w:rPr>
                <w:rFonts w:ascii="Times New Roman" w:eastAsia="Calibri" w:hAnsi="Times New Roman"/>
                <w:sz w:val="22"/>
                <w:szCs w:val="22"/>
                <w:lang w:val="fr-FR"/>
              </w:rPr>
              <w:t xml:space="preserve"> 117 %</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Takrolimuzo </w:t>
            </w:r>
            <w:proofErr w:type="gramStart"/>
            <w:r w:rsidRPr="000E1775">
              <w:rPr>
                <w:rFonts w:ascii="Times New Roman" w:eastAsia="Calibri" w:hAnsi="Times New Roman"/>
                <w:sz w:val="22"/>
                <w:szCs w:val="22"/>
                <w:lang w:val="fr-FR"/>
              </w:rPr>
              <w:t>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fr-FR"/>
              </w:rPr>
              <w:t xml:space="preserve">  </w:t>
            </w:r>
            <w:r w:rsidRPr="000E1775">
              <w:rPr>
                <w:rFonts w:ascii="Times New Roman" w:hAnsi="Times New Roman"/>
                <w:sz w:val="22"/>
                <w:szCs w:val="22"/>
                <w:lang w:val="fr-FR" w:eastAsia="hu-HU"/>
              </w:rPr>
              <w:t>↑</w:t>
            </w:r>
            <w:proofErr w:type="gramEnd"/>
            <w:r w:rsidRPr="000E1775">
              <w:rPr>
                <w:rFonts w:ascii="Times New Roman" w:eastAsia="Calibri" w:hAnsi="Times New Roman"/>
                <w:sz w:val="22"/>
                <w:szCs w:val="22"/>
                <w:lang w:val="fr-FR"/>
              </w:rPr>
              <w:t>221 %</w:t>
            </w:r>
          </w:p>
        </w:tc>
        <w:tc>
          <w:tcPr>
            <w:tcW w:w="1507" w:type="pct"/>
          </w:tcPr>
          <w:p w:rsidR="00E5066C" w:rsidRPr="000E1775" w:rsidRDefault="00E5066C" w:rsidP="009852BC">
            <w:pPr>
              <w:autoSpaceDE w:val="0"/>
              <w:autoSpaceDN w:val="0"/>
              <w:adjustRightInd w:val="0"/>
              <w:rPr>
                <w:rFonts w:ascii="Times New Roman" w:eastAsia="Calibri" w:hAnsi="Times New Roman"/>
                <w:b/>
                <w:bCs/>
                <w:sz w:val="22"/>
                <w:szCs w:val="22"/>
                <w:lang w:val="fr-FR"/>
              </w:rPr>
            </w:pPr>
          </w:p>
          <w:p w:rsidR="00E5066C" w:rsidRPr="000E1775" w:rsidRDefault="00E5066C" w:rsidP="009852BC">
            <w:pPr>
              <w:autoSpaceDE w:val="0"/>
              <w:autoSpaceDN w:val="0"/>
              <w:adjustRightInd w:val="0"/>
              <w:rPr>
                <w:rFonts w:ascii="Times New Roman" w:eastAsia="Calibri" w:hAnsi="Times New Roman"/>
                <w:b/>
                <w:bCs/>
                <w:sz w:val="22"/>
                <w:szCs w:val="22"/>
                <w:lang w:val="fr-FR"/>
              </w:rPr>
            </w:pPr>
          </w:p>
          <w:p w:rsidR="00E5066C" w:rsidRPr="000E1775" w:rsidRDefault="00E5066C" w:rsidP="009852BC">
            <w:pPr>
              <w:autoSpaceDE w:val="0"/>
              <w:autoSpaceDN w:val="0"/>
              <w:adjustRightInd w:val="0"/>
              <w:rPr>
                <w:rFonts w:ascii="Times New Roman" w:eastAsia="Calibri" w:hAnsi="Times New Roman"/>
                <w:b/>
                <w:bCs/>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b/>
                <w:bCs/>
                <w:sz w:val="22"/>
                <w:szCs w:val="22"/>
                <w:lang w:val="fr-FR"/>
              </w:rPr>
              <w:t xml:space="preserve">Kontraindikacija </w:t>
            </w:r>
            <w:r w:rsidRPr="000E1775">
              <w:rPr>
                <w:rFonts w:ascii="Times New Roman" w:eastAsia="Calibri" w:hAnsi="Times New Roman"/>
                <w:sz w:val="22"/>
                <w:szCs w:val="22"/>
                <w:lang w:val="fr-FR"/>
              </w:rPr>
              <w:t>vartoti vorikonazolą kartu su sirolimuzu (žr. 4.3 skyrių).</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Pradedant gydymą vorikonazolu pacientams,</w:t>
            </w:r>
            <w:r w:rsidRPr="000E1775" w:rsidDel="00BF6C3D">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kurie jau vartoja ciklosporiną,</w:t>
            </w:r>
            <w:r w:rsidRPr="000E1775" w:rsidDel="00BF6C3D">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rekomenduojama ciklosporino dozę perpus sumažinti ir atidžiai stebėti ciklosporino koncentraciją. Ciklosporino koncentracijų padidėjimas buvo susijęs su nefrotoksiniu poveikiu. Nutraukus vorikonazolo vartojimą, reikia atidžiai stebėti ciklosporino koncentracijas ir, jeigu reikia,</w:t>
            </w:r>
            <w:r w:rsidRPr="000E1775" w:rsidDel="00BF6C3D">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padidinti dozę.</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Pradedant gydymą vorikonazolu pacientams,</w:t>
            </w:r>
            <w:r w:rsidRPr="000E1775" w:rsidDel="00BF6C3D">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kurie jau vartoja takrolimuzą,</w:t>
            </w:r>
            <w:r w:rsidRPr="000E1775" w:rsidDel="00BF6C3D">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rekomenduojama takrolimuzo dozę sumažinti trečdaliu pradinės dozės ir atidžiai stebėti takrolimuzo koncentraciją. Takrolimuzo koncentracijų padidėjimas buvo susijęs su nefrotoksiniu poveikiu. Nutraukus vorikonazolo vartojimą, reikia atidžiai stebėti takrolimuzo koncentracijas ir, jeigu reikia, padidinti doze.</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Ilgai veikiantys opioidai </w:t>
            </w:r>
            <w:r w:rsidRPr="000E1775">
              <w:rPr>
                <w:rFonts w:ascii="Times New Roman" w:eastAsia="TimesNewRoman,Italic" w:hAnsi="Times New Roman"/>
                <w:i/>
                <w:iCs/>
                <w:sz w:val="22"/>
                <w:szCs w:val="22"/>
                <w:lang w:val="fr-FR"/>
              </w:rPr>
              <w:t xml:space="preserve">[CYP3A4 substratai]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Oksikodonas (vienkartinė 10 mg dozė)</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Paskelbto nepriklausomo tyrimo duomenimis,</w:t>
            </w:r>
            <w:r w:rsidRPr="000E1775" w:rsidDel="008B3974">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 xml:space="preserve">oksikodono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1,7 karto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oksikodono AUC</w:t>
            </w:r>
            <w:r w:rsidRPr="000E1775">
              <w:rPr>
                <w:rFonts w:ascii="Times New Roman" w:hAnsi="Times New Roman"/>
                <w:sz w:val="22"/>
                <w:szCs w:val="22"/>
                <w:vertAlign w:val="subscript"/>
                <w:lang w:eastAsia="hu-HU"/>
              </w:rPr>
              <w:t>0−∞</w:t>
            </w:r>
            <w:r w:rsidRPr="000E1775">
              <w:rPr>
                <w:rFonts w:ascii="Times New Roman" w:hAnsi="Times New Roman"/>
                <w:sz w:val="22"/>
                <w:szCs w:val="22"/>
                <w:lang w:eastAsia="hu-HU"/>
              </w:rPr>
              <w:t xml:space="preserve"> </w:t>
            </w:r>
            <w:r w:rsidRPr="000E1775">
              <w:rPr>
                <w:rFonts w:ascii="Times New Roman" w:eastAsia="Calibri" w:hAnsi="Times New Roman"/>
                <w:sz w:val="22"/>
                <w:szCs w:val="22"/>
                <w:lang w:val="en-US"/>
              </w:rPr>
              <w:t xml:space="preserve">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3,6 karto</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Reikia apsvarstyti oksikodono ir kitų ilgai veikiančių opioidų,</w:t>
            </w:r>
            <w:r w:rsidRPr="000E1775" w:rsidDel="00BF6C3D">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kurių metabolizmą veikia CYP3A4 (</w:t>
            </w:r>
            <w:proofErr w:type="gramStart"/>
            <w:r w:rsidRPr="000E1775">
              <w:rPr>
                <w:rFonts w:ascii="Times New Roman" w:eastAsia="Calibri" w:hAnsi="Times New Roman"/>
                <w:sz w:val="22"/>
                <w:szCs w:val="22"/>
                <w:lang w:val="en-US"/>
              </w:rPr>
              <w:t>pvz.,</w:t>
            </w:r>
            <w:proofErr w:type="gramEnd"/>
            <w:r w:rsidRPr="000E1775">
              <w:rPr>
                <w:rFonts w:ascii="Times New Roman" w:eastAsia="Calibri" w:hAnsi="Times New Roman"/>
                <w:sz w:val="22"/>
                <w:szCs w:val="22"/>
                <w:lang w:val="en-US"/>
              </w:rPr>
              <w:t xml:space="preserve"> hidrokodono),</w:t>
            </w:r>
            <w:r w:rsidRPr="000E1775" w:rsidDel="00BF6C3D">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dozės mažinimo galimybę.</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Gali prireikti dažnai stebėti, ar nepasireiškia su opioidais susijusios nepageidaujamos reakcijos.</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Metadonas (32-100 mg 1 x per parą)</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TimesNewRoman,Italic" w:hAnsi="Times New Roman"/>
                <w:i/>
                <w:iCs/>
                <w:sz w:val="22"/>
                <w:szCs w:val="22"/>
                <w:lang w:val="en-US"/>
              </w:rPr>
              <w:t>[CYP3A4 substratas]</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R-metadono (aktyvus)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31 %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R-metadono (aktyvus) AUC </w:t>
            </w:r>
            <w:r w:rsidRPr="000E1775">
              <w:rPr>
                <w:rFonts w:ascii="Times New Roman" w:hAnsi="Times New Roman"/>
                <w:sz w:val="22"/>
                <w:szCs w:val="22"/>
                <w:vertAlign w:val="subscript"/>
                <w:lang w:eastAsia="hu-HU"/>
              </w:rPr>
              <w:t>τ</w:t>
            </w:r>
            <w:r w:rsidRPr="000E1775">
              <w:rPr>
                <w:rFonts w:ascii="Times New Roman" w:hAnsi="Times New Roman"/>
                <w:sz w:val="22"/>
                <w:szCs w:val="22"/>
                <w:lang w:eastAsia="hu-HU"/>
              </w:rPr>
              <w:t>↑</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47 %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S-metadono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65 %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S-metadono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103 %</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Rekomenduojama dažnai stebėti, ar nepasireiškia su metadono vartojimu susijusios nepageidaujamos reakcijos,</w:t>
            </w:r>
            <w:r w:rsidRPr="000E1775" w:rsidDel="008B3974">
              <w:rPr>
                <w:rFonts w:ascii="Times New Roman" w:eastAsia="Calibri" w:hAnsi="Times New Roman"/>
                <w:sz w:val="22"/>
                <w:szCs w:val="22"/>
                <w:lang w:val="en-US"/>
              </w:rPr>
              <w:t xml:space="preserve"> </w:t>
            </w:r>
            <w:r w:rsidRPr="000E1775">
              <w:rPr>
                <w:rFonts w:ascii="Times New Roman" w:eastAsia="Calibri" w:hAnsi="Times New Roman"/>
                <w:sz w:val="22"/>
                <w:szCs w:val="22"/>
                <w:lang w:val="fr-FR"/>
              </w:rPr>
              <w:t xml:space="preserve">įskaitant QTc intervalo pailgėjimą. Gali prireikti </w:t>
            </w:r>
            <w:r w:rsidRPr="000E1775">
              <w:rPr>
                <w:rFonts w:ascii="Times New Roman" w:eastAsia="Calibri" w:hAnsi="Times New Roman"/>
                <w:sz w:val="22"/>
                <w:szCs w:val="22"/>
                <w:lang w:val="en-US"/>
              </w:rPr>
              <w:t>sumažinti metadono dozę.</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lastRenderedPageBreak/>
              <w:t xml:space="preserve">Nesteroidiniai vaistai nuo uždegimo (NVNU) </w:t>
            </w:r>
            <w:r w:rsidRPr="000E1775">
              <w:rPr>
                <w:rFonts w:ascii="Times New Roman" w:eastAsia="TimesNewRoman,Italic" w:hAnsi="Times New Roman"/>
                <w:i/>
                <w:iCs/>
                <w:sz w:val="22"/>
                <w:szCs w:val="22"/>
                <w:lang w:val="fr-FR"/>
              </w:rPr>
              <w:t xml:space="preserve">[CYP2C9 substratai] </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Ibuprofenas (vienkartinė 400 mg dozė)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Diklofenakas (vienkartinė 50 mg doze)</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S-ibuprofeno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20 %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S-ibuprofeno AUC</w:t>
            </w:r>
            <w:r w:rsidRPr="000E1775">
              <w:rPr>
                <w:rFonts w:ascii="Times New Roman" w:hAnsi="Times New Roman"/>
                <w:sz w:val="22"/>
                <w:szCs w:val="22"/>
                <w:vertAlign w:val="subscript"/>
                <w:lang w:eastAsia="hu-HU"/>
              </w:rPr>
              <w:t>0−∞</w:t>
            </w:r>
            <w:r w:rsidRPr="000E1775">
              <w:rPr>
                <w:rFonts w:ascii="Times New Roman" w:hAnsi="Times New Roman"/>
                <w:sz w:val="22"/>
                <w:szCs w:val="22"/>
                <w:lang w:eastAsia="hu-HU"/>
              </w:rPr>
              <w:t xml:space="preserve"> </w:t>
            </w:r>
            <w:r w:rsidRPr="000E1775">
              <w:rPr>
                <w:rFonts w:ascii="Times New Roman" w:eastAsia="Calibri" w:hAnsi="Times New Roman"/>
                <w:sz w:val="22"/>
                <w:szCs w:val="22"/>
                <w:lang w:val="en-US"/>
              </w:rPr>
              <w:t xml:space="preserve">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100 %</w:t>
            </w: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Diklofenako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114 %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Diklofenako AUC</w:t>
            </w:r>
            <w:r w:rsidRPr="000E1775">
              <w:rPr>
                <w:rFonts w:ascii="Times New Roman" w:hAnsi="Times New Roman"/>
                <w:sz w:val="22"/>
                <w:szCs w:val="22"/>
                <w:vertAlign w:val="subscript"/>
                <w:lang w:eastAsia="hu-HU"/>
              </w:rPr>
              <w:t>0−∞</w:t>
            </w:r>
            <w:r w:rsidRPr="000E1775">
              <w:rPr>
                <w:rFonts w:ascii="Times New Roman" w:hAnsi="Times New Roman"/>
                <w:sz w:val="22"/>
                <w:szCs w:val="22"/>
                <w:lang w:eastAsia="hu-HU"/>
              </w:rPr>
              <w:t xml:space="preserve"> </w:t>
            </w:r>
            <w:r w:rsidRPr="000E1775">
              <w:rPr>
                <w:rFonts w:ascii="Times New Roman" w:eastAsia="Calibri" w:hAnsi="Times New Roman"/>
                <w:sz w:val="22"/>
                <w:szCs w:val="22"/>
                <w:lang w:val="en-US"/>
              </w:rPr>
              <w:t xml:space="preserve">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78 %</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Rekomenduojama dažnai stebėti, ar nepasireiškia su NVNU vartojimu susijusios nepageidaujamos reakcijos ir toksinis poveikis. Gali prireiktisumažinti NVNU doze.</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Omeprazolas (40 mg 1 x per parą)*</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TimesNewRoman,Italic" w:hAnsi="Times New Roman"/>
                <w:i/>
                <w:iCs/>
                <w:sz w:val="22"/>
                <w:szCs w:val="22"/>
                <w:lang w:val="en-US"/>
              </w:rPr>
              <w:t>[CYP2C19 inhibitorius;</w:t>
            </w:r>
            <w:r w:rsidRPr="000E1775" w:rsidDel="008B3974">
              <w:rPr>
                <w:rFonts w:ascii="Times New Roman" w:eastAsia="TimesNewRoman,Italic" w:hAnsi="Times New Roman"/>
                <w:i/>
                <w:iCs/>
                <w:sz w:val="22"/>
                <w:szCs w:val="22"/>
                <w:lang w:val="en-US"/>
              </w:rPr>
              <w:t xml:space="preserve"> </w:t>
            </w:r>
            <w:r w:rsidRPr="000E1775">
              <w:rPr>
                <w:rFonts w:ascii="Times New Roman" w:eastAsia="TimesNewRoman,Italic" w:hAnsi="Times New Roman"/>
                <w:i/>
                <w:iCs/>
                <w:sz w:val="22"/>
                <w:szCs w:val="22"/>
                <w:lang w:val="en-US"/>
              </w:rPr>
              <w:t>CYP2C19 ir CYP3A4 substratas]</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Omeprazolo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116 %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Omeprazolo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280 %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Vorikonazolo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15 %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41 %</w:t>
            </w:r>
          </w:p>
          <w:p w:rsidR="00E5066C" w:rsidRPr="000E1775" w:rsidRDefault="00E5066C" w:rsidP="009852BC">
            <w:pPr>
              <w:autoSpaceDE w:val="0"/>
              <w:autoSpaceDN w:val="0"/>
              <w:adjustRightInd w:val="0"/>
              <w:rPr>
                <w:rFonts w:ascii="Times New Roman" w:eastAsia="Calibri" w:hAnsi="Times New Roman"/>
                <w:sz w:val="22"/>
                <w:szCs w:val="22"/>
                <w:lang w:val="en-US"/>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en-US"/>
              </w:rPr>
              <w:t>Vorikonazolas gali slopinti kitų protonų siurblio inhibitorių, kurie yra CYP2C19 substratai,</w:t>
            </w:r>
            <w:r w:rsidRPr="000E1775" w:rsidDel="008B3974">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 xml:space="preserve">metabolizmą ir dėl to gali padidėti </w:t>
            </w:r>
            <w:r w:rsidRPr="000E1775">
              <w:rPr>
                <w:rFonts w:ascii="Times New Roman" w:eastAsia="Calibri" w:hAnsi="Times New Roman"/>
                <w:sz w:val="22"/>
                <w:szCs w:val="22"/>
                <w:lang w:val="fr-FR"/>
              </w:rPr>
              <w:t>šių vaistinių preparatų koncentracijos plazmoje.</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Rekomenduojama nekeisti vorikonazolo dozės.</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Pradedant gydymą vorikonazolu pacientams,</w:t>
            </w:r>
            <w:r w:rsidRPr="000E1775" w:rsidDel="008B3974">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kurie jau vartoja 40 mg arba didesnes omeprazolo dozes,</w:t>
            </w:r>
            <w:r w:rsidRPr="000E1775" w:rsidDel="008B3974">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rekomenduojama omeprazolo dozę sumažinti perpus.</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Geriamieji kontraceptikai* </w:t>
            </w:r>
            <w:r w:rsidRPr="000E1775">
              <w:rPr>
                <w:rFonts w:ascii="Times New Roman" w:eastAsia="TimesNewRoman,Italic" w:hAnsi="Times New Roman"/>
                <w:i/>
                <w:iCs/>
                <w:sz w:val="22"/>
                <w:szCs w:val="22"/>
                <w:lang w:val="en-US"/>
              </w:rPr>
              <w:t xml:space="preserve">[CYP3A4 substratas; CYP2C19 inhibitorius] </w:t>
            </w:r>
            <w:r w:rsidRPr="000E1775">
              <w:rPr>
                <w:rFonts w:ascii="Times New Roman" w:eastAsia="Calibri" w:hAnsi="Times New Roman"/>
                <w:sz w:val="22"/>
                <w:szCs w:val="22"/>
                <w:lang w:val="en-US"/>
              </w:rPr>
              <w:t>Noretisteronas/etinilestradiolis (1 mg/0,035 mg 1 x per parą)</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Etinilestradiolio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36 %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Etinilestradiolio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61 %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Noretisterono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15 %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Noretisterono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53 %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Vorikonazolo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14 %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46 %</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Rekomenduojama stebėti, ar nepasireiškia su geriamųjų kontraceptikų vartojimu susijusios nepageidaujamos reakcijos kartu su tomis,</w:t>
            </w:r>
            <w:r w:rsidRPr="000E1775" w:rsidDel="008B3974">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kurios būdingos vorikonazolui.</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Trumpai veikiantys opioidai </w:t>
            </w:r>
            <w:r w:rsidRPr="000E1775">
              <w:rPr>
                <w:rFonts w:ascii="Times New Roman" w:eastAsia="TimesNewRoman,Italic" w:hAnsi="Times New Roman"/>
                <w:i/>
                <w:iCs/>
                <w:sz w:val="22"/>
                <w:szCs w:val="22"/>
                <w:lang w:val="fr-FR"/>
              </w:rPr>
              <w:t>[CYP3A4 substratai</w:t>
            </w:r>
            <w:proofErr w:type="gramStart"/>
            <w:r w:rsidRPr="000E1775">
              <w:rPr>
                <w:rFonts w:ascii="Times New Roman" w:eastAsia="TimesNewRoman,Italic" w:hAnsi="Times New Roman"/>
                <w:i/>
                <w:iCs/>
                <w:sz w:val="22"/>
                <w:szCs w:val="22"/>
                <w:lang w:val="fr-FR"/>
              </w:rPr>
              <w:t xml:space="preserve">]  </w:t>
            </w:r>
            <w:r w:rsidRPr="000E1775">
              <w:rPr>
                <w:rFonts w:ascii="Times New Roman" w:eastAsia="Calibri" w:hAnsi="Times New Roman"/>
                <w:sz w:val="22"/>
                <w:szCs w:val="22"/>
                <w:lang w:val="fr-FR"/>
              </w:rPr>
              <w:t>Alfentanilis</w:t>
            </w:r>
            <w:proofErr w:type="gramEnd"/>
            <w:r w:rsidRPr="000E1775">
              <w:rPr>
                <w:rFonts w:ascii="Times New Roman" w:eastAsia="Calibri" w:hAnsi="Times New Roman"/>
                <w:sz w:val="22"/>
                <w:szCs w:val="22"/>
                <w:lang w:val="fr-FR"/>
              </w:rPr>
              <w:t xml:space="preserve"> (vienkartinė 20 </w:t>
            </w:r>
            <w:r w:rsidRPr="000E1775">
              <w:rPr>
                <w:rFonts w:ascii="Times New Roman" w:eastAsia="Calibri" w:hAnsi="Times New Roman"/>
                <w:sz w:val="22"/>
                <w:szCs w:val="22"/>
                <w:lang w:val="en-US"/>
              </w:rPr>
              <w:t>μ</w:t>
            </w:r>
            <w:r w:rsidRPr="000E1775">
              <w:rPr>
                <w:rFonts w:ascii="Times New Roman" w:eastAsia="Calibri" w:hAnsi="Times New Roman"/>
                <w:sz w:val="22"/>
                <w:szCs w:val="22"/>
                <w:lang w:val="fr-FR"/>
              </w:rPr>
              <w:t>g/kg dozė, kartu vartojant naloksoną)</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Fentanilis (vienkartinė 5 </w:t>
            </w:r>
            <w:r w:rsidRPr="000E1775">
              <w:rPr>
                <w:rFonts w:ascii="Times New Roman" w:eastAsia="Calibri" w:hAnsi="Times New Roman"/>
                <w:sz w:val="22"/>
                <w:szCs w:val="22"/>
                <w:lang w:val="en-US"/>
              </w:rPr>
              <w:t></w:t>
            </w:r>
            <w:r w:rsidRPr="000E1775">
              <w:rPr>
                <w:rFonts w:ascii="Times New Roman" w:eastAsia="Calibri" w:hAnsi="Times New Roman"/>
                <w:sz w:val="22"/>
                <w:szCs w:val="22"/>
                <w:lang w:val="fr-FR"/>
              </w:rPr>
              <w:t>g/kg</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dozė)</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Paskelbto nepriklausomo tyrimo duomenimis,</w:t>
            </w:r>
            <w:r w:rsidRPr="000E1775" w:rsidDel="004A358B">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alfentanilio AUC</w:t>
            </w:r>
            <w:r w:rsidRPr="000E1775">
              <w:rPr>
                <w:rFonts w:ascii="Times New Roman" w:hAnsi="Times New Roman"/>
                <w:sz w:val="22"/>
                <w:szCs w:val="22"/>
                <w:vertAlign w:val="subscript"/>
                <w:lang w:val="fr-FR" w:eastAsia="hu-HU"/>
              </w:rPr>
              <w:t>0−</w:t>
            </w:r>
            <w:proofErr w:type="gramStart"/>
            <w:r w:rsidRPr="000E1775">
              <w:rPr>
                <w:rFonts w:ascii="Times New Roman" w:hAnsi="Times New Roman"/>
                <w:sz w:val="22"/>
                <w:szCs w:val="22"/>
                <w:vertAlign w:val="subscript"/>
                <w:lang w:val="fr-FR" w:eastAsia="hu-HU"/>
              </w:rPr>
              <w:t>∞</w:t>
            </w:r>
            <w:r w:rsidRPr="000E1775">
              <w:rPr>
                <w:rFonts w:ascii="Times New Roman" w:hAnsi="Times New Roman"/>
                <w:sz w:val="22"/>
                <w:szCs w:val="22"/>
                <w:lang w:val="fr-FR" w:eastAsia="hu-HU"/>
              </w:rPr>
              <w:t xml:space="preserve"> </w:t>
            </w:r>
            <w:r w:rsidRPr="000E1775">
              <w:rPr>
                <w:rFonts w:ascii="Times New Roman" w:eastAsia="Calibri" w:hAnsi="Times New Roman"/>
                <w:sz w:val="22"/>
                <w:szCs w:val="22"/>
                <w:lang w:val="fr-FR"/>
              </w:rPr>
              <w:t xml:space="preserve"> </w:t>
            </w:r>
            <w:r w:rsidRPr="000E1775">
              <w:rPr>
                <w:rFonts w:ascii="Times New Roman" w:hAnsi="Times New Roman"/>
                <w:sz w:val="22"/>
                <w:szCs w:val="22"/>
                <w:lang w:val="fr-FR" w:eastAsia="hu-HU"/>
              </w:rPr>
              <w:t>↑</w:t>
            </w:r>
            <w:proofErr w:type="gramEnd"/>
            <w:r w:rsidRPr="000E1775">
              <w:rPr>
                <w:rFonts w:ascii="Times New Roman" w:eastAsia="Calibri" w:hAnsi="Times New Roman"/>
                <w:sz w:val="22"/>
                <w:szCs w:val="22"/>
                <w:lang w:val="fr-FR"/>
              </w:rPr>
              <w:t xml:space="preserve"> 6 kartus </w:t>
            </w: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Paskelbto nepriklausomo tyrimo duomenimis,</w:t>
            </w:r>
            <w:r w:rsidRPr="000E1775" w:rsidDel="004A358B">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fentanilio AUC</w:t>
            </w:r>
            <w:r w:rsidRPr="000E1775">
              <w:rPr>
                <w:rFonts w:ascii="Times New Roman" w:hAnsi="Times New Roman"/>
                <w:sz w:val="22"/>
                <w:szCs w:val="22"/>
                <w:vertAlign w:val="subscript"/>
                <w:lang w:val="fr-FR" w:eastAsia="hu-HU"/>
              </w:rPr>
              <w:t>0−</w:t>
            </w:r>
            <w:proofErr w:type="gramStart"/>
            <w:r w:rsidRPr="000E1775">
              <w:rPr>
                <w:rFonts w:ascii="Times New Roman" w:hAnsi="Times New Roman"/>
                <w:sz w:val="22"/>
                <w:szCs w:val="22"/>
                <w:vertAlign w:val="subscript"/>
                <w:lang w:val="fr-FR" w:eastAsia="hu-HU"/>
              </w:rPr>
              <w:t>∞</w:t>
            </w:r>
            <w:r w:rsidRPr="000E1775">
              <w:rPr>
                <w:rFonts w:ascii="Times New Roman" w:hAnsi="Times New Roman"/>
                <w:sz w:val="22"/>
                <w:szCs w:val="22"/>
                <w:lang w:val="fr-FR" w:eastAsia="hu-HU"/>
              </w:rPr>
              <w:t xml:space="preserve"> </w:t>
            </w:r>
            <w:r w:rsidRPr="000E1775">
              <w:rPr>
                <w:rFonts w:ascii="Times New Roman" w:eastAsia="Calibri" w:hAnsi="Times New Roman"/>
                <w:sz w:val="22"/>
                <w:szCs w:val="22"/>
                <w:lang w:val="fr-FR"/>
              </w:rPr>
              <w:t xml:space="preserve"> </w:t>
            </w:r>
            <w:r w:rsidRPr="000E1775">
              <w:rPr>
                <w:rFonts w:ascii="Times New Roman" w:hAnsi="Times New Roman"/>
                <w:sz w:val="22"/>
                <w:szCs w:val="22"/>
                <w:lang w:val="fr-FR" w:eastAsia="hu-HU"/>
              </w:rPr>
              <w:t>↑</w:t>
            </w:r>
            <w:proofErr w:type="gramEnd"/>
            <w:r w:rsidRPr="000E1775">
              <w:rPr>
                <w:rFonts w:ascii="Times New Roman" w:eastAsia="Calibri" w:hAnsi="Times New Roman"/>
                <w:sz w:val="22"/>
                <w:szCs w:val="22"/>
                <w:lang w:val="fr-FR"/>
              </w:rPr>
              <w:t xml:space="preserve"> 1,34 karto</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Reikia apsvarstyti alfentanilio,</w:t>
            </w:r>
            <w:r w:rsidRPr="000E1775" w:rsidDel="004A358B">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fentanilio ir kitų savo struktūra į alfentanilį panašių trumpai veikiančių opioidų, kurių metabolizmą veikia CYP3A4 (</w:t>
            </w:r>
            <w:proofErr w:type="gramStart"/>
            <w:r w:rsidRPr="000E1775">
              <w:rPr>
                <w:rFonts w:ascii="Times New Roman" w:eastAsia="Calibri" w:hAnsi="Times New Roman"/>
                <w:sz w:val="22"/>
                <w:szCs w:val="22"/>
                <w:lang w:val="fr-FR"/>
              </w:rPr>
              <w:t>pvz.,</w:t>
            </w:r>
            <w:proofErr w:type="gramEnd"/>
            <w:r w:rsidRPr="000E1775">
              <w:rPr>
                <w:rFonts w:ascii="Times New Roman" w:eastAsia="Calibri" w:hAnsi="Times New Roman"/>
                <w:sz w:val="22"/>
                <w:szCs w:val="22"/>
                <w:lang w:val="fr-FR"/>
              </w:rPr>
              <w:t xml:space="preserve"> sufentanilio), dozės mažinimo galimybę.</w:t>
            </w:r>
          </w:p>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Rekomenduojama intensyviai ir dažnai stebėti, ar nepasireiškia kvėpavimo slopinimas ir kiti su opioidų vartojimu susiję nepageidaujami reiškiniai.</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Statinai (</w:t>
            </w:r>
            <w:proofErr w:type="gramStart"/>
            <w:r w:rsidRPr="000E1775">
              <w:rPr>
                <w:rFonts w:ascii="Times New Roman" w:eastAsia="Calibri" w:hAnsi="Times New Roman"/>
                <w:sz w:val="22"/>
                <w:szCs w:val="22"/>
                <w:lang w:val="fr-FR"/>
              </w:rPr>
              <w:t>pvz.,</w:t>
            </w:r>
            <w:proofErr w:type="gramEnd"/>
            <w:r w:rsidRPr="000E1775">
              <w:rPr>
                <w:rFonts w:ascii="Times New Roman" w:eastAsia="Calibri" w:hAnsi="Times New Roman"/>
                <w:sz w:val="22"/>
                <w:szCs w:val="22"/>
                <w:lang w:val="fr-FR"/>
              </w:rPr>
              <w:t xml:space="preserve"> lovastatinas) </w:t>
            </w:r>
            <w:r w:rsidRPr="000E1775">
              <w:rPr>
                <w:rFonts w:ascii="Times New Roman" w:eastAsia="TimesNewRoman,Italic" w:hAnsi="Times New Roman"/>
                <w:i/>
                <w:iCs/>
                <w:sz w:val="22"/>
                <w:szCs w:val="22"/>
                <w:lang w:val="fr-FR"/>
              </w:rPr>
              <w:t>[CYP3A4 substratai]</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Nors klinikinių tyrimų neatlikta,</w:t>
            </w:r>
            <w:r w:rsidRPr="000E1775" w:rsidDel="004A358B">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tikėtina, kad vorikonazolas didins statinų, kurių metabolizmą veikia CYP3A4, koncentracijas plazmoje ir dėl to gali pasireikšti rabdomiolizė.</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Reikia apsvarstyti statinų dozės mažinimo galimybę.</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Sulfonilkarbamido dariniai (pvz., tolbutamidas, glipizidas,</w:t>
            </w:r>
            <w:r w:rsidRPr="000E1775" w:rsidDel="004A358B">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 xml:space="preserve">gliburidas) </w:t>
            </w:r>
            <w:r w:rsidRPr="000E1775">
              <w:rPr>
                <w:rFonts w:ascii="Times New Roman" w:eastAsia="TimesNewRoman,Italic" w:hAnsi="Times New Roman"/>
                <w:i/>
                <w:iCs/>
                <w:sz w:val="22"/>
                <w:szCs w:val="22"/>
                <w:lang w:val="en-US"/>
              </w:rPr>
              <w:t>[CYP2C9 substratai]</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Nors tyrimų neatlikta, tikėtina, kad vorikonazolas didins sulfonilkarbamido darinių koncentracijas plazmoje ir dėl to gali pasireikšti hipoglikemija.</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Rekomenduojama atidžiai stebėti gliukozės koncentraciją kraujyje. Reikia apgalvotai sumažinti sulfonilkarbamido darinių dozę.</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Žiemės (</w:t>
            </w:r>
            <w:r w:rsidRPr="000E1775">
              <w:rPr>
                <w:rFonts w:ascii="Times New Roman" w:eastAsia="TimesNewRoman,Italic" w:hAnsi="Times New Roman"/>
                <w:i/>
                <w:iCs/>
                <w:sz w:val="22"/>
                <w:szCs w:val="22"/>
                <w:lang w:val="en-US"/>
              </w:rPr>
              <w:t>vinca</w:t>
            </w:r>
            <w:r w:rsidRPr="000E1775">
              <w:rPr>
                <w:rFonts w:ascii="Times New Roman" w:eastAsia="Calibri" w:hAnsi="Times New Roman"/>
                <w:sz w:val="22"/>
                <w:szCs w:val="22"/>
                <w:lang w:val="en-US"/>
              </w:rPr>
              <w:t>) alkaloidai (pvz.,</w:t>
            </w:r>
            <w:r w:rsidRPr="000E1775" w:rsidDel="004A358B">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 xml:space="preserve">vinkristinas ir vinblastinas) </w:t>
            </w:r>
            <w:r w:rsidRPr="000E1775">
              <w:rPr>
                <w:rFonts w:ascii="Times New Roman" w:eastAsia="TimesNewRoman,Italic" w:hAnsi="Times New Roman"/>
                <w:i/>
                <w:iCs/>
                <w:sz w:val="22"/>
                <w:szCs w:val="22"/>
                <w:lang w:val="en-US"/>
              </w:rPr>
              <w:t>[CYP3A4 substratai]</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Nors tyrimų neatlikta, tikėtina, kad vorikonazolas didins žiemės alkaloidų koncentracijas plazmoje ir dėl to gali pasireikšti neurotoksinis poveikis.</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Reikia apsvarstyti žiemės alkaloidų dozės mažinimo galimybę.</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Kiti ŽIV proteazės inhibitoriai (pvz., sakvinaviras,</w:t>
            </w:r>
            <w:r w:rsidRPr="000E1775" w:rsidDel="004A358B">
              <w:rPr>
                <w:rFonts w:ascii="Times New Roman" w:eastAsia="Calibri" w:hAnsi="Times New Roman"/>
                <w:sz w:val="22"/>
                <w:szCs w:val="22"/>
                <w:lang w:val="en-US"/>
              </w:rPr>
              <w:t xml:space="preserve"> </w:t>
            </w:r>
            <w:r w:rsidRPr="000E1775">
              <w:rPr>
                <w:rFonts w:ascii="Times New Roman" w:eastAsia="Calibri" w:hAnsi="Times New Roman"/>
                <w:sz w:val="22"/>
                <w:szCs w:val="22"/>
                <w:lang w:val="fr-FR"/>
              </w:rPr>
              <w:t xml:space="preserve">amprenaviras ir </w:t>
            </w:r>
            <w:r w:rsidRPr="000E1775">
              <w:rPr>
                <w:rFonts w:ascii="Times New Roman" w:eastAsia="Calibri" w:hAnsi="Times New Roman"/>
                <w:sz w:val="22"/>
                <w:szCs w:val="22"/>
                <w:lang w:val="fr-FR"/>
              </w:rPr>
              <w:lastRenderedPageBreak/>
              <w:t>nelfinaviras)*</w:t>
            </w:r>
            <w:r w:rsidRPr="000E1775" w:rsidDel="004A358B">
              <w:rPr>
                <w:rFonts w:ascii="Times New Roman" w:eastAsia="Calibri" w:hAnsi="Times New Roman"/>
                <w:sz w:val="22"/>
                <w:szCs w:val="22"/>
                <w:lang w:val="fr-FR"/>
              </w:rPr>
              <w:t xml:space="preserve"> </w:t>
            </w:r>
            <w:r w:rsidRPr="000E1775">
              <w:rPr>
                <w:rFonts w:ascii="Times New Roman" w:eastAsia="TimesNewRoman,Italic" w:hAnsi="Times New Roman"/>
                <w:i/>
                <w:iCs/>
                <w:sz w:val="22"/>
                <w:szCs w:val="22"/>
                <w:lang w:val="fr-FR"/>
              </w:rPr>
              <w:t xml:space="preserve">[CYP3A4 substratai ir </w:t>
            </w:r>
            <w:r w:rsidRPr="000E1775">
              <w:rPr>
                <w:rFonts w:ascii="Times New Roman" w:eastAsia="TimesNewRoman,Italic" w:hAnsi="Times New Roman"/>
                <w:i/>
                <w:iCs/>
                <w:sz w:val="22"/>
                <w:szCs w:val="22"/>
                <w:lang w:val="en-US"/>
              </w:rPr>
              <w:t>inhibitoriai]</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lastRenderedPageBreak/>
              <w:t xml:space="preserve">Klinikinių tyrimų neatlikta. Tyrimai </w:t>
            </w:r>
            <w:r w:rsidRPr="000E1775">
              <w:rPr>
                <w:rFonts w:ascii="Times New Roman" w:eastAsia="TimesNewRoman,Italic" w:hAnsi="Times New Roman"/>
                <w:i/>
                <w:iCs/>
                <w:sz w:val="22"/>
                <w:szCs w:val="22"/>
                <w:lang w:val="en-US"/>
              </w:rPr>
              <w:t xml:space="preserve">in vitro </w:t>
            </w:r>
            <w:r w:rsidRPr="000E1775">
              <w:rPr>
                <w:rFonts w:ascii="Times New Roman" w:eastAsia="Calibri" w:hAnsi="Times New Roman"/>
                <w:sz w:val="22"/>
                <w:szCs w:val="22"/>
                <w:lang w:val="en-US"/>
              </w:rPr>
              <w:t xml:space="preserve">rodo, kad vorikonazolas gali slopinti ŽIV proteazės inhibitorių </w:t>
            </w:r>
            <w:r w:rsidRPr="000E1775">
              <w:rPr>
                <w:rFonts w:ascii="Times New Roman" w:eastAsia="Calibri" w:hAnsi="Times New Roman"/>
                <w:sz w:val="22"/>
                <w:szCs w:val="22"/>
                <w:lang w:val="en-US"/>
              </w:rPr>
              <w:lastRenderedPageBreak/>
              <w:t>metabolizmą, o ŽIV proteazės inhibitoriai irgi gali slopinti vorikonazolo metabolizmą.</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lastRenderedPageBreak/>
              <w:t xml:space="preserve">Reikia atidžiai stebėti, ar nepasireiškia koks nors vaistinių preparatų sukeltas </w:t>
            </w:r>
            <w:r w:rsidRPr="000E1775">
              <w:rPr>
                <w:rFonts w:ascii="Times New Roman" w:eastAsia="Calibri" w:hAnsi="Times New Roman"/>
                <w:sz w:val="22"/>
                <w:szCs w:val="22"/>
                <w:lang w:val="en-US"/>
              </w:rPr>
              <w:lastRenderedPageBreak/>
              <w:t>toksinis poveikis ir (arba) ar nemažėja veiksmingumas, ir gali prireikti keisti dozę.</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lastRenderedPageBreak/>
              <w:t>Kiti nenukleozido atvirkštinės transkriptazės inhibitoriai (NNATI) (pvz., delavirdinas,</w:t>
            </w:r>
            <w:r w:rsidRPr="000E1775" w:rsidDel="00EA0A6D">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nevirapinas)*</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TimesNewRoman,Italic" w:hAnsi="Times New Roman"/>
                <w:i/>
                <w:iCs/>
                <w:sz w:val="22"/>
                <w:szCs w:val="22"/>
                <w:lang w:val="en-US"/>
              </w:rPr>
              <w:t>[CYP3A4 substratai,</w:t>
            </w:r>
            <w:r w:rsidRPr="000E1775" w:rsidDel="00EA0A6D">
              <w:rPr>
                <w:rFonts w:ascii="Times New Roman" w:eastAsia="TimesNewRoman,Italic" w:hAnsi="Times New Roman"/>
                <w:i/>
                <w:iCs/>
                <w:sz w:val="22"/>
                <w:szCs w:val="22"/>
                <w:lang w:val="en-US"/>
              </w:rPr>
              <w:t xml:space="preserve"> </w:t>
            </w:r>
            <w:r w:rsidRPr="000E1775">
              <w:rPr>
                <w:rFonts w:ascii="Times New Roman" w:eastAsia="TimesNewRoman,Italic" w:hAnsi="Times New Roman"/>
                <w:i/>
                <w:iCs/>
                <w:sz w:val="22"/>
                <w:szCs w:val="22"/>
                <w:lang w:val="en-US"/>
              </w:rPr>
              <w:t>inhibitoriai arba CYP450 sužadinantys vaistiniai preparatai]</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Klinikinių tyrimų neatlikta. Tyrimai </w:t>
            </w:r>
            <w:r w:rsidRPr="000E1775">
              <w:rPr>
                <w:rFonts w:ascii="Times New Roman" w:eastAsia="TimesNewRoman,Italic" w:hAnsi="Times New Roman"/>
                <w:i/>
                <w:iCs/>
                <w:sz w:val="22"/>
                <w:szCs w:val="22"/>
                <w:lang w:val="en-US"/>
              </w:rPr>
              <w:t xml:space="preserve">in vitro </w:t>
            </w:r>
            <w:r w:rsidRPr="000E1775">
              <w:rPr>
                <w:rFonts w:ascii="Times New Roman" w:eastAsia="Calibri" w:hAnsi="Times New Roman"/>
                <w:sz w:val="22"/>
                <w:szCs w:val="22"/>
                <w:lang w:val="en-US"/>
              </w:rPr>
              <w:t>rodo, kad NNATI gali slopinti vorikonazolo metabolizmą,</w:t>
            </w:r>
            <w:r w:rsidRPr="000E1775" w:rsidDel="00EA0A6D">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o vorikonazolas gali slopinti NNATI metabolizmą.</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Efavirenzo poveikio vorikonazolui duomenys rodo, kad NNATI gali sužadinti vorikonazolo metabolizmą.</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Reikia atidžiai stebėti, ar nepasireiškia koks nors vaistinių preparatų sukeltas toksinis poveikis ir (arba) ar nemažėja veiksmingumas, ir gali prireikti keisti dozę.</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Cimetidinas (400 mg dozė 2 x per parą) </w:t>
            </w:r>
            <w:r w:rsidRPr="000E1775">
              <w:rPr>
                <w:rFonts w:ascii="Times New Roman" w:eastAsia="TimesNewRoman,Italic" w:hAnsi="Times New Roman"/>
                <w:i/>
                <w:iCs/>
                <w:sz w:val="22"/>
                <w:szCs w:val="22"/>
                <w:lang w:val="en-US"/>
              </w:rPr>
              <w:t>[nespecifinis CYP450 inhibitorius ir skrandžio pH didinantis vaistinis preparatas]</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Vorikonazolo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18 %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Vorikonazolo AUC</w:t>
            </w:r>
            <w:r w:rsidRPr="000E1775">
              <w:rPr>
                <w:rFonts w:ascii="Times New Roman" w:hAnsi="Times New Roman"/>
                <w:sz w:val="22"/>
                <w:szCs w:val="22"/>
                <w:vertAlign w:val="subscript"/>
                <w:lang w:eastAsia="hu-HU"/>
              </w:rPr>
              <w:t>τ</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23 %</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Dozės keisti nereikia.</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Digoksinas (0,25 mg 1 x per parą)</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TimesNewRoman,Italic" w:hAnsi="Times New Roman"/>
                <w:i/>
                <w:iCs/>
                <w:sz w:val="22"/>
                <w:szCs w:val="22"/>
                <w:lang w:val="en-US"/>
              </w:rPr>
              <w:t>[P-gp substratas]</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Digoksino Cmax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Digoksino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Dozės keisti nereikia.</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Indinaviras (800 mg dozė 3 x per parą) </w:t>
            </w:r>
            <w:r w:rsidRPr="000E1775">
              <w:rPr>
                <w:rFonts w:ascii="Times New Roman" w:eastAsia="TimesNewRoman,Italic" w:hAnsi="Times New Roman"/>
                <w:i/>
                <w:iCs/>
                <w:sz w:val="22"/>
                <w:szCs w:val="22"/>
                <w:lang w:val="en-US"/>
              </w:rPr>
              <w:t>[CYP3A4 inhibitorius ir substratas]</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Indinaviro Cmax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Indinaviro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Vorikonazolo Cmax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Vorikonazolo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Dozės keisti nereikia.</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TimesNewRoman,Italic" w:hAnsi="Times New Roman"/>
                <w:i/>
                <w:iCs/>
                <w:sz w:val="22"/>
                <w:szCs w:val="22"/>
                <w:lang w:val="en-US"/>
              </w:rPr>
            </w:pPr>
            <w:r w:rsidRPr="000E1775">
              <w:rPr>
                <w:rFonts w:ascii="Times New Roman" w:eastAsia="Calibri" w:hAnsi="Times New Roman"/>
                <w:sz w:val="22"/>
                <w:szCs w:val="22"/>
                <w:lang w:val="en-US"/>
              </w:rPr>
              <w:t xml:space="preserve">Makrolidų grupės antibiotikai Eritromicinas (1 g 2 x per parą) </w:t>
            </w:r>
            <w:r w:rsidRPr="000E1775">
              <w:rPr>
                <w:rFonts w:ascii="Times New Roman" w:eastAsia="TimesNewRoman,Italic" w:hAnsi="Times New Roman"/>
                <w:i/>
                <w:iCs/>
                <w:sz w:val="22"/>
                <w:szCs w:val="22"/>
                <w:lang w:val="en-US"/>
              </w:rPr>
              <w:t>[CYP3A4 inhibitorius]</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Azitromicinas (500 mg 1 x per parą)</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Vorikonazolo Cmax ir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Vorikonazolo Cmax ir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Vorikonazolo poveikis eritromicinui arba azitromicinui nežinomas.</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Dozės keisti nereikia.</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Mikofenolio rūgštis (vienkartinė</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1 g dozė)</w:t>
            </w:r>
          </w:p>
          <w:p w:rsidR="00E5066C" w:rsidRPr="000E1775" w:rsidRDefault="00E5066C" w:rsidP="009852BC">
            <w:pPr>
              <w:autoSpaceDE w:val="0"/>
              <w:autoSpaceDN w:val="0"/>
              <w:adjustRightInd w:val="0"/>
              <w:rPr>
                <w:rFonts w:ascii="Times New Roman" w:eastAsia="TimesNewRoman,Italic" w:hAnsi="Times New Roman"/>
                <w:i/>
                <w:iCs/>
                <w:sz w:val="22"/>
                <w:szCs w:val="22"/>
                <w:lang w:val="en-US"/>
              </w:rPr>
            </w:pPr>
            <w:r w:rsidRPr="000E1775">
              <w:rPr>
                <w:rFonts w:ascii="Times New Roman" w:eastAsia="TimesNewRoman,Italic" w:hAnsi="Times New Roman"/>
                <w:i/>
                <w:iCs/>
                <w:sz w:val="22"/>
                <w:szCs w:val="22"/>
                <w:lang w:val="en-US"/>
              </w:rPr>
              <w:t>[UDF-gliukuroniltransferazės</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TimesNewRoman,Italic" w:hAnsi="Times New Roman"/>
                <w:i/>
                <w:iCs/>
                <w:sz w:val="22"/>
                <w:szCs w:val="22"/>
                <w:lang w:val="en-US"/>
              </w:rPr>
              <w:t>substratas]</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Mikofenolio rūgšties Cmax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Mikofenolio rūgšties AUCt ↔</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Dozės keisti nereikia.</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Prednizolonas (vienkartinė 60 mg dozė) </w:t>
            </w:r>
            <w:r w:rsidRPr="000E1775">
              <w:rPr>
                <w:rFonts w:ascii="Times New Roman" w:eastAsia="TimesNewRoman,Italic" w:hAnsi="Times New Roman"/>
                <w:i/>
                <w:iCs/>
                <w:sz w:val="22"/>
                <w:szCs w:val="22"/>
                <w:lang w:val="en-US"/>
              </w:rPr>
              <w:t>[CYP3A4 substratas]</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Prednizolono Cmax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11 %</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Prednizolono AUC</w:t>
            </w:r>
            <w:r w:rsidRPr="000E1775">
              <w:rPr>
                <w:rFonts w:ascii="Times New Roman" w:hAnsi="Times New Roman"/>
                <w:sz w:val="22"/>
                <w:szCs w:val="22"/>
                <w:vertAlign w:val="subscript"/>
                <w:lang w:eastAsia="hu-HU"/>
              </w:rPr>
              <w:t>0−∞</w:t>
            </w:r>
            <w:r w:rsidRPr="000E1775">
              <w:rPr>
                <w:rFonts w:ascii="Times New Roman" w:eastAsia="Calibri" w:hAnsi="Times New Roman"/>
                <w:sz w:val="22"/>
                <w:szCs w:val="22"/>
                <w:lang w:val="en-US"/>
              </w:rPr>
              <w:t xml:space="preserve"> </w:t>
            </w:r>
            <w:r w:rsidRPr="000E1775">
              <w:rPr>
                <w:rFonts w:ascii="Times New Roman" w:hAnsi="Times New Roman"/>
                <w:sz w:val="22"/>
                <w:szCs w:val="22"/>
                <w:lang w:eastAsia="hu-HU"/>
              </w:rPr>
              <w:t>↑</w:t>
            </w:r>
            <w:r w:rsidRPr="000E1775">
              <w:rPr>
                <w:rFonts w:ascii="Times New Roman" w:eastAsia="Calibri" w:hAnsi="Times New Roman"/>
                <w:sz w:val="22"/>
                <w:szCs w:val="22"/>
                <w:lang w:val="en-US"/>
              </w:rPr>
              <w:t xml:space="preserve"> 34 %</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Dozės keisti nereikia.</w:t>
            </w:r>
          </w:p>
        </w:tc>
      </w:tr>
      <w:tr w:rsidR="00E5066C" w:rsidRPr="000E1775" w:rsidTr="009852BC">
        <w:trPr>
          <w:trHeight w:val="651"/>
        </w:trPr>
        <w:tc>
          <w:tcPr>
            <w:tcW w:w="1661" w:type="pct"/>
          </w:tcPr>
          <w:p w:rsidR="00E5066C" w:rsidRPr="000E1775" w:rsidRDefault="00E5066C" w:rsidP="009852B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en-US"/>
              </w:rPr>
              <w:t xml:space="preserve">Ranitidinas (150 mg dozė 2 x per parą) </w:t>
            </w:r>
            <w:r w:rsidRPr="000E1775">
              <w:rPr>
                <w:rFonts w:ascii="Times New Roman" w:eastAsia="TimesNewRoman,Italic" w:hAnsi="Times New Roman"/>
                <w:i/>
                <w:iCs/>
                <w:sz w:val="22"/>
                <w:szCs w:val="22"/>
                <w:lang w:val="fr-FR"/>
              </w:rPr>
              <w:t>[skrandžio pH didinantis vaistinis preparatas]</w:t>
            </w:r>
          </w:p>
        </w:tc>
        <w:tc>
          <w:tcPr>
            <w:tcW w:w="1832"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Vorikonazolo Cmax ir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w:t>
            </w:r>
          </w:p>
        </w:tc>
        <w:tc>
          <w:tcPr>
            <w:tcW w:w="1507" w:type="pct"/>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Dozės keisti nereikia.</w:t>
            </w:r>
          </w:p>
        </w:tc>
      </w:tr>
    </w:tbl>
    <w:p w:rsidR="00E5066C" w:rsidRPr="000E1775" w:rsidRDefault="00E5066C" w:rsidP="00E5066C">
      <w:pPr>
        <w:rPr>
          <w:rFonts w:ascii="Times New Roman" w:hAnsi="Times New Roman"/>
          <w:noProof/>
          <w:sz w:val="22"/>
          <w:szCs w:val="22"/>
          <w:lang w:val="lt-LT"/>
        </w:rPr>
      </w:pPr>
    </w:p>
    <w:p w:rsidR="00E5066C" w:rsidRPr="000E1775" w:rsidRDefault="00E5066C" w:rsidP="000E1775">
      <w:pPr>
        <w:pStyle w:val="Antrat4"/>
        <w:ind w:left="567" w:hanging="567"/>
        <w:rPr>
          <w:sz w:val="22"/>
          <w:szCs w:val="22"/>
          <w:lang w:val="lt-LT"/>
        </w:rPr>
      </w:pPr>
      <w:r w:rsidRPr="000E1775">
        <w:rPr>
          <w:sz w:val="22"/>
          <w:szCs w:val="22"/>
          <w:lang w:val="lt-LT"/>
        </w:rPr>
        <w:t>4.6</w:t>
      </w:r>
      <w:r w:rsidRPr="000E1775">
        <w:rPr>
          <w:sz w:val="22"/>
          <w:szCs w:val="22"/>
          <w:lang w:val="lt-LT"/>
        </w:rPr>
        <w:tab/>
        <w:t>Vaisingumas, nėštumo ir žindymo laikotarpis</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u w:val="single"/>
          <w:lang w:val="en-US"/>
        </w:rPr>
      </w:pPr>
      <w:r w:rsidRPr="000E1775">
        <w:rPr>
          <w:rFonts w:ascii="Times New Roman" w:eastAsia="Calibri" w:hAnsi="Times New Roman"/>
          <w:sz w:val="22"/>
          <w:szCs w:val="22"/>
          <w:u w:val="single"/>
          <w:lang w:val="en-US"/>
        </w:rPr>
        <w:t>Vaisingos moterys</w:t>
      </w:r>
    </w:p>
    <w:p w:rsidR="00E5066C" w:rsidRPr="000E1775" w:rsidRDefault="00E5066C" w:rsidP="00E5066C">
      <w:pPr>
        <w:rPr>
          <w:rFonts w:ascii="Times New Roman" w:eastAsia="Calibri" w:hAnsi="Times New Roman"/>
          <w:sz w:val="22"/>
          <w:szCs w:val="22"/>
          <w:lang w:val="en-US"/>
        </w:rPr>
      </w:pPr>
      <w:r w:rsidRPr="000E1775">
        <w:rPr>
          <w:rFonts w:ascii="Times New Roman" w:eastAsia="Calibri" w:hAnsi="Times New Roman"/>
          <w:sz w:val="22"/>
          <w:szCs w:val="22"/>
          <w:lang w:val="en-US"/>
        </w:rPr>
        <w:t>Vaisingos moterys turi naudoti veiksmingą kontracepcijos metodą gydymo metu.</w:t>
      </w:r>
    </w:p>
    <w:p w:rsidR="00E5066C" w:rsidRPr="000E1775" w:rsidRDefault="00E5066C" w:rsidP="00E5066C">
      <w:pPr>
        <w:rPr>
          <w:rFonts w:ascii="Times New Roman" w:eastAsia="Calibri" w:hAnsi="Times New Roman"/>
          <w:sz w:val="22"/>
          <w:szCs w:val="22"/>
          <w:lang w:val="en-US"/>
        </w:rPr>
      </w:pPr>
    </w:p>
    <w:p w:rsidR="00E5066C" w:rsidRPr="000E1775" w:rsidRDefault="00E5066C" w:rsidP="00E5066C">
      <w:pPr>
        <w:rPr>
          <w:rFonts w:ascii="Times New Roman" w:hAnsi="Times New Roman"/>
          <w:color w:val="0D0D0D"/>
          <w:sz w:val="22"/>
          <w:szCs w:val="22"/>
          <w:u w:val="single"/>
          <w:lang w:val="lt-LT"/>
        </w:rPr>
      </w:pPr>
      <w:r w:rsidRPr="000E1775">
        <w:rPr>
          <w:rFonts w:ascii="Times New Roman" w:hAnsi="Times New Roman"/>
          <w:color w:val="0D0D0D"/>
          <w:sz w:val="22"/>
          <w:szCs w:val="22"/>
          <w:u w:val="single"/>
          <w:lang w:val="lt-LT"/>
        </w:rPr>
        <w:t>Nėštumas</w:t>
      </w:r>
    </w:p>
    <w:p w:rsidR="00E5066C" w:rsidRPr="000E1775" w:rsidRDefault="00E5066C" w:rsidP="00E5066C">
      <w:pPr>
        <w:rPr>
          <w:rFonts w:ascii="Times New Roman" w:eastAsia="Calibri" w:hAnsi="Times New Roman"/>
          <w:sz w:val="22"/>
          <w:szCs w:val="22"/>
          <w:lang w:val="en-US"/>
        </w:rPr>
      </w:pPr>
      <w:r w:rsidRPr="000E1775">
        <w:rPr>
          <w:rFonts w:ascii="Times New Roman" w:eastAsia="Calibri" w:hAnsi="Times New Roman"/>
          <w:sz w:val="22"/>
          <w:szCs w:val="22"/>
          <w:lang w:val="en-US"/>
        </w:rPr>
        <w:t>Reikiamų duomenų apie vorikonazolo vartojimą nėštumo metu nėra.</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Su gyvūnais atlikti tyrimai parodė toksinį poveikį reprodukcijai (žr. 5.3 skyrių). Galimas pavojus žmogui nežinomas.VORICONAZOLE RICHTER nėštumo metu vartoti negalima, išskyrus atvejus, kai nauda motinai persveria galimą riziką vaisiui.</w:t>
      </w:r>
    </w:p>
    <w:p w:rsidR="00E5066C" w:rsidRPr="000E1775" w:rsidRDefault="00E5066C" w:rsidP="00E5066C">
      <w:pPr>
        <w:rPr>
          <w:rFonts w:ascii="Times New Roman" w:hAnsi="Times New Roman"/>
          <w:noProof/>
          <w:color w:val="0D0D0D"/>
          <w:sz w:val="22"/>
          <w:szCs w:val="22"/>
          <w:lang w:val="lt-LT"/>
        </w:rPr>
      </w:pPr>
    </w:p>
    <w:p w:rsidR="00E5066C" w:rsidRPr="000E1775" w:rsidRDefault="00E5066C" w:rsidP="00E5066C">
      <w:pPr>
        <w:rPr>
          <w:rFonts w:ascii="Times New Roman" w:hAnsi="Times New Roman"/>
          <w:color w:val="0D0D0D"/>
          <w:sz w:val="22"/>
          <w:szCs w:val="22"/>
          <w:u w:val="single"/>
          <w:lang w:val="lt-LT"/>
        </w:rPr>
      </w:pPr>
      <w:r w:rsidRPr="000E1775">
        <w:rPr>
          <w:rFonts w:ascii="Times New Roman" w:hAnsi="Times New Roman"/>
          <w:color w:val="0D0D0D"/>
          <w:sz w:val="22"/>
          <w:szCs w:val="22"/>
          <w:u w:val="single"/>
          <w:lang w:val="lt-LT"/>
        </w:rPr>
        <w:t>Žindymas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Ar vorikonazolo prasiskverbia į motinos pieną, nenustatyta. Vis dėlto, pradėjus vartoti VORICONAZOLE RICHTER,žindymą būtina nutraukti.</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u w:val="single"/>
          <w:lang w:val="lt-LT"/>
        </w:rPr>
      </w:pPr>
      <w:r w:rsidRPr="000E1775">
        <w:rPr>
          <w:rFonts w:ascii="Times New Roman" w:eastAsia="Calibri" w:hAnsi="Times New Roman"/>
          <w:sz w:val="22"/>
          <w:szCs w:val="22"/>
          <w:u w:val="single"/>
          <w:lang w:val="lt-LT"/>
        </w:rPr>
        <w:t>Vaisingumas</w:t>
      </w:r>
    </w:p>
    <w:p w:rsidR="00E5066C" w:rsidRPr="000E1775" w:rsidRDefault="00E5066C" w:rsidP="00E5066C">
      <w:pPr>
        <w:autoSpaceDE w:val="0"/>
        <w:autoSpaceDN w:val="0"/>
        <w:adjustRightInd w:val="0"/>
        <w:rPr>
          <w:rFonts w:ascii="Times New Roman" w:hAnsi="Times New Roman"/>
          <w:noProof/>
          <w:color w:val="0D0D0D"/>
          <w:sz w:val="22"/>
          <w:szCs w:val="22"/>
          <w:lang w:val="lt-LT"/>
        </w:rPr>
      </w:pPr>
      <w:r w:rsidRPr="000E1775">
        <w:rPr>
          <w:rFonts w:ascii="Times New Roman" w:eastAsia="Calibri" w:hAnsi="Times New Roman"/>
          <w:sz w:val="22"/>
          <w:szCs w:val="22"/>
          <w:lang w:val="lt-LT"/>
        </w:rPr>
        <w:lastRenderedPageBreak/>
        <w:t>Tyrimų su gyvūnais duomenimis, žiurkių patinų ir patelių vislumo sutrikimo nepastebėta (žr.5.3 skyrių).</w:t>
      </w:r>
    </w:p>
    <w:p w:rsidR="00E5066C" w:rsidRPr="000E1775" w:rsidRDefault="00E5066C" w:rsidP="000E1775">
      <w:pPr>
        <w:pStyle w:val="Antrat4"/>
        <w:ind w:left="567" w:hanging="567"/>
        <w:rPr>
          <w:sz w:val="22"/>
          <w:szCs w:val="22"/>
          <w:lang w:val="lt-LT"/>
        </w:rPr>
      </w:pPr>
      <w:r w:rsidRPr="000E1775">
        <w:rPr>
          <w:sz w:val="22"/>
          <w:szCs w:val="22"/>
          <w:lang w:val="lt-LT"/>
        </w:rPr>
        <w:t>4.7</w:t>
      </w:r>
      <w:r w:rsidRPr="000E1775">
        <w:rPr>
          <w:sz w:val="22"/>
          <w:szCs w:val="22"/>
          <w:lang w:val="lt-LT"/>
        </w:rPr>
        <w:tab/>
        <w:t>Poveikis gebėjimui vairuoti ir valdyti mechanizmus</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VORICONAZOLE RICHTER gebėjimą vairuoti ir valdyti mechanizmus veikia vidutiniškai. Vaistinis preparatas galilaikinai sukelti grįžtamų regos pokyčių, įskaitant matymą lyg per miglą, pakitusį matymo suvokimą ir (arba) fotofobiją. Jei pacientui pasireiškia tokių simptomų, jam reikia vengti pavojingo darbo, pvz., vairavimo ar mechanizmų valdymo.</w:t>
      </w:r>
      <w:r w:rsidRPr="000E1775">
        <w:rPr>
          <w:rFonts w:ascii="Times New Roman" w:hAnsi="Times New Roman"/>
          <w:noProof/>
          <w:sz w:val="22"/>
          <w:szCs w:val="22"/>
          <w:lang w:val="lt-LT"/>
        </w:rPr>
        <w:t xml:space="preserve"> </w:t>
      </w:r>
    </w:p>
    <w:p w:rsidR="00E5066C" w:rsidRPr="000E1775" w:rsidRDefault="00E5066C" w:rsidP="000E1775">
      <w:pPr>
        <w:ind w:left="567" w:hanging="567"/>
        <w:rPr>
          <w:rFonts w:ascii="Times New Roman" w:hAnsi="Times New Roman"/>
          <w:sz w:val="22"/>
          <w:szCs w:val="22"/>
          <w:lang w:val="lt-LT"/>
        </w:rPr>
      </w:pPr>
    </w:p>
    <w:p w:rsidR="00E5066C" w:rsidRPr="000E1775" w:rsidRDefault="00E5066C" w:rsidP="000E1775">
      <w:pPr>
        <w:ind w:left="567" w:hanging="567"/>
        <w:outlineLvl w:val="0"/>
        <w:rPr>
          <w:rFonts w:ascii="Times New Roman" w:hAnsi="Times New Roman"/>
          <w:sz w:val="22"/>
          <w:szCs w:val="22"/>
          <w:lang w:val="lt-LT"/>
        </w:rPr>
      </w:pPr>
      <w:r w:rsidRPr="000E1775">
        <w:rPr>
          <w:rFonts w:ascii="Times New Roman" w:hAnsi="Times New Roman"/>
          <w:b/>
          <w:sz w:val="22"/>
          <w:szCs w:val="22"/>
          <w:lang w:val="lt-LT"/>
        </w:rPr>
        <w:t>4.8</w:t>
      </w:r>
      <w:r w:rsidRPr="000E1775">
        <w:rPr>
          <w:rFonts w:ascii="Times New Roman" w:hAnsi="Times New Roman"/>
          <w:b/>
          <w:sz w:val="22"/>
          <w:szCs w:val="22"/>
          <w:lang w:val="lt-LT"/>
        </w:rPr>
        <w:tab/>
        <w:t>Nepageidaujamas poveikis</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u w:val="single"/>
          <w:lang w:val="lt-LT"/>
        </w:rPr>
      </w:pPr>
      <w:r w:rsidRPr="000E1775">
        <w:rPr>
          <w:rFonts w:ascii="Times New Roman" w:eastAsia="Calibri" w:hAnsi="Times New Roman"/>
          <w:sz w:val="22"/>
          <w:szCs w:val="22"/>
          <w:u w:val="single"/>
          <w:lang w:val="lt-LT"/>
        </w:rPr>
        <w:t>Saugumo duomenų santrauka</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Duomenys apie vorikonazolo vartojimo saugumą </w:t>
      </w:r>
      <w:r w:rsidR="009C0196" w:rsidRPr="000E1775">
        <w:rPr>
          <w:rFonts w:ascii="Times New Roman" w:eastAsia="Calibri" w:hAnsi="Times New Roman"/>
          <w:sz w:val="22"/>
          <w:szCs w:val="22"/>
          <w:lang w:val="lt-LT"/>
        </w:rPr>
        <w:t xml:space="preserve">suaugusiesiems </w:t>
      </w:r>
      <w:r w:rsidRPr="000E1775">
        <w:rPr>
          <w:rFonts w:ascii="Times New Roman" w:eastAsia="Calibri" w:hAnsi="Times New Roman"/>
          <w:sz w:val="22"/>
          <w:szCs w:val="22"/>
          <w:lang w:val="lt-LT"/>
        </w:rPr>
        <w:t xml:space="preserve">remiasi bendra daugiau kaip 2000 tiriamųjų saugumo duomenų baze (įskaitant </w:t>
      </w:r>
      <w:r w:rsidR="009C0196" w:rsidRPr="000E1775">
        <w:rPr>
          <w:rFonts w:ascii="Times New Roman" w:eastAsia="Calibri" w:hAnsi="Times New Roman"/>
          <w:sz w:val="22"/>
          <w:szCs w:val="22"/>
          <w:lang w:val="lt-LT"/>
        </w:rPr>
        <w:t xml:space="preserve"> 1603 suaugusius</w:t>
      </w:r>
      <w:r w:rsidRPr="000E1775">
        <w:rPr>
          <w:rFonts w:ascii="Times New Roman" w:eastAsia="Calibri" w:hAnsi="Times New Roman"/>
          <w:sz w:val="22"/>
          <w:szCs w:val="22"/>
          <w:lang w:val="lt-LT"/>
        </w:rPr>
        <w:t xml:space="preserve"> pacientus klinikinių tyrimų metu vartojusius vaistinio preparato gydymui</w:t>
      </w:r>
      <w:r w:rsidR="009C0196" w:rsidRPr="000E1775">
        <w:rPr>
          <w:rFonts w:ascii="Times New Roman" w:eastAsia="Calibri" w:hAnsi="Times New Roman"/>
          <w:sz w:val="22"/>
          <w:szCs w:val="22"/>
          <w:lang w:val="lt-LT"/>
        </w:rPr>
        <w:t>)</w:t>
      </w:r>
      <w:r w:rsidRPr="000E1775">
        <w:rPr>
          <w:rFonts w:ascii="Times New Roman" w:eastAsia="Calibri" w:hAnsi="Times New Roman"/>
          <w:sz w:val="22"/>
          <w:szCs w:val="22"/>
          <w:lang w:val="lt-LT"/>
        </w:rPr>
        <w:t xml:space="preserve"> ir </w:t>
      </w:r>
      <w:r w:rsidR="009C0196" w:rsidRPr="000E1775">
        <w:rPr>
          <w:rFonts w:ascii="Times New Roman" w:eastAsia="Calibri" w:hAnsi="Times New Roman"/>
          <w:sz w:val="22"/>
          <w:szCs w:val="22"/>
          <w:lang w:val="lt-LT"/>
        </w:rPr>
        <w:t>dar  270 suaugusiųjų,</w:t>
      </w:r>
      <w:r w:rsidRPr="000E1775">
        <w:rPr>
          <w:rFonts w:ascii="Times New Roman" w:eastAsia="Calibri" w:hAnsi="Times New Roman"/>
          <w:sz w:val="22"/>
          <w:szCs w:val="22"/>
          <w:lang w:val="lt-LT"/>
        </w:rPr>
        <w:t xml:space="preserve">  klinikinių tyrimų metu vaistinio preparato vartojusi</w:t>
      </w:r>
      <w:r w:rsidR="009C0196" w:rsidRPr="000E1775">
        <w:rPr>
          <w:rFonts w:ascii="Times New Roman" w:eastAsia="Calibri" w:hAnsi="Times New Roman"/>
          <w:sz w:val="22"/>
          <w:szCs w:val="22"/>
          <w:lang w:val="lt-LT"/>
        </w:rPr>
        <w:t>ų</w:t>
      </w:r>
      <w:r w:rsidRPr="000E1775">
        <w:rPr>
          <w:rFonts w:ascii="Times New Roman" w:eastAsia="Calibri" w:hAnsi="Times New Roman"/>
          <w:sz w:val="22"/>
          <w:szCs w:val="22"/>
          <w:lang w:val="lt-LT"/>
        </w:rPr>
        <w:t xml:space="preserve"> profilaktikai). Tai buvo heterogeninė populiacija, įskaitant pacientus, sergančius kraujo piktybinėmis ligomis, ŽIV užsikrėtusius pacientus, kurie sirgo stemplės kandidamikoze ir medikamentams atsparia grybelių sukelta infekcine liga, pacientus, kuriems nebuvo neutropenijos, bet buvo kandidemija ar aspergiliozė, bei sveikus savanorius. </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Nepageidaujamos reakcijos, apie kurias buvo pranešta dažniausiai, buvo regėjimo sutrikima</w:t>
      </w:r>
      <w:r w:rsidR="009C0196" w:rsidRPr="000E1775">
        <w:rPr>
          <w:rFonts w:ascii="Times New Roman" w:eastAsia="Calibri" w:hAnsi="Times New Roman"/>
          <w:sz w:val="22"/>
          <w:szCs w:val="22"/>
          <w:lang w:val="lt-LT"/>
        </w:rPr>
        <w:t>s</w:t>
      </w:r>
      <w:r w:rsidRPr="000E1775">
        <w:rPr>
          <w:rFonts w:ascii="Times New Roman" w:eastAsia="Calibri" w:hAnsi="Times New Roman"/>
          <w:sz w:val="22"/>
          <w:szCs w:val="22"/>
          <w:lang w:val="lt-LT"/>
        </w:rPr>
        <w:t>,</w:t>
      </w:r>
      <w:r w:rsidR="00954806" w:rsidRPr="000E1775">
        <w:rPr>
          <w:rFonts w:ascii="Times New Roman" w:eastAsia="Calibri" w:hAnsi="Times New Roman"/>
          <w:sz w:val="22"/>
          <w:szCs w:val="22"/>
          <w:lang w:val="lt-LT"/>
        </w:rPr>
        <w:t xml:space="preserve"> </w:t>
      </w:r>
      <w:r w:rsidRPr="000E1775">
        <w:rPr>
          <w:rFonts w:ascii="Times New Roman" w:eastAsia="Calibri" w:hAnsi="Times New Roman"/>
          <w:sz w:val="22"/>
          <w:szCs w:val="22"/>
          <w:lang w:val="lt-LT"/>
        </w:rPr>
        <w:t>karščiavimas, išbėrimas, vėmimas, pykinimas, viduriavimas, galvos skausmas, periferinė edema,</w:t>
      </w:r>
      <w:r w:rsidR="00954806" w:rsidRPr="000E1775">
        <w:rPr>
          <w:rFonts w:ascii="Times New Roman" w:eastAsia="Calibri" w:hAnsi="Times New Roman"/>
          <w:sz w:val="22"/>
          <w:szCs w:val="22"/>
          <w:lang w:val="lt-LT"/>
        </w:rPr>
        <w:t xml:space="preserve"> </w:t>
      </w:r>
      <w:r w:rsidRPr="000E1775">
        <w:rPr>
          <w:rFonts w:ascii="Times New Roman" w:eastAsia="Calibri" w:hAnsi="Times New Roman"/>
          <w:sz w:val="22"/>
          <w:szCs w:val="22"/>
          <w:lang w:val="lt-LT"/>
        </w:rPr>
        <w:t>nukrypę nuo normos kepenų funkcijos tyrimai, kvėpavimo sutrikimo sindromas ir pilvo skausmas.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Nepageidaujamos reakcijos dažniausiai buvo lengvos ar vidutinio sunkumo. Kliniškai reikšmingų saugumo pokyčių atsižvelgiant į amžių, rasę ar lytį nepastebėta.</w:t>
      </w:r>
    </w:p>
    <w:p w:rsidR="00372973" w:rsidRPr="000E1775" w:rsidRDefault="00372973" w:rsidP="00E5066C">
      <w:pPr>
        <w:autoSpaceDE w:val="0"/>
        <w:autoSpaceDN w:val="0"/>
        <w:adjustRightInd w:val="0"/>
        <w:rPr>
          <w:rFonts w:ascii="Times New Roman" w:eastAsia="Calibri" w:hAnsi="Times New Roman"/>
          <w:sz w:val="22"/>
          <w:szCs w:val="22"/>
          <w:u w:val="single"/>
          <w:lang w:val="lt-LT"/>
        </w:rPr>
      </w:pPr>
    </w:p>
    <w:p w:rsidR="00E5066C" w:rsidRPr="000E1775" w:rsidRDefault="00E5066C" w:rsidP="00E5066C">
      <w:pPr>
        <w:autoSpaceDE w:val="0"/>
        <w:autoSpaceDN w:val="0"/>
        <w:adjustRightInd w:val="0"/>
        <w:rPr>
          <w:rFonts w:ascii="Times New Roman" w:eastAsia="Calibri" w:hAnsi="Times New Roman"/>
          <w:sz w:val="22"/>
          <w:szCs w:val="22"/>
          <w:u w:val="single"/>
          <w:lang w:val="lt-LT"/>
        </w:rPr>
      </w:pPr>
      <w:r w:rsidRPr="000E1775">
        <w:rPr>
          <w:rFonts w:ascii="Times New Roman" w:eastAsia="Calibri" w:hAnsi="Times New Roman"/>
          <w:sz w:val="22"/>
          <w:szCs w:val="22"/>
          <w:u w:val="single"/>
          <w:lang w:val="lt-LT"/>
        </w:rPr>
        <w:t>Nepageidaujamos reakcijos lentelėje.</w:t>
      </w:r>
    </w:p>
    <w:p w:rsidR="00372973" w:rsidRPr="000E1775" w:rsidRDefault="00E5066C" w:rsidP="00372973">
      <w:pPr>
        <w:autoSpaceDE w:val="0"/>
        <w:autoSpaceDN w:val="0"/>
        <w:adjustRightInd w:val="0"/>
        <w:rPr>
          <w:rFonts w:ascii="Times New Roman" w:eastAsia="Calibri" w:hAnsi="Times New Roman"/>
          <w:sz w:val="22"/>
          <w:szCs w:val="22"/>
          <w:u w:val="single"/>
          <w:lang w:val="lt-LT"/>
        </w:rPr>
      </w:pPr>
      <w:r w:rsidRPr="000E1775">
        <w:rPr>
          <w:rFonts w:ascii="Times New Roman" w:eastAsia="Calibri" w:hAnsi="Times New Roman"/>
          <w:sz w:val="22"/>
          <w:szCs w:val="22"/>
          <w:lang w:val="lt-LT"/>
        </w:rPr>
        <w:t xml:space="preserve">Toliau esančioje lentelėje nurodytos atvirų klinikinių tyrimų metu nustatytos dėl įvairių priežasčių </w:t>
      </w:r>
      <w:r w:rsidR="00372973" w:rsidRPr="000E1775">
        <w:rPr>
          <w:rFonts w:ascii="Times New Roman" w:eastAsia="Calibri" w:hAnsi="Times New Roman"/>
          <w:sz w:val="22"/>
          <w:szCs w:val="22"/>
          <w:lang w:val="lt-LT"/>
        </w:rPr>
        <w:t xml:space="preserve"> bendrai 1873 suaugusiesiems iš gydomųjų (1603) ir profilaktinių (270) tyrimų pasireiškusios nepageidaujamos reakcijos ir jų dažnio kategorijos, kurios išvardytos pagal organų sistemų klases.</w:t>
      </w:r>
      <w:r w:rsidRPr="000E1775">
        <w:rPr>
          <w:rFonts w:ascii="Times New Roman" w:eastAsia="Calibri" w:hAnsi="Times New Roman"/>
          <w:sz w:val="22"/>
          <w:szCs w:val="22"/>
          <w:lang w:val="lt-LT"/>
        </w:rPr>
        <w:t xml:space="preserve"> </w:t>
      </w:r>
      <w:r w:rsidR="00372973" w:rsidRPr="000E1775">
        <w:rPr>
          <w:rFonts w:ascii="Times New Roman" w:eastAsia="Calibri" w:hAnsi="Times New Roman"/>
          <w:sz w:val="22"/>
          <w:szCs w:val="22"/>
          <w:lang w:val="lt-LT"/>
        </w:rPr>
        <w:t xml:space="preserve"> </w:t>
      </w:r>
    </w:p>
    <w:p w:rsidR="00E5066C" w:rsidRPr="000E1775" w:rsidRDefault="00E5066C" w:rsidP="00372973">
      <w:pPr>
        <w:autoSpaceDE w:val="0"/>
        <w:autoSpaceDN w:val="0"/>
        <w:adjustRightInd w:val="0"/>
        <w:rPr>
          <w:rFonts w:ascii="Times New Roman" w:hAnsi="Times New Roman"/>
          <w:sz w:val="22"/>
          <w:szCs w:val="22"/>
          <w:lang w:val="lt-LT"/>
        </w:rPr>
      </w:pPr>
      <w:r w:rsidRPr="000E1775">
        <w:rPr>
          <w:rFonts w:ascii="Times New Roman" w:hAnsi="Times New Roman"/>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Kiekvienoje grupėje nepageidaujamas poveikis pateiktas pagal jo sunkumo pobūdį.</w:t>
      </w:r>
    </w:p>
    <w:p w:rsidR="00E5066C" w:rsidRPr="000E1775" w:rsidRDefault="00E5066C" w:rsidP="00E5066C">
      <w:pPr>
        <w:autoSpaceDE w:val="0"/>
        <w:autoSpaceDN w:val="0"/>
        <w:adjustRightInd w:val="0"/>
        <w:jc w:val="both"/>
        <w:rPr>
          <w:rFonts w:ascii="Times New Roman" w:eastAsia="Calibri" w:hAnsi="Times New Roman"/>
          <w:sz w:val="22"/>
          <w:szCs w:val="22"/>
          <w:lang w:val="lt-LT"/>
        </w:rPr>
      </w:pPr>
    </w:p>
    <w:p w:rsidR="00E5066C" w:rsidRPr="000E1775" w:rsidRDefault="00E5066C" w:rsidP="00E5066C">
      <w:pPr>
        <w:autoSpaceDE w:val="0"/>
        <w:autoSpaceDN w:val="0"/>
        <w:adjustRightInd w:val="0"/>
        <w:jc w:val="both"/>
        <w:rPr>
          <w:rFonts w:ascii="Times New Roman" w:eastAsia="Calibri" w:hAnsi="Times New Roman"/>
          <w:sz w:val="22"/>
          <w:szCs w:val="22"/>
          <w:lang w:val="lt-LT"/>
        </w:rPr>
      </w:pPr>
      <w:r w:rsidRPr="000E1775">
        <w:rPr>
          <w:rFonts w:ascii="Times New Roman" w:eastAsia="Calibri" w:hAnsi="Times New Roman"/>
          <w:sz w:val="22"/>
          <w:szCs w:val="22"/>
          <w:lang w:val="lt-LT"/>
        </w:rPr>
        <w:t>Nepageidaujamas poveikis, nustatytas asmenims, vartojantiems vorikonazolą.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50"/>
      </w:tblGrid>
      <w:tr w:rsidR="00E5066C" w:rsidRPr="000E1775" w:rsidTr="009852BC">
        <w:trPr>
          <w:tblHeader/>
        </w:trPr>
        <w:tc>
          <w:tcPr>
            <w:tcW w:w="2489" w:type="pct"/>
          </w:tcPr>
          <w:p w:rsidR="00E5066C" w:rsidRPr="000E1775" w:rsidRDefault="00E5066C" w:rsidP="009852BC">
            <w:pPr>
              <w:pStyle w:val="Default"/>
              <w:widowControl w:val="0"/>
              <w:tabs>
                <w:tab w:val="left" w:pos="567"/>
              </w:tabs>
              <w:rPr>
                <w:color w:val="auto"/>
                <w:sz w:val="22"/>
                <w:szCs w:val="22"/>
                <w:lang w:val="en-GB"/>
              </w:rPr>
            </w:pPr>
            <w:r w:rsidRPr="000E1775">
              <w:rPr>
                <w:b/>
                <w:bCs/>
                <w:color w:val="auto"/>
                <w:sz w:val="22"/>
                <w:szCs w:val="22"/>
                <w:lang w:val="en-GB"/>
              </w:rPr>
              <w:t xml:space="preserve">Organų sistemų klasė </w:t>
            </w:r>
          </w:p>
        </w:tc>
        <w:tc>
          <w:tcPr>
            <w:tcW w:w="2511" w:type="pct"/>
          </w:tcPr>
          <w:p w:rsidR="00E5066C" w:rsidRPr="000E1775" w:rsidRDefault="00E5066C" w:rsidP="009852BC">
            <w:pPr>
              <w:pStyle w:val="Default"/>
              <w:widowControl w:val="0"/>
              <w:tabs>
                <w:tab w:val="left" w:pos="567"/>
              </w:tabs>
              <w:rPr>
                <w:color w:val="auto"/>
                <w:sz w:val="22"/>
                <w:szCs w:val="22"/>
                <w:lang w:val="en-GB"/>
              </w:rPr>
            </w:pPr>
            <w:r w:rsidRPr="000E1775">
              <w:rPr>
                <w:rFonts w:eastAsia="Calibri"/>
                <w:b/>
                <w:bCs/>
                <w:color w:val="auto"/>
                <w:sz w:val="22"/>
                <w:szCs w:val="22"/>
              </w:rPr>
              <w:t>Nepageidaujamos reakcijos į vaistinį preparatą</w:t>
            </w: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hAnsi="Times New Roman"/>
                <w:b/>
                <w:bCs/>
                <w:sz w:val="22"/>
                <w:szCs w:val="22"/>
                <w:lang w:eastAsia="hu-HU"/>
              </w:rPr>
              <w:t xml:space="preserve">Infekcijos ir infestacijos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372973" w:rsidP="00372973">
            <w:pPr>
              <w:widowControl w:val="0"/>
              <w:rPr>
                <w:rFonts w:ascii="Times New Roman" w:hAnsi="Times New Roman"/>
                <w:sz w:val="22"/>
                <w:szCs w:val="22"/>
              </w:rPr>
            </w:pPr>
            <w:r w:rsidRPr="000E1775">
              <w:rPr>
                <w:rFonts w:ascii="Times New Roman" w:eastAsia="Calibri" w:hAnsi="Times New Roman"/>
                <w:sz w:val="22"/>
                <w:szCs w:val="22"/>
                <w:lang w:val="en-US"/>
              </w:rPr>
              <w:t>S</w:t>
            </w:r>
            <w:r w:rsidR="00E5066C" w:rsidRPr="000E1775">
              <w:rPr>
                <w:rFonts w:ascii="Times New Roman" w:eastAsia="Calibri" w:hAnsi="Times New Roman"/>
                <w:sz w:val="22"/>
                <w:szCs w:val="22"/>
                <w:lang w:val="en-US"/>
              </w:rPr>
              <w:t xml:space="preserve">inusitas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Nedažnas</w:t>
            </w:r>
          </w:p>
        </w:tc>
        <w:tc>
          <w:tcPr>
            <w:tcW w:w="2511" w:type="pct"/>
          </w:tcPr>
          <w:p w:rsidR="00E5066C" w:rsidRPr="000E1775" w:rsidRDefault="00E5066C" w:rsidP="00372973">
            <w:pPr>
              <w:widowControl w:val="0"/>
              <w:rPr>
                <w:rFonts w:ascii="Times New Roman" w:hAnsi="Times New Roman"/>
                <w:sz w:val="22"/>
                <w:szCs w:val="22"/>
              </w:rPr>
            </w:pPr>
            <w:r w:rsidRPr="000E1775">
              <w:rPr>
                <w:rFonts w:ascii="Times New Roman" w:eastAsia="Calibri" w:hAnsi="Times New Roman"/>
                <w:sz w:val="22"/>
                <w:szCs w:val="22"/>
                <w:lang w:val="en-US"/>
              </w:rPr>
              <w:t xml:space="preserve">Pseudomembraninis kolitas </w:t>
            </w: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lang w:eastAsia="hu-HU"/>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Gerybiniai, piktybiniai ir nepatikslinti navikai (tarp jų cistos ir polipai)</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lang w:val="lt-LT"/>
              </w:rPr>
            </w:pPr>
            <w:r w:rsidRPr="000E1775">
              <w:rPr>
                <w:rFonts w:ascii="Times New Roman" w:hAnsi="Times New Roman"/>
                <w:sz w:val="22"/>
                <w:szCs w:val="22"/>
              </w:rPr>
              <w:t>Ne</w:t>
            </w:r>
            <w:r w:rsidRPr="000E1775">
              <w:rPr>
                <w:rFonts w:ascii="Times New Roman" w:hAnsi="Times New Roman"/>
                <w:sz w:val="22"/>
                <w:szCs w:val="22"/>
                <w:lang w:val="lt-LT"/>
              </w:rPr>
              <w:t>žinomas</w:t>
            </w:r>
          </w:p>
        </w:tc>
        <w:tc>
          <w:tcPr>
            <w:tcW w:w="2511" w:type="pct"/>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sz w:val="22"/>
                <w:szCs w:val="22"/>
                <w:lang w:val="en-US"/>
              </w:rPr>
              <w:t>Odos plokščiųjų ląstelių karcinoma*</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lang w:eastAsia="hu-HU"/>
              </w:rPr>
            </w:pPr>
          </w:p>
        </w:tc>
      </w:tr>
      <w:tr w:rsidR="00E5066C" w:rsidRPr="000E1775" w:rsidTr="009852BC">
        <w:tc>
          <w:tcPr>
            <w:tcW w:w="5000" w:type="pct"/>
            <w:gridSpan w:val="2"/>
          </w:tcPr>
          <w:p w:rsidR="00E5066C" w:rsidRPr="000E1775" w:rsidRDefault="00E5066C" w:rsidP="009852BC">
            <w:pPr>
              <w:keepNext/>
              <w:rPr>
                <w:rFonts w:ascii="Times New Roman" w:hAnsi="Times New Roman"/>
                <w:sz w:val="22"/>
                <w:szCs w:val="22"/>
                <w:lang w:val="fr-FR"/>
              </w:rPr>
            </w:pPr>
            <w:r w:rsidRPr="000E1775">
              <w:rPr>
                <w:rFonts w:ascii="Times New Roman" w:eastAsia="Calibri" w:hAnsi="Times New Roman"/>
                <w:b/>
                <w:bCs/>
                <w:sz w:val="22"/>
                <w:szCs w:val="22"/>
                <w:lang w:val="fr-FR"/>
              </w:rPr>
              <w:t xml:space="preserve">Kraujo ir limfinės sistemos sutrikimai </w:t>
            </w:r>
          </w:p>
        </w:tc>
      </w:tr>
      <w:tr w:rsidR="00E5066C" w:rsidRPr="000E1775" w:rsidTr="009852BC">
        <w:tc>
          <w:tcPr>
            <w:tcW w:w="2489" w:type="pct"/>
          </w:tcPr>
          <w:p w:rsidR="00E5066C" w:rsidRPr="000E1775" w:rsidRDefault="00E5066C" w:rsidP="009852BC">
            <w:pPr>
              <w:keepNext/>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E5066C" w:rsidP="009852BC">
            <w:pPr>
              <w:keepNext/>
              <w:rPr>
                <w:rFonts w:ascii="Times New Roman" w:hAnsi="Times New Roman"/>
                <w:sz w:val="22"/>
                <w:szCs w:val="22"/>
              </w:rPr>
            </w:pPr>
            <w:r w:rsidRPr="000E1775">
              <w:rPr>
                <w:rFonts w:ascii="Times New Roman" w:eastAsia="Calibri" w:hAnsi="Times New Roman"/>
                <w:sz w:val="22"/>
                <w:szCs w:val="22"/>
                <w:lang w:val="en-US"/>
              </w:rPr>
              <w:t>Agranuliocitozė</w:t>
            </w:r>
            <w:r w:rsidR="00372973" w:rsidRPr="000E1775">
              <w:rPr>
                <w:rFonts w:ascii="Times New Roman" w:eastAsia="Calibri" w:hAnsi="Times New Roman"/>
                <w:sz w:val="22"/>
                <w:szCs w:val="22"/>
                <w:vertAlign w:val="superscript"/>
                <w:lang w:val="en-US"/>
              </w:rPr>
              <w:t>1</w:t>
            </w:r>
            <w:r w:rsidRPr="000E1775">
              <w:rPr>
                <w:rFonts w:ascii="Times New Roman" w:eastAsia="Calibri" w:hAnsi="Times New Roman"/>
                <w:sz w:val="22"/>
                <w:szCs w:val="22"/>
                <w:lang w:val="en-US"/>
              </w:rPr>
              <w:t xml:space="preserve">, pancitopenija, trombocitopenija, </w:t>
            </w:r>
            <w:r w:rsidR="00372973" w:rsidRPr="000E1775">
              <w:rPr>
                <w:rFonts w:ascii="Times New Roman" w:eastAsia="Calibri" w:hAnsi="Times New Roman"/>
                <w:sz w:val="22"/>
                <w:szCs w:val="22"/>
                <w:lang w:val="en-US"/>
              </w:rPr>
              <w:t xml:space="preserve">leukopenija, </w:t>
            </w:r>
            <w:r w:rsidRPr="000E1775">
              <w:rPr>
                <w:rFonts w:ascii="Times New Roman" w:eastAsia="Calibri" w:hAnsi="Times New Roman"/>
                <w:sz w:val="22"/>
                <w:szCs w:val="22"/>
                <w:lang w:val="en-US"/>
              </w:rPr>
              <w:t>anemija</w:t>
            </w:r>
          </w:p>
        </w:tc>
      </w:tr>
      <w:tr w:rsidR="00E5066C" w:rsidRPr="000E1775" w:rsidTr="009852BC">
        <w:tc>
          <w:tcPr>
            <w:tcW w:w="2489" w:type="pct"/>
          </w:tcPr>
          <w:p w:rsidR="00E5066C" w:rsidRPr="000E1775" w:rsidRDefault="00E5066C" w:rsidP="009852BC">
            <w:pPr>
              <w:keepNext/>
              <w:rPr>
                <w:rFonts w:ascii="Times New Roman" w:hAnsi="Times New Roman"/>
                <w:sz w:val="22"/>
                <w:szCs w:val="22"/>
              </w:rPr>
            </w:pPr>
            <w:r w:rsidRPr="000E1775">
              <w:rPr>
                <w:rFonts w:ascii="Times New Roman" w:hAnsi="Times New Roman"/>
                <w:sz w:val="22"/>
                <w:szCs w:val="22"/>
              </w:rPr>
              <w:lastRenderedPageBreak/>
              <w:t>Nedažnas</w:t>
            </w:r>
          </w:p>
        </w:tc>
        <w:tc>
          <w:tcPr>
            <w:tcW w:w="2511" w:type="pct"/>
          </w:tcPr>
          <w:p w:rsidR="00E5066C" w:rsidRPr="000E1775" w:rsidRDefault="00372973" w:rsidP="00372973">
            <w:pPr>
              <w:autoSpaceDE w:val="0"/>
              <w:autoSpaceDN w:val="0"/>
              <w:adjustRightInd w:val="0"/>
              <w:rPr>
                <w:rFonts w:ascii="Times New Roman" w:hAnsi="Times New Roman"/>
                <w:sz w:val="22"/>
                <w:szCs w:val="22"/>
              </w:rPr>
            </w:pPr>
            <w:r w:rsidRPr="000E1775">
              <w:rPr>
                <w:rFonts w:ascii="Times New Roman" w:eastAsia="Calibri" w:hAnsi="Times New Roman"/>
                <w:sz w:val="22"/>
                <w:szCs w:val="22"/>
                <w:lang w:val="en-US"/>
              </w:rPr>
              <w:t>K</w:t>
            </w:r>
            <w:r w:rsidR="00E5066C" w:rsidRPr="000E1775">
              <w:rPr>
                <w:rFonts w:ascii="Times New Roman" w:eastAsia="Calibri" w:hAnsi="Times New Roman"/>
                <w:sz w:val="22"/>
                <w:szCs w:val="22"/>
                <w:lang w:val="en-US"/>
              </w:rPr>
              <w:t>aulų čiulpų nepakankamumas, limfadenopatija, eozinofilija.</w:t>
            </w:r>
            <w:r w:rsidR="00E5066C" w:rsidRPr="000E1775">
              <w:rPr>
                <w:rFonts w:ascii="Times New Roman" w:hAnsi="Times New Roman"/>
                <w:sz w:val="22"/>
                <w:szCs w:val="22"/>
                <w:lang w:eastAsia="hu-HU"/>
              </w:rPr>
              <w:t xml:space="preserve"> </w:t>
            </w:r>
          </w:p>
        </w:tc>
      </w:tr>
      <w:tr w:rsidR="00536EC7" w:rsidRPr="000E1775" w:rsidTr="009852BC">
        <w:tc>
          <w:tcPr>
            <w:tcW w:w="2489" w:type="pct"/>
          </w:tcPr>
          <w:p w:rsidR="00536EC7" w:rsidRPr="000E1775" w:rsidRDefault="00536EC7" w:rsidP="009852BC">
            <w:pPr>
              <w:keepNext/>
              <w:rPr>
                <w:rFonts w:ascii="Times New Roman" w:hAnsi="Times New Roman"/>
                <w:sz w:val="22"/>
                <w:szCs w:val="22"/>
              </w:rPr>
            </w:pPr>
            <w:r w:rsidRPr="000E1775">
              <w:rPr>
                <w:rFonts w:ascii="Times New Roman" w:hAnsi="Times New Roman"/>
                <w:sz w:val="22"/>
                <w:szCs w:val="22"/>
              </w:rPr>
              <w:t>Retas</w:t>
            </w:r>
          </w:p>
        </w:tc>
        <w:tc>
          <w:tcPr>
            <w:tcW w:w="2511" w:type="pct"/>
          </w:tcPr>
          <w:p w:rsidR="00536EC7" w:rsidRPr="000E1775" w:rsidDel="00372973" w:rsidRDefault="00536EC7" w:rsidP="00372973">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Diseminuota intravaskuliarinė koaguliacija</w:t>
            </w:r>
          </w:p>
        </w:tc>
      </w:tr>
      <w:tr w:rsidR="00E5066C" w:rsidRPr="000E1775" w:rsidTr="009852BC">
        <w:tc>
          <w:tcPr>
            <w:tcW w:w="5000" w:type="pct"/>
            <w:gridSpan w:val="2"/>
          </w:tcPr>
          <w:p w:rsidR="00E5066C" w:rsidRPr="000E1775" w:rsidRDefault="00E5066C" w:rsidP="009852BC">
            <w:pPr>
              <w:pStyle w:val="Default"/>
              <w:widowControl w:val="0"/>
              <w:tabs>
                <w:tab w:val="left" w:pos="567"/>
              </w:tabs>
              <w:rPr>
                <w:b/>
                <w:bCs/>
                <w:color w:val="auto"/>
                <w:sz w:val="22"/>
                <w:szCs w:val="22"/>
                <w:lang w:val="en-GB"/>
              </w:rPr>
            </w:pPr>
          </w:p>
        </w:tc>
      </w:tr>
      <w:tr w:rsidR="00E5066C" w:rsidRPr="000E1775" w:rsidTr="009852BC">
        <w:tc>
          <w:tcPr>
            <w:tcW w:w="5000" w:type="pct"/>
            <w:gridSpan w:val="2"/>
          </w:tcPr>
          <w:p w:rsidR="00E5066C" w:rsidRPr="000E1775" w:rsidRDefault="00E5066C" w:rsidP="009852BC">
            <w:pPr>
              <w:pStyle w:val="Default"/>
              <w:widowControl w:val="0"/>
              <w:tabs>
                <w:tab w:val="left" w:pos="567"/>
              </w:tabs>
              <w:rPr>
                <w:color w:val="auto"/>
                <w:sz w:val="22"/>
                <w:szCs w:val="22"/>
                <w:lang w:val="en-GB"/>
              </w:rPr>
            </w:pPr>
            <w:r w:rsidRPr="000E1775">
              <w:rPr>
                <w:rFonts w:eastAsia="Calibri"/>
                <w:b/>
                <w:bCs/>
                <w:color w:val="auto"/>
                <w:sz w:val="22"/>
                <w:szCs w:val="22"/>
              </w:rPr>
              <w:t xml:space="preserve">Imuninės sistemos sutrikimai </w:t>
            </w:r>
          </w:p>
        </w:tc>
      </w:tr>
      <w:tr w:rsidR="00E5066C" w:rsidRPr="000E1775" w:rsidTr="009852BC">
        <w:tc>
          <w:tcPr>
            <w:tcW w:w="2489" w:type="pct"/>
          </w:tcPr>
          <w:p w:rsidR="00E5066C" w:rsidRPr="000E1775" w:rsidRDefault="00E5066C" w:rsidP="009852BC">
            <w:pPr>
              <w:pStyle w:val="Default"/>
              <w:widowControl w:val="0"/>
              <w:tabs>
                <w:tab w:val="left" w:pos="567"/>
              </w:tabs>
              <w:rPr>
                <w:color w:val="auto"/>
                <w:sz w:val="22"/>
                <w:szCs w:val="22"/>
                <w:lang w:val="en-GB"/>
              </w:rPr>
            </w:pPr>
          </w:p>
        </w:tc>
        <w:tc>
          <w:tcPr>
            <w:tcW w:w="2511" w:type="pct"/>
          </w:tcPr>
          <w:p w:rsidR="00E5066C" w:rsidRPr="000E1775" w:rsidRDefault="00E5066C" w:rsidP="009852BC">
            <w:pPr>
              <w:pStyle w:val="Default"/>
              <w:widowControl w:val="0"/>
              <w:tabs>
                <w:tab w:val="left" w:pos="567"/>
              </w:tabs>
              <w:rPr>
                <w:color w:val="auto"/>
                <w:sz w:val="22"/>
                <w:szCs w:val="22"/>
                <w:lang w:val="en-GB"/>
              </w:rPr>
            </w:pP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Nedažnas</w:t>
            </w:r>
          </w:p>
        </w:tc>
        <w:tc>
          <w:tcPr>
            <w:tcW w:w="2511" w:type="pct"/>
          </w:tcPr>
          <w:p w:rsidR="00E5066C" w:rsidRPr="000E1775" w:rsidRDefault="00536EC7" w:rsidP="009852BC">
            <w:pPr>
              <w:pStyle w:val="Default"/>
              <w:widowControl w:val="0"/>
              <w:tabs>
                <w:tab w:val="left" w:pos="567"/>
              </w:tabs>
              <w:rPr>
                <w:color w:val="auto"/>
                <w:sz w:val="22"/>
                <w:szCs w:val="22"/>
                <w:lang w:val="en-GB"/>
              </w:rPr>
            </w:pPr>
            <w:r w:rsidRPr="000E1775">
              <w:rPr>
                <w:rFonts w:eastAsia="Calibri"/>
                <w:color w:val="auto"/>
                <w:sz w:val="22"/>
                <w:szCs w:val="22"/>
              </w:rPr>
              <w:t xml:space="preserve">Padidėjęs jautrumas  </w:t>
            </w:r>
          </w:p>
        </w:tc>
      </w:tr>
      <w:tr w:rsidR="00536EC7" w:rsidRPr="000E1775" w:rsidTr="009852BC">
        <w:tc>
          <w:tcPr>
            <w:tcW w:w="2489" w:type="pct"/>
          </w:tcPr>
          <w:p w:rsidR="00536EC7" w:rsidRPr="000E1775" w:rsidRDefault="00536EC7" w:rsidP="009852BC">
            <w:pPr>
              <w:widowControl w:val="0"/>
              <w:rPr>
                <w:rFonts w:ascii="Times New Roman" w:hAnsi="Times New Roman"/>
                <w:sz w:val="22"/>
                <w:szCs w:val="22"/>
              </w:rPr>
            </w:pPr>
            <w:r w:rsidRPr="000E1775">
              <w:rPr>
                <w:rFonts w:ascii="Times New Roman" w:hAnsi="Times New Roman"/>
                <w:sz w:val="22"/>
                <w:szCs w:val="22"/>
              </w:rPr>
              <w:t>Retas</w:t>
            </w:r>
          </w:p>
        </w:tc>
        <w:tc>
          <w:tcPr>
            <w:tcW w:w="2511" w:type="pct"/>
          </w:tcPr>
          <w:p w:rsidR="00536EC7" w:rsidRPr="000E1775" w:rsidRDefault="00536EC7" w:rsidP="009852BC">
            <w:pPr>
              <w:pStyle w:val="Default"/>
              <w:widowControl w:val="0"/>
              <w:tabs>
                <w:tab w:val="left" w:pos="567"/>
              </w:tabs>
              <w:rPr>
                <w:rFonts w:eastAsia="Calibri"/>
                <w:color w:val="auto"/>
                <w:sz w:val="22"/>
                <w:szCs w:val="22"/>
              </w:rPr>
            </w:pPr>
            <w:r w:rsidRPr="000E1775">
              <w:rPr>
                <w:rFonts w:eastAsia="Calibri"/>
                <w:color w:val="auto"/>
                <w:sz w:val="22"/>
                <w:szCs w:val="22"/>
              </w:rPr>
              <w:t>Anafilaktoidinė reakcija</w:t>
            </w:r>
          </w:p>
        </w:tc>
      </w:tr>
      <w:tr w:rsidR="00E5066C" w:rsidRPr="000E1775" w:rsidTr="009852BC">
        <w:tc>
          <w:tcPr>
            <w:tcW w:w="5000" w:type="pct"/>
            <w:gridSpan w:val="2"/>
          </w:tcPr>
          <w:p w:rsidR="00E5066C" w:rsidRPr="000E1775" w:rsidRDefault="00E5066C" w:rsidP="009852BC">
            <w:pPr>
              <w:pStyle w:val="Default"/>
              <w:widowControl w:val="0"/>
              <w:tabs>
                <w:tab w:val="left" w:pos="567"/>
              </w:tabs>
              <w:rPr>
                <w:b/>
                <w:bCs/>
                <w:color w:val="auto"/>
                <w:sz w:val="22"/>
                <w:szCs w:val="22"/>
                <w:lang w:val="en-GB"/>
              </w:rPr>
            </w:pPr>
          </w:p>
        </w:tc>
      </w:tr>
      <w:tr w:rsidR="00E5066C" w:rsidRPr="000E1775" w:rsidTr="009852BC">
        <w:tc>
          <w:tcPr>
            <w:tcW w:w="5000" w:type="pct"/>
            <w:gridSpan w:val="2"/>
          </w:tcPr>
          <w:p w:rsidR="00E5066C" w:rsidRPr="000E1775" w:rsidRDefault="00E5066C" w:rsidP="009852BC">
            <w:pPr>
              <w:pStyle w:val="Default"/>
              <w:widowControl w:val="0"/>
              <w:tabs>
                <w:tab w:val="left" w:pos="567"/>
              </w:tabs>
              <w:rPr>
                <w:color w:val="auto"/>
                <w:sz w:val="22"/>
                <w:szCs w:val="22"/>
                <w:lang w:val="en-GB"/>
              </w:rPr>
            </w:pPr>
            <w:r w:rsidRPr="000E1775">
              <w:rPr>
                <w:rFonts w:eastAsia="Calibri"/>
                <w:b/>
                <w:bCs/>
                <w:color w:val="auto"/>
                <w:sz w:val="22"/>
                <w:szCs w:val="22"/>
              </w:rPr>
              <w:t xml:space="preserve">Endokrininiai sutrikimai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Nedažnas</w:t>
            </w:r>
          </w:p>
        </w:tc>
        <w:tc>
          <w:tcPr>
            <w:tcW w:w="2511" w:type="pct"/>
          </w:tcPr>
          <w:p w:rsidR="00E5066C" w:rsidRPr="000E1775" w:rsidRDefault="00E5066C" w:rsidP="009852BC">
            <w:pPr>
              <w:pStyle w:val="Default"/>
              <w:widowControl w:val="0"/>
              <w:tabs>
                <w:tab w:val="left" w:pos="567"/>
              </w:tabs>
              <w:rPr>
                <w:color w:val="auto"/>
                <w:sz w:val="22"/>
                <w:szCs w:val="22"/>
                <w:lang w:val="en-GB"/>
              </w:rPr>
            </w:pPr>
            <w:r w:rsidRPr="000E1775">
              <w:rPr>
                <w:rFonts w:eastAsia="Calibri"/>
                <w:color w:val="auto"/>
                <w:sz w:val="22"/>
                <w:szCs w:val="22"/>
              </w:rPr>
              <w:t>Antinksčių nepakankamumas, hipotiroidizmas</w:t>
            </w:r>
            <w:r w:rsidRPr="000E1775">
              <w:rPr>
                <w:color w:val="auto"/>
                <w:sz w:val="22"/>
                <w:szCs w:val="22"/>
                <w:lang w:val="en-GB"/>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Retas</w:t>
            </w:r>
          </w:p>
        </w:tc>
        <w:tc>
          <w:tcPr>
            <w:tcW w:w="2511" w:type="pct"/>
          </w:tcPr>
          <w:p w:rsidR="00E5066C" w:rsidRPr="000E1775" w:rsidRDefault="00E5066C" w:rsidP="009852BC">
            <w:pPr>
              <w:pStyle w:val="Default"/>
              <w:widowControl w:val="0"/>
              <w:tabs>
                <w:tab w:val="left" w:pos="567"/>
              </w:tabs>
              <w:rPr>
                <w:color w:val="auto"/>
                <w:sz w:val="22"/>
                <w:szCs w:val="22"/>
                <w:lang w:val="en-GB"/>
              </w:rPr>
            </w:pPr>
            <w:r w:rsidRPr="000E1775">
              <w:rPr>
                <w:rFonts w:eastAsia="Calibri"/>
                <w:color w:val="auto"/>
                <w:sz w:val="22"/>
                <w:szCs w:val="22"/>
              </w:rPr>
              <w:t>Hipertirozė</w:t>
            </w:r>
            <w:r w:rsidRPr="000E1775">
              <w:rPr>
                <w:color w:val="auto"/>
                <w:sz w:val="22"/>
                <w:szCs w:val="22"/>
                <w:lang w:val="en-GB"/>
              </w:rPr>
              <w:t xml:space="preserve"> </w:t>
            </w:r>
          </w:p>
        </w:tc>
      </w:tr>
      <w:tr w:rsidR="00E5066C" w:rsidRPr="000E1775" w:rsidTr="009852BC">
        <w:tc>
          <w:tcPr>
            <w:tcW w:w="5000" w:type="pct"/>
            <w:gridSpan w:val="2"/>
          </w:tcPr>
          <w:p w:rsidR="00E5066C" w:rsidRPr="000E1775" w:rsidRDefault="00E5066C" w:rsidP="009852BC">
            <w:pPr>
              <w:pStyle w:val="Default"/>
              <w:widowControl w:val="0"/>
              <w:tabs>
                <w:tab w:val="left" w:pos="567"/>
              </w:tabs>
              <w:rPr>
                <w:b/>
                <w:bCs/>
                <w:color w:val="auto"/>
                <w:sz w:val="22"/>
                <w:szCs w:val="22"/>
                <w:lang w:val="en-GB"/>
              </w:rPr>
            </w:pPr>
          </w:p>
        </w:tc>
      </w:tr>
      <w:tr w:rsidR="00E5066C" w:rsidRPr="000E1775" w:rsidTr="009852BC">
        <w:tc>
          <w:tcPr>
            <w:tcW w:w="5000" w:type="pct"/>
            <w:gridSpan w:val="2"/>
          </w:tcPr>
          <w:p w:rsidR="00E5066C" w:rsidRPr="000E1775" w:rsidRDefault="00E5066C" w:rsidP="009852BC">
            <w:pPr>
              <w:pStyle w:val="Default"/>
              <w:widowControl w:val="0"/>
              <w:tabs>
                <w:tab w:val="left" w:pos="567"/>
              </w:tabs>
              <w:rPr>
                <w:color w:val="auto"/>
                <w:sz w:val="22"/>
                <w:szCs w:val="22"/>
                <w:lang w:val="en-GB"/>
              </w:rPr>
            </w:pPr>
            <w:r w:rsidRPr="000E1775">
              <w:rPr>
                <w:rFonts w:eastAsia="Calibri"/>
                <w:b/>
                <w:bCs/>
                <w:color w:val="auto"/>
                <w:sz w:val="22"/>
                <w:szCs w:val="22"/>
              </w:rPr>
              <w:t>Metabolizmo ir mitybos sutrikimai</w:t>
            </w:r>
            <w:r w:rsidRPr="000E1775">
              <w:rPr>
                <w:b/>
                <w:bCs/>
                <w:color w:val="auto"/>
                <w:sz w:val="22"/>
                <w:szCs w:val="22"/>
                <w:lang w:val="en-GB"/>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 xml:space="preserve">Labai dažnas </w:t>
            </w:r>
          </w:p>
        </w:tc>
        <w:tc>
          <w:tcPr>
            <w:tcW w:w="2511" w:type="pct"/>
          </w:tcPr>
          <w:p w:rsidR="00E5066C" w:rsidRPr="000E1775" w:rsidRDefault="00E5066C" w:rsidP="009852BC">
            <w:pPr>
              <w:pStyle w:val="Default"/>
              <w:widowControl w:val="0"/>
              <w:tabs>
                <w:tab w:val="left" w:pos="567"/>
              </w:tabs>
              <w:rPr>
                <w:color w:val="auto"/>
                <w:sz w:val="22"/>
                <w:szCs w:val="22"/>
                <w:lang w:val="en-GB"/>
              </w:rPr>
            </w:pPr>
            <w:r w:rsidRPr="000E1775">
              <w:rPr>
                <w:rFonts w:eastAsia="Calibri"/>
                <w:color w:val="auto"/>
                <w:sz w:val="22"/>
                <w:szCs w:val="22"/>
              </w:rPr>
              <w:t>Periferinė edema</w:t>
            </w:r>
            <w:r w:rsidRPr="000E1775">
              <w:rPr>
                <w:color w:val="auto"/>
                <w:sz w:val="22"/>
                <w:szCs w:val="22"/>
                <w:lang w:val="en-GB"/>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E5066C" w:rsidP="009852BC">
            <w:pPr>
              <w:pStyle w:val="Default"/>
              <w:widowControl w:val="0"/>
              <w:tabs>
                <w:tab w:val="left" w:pos="567"/>
              </w:tabs>
              <w:rPr>
                <w:color w:val="auto"/>
                <w:sz w:val="22"/>
                <w:szCs w:val="22"/>
                <w:lang w:val="en-GB"/>
              </w:rPr>
            </w:pPr>
            <w:r w:rsidRPr="000E1775">
              <w:rPr>
                <w:rFonts w:eastAsia="Calibri"/>
                <w:color w:val="auto"/>
                <w:sz w:val="22"/>
                <w:szCs w:val="22"/>
              </w:rPr>
              <w:t>Hipoglikemija, hipokalemija, hiponatremija</w:t>
            </w:r>
            <w:r w:rsidRPr="000E1775">
              <w:rPr>
                <w:color w:val="auto"/>
                <w:sz w:val="22"/>
                <w:szCs w:val="22"/>
                <w:lang w:val="en-GB"/>
              </w:rPr>
              <w:t xml:space="preserve"> </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Psichikos sutrikimai</w:t>
            </w:r>
            <w:r w:rsidRPr="000E1775">
              <w:rPr>
                <w:rFonts w:ascii="Times New Roman" w:hAnsi="Times New Roman"/>
                <w:b/>
                <w:bCs/>
                <w:sz w:val="22"/>
                <w:szCs w:val="22"/>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E5066C" w:rsidP="009852BC">
            <w:pPr>
              <w:pStyle w:val="Default"/>
              <w:widowControl w:val="0"/>
              <w:tabs>
                <w:tab w:val="left" w:pos="567"/>
              </w:tabs>
              <w:rPr>
                <w:color w:val="auto"/>
                <w:sz w:val="22"/>
                <w:szCs w:val="22"/>
                <w:lang w:val="en-GB"/>
              </w:rPr>
            </w:pPr>
            <w:r w:rsidRPr="000E1775">
              <w:rPr>
                <w:rFonts w:eastAsia="Calibri"/>
                <w:color w:val="auto"/>
                <w:sz w:val="22"/>
                <w:szCs w:val="22"/>
              </w:rPr>
              <w:t>Depresija, haliucinacijos, nerimas, nemiga, susijaudinimas, sumišimo būklė</w:t>
            </w:r>
            <w:r w:rsidRPr="000E1775">
              <w:rPr>
                <w:color w:val="auto"/>
                <w:sz w:val="22"/>
                <w:szCs w:val="22"/>
                <w:lang w:val="en-GB"/>
              </w:rPr>
              <w:t xml:space="preserve"> </w:t>
            </w:r>
          </w:p>
        </w:tc>
      </w:tr>
      <w:tr w:rsidR="00E5066C" w:rsidRPr="000E1775" w:rsidTr="009852BC">
        <w:tc>
          <w:tcPr>
            <w:tcW w:w="5000" w:type="pct"/>
            <w:gridSpan w:val="2"/>
          </w:tcPr>
          <w:p w:rsidR="00E5066C" w:rsidRPr="000E1775" w:rsidRDefault="00E5066C" w:rsidP="009852BC">
            <w:pPr>
              <w:pStyle w:val="Default"/>
              <w:widowControl w:val="0"/>
              <w:tabs>
                <w:tab w:val="left" w:pos="567"/>
              </w:tabs>
              <w:rPr>
                <w:color w:val="auto"/>
                <w:sz w:val="22"/>
                <w:szCs w:val="22"/>
                <w:lang w:val="en-GB"/>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Nervų sistemos sutrikimai</w:t>
            </w:r>
            <w:r w:rsidRPr="000E1775">
              <w:rPr>
                <w:rFonts w:ascii="Times New Roman" w:hAnsi="Times New Roman"/>
                <w:b/>
                <w:bCs/>
                <w:sz w:val="22"/>
                <w:szCs w:val="22"/>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 xml:space="preserve">Labai dažnas </w:t>
            </w:r>
          </w:p>
        </w:tc>
        <w:tc>
          <w:tcPr>
            <w:tcW w:w="2511" w:type="pct"/>
          </w:tcPr>
          <w:p w:rsidR="00E5066C" w:rsidRPr="000E1775" w:rsidRDefault="00E5066C" w:rsidP="009852BC">
            <w:pPr>
              <w:pStyle w:val="Default"/>
              <w:widowControl w:val="0"/>
              <w:tabs>
                <w:tab w:val="left" w:pos="567"/>
              </w:tabs>
              <w:rPr>
                <w:color w:val="auto"/>
                <w:sz w:val="22"/>
                <w:szCs w:val="22"/>
                <w:lang w:val="en-GB"/>
              </w:rPr>
            </w:pPr>
            <w:r w:rsidRPr="000E1775">
              <w:rPr>
                <w:rFonts w:eastAsia="Calibri"/>
                <w:color w:val="auto"/>
                <w:sz w:val="22"/>
                <w:szCs w:val="22"/>
              </w:rPr>
              <w:t>Galvos skausmas</w:t>
            </w:r>
            <w:r w:rsidRPr="000E1775">
              <w:rPr>
                <w:color w:val="auto"/>
                <w:sz w:val="22"/>
                <w:szCs w:val="22"/>
                <w:lang w:val="en-GB"/>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E5066C" w:rsidP="00536EC7">
            <w:pPr>
              <w:autoSpaceDE w:val="0"/>
              <w:autoSpaceDN w:val="0"/>
              <w:adjustRightInd w:val="0"/>
              <w:rPr>
                <w:rFonts w:ascii="Times New Roman" w:hAnsi="Times New Roman"/>
                <w:sz w:val="22"/>
                <w:szCs w:val="22"/>
              </w:rPr>
            </w:pPr>
            <w:r w:rsidRPr="000E1775">
              <w:rPr>
                <w:rFonts w:ascii="Times New Roman" w:eastAsia="Calibri" w:hAnsi="Times New Roman"/>
                <w:sz w:val="22"/>
                <w:szCs w:val="22"/>
                <w:lang w:val="en-US"/>
              </w:rPr>
              <w:t xml:space="preserve">Traukuliai, </w:t>
            </w:r>
            <w:r w:rsidR="00536EC7" w:rsidRPr="000E1775">
              <w:rPr>
                <w:rFonts w:ascii="Times New Roman" w:eastAsia="Calibri" w:hAnsi="Times New Roman"/>
                <w:sz w:val="22"/>
                <w:szCs w:val="22"/>
                <w:lang w:val="en-US"/>
              </w:rPr>
              <w:t xml:space="preserve">apalpimas, </w:t>
            </w:r>
            <w:r w:rsidRPr="000E1775">
              <w:rPr>
                <w:rFonts w:ascii="Times New Roman" w:eastAsia="Calibri" w:hAnsi="Times New Roman"/>
                <w:sz w:val="22"/>
                <w:szCs w:val="22"/>
                <w:lang w:val="en-US"/>
              </w:rPr>
              <w:t xml:space="preserve">drebulys, </w:t>
            </w:r>
            <w:r w:rsidR="00536EC7" w:rsidRPr="000E1775">
              <w:rPr>
                <w:rFonts w:ascii="Times New Roman" w:eastAsia="Calibri" w:hAnsi="Times New Roman"/>
                <w:sz w:val="22"/>
                <w:szCs w:val="22"/>
                <w:lang w:val="en-US"/>
              </w:rPr>
              <w:t>hipertonija</w:t>
            </w:r>
            <w:r w:rsidR="00536EC7" w:rsidRPr="000E1775">
              <w:rPr>
                <w:rFonts w:ascii="Times New Roman" w:eastAsia="Calibri" w:hAnsi="Times New Roman"/>
                <w:sz w:val="22"/>
                <w:szCs w:val="22"/>
                <w:vertAlign w:val="superscript"/>
                <w:lang w:val="en-US"/>
              </w:rPr>
              <w:t>3</w:t>
            </w:r>
            <w:r w:rsidR="00536EC7" w:rsidRPr="000E1775">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 xml:space="preserve">parestezija, mieguistumas, </w:t>
            </w:r>
            <w:r w:rsidRPr="000E1775">
              <w:rPr>
                <w:rFonts w:ascii="Times New Roman" w:hAnsi="Times New Roman"/>
                <w:sz w:val="22"/>
                <w:szCs w:val="22"/>
              </w:rPr>
              <w:t>svaigulys</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Nedažnas</w:t>
            </w:r>
          </w:p>
        </w:tc>
        <w:tc>
          <w:tcPr>
            <w:tcW w:w="2511" w:type="pct"/>
          </w:tcPr>
          <w:p w:rsidR="00E5066C" w:rsidRPr="000E1775" w:rsidRDefault="00E5066C" w:rsidP="00536EC7">
            <w:pPr>
              <w:pStyle w:val="Default"/>
              <w:widowControl w:val="0"/>
              <w:tabs>
                <w:tab w:val="left" w:pos="567"/>
              </w:tabs>
              <w:rPr>
                <w:sz w:val="22"/>
                <w:szCs w:val="22"/>
                <w:lang w:val="en-GB"/>
              </w:rPr>
            </w:pPr>
            <w:r w:rsidRPr="000E1775">
              <w:rPr>
                <w:rFonts w:eastAsia="Calibri"/>
                <w:sz w:val="22"/>
                <w:szCs w:val="22"/>
                <w:lang w:val="en-GB"/>
              </w:rPr>
              <w:t>Smegenų edema, encefalopatija</w:t>
            </w:r>
            <w:r w:rsidR="00536EC7" w:rsidRPr="000E1775">
              <w:rPr>
                <w:rFonts w:eastAsia="Calibri"/>
                <w:sz w:val="22"/>
                <w:szCs w:val="22"/>
                <w:vertAlign w:val="superscript"/>
                <w:lang w:val="en-GB"/>
              </w:rPr>
              <w:t>4</w:t>
            </w:r>
            <w:r w:rsidRPr="000E1775">
              <w:rPr>
                <w:rFonts w:eastAsia="Calibri"/>
                <w:sz w:val="22"/>
                <w:szCs w:val="22"/>
                <w:lang w:val="en-GB"/>
              </w:rPr>
              <w:t>, ekstrapiramidinis sutrikimas</w:t>
            </w:r>
            <w:r w:rsidR="00536EC7" w:rsidRPr="000E1775">
              <w:rPr>
                <w:rFonts w:eastAsia="Calibri"/>
                <w:sz w:val="22"/>
                <w:szCs w:val="22"/>
                <w:vertAlign w:val="superscript"/>
                <w:lang w:val="en-GB"/>
              </w:rPr>
              <w:t>5</w:t>
            </w:r>
            <w:r w:rsidRPr="000E1775">
              <w:rPr>
                <w:rFonts w:eastAsia="Calibri"/>
                <w:sz w:val="22"/>
                <w:szCs w:val="22"/>
                <w:lang w:val="en-GB"/>
              </w:rPr>
              <w:t>, periferinė</w:t>
            </w:r>
            <w:r w:rsidRPr="000E1775">
              <w:rPr>
                <w:rFonts w:eastAsia="Calibri"/>
                <w:sz w:val="22"/>
                <w:szCs w:val="22"/>
              </w:rPr>
              <w:t xml:space="preserve"> neuropatija, ataksija, hipoestezija, disgeuzija</w:t>
            </w:r>
            <w:r w:rsidRPr="000E1775">
              <w:rPr>
                <w:sz w:val="22"/>
                <w:szCs w:val="22"/>
                <w:lang w:val="en-GB"/>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Retas</w:t>
            </w:r>
          </w:p>
        </w:tc>
        <w:tc>
          <w:tcPr>
            <w:tcW w:w="2511" w:type="pct"/>
          </w:tcPr>
          <w:p w:rsidR="00E5066C" w:rsidRPr="000E1775" w:rsidRDefault="00E5066C" w:rsidP="009852BC">
            <w:pPr>
              <w:pStyle w:val="Default"/>
              <w:widowControl w:val="0"/>
              <w:tabs>
                <w:tab w:val="left" w:pos="567"/>
              </w:tabs>
              <w:rPr>
                <w:sz w:val="22"/>
                <w:szCs w:val="22"/>
                <w:lang w:val="fr-FR"/>
              </w:rPr>
            </w:pPr>
            <w:r w:rsidRPr="000E1775">
              <w:rPr>
                <w:rFonts w:eastAsia="Calibri"/>
                <w:sz w:val="22"/>
                <w:szCs w:val="22"/>
                <w:lang w:val="fr-FR"/>
              </w:rPr>
              <w:t xml:space="preserve">Hepatinė encefalopatija, </w:t>
            </w:r>
            <w:r w:rsidRPr="000E1775">
              <w:rPr>
                <w:rFonts w:eastAsia="TimesNewRoman,Italic"/>
                <w:i/>
                <w:iCs/>
                <w:sz w:val="22"/>
                <w:szCs w:val="22"/>
                <w:lang w:val="fr-FR"/>
              </w:rPr>
              <w:t xml:space="preserve">Guillain-Barre </w:t>
            </w:r>
            <w:r w:rsidRPr="000E1775">
              <w:rPr>
                <w:rFonts w:eastAsia="Calibri"/>
                <w:sz w:val="22"/>
                <w:szCs w:val="22"/>
                <w:lang w:val="fr-FR"/>
              </w:rPr>
              <w:t>sindromas</w:t>
            </w:r>
            <w:r w:rsidR="00536EC7" w:rsidRPr="000E1775">
              <w:rPr>
                <w:rFonts w:eastAsia="Calibri"/>
                <w:sz w:val="22"/>
                <w:szCs w:val="22"/>
                <w:lang w:val="fr-FR"/>
              </w:rPr>
              <w:t>,</w:t>
            </w:r>
            <w:r w:rsidR="00536EC7" w:rsidRPr="000E1775">
              <w:rPr>
                <w:sz w:val="22"/>
                <w:szCs w:val="22"/>
              </w:rPr>
              <w:t xml:space="preserve"> </w:t>
            </w:r>
            <w:r w:rsidR="00536EC7" w:rsidRPr="000E1775">
              <w:rPr>
                <w:rFonts w:eastAsia="Calibri"/>
                <w:sz w:val="22"/>
                <w:szCs w:val="22"/>
                <w:lang w:val="fr-FR"/>
              </w:rPr>
              <w:t>nistagmas</w:t>
            </w:r>
            <w:r w:rsidRPr="000E1775">
              <w:rPr>
                <w:rFonts w:eastAsia="Calibri"/>
                <w:sz w:val="22"/>
                <w:szCs w:val="22"/>
                <w:lang w:val="fr-FR"/>
              </w:rPr>
              <w:t xml:space="preserve"> </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lang w:val="fr-FR"/>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 xml:space="preserve">Akių sutrikimai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lang w:val="lt-LT"/>
              </w:rPr>
            </w:pPr>
            <w:r w:rsidRPr="000E1775">
              <w:rPr>
                <w:rFonts w:ascii="Times New Roman" w:hAnsi="Times New Roman"/>
                <w:sz w:val="22"/>
                <w:szCs w:val="22"/>
              </w:rPr>
              <w:t>Labai dažnas</w:t>
            </w:r>
          </w:p>
        </w:tc>
        <w:tc>
          <w:tcPr>
            <w:tcW w:w="2511" w:type="pct"/>
          </w:tcPr>
          <w:p w:rsidR="00E5066C" w:rsidRPr="000E1775" w:rsidRDefault="00E5066C" w:rsidP="0020797B">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Regėjimo sutrikimas</w:t>
            </w:r>
            <w:r w:rsidR="0020797B" w:rsidRPr="000E1775">
              <w:rPr>
                <w:rFonts w:ascii="Times New Roman" w:eastAsia="Calibri" w:hAnsi="Times New Roman"/>
                <w:sz w:val="22"/>
                <w:szCs w:val="22"/>
                <w:vertAlign w:val="superscript"/>
                <w:lang w:val="lt-LT"/>
              </w:rPr>
              <w:t>6</w:t>
            </w:r>
            <w:r w:rsidRPr="000E1775">
              <w:rPr>
                <w:rFonts w:ascii="Times New Roman" w:eastAsia="Calibri" w:hAnsi="Times New Roman"/>
                <w:sz w:val="22"/>
                <w:szCs w:val="22"/>
                <w:lang w:val="lt-LT"/>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rPr>
              <w:t xml:space="preserve">Tinklainės kraujosruva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Nedažnas</w:t>
            </w:r>
          </w:p>
        </w:tc>
        <w:tc>
          <w:tcPr>
            <w:tcW w:w="2511" w:type="pct"/>
          </w:tcPr>
          <w:p w:rsidR="00E5066C" w:rsidRPr="000E1775" w:rsidRDefault="0020797B" w:rsidP="00685380">
            <w:pPr>
              <w:autoSpaceDE w:val="0"/>
              <w:autoSpaceDN w:val="0"/>
              <w:adjustRightInd w:val="0"/>
              <w:rPr>
                <w:rFonts w:ascii="Times New Roman" w:hAnsi="Times New Roman"/>
                <w:sz w:val="22"/>
                <w:szCs w:val="22"/>
              </w:rPr>
            </w:pPr>
            <w:r w:rsidRPr="000E1775">
              <w:rPr>
                <w:rFonts w:ascii="Times New Roman" w:eastAsia="Calibri" w:hAnsi="Times New Roman"/>
                <w:sz w:val="22"/>
                <w:szCs w:val="22"/>
                <w:lang w:val="en-US"/>
              </w:rPr>
              <w:t>R</w:t>
            </w:r>
            <w:r w:rsidR="00E5066C" w:rsidRPr="000E1775">
              <w:rPr>
                <w:rFonts w:ascii="Times New Roman" w:eastAsia="Calibri" w:hAnsi="Times New Roman"/>
                <w:sz w:val="22"/>
                <w:szCs w:val="22"/>
                <w:lang w:val="en-US"/>
              </w:rPr>
              <w:t>egos nervo disko edema</w:t>
            </w:r>
            <w:r w:rsidRPr="000E1775">
              <w:rPr>
                <w:rFonts w:ascii="Times New Roman" w:eastAsia="Calibri" w:hAnsi="Times New Roman"/>
                <w:sz w:val="22"/>
                <w:szCs w:val="22"/>
                <w:vertAlign w:val="superscript"/>
                <w:lang w:val="en-US"/>
              </w:rPr>
              <w:t>8</w:t>
            </w:r>
            <w:r w:rsidRPr="000E1775">
              <w:rPr>
                <w:sz w:val="22"/>
                <w:szCs w:val="22"/>
              </w:rPr>
              <w:t xml:space="preserve"> o</w:t>
            </w:r>
            <w:r w:rsidRPr="000E1775">
              <w:rPr>
                <w:rFonts w:ascii="Times New Roman" w:eastAsia="Calibri" w:hAnsi="Times New Roman"/>
                <w:sz w:val="22"/>
                <w:szCs w:val="22"/>
                <w:lang w:val="en-US"/>
              </w:rPr>
              <w:t>kulogirinė krizė</w:t>
            </w:r>
            <w:r w:rsidR="00E5066C" w:rsidRPr="000E1775">
              <w:rPr>
                <w:rFonts w:ascii="Times New Roman" w:eastAsia="Calibri" w:hAnsi="Times New Roman"/>
                <w:sz w:val="22"/>
                <w:szCs w:val="22"/>
                <w:lang w:val="en-US"/>
              </w:rPr>
              <w:t>, regos nervo sutrikimas</w:t>
            </w:r>
            <w:r w:rsidR="00685380" w:rsidRPr="000E1775">
              <w:rPr>
                <w:rFonts w:ascii="Times New Roman" w:eastAsia="Calibri" w:hAnsi="Times New Roman"/>
                <w:sz w:val="22"/>
                <w:szCs w:val="22"/>
                <w:vertAlign w:val="superscript"/>
                <w:lang w:val="en-US"/>
              </w:rPr>
              <w:t>7</w:t>
            </w:r>
            <w:r w:rsidR="00E5066C" w:rsidRPr="000E1775">
              <w:rPr>
                <w:rFonts w:ascii="Times New Roman" w:eastAsia="Calibri" w:hAnsi="Times New Roman"/>
                <w:sz w:val="22"/>
                <w:szCs w:val="22"/>
                <w:lang w:val="en-US"/>
              </w:rPr>
              <w:t xml:space="preserve">, </w:t>
            </w:r>
            <w:r w:rsidR="00685380" w:rsidRPr="000E1775">
              <w:rPr>
                <w:rFonts w:ascii="Times New Roman" w:eastAsia="Calibri" w:hAnsi="Times New Roman"/>
                <w:sz w:val="22"/>
                <w:szCs w:val="22"/>
                <w:lang w:val="en-US"/>
              </w:rPr>
              <w:t xml:space="preserve">dvejinimasis akyse, </w:t>
            </w:r>
            <w:r w:rsidR="00E5066C" w:rsidRPr="000E1775">
              <w:rPr>
                <w:rFonts w:ascii="Times New Roman" w:eastAsia="Calibri" w:hAnsi="Times New Roman"/>
                <w:sz w:val="22"/>
                <w:szCs w:val="22"/>
                <w:lang w:val="en-US"/>
              </w:rPr>
              <w:t xml:space="preserve">skleritas, blefaritas,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Retas</w:t>
            </w:r>
          </w:p>
        </w:tc>
        <w:tc>
          <w:tcPr>
            <w:tcW w:w="2511" w:type="pct"/>
          </w:tcPr>
          <w:p w:rsidR="00E5066C" w:rsidRPr="000E1775" w:rsidRDefault="00E5066C" w:rsidP="009852BC">
            <w:pPr>
              <w:pStyle w:val="Default"/>
              <w:widowControl w:val="0"/>
              <w:tabs>
                <w:tab w:val="left" w:pos="567"/>
              </w:tabs>
              <w:rPr>
                <w:sz w:val="22"/>
                <w:szCs w:val="22"/>
                <w:lang w:val="de-DE"/>
              </w:rPr>
            </w:pPr>
            <w:r w:rsidRPr="000E1775">
              <w:rPr>
                <w:rFonts w:eastAsia="Calibri"/>
                <w:sz w:val="22"/>
                <w:szCs w:val="22"/>
                <w:lang w:val="de-DE"/>
              </w:rPr>
              <w:t xml:space="preserve">Regos nervo atrofija, ragenos drumstis </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lang w:val="de-DE"/>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 xml:space="preserve">Ausų ir labirintų sutrikimai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Nedažnas</w:t>
            </w:r>
          </w:p>
        </w:tc>
        <w:tc>
          <w:tcPr>
            <w:tcW w:w="2511" w:type="pct"/>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rPr>
              <w:t>Klausos aštrumo sumažėjimas, svaigimas (</w:t>
            </w:r>
            <w:r w:rsidRPr="000E1775">
              <w:rPr>
                <w:rFonts w:eastAsia="Calibri"/>
                <w:i/>
                <w:sz w:val="22"/>
                <w:szCs w:val="22"/>
              </w:rPr>
              <w:t>vertigo</w:t>
            </w:r>
            <w:r w:rsidRPr="000E1775">
              <w:rPr>
                <w:rFonts w:eastAsia="Calibri"/>
                <w:sz w:val="22"/>
                <w:szCs w:val="22"/>
              </w:rPr>
              <w:t>), ūžesys (</w:t>
            </w:r>
            <w:r w:rsidRPr="000E1775">
              <w:rPr>
                <w:rFonts w:eastAsia="Calibri"/>
                <w:i/>
                <w:sz w:val="22"/>
                <w:szCs w:val="22"/>
              </w:rPr>
              <w:t>tinnitus</w:t>
            </w:r>
            <w:r w:rsidRPr="000E1775">
              <w:rPr>
                <w:rFonts w:eastAsia="Calibri"/>
                <w:sz w:val="22"/>
                <w:szCs w:val="22"/>
              </w:rPr>
              <w:t xml:space="preserve">) </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rPr>
            </w:pPr>
          </w:p>
        </w:tc>
      </w:tr>
      <w:tr w:rsidR="00E5066C" w:rsidRPr="000E1775" w:rsidTr="009852BC">
        <w:tc>
          <w:tcPr>
            <w:tcW w:w="5000" w:type="pct"/>
            <w:gridSpan w:val="2"/>
          </w:tcPr>
          <w:p w:rsidR="00E5066C" w:rsidRPr="000E1775" w:rsidRDefault="00E5066C" w:rsidP="009852BC">
            <w:pPr>
              <w:keepNext/>
              <w:rPr>
                <w:rFonts w:ascii="Times New Roman" w:hAnsi="Times New Roman"/>
                <w:sz w:val="22"/>
                <w:szCs w:val="22"/>
              </w:rPr>
            </w:pPr>
            <w:r w:rsidRPr="000E1775">
              <w:rPr>
                <w:rFonts w:ascii="Times New Roman" w:eastAsia="Calibri" w:hAnsi="Times New Roman"/>
                <w:b/>
                <w:bCs/>
                <w:sz w:val="22"/>
                <w:szCs w:val="22"/>
                <w:lang w:val="en-US"/>
              </w:rPr>
              <w:t xml:space="preserve">Širdies sutrikimai </w:t>
            </w:r>
          </w:p>
        </w:tc>
      </w:tr>
      <w:tr w:rsidR="00E5066C" w:rsidRPr="000E1775" w:rsidTr="009852BC">
        <w:tc>
          <w:tcPr>
            <w:tcW w:w="2489" w:type="pct"/>
          </w:tcPr>
          <w:p w:rsidR="00E5066C" w:rsidRPr="000E1775" w:rsidRDefault="00E5066C" w:rsidP="009852BC">
            <w:pPr>
              <w:keepNext/>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E5066C" w:rsidP="009852BC">
            <w:pPr>
              <w:pStyle w:val="Default"/>
              <w:keepNext/>
              <w:tabs>
                <w:tab w:val="left" w:pos="567"/>
              </w:tabs>
              <w:rPr>
                <w:sz w:val="22"/>
                <w:szCs w:val="22"/>
                <w:lang w:val="en-GB"/>
              </w:rPr>
            </w:pPr>
            <w:r w:rsidRPr="000E1775">
              <w:rPr>
                <w:rFonts w:eastAsia="Calibri"/>
                <w:sz w:val="22"/>
                <w:szCs w:val="22"/>
              </w:rPr>
              <w:t xml:space="preserve">Supraventrikulinė aritmija, tachikardija, bradikardija </w:t>
            </w:r>
          </w:p>
        </w:tc>
      </w:tr>
      <w:tr w:rsidR="00E5066C" w:rsidRPr="000E1775" w:rsidTr="009852BC">
        <w:tc>
          <w:tcPr>
            <w:tcW w:w="2489" w:type="pct"/>
          </w:tcPr>
          <w:p w:rsidR="00E5066C" w:rsidRPr="000E1775" w:rsidRDefault="00E5066C" w:rsidP="009852BC">
            <w:pPr>
              <w:keepNext/>
              <w:rPr>
                <w:rFonts w:ascii="Times New Roman" w:hAnsi="Times New Roman"/>
                <w:sz w:val="22"/>
                <w:szCs w:val="22"/>
              </w:rPr>
            </w:pPr>
            <w:r w:rsidRPr="000E1775">
              <w:rPr>
                <w:rFonts w:ascii="Times New Roman" w:hAnsi="Times New Roman"/>
                <w:sz w:val="22"/>
                <w:szCs w:val="22"/>
              </w:rPr>
              <w:t>Nedažnas</w:t>
            </w:r>
          </w:p>
        </w:tc>
        <w:tc>
          <w:tcPr>
            <w:tcW w:w="2511" w:type="pct"/>
          </w:tcPr>
          <w:p w:rsidR="00E5066C" w:rsidRPr="000E1775" w:rsidRDefault="00E5066C" w:rsidP="00685380">
            <w:pPr>
              <w:autoSpaceDE w:val="0"/>
              <w:autoSpaceDN w:val="0"/>
              <w:adjustRightInd w:val="0"/>
              <w:rPr>
                <w:rFonts w:ascii="Times New Roman" w:hAnsi="Times New Roman"/>
                <w:sz w:val="22"/>
                <w:szCs w:val="22"/>
              </w:rPr>
            </w:pPr>
            <w:r w:rsidRPr="000E1775">
              <w:rPr>
                <w:rFonts w:ascii="Times New Roman" w:eastAsia="Calibri" w:hAnsi="Times New Roman"/>
                <w:sz w:val="22"/>
                <w:szCs w:val="22"/>
                <w:lang w:val="en-US"/>
              </w:rPr>
              <w:t xml:space="preserve">Skilvelių virpėjimas, skilvelių ekstrasistolės, </w:t>
            </w:r>
            <w:r w:rsidR="00685380" w:rsidRPr="000E1775">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skilvelinė tachikardija</w:t>
            </w:r>
            <w:r w:rsidR="00685380" w:rsidRPr="000E1775">
              <w:rPr>
                <w:rFonts w:ascii="Times New Roman" w:eastAsia="Calibri" w:hAnsi="Times New Roman"/>
                <w:sz w:val="22"/>
                <w:szCs w:val="22"/>
                <w:lang w:val="en-US"/>
              </w:rPr>
              <w:t>,</w:t>
            </w:r>
            <w:r w:rsidR="00685380" w:rsidRPr="000E1775">
              <w:rPr>
                <w:sz w:val="22"/>
                <w:szCs w:val="22"/>
              </w:rPr>
              <w:t xml:space="preserve"> </w:t>
            </w:r>
            <w:r w:rsidR="00685380" w:rsidRPr="000E1775">
              <w:rPr>
                <w:rFonts w:ascii="Times New Roman" w:eastAsia="Calibri" w:hAnsi="Times New Roman"/>
                <w:sz w:val="22"/>
                <w:szCs w:val="22"/>
                <w:lang w:val="en-US"/>
              </w:rPr>
              <w:t>pailgėjęs QT intervalas elektrokardiogramoje, supraventrikulinė</w:t>
            </w:r>
            <w:r w:rsidRPr="000E1775">
              <w:rPr>
                <w:rFonts w:ascii="Times New Roman" w:eastAsia="Calibri" w:hAnsi="Times New Roman"/>
                <w:sz w:val="22"/>
                <w:szCs w:val="22"/>
                <w:lang w:val="en-US"/>
              </w:rPr>
              <w:t xml:space="preserve"> </w:t>
            </w:r>
            <w:r w:rsidR="00685380" w:rsidRPr="000E1775">
              <w:rPr>
                <w:rFonts w:ascii="Times New Roman" w:eastAsia="Calibri" w:hAnsi="Times New Roman"/>
                <w:sz w:val="22"/>
                <w:szCs w:val="22"/>
                <w:lang w:val="en-US"/>
              </w:rPr>
              <w:t>tachikardija</w:t>
            </w:r>
          </w:p>
        </w:tc>
      </w:tr>
      <w:tr w:rsidR="00E5066C" w:rsidRPr="000E1775" w:rsidTr="009852BC">
        <w:tc>
          <w:tcPr>
            <w:tcW w:w="2489" w:type="pct"/>
          </w:tcPr>
          <w:p w:rsidR="00E5066C" w:rsidRPr="000E1775" w:rsidRDefault="00E5066C" w:rsidP="009852BC">
            <w:pPr>
              <w:keepNext/>
              <w:rPr>
                <w:rFonts w:ascii="Times New Roman" w:hAnsi="Times New Roman"/>
                <w:sz w:val="22"/>
                <w:szCs w:val="22"/>
              </w:rPr>
            </w:pPr>
            <w:r w:rsidRPr="000E1775">
              <w:rPr>
                <w:rFonts w:ascii="Times New Roman" w:hAnsi="Times New Roman"/>
                <w:sz w:val="22"/>
                <w:szCs w:val="22"/>
              </w:rPr>
              <w:t>Retas</w:t>
            </w:r>
          </w:p>
        </w:tc>
        <w:tc>
          <w:tcPr>
            <w:tcW w:w="2511" w:type="pct"/>
          </w:tcPr>
          <w:p w:rsidR="00E5066C" w:rsidRPr="000E1775" w:rsidRDefault="00E5066C" w:rsidP="009852BC">
            <w:pPr>
              <w:autoSpaceDE w:val="0"/>
              <w:autoSpaceDN w:val="0"/>
              <w:adjustRightInd w:val="0"/>
              <w:rPr>
                <w:rFonts w:ascii="Times New Roman" w:hAnsi="Times New Roman"/>
                <w:sz w:val="22"/>
                <w:szCs w:val="22"/>
              </w:rPr>
            </w:pPr>
            <w:r w:rsidRPr="000E1775">
              <w:rPr>
                <w:rFonts w:ascii="Times New Roman" w:eastAsia="TimesNewRoman,Italic" w:hAnsi="Times New Roman"/>
                <w:i/>
                <w:iCs/>
                <w:sz w:val="22"/>
                <w:szCs w:val="22"/>
                <w:lang w:val="en-US"/>
              </w:rPr>
              <w:t>Torsades de pointes</w:t>
            </w:r>
            <w:r w:rsidRPr="000E1775">
              <w:rPr>
                <w:rFonts w:ascii="Times New Roman" w:eastAsia="TimesNewRoman,Italic" w:hAnsi="Times New Roman"/>
                <w:sz w:val="22"/>
                <w:szCs w:val="22"/>
                <w:lang w:val="en-US"/>
              </w:rPr>
              <w:t>, visiška atrioventrikulinė blokada, Hiso pluošto kojytės blokada, mazginis ritmas</w:t>
            </w:r>
            <w:r w:rsidRPr="000E1775">
              <w:rPr>
                <w:rFonts w:ascii="Times New Roman" w:eastAsia="TimesNewRoman,Italic" w:hAnsi="Times New Roman"/>
                <w:sz w:val="22"/>
                <w:szCs w:val="22"/>
              </w:rPr>
              <w:t xml:space="preserve"> </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 xml:space="preserve">Kraujagyslių sutrikimai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rPr>
              <w:t xml:space="preserve">Hipotenzija, flebitas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Nedažnas</w:t>
            </w:r>
          </w:p>
        </w:tc>
        <w:tc>
          <w:tcPr>
            <w:tcW w:w="2511" w:type="pct"/>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rPr>
              <w:t>Tromboflebitas</w:t>
            </w:r>
            <w:r w:rsidR="00685380" w:rsidRPr="000E1775">
              <w:rPr>
                <w:rFonts w:eastAsia="Calibri"/>
                <w:sz w:val="22"/>
                <w:szCs w:val="22"/>
              </w:rPr>
              <w:t>, limfangitas</w:t>
            </w:r>
            <w:r w:rsidRPr="000E1775">
              <w:rPr>
                <w:rFonts w:eastAsia="Calibri"/>
                <w:sz w:val="22"/>
                <w:szCs w:val="22"/>
              </w:rPr>
              <w:t xml:space="preserve"> </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 xml:space="preserve">Kvėpavimo sistemos, krūtinės ląstos ir tarpuplaučio sutrikimai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lastRenderedPageBreak/>
              <w:t>Labai dažnas</w:t>
            </w:r>
          </w:p>
        </w:tc>
        <w:tc>
          <w:tcPr>
            <w:tcW w:w="2511" w:type="pct"/>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rPr>
              <w:t>Kvėpavimo distreso sindromas</w:t>
            </w:r>
            <w:r w:rsidR="00685380" w:rsidRPr="000E1775">
              <w:rPr>
                <w:rFonts w:eastAsia="Calibri"/>
                <w:sz w:val="22"/>
                <w:szCs w:val="22"/>
                <w:vertAlign w:val="superscript"/>
              </w:rPr>
              <w:t>2</w:t>
            </w:r>
            <w:r w:rsidRPr="000E1775">
              <w:rPr>
                <w:rFonts w:eastAsia="Calibri"/>
                <w:sz w:val="22"/>
                <w:szCs w:val="22"/>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E5066C" w:rsidP="009852BC">
            <w:pPr>
              <w:pStyle w:val="Default"/>
              <w:widowControl w:val="0"/>
              <w:tabs>
                <w:tab w:val="left" w:pos="567"/>
              </w:tabs>
              <w:rPr>
                <w:sz w:val="22"/>
                <w:szCs w:val="22"/>
                <w:lang w:val="de-DE"/>
              </w:rPr>
            </w:pPr>
            <w:r w:rsidRPr="000E1775">
              <w:rPr>
                <w:rFonts w:eastAsia="Calibri"/>
                <w:sz w:val="22"/>
                <w:szCs w:val="22"/>
                <w:lang w:val="de-DE"/>
              </w:rPr>
              <w:t xml:space="preserve">Ūminis kvėpavimo distreso sindromas, plaučių edema </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lang w:val="de-DE"/>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 xml:space="preserve">Virškinimo trakto sutrikimai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Labai dažnas</w:t>
            </w:r>
          </w:p>
        </w:tc>
        <w:tc>
          <w:tcPr>
            <w:tcW w:w="2511" w:type="pct"/>
          </w:tcPr>
          <w:p w:rsidR="00E5066C" w:rsidRPr="000E1775" w:rsidRDefault="00685380" w:rsidP="00685380">
            <w:pPr>
              <w:pStyle w:val="Default"/>
              <w:widowControl w:val="0"/>
              <w:tabs>
                <w:tab w:val="left" w:pos="567"/>
              </w:tabs>
              <w:rPr>
                <w:sz w:val="22"/>
                <w:szCs w:val="22"/>
                <w:lang w:val="en-GB"/>
              </w:rPr>
            </w:pPr>
            <w:r w:rsidRPr="000E1775">
              <w:rPr>
                <w:rFonts w:eastAsia="Calibri"/>
                <w:sz w:val="22"/>
                <w:szCs w:val="22"/>
              </w:rPr>
              <w:t>V</w:t>
            </w:r>
            <w:r w:rsidR="00E5066C" w:rsidRPr="000E1775">
              <w:rPr>
                <w:rFonts w:eastAsia="Calibri"/>
                <w:sz w:val="22"/>
                <w:szCs w:val="22"/>
              </w:rPr>
              <w:t>iduriavimas</w:t>
            </w:r>
            <w:r w:rsidRPr="000E1775">
              <w:rPr>
                <w:rFonts w:eastAsia="Calibri"/>
                <w:sz w:val="22"/>
                <w:szCs w:val="22"/>
              </w:rPr>
              <w:t>, vėmimas, pilvo skausmas, pykinimas</w:t>
            </w:r>
            <w:r w:rsidR="00E5066C" w:rsidRPr="000E1775">
              <w:rPr>
                <w:rFonts w:eastAsia="Calibri"/>
                <w:sz w:val="22"/>
                <w:szCs w:val="22"/>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A97385" w:rsidP="009D4A61">
            <w:pPr>
              <w:pStyle w:val="Default"/>
              <w:widowControl w:val="0"/>
              <w:tabs>
                <w:tab w:val="left" w:pos="567"/>
              </w:tabs>
              <w:rPr>
                <w:sz w:val="22"/>
                <w:szCs w:val="22"/>
                <w:lang w:val="en-GB"/>
              </w:rPr>
            </w:pPr>
            <w:r w:rsidRPr="000E1775">
              <w:rPr>
                <w:rFonts w:eastAsia="Calibri"/>
                <w:sz w:val="22"/>
                <w:szCs w:val="22"/>
              </w:rPr>
              <w:t>C</w:t>
            </w:r>
            <w:r w:rsidR="00E5066C" w:rsidRPr="000E1775">
              <w:rPr>
                <w:rFonts w:eastAsia="Calibri"/>
                <w:sz w:val="22"/>
                <w:szCs w:val="22"/>
              </w:rPr>
              <w:t>heilitas</w:t>
            </w:r>
            <w:r w:rsidRPr="000E1775">
              <w:rPr>
                <w:rFonts w:eastAsia="Calibri"/>
                <w:sz w:val="22"/>
                <w:szCs w:val="22"/>
              </w:rPr>
              <w:t>,</w:t>
            </w:r>
            <w:r w:rsidR="009D4A61" w:rsidRPr="000E1775" w:rsidDel="009D4A61">
              <w:rPr>
                <w:rFonts w:eastAsia="Calibri"/>
                <w:sz w:val="22"/>
                <w:szCs w:val="22"/>
              </w:rPr>
              <w:t xml:space="preserve"> </w:t>
            </w:r>
            <w:r w:rsidRPr="000E1775">
              <w:rPr>
                <w:rFonts w:eastAsia="Calibri"/>
                <w:sz w:val="22"/>
                <w:szCs w:val="22"/>
              </w:rPr>
              <w:t>dispepsija, vidurių užkietėjimas, gingivitas</w:t>
            </w:r>
            <w:r w:rsidR="00E5066C" w:rsidRPr="000E1775">
              <w:rPr>
                <w:rFonts w:eastAsia="Calibri"/>
                <w:sz w:val="22"/>
                <w:szCs w:val="22"/>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Nedažnas</w:t>
            </w:r>
          </w:p>
        </w:tc>
        <w:tc>
          <w:tcPr>
            <w:tcW w:w="2511" w:type="pct"/>
          </w:tcPr>
          <w:p w:rsidR="00E5066C" w:rsidRPr="000E1775" w:rsidRDefault="00A97385" w:rsidP="00A97385">
            <w:pPr>
              <w:pStyle w:val="Default"/>
              <w:widowControl w:val="0"/>
              <w:tabs>
                <w:tab w:val="left" w:pos="567"/>
              </w:tabs>
              <w:rPr>
                <w:sz w:val="22"/>
                <w:szCs w:val="22"/>
                <w:lang w:val="en-GB"/>
              </w:rPr>
            </w:pPr>
            <w:r w:rsidRPr="000E1775">
              <w:rPr>
                <w:rFonts w:eastAsia="Calibri"/>
                <w:sz w:val="22"/>
                <w:szCs w:val="22"/>
              </w:rPr>
              <w:t>Peritonitas, p</w:t>
            </w:r>
            <w:r w:rsidR="00E5066C" w:rsidRPr="000E1775">
              <w:rPr>
                <w:rFonts w:eastAsia="Calibri"/>
                <w:sz w:val="22"/>
                <w:szCs w:val="22"/>
              </w:rPr>
              <w:t xml:space="preserve">ankreatitas, </w:t>
            </w:r>
            <w:r w:rsidRPr="000E1775">
              <w:rPr>
                <w:rFonts w:eastAsia="Calibri"/>
                <w:sz w:val="22"/>
                <w:szCs w:val="22"/>
              </w:rPr>
              <w:t xml:space="preserve">liežuvio patinimas, </w:t>
            </w:r>
            <w:r w:rsidR="00E5066C" w:rsidRPr="000E1775">
              <w:rPr>
                <w:rFonts w:eastAsia="Calibri"/>
                <w:sz w:val="22"/>
                <w:szCs w:val="22"/>
              </w:rPr>
              <w:t xml:space="preserve">duodenitas, </w:t>
            </w:r>
            <w:r w:rsidRPr="000E1775">
              <w:rPr>
                <w:rFonts w:eastAsia="Calibri"/>
                <w:sz w:val="22"/>
                <w:szCs w:val="22"/>
              </w:rPr>
              <w:t xml:space="preserve">gastroenteritis, </w:t>
            </w:r>
            <w:r w:rsidR="00E5066C" w:rsidRPr="000E1775">
              <w:rPr>
                <w:rFonts w:eastAsia="Calibri"/>
                <w:sz w:val="22"/>
                <w:szCs w:val="22"/>
              </w:rPr>
              <w:t xml:space="preserve">glositas </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 xml:space="preserve">Kepenų, tulžies pūslės ir latakų sutrikimai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Labai dažnas</w:t>
            </w:r>
          </w:p>
        </w:tc>
        <w:tc>
          <w:tcPr>
            <w:tcW w:w="2511" w:type="pct"/>
          </w:tcPr>
          <w:p w:rsidR="00E5066C" w:rsidRPr="000E1775" w:rsidRDefault="00E5066C" w:rsidP="00A97385">
            <w:pPr>
              <w:pStyle w:val="Default"/>
              <w:widowControl w:val="0"/>
              <w:tabs>
                <w:tab w:val="left" w:pos="567"/>
              </w:tabs>
              <w:rPr>
                <w:sz w:val="22"/>
                <w:szCs w:val="22"/>
                <w:lang w:val="en-GB"/>
              </w:rPr>
            </w:pPr>
            <w:r w:rsidRPr="000E1775">
              <w:rPr>
                <w:rFonts w:eastAsia="Calibri"/>
                <w:sz w:val="22"/>
                <w:szCs w:val="22"/>
                <w:lang w:val="en-GB"/>
              </w:rPr>
              <w:t xml:space="preserve">Nuo normos nukrypę kepenų funkcijos tyrimai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 xml:space="preserve">Dažnas </w:t>
            </w:r>
          </w:p>
        </w:tc>
        <w:tc>
          <w:tcPr>
            <w:tcW w:w="2511" w:type="pct"/>
          </w:tcPr>
          <w:p w:rsidR="00E5066C" w:rsidRPr="000E1775" w:rsidRDefault="00E5066C" w:rsidP="00844D0A">
            <w:pPr>
              <w:pStyle w:val="Default"/>
              <w:widowControl w:val="0"/>
              <w:numPr>
                <w:ilvl w:val="0"/>
                <w:numId w:val="14"/>
              </w:numPr>
              <w:tabs>
                <w:tab w:val="left" w:pos="567"/>
              </w:tabs>
              <w:rPr>
                <w:sz w:val="22"/>
                <w:szCs w:val="22"/>
                <w:lang w:val="en-GB"/>
              </w:rPr>
            </w:pPr>
            <w:r w:rsidRPr="000E1775">
              <w:rPr>
                <w:rFonts w:eastAsia="Calibri"/>
                <w:sz w:val="22"/>
                <w:szCs w:val="22"/>
              </w:rPr>
              <w:t>Gelta, cholestazinė gelta, hepatitas</w:t>
            </w:r>
            <w:r w:rsidR="00A97385" w:rsidRPr="000E1775">
              <w:rPr>
                <w:rFonts w:eastAsia="Calibri"/>
                <w:sz w:val="22"/>
                <w:szCs w:val="22"/>
                <w:vertAlign w:val="superscript"/>
              </w:rPr>
              <w:t>10</w:t>
            </w:r>
            <w:r w:rsidRPr="000E1775">
              <w:rPr>
                <w:sz w:val="22"/>
                <w:szCs w:val="22"/>
                <w:lang w:val="en-GB"/>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 xml:space="preserve">Nedažnas </w:t>
            </w:r>
          </w:p>
        </w:tc>
        <w:tc>
          <w:tcPr>
            <w:tcW w:w="2511" w:type="pct"/>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lang w:val="en-GB"/>
              </w:rPr>
              <w:t>Kepenų nepakankamumas, hepatomegalija, cholecistitas, tulžies</w:t>
            </w:r>
            <w:r w:rsidRPr="000E1775">
              <w:rPr>
                <w:rFonts w:eastAsia="Calibri"/>
                <w:sz w:val="22"/>
                <w:szCs w:val="22"/>
              </w:rPr>
              <w:t xml:space="preserve"> pūslės akmenligė</w:t>
            </w:r>
            <w:r w:rsidRPr="000E1775">
              <w:rPr>
                <w:sz w:val="22"/>
                <w:szCs w:val="22"/>
                <w:lang w:val="en-GB"/>
              </w:rPr>
              <w:t xml:space="preserve"> </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Odos ir poodinio audinio sutrikimai</w:t>
            </w:r>
            <w:r w:rsidRPr="000E1775">
              <w:rPr>
                <w:rFonts w:ascii="Times New Roman" w:hAnsi="Times New Roman"/>
                <w:b/>
                <w:bCs/>
                <w:sz w:val="22"/>
                <w:szCs w:val="22"/>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 xml:space="preserve">Labai dažnas </w:t>
            </w:r>
          </w:p>
        </w:tc>
        <w:tc>
          <w:tcPr>
            <w:tcW w:w="2511" w:type="pct"/>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sz w:val="22"/>
                <w:szCs w:val="22"/>
                <w:lang w:val="en-US"/>
              </w:rPr>
              <w:t>Išbėrimas</w:t>
            </w:r>
            <w:r w:rsidRPr="000E1775">
              <w:rPr>
                <w:rFonts w:ascii="Times New Roman" w:hAnsi="Times New Roman"/>
                <w:sz w:val="22"/>
                <w:szCs w:val="22"/>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E5066C" w:rsidP="00A97385">
            <w:pPr>
              <w:autoSpaceDE w:val="0"/>
              <w:autoSpaceDN w:val="0"/>
              <w:adjustRightInd w:val="0"/>
              <w:rPr>
                <w:rFonts w:ascii="Times New Roman" w:hAnsi="Times New Roman"/>
                <w:sz w:val="22"/>
                <w:szCs w:val="22"/>
              </w:rPr>
            </w:pPr>
            <w:r w:rsidRPr="000E1775">
              <w:rPr>
                <w:rFonts w:ascii="Times New Roman" w:eastAsia="Calibri" w:hAnsi="Times New Roman"/>
                <w:sz w:val="22"/>
                <w:szCs w:val="22"/>
                <w:lang w:val="en-US"/>
              </w:rPr>
              <w:t xml:space="preserve">Eksfoliacinis dermatitas, </w:t>
            </w:r>
            <w:r w:rsidR="00A97385" w:rsidRPr="000E1775">
              <w:rPr>
                <w:rFonts w:ascii="Times New Roman" w:eastAsia="Calibri" w:hAnsi="Times New Roman"/>
                <w:sz w:val="22"/>
                <w:szCs w:val="22"/>
                <w:lang w:val="en-US"/>
              </w:rPr>
              <w:t xml:space="preserve">alopecija, </w:t>
            </w:r>
            <w:r w:rsidRPr="000E1775">
              <w:rPr>
                <w:rFonts w:ascii="Times New Roman" w:eastAsia="Calibri" w:hAnsi="Times New Roman"/>
                <w:sz w:val="22"/>
                <w:szCs w:val="22"/>
                <w:lang w:val="en-US"/>
              </w:rPr>
              <w:t xml:space="preserve">makulopapulinis išbėrimas, niežėjimas, </w:t>
            </w:r>
            <w:r w:rsidRPr="000E1775">
              <w:rPr>
                <w:rFonts w:ascii="Times New Roman" w:eastAsia="Calibri" w:hAnsi="Times New Roman"/>
                <w:sz w:val="22"/>
                <w:szCs w:val="22"/>
              </w:rPr>
              <w:t>eritema</w:t>
            </w:r>
            <w:r w:rsidRPr="000E1775">
              <w:rPr>
                <w:rFonts w:ascii="Times New Roman" w:hAnsi="Times New Roman"/>
                <w:sz w:val="22"/>
                <w:szCs w:val="22"/>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 xml:space="preserve">Nedažnas </w:t>
            </w:r>
          </w:p>
        </w:tc>
        <w:tc>
          <w:tcPr>
            <w:tcW w:w="2511" w:type="pct"/>
          </w:tcPr>
          <w:p w:rsidR="00E5066C" w:rsidRPr="000E1775" w:rsidRDefault="00E5066C" w:rsidP="00A97385">
            <w:pPr>
              <w:autoSpaceDE w:val="0"/>
              <w:autoSpaceDN w:val="0"/>
              <w:adjustRightInd w:val="0"/>
              <w:rPr>
                <w:rFonts w:ascii="Times New Roman" w:hAnsi="Times New Roman"/>
                <w:sz w:val="22"/>
                <w:szCs w:val="22"/>
              </w:rPr>
            </w:pPr>
            <w:r w:rsidRPr="000E1775">
              <w:rPr>
                <w:rFonts w:ascii="Times New Roman" w:eastAsia="Calibri" w:hAnsi="Times New Roman"/>
                <w:sz w:val="22"/>
                <w:szCs w:val="22"/>
                <w:lang w:val="en-US"/>
              </w:rPr>
              <w:t>Stivenso ir Džonsono sindromas,</w:t>
            </w:r>
            <w:r w:rsidRPr="000E1775" w:rsidDel="00187A5C">
              <w:rPr>
                <w:rFonts w:ascii="Times New Roman" w:eastAsia="Calibri" w:hAnsi="Times New Roman"/>
                <w:sz w:val="22"/>
                <w:szCs w:val="22"/>
                <w:lang w:val="en-US"/>
              </w:rPr>
              <w:t xml:space="preserve"> </w:t>
            </w:r>
            <w:r w:rsidR="00A97385" w:rsidRPr="000E1775">
              <w:rPr>
                <w:rFonts w:ascii="Times New Roman" w:eastAsia="Calibri" w:hAnsi="Times New Roman"/>
                <w:sz w:val="22"/>
                <w:szCs w:val="22"/>
                <w:lang w:val="en-US"/>
              </w:rPr>
              <w:t xml:space="preserve">fototoksiškumas, </w:t>
            </w:r>
            <w:r w:rsidR="00390613" w:rsidRPr="000E1775">
              <w:rPr>
                <w:rFonts w:ascii="Times New Roman" w:eastAsia="Calibri" w:hAnsi="Times New Roman"/>
                <w:sz w:val="22"/>
                <w:szCs w:val="22"/>
                <w:lang w:val="en-US"/>
              </w:rPr>
              <w:t xml:space="preserve"> </w:t>
            </w:r>
            <w:r w:rsidRPr="000E1775">
              <w:rPr>
                <w:rFonts w:ascii="Times New Roman" w:eastAsia="Calibri" w:hAnsi="Times New Roman"/>
                <w:sz w:val="22"/>
                <w:szCs w:val="22"/>
              </w:rPr>
              <w:t xml:space="preserve">purpura, </w:t>
            </w:r>
            <w:r w:rsidR="00390613" w:rsidRPr="000E1775">
              <w:rPr>
                <w:rFonts w:ascii="Times New Roman" w:eastAsia="Calibri" w:hAnsi="Times New Roman"/>
                <w:sz w:val="22"/>
                <w:szCs w:val="22"/>
              </w:rPr>
              <w:t xml:space="preserve">dilgėlinė, alerginis dermatitis, papulinis išbėrimas, makulinis išbėrimas, </w:t>
            </w:r>
            <w:r w:rsidRPr="000E1775">
              <w:rPr>
                <w:rFonts w:ascii="Times New Roman" w:eastAsia="Calibri" w:hAnsi="Times New Roman"/>
                <w:sz w:val="22"/>
                <w:szCs w:val="22"/>
              </w:rPr>
              <w:t>egzema</w:t>
            </w:r>
            <w:r w:rsidRPr="000E1775">
              <w:rPr>
                <w:rFonts w:ascii="Times New Roman" w:hAnsi="Times New Roman"/>
                <w:sz w:val="22"/>
                <w:szCs w:val="22"/>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Retas</w:t>
            </w:r>
          </w:p>
        </w:tc>
        <w:tc>
          <w:tcPr>
            <w:tcW w:w="2511" w:type="pct"/>
          </w:tcPr>
          <w:p w:rsidR="00E5066C" w:rsidRPr="000E1775" w:rsidRDefault="00390613" w:rsidP="009852BC">
            <w:pPr>
              <w:pStyle w:val="Default"/>
              <w:widowControl w:val="0"/>
              <w:tabs>
                <w:tab w:val="left" w:pos="567"/>
              </w:tabs>
              <w:rPr>
                <w:sz w:val="22"/>
                <w:szCs w:val="22"/>
                <w:lang w:val="en-GB"/>
              </w:rPr>
            </w:pPr>
            <w:r w:rsidRPr="000E1775">
              <w:rPr>
                <w:sz w:val="22"/>
                <w:szCs w:val="22"/>
                <w:lang w:val="en-GB"/>
              </w:rPr>
              <w:t>Toksinė epidermio nekrolizė, angioedema,</w:t>
            </w:r>
            <w:r w:rsidR="00E51F7C" w:rsidRPr="000E1775">
              <w:rPr>
                <w:sz w:val="22"/>
                <w:szCs w:val="22"/>
                <w:lang w:val="en-GB"/>
              </w:rPr>
              <w:t xml:space="preserve"> spindulinė (aktininė) keratozė,</w:t>
            </w:r>
            <w:r w:rsidRPr="000E1775">
              <w:rPr>
                <w:sz w:val="22"/>
                <w:szCs w:val="22"/>
                <w:lang w:val="en-GB"/>
              </w:rPr>
              <w:t xml:space="preserve"> pseudoporfirija, daugiaformė eritema, žvynelinė, medikamentinis išbėrimas</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Nežinomas</w:t>
            </w:r>
          </w:p>
        </w:tc>
        <w:tc>
          <w:tcPr>
            <w:tcW w:w="2511" w:type="pct"/>
          </w:tcPr>
          <w:p w:rsidR="00E5066C" w:rsidRPr="000E1775" w:rsidRDefault="00E5066C" w:rsidP="009F3D64">
            <w:pPr>
              <w:pStyle w:val="Default"/>
              <w:widowControl w:val="0"/>
              <w:tabs>
                <w:tab w:val="left" w:pos="567"/>
              </w:tabs>
              <w:rPr>
                <w:sz w:val="22"/>
                <w:szCs w:val="22"/>
                <w:lang w:val="en-GB"/>
              </w:rPr>
            </w:pPr>
            <w:r w:rsidRPr="000E1775">
              <w:rPr>
                <w:rFonts w:eastAsia="Calibri"/>
                <w:sz w:val="22"/>
                <w:szCs w:val="22"/>
              </w:rPr>
              <w:t>Odos raudonoji vilkligė*</w:t>
            </w:r>
            <w:r w:rsidR="00E51F7C" w:rsidRPr="000E1775">
              <w:rPr>
                <w:rFonts w:eastAsia="Calibri"/>
                <w:sz w:val="22"/>
                <w:szCs w:val="22"/>
              </w:rPr>
              <w:t>, strazdanos, šlakai</w:t>
            </w:r>
            <w:r w:rsidR="0069489D" w:rsidRPr="000E1775">
              <w:rPr>
                <w:rFonts w:eastAsia="Calibri"/>
                <w:sz w:val="22"/>
                <w:szCs w:val="22"/>
              </w:rPr>
              <w:t>*</w:t>
            </w:r>
            <w:r w:rsidR="00E51F7C" w:rsidRPr="000E1775">
              <w:rPr>
                <w:rFonts w:eastAsia="Calibri"/>
                <w:sz w:val="22"/>
                <w:szCs w:val="22"/>
              </w:rPr>
              <w:t xml:space="preserve"> (lentigo)</w:t>
            </w:r>
            <w:r w:rsidRPr="000E1775">
              <w:rPr>
                <w:sz w:val="22"/>
                <w:szCs w:val="22"/>
                <w:lang w:val="en-GB" w:eastAsia="hu-HU"/>
              </w:rPr>
              <w:t xml:space="preserve"> </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Skeleto, raumenų ir jungiamojo audinio sutrikimai</w:t>
            </w:r>
            <w:r w:rsidRPr="000E1775">
              <w:rPr>
                <w:rFonts w:ascii="Times New Roman" w:hAnsi="Times New Roman"/>
                <w:b/>
                <w:bCs/>
                <w:sz w:val="22"/>
                <w:szCs w:val="22"/>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rPr>
              <w:t>Nugaros skausmas</w:t>
            </w:r>
            <w:r w:rsidRPr="000E1775">
              <w:rPr>
                <w:sz w:val="22"/>
                <w:szCs w:val="22"/>
                <w:lang w:val="en-GB"/>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Nedažnas</w:t>
            </w:r>
          </w:p>
        </w:tc>
        <w:tc>
          <w:tcPr>
            <w:tcW w:w="2511" w:type="pct"/>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rPr>
              <w:t>Artritas</w:t>
            </w:r>
            <w:r w:rsidRPr="000E1775">
              <w:rPr>
                <w:sz w:val="22"/>
                <w:szCs w:val="22"/>
                <w:lang w:val="en-GB"/>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Dažnis nežinomas</w:t>
            </w:r>
          </w:p>
        </w:tc>
        <w:tc>
          <w:tcPr>
            <w:tcW w:w="2511" w:type="pct"/>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rPr>
              <w:t>Periostitas*</w:t>
            </w:r>
            <w:r w:rsidRPr="000E1775">
              <w:rPr>
                <w:sz w:val="22"/>
                <w:szCs w:val="22"/>
                <w:lang w:val="en-GB"/>
              </w:rPr>
              <w:t xml:space="preserve"> </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rPr>
            </w:pPr>
          </w:p>
        </w:tc>
      </w:tr>
      <w:tr w:rsidR="00E5066C" w:rsidRPr="000E1775" w:rsidTr="009852BC">
        <w:tc>
          <w:tcPr>
            <w:tcW w:w="5000" w:type="pct"/>
            <w:gridSpan w:val="2"/>
          </w:tcPr>
          <w:p w:rsidR="00E5066C" w:rsidRPr="000E1775" w:rsidRDefault="00E5066C" w:rsidP="009852BC">
            <w:pPr>
              <w:keepNext/>
              <w:rPr>
                <w:rFonts w:ascii="Times New Roman" w:hAnsi="Times New Roman"/>
                <w:sz w:val="22"/>
                <w:szCs w:val="22"/>
              </w:rPr>
            </w:pPr>
            <w:r w:rsidRPr="000E1775">
              <w:rPr>
                <w:rFonts w:ascii="Times New Roman" w:eastAsia="Calibri" w:hAnsi="Times New Roman"/>
                <w:b/>
                <w:bCs/>
                <w:sz w:val="22"/>
                <w:szCs w:val="22"/>
                <w:lang w:val="en-US"/>
              </w:rPr>
              <w:t>Inkstų ir šlapimo takų sutrikimai</w:t>
            </w:r>
            <w:r w:rsidRPr="000E1775">
              <w:rPr>
                <w:rFonts w:ascii="Times New Roman" w:hAnsi="Times New Roman"/>
                <w:b/>
                <w:bCs/>
                <w:sz w:val="22"/>
                <w:szCs w:val="22"/>
              </w:rPr>
              <w:t xml:space="preserve"> </w:t>
            </w:r>
          </w:p>
        </w:tc>
      </w:tr>
      <w:tr w:rsidR="00E5066C" w:rsidRPr="000E1775" w:rsidTr="009852BC">
        <w:tc>
          <w:tcPr>
            <w:tcW w:w="2489" w:type="pct"/>
          </w:tcPr>
          <w:p w:rsidR="00E5066C" w:rsidRPr="000E1775" w:rsidRDefault="00E5066C" w:rsidP="009852BC">
            <w:pPr>
              <w:keepNext/>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E5066C" w:rsidP="009852BC">
            <w:pPr>
              <w:pStyle w:val="Default"/>
              <w:keepNext/>
              <w:tabs>
                <w:tab w:val="left" w:pos="567"/>
              </w:tabs>
              <w:rPr>
                <w:sz w:val="22"/>
                <w:szCs w:val="22"/>
                <w:lang w:val="de-DE"/>
              </w:rPr>
            </w:pPr>
            <w:r w:rsidRPr="000E1775">
              <w:rPr>
                <w:rFonts w:eastAsia="Calibri"/>
                <w:sz w:val="22"/>
                <w:szCs w:val="22"/>
                <w:lang w:val="de-DE"/>
              </w:rPr>
              <w:t>Ūminis inkstų nepakankamumas, hematurija</w:t>
            </w:r>
            <w:r w:rsidRPr="000E1775">
              <w:rPr>
                <w:sz w:val="22"/>
                <w:szCs w:val="22"/>
                <w:lang w:val="de-DE"/>
              </w:rPr>
              <w:t xml:space="preserve"> </w:t>
            </w:r>
          </w:p>
        </w:tc>
      </w:tr>
      <w:tr w:rsidR="00E5066C" w:rsidRPr="000E1775" w:rsidTr="009852BC">
        <w:tc>
          <w:tcPr>
            <w:tcW w:w="2489" w:type="pct"/>
          </w:tcPr>
          <w:p w:rsidR="00E5066C" w:rsidRPr="000E1775" w:rsidRDefault="00E5066C" w:rsidP="009852BC">
            <w:pPr>
              <w:keepNext/>
              <w:rPr>
                <w:rFonts w:ascii="Times New Roman" w:hAnsi="Times New Roman"/>
                <w:sz w:val="22"/>
                <w:szCs w:val="22"/>
              </w:rPr>
            </w:pPr>
            <w:r w:rsidRPr="000E1775">
              <w:rPr>
                <w:rFonts w:ascii="Times New Roman" w:hAnsi="Times New Roman"/>
                <w:sz w:val="22"/>
                <w:szCs w:val="22"/>
              </w:rPr>
              <w:t xml:space="preserve">Nedažnas </w:t>
            </w:r>
          </w:p>
        </w:tc>
        <w:tc>
          <w:tcPr>
            <w:tcW w:w="2511" w:type="pct"/>
          </w:tcPr>
          <w:p w:rsidR="00E5066C" w:rsidRPr="000E1775" w:rsidRDefault="00E5066C" w:rsidP="009852BC">
            <w:pPr>
              <w:pStyle w:val="Default"/>
              <w:keepNext/>
              <w:tabs>
                <w:tab w:val="left" w:pos="567"/>
              </w:tabs>
              <w:rPr>
                <w:sz w:val="22"/>
                <w:szCs w:val="22"/>
                <w:lang w:val="en-GB"/>
              </w:rPr>
            </w:pPr>
            <w:r w:rsidRPr="000E1775">
              <w:rPr>
                <w:rFonts w:eastAsia="Calibri"/>
                <w:sz w:val="22"/>
                <w:szCs w:val="22"/>
              </w:rPr>
              <w:t>Inkstų kanalėlių nekrozė, proteinurija, nefritas</w:t>
            </w:r>
            <w:r w:rsidRPr="000E1775">
              <w:rPr>
                <w:sz w:val="22"/>
                <w:szCs w:val="22"/>
                <w:lang w:val="en-GB"/>
              </w:rPr>
              <w:t xml:space="preserve"> </w:t>
            </w: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Bendrieji sutrikimai ir vartojimo vietos pažeidimai</w:t>
            </w:r>
            <w:r w:rsidRPr="000E1775">
              <w:rPr>
                <w:rFonts w:ascii="Times New Roman" w:hAnsi="Times New Roman"/>
                <w:b/>
                <w:bCs/>
                <w:sz w:val="22"/>
                <w:szCs w:val="22"/>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Labai dažnas</w:t>
            </w:r>
          </w:p>
        </w:tc>
        <w:tc>
          <w:tcPr>
            <w:tcW w:w="2511" w:type="pct"/>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rPr>
              <w:t>Karščiavimas</w:t>
            </w:r>
            <w:r w:rsidRPr="000E1775">
              <w:rPr>
                <w:sz w:val="22"/>
                <w:szCs w:val="22"/>
                <w:lang w:val="en-GB"/>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 xml:space="preserve">Dažnas </w:t>
            </w:r>
          </w:p>
        </w:tc>
        <w:tc>
          <w:tcPr>
            <w:tcW w:w="2511" w:type="pct"/>
          </w:tcPr>
          <w:p w:rsidR="00E5066C" w:rsidRPr="000E1775" w:rsidRDefault="00E5066C" w:rsidP="009F3D64">
            <w:pPr>
              <w:pStyle w:val="Default"/>
              <w:widowControl w:val="0"/>
              <w:tabs>
                <w:tab w:val="left" w:pos="567"/>
              </w:tabs>
              <w:rPr>
                <w:sz w:val="22"/>
                <w:szCs w:val="22"/>
                <w:lang w:val="en-GB"/>
              </w:rPr>
            </w:pPr>
            <w:r w:rsidRPr="000E1775">
              <w:rPr>
                <w:rFonts w:eastAsia="Calibri"/>
                <w:sz w:val="22"/>
                <w:szCs w:val="22"/>
              </w:rPr>
              <w:t>Krūtinės skausmas, veido edema</w:t>
            </w:r>
            <w:r w:rsidR="009F3D64" w:rsidRPr="000E1775">
              <w:rPr>
                <w:rFonts w:eastAsia="Calibri"/>
                <w:sz w:val="22"/>
                <w:szCs w:val="22"/>
                <w:vertAlign w:val="superscript"/>
              </w:rPr>
              <w:t>11</w:t>
            </w:r>
            <w:r w:rsidRPr="000E1775">
              <w:rPr>
                <w:rFonts w:eastAsia="Calibri"/>
                <w:sz w:val="22"/>
                <w:szCs w:val="22"/>
              </w:rPr>
              <w:t>, astenija, šaltkrėtis</w:t>
            </w:r>
            <w:r w:rsidRPr="000E1775">
              <w:rPr>
                <w:sz w:val="22"/>
                <w:szCs w:val="22"/>
                <w:lang w:val="en-GB"/>
              </w:rPr>
              <w:t xml:space="preserve"> </w:t>
            </w:r>
          </w:p>
        </w:tc>
      </w:tr>
      <w:tr w:rsidR="00390613" w:rsidRPr="000E1775" w:rsidTr="009852BC">
        <w:tc>
          <w:tcPr>
            <w:tcW w:w="2489" w:type="pct"/>
          </w:tcPr>
          <w:p w:rsidR="00390613" w:rsidRPr="000E1775" w:rsidRDefault="00CD6D1C" w:rsidP="009852BC">
            <w:pPr>
              <w:widowControl w:val="0"/>
              <w:rPr>
                <w:rFonts w:ascii="Times New Roman" w:hAnsi="Times New Roman"/>
                <w:sz w:val="22"/>
                <w:szCs w:val="22"/>
              </w:rPr>
            </w:pPr>
            <w:r w:rsidRPr="000E1775">
              <w:rPr>
                <w:rFonts w:ascii="Times New Roman" w:hAnsi="Times New Roman"/>
                <w:sz w:val="22"/>
                <w:szCs w:val="22"/>
              </w:rPr>
              <w:t>Nedažnas</w:t>
            </w:r>
          </w:p>
        </w:tc>
        <w:tc>
          <w:tcPr>
            <w:tcW w:w="2511" w:type="pct"/>
          </w:tcPr>
          <w:p w:rsidR="00390613" w:rsidRPr="000E1775" w:rsidRDefault="00390613" w:rsidP="00390613">
            <w:pPr>
              <w:pStyle w:val="Default"/>
              <w:widowControl w:val="0"/>
              <w:tabs>
                <w:tab w:val="left" w:pos="567"/>
              </w:tabs>
              <w:rPr>
                <w:rFonts w:eastAsia="Calibri"/>
                <w:sz w:val="22"/>
                <w:szCs w:val="22"/>
              </w:rPr>
            </w:pPr>
            <w:r w:rsidRPr="000E1775">
              <w:rPr>
                <w:rFonts w:eastAsia="Calibri"/>
                <w:sz w:val="22"/>
                <w:szCs w:val="22"/>
              </w:rPr>
              <w:t>Į</w:t>
            </w:r>
            <w:r w:rsidR="00CD6D1C" w:rsidRPr="000E1775">
              <w:rPr>
                <w:rFonts w:eastAsia="Calibri"/>
                <w:sz w:val="22"/>
                <w:szCs w:val="22"/>
              </w:rPr>
              <w:t xml:space="preserve"> </w:t>
            </w:r>
            <w:r w:rsidRPr="000E1775">
              <w:rPr>
                <w:rFonts w:eastAsia="Calibri"/>
                <w:sz w:val="22"/>
                <w:szCs w:val="22"/>
              </w:rPr>
              <w:t>gripą panaši liga</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highlight w:val="yellow"/>
              </w:rPr>
            </w:pPr>
          </w:p>
        </w:tc>
        <w:tc>
          <w:tcPr>
            <w:tcW w:w="2511" w:type="pct"/>
          </w:tcPr>
          <w:p w:rsidR="00E5066C" w:rsidRPr="000E1775" w:rsidRDefault="00E5066C" w:rsidP="009852BC">
            <w:pPr>
              <w:pStyle w:val="Default"/>
              <w:widowControl w:val="0"/>
              <w:tabs>
                <w:tab w:val="left" w:pos="567"/>
              </w:tabs>
              <w:rPr>
                <w:sz w:val="22"/>
                <w:szCs w:val="22"/>
                <w:lang w:val="en-GB"/>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b/>
                <w:bCs/>
                <w:sz w:val="22"/>
                <w:szCs w:val="22"/>
              </w:rPr>
            </w:pPr>
          </w:p>
        </w:tc>
      </w:tr>
      <w:tr w:rsidR="00E5066C" w:rsidRPr="000E1775" w:rsidTr="009852BC">
        <w:tc>
          <w:tcPr>
            <w:tcW w:w="5000" w:type="pct"/>
            <w:gridSpan w:val="2"/>
          </w:tcPr>
          <w:p w:rsidR="00E5066C" w:rsidRPr="000E1775" w:rsidRDefault="00E5066C" w:rsidP="009852BC">
            <w:pPr>
              <w:widowControl w:val="0"/>
              <w:rPr>
                <w:rFonts w:ascii="Times New Roman" w:hAnsi="Times New Roman"/>
                <w:sz w:val="22"/>
                <w:szCs w:val="22"/>
              </w:rPr>
            </w:pPr>
            <w:r w:rsidRPr="000E1775">
              <w:rPr>
                <w:rFonts w:ascii="Times New Roman" w:eastAsia="Calibri" w:hAnsi="Times New Roman"/>
                <w:b/>
                <w:bCs/>
                <w:sz w:val="22"/>
                <w:szCs w:val="22"/>
                <w:lang w:val="en-US"/>
              </w:rPr>
              <w:t>Tyrimai</w:t>
            </w:r>
            <w:r w:rsidRPr="000E1775">
              <w:rPr>
                <w:rFonts w:ascii="Times New Roman" w:hAnsi="Times New Roman"/>
                <w:b/>
                <w:bCs/>
                <w:sz w:val="22"/>
                <w:szCs w:val="22"/>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Dažnas</w:t>
            </w:r>
          </w:p>
        </w:tc>
        <w:tc>
          <w:tcPr>
            <w:tcW w:w="2511" w:type="pct"/>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rPr>
              <w:t>Kreatinino kraujyje padaugėjimas</w:t>
            </w:r>
            <w:r w:rsidRPr="000E1775">
              <w:rPr>
                <w:sz w:val="22"/>
                <w:szCs w:val="22"/>
                <w:lang w:val="en-GB"/>
              </w:rPr>
              <w:t xml:space="preserve"> </w:t>
            </w:r>
          </w:p>
        </w:tc>
      </w:tr>
      <w:tr w:rsidR="00E5066C" w:rsidRPr="000E1775" w:rsidTr="009852BC">
        <w:tc>
          <w:tcPr>
            <w:tcW w:w="2489" w:type="pct"/>
          </w:tcPr>
          <w:p w:rsidR="00E5066C" w:rsidRPr="000E1775" w:rsidRDefault="00E5066C" w:rsidP="009852BC">
            <w:pPr>
              <w:widowControl w:val="0"/>
              <w:rPr>
                <w:rFonts w:ascii="Times New Roman" w:hAnsi="Times New Roman"/>
                <w:sz w:val="22"/>
                <w:szCs w:val="22"/>
              </w:rPr>
            </w:pPr>
            <w:r w:rsidRPr="000E1775">
              <w:rPr>
                <w:rFonts w:ascii="Times New Roman" w:hAnsi="Times New Roman"/>
                <w:sz w:val="22"/>
                <w:szCs w:val="22"/>
              </w:rPr>
              <w:t>Nedažnas</w:t>
            </w:r>
          </w:p>
        </w:tc>
        <w:tc>
          <w:tcPr>
            <w:tcW w:w="2511" w:type="pct"/>
          </w:tcPr>
          <w:p w:rsidR="00E5066C" w:rsidRPr="000E1775" w:rsidRDefault="00CD6D1C" w:rsidP="00CD6D1C">
            <w:pPr>
              <w:autoSpaceDE w:val="0"/>
              <w:autoSpaceDN w:val="0"/>
              <w:adjustRightInd w:val="0"/>
              <w:rPr>
                <w:rFonts w:ascii="Times New Roman" w:hAnsi="Times New Roman"/>
                <w:sz w:val="22"/>
                <w:szCs w:val="22"/>
              </w:rPr>
            </w:pPr>
            <w:r w:rsidRPr="000E1775">
              <w:rPr>
                <w:rFonts w:ascii="Times New Roman" w:eastAsia="Calibri" w:hAnsi="Times New Roman"/>
                <w:sz w:val="22"/>
                <w:szCs w:val="22"/>
                <w:lang w:val="en-US"/>
              </w:rPr>
              <w:t>Š</w:t>
            </w:r>
            <w:r w:rsidR="00E5066C" w:rsidRPr="000E1775">
              <w:rPr>
                <w:rFonts w:ascii="Times New Roman" w:eastAsia="Calibri" w:hAnsi="Times New Roman"/>
                <w:sz w:val="22"/>
                <w:szCs w:val="22"/>
                <w:lang w:val="en-US"/>
              </w:rPr>
              <w:t>lapalo kraujyje padaugėjimas,</w:t>
            </w:r>
            <w:r w:rsidR="00E5066C" w:rsidRPr="000E1775" w:rsidDel="00187A5C">
              <w:rPr>
                <w:rFonts w:ascii="Times New Roman" w:eastAsia="Calibri" w:hAnsi="Times New Roman"/>
                <w:sz w:val="22"/>
                <w:szCs w:val="22"/>
                <w:lang w:val="en-US"/>
              </w:rPr>
              <w:t xml:space="preserve"> </w:t>
            </w:r>
            <w:r w:rsidR="00E5066C" w:rsidRPr="000E1775">
              <w:rPr>
                <w:rFonts w:ascii="Times New Roman" w:eastAsia="Calibri" w:hAnsi="Times New Roman"/>
                <w:sz w:val="22"/>
                <w:szCs w:val="22"/>
              </w:rPr>
              <w:t>cholesterolio koncentracijos kraujyje padidėjimas.</w:t>
            </w:r>
            <w:r w:rsidR="00E5066C" w:rsidRPr="000E1775">
              <w:rPr>
                <w:rFonts w:ascii="Times New Roman" w:hAnsi="Times New Roman"/>
                <w:sz w:val="22"/>
                <w:szCs w:val="22"/>
              </w:rPr>
              <w:t xml:space="preserve"> </w:t>
            </w:r>
          </w:p>
        </w:tc>
      </w:tr>
    </w:tbl>
    <w:p w:rsidR="0020797B" w:rsidRPr="000E1775" w:rsidRDefault="0020797B" w:rsidP="0020797B">
      <w:pPr>
        <w:autoSpaceDE w:val="0"/>
        <w:autoSpaceDN w:val="0"/>
        <w:adjustRightInd w:val="0"/>
        <w:rPr>
          <w:rFonts w:ascii="Times New Roman" w:hAnsi="Times New Roman"/>
          <w:iCs/>
          <w:sz w:val="22"/>
          <w:szCs w:val="22"/>
          <w:lang w:val="lt-LT" w:eastAsia="lt-LT"/>
        </w:rPr>
      </w:pPr>
      <w:r w:rsidRPr="000E1775">
        <w:rPr>
          <w:rFonts w:ascii="Times New Roman" w:hAnsi="Times New Roman"/>
          <w:iCs/>
          <w:sz w:val="22"/>
          <w:szCs w:val="22"/>
          <w:lang w:val="lt-LT" w:eastAsia="lt-LT"/>
        </w:rPr>
        <w:t>*Nepageidaujama reakcija nustatyta pateikus vaistinį preparatą į rinką</w:t>
      </w:r>
    </w:p>
    <w:p w:rsidR="0020797B" w:rsidRPr="000E1775" w:rsidRDefault="0020797B" w:rsidP="0020797B">
      <w:pPr>
        <w:autoSpaceDE w:val="0"/>
        <w:autoSpaceDN w:val="0"/>
        <w:adjustRightInd w:val="0"/>
        <w:rPr>
          <w:rFonts w:ascii="Times New Roman" w:hAnsi="Times New Roman"/>
          <w:iCs/>
          <w:sz w:val="22"/>
          <w:szCs w:val="22"/>
          <w:lang w:val="lt-LT" w:eastAsia="lt-LT"/>
        </w:rPr>
      </w:pPr>
      <w:r w:rsidRPr="000E1775">
        <w:rPr>
          <w:rFonts w:ascii="Times New Roman" w:hAnsi="Times New Roman"/>
          <w:iCs/>
          <w:sz w:val="22"/>
          <w:szCs w:val="22"/>
          <w:lang w:val="lt-LT" w:eastAsia="lt-LT"/>
        </w:rPr>
        <w:t>1 Įskaitant febrilinę neutropeniją ir neutropeniją.</w:t>
      </w:r>
    </w:p>
    <w:p w:rsidR="0020797B" w:rsidRPr="000E1775" w:rsidRDefault="0020797B" w:rsidP="0020797B">
      <w:pPr>
        <w:autoSpaceDE w:val="0"/>
        <w:autoSpaceDN w:val="0"/>
        <w:adjustRightInd w:val="0"/>
        <w:rPr>
          <w:rFonts w:ascii="Times New Roman" w:hAnsi="Times New Roman"/>
          <w:iCs/>
          <w:sz w:val="22"/>
          <w:szCs w:val="22"/>
          <w:lang w:val="lt-LT" w:eastAsia="lt-LT"/>
        </w:rPr>
      </w:pPr>
      <w:r w:rsidRPr="000E1775">
        <w:rPr>
          <w:rFonts w:ascii="Times New Roman" w:hAnsi="Times New Roman"/>
          <w:iCs/>
          <w:sz w:val="22"/>
          <w:szCs w:val="22"/>
          <w:lang w:val="lt-LT" w:eastAsia="lt-LT"/>
        </w:rPr>
        <w:t>2 Įskaitant imuninę trombocitopeninę purpurą.</w:t>
      </w:r>
    </w:p>
    <w:p w:rsidR="0020797B" w:rsidRPr="000E1775" w:rsidRDefault="0020797B" w:rsidP="0020797B">
      <w:pPr>
        <w:autoSpaceDE w:val="0"/>
        <w:autoSpaceDN w:val="0"/>
        <w:adjustRightInd w:val="0"/>
        <w:rPr>
          <w:rFonts w:ascii="Times New Roman" w:hAnsi="Times New Roman"/>
          <w:iCs/>
          <w:sz w:val="22"/>
          <w:szCs w:val="22"/>
          <w:lang w:val="lt-LT" w:eastAsia="lt-LT"/>
        </w:rPr>
      </w:pPr>
      <w:r w:rsidRPr="000E1775">
        <w:rPr>
          <w:rFonts w:ascii="Times New Roman" w:hAnsi="Times New Roman"/>
          <w:iCs/>
          <w:sz w:val="22"/>
          <w:szCs w:val="22"/>
          <w:lang w:val="lt-LT" w:eastAsia="lt-LT"/>
        </w:rPr>
        <w:t>3 Įskaitant sprando rigidiškumą ir tetaniją.</w:t>
      </w:r>
    </w:p>
    <w:p w:rsidR="0020797B" w:rsidRPr="000E1775" w:rsidRDefault="0020797B" w:rsidP="0020797B">
      <w:pPr>
        <w:autoSpaceDE w:val="0"/>
        <w:autoSpaceDN w:val="0"/>
        <w:adjustRightInd w:val="0"/>
        <w:rPr>
          <w:rFonts w:ascii="Times New Roman" w:hAnsi="Times New Roman"/>
          <w:iCs/>
          <w:sz w:val="22"/>
          <w:szCs w:val="22"/>
          <w:lang w:val="lt-LT" w:eastAsia="lt-LT"/>
        </w:rPr>
      </w:pPr>
      <w:r w:rsidRPr="000E1775">
        <w:rPr>
          <w:rFonts w:ascii="Times New Roman" w:hAnsi="Times New Roman"/>
          <w:iCs/>
          <w:sz w:val="22"/>
          <w:szCs w:val="22"/>
          <w:lang w:val="lt-LT" w:eastAsia="lt-LT"/>
        </w:rPr>
        <w:t>4 Įskaitant hipoksinę-išeminę encefalopatiją ir metabolinę encefalopatiją.</w:t>
      </w:r>
    </w:p>
    <w:p w:rsidR="0020797B" w:rsidRPr="000E1775" w:rsidRDefault="0020797B" w:rsidP="0020797B">
      <w:pPr>
        <w:autoSpaceDE w:val="0"/>
        <w:autoSpaceDN w:val="0"/>
        <w:adjustRightInd w:val="0"/>
        <w:rPr>
          <w:rFonts w:ascii="Times New Roman" w:hAnsi="Times New Roman"/>
          <w:iCs/>
          <w:sz w:val="22"/>
          <w:szCs w:val="22"/>
          <w:lang w:val="lt-LT" w:eastAsia="lt-LT"/>
        </w:rPr>
      </w:pPr>
      <w:r w:rsidRPr="000E1775">
        <w:rPr>
          <w:rFonts w:ascii="Times New Roman" w:hAnsi="Times New Roman"/>
          <w:iCs/>
          <w:sz w:val="22"/>
          <w:szCs w:val="22"/>
          <w:lang w:val="lt-LT" w:eastAsia="lt-LT"/>
        </w:rPr>
        <w:t>5 Įskaitant akatiziją ir parkinsonizmą.</w:t>
      </w:r>
    </w:p>
    <w:p w:rsidR="0020797B" w:rsidRPr="000E1775" w:rsidRDefault="0020797B" w:rsidP="0020797B">
      <w:pPr>
        <w:autoSpaceDE w:val="0"/>
        <w:autoSpaceDN w:val="0"/>
        <w:adjustRightInd w:val="0"/>
        <w:rPr>
          <w:rFonts w:ascii="Times New Roman" w:hAnsi="Times New Roman"/>
          <w:iCs/>
          <w:sz w:val="22"/>
          <w:szCs w:val="22"/>
          <w:lang w:val="lt-LT" w:eastAsia="lt-LT"/>
        </w:rPr>
      </w:pPr>
      <w:r w:rsidRPr="000E1775">
        <w:rPr>
          <w:rFonts w:ascii="Times New Roman" w:hAnsi="Times New Roman"/>
          <w:iCs/>
          <w:sz w:val="22"/>
          <w:szCs w:val="22"/>
          <w:lang w:val="lt-LT" w:eastAsia="lt-LT"/>
        </w:rPr>
        <w:t>6 Žr. „Regos sutrikimų“ paragrafą 4.8 skyriuje.</w:t>
      </w:r>
    </w:p>
    <w:p w:rsidR="0020797B" w:rsidRPr="000E1775" w:rsidRDefault="0020797B" w:rsidP="0020797B">
      <w:pPr>
        <w:autoSpaceDE w:val="0"/>
        <w:autoSpaceDN w:val="0"/>
        <w:adjustRightInd w:val="0"/>
        <w:rPr>
          <w:rFonts w:ascii="Times New Roman" w:hAnsi="Times New Roman"/>
          <w:iCs/>
          <w:sz w:val="22"/>
          <w:szCs w:val="22"/>
          <w:lang w:val="lt-LT" w:eastAsia="lt-LT"/>
        </w:rPr>
      </w:pPr>
      <w:r w:rsidRPr="000E1775">
        <w:rPr>
          <w:rFonts w:ascii="Times New Roman" w:hAnsi="Times New Roman"/>
          <w:iCs/>
          <w:sz w:val="22"/>
          <w:szCs w:val="22"/>
          <w:lang w:val="lt-LT" w:eastAsia="lt-LT"/>
        </w:rPr>
        <w:t>7 Pateikus vaistinį preparatą į rinką buvo pranešta apie užsitęsusį regos nervo neuritą. Žr. 4.4 skyrių.</w:t>
      </w:r>
    </w:p>
    <w:p w:rsidR="0020797B" w:rsidRPr="000E1775" w:rsidRDefault="0020797B" w:rsidP="0020797B">
      <w:pPr>
        <w:autoSpaceDE w:val="0"/>
        <w:autoSpaceDN w:val="0"/>
        <w:adjustRightInd w:val="0"/>
        <w:rPr>
          <w:rFonts w:ascii="Times New Roman" w:hAnsi="Times New Roman"/>
          <w:iCs/>
          <w:sz w:val="22"/>
          <w:szCs w:val="22"/>
          <w:lang w:val="lt-LT" w:eastAsia="lt-LT"/>
        </w:rPr>
      </w:pPr>
      <w:r w:rsidRPr="000E1775">
        <w:rPr>
          <w:rFonts w:ascii="Times New Roman" w:hAnsi="Times New Roman"/>
          <w:iCs/>
          <w:sz w:val="22"/>
          <w:szCs w:val="22"/>
          <w:lang w:val="lt-LT" w:eastAsia="lt-LT"/>
        </w:rPr>
        <w:lastRenderedPageBreak/>
        <w:t>8 Žr. 4.4 skyrių.</w:t>
      </w:r>
    </w:p>
    <w:p w:rsidR="0020797B" w:rsidRPr="000E1775" w:rsidRDefault="0020797B" w:rsidP="0020797B">
      <w:pPr>
        <w:autoSpaceDE w:val="0"/>
        <w:autoSpaceDN w:val="0"/>
        <w:adjustRightInd w:val="0"/>
        <w:rPr>
          <w:rFonts w:ascii="Times New Roman" w:hAnsi="Times New Roman"/>
          <w:iCs/>
          <w:sz w:val="22"/>
          <w:szCs w:val="22"/>
          <w:lang w:val="lt-LT" w:eastAsia="lt-LT"/>
        </w:rPr>
      </w:pPr>
      <w:r w:rsidRPr="000E1775">
        <w:rPr>
          <w:rFonts w:ascii="Times New Roman" w:hAnsi="Times New Roman"/>
          <w:iCs/>
          <w:sz w:val="22"/>
          <w:szCs w:val="22"/>
          <w:lang w:val="lt-LT" w:eastAsia="lt-LT"/>
        </w:rPr>
        <w:t>9 Įskaitant dusulį ir dusulį fizinio krūvio metu.</w:t>
      </w:r>
    </w:p>
    <w:p w:rsidR="0020797B" w:rsidRPr="000E1775" w:rsidRDefault="0020797B" w:rsidP="0020797B">
      <w:pPr>
        <w:autoSpaceDE w:val="0"/>
        <w:autoSpaceDN w:val="0"/>
        <w:adjustRightInd w:val="0"/>
        <w:rPr>
          <w:rFonts w:ascii="Times New Roman" w:hAnsi="Times New Roman"/>
          <w:iCs/>
          <w:sz w:val="22"/>
          <w:szCs w:val="22"/>
          <w:lang w:val="lt-LT" w:eastAsia="lt-LT"/>
        </w:rPr>
      </w:pPr>
      <w:r w:rsidRPr="000E1775">
        <w:rPr>
          <w:rFonts w:ascii="Times New Roman" w:hAnsi="Times New Roman"/>
          <w:iCs/>
          <w:sz w:val="22"/>
          <w:szCs w:val="22"/>
          <w:lang w:val="lt-LT" w:eastAsia="lt-LT"/>
        </w:rPr>
        <w:t>10 Įskaitant vaistų sukeltą kepenų pažeidimą, toksinį hepatitą, kepenų ląstelių pažeidimą ir toksinį poveikį</w:t>
      </w:r>
      <w:r w:rsidR="000B6C64" w:rsidRPr="000E1775">
        <w:rPr>
          <w:rFonts w:ascii="Times New Roman" w:hAnsi="Times New Roman"/>
          <w:iCs/>
          <w:sz w:val="22"/>
          <w:szCs w:val="22"/>
          <w:lang w:val="lt-LT" w:eastAsia="lt-LT"/>
        </w:rPr>
        <w:t xml:space="preserve"> </w:t>
      </w:r>
      <w:r w:rsidRPr="000E1775">
        <w:rPr>
          <w:rFonts w:ascii="Times New Roman" w:hAnsi="Times New Roman"/>
          <w:iCs/>
          <w:sz w:val="22"/>
          <w:szCs w:val="22"/>
          <w:lang w:val="lt-LT" w:eastAsia="lt-LT"/>
        </w:rPr>
        <w:t>kepenims.</w:t>
      </w:r>
    </w:p>
    <w:p w:rsidR="0020797B" w:rsidRPr="000E1775" w:rsidRDefault="0020797B" w:rsidP="0020797B">
      <w:pPr>
        <w:autoSpaceDE w:val="0"/>
        <w:autoSpaceDN w:val="0"/>
        <w:adjustRightInd w:val="0"/>
        <w:rPr>
          <w:rFonts w:ascii="Times New Roman" w:hAnsi="Times New Roman"/>
          <w:iCs/>
          <w:sz w:val="22"/>
          <w:szCs w:val="22"/>
          <w:lang w:val="lt-LT" w:eastAsia="lt-LT"/>
        </w:rPr>
      </w:pPr>
      <w:r w:rsidRPr="000E1775">
        <w:rPr>
          <w:rFonts w:ascii="Times New Roman" w:hAnsi="Times New Roman"/>
          <w:iCs/>
          <w:sz w:val="22"/>
          <w:szCs w:val="22"/>
          <w:lang w:val="lt-LT" w:eastAsia="lt-LT"/>
        </w:rPr>
        <w:t>11 Įskaitant periorbitalinę edemą, lūpų edemą ir burnos edemą.</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hAnsi="Times New Roman"/>
          <w:iCs/>
          <w:sz w:val="22"/>
          <w:szCs w:val="22"/>
          <w:lang w:val="lt-LT" w:eastAsia="lt-LT"/>
        </w:rPr>
        <w:t>Atrinktų nepageidaujamų reakcijų apibūdinimas</w:t>
      </w:r>
      <w:r w:rsidRPr="000E1775">
        <w:rPr>
          <w:rFonts w:ascii="Times New Roman" w:eastAsia="Calibri" w:hAnsi="Times New Roman"/>
          <w:sz w:val="22"/>
          <w:szCs w:val="22"/>
          <w:lang w:val="lt-LT"/>
        </w:rPr>
        <w:t xml:space="preserve"> </w:t>
      </w: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p>
    <w:p w:rsidR="00E5066C" w:rsidRPr="000E1775" w:rsidRDefault="00E5066C" w:rsidP="00E5066C">
      <w:pPr>
        <w:autoSpaceDE w:val="0"/>
        <w:autoSpaceDN w:val="0"/>
        <w:adjustRightInd w:val="0"/>
        <w:rPr>
          <w:rFonts w:ascii="Times New Roman" w:eastAsia="TimesNewRoman,Italic" w:hAnsi="Times New Roman"/>
          <w:i/>
          <w:iCs/>
          <w:sz w:val="22"/>
          <w:szCs w:val="22"/>
          <w:lang w:val="lt-LT"/>
        </w:rPr>
      </w:pPr>
      <w:r w:rsidRPr="000E1775">
        <w:rPr>
          <w:rFonts w:ascii="Times New Roman" w:eastAsia="TimesNewRoman,Italic" w:hAnsi="Times New Roman"/>
          <w:i/>
          <w:iCs/>
          <w:sz w:val="22"/>
          <w:szCs w:val="22"/>
          <w:lang w:val="lt-LT"/>
        </w:rPr>
        <w:t>Regos sutrikimai</w:t>
      </w:r>
    </w:p>
    <w:p w:rsidR="00E5066C" w:rsidRPr="000E1775" w:rsidRDefault="00E5066C" w:rsidP="00CD6D1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Klinikinių tyrimų duomenimis, </w:t>
      </w:r>
      <w:r w:rsidR="00CD6D1C" w:rsidRPr="000E1775">
        <w:rPr>
          <w:rFonts w:ascii="Times New Roman" w:eastAsia="Calibri" w:hAnsi="Times New Roman"/>
          <w:sz w:val="22"/>
          <w:szCs w:val="22"/>
          <w:lang w:val="lt-LT"/>
        </w:rPr>
        <w:t>su vorikonazolo vartojimu susiję regos sutrikimai (įskaitant neryškų</w:t>
      </w:r>
      <w:r w:rsidR="0038157E" w:rsidRPr="000E1775">
        <w:rPr>
          <w:rFonts w:ascii="Times New Roman" w:eastAsia="Calibri" w:hAnsi="Times New Roman"/>
          <w:sz w:val="22"/>
          <w:szCs w:val="22"/>
          <w:lang w:val="lt-LT"/>
        </w:rPr>
        <w:t xml:space="preserve"> </w:t>
      </w:r>
      <w:r w:rsidR="00CD6D1C" w:rsidRPr="000E1775">
        <w:rPr>
          <w:rFonts w:ascii="Times New Roman" w:eastAsia="Calibri" w:hAnsi="Times New Roman"/>
          <w:sz w:val="22"/>
          <w:szCs w:val="22"/>
          <w:lang w:val="lt-LT"/>
        </w:rPr>
        <w:t>matymą, fotofobiją, chloropsiją, chromatopsiją, daltonizmą, cianopsiją, akių sutrikimą, aureolių</w:t>
      </w:r>
      <w:r w:rsidR="0038157E" w:rsidRPr="000E1775">
        <w:rPr>
          <w:rFonts w:ascii="Times New Roman" w:eastAsia="Calibri" w:hAnsi="Times New Roman"/>
          <w:sz w:val="22"/>
          <w:szCs w:val="22"/>
          <w:lang w:val="lt-LT"/>
        </w:rPr>
        <w:t xml:space="preserve"> </w:t>
      </w:r>
      <w:r w:rsidR="00CD6D1C" w:rsidRPr="000E1775">
        <w:rPr>
          <w:rFonts w:ascii="Times New Roman" w:eastAsia="Calibri" w:hAnsi="Times New Roman"/>
          <w:sz w:val="22"/>
          <w:szCs w:val="22"/>
          <w:lang w:val="lt-LT"/>
        </w:rPr>
        <w:t>matymą, vištakumą, oscilopsiją, fotopsiją, mirgančią skotomą, sumažėjusį regos aštrumą, regėjimo</w:t>
      </w:r>
      <w:r w:rsidR="0038157E" w:rsidRPr="000E1775">
        <w:rPr>
          <w:rFonts w:ascii="Times New Roman" w:eastAsia="Calibri" w:hAnsi="Times New Roman"/>
          <w:sz w:val="22"/>
          <w:szCs w:val="22"/>
          <w:lang w:val="lt-LT"/>
        </w:rPr>
        <w:t xml:space="preserve"> </w:t>
      </w:r>
      <w:r w:rsidR="00CD6D1C" w:rsidRPr="000E1775">
        <w:rPr>
          <w:rFonts w:ascii="Times New Roman" w:eastAsia="Calibri" w:hAnsi="Times New Roman"/>
          <w:sz w:val="22"/>
          <w:szCs w:val="22"/>
          <w:lang w:val="lt-LT"/>
        </w:rPr>
        <w:t xml:space="preserve">ryškumą, regos lauko defektą, „skraidančias museles“ ir ksantopsiją) pasireiškė labai dažnai. </w:t>
      </w:r>
      <w:r w:rsidRPr="000E1775">
        <w:rPr>
          <w:rFonts w:ascii="Times New Roman" w:eastAsia="Calibri" w:hAnsi="Times New Roman"/>
          <w:sz w:val="22"/>
          <w:szCs w:val="22"/>
          <w:lang w:val="lt-LT"/>
        </w:rPr>
        <w:t xml:space="preserve">pasireiškė labai dažnai. Šie regos </w:t>
      </w:r>
      <w:r w:rsidR="00CD6D1C" w:rsidRPr="000E1775">
        <w:rPr>
          <w:rFonts w:ascii="Times New Roman" w:eastAsia="Calibri" w:hAnsi="Times New Roman"/>
          <w:sz w:val="22"/>
          <w:szCs w:val="22"/>
          <w:lang w:val="lt-LT"/>
        </w:rPr>
        <w:t xml:space="preserve">sutrikimai </w:t>
      </w:r>
      <w:r w:rsidRPr="000E1775">
        <w:rPr>
          <w:rFonts w:ascii="Times New Roman" w:eastAsia="Calibri" w:hAnsi="Times New Roman"/>
          <w:sz w:val="22"/>
          <w:szCs w:val="22"/>
          <w:lang w:val="lt-LT"/>
        </w:rPr>
        <w:t>buvo laikini ir visiškai grįžtami, dauguma jų savaime visiškai išnyko per 60 minučių ir nesukėlė kliniškai reikšmingo ilgai trunkančio regėjimo sutrikimo. Nustatyta,</w:t>
      </w:r>
      <w:r w:rsidRPr="000E1775" w:rsidDel="00187A5C">
        <w:rPr>
          <w:rFonts w:ascii="Times New Roman" w:eastAsia="Calibri" w:hAnsi="Times New Roman"/>
          <w:sz w:val="22"/>
          <w:szCs w:val="22"/>
          <w:lang w:val="lt-LT"/>
        </w:rPr>
        <w:t xml:space="preserve"> </w:t>
      </w:r>
      <w:r w:rsidRPr="000E1775">
        <w:rPr>
          <w:rFonts w:ascii="Times New Roman" w:eastAsia="Calibri" w:hAnsi="Times New Roman"/>
          <w:sz w:val="22"/>
          <w:szCs w:val="22"/>
          <w:lang w:val="lt-LT"/>
        </w:rPr>
        <w:t>kad sutrikimai silpnėjo, vartojant kartotines vorikonazolo dozes. Paprastai, regos sutrikimai buvo nesunkūs, jie nesukėlė ilgalaikių pasekmių, retai dėl sukeltų pokyčių gydymą prireikė nutraukti. Regos sutrikimai gali būti siejami su didele preparato koncentracija plazmoje ir (arba) doze.</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Poveikio mechanizmas nežinomas, labiausiai tikėtina, kad vaistinio preparato veikimo vieta yra tinklainė. Vorikonazolo poveikio tinklainės funkcijai tyrimai su sveikais savanoriais parodė, kad preparatas sukelia elektroretinogramos (ERG) bangos formos amplitudės sumažėjimą. ERG rodo tinklainės elektros sroves. ERG pokyčiai neprogresavo 29 parų gydymo laikotarpio metu ir ERG visiškai sunormalėja nutraukus vorikonazolo vartojimą.</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Po vaistinio preparato pateikimo į rinką buvo gauta pranešimų apie nepageidaujamas ilagalaikes akių reakcijas (žr. 4.4 skyrių).</w:t>
      </w:r>
    </w:p>
    <w:p w:rsidR="00E5066C" w:rsidRPr="000E1775" w:rsidRDefault="00E5066C" w:rsidP="00E5066C">
      <w:pPr>
        <w:autoSpaceDE w:val="0"/>
        <w:autoSpaceDN w:val="0"/>
        <w:adjustRightInd w:val="0"/>
        <w:rPr>
          <w:rFonts w:ascii="Times New Roman" w:eastAsia="TimesNewRoman,Italic" w:hAnsi="Times New Roman"/>
          <w:i/>
          <w:iCs/>
          <w:sz w:val="22"/>
          <w:szCs w:val="22"/>
          <w:lang w:val="en-US"/>
        </w:rPr>
      </w:pPr>
    </w:p>
    <w:p w:rsidR="00E5066C" w:rsidRPr="000E1775" w:rsidRDefault="00E5066C" w:rsidP="00E5066C">
      <w:pPr>
        <w:autoSpaceDE w:val="0"/>
        <w:autoSpaceDN w:val="0"/>
        <w:adjustRightInd w:val="0"/>
        <w:rPr>
          <w:rFonts w:ascii="Times New Roman" w:eastAsia="TimesNewRoman,Italic" w:hAnsi="Times New Roman"/>
          <w:i/>
          <w:iCs/>
          <w:sz w:val="22"/>
          <w:szCs w:val="22"/>
          <w:lang w:val="en-US"/>
        </w:rPr>
      </w:pPr>
      <w:r w:rsidRPr="000E1775">
        <w:rPr>
          <w:rFonts w:ascii="Times New Roman" w:eastAsia="TimesNewRoman,Italic" w:hAnsi="Times New Roman"/>
          <w:i/>
          <w:iCs/>
          <w:sz w:val="22"/>
          <w:szCs w:val="22"/>
          <w:lang w:val="en-US"/>
        </w:rPr>
        <w:t>Odos reakcijos</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Klinikinių tyrimų metu nustatyta, kad pacientams, gydytiems vorikonazolu, odos reakcijos pasireiškia </w:t>
      </w:r>
      <w:r w:rsidR="00263D5B" w:rsidRPr="000E1775">
        <w:rPr>
          <w:rFonts w:ascii="Times New Roman" w:eastAsia="Calibri" w:hAnsi="Times New Roman"/>
          <w:sz w:val="22"/>
          <w:szCs w:val="22"/>
          <w:lang w:val="en-US"/>
        </w:rPr>
        <w:t xml:space="preserve">labai </w:t>
      </w:r>
      <w:r w:rsidRPr="000E1775">
        <w:rPr>
          <w:rFonts w:ascii="Times New Roman" w:eastAsia="Calibri" w:hAnsi="Times New Roman"/>
          <w:sz w:val="22"/>
          <w:szCs w:val="22"/>
          <w:lang w:val="en-US"/>
        </w:rPr>
        <w:t xml:space="preserve">dažnai, tačiau tie ligoniai sirgo ir sunkiomis gretutinėmis ligomis bei kartu vartojo daug vaistinių preparatų. Daugelis išbėrimų buvo nesunkūs arba vidutinio sunkumo. Vorikonazolo vartojusiems pacientams </w:t>
      </w:r>
      <w:r w:rsidR="00263D5B" w:rsidRPr="000E1775">
        <w:rPr>
          <w:rFonts w:ascii="Times New Roman" w:eastAsia="Calibri" w:hAnsi="Times New Roman"/>
          <w:sz w:val="22"/>
          <w:szCs w:val="22"/>
          <w:lang w:val="en-US"/>
        </w:rPr>
        <w:t xml:space="preserve">pasireikšdavo </w:t>
      </w:r>
      <w:r w:rsidRPr="000E1775">
        <w:rPr>
          <w:rFonts w:ascii="Times New Roman" w:eastAsia="Calibri" w:hAnsi="Times New Roman"/>
          <w:sz w:val="22"/>
          <w:szCs w:val="22"/>
          <w:lang w:val="en-US"/>
        </w:rPr>
        <w:t>sunkios odos reakcijos, įskaitant Stivenso ir Džonsono sindromą</w:t>
      </w:r>
      <w:r w:rsidR="00263D5B" w:rsidRPr="000E1775">
        <w:rPr>
          <w:rFonts w:ascii="Times New Roman" w:eastAsia="Calibri" w:hAnsi="Times New Roman"/>
          <w:sz w:val="22"/>
          <w:szCs w:val="22"/>
          <w:lang w:val="en-US"/>
        </w:rPr>
        <w:t xml:space="preserve"> (nedažnai)</w:t>
      </w:r>
      <w:r w:rsidRPr="000E1775">
        <w:rPr>
          <w:rFonts w:ascii="Times New Roman" w:eastAsia="Calibri" w:hAnsi="Times New Roman"/>
          <w:sz w:val="22"/>
          <w:szCs w:val="22"/>
          <w:lang w:val="en-US"/>
        </w:rPr>
        <w:t>, toksinę epidermio nekrolizę</w:t>
      </w:r>
      <w:r w:rsidR="00263D5B" w:rsidRPr="000E1775">
        <w:rPr>
          <w:rFonts w:ascii="Times New Roman" w:eastAsia="Calibri" w:hAnsi="Times New Roman"/>
          <w:sz w:val="22"/>
          <w:szCs w:val="22"/>
          <w:lang w:val="en-US"/>
        </w:rPr>
        <w:t xml:space="preserve"> (retai)</w:t>
      </w:r>
      <w:r w:rsidRPr="000E1775">
        <w:rPr>
          <w:rFonts w:ascii="Times New Roman" w:eastAsia="Calibri" w:hAnsi="Times New Roman"/>
          <w:sz w:val="22"/>
          <w:szCs w:val="22"/>
          <w:lang w:val="en-US"/>
        </w:rPr>
        <w:t xml:space="preserve"> ir daugiaformę </w:t>
      </w:r>
      <w:proofErr w:type="gramStart"/>
      <w:r w:rsidRPr="000E1775">
        <w:rPr>
          <w:rFonts w:ascii="Times New Roman" w:eastAsia="Calibri" w:hAnsi="Times New Roman"/>
          <w:sz w:val="22"/>
          <w:szCs w:val="22"/>
          <w:lang w:val="en-US"/>
        </w:rPr>
        <w:t>eritemą</w:t>
      </w:r>
      <w:r w:rsidR="00263D5B" w:rsidRPr="000E1775">
        <w:rPr>
          <w:rFonts w:ascii="Times New Roman" w:eastAsia="Calibri" w:hAnsi="Times New Roman"/>
          <w:sz w:val="22"/>
          <w:szCs w:val="22"/>
          <w:lang w:val="en-US"/>
        </w:rPr>
        <w:t>(</w:t>
      </w:r>
      <w:proofErr w:type="gramEnd"/>
      <w:r w:rsidRPr="000E1775">
        <w:rPr>
          <w:rFonts w:ascii="Times New Roman" w:eastAsia="Calibri" w:hAnsi="Times New Roman"/>
          <w:sz w:val="22"/>
          <w:szCs w:val="22"/>
          <w:lang w:val="en-US"/>
        </w:rPr>
        <w:t>retai</w:t>
      </w:r>
      <w:r w:rsidR="00263D5B" w:rsidRPr="000E1775">
        <w:rPr>
          <w:rFonts w:ascii="Times New Roman" w:eastAsia="Calibri" w:hAnsi="Times New Roman"/>
          <w:sz w:val="22"/>
          <w:szCs w:val="22"/>
          <w:lang w:val="en-US"/>
        </w:rPr>
        <w:t>)</w:t>
      </w:r>
      <w:r w:rsidRPr="000E1775">
        <w:rPr>
          <w:rFonts w:ascii="Times New Roman" w:eastAsia="Calibri" w:hAnsi="Times New Roman"/>
          <w:sz w:val="22"/>
          <w:szCs w:val="22"/>
          <w:lang w:val="en-US"/>
        </w:rPr>
        <w:t>.</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Jei atsiranda išbėrimas, ligonį reikia atidžiai sekti ir, jei pažeidimas sunkėja, gydymą VORICONAZOLE RICHTER nutraukti. </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Pastebėta pavienių fotosensibilizacijos, </w:t>
      </w:r>
      <w:r w:rsidR="00E51F7C" w:rsidRPr="000E1775">
        <w:rPr>
          <w:rFonts w:ascii="Times New Roman" w:eastAsia="TimesNewRoman" w:hAnsi="Times New Roman"/>
          <w:sz w:val="22"/>
          <w:szCs w:val="22"/>
          <w:lang w:val="en-US"/>
        </w:rPr>
        <w:t>įskaitant tokias reakcijas kaip strazdanos, šlakai (lentigo), spindulinė (aktininė) keratozė,</w:t>
      </w:r>
      <w:r w:rsidR="00E51F7C" w:rsidRPr="000E1775">
        <w:rPr>
          <w:rFonts w:ascii="Times New Roman" w:eastAsia="Calibri" w:hAnsi="Times New Roman"/>
          <w:sz w:val="22"/>
          <w:szCs w:val="22"/>
          <w:lang w:val="lt-LT"/>
        </w:rPr>
        <w:t xml:space="preserve"> </w:t>
      </w:r>
      <w:r w:rsidRPr="000E1775">
        <w:rPr>
          <w:rFonts w:ascii="Times New Roman" w:eastAsia="Calibri" w:hAnsi="Times New Roman"/>
          <w:sz w:val="22"/>
          <w:szCs w:val="22"/>
          <w:lang w:val="en-US"/>
        </w:rPr>
        <w:t>ypač vaistinį preparatą vartojant ilgai, atvejų (žr. 4.4 skyrių).</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Buvo pranešta apie odos plokščiųjų ląstelių vėžį pacientams, kurie ilgą laiką gydėsi vorikonazolu.</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Mechanizmas nenustatytas (žr. 4.4 skyrių).</w:t>
      </w:r>
    </w:p>
    <w:p w:rsidR="00E5066C" w:rsidRPr="000E1775" w:rsidRDefault="00E5066C" w:rsidP="00E5066C">
      <w:pPr>
        <w:autoSpaceDE w:val="0"/>
        <w:autoSpaceDN w:val="0"/>
        <w:adjustRightInd w:val="0"/>
        <w:rPr>
          <w:rFonts w:ascii="Times New Roman" w:eastAsia="TimesNewRoman,Italic" w:hAnsi="Times New Roman"/>
          <w:i/>
          <w:iCs/>
          <w:sz w:val="22"/>
          <w:szCs w:val="22"/>
          <w:lang w:val="en-US"/>
        </w:rPr>
      </w:pPr>
    </w:p>
    <w:p w:rsidR="00E5066C" w:rsidRPr="000E1775" w:rsidRDefault="00E5066C" w:rsidP="00E5066C">
      <w:pPr>
        <w:autoSpaceDE w:val="0"/>
        <w:autoSpaceDN w:val="0"/>
        <w:adjustRightInd w:val="0"/>
        <w:rPr>
          <w:rFonts w:ascii="Times New Roman" w:eastAsia="TimesNewRoman,Italic" w:hAnsi="Times New Roman"/>
          <w:i/>
          <w:iCs/>
          <w:sz w:val="22"/>
          <w:szCs w:val="22"/>
          <w:lang w:val="en-US"/>
        </w:rPr>
      </w:pPr>
      <w:r w:rsidRPr="000E1775">
        <w:rPr>
          <w:rFonts w:ascii="Times New Roman" w:eastAsia="TimesNewRoman,Italic" w:hAnsi="Times New Roman"/>
          <w:i/>
          <w:iCs/>
          <w:sz w:val="22"/>
          <w:szCs w:val="22"/>
          <w:lang w:val="en-US"/>
        </w:rPr>
        <w:t>Kepenų funkcijos tyrimai</w:t>
      </w:r>
    </w:p>
    <w:p w:rsidR="00E5066C" w:rsidRPr="000E1775" w:rsidRDefault="00263D5B" w:rsidP="00263D5B">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Bendro transaminazių aktyvumo padaugėjimo &gt; 3 x VNR (nebūtinai nepageidaujamos reakcijos)</w:t>
      </w:r>
      <w:r w:rsidR="0038157E" w:rsidRPr="000E1775" w:rsidDel="0038157E">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pacientams, kurie vartojo vorikonazolą gydymo ir profilaktikos tikslais, dažnis vorikonazolo klinikinės</w:t>
      </w:r>
      <w:r w:rsidR="000B6C64" w:rsidRPr="000E1775">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programos metu buvo 18,0 % (319 atvejų iš 1768) suaugusiesiems ir 25,8 % (73 atvejai iš 283)</w:t>
      </w:r>
      <w:r w:rsidR="0038157E" w:rsidRPr="000E1775" w:rsidDel="0038157E">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 xml:space="preserve">vaikams. </w:t>
      </w:r>
      <w:r w:rsidR="00E5066C" w:rsidRPr="000E1775">
        <w:rPr>
          <w:rFonts w:ascii="Times New Roman" w:eastAsia="Calibri" w:hAnsi="Times New Roman"/>
          <w:sz w:val="22"/>
          <w:szCs w:val="22"/>
          <w:lang w:val="en-US"/>
        </w:rPr>
        <w:t xml:space="preserve">Tyrimais nustatytas kepenų funkcijos sutrikimas gali būti siejamas su didele vaistinio preparato koncentracija </w:t>
      </w:r>
      <w:r w:rsidR="00E5066C" w:rsidRPr="000E1775">
        <w:rPr>
          <w:rFonts w:ascii="Times New Roman" w:eastAsia="Calibri" w:hAnsi="Times New Roman"/>
          <w:sz w:val="22"/>
          <w:szCs w:val="22"/>
          <w:lang w:val="en-US"/>
        </w:rPr>
        <w:lastRenderedPageBreak/>
        <w:t xml:space="preserve">plazmoje ir (arba) doze. Dauguma pakitusių kepenų funkcijos rodmenų sunormalėja gydymo metu nekeičiant dozės arba </w:t>
      </w:r>
      <w:proofErr w:type="gramStart"/>
      <w:r w:rsidR="00E5066C" w:rsidRPr="000E1775">
        <w:rPr>
          <w:rFonts w:ascii="Times New Roman" w:eastAsia="Calibri" w:hAnsi="Times New Roman"/>
          <w:sz w:val="22"/>
          <w:szCs w:val="22"/>
          <w:lang w:val="en-US"/>
        </w:rPr>
        <w:t>ją</w:t>
      </w:r>
      <w:proofErr w:type="gramEnd"/>
      <w:r w:rsidR="00E5066C" w:rsidRPr="000E1775">
        <w:rPr>
          <w:rFonts w:ascii="Times New Roman" w:eastAsia="Calibri" w:hAnsi="Times New Roman"/>
          <w:sz w:val="22"/>
          <w:szCs w:val="22"/>
          <w:lang w:val="en-US"/>
        </w:rPr>
        <w:t xml:space="preserve"> sumažinus, įskaitant gydymo nutraukimą.</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746A72"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S</w:t>
      </w:r>
      <w:r w:rsidR="00E5066C" w:rsidRPr="000E1775">
        <w:rPr>
          <w:rFonts w:ascii="Times New Roman" w:eastAsia="Calibri" w:hAnsi="Times New Roman"/>
          <w:sz w:val="22"/>
          <w:szCs w:val="22"/>
          <w:lang w:val="en-US"/>
        </w:rPr>
        <w:t>unkus toksinis vorikonazolo poveikis kepenims gali būti siejamas su kitokiomis sunkiomis gretutinėmis pacientų ligomis, įskaitant geltą</w:t>
      </w:r>
      <w:proofErr w:type="gramStart"/>
      <w:r w:rsidR="00E5066C" w:rsidRPr="000E1775">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 xml:space="preserve"> </w:t>
      </w:r>
      <w:r w:rsidR="00E5066C" w:rsidRPr="000E1775">
        <w:rPr>
          <w:rFonts w:ascii="Times New Roman" w:eastAsia="Calibri" w:hAnsi="Times New Roman"/>
          <w:sz w:val="22"/>
          <w:szCs w:val="22"/>
          <w:lang w:val="en-US"/>
        </w:rPr>
        <w:t>hepatitą</w:t>
      </w:r>
      <w:proofErr w:type="gramEnd"/>
      <w:r w:rsidR="00E5066C" w:rsidRPr="000E1775">
        <w:rPr>
          <w:rFonts w:ascii="Times New Roman" w:eastAsia="Calibri" w:hAnsi="Times New Roman"/>
          <w:sz w:val="22"/>
          <w:szCs w:val="22"/>
          <w:lang w:val="en-US"/>
        </w:rPr>
        <w:t xml:space="preserve"> bei kepenų funkcijos nepakankamumą, sukeliantį mirtį (žr. 4.4 skyrių).</w:t>
      </w:r>
    </w:p>
    <w:p w:rsidR="00E5066C" w:rsidRPr="000E1775" w:rsidRDefault="00E5066C" w:rsidP="00E5066C">
      <w:pPr>
        <w:autoSpaceDE w:val="0"/>
        <w:autoSpaceDN w:val="0"/>
        <w:adjustRightInd w:val="0"/>
        <w:rPr>
          <w:rFonts w:ascii="Times New Roman" w:eastAsia="TimesNewRoman,Italic" w:hAnsi="Times New Roman"/>
          <w:i/>
          <w:iCs/>
          <w:sz w:val="22"/>
          <w:szCs w:val="22"/>
          <w:lang w:val="en-US"/>
        </w:rPr>
      </w:pPr>
    </w:p>
    <w:p w:rsidR="00E5066C" w:rsidRPr="000E1775" w:rsidRDefault="00E5066C" w:rsidP="00E5066C">
      <w:pPr>
        <w:autoSpaceDE w:val="0"/>
        <w:autoSpaceDN w:val="0"/>
        <w:adjustRightInd w:val="0"/>
        <w:rPr>
          <w:rFonts w:ascii="Times New Roman" w:eastAsia="TimesNewRoman,Italic" w:hAnsi="Times New Roman"/>
          <w:i/>
          <w:iCs/>
          <w:sz w:val="22"/>
          <w:szCs w:val="22"/>
          <w:lang w:val="en-US"/>
        </w:rPr>
      </w:pPr>
      <w:r w:rsidRPr="000E1775">
        <w:rPr>
          <w:rFonts w:ascii="Times New Roman" w:eastAsia="TimesNewRoman,Italic" w:hAnsi="Times New Roman"/>
          <w:i/>
          <w:iCs/>
          <w:sz w:val="22"/>
          <w:szCs w:val="22"/>
          <w:lang w:val="en-US"/>
        </w:rPr>
        <w:t>Profilaktika</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Atvirajame, palyginamajame daugiacentriame tyrime, kuriame buvo lygintas vorikonazolas ir itrakonazolas, kaip pirmaeilis profilaktikai vartojamas vaistinis preparatas, suaugusiems ir paaugliams, kuriems buvo atlikta alogeninė hemopoezinių kamieninių ląstelių transplantacija be anksčiau patvirtinto ar tikėtino IFI, 39,3 % tiriamųjų buvo visam laikui nutrauktas vorikonazolo vartojimas dėl nepageidaujamų reiškinių, palyginus su 39,6 % tiriamųjų, kurie vartojo itrakonazolą. Dėl skubaus gydymo reikalaujančių nepageidaujamų reiškinių kepenims tiriamojo preparato vartojimas buvo visiškai nutrauktas 50 tiriamųjų (21</w:t>
      </w:r>
      <w:proofErr w:type="gramStart"/>
      <w:r w:rsidRPr="000E1775">
        <w:rPr>
          <w:rFonts w:ascii="Times New Roman" w:eastAsia="Calibri" w:hAnsi="Times New Roman"/>
          <w:sz w:val="22"/>
          <w:szCs w:val="22"/>
          <w:lang w:val="en-US"/>
        </w:rPr>
        <w:t>,4</w:t>
      </w:r>
      <w:proofErr w:type="gramEnd"/>
      <w:r w:rsidRPr="000E1775">
        <w:rPr>
          <w:rFonts w:ascii="Times New Roman" w:eastAsia="Calibri" w:hAnsi="Times New Roman"/>
          <w:sz w:val="22"/>
          <w:szCs w:val="22"/>
          <w:lang w:val="en-US"/>
        </w:rPr>
        <w:t xml:space="preserve"> %), kurie buvo gydomi vorikonazolu, ir 18 tiriamųjų (7,1 %),gydomų itrakonazolu.</w:t>
      </w:r>
    </w:p>
    <w:p w:rsidR="00E5066C" w:rsidRPr="000E1775" w:rsidRDefault="00E5066C" w:rsidP="00E5066C">
      <w:pPr>
        <w:autoSpaceDE w:val="0"/>
        <w:autoSpaceDN w:val="0"/>
        <w:adjustRightInd w:val="0"/>
        <w:rPr>
          <w:rFonts w:ascii="Times New Roman" w:eastAsia="TimesNewRoman,Italic" w:hAnsi="Times New Roman"/>
          <w:i/>
          <w:iCs/>
          <w:sz w:val="22"/>
          <w:szCs w:val="22"/>
          <w:lang w:val="en-US"/>
        </w:rPr>
      </w:pPr>
    </w:p>
    <w:p w:rsidR="00E5066C" w:rsidRPr="000E1775" w:rsidRDefault="00E5066C" w:rsidP="00E5066C">
      <w:pPr>
        <w:autoSpaceDE w:val="0"/>
        <w:autoSpaceDN w:val="0"/>
        <w:adjustRightInd w:val="0"/>
        <w:rPr>
          <w:rFonts w:ascii="Times New Roman" w:eastAsia="TimesNewRoman,Italic" w:hAnsi="Times New Roman"/>
          <w:i/>
          <w:iCs/>
          <w:sz w:val="22"/>
          <w:szCs w:val="22"/>
          <w:lang w:val="en-US"/>
        </w:rPr>
      </w:pPr>
      <w:r w:rsidRPr="000E1775">
        <w:rPr>
          <w:rFonts w:ascii="Times New Roman" w:eastAsia="TimesNewRoman,Italic" w:hAnsi="Times New Roman"/>
          <w:i/>
          <w:iCs/>
          <w:sz w:val="22"/>
          <w:szCs w:val="22"/>
          <w:lang w:val="en-US"/>
        </w:rPr>
        <w:t>Vaikų populiacija</w:t>
      </w:r>
    </w:p>
    <w:p w:rsidR="00746A72" w:rsidRPr="000E1775" w:rsidRDefault="00746A72" w:rsidP="00746A72">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Vorikonazolo saugumas buvo tirtas tyrimuose, kuriuose dalyvavo 288 vaikai nuo 2 iki &lt; 12 metų</w:t>
      </w:r>
    </w:p>
    <w:p w:rsidR="00746A72" w:rsidRPr="000E1775" w:rsidRDefault="00746A72" w:rsidP="00746A72">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(169) ir nuo 12 iki &lt; 18 metų (119), kurie klinikinių tyrimų metu vartojo vorikonazolą profilaktikai</w:t>
      </w:r>
    </w:p>
    <w:p w:rsidR="00746A72" w:rsidRPr="000E1775" w:rsidRDefault="00746A72" w:rsidP="00746A72">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(183) ir gydymui (105). Vorikonazolo saugumas papildomai buvo tirtas nuo 2 iki &lt; 12 metų amžiaus</w:t>
      </w:r>
    </w:p>
    <w:p w:rsidR="00746A72" w:rsidRPr="000E1775" w:rsidRDefault="00746A72" w:rsidP="00746A72">
      <w:pPr>
        <w:autoSpaceDE w:val="0"/>
        <w:autoSpaceDN w:val="0"/>
        <w:adjustRightInd w:val="0"/>
        <w:rPr>
          <w:rFonts w:ascii="Times New Roman" w:eastAsia="Calibri" w:hAnsi="Times New Roman"/>
          <w:sz w:val="22"/>
          <w:szCs w:val="22"/>
          <w:lang w:val="en-US"/>
        </w:rPr>
      </w:pPr>
      <w:proofErr w:type="gramStart"/>
      <w:r w:rsidRPr="000E1775">
        <w:rPr>
          <w:rFonts w:ascii="Times New Roman" w:eastAsia="Calibri" w:hAnsi="Times New Roman"/>
          <w:sz w:val="22"/>
          <w:szCs w:val="22"/>
          <w:lang w:val="en-US"/>
        </w:rPr>
        <w:t>vaikams</w:t>
      </w:r>
      <w:proofErr w:type="gramEnd"/>
      <w:r w:rsidRPr="000E1775">
        <w:rPr>
          <w:rFonts w:ascii="Times New Roman" w:eastAsia="Calibri" w:hAnsi="Times New Roman"/>
          <w:sz w:val="22"/>
          <w:szCs w:val="22"/>
          <w:lang w:val="en-US"/>
        </w:rPr>
        <w:t>, kurie buvo stebimi labdaros programose (158 vaikai). Apskritai, varikonazolo saugumo</w:t>
      </w:r>
    </w:p>
    <w:p w:rsidR="00746A72" w:rsidRPr="000E1775" w:rsidRDefault="00746A72" w:rsidP="00746A72">
      <w:pPr>
        <w:autoSpaceDE w:val="0"/>
        <w:autoSpaceDN w:val="0"/>
        <w:adjustRightInd w:val="0"/>
        <w:rPr>
          <w:rFonts w:ascii="Times New Roman" w:eastAsia="Calibri" w:hAnsi="Times New Roman"/>
          <w:sz w:val="22"/>
          <w:szCs w:val="22"/>
          <w:lang w:val="en-US"/>
        </w:rPr>
      </w:pPr>
      <w:proofErr w:type="gramStart"/>
      <w:r w:rsidRPr="000E1775">
        <w:rPr>
          <w:rFonts w:ascii="Times New Roman" w:eastAsia="Calibri" w:hAnsi="Times New Roman"/>
          <w:sz w:val="22"/>
          <w:szCs w:val="22"/>
          <w:lang w:val="en-US"/>
        </w:rPr>
        <w:t>pobūdis</w:t>
      </w:r>
      <w:proofErr w:type="gramEnd"/>
      <w:r w:rsidRPr="000E1775">
        <w:rPr>
          <w:rFonts w:ascii="Times New Roman" w:eastAsia="Calibri" w:hAnsi="Times New Roman"/>
          <w:sz w:val="22"/>
          <w:szCs w:val="22"/>
          <w:lang w:val="en-US"/>
        </w:rPr>
        <w:t xml:space="preserve"> vaikų populiacijoje buvo panašus į suaugusiųjų. Tačiau klinikinių tyrimų metu dažniau</w:t>
      </w:r>
    </w:p>
    <w:p w:rsidR="00746A72" w:rsidRPr="000E1775" w:rsidRDefault="00746A72" w:rsidP="00746A72">
      <w:pPr>
        <w:autoSpaceDE w:val="0"/>
        <w:autoSpaceDN w:val="0"/>
        <w:adjustRightInd w:val="0"/>
        <w:rPr>
          <w:rFonts w:ascii="Times New Roman" w:eastAsia="Calibri" w:hAnsi="Times New Roman"/>
          <w:sz w:val="22"/>
          <w:szCs w:val="22"/>
          <w:lang w:val="en-US"/>
        </w:rPr>
      </w:pPr>
      <w:proofErr w:type="gramStart"/>
      <w:r w:rsidRPr="000E1775">
        <w:rPr>
          <w:rFonts w:ascii="Times New Roman" w:eastAsia="Calibri" w:hAnsi="Times New Roman"/>
          <w:sz w:val="22"/>
          <w:szCs w:val="22"/>
          <w:lang w:val="en-US"/>
        </w:rPr>
        <w:t>pranešta</w:t>
      </w:r>
      <w:proofErr w:type="gramEnd"/>
      <w:r w:rsidRPr="000E1775">
        <w:rPr>
          <w:rFonts w:ascii="Times New Roman" w:eastAsia="Calibri" w:hAnsi="Times New Roman"/>
          <w:sz w:val="22"/>
          <w:szCs w:val="22"/>
          <w:lang w:val="en-US"/>
        </w:rPr>
        <w:t xml:space="preserve"> apie kepenų fermentų aktyvumo padidėjimo tendenciją kaip apie nepageidaujamą reakciją</w:t>
      </w:r>
    </w:p>
    <w:p w:rsidR="00746A72" w:rsidRPr="000E1775" w:rsidRDefault="00746A72" w:rsidP="00746A72">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w:t>
      </w:r>
      <w:proofErr w:type="gramStart"/>
      <w:r w:rsidRPr="000E1775">
        <w:rPr>
          <w:rFonts w:ascii="Times New Roman" w:eastAsia="Calibri" w:hAnsi="Times New Roman"/>
          <w:sz w:val="22"/>
          <w:szCs w:val="22"/>
          <w:lang w:val="en-US"/>
        </w:rPr>
        <w:t>transaminazių</w:t>
      </w:r>
      <w:proofErr w:type="gramEnd"/>
      <w:r w:rsidRPr="000E1775">
        <w:rPr>
          <w:rFonts w:ascii="Times New Roman" w:eastAsia="Calibri" w:hAnsi="Times New Roman"/>
          <w:sz w:val="22"/>
          <w:szCs w:val="22"/>
          <w:lang w:val="en-US"/>
        </w:rPr>
        <w:t xml:space="preserve"> aktyvumas padidėjo 14,2 % vaikų, palyginti su 5,3 % suaugusiųjų) vaikų populiacijai,</w:t>
      </w:r>
    </w:p>
    <w:p w:rsidR="00E5066C" w:rsidRPr="000E1775" w:rsidRDefault="00746A72" w:rsidP="00746A72">
      <w:pPr>
        <w:autoSpaceDE w:val="0"/>
        <w:autoSpaceDN w:val="0"/>
        <w:adjustRightInd w:val="0"/>
        <w:rPr>
          <w:rFonts w:ascii="Times New Roman" w:eastAsia="Calibri" w:hAnsi="Times New Roman"/>
          <w:sz w:val="22"/>
          <w:szCs w:val="22"/>
          <w:lang w:val="en-US"/>
        </w:rPr>
      </w:pPr>
      <w:proofErr w:type="gramStart"/>
      <w:r w:rsidRPr="000E1775">
        <w:rPr>
          <w:rFonts w:ascii="Times New Roman" w:eastAsia="Calibri" w:hAnsi="Times New Roman"/>
          <w:sz w:val="22"/>
          <w:szCs w:val="22"/>
          <w:lang w:val="en-US"/>
        </w:rPr>
        <w:t>palyginti</w:t>
      </w:r>
      <w:proofErr w:type="gramEnd"/>
      <w:r w:rsidRPr="000E1775">
        <w:rPr>
          <w:rFonts w:ascii="Times New Roman" w:eastAsia="Calibri" w:hAnsi="Times New Roman"/>
          <w:sz w:val="22"/>
          <w:szCs w:val="22"/>
          <w:lang w:val="en-US"/>
        </w:rPr>
        <w:t xml:space="preserve"> su suaugusiaisiais. </w:t>
      </w:r>
      <w:r w:rsidR="00E5066C" w:rsidRPr="000E1775">
        <w:rPr>
          <w:rFonts w:ascii="Times New Roman" w:eastAsia="Calibri" w:hAnsi="Times New Roman"/>
          <w:sz w:val="22"/>
          <w:szCs w:val="22"/>
          <w:lang w:val="en-US"/>
        </w:rPr>
        <w:t xml:space="preserve">Po vaistinio preparato patekimo į rinką gauti duomenys rodo, kad vaikams odos reakcijų (ypač eritema) gali atsirasti dažniau nei suaugusiesiems. </w:t>
      </w:r>
      <w:proofErr w:type="gramStart"/>
      <w:r w:rsidR="00E5066C" w:rsidRPr="000E1775">
        <w:rPr>
          <w:rFonts w:ascii="Times New Roman" w:eastAsia="Calibri" w:hAnsi="Times New Roman"/>
          <w:sz w:val="22"/>
          <w:szCs w:val="22"/>
          <w:lang w:val="en-US"/>
        </w:rPr>
        <w:t>22</w:t>
      </w:r>
      <w:proofErr w:type="gramEnd"/>
      <w:r w:rsidR="00E5066C" w:rsidRPr="000E1775">
        <w:rPr>
          <w:rFonts w:ascii="Times New Roman" w:eastAsia="Calibri" w:hAnsi="Times New Roman"/>
          <w:sz w:val="22"/>
          <w:szCs w:val="22"/>
          <w:lang w:val="en-US"/>
        </w:rPr>
        <w:t xml:space="preserve"> jaunesniems kaip 2 metų ligoniams, gydytiems vorikonazolu pagal labdaros programą, pasireiškė tokios nepageidaujamos reakcijos (jų sąsajos su vorikonazolu paneigti negalima): padidėjusio jautrumo šviesai reakcija (1), aritmija (1), pankreatitas (1), bilirubino koncentracijos kraujyje padidėjimas (1), kepenų fermentų kiekio padidėjimas (1), išbėrimas (1), regos nervo disko edema (1). Po vaistinio preparato patekimo į rinką gauta pranešimų apie vaikus ir paauglius, susirgusius pankreatitu.</w:t>
      </w:r>
    </w:p>
    <w:p w:rsidR="00E5066C" w:rsidRPr="000E1775" w:rsidRDefault="00E5066C" w:rsidP="00E5066C">
      <w:pPr>
        <w:autoSpaceDE w:val="0"/>
        <w:autoSpaceDN w:val="0"/>
        <w:adjustRightInd w:val="0"/>
        <w:rPr>
          <w:rFonts w:ascii="Times New Roman" w:eastAsia="Calibri" w:hAnsi="Times New Roman"/>
          <w:sz w:val="22"/>
          <w:szCs w:val="22"/>
          <w:u w:val="single"/>
          <w:lang w:val="en-US"/>
        </w:rPr>
      </w:pPr>
    </w:p>
    <w:p w:rsidR="00E5066C" w:rsidRPr="000E1775" w:rsidRDefault="00E5066C" w:rsidP="00E5066C">
      <w:pPr>
        <w:autoSpaceDE w:val="0"/>
        <w:autoSpaceDN w:val="0"/>
        <w:adjustRightInd w:val="0"/>
        <w:rPr>
          <w:rFonts w:ascii="Times New Roman" w:eastAsia="Calibri" w:hAnsi="Times New Roman"/>
          <w:sz w:val="22"/>
          <w:szCs w:val="22"/>
          <w:u w:val="single"/>
          <w:lang w:val="en-US"/>
        </w:rPr>
      </w:pPr>
      <w:r w:rsidRPr="000E1775">
        <w:rPr>
          <w:rFonts w:ascii="Times New Roman" w:eastAsia="Calibri" w:hAnsi="Times New Roman"/>
          <w:sz w:val="22"/>
          <w:szCs w:val="22"/>
          <w:u w:val="single"/>
          <w:lang w:val="en-US"/>
        </w:rPr>
        <w:t>Pranešimas apie įtariamas nepageidaujamas reakcijas</w:t>
      </w:r>
    </w:p>
    <w:p w:rsidR="00E5066C" w:rsidRPr="000E1775" w:rsidRDefault="00E5066C" w:rsidP="00E5066C">
      <w:pPr>
        <w:pStyle w:val="Antrat4"/>
        <w:rPr>
          <w:rFonts w:eastAsia="Calibri"/>
          <w:b w:val="0"/>
          <w:bCs w:val="0"/>
          <w:sz w:val="22"/>
          <w:szCs w:val="22"/>
          <w:lang w:val="en-US"/>
        </w:rPr>
      </w:pPr>
      <w:r w:rsidRPr="000E1775">
        <w:rPr>
          <w:rFonts w:eastAsia="Calibri"/>
          <w:b w:val="0"/>
          <w:bCs w:val="0"/>
          <w:sz w:val="22"/>
          <w:szCs w:val="22"/>
          <w:lang w:val="en-US"/>
        </w:rPr>
        <w:t xml:space="preserve">Svarbu pranešti apie įtariamas nepageidaujamas reakcijas, pastebėtas po vaistinio preparato registracijos, nes </w:t>
      </w:r>
      <w:proofErr w:type="gramStart"/>
      <w:r w:rsidRPr="000E1775">
        <w:rPr>
          <w:rFonts w:eastAsia="Calibri"/>
          <w:b w:val="0"/>
          <w:bCs w:val="0"/>
          <w:sz w:val="22"/>
          <w:szCs w:val="22"/>
          <w:lang w:val="en-US"/>
        </w:rPr>
        <w:t>tai</w:t>
      </w:r>
      <w:proofErr w:type="gramEnd"/>
      <w:r w:rsidRPr="000E1775">
        <w:rPr>
          <w:rFonts w:eastAsia="Calibri"/>
          <w:b w:val="0"/>
          <w:bCs w:val="0"/>
          <w:sz w:val="22"/>
          <w:szCs w:val="22"/>
          <w:lang w:val="en-US"/>
        </w:rPr>
        <w:t xml:space="preserve"> leidžia nuolat stebėti vaistinio preparato naudos ir rizikos santykį. </w:t>
      </w:r>
      <w:proofErr w:type="gramStart"/>
      <w:r w:rsidRPr="000E1775">
        <w:rPr>
          <w:rFonts w:eastAsia="Calibri"/>
          <w:b w:val="0"/>
          <w:bCs w:val="0"/>
          <w:sz w:val="22"/>
          <w:szCs w:val="22"/>
          <w:lang w:val="en-US"/>
        </w:rPr>
        <w:t xml:space="preserve">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w:t>
      </w:r>
      <w:r w:rsidRPr="000E1775">
        <w:rPr>
          <w:rFonts w:eastAsia="Calibri"/>
          <w:b w:val="0"/>
          <w:bCs w:val="0"/>
          <w:sz w:val="22"/>
          <w:szCs w:val="22"/>
          <w:lang w:val="en-US"/>
        </w:rPr>
        <w:lastRenderedPageBreak/>
        <w:t xml:space="preserve">09120 Vilnius), faksu (nemokamu fakso numeriu (8 800) 20 131), elektroniniu paštu (adresu NepageidaujamaR@vvkt.lt), per interneto svetainę (adresu </w:t>
      </w:r>
      <w:hyperlink r:id="rId6" w:history="1">
        <w:r w:rsidRPr="000E1775">
          <w:rPr>
            <w:rStyle w:val="Hipersaitas"/>
            <w:rFonts w:eastAsia="Calibri"/>
            <w:b w:val="0"/>
            <w:bCs w:val="0"/>
            <w:sz w:val="22"/>
            <w:szCs w:val="22"/>
            <w:lang w:val="en-US"/>
          </w:rPr>
          <w:t>http://www.vvkt.lt</w:t>
        </w:r>
      </w:hyperlink>
      <w:r w:rsidRPr="000E1775">
        <w:rPr>
          <w:rFonts w:eastAsia="Calibri"/>
          <w:b w:val="0"/>
          <w:bCs w:val="0"/>
          <w:sz w:val="22"/>
          <w:szCs w:val="22"/>
          <w:lang w:val="en-US"/>
        </w:rPr>
        <w:t>).</w:t>
      </w:r>
      <w:proofErr w:type="gramEnd"/>
    </w:p>
    <w:p w:rsidR="00E5066C" w:rsidRPr="000E1775" w:rsidRDefault="00E5066C" w:rsidP="000E1775">
      <w:pPr>
        <w:pStyle w:val="Antrat4"/>
        <w:ind w:left="567" w:hanging="567"/>
        <w:rPr>
          <w:sz w:val="22"/>
          <w:szCs w:val="22"/>
          <w:lang w:val="lt-LT"/>
        </w:rPr>
      </w:pPr>
      <w:r w:rsidRPr="000E1775">
        <w:rPr>
          <w:sz w:val="22"/>
          <w:szCs w:val="22"/>
          <w:lang w:val="lt-LT"/>
        </w:rPr>
        <w:t>4.9</w:t>
      </w:r>
      <w:r w:rsidRPr="000E1775">
        <w:rPr>
          <w:sz w:val="22"/>
          <w:szCs w:val="22"/>
          <w:lang w:val="lt-LT"/>
        </w:rPr>
        <w:tab/>
        <w:t>Perdozavimas</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Klinikinių tyrimų metu buvo 3 perdozavimo atvejai (visi atvejai įvyko vaikams, kuriems į veną buvo infuzuota dozė iki penkių kartų didesnė už rekomenduojamą). Vienam pacientui pasireiškė 10 minučių trukusi nepageidaujama reakcija - fotofobija.</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Priešnuodis vorikonazolui nežinomas.</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Vorikonazolą galima pašalinti hemodialize, jo klirensas yra 121 ml/min. Jei preparato perdozuojama, vorikonazolą iš organizmo galima šalinti hemodializuojant.</w:t>
      </w:r>
    </w:p>
    <w:p w:rsidR="00E5066C" w:rsidRDefault="00E5066C" w:rsidP="00E5066C">
      <w:pPr>
        <w:rPr>
          <w:rFonts w:ascii="Times New Roman" w:hAnsi="Times New Roman"/>
          <w:sz w:val="22"/>
          <w:szCs w:val="22"/>
          <w:lang w:val="lt-LT"/>
        </w:rPr>
      </w:pPr>
    </w:p>
    <w:p w:rsidR="000E1775" w:rsidRPr="000E1775" w:rsidRDefault="000E1775" w:rsidP="00E5066C">
      <w:pPr>
        <w:rPr>
          <w:rFonts w:ascii="Times New Roman" w:hAnsi="Times New Roman"/>
          <w:sz w:val="22"/>
          <w:szCs w:val="22"/>
          <w:lang w:val="lt-LT"/>
        </w:rPr>
      </w:pPr>
    </w:p>
    <w:p w:rsidR="00E5066C" w:rsidRPr="000E1775" w:rsidRDefault="00E5066C" w:rsidP="000E177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5.</w:t>
      </w:r>
      <w:r w:rsidRPr="000E1775">
        <w:rPr>
          <w:rFonts w:ascii="Times New Roman" w:hAnsi="Times New Roman"/>
          <w:sz w:val="22"/>
          <w:szCs w:val="22"/>
          <w:lang w:val="lt-LT"/>
        </w:rPr>
        <w:tab/>
        <w:t>FARMAKOLOGINĖS SAVYBĖS</w:t>
      </w:r>
    </w:p>
    <w:p w:rsidR="00E5066C" w:rsidRPr="000E1775" w:rsidRDefault="00E5066C" w:rsidP="000E1775">
      <w:pPr>
        <w:pStyle w:val="Antrat4"/>
        <w:ind w:left="567" w:hanging="567"/>
        <w:rPr>
          <w:sz w:val="22"/>
          <w:szCs w:val="22"/>
          <w:lang w:val="lt-LT"/>
        </w:rPr>
      </w:pPr>
      <w:r w:rsidRPr="000E1775">
        <w:rPr>
          <w:sz w:val="22"/>
          <w:szCs w:val="22"/>
          <w:lang w:val="lt-LT"/>
        </w:rPr>
        <w:t>5.1</w:t>
      </w:r>
      <w:r w:rsidRPr="000E1775">
        <w:rPr>
          <w:bCs w:val="0"/>
          <w:sz w:val="22"/>
          <w:szCs w:val="22"/>
          <w:lang w:val="lt-LT"/>
        </w:rPr>
        <w:t xml:space="preserve"> </w:t>
      </w:r>
      <w:r w:rsidRPr="000E1775">
        <w:rPr>
          <w:sz w:val="22"/>
          <w:szCs w:val="22"/>
          <w:lang w:val="lt-LT"/>
        </w:rPr>
        <w:tab/>
        <w:t>Farmakodinaminės savybės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 xml:space="preserve">Farmakoterapinė grupė – </w:t>
      </w:r>
      <w:r w:rsidRPr="000E1775">
        <w:rPr>
          <w:rFonts w:ascii="Times New Roman" w:eastAsia="Calibri" w:hAnsi="Times New Roman"/>
          <w:sz w:val="22"/>
          <w:szCs w:val="22"/>
          <w:lang w:val="lt-LT"/>
        </w:rPr>
        <w:t>sisteminio poveikio priešgrybeliniai vaistiniai preparatai (triazolo dariniai)</w:t>
      </w:r>
      <w:r w:rsidRPr="000E1775">
        <w:rPr>
          <w:rFonts w:ascii="Times New Roman" w:hAnsi="Times New Roman"/>
          <w:noProof/>
          <w:sz w:val="22"/>
          <w:szCs w:val="22"/>
          <w:lang w:val="lt-LT"/>
        </w:rPr>
        <w:t xml:space="preserve">, ATC kodas – </w:t>
      </w:r>
      <w:r w:rsidRPr="000E1775">
        <w:rPr>
          <w:rFonts w:ascii="Times New Roman" w:eastAsia="Calibri" w:hAnsi="Times New Roman"/>
          <w:sz w:val="22"/>
          <w:szCs w:val="22"/>
          <w:lang w:val="lt-LT"/>
        </w:rPr>
        <w:t>J02A C0</w:t>
      </w:r>
      <w:r w:rsidRPr="000E1775">
        <w:rPr>
          <w:rFonts w:ascii="Times New Roman" w:hAnsi="Times New Roman"/>
          <w:sz w:val="22"/>
          <w:szCs w:val="22"/>
          <w:lang w:val="lt-LT"/>
        </w:rPr>
        <w:t>3.</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u w:val="single"/>
          <w:lang w:val="lt-LT"/>
        </w:rPr>
      </w:pPr>
      <w:r w:rsidRPr="000E1775">
        <w:rPr>
          <w:rFonts w:ascii="Times New Roman" w:eastAsia="Calibri" w:hAnsi="Times New Roman"/>
          <w:sz w:val="22"/>
          <w:szCs w:val="22"/>
          <w:u w:val="single"/>
          <w:lang w:val="lt-LT"/>
        </w:rPr>
        <w:t>Veikimo mechanizmas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Vorikonazolas yra triazolų grupės priešgrybelinis vaistinis preparatas. Svarbiausias vorikonazolo veikimo mechanizmas yra grybelių citochromo P450 veikiamo 14 alfa lanosterolio demetilinimo (svarbiausio grybelių ergosterolio biosintezės etapo) slopinimas. 14 alfa metilsterolių kaupimasis yra susijęs su tolesniu ergosterolio kiekio mažėjimu grybelių ląstelių membranoje ir gali būti susijęs su priešgrybeliniu vorikonazolo aktyvumu. Nustatyta, kad vorikonazolas gali būti selektyvesnis grybelių citochromo P-450 izofermentams nei įvairių žinduolių P-450 izofermentų sistemoms.</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u w:val="single"/>
          <w:lang w:val="lt-LT"/>
        </w:rPr>
      </w:pPr>
      <w:r w:rsidRPr="000E1775">
        <w:rPr>
          <w:rFonts w:ascii="Times New Roman" w:eastAsia="Calibri" w:hAnsi="Times New Roman"/>
          <w:sz w:val="22"/>
          <w:szCs w:val="22"/>
          <w:u w:val="single"/>
          <w:lang w:val="lt-LT"/>
        </w:rPr>
        <w:t>Farmakokinetikos / farmakodinamikos ryšys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Dešimties gydymo tyrimų duomenimis, atskirų tiriamųjų vidutinių ir didžiausių koncentracijų plazmoje mediana visuose tyrimuose buvo atitinkamai 2 425 ng/ml (intervalas tarp kvartilių nuo 1 193 iki 4 380 ng/ml) ir 3 742 ng/ml (intervalas tarp kvartilių nuo 2 027 iki 6 302 ng/ml). Teigiamo vidutinės, didžiausios arba mažiausios vorikonazolo koncentracijų plazmoje ryšio su veiksmingumu gydymo tyrimuose nepastebėta ir šis ryšys nebuvo tiriamas profilaktikos tyrimuose.</w:t>
      </w:r>
    </w:p>
    <w:p w:rsidR="00E5066C" w:rsidRPr="000E1775" w:rsidRDefault="00E5066C" w:rsidP="00E5066C">
      <w:pPr>
        <w:autoSpaceDE w:val="0"/>
        <w:autoSpaceDN w:val="0"/>
        <w:adjustRightInd w:val="0"/>
        <w:rPr>
          <w:rFonts w:ascii="Times New Roman" w:eastAsia="Calibri" w:hAnsi="Times New Roman"/>
          <w:sz w:val="22"/>
          <w:szCs w:val="22"/>
          <w:u w:val="single"/>
          <w:lang w:val="lt-LT"/>
        </w:rPr>
      </w:pPr>
      <w:r w:rsidRPr="000E1775">
        <w:rPr>
          <w:rFonts w:ascii="Times New Roman" w:eastAsia="Calibri" w:hAnsi="Times New Roman"/>
          <w:sz w:val="22"/>
          <w:szCs w:val="22"/>
          <w:lang w:val="lt-LT"/>
        </w:rPr>
        <w:t>Klinikinių tyrimų farmakokinetikos ir farmakodinamikos duomenų analizės parodė teigiamą vorikonazolo koncentracijų plazmoje ryšį su nenormaliais kepenų funkcijos tyrimų rodmenimis bei regėjimo sutrikimais. Dozės koregavimas profilaktikos tyrimuose nebuvo tiriamas.</w:t>
      </w:r>
    </w:p>
    <w:p w:rsidR="00880FD9" w:rsidRPr="000E1775" w:rsidRDefault="00880FD9" w:rsidP="00E5066C">
      <w:pPr>
        <w:autoSpaceDE w:val="0"/>
        <w:autoSpaceDN w:val="0"/>
        <w:adjustRightInd w:val="0"/>
        <w:rPr>
          <w:rFonts w:ascii="Times New Roman" w:eastAsia="Calibri" w:hAnsi="Times New Roman"/>
          <w:sz w:val="22"/>
          <w:szCs w:val="22"/>
          <w:u w:val="single"/>
          <w:lang w:val="lt-LT"/>
        </w:rPr>
      </w:pPr>
    </w:p>
    <w:p w:rsidR="00E5066C" w:rsidRPr="000E1775" w:rsidRDefault="00E5066C" w:rsidP="00E5066C">
      <w:pPr>
        <w:autoSpaceDE w:val="0"/>
        <w:autoSpaceDN w:val="0"/>
        <w:adjustRightInd w:val="0"/>
        <w:rPr>
          <w:rFonts w:ascii="Times New Roman" w:eastAsia="Calibri" w:hAnsi="Times New Roman"/>
          <w:sz w:val="22"/>
          <w:szCs w:val="22"/>
          <w:u w:val="single"/>
          <w:lang w:val="lt-LT"/>
        </w:rPr>
      </w:pPr>
      <w:r w:rsidRPr="000E1775">
        <w:rPr>
          <w:rFonts w:ascii="Times New Roman" w:eastAsia="Calibri" w:hAnsi="Times New Roman"/>
          <w:sz w:val="22"/>
          <w:szCs w:val="22"/>
          <w:u w:val="single"/>
          <w:lang w:val="lt-LT"/>
        </w:rPr>
        <w:t>Klinikinis veiksmingumas ir saugumas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Tyrimų </w:t>
      </w:r>
      <w:r w:rsidRPr="000E1775">
        <w:rPr>
          <w:rFonts w:ascii="Times New Roman" w:eastAsia="TimesNewRoman,Italic" w:hAnsi="Times New Roman"/>
          <w:i/>
          <w:iCs/>
          <w:sz w:val="22"/>
          <w:szCs w:val="22"/>
          <w:lang w:val="lt-LT"/>
        </w:rPr>
        <w:t xml:space="preserve">in vitro </w:t>
      </w:r>
      <w:r w:rsidRPr="000E1775">
        <w:rPr>
          <w:rFonts w:ascii="Times New Roman" w:eastAsia="Calibri" w:hAnsi="Times New Roman"/>
          <w:sz w:val="22"/>
          <w:szCs w:val="22"/>
          <w:lang w:val="lt-LT"/>
        </w:rPr>
        <w:t xml:space="preserve">duomenimis, vorikonazolui būdingas plataus spektro priešgrybelinis aktyvumas su stipriu priešgrybeliniu poveikiu </w:t>
      </w:r>
      <w:r w:rsidRPr="000E1775">
        <w:rPr>
          <w:rFonts w:ascii="Times New Roman" w:eastAsia="TimesNewRoman,Italic" w:hAnsi="Times New Roman"/>
          <w:i/>
          <w:iCs/>
          <w:sz w:val="22"/>
          <w:szCs w:val="22"/>
          <w:lang w:val="lt-LT"/>
        </w:rPr>
        <w:t xml:space="preserve">Candida </w:t>
      </w:r>
      <w:r w:rsidRPr="000E1775">
        <w:rPr>
          <w:rFonts w:ascii="Times New Roman" w:eastAsia="Calibri" w:hAnsi="Times New Roman"/>
          <w:sz w:val="22"/>
          <w:szCs w:val="22"/>
          <w:lang w:val="lt-LT"/>
        </w:rPr>
        <w:t xml:space="preserve">rūšims (įskaitant flukonazolui atsparias </w:t>
      </w:r>
      <w:r w:rsidRPr="000E1775">
        <w:rPr>
          <w:rFonts w:ascii="Times New Roman" w:eastAsia="TimesNewRoman,Italic" w:hAnsi="Times New Roman"/>
          <w:i/>
          <w:iCs/>
          <w:sz w:val="22"/>
          <w:szCs w:val="22"/>
          <w:lang w:val="lt-LT"/>
        </w:rPr>
        <w:t xml:space="preserve">C. krusei </w:t>
      </w:r>
      <w:r w:rsidRPr="000E1775">
        <w:rPr>
          <w:rFonts w:ascii="Times New Roman" w:eastAsia="Calibri" w:hAnsi="Times New Roman"/>
          <w:sz w:val="22"/>
          <w:szCs w:val="22"/>
          <w:lang w:val="lt-LT"/>
        </w:rPr>
        <w:t xml:space="preserve">ir atsparias </w:t>
      </w:r>
      <w:r w:rsidRPr="000E1775">
        <w:rPr>
          <w:rFonts w:ascii="Times New Roman" w:eastAsia="TimesNewRoman,Italic" w:hAnsi="Times New Roman"/>
          <w:i/>
          <w:iCs/>
          <w:sz w:val="22"/>
          <w:szCs w:val="22"/>
          <w:lang w:val="lt-LT"/>
        </w:rPr>
        <w:t xml:space="preserve">C. glabrata </w:t>
      </w:r>
      <w:r w:rsidRPr="000E1775">
        <w:rPr>
          <w:rFonts w:ascii="Times New Roman" w:eastAsia="Calibri" w:hAnsi="Times New Roman"/>
          <w:sz w:val="22"/>
          <w:szCs w:val="22"/>
          <w:lang w:val="lt-LT"/>
        </w:rPr>
        <w:t xml:space="preserve">bei </w:t>
      </w:r>
      <w:r w:rsidRPr="000E1775">
        <w:rPr>
          <w:rFonts w:ascii="Times New Roman" w:eastAsia="TimesNewRoman,Italic" w:hAnsi="Times New Roman"/>
          <w:i/>
          <w:iCs/>
          <w:sz w:val="22"/>
          <w:szCs w:val="22"/>
          <w:lang w:val="lt-LT"/>
        </w:rPr>
        <w:t xml:space="preserve">C. albicans </w:t>
      </w:r>
      <w:r w:rsidRPr="000E1775">
        <w:rPr>
          <w:rFonts w:ascii="Times New Roman" w:eastAsia="Calibri" w:hAnsi="Times New Roman"/>
          <w:sz w:val="22"/>
          <w:szCs w:val="22"/>
          <w:lang w:val="lt-LT"/>
        </w:rPr>
        <w:t xml:space="preserve">padermes) ir fungicidiniu poveikiu visoms tirtoms </w:t>
      </w:r>
      <w:r w:rsidRPr="000E1775">
        <w:rPr>
          <w:rFonts w:ascii="Times New Roman" w:eastAsia="TimesNewRoman,Italic" w:hAnsi="Times New Roman"/>
          <w:i/>
          <w:iCs/>
          <w:sz w:val="22"/>
          <w:szCs w:val="22"/>
          <w:lang w:val="lt-LT"/>
        </w:rPr>
        <w:t xml:space="preserve">Aspergillus </w:t>
      </w:r>
      <w:r w:rsidRPr="000E1775">
        <w:rPr>
          <w:rFonts w:ascii="Times New Roman" w:eastAsia="Calibri" w:hAnsi="Times New Roman"/>
          <w:sz w:val="22"/>
          <w:szCs w:val="22"/>
          <w:lang w:val="lt-LT"/>
        </w:rPr>
        <w:t xml:space="preserve">rūšims. Be to, vorikonazolas parodė fungicidinį aktyvumą </w:t>
      </w:r>
      <w:r w:rsidRPr="000E1775">
        <w:rPr>
          <w:rFonts w:ascii="Times New Roman" w:eastAsia="TimesNewRoman,Italic" w:hAnsi="Times New Roman"/>
          <w:i/>
          <w:iCs/>
          <w:sz w:val="22"/>
          <w:szCs w:val="22"/>
          <w:lang w:val="lt-LT"/>
        </w:rPr>
        <w:t xml:space="preserve">in vitro </w:t>
      </w:r>
      <w:r w:rsidRPr="000E1775">
        <w:rPr>
          <w:rFonts w:ascii="Times New Roman" w:eastAsia="Calibri" w:hAnsi="Times New Roman"/>
          <w:sz w:val="22"/>
          <w:szCs w:val="22"/>
          <w:lang w:val="lt-LT"/>
        </w:rPr>
        <w:t xml:space="preserve">prieš sparčiai besidauginančius grybelinius sukėlėjus, įskaitant, pavyzdžiui, </w:t>
      </w:r>
      <w:r w:rsidRPr="000E1775">
        <w:rPr>
          <w:rFonts w:ascii="Times New Roman" w:eastAsia="TimesNewRoman,Italic" w:hAnsi="Times New Roman"/>
          <w:i/>
          <w:iCs/>
          <w:sz w:val="22"/>
          <w:szCs w:val="22"/>
          <w:lang w:val="lt-LT"/>
        </w:rPr>
        <w:t xml:space="preserve">Scedosporium </w:t>
      </w:r>
      <w:r w:rsidRPr="000E1775">
        <w:rPr>
          <w:rFonts w:ascii="Times New Roman" w:eastAsia="Calibri" w:hAnsi="Times New Roman"/>
          <w:sz w:val="22"/>
          <w:szCs w:val="22"/>
          <w:lang w:val="lt-LT"/>
        </w:rPr>
        <w:t xml:space="preserve">arba </w:t>
      </w:r>
      <w:r w:rsidRPr="000E1775">
        <w:rPr>
          <w:rFonts w:ascii="Times New Roman" w:eastAsia="TimesNewRoman,Italic" w:hAnsi="Times New Roman"/>
          <w:i/>
          <w:iCs/>
          <w:sz w:val="22"/>
          <w:szCs w:val="22"/>
          <w:lang w:val="lt-LT"/>
        </w:rPr>
        <w:t>Fusarium</w:t>
      </w:r>
      <w:r w:rsidRPr="000E1775">
        <w:rPr>
          <w:rFonts w:ascii="Times New Roman" w:eastAsia="Calibri" w:hAnsi="Times New Roman"/>
          <w:sz w:val="22"/>
          <w:szCs w:val="22"/>
          <w:lang w:val="lt-LT"/>
        </w:rPr>
        <w:t>, kurių jautrumas esamiems priešgrybeliniams vaistiniams preparatams yra ribotas.</w:t>
      </w:r>
    </w:p>
    <w:p w:rsidR="00E5066C" w:rsidRPr="000E1775" w:rsidRDefault="00E5066C" w:rsidP="00E5066C">
      <w:pPr>
        <w:autoSpaceDE w:val="0"/>
        <w:autoSpaceDN w:val="0"/>
        <w:adjustRightInd w:val="0"/>
        <w:rPr>
          <w:rFonts w:ascii="Times New Roman" w:eastAsia="TimesNewRoman,Italic" w:hAnsi="Times New Roman"/>
          <w:sz w:val="22"/>
          <w:szCs w:val="22"/>
          <w:lang w:val="fr-FR"/>
        </w:rPr>
      </w:pPr>
      <w:r w:rsidRPr="000E1775">
        <w:rPr>
          <w:rFonts w:ascii="Times New Roman" w:eastAsia="Calibri" w:hAnsi="Times New Roman"/>
          <w:sz w:val="22"/>
          <w:szCs w:val="22"/>
          <w:lang w:val="lt-LT"/>
        </w:rPr>
        <w:lastRenderedPageBreak/>
        <w:t xml:space="preserve">Klinikinis veiksmingumas (visiškas arba dalinis atsakas) buvo nustatytas prieš </w:t>
      </w:r>
      <w:r w:rsidRPr="000E1775">
        <w:rPr>
          <w:rFonts w:ascii="Times New Roman" w:eastAsia="TimesNewRoman,Italic" w:hAnsi="Times New Roman"/>
          <w:i/>
          <w:iCs/>
          <w:sz w:val="22"/>
          <w:szCs w:val="22"/>
          <w:lang w:val="lt-LT"/>
        </w:rPr>
        <w:t xml:space="preserve">Aspergillus </w:t>
      </w:r>
      <w:r w:rsidRPr="000E1775">
        <w:rPr>
          <w:rFonts w:ascii="Times New Roman" w:eastAsia="Calibri" w:hAnsi="Times New Roman"/>
          <w:sz w:val="22"/>
          <w:szCs w:val="22"/>
          <w:lang w:val="lt-LT"/>
        </w:rPr>
        <w:t>rūšis,</w:t>
      </w:r>
      <w:r w:rsidRPr="000E1775" w:rsidDel="00C45CA0">
        <w:rPr>
          <w:rFonts w:ascii="Times New Roman" w:eastAsia="Calibri" w:hAnsi="Times New Roman"/>
          <w:sz w:val="22"/>
          <w:szCs w:val="22"/>
          <w:lang w:val="lt-LT"/>
        </w:rPr>
        <w:t xml:space="preserve"> </w:t>
      </w:r>
      <w:r w:rsidRPr="000E1775">
        <w:rPr>
          <w:rFonts w:ascii="Times New Roman" w:eastAsia="Calibri" w:hAnsi="Times New Roman"/>
          <w:sz w:val="22"/>
          <w:szCs w:val="22"/>
          <w:lang w:val="fr-FR"/>
        </w:rPr>
        <w:t xml:space="preserve">įskaitant </w:t>
      </w:r>
      <w:r w:rsidRPr="000E1775">
        <w:rPr>
          <w:rFonts w:ascii="Times New Roman" w:eastAsia="TimesNewRoman,Italic" w:hAnsi="Times New Roman"/>
          <w:i/>
          <w:iCs/>
          <w:sz w:val="22"/>
          <w:szCs w:val="22"/>
          <w:lang w:val="fr-FR"/>
        </w:rPr>
        <w:t xml:space="preserve">A. </w:t>
      </w:r>
      <w:proofErr w:type="gramStart"/>
      <w:r w:rsidRPr="000E1775">
        <w:rPr>
          <w:rFonts w:ascii="Times New Roman" w:eastAsia="TimesNewRoman,Italic" w:hAnsi="Times New Roman"/>
          <w:i/>
          <w:iCs/>
          <w:sz w:val="22"/>
          <w:szCs w:val="22"/>
          <w:lang w:val="fr-FR"/>
        </w:rPr>
        <w:t>flavus</w:t>
      </w:r>
      <w:proofErr w:type="gramEnd"/>
      <w:r w:rsidRPr="000E1775">
        <w:rPr>
          <w:rFonts w:ascii="Times New Roman" w:eastAsia="TimesNewRoman,Italic" w:hAnsi="Times New Roman"/>
          <w:i/>
          <w:iCs/>
          <w:sz w:val="22"/>
          <w:szCs w:val="22"/>
          <w:lang w:val="fr-FR"/>
        </w:rPr>
        <w:t xml:space="preserve">, A. fumigatus, A. terreus, A. niger, A. nidulans, Candida </w:t>
      </w:r>
      <w:r w:rsidRPr="000E1775">
        <w:rPr>
          <w:rFonts w:ascii="Times New Roman" w:eastAsia="Calibri" w:hAnsi="Times New Roman"/>
          <w:sz w:val="22"/>
          <w:szCs w:val="22"/>
          <w:lang w:val="fr-FR"/>
        </w:rPr>
        <w:t xml:space="preserve">rūšis, įskaitant </w:t>
      </w:r>
      <w:r w:rsidRPr="000E1775">
        <w:rPr>
          <w:rFonts w:ascii="Times New Roman" w:eastAsia="TimesNewRoman,Italic" w:hAnsi="Times New Roman"/>
          <w:i/>
          <w:iCs/>
          <w:sz w:val="22"/>
          <w:szCs w:val="22"/>
          <w:lang w:val="fr-FR"/>
        </w:rPr>
        <w:t xml:space="preserve">C. albicans C. glabrata, C. krusei, C. parapsilosis </w:t>
      </w:r>
      <w:r w:rsidRPr="000E1775">
        <w:rPr>
          <w:rFonts w:ascii="Times New Roman" w:eastAsia="TimesNewRoman,Italic" w:hAnsi="Times New Roman"/>
          <w:sz w:val="22"/>
          <w:szCs w:val="22"/>
          <w:lang w:val="fr-FR"/>
        </w:rPr>
        <w:t xml:space="preserve">ir </w:t>
      </w:r>
      <w:r w:rsidRPr="000E1775">
        <w:rPr>
          <w:rFonts w:ascii="Times New Roman" w:eastAsia="TimesNewRoman,Italic" w:hAnsi="Times New Roman"/>
          <w:i/>
          <w:iCs/>
          <w:sz w:val="22"/>
          <w:szCs w:val="22"/>
          <w:lang w:val="fr-FR"/>
        </w:rPr>
        <w:t xml:space="preserve">C. tropicalis </w:t>
      </w:r>
      <w:r w:rsidRPr="000E1775">
        <w:rPr>
          <w:rFonts w:ascii="Times New Roman" w:eastAsia="TimesNewRoman,Italic" w:hAnsi="Times New Roman"/>
          <w:sz w:val="22"/>
          <w:szCs w:val="22"/>
          <w:lang w:val="fr-FR"/>
        </w:rPr>
        <w:t xml:space="preserve">ir nedidelį skaičių </w:t>
      </w:r>
      <w:r w:rsidRPr="000E1775">
        <w:rPr>
          <w:rFonts w:ascii="Times New Roman" w:eastAsia="TimesNewRoman,Italic" w:hAnsi="Times New Roman"/>
          <w:i/>
          <w:iCs/>
          <w:sz w:val="22"/>
          <w:szCs w:val="22"/>
          <w:lang w:val="fr-FR"/>
        </w:rPr>
        <w:t>C. dubliniensis, C.</w:t>
      </w:r>
      <w:r w:rsidRPr="000E1775" w:rsidDel="00C45CA0">
        <w:rPr>
          <w:rFonts w:ascii="Times New Roman" w:eastAsia="TimesNewRoman,Italic" w:hAnsi="Times New Roman"/>
          <w:i/>
          <w:iCs/>
          <w:sz w:val="22"/>
          <w:szCs w:val="22"/>
          <w:lang w:val="fr-FR"/>
        </w:rPr>
        <w:t xml:space="preserve"> </w:t>
      </w:r>
      <w:r w:rsidRPr="000E1775">
        <w:rPr>
          <w:rFonts w:ascii="Times New Roman" w:eastAsia="TimesNewRoman,Italic" w:hAnsi="Times New Roman"/>
          <w:i/>
          <w:iCs/>
          <w:sz w:val="22"/>
          <w:szCs w:val="22"/>
          <w:lang w:val="fr-FR"/>
        </w:rPr>
        <w:t xml:space="preserve">inconspicua </w:t>
      </w:r>
      <w:r w:rsidRPr="000E1775">
        <w:rPr>
          <w:rFonts w:ascii="Times New Roman" w:eastAsia="TimesNewRoman,Italic" w:hAnsi="Times New Roman"/>
          <w:sz w:val="22"/>
          <w:szCs w:val="22"/>
          <w:lang w:val="fr-FR"/>
        </w:rPr>
        <w:t xml:space="preserve">ir </w:t>
      </w:r>
      <w:r w:rsidRPr="000E1775">
        <w:rPr>
          <w:rFonts w:ascii="Times New Roman" w:eastAsia="TimesNewRoman,Italic" w:hAnsi="Times New Roman"/>
          <w:i/>
          <w:iCs/>
          <w:sz w:val="22"/>
          <w:szCs w:val="22"/>
          <w:lang w:val="fr-FR"/>
        </w:rPr>
        <w:t xml:space="preserve">C. guilliermondii, Scedosporium </w:t>
      </w:r>
      <w:r w:rsidRPr="000E1775">
        <w:rPr>
          <w:rFonts w:ascii="Times New Roman" w:eastAsia="TimesNewRoman,Italic" w:hAnsi="Times New Roman"/>
          <w:sz w:val="22"/>
          <w:szCs w:val="22"/>
          <w:lang w:val="fr-FR"/>
        </w:rPr>
        <w:t xml:space="preserve">rūšis, įskaitant </w:t>
      </w:r>
      <w:r w:rsidRPr="000E1775">
        <w:rPr>
          <w:rFonts w:ascii="Times New Roman" w:eastAsia="TimesNewRoman,Italic" w:hAnsi="Times New Roman"/>
          <w:i/>
          <w:iCs/>
          <w:sz w:val="22"/>
          <w:szCs w:val="22"/>
          <w:lang w:val="fr-FR"/>
        </w:rPr>
        <w:t xml:space="preserve">S. apiospermum, S. prolificans </w:t>
      </w:r>
      <w:r w:rsidRPr="000E1775">
        <w:rPr>
          <w:rFonts w:ascii="Times New Roman" w:eastAsia="TimesNewRoman,Italic" w:hAnsi="Times New Roman"/>
          <w:sz w:val="22"/>
          <w:szCs w:val="22"/>
          <w:lang w:val="fr-FR"/>
        </w:rPr>
        <w:t xml:space="preserve">ir </w:t>
      </w:r>
      <w:r w:rsidRPr="000E1775">
        <w:rPr>
          <w:rFonts w:ascii="Times New Roman" w:eastAsia="TimesNewRoman,Italic" w:hAnsi="Times New Roman"/>
          <w:i/>
          <w:iCs/>
          <w:sz w:val="22"/>
          <w:szCs w:val="22"/>
          <w:lang w:val="fr-FR"/>
        </w:rPr>
        <w:t xml:space="preserve">Fusarium </w:t>
      </w:r>
      <w:r w:rsidRPr="000E1775">
        <w:rPr>
          <w:rFonts w:ascii="Times New Roman" w:eastAsia="TimesNewRoman,Italic" w:hAnsi="Times New Roman"/>
          <w:sz w:val="22"/>
          <w:szCs w:val="22"/>
          <w:lang w:val="fr-FR"/>
        </w:rPr>
        <w:t>rūšis.</w:t>
      </w:r>
    </w:p>
    <w:p w:rsidR="00E5066C" w:rsidRPr="000E1775" w:rsidRDefault="00E5066C" w:rsidP="00E5066C">
      <w:pPr>
        <w:autoSpaceDE w:val="0"/>
        <w:autoSpaceDN w:val="0"/>
        <w:adjustRightInd w:val="0"/>
        <w:rPr>
          <w:rFonts w:ascii="Times New Roman" w:eastAsia="TimesNewRoman,Italic" w:hAnsi="Times New Roman"/>
          <w:sz w:val="22"/>
          <w:szCs w:val="22"/>
          <w:lang w:val="fr-FR"/>
        </w:rPr>
      </w:pPr>
      <w:r w:rsidRPr="000E1775">
        <w:rPr>
          <w:rFonts w:ascii="Times New Roman" w:eastAsia="TimesNewRoman,Italic" w:hAnsi="Times New Roman"/>
          <w:sz w:val="22"/>
          <w:szCs w:val="22"/>
          <w:lang w:val="fr-FR"/>
        </w:rPr>
        <w:t xml:space="preserve">Kitos gydytos grybelių sukeltos infekcinės ligos (atsakas dažnai buvo arba dalinis, arba visiškas) buvo pavieniai </w:t>
      </w:r>
      <w:r w:rsidRPr="000E1775">
        <w:rPr>
          <w:rFonts w:ascii="Times New Roman" w:eastAsia="TimesNewRoman,Italic" w:hAnsi="Times New Roman"/>
          <w:i/>
          <w:iCs/>
          <w:sz w:val="22"/>
          <w:szCs w:val="22"/>
          <w:lang w:val="fr-FR"/>
        </w:rPr>
        <w:t xml:space="preserve">Alternaria </w:t>
      </w:r>
      <w:r w:rsidRPr="000E1775">
        <w:rPr>
          <w:rFonts w:ascii="Times New Roman" w:eastAsia="TimesNewRoman,Italic" w:hAnsi="Times New Roman"/>
          <w:sz w:val="22"/>
          <w:szCs w:val="22"/>
          <w:lang w:val="fr-FR"/>
        </w:rPr>
        <w:t xml:space="preserve">rūšių, </w:t>
      </w:r>
      <w:r w:rsidRPr="000E1775">
        <w:rPr>
          <w:rFonts w:ascii="Times New Roman" w:eastAsia="TimesNewRoman,Italic" w:hAnsi="Times New Roman"/>
          <w:i/>
          <w:iCs/>
          <w:sz w:val="22"/>
          <w:szCs w:val="22"/>
          <w:lang w:val="fr-FR"/>
        </w:rPr>
        <w:t xml:space="preserve">Blastomyces dermatitidis, Blastoschizomyces capitatus, Cladosporium </w:t>
      </w:r>
      <w:r w:rsidRPr="000E1775">
        <w:rPr>
          <w:rFonts w:ascii="Times New Roman" w:eastAsia="TimesNewRoman,Italic" w:hAnsi="Times New Roman"/>
          <w:sz w:val="22"/>
          <w:szCs w:val="22"/>
          <w:lang w:val="fr-FR"/>
        </w:rPr>
        <w:t xml:space="preserve">rūšių, </w:t>
      </w:r>
      <w:r w:rsidRPr="000E1775">
        <w:rPr>
          <w:rFonts w:ascii="Times New Roman" w:eastAsia="TimesNewRoman,Italic" w:hAnsi="Times New Roman"/>
          <w:i/>
          <w:iCs/>
          <w:sz w:val="22"/>
          <w:szCs w:val="22"/>
          <w:lang w:val="fr-FR"/>
        </w:rPr>
        <w:t>Coccidioides immitis, Conidiobolus coronatus, Cryptococcus neoformans, Exserohilum rostratum, Exophiala spinifera, Fonsecaea pedrosoi, Madurella mycetomatis, Paecilomyces lilacinus,</w:t>
      </w:r>
      <w:r w:rsidRPr="000E1775" w:rsidDel="00847298">
        <w:rPr>
          <w:rFonts w:ascii="Times New Roman" w:eastAsia="TimesNewRoman,Italic" w:hAnsi="Times New Roman"/>
          <w:i/>
          <w:iCs/>
          <w:sz w:val="22"/>
          <w:szCs w:val="22"/>
          <w:lang w:val="fr-FR"/>
        </w:rPr>
        <w:t xml:space="preserve"> </w:t>
      </w:r>
      <w:r w:rsidRPr="000E1775">
        <w:rPr>
          <w:rFonts w:ascii="Times New Roman" w:eastAsia="TimesNewRoman,Italic" w:hAnsi="Times New Roman"/>
          <w:i/>
          <w:iCs/>
          <w:sz w:val="22"/>
          <w:szCs w:val="22"/>
          <w:lang w:val="fr-FR"/>
        </w:rPr>
        <w:t xml:space="preserve">Penicillium </w:t>
      </w:r>
      <w:r w:rsidRPr="000E1775">
        <w:rPr>
          <w:rFonts w:ascii="Times New Roman" w:eastAsia="TimesNewRoman,Italic" w:hAnsi="Times New Roman"/>
          <w:sz w:val="22"/>
          <w:szCs w:val="22"/>
          <w:lang w:val="fr-FR"/>
        </w:rPr>
        <w:t xml:space="preserve">rūšių, įskaitant </w:t>
      </w:r>
      <w:r w:rsidRPr="000E1775">
        <w:rPr>
          <w:rFonts w:ascii="Times New Roman" w:eastAsia="TimesNewRoman,Italic" w:hAnsi="Times New Roman"/>
          <w:i/>
          <w:iCs/>
          <w:sz w:val="22"/>
          <w:szCs w:val="22"/>
          <w:lang w:val="fr-FR"/>
        </w:rPr>
        <w:t xml:space="preserve">P. marneffei, Phialophora richardsiae, Scopulariopsis brevicaulis </w:t>
      </w:r>
      <w:r w:rsidRPr="000E1775">
        <w:rPr>
          <w:rFonts w:ascii="Times New Roman" w:eastAsia="TimesNewRoman,Italic" w:hAnsi="Times New Roman"/>
          <w:sz w:val="22"/>
          <w:szCs w:val="22"/>
          <w:lang w:val="fr-FR"/>
        </w:rPr>
        <w:t xml:space="preserve">ir </w:t>
      </w:r>
      <w:r w:rsidRPr="000E1775">
        <w:rPr>
          <w:rFonts w:ascii="Times New Roman" w:eastAsia="TimesNewRoman,Italic" w:hAnsi="Times New Roman"/>
          <w:i/>
          <w:iCs/>
          <w:sz w:val="22"/>
          <w:szCs w:val="22"/>
          <w:lang w:val="fr-FR"/>
        </w:rPr>
        <w:t xml:space="preserve">Trichosporon </w:t>
      </w:r>
      <w:r w:rsidRPr="000E1775">
        <w:rPr>
          <w:rFonts w:ascii="Times New Roman" w:eastAsia="TimesNewRoman,Italic" w:hAnsi="Times New Roman"/>
          <w:sz w:val="22"/>
          <w:szCs w:val="22"/>
          <w:lang w:val="fr-FR"/>
        </w:rPr>
        <w:t xml:space="preserve">rūšių, įskaitant </w:t>
      </w:r>
      <w:r w:rsidRPr="000E1775">
        <w:rPr>
          <w:rFonts w:ascii="Times New Roman" w:eastAsia="TimesNewRoman,Italic" w:hAnsi="Times New Roman"/>
          <w:i/>
          <w:iCs/>
          <w:sz w:val="22"/>
          <w:szCs w:val="22"/>
          <w:lang w:val="fr-FR"/>
        </w:rPr>
        <w:t xml:space="preserve">T. beigelii </w:t>
      </w:r>
      <w:r w:rsidRPr="000E1775">
        <w:rPr>
          <w:rFonts w:ascii="Times New Roman" w:eastAsia="TimesNewRoman,Italic" w:hAnsi="Times New Roman"/>
          <w:sz w:val="22"/>
          <w:szCs w:val="22"/>
          <w:lang w:val="fr-FR"/>
        </w:rPr>
        <w:t>sukeltų infekcinių ligų atvejai.</w:t>
      </w:r>
    </w:p>
    <w:p w:rsidR="00E5066C" w:rsidRPr="000E1775" w:rsidRDefault="00E5066C" w:rsidP="00E5066C">
      <w:pPr>
        <w:autoSpaceDE w:val="0"/>
        <w:autoSpaceDN w:val="0"/>
        <w:adjustRightInd w:val="0"/>
        <w:rPr>
          <w:rFonts w:ascii="Times New Roman" w:eastAsia="TimesNewRoman,Italic" w:hAnsi="Times New Roman"/>
          <w:sz w:val="22"/>
          <w:szCs w:val="22"/>
          <w:lang w:val="fr-FR"/>
        </w:rPr>
      </w:pPr>
      <w:r w:rsidRPr="000E1775">
        <w:rPr>
          <w:rFonts w:ascii="Times New Roman" w:eastAsia="TimesNewRoman,Italic" w:hAnsi="Times New Roman"/>
          <w:sz w:val="22"/>
          <w:szCs w:val="22"/>
          <w:lang w:val="fr-FR"/>
        </w:rPr>
        <w:t xml:space="preserve">Tyrimais </w:t>
      </w:r>
      <w:r w:rsidRPr="000E1775">
        <w:rPr>
          <w:rFonts w:ascii="Times New Roman" w:eastAsia="TimesNewRoman,Italic" w:hAnsi="Times New Roman"/>
          <w:i/>
          <w:iCs/>
          <w:sz w:val="22"/>
          <w:szCs w:val="22"/>
          <w:lang w:val="fr-FR"/>
        </w:rPr>
        <w:t xml:space="preserve">in vitro </w:t>
      </w:r>
      <w:r w:rsidRPr="000E1775">
        <w:rPr>
          <w:rFonts w:ascii="Times New Roman" w:eastAsia="TimesNewRoman,Italic" w:hAnsi="Times New Roman"/>
          <w:sz w:val="22"/>
          <w:szCs w:val="22"/>
          <w:lang w:val="fr-FR"/>
        </w:rPr>
        <w:t xml:space="preserve">nustatyta, kad vaistinis preparatas veikia iš ligonio organizmo išskirtas </w:t>
      </w:r>
      <w:r w:rsidRPr="000E1775">
        <w:rPr>
          <w:rFonts w:ascii="Times New Roman" w:eastAsia="TimesNewRoman,Italic" w:hAnsi="Times New Roman"/>
          <w:i/>
          <w:iCs/>
          <w:sz w:val="22"/>
          <w:szCs w:val="22"/>
          <w:lang w:val="fr-FR"/>
        </w:rPr>
        <w:t>Acremonium</w:t>
      </w:r>
      <w:r w:rsidRPr="000E1775">
        <w:rPr>
          <w:rFonts w:ascii="Times New Roman" w:eastAsia="TimesNewRoman,Italic" w:hAnsi="Times New Roman"/>
          <w:sz w:val="22"/>
          <w:szCs w:val="22"/>
          <w:lang w:val="fr-FR"/>
        </w:rPr>
        <w:t>,</w:t>
      </w:r>
      <w:r w:rsidRPr="000E1775" w:rsidDel="00847298">
        <w:rPr>
          <w:rFonts w:ascii="Times New Roman" w:eastAsia="TimesNewRoman,Italic" w:hAnsi="Times New Roman"/>
          <w:sz w:val="22"/>
          <w:szCs w:val="22"/>
          <w:lang w:val="fr-FR"/>
        </w:rPr>
        <w:t xml:space="preserve"> </w:t>
      </w:r>
      <w:r w:rsidRPr="000E1775">
        <w:rPr>
          <w:rFonts w:ascii="Times New Roman" w:eastAsia="TimesNewRoman,Italic" w:hAnsi="Times New Roman"/>
          <w:i/>
          <w:iCs/>
          <w:sz w:val="22"/>
          <w:szCs w:val="22"/>
          <w:lang w:val="fr-FR"/>
        </w:rPr>
        <w:t>Alternari</w:t>
      </w:r>
      <w:r w:rsidRPr="000E1775">
        <w:rPr>
          <w:rFonts w:ascii="Times New Roman" w:eastAsia="TimesNewRoman,Italic" w:hAnsi="Times New Roman"/>
          <w:sz w:val="22"/>
          <w:szCs w:val="22"/>
          <w:lang w:val="fr-FR"/>
        </w:rPr>
        <w:t xml:space="preserve">a, </w:t>
      </w:r>
      <w:r w:rsidRPr="000E1775">
        <w:rPr>
          <w:rFonts w:ascii="Times New Roman" w:eastAsia="TimesNewRoman,Italic" w:hAnsi="Times New Roman"/>
          <w:i/>
          <w:iCs/>
          <w:sz w:val="22"/>
          <w:szCs w:val="22"/>
          <w:lang w:val="fr-FR"/>
        </w:rPr>
        <w:t>Bipolaris</w:t>
      </w:r>
      <w:r w:rsidRPr="000E1775">
        <w:rPr>
          <w:rFonts w:ascii="Times New Roman" w:eastAsia="TimesNewRoman,Italic" w:hAnsi="Times New Roman"/>
          <w:sz w:val="22"/>
          <w:szCs w:val="22"/>
          <w:lang w:val="fr-FR"/>
        </w:rPr>
        <w:t xml:space="preserve">, </w:t>
      </w:r>
      <w:r w:rsidRPr="000E1775">
        <w:rPr>
          <w:rFonts w:ascii="Times New Roman" w:eastAsia="TimesNewRoman,Italic" w:hAnsi="Times New Roman"/>
          <w:i/>
          <w:iCs/>
          <w:sz w:val="22"/>
          <w:szCs w:val="22"/>
          <w:lang w:val="fr-FR"/>
        </w:rPr>
        <w:t xml:space="preserve">Cladophialophora </w:t>
      </w:r>
      <w:r w:rsidRPr="000E1775">
        <w:rPr>
          <w:rFonts w:ascii="Times New Roman" w:eastAsia="TimesNewRoman,Italic" w:hAnsi="Times New Roman"/>
          <w:sz w:val="22"/>
          <w:szCs w:val="22"/>
          <w:lang w:val="fr-FR"/>
        </w:rPr>
        <w:t xml:space="preserve">rūšis ir </w:t>
      </w:r>
      <w:r w:rsidRPr="000E1775">
        <w:rPr>
          <w:rFonts w:ascii="Times New Roman" w:eastAsia="TimesNewRoman,Italic" w:hAnsi="Times New Roman"/>
          <w:i/>
          <w:iCs/>
          <w:sz w:val="22"/>
          <w:szCs w:val="22"/>
          <w:lang w:val="fr-FR"/>
        </w:rPr>
        <w:t xml:space="preserve">Histoplasma capsulatum. </w:t>
      </w:r>
      <w:r w:rsidRPr="000E1775">
        <w:rPr>
          <w:rFonts w:ascii="Times New Roman" w:eastAsia="TimesNewRoman,Italic" w:hAnsi="Times New Roman"/>
          <w:sz w:val="22"/>
          <w:szCs w:val="22"/>
          <w:lang w:val="fr-FR"/>
        </w:rPr>
        <w:t>Daugumos padermių mikroorganizmus vorikonazolas slopina, kai jo koncentracija būna 0,05-2 µg/ml.</w:t>
      </w:r>
    </w:p>
    <w:p w:rsidR="00E5066C" w:rsidRPr="000E1775" w:rsidRDefault="00E5066C" w:rsidP="00E5066C">
      <w:pPr>
        <w:autoSpaceDE w:val="0"/>
        <w:autoSpaceDN w:val="0"/>
        <w:adjustRightInd w:val="0"/>
        <w:rPr>
          <w:rFonts w:ascii="Times New Roman" w:eastAsia="TimesNewRoman,Italic" w:hAnsi="Times New Roman"/>
          <w:sz w:val="22"/>
          <w:szCs w:val="22"/>
          <w:lang w:val="fr-FR"/>
        </w:rPr>
      </w:pPr>
      <w:r w:rsidRPr="000E1775">
        <w:rPr>
          <w:rFonts w:ascii="Times New Roman" w:eastAsia="TimesNewRoman,Italic" w:hAnsi="Times New Roman"/>
          <w:i/>
          <w:iCs/>
          <w:sz w:val="22"/>
          <w:szCs w:val="22"/>
          <w:lang w:val="fr-FR"/>
        </w:rPr>
        <w:t xml:space="preserve">In vitro </w:t>
      </w:r>
      <w:r w:rsidRPr="000E1775">
        <w:rPr>
          <w:rFonts w:ascii="Times New Roman" w:eastAsia="TimesNewRoman,Italic" w:hAnsi="Times New Roman"/>
          <w:sz w:val="22"/>
          <w:szCs w:val="22"/>
          <w:lang w:val="fr-FR"/>
        </w:rPr>
        <w:t xml:space="preserve">vorikonazolas veikia </w:t>
      </w:r>
      <w:r w:rsidRPr="000E1775">
        <w:rPr>
          <w:rFonts w:ascii="Times New Roman" w:eastAsia="TimesNewRoman,Italic" w:hAnsi="Times New Roman"/>
          <w:i/>
          <w:iCs/>
          <w:sz w:val="22"/>
          <w:szCs w:val="22"/>
          <w:lang w:val="fr-FR"/>
        </w:rPr>
        <w:t xml:space="preserve">Curvularia </w:t>
      </w:r>
      <w:r w:rsidRPr="000E1775">
        <w:rPr>
          <w:rFonts w:ascii="Times New Roman" w:eastAsia="TimesNewRoman,Italic" w:hAnsi="Times New Roman"/>
          <w:sz w:val="22"/>
          <w:szCs w:val="22"/>
          <w:lang w:val="fr-FR"/>
        </w:rPr>
        <w:t xml:space="preserve">ir </w:t>
      </w:r>
      <w:r w:rsidRPr="000E1775">
        <w:rPr>
          <w:rFonts w:ascii="Times New Roman" w:eastAsia="TimesNewRoman,Italic" w:hAnsi="Times New Roman"/>
          <w:i/>
          <w:iCs/>
          <w:sz w:val="22"/>
          <w:szCs w:val="22"/>
          <w:lang w:val="fr-FR"/>
        </w:rPr>
        <w:t xml:space="preserve">Sporothrix </w:t>
      </w:r>
      <w:r w:rsidRPr="000E1775">
        <w:rPr>
          <w:rFonts w:ascii="Times New Roman" w:eastAsia="TimesNewRoman,Italic" w:hAnsi="Times New Roman"/>
          <w:sz w:val="22"/>
          <w:szCs w:val="22"/>
          <w:lang w:val="fr-FR"/>
        </w:rPr>
        <w:t>rūšis, tačiau klinikinė šio reiškinio reikšmė nežinoma.</w:t>
      </w:r>
    </w:p>
    <w:p w:rsidR="00E5066C" w:rsidRPr="000E1775" w:rsidRDefault="00E5066C" w:rsidP="00E5066C">
      <w:pPr>
        <w:rPr>
          <w:rFonts w:ascii="Times New Roman" w:eastAsia="TimesNewRoman,Italic" w:hAnsi="Times New Roman"/>
          <w:sz w:val="22"/>
          <w:szCs w:val="22"/>
          <w:u w:val="single"/>
          <w:lang w:val="fr-FR"/>
        </w:rPr>
      </w:pPr>
    </w:p>
    <w:p w:rsidR="00E5066C" w:rsidRPr="000E1775" w:rsidRDefault="00E5066C" w:rsidP="00E5066C">
      <w:pPr>
        <w:rPr>
          <w:rFonts w:ascii="Times New Roman" w:eastAsia="Calibri" w:hAnsi="Times New Roman"/>
          <w:sz w:val="22"/>
          <w:szCs w:val="22"/>
          <w:u w:val="single"/>
          <w:lang w:val="fr-FR"/>
        </w:rPr>
      </w:pPr>
      <w:r w:rsidRPr="000E1775">
        <w:rPr>
          <w:rFonts w:ascii="Times New Roman" w:eastAsia="TimesNewRoman,Italic" w:hAnsi="Times New Roman"/>
          <w:sz w:val="22"/>
          <w:szCs w:val="22"/>
          <w:u w:val="single"/>
          <w:lang w:val="fr-FR"/>
        </w:rPr>
        <w:t>Jautrumo ribos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Prieš gydymą, iš ligonio organizmo reikia išskirti ir nustatyti ligą sukėlusį </w:t>
      </w:r>
      <w:proofErr w:type="gramStart"/>
      <w:r w:rsidRPr="000E1775">
        <w:rPr>
          <w:rFonts w:ascii="Times New Roman" w:eastAsia="Calibri" w:hAnsi="Times New Roman"/>
          <w:sz w:val="22"/>
          <w:szCs w:val="22"/>
          <w:lang w:val="fr-FR"/>
        </w:rPr>
        <w:t>mikroorganizmą:</w:t>
      </w:r>
      <w:proofErr w:type="gramEnd"/>
      <w:r w:rsidRPr="000E1775">
        <w:rPr>
          <w:rFonts w:ascii="Times New Roman" w:eastAsia="Calibri" w:hAnsi="Times New Roman"/>
          <w:sz w:val="22"/>
          <w:szCs w:val="22"/>
          <w:lang w:val="fr-FR"/>
        </w:rPr>
        <w:t xml:space="preserve"> išauginti grybelių kultūrą ir daryti kitokius laboratorinius (serologinius, histopatologinius) tyrimus. Gydymą galima pradėti dar nežinant grybelių kultūrų tyrimo ar laboratorinių tyrimų rezultatų, vis dėlto juos sužinojus, gydymą reikia tinkamai koreguoti.</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Rūšys, kurios dažniausiai sukelia infekciją žmogui, yra </w:t>
      </w:r>
      <w:r w:rsidRPr="000E1775">
        <w:rPr>
          <w:rFonts w:ascii="Times New Roman" w:eastAsia="TimesNewRoman,Italic" w:hAnsi="Times New Roman"/>
          <w:i/>
          <w:iCs/>
          <w:sz w:val="22"/>
          <w:szCs w:val="22"/>
          <w:lang w:val="fr-FR"/>
        </w:rPr>
        <w:t>C. albicans</w:t>
      </w:r>
      <w:r w:rsidRPr="000E1775">
        <w:rPr>
          <w:rFonts w:ascii="Times New Roman" w:eastAsia="Calibri" w:hAnsi="Times New Roman"/>
          <w:sz w:val="22"/>
          <w:szCs w:val="22"/>
          <w:lang w:val="fr-FR"/>
        </w:rPr>
        <w:t xml:space="preserve">, </w:t>
      </w:r>
      <w:r w:rsidRPr="000E1775">
        <w:rPr>
          <w:rFonts w:ascii="Times New Roman" w:eastAsia="TimesNewRoman,Italic" w:hAnsi="Times New Roman"/>
          <w:i/>
          <w:iCs/>
          <w:sz w:val="22"/>
          <w:szCs w:val="22"/>
          <w:lang w:val="fr-FR"/>
        </w:rPr>
        <w:t>C. parapsilosis</w:t>
      </w:r>
      <w:r w:rsidRPr="000E1775">
        <w:rPr>
          <w:rFonts w:ascii="Times New Roman" w:eastAsia="Calibri" w:hAnsi="Times New Roman"/>
          <w:sz w:val="22"/>
          <w:szCs w:val="22"/>
          <w:lang w:val="fr-FR"/>
        </w:rPr>
        <w:t xml:space="preserve">, </w:t>
      </w:r>
      <w:r w:rsidRPr="000E1775">
        <w:rPr>
          <w:rFonts w:ascii="Times New Roman" w:eastAsia="TimesNewRoman,Italic" w:hAnsi="Times New Roman"/>
          <w:i/>
          <w:iCs/>
          <w:sz w:val="22"/>
          <w:szCs w:val="22"/>
          <w:lang w:val="fr-FR"/>
        </w:rPr>
        <w:t>C. tropicalis</w:t>
      </w:r>
      <w:r w:rsidRPr="000E1775">
        <w:rPr>
          <w:rFonts w:ascii="Times New Roman" w:eastAsia="Calibri" w:hAnsi="Times New Roman"/>
          <w:sz w:val="22"/>
          <w:szCs w:val="22"/>
          <w:lang w:val="fr-FR"/>
        </w:rPr>
        <w:t xml:space="preserve">, </w:t>
      </w:r>
      <w:r w:rsidRPr="000E1775">
        <w:rPr>
          <w:rFonts w:ascii="Times New Roman" w:eastAsia="TimesNewRoman,Italic" w:hAnsi="Times New Roman"/>
          <w:i/>
          <w:iCs/>
          <w:sz w:val="22"/>
          <w:szCs w:val="22"/>
          <w:lang w:val="fr-FR"/>
        </w:rPr>
        <w:t xml:space="preserve">C. glabrata </w:t>
      </w:r>
      <w:r w:rsidRPr="000E1775">
        <w:rPr>
          <w:rFonts w:ascii="Times New Roman" w:eastAsia="Calibri" w:hAnsi="Times New Roman"/>
          <w:sz w:val="22"/>
          <w:szCs w:val="22"/>
          <w:lang w:val="fr-FR"/>
        </w:rPr>
        <w:t xml:space="preserve">ir </w:t>
      </w:r>
      <w:r w:rsidRPr="000E1775">
        <w:rPr>
          <w:rFonts w:ascii="Times New Roman" w:eastAsia="TimesNewRoman,Italic" w:hAnsi="Times New Roman"/>
          <w:i/>
          <w:iCs/>
          <w:sz w:val="22"/>
          <w:szCs w:val="22"/>
          <w:lang w:val="fr-FR"/>
        </w:rPr>
        <w:t>C. krusei</w:t>
      </w:r>
      <w:r w:rsidRPr="000E1775">
        <w:rPr>
          <w:rFonts w:ascii="Times New Roman" w:eastAsia="Calibri" w:hAnsi="Times New Roman"/>
          <w:sz w:val="22"/>
          <w:szCs w:val="22"/>
          <w:lang w:val="fr-FR"/>
        </w:rPr>
        <w:t>, visoms joms vorikonazolo mažiausia slopinamoji koncentracija (MSK) dažniausiai yra mažesnė kaip 1 mg/l.</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Vis dėlto </w:t>
      </w:r>
      <w:r w:rsidRPr="000E1775">
        <w:rPr>
          <w:rFonts w:ascii="Times New Roman" w:eastAsia="TimesNewRoman,Italic" w:hAnsi="Times New Roman"/>
          <w:i/>
          <w:iCs/>
          <w:sz w:val="22"/>
          <w:szCs w:val="22"/>
          <w:lang w:val="fr-FR"/>
        </w:rPr>
        <w:t xml:space="preserve">in vitro </w:t>
      </w:r>
      <w:r w:rsidRPr="000E1775">
        <w:rPr>
          <w:rFonts w:ascii="Times New Roman" w:eastAsia="Calibri" w:hAnsi="Times New Roman"/>
          <w:sz w:val="22"/>
          <w:szCs w:val="22"/>
          <w:lang w:val="fr-FR"/>
        </w:rPr>
        <w:t xml:space="preserve">vorikonazolo aktyvumas </w:t>
      </w:r>
      <w:r w:rsidRPr="000E1775">
        <w:rPr>
          <w:rFonts w:ascii="Times New Roman" w:eastAsia="TimesNewRoman,Italic" w:hAnsi="Times New Roman"/>
          <w:i/>
          <w:iCs/>
          <w:sz w:val="22"/>
          <w:szCs w:val="22"/>
          <w:lang w:val="fr-FR"/>
        </w:rPr>
        <w:t xml:space="preserve">Candida </w:t>
      </w:r>
      <w:r w:rsidRPr="000E1775">
        <w:rPr>
          <w:rFonts w:ascii="Times New Roman" w:eastAsia="Calibri" w:hAnsi="Times New Roman"/>
          <w:sz w:val="22"/>
          <w:szCs w:val="22"/>
          <w:lang w:val="fr-FR"/>
        </w:rPr>
        <w:t xml:space="preserve">rūšims yra nevienodas. Konkrečiai </w:t>
      </w:r>
      <w:r w:rsidRPr="000E1775">
        <w:rPr>
          <w:rFonts w:ascii="Times New Roman" w:eastAsia="TimesNewRoman,Italic" w:hAnsi="Times New Roman"/>
          <w:i/>
          <w:iCs/>
          <w:sz w:val="22"/>
          <w:szCs w:val="22"/>
          <w:lang w:val="fr-FR"/>
        </w:rPr>
        <w:t xml:space="preserve">C. glabrata </w:t>
      </w:r>
      <w:r w:rsidRPr="000E1775">
        <w:rPr>
          <w:rFonts w:ascii="Times New Roman" w:eastAsia="Calibri" w:hAnsi="Times New Roman"/>
          <w:sz w:val="22"/>
          <w:szCs w:val="22"/>
          <w:lang w:val="fr-FR"/>
        </w:rPr>
        <w:t xml:space="preserve">atžvilgiu vorikonazolo MSK flukonazolui atspariems izoliatams yra proporcingai didesnė nei flukonazolui jautriems izoliatams. Todėl kiekvieną kartą reikia stengtis identifikuoti </w:t>
      </w:r>
      <w:r w:rsidRPr="000E1775">
        <w:rPr>
          <w:rFonts w:ascii="Times New Roman" w:eastAsia="TimesNewRoman,Italic" w:hAnsi="Times New Roman"/>
          <w:i/>
          <w:iCs/>
          <w:sz w:val="22"/>
          <w:szCs w:val="22"/>
          <w:lang w:val="fr-FR"/>
        </w:rPr>
        <w:t xml:space="preserve">Candida </w:t>
      </w:r>
      <w:r w:rsidRPr="000E1775">
        <w:rPr>
          <w:rFonts w:ascii="Times New Roman" w:eastAsia="Calibri" w:hAnsi="Times New Roman"/>
          <w:sz w:val="22"/>
          <w:szCs w:val="22"/>
          <w:lang w:val="fr-FR"/>
        </w:rPr>
        <w:t>rūšį.</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Jeigu yra galimybė atlikti priešgrybelinio jautrumo mėginį, MSK duomenis galima interpretuoti, naudojant jautrumo ribų kriterijus, kuriuos nustatė Europos antimikrobinio jautrumo tyrimų komitetas</w:t>
      </w:r>
      <w:r w:rsidRPr="000E1775" w:rsidDel="00847298">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 xml:space="preserve">(angl. </w:t>
      </w:r>
      <w:r w:rsidRPr="000E1775">
        <w:rPr>
          <w:rFonts w:ascii="Times New Roman" w:eastAsia="TimesNewRoman,Italic" w:hAnsi="Times New Roman"/>
          <w:i/>
          <w:iCs/>
          <w:sz w:val="22"/>
          <w:szCs w:val="22"/>
          <w:lang w:val="fr-FR"/>
        </w:rPr>
        <w:t xml:space="preserve">the European Committee on Antimicrobial Susceptibility Testing, </w:t>
      </w:r>
      <w:r w:rsidRPr="000E1775">
        <w:rPr>
          <w:rFonts w:ascii="Times New Roman" w:eastAsia="TimesNewRoman,Italic" w:hAnsi="Times New Roman"/>
          <w:iCs/>
          <w:sz w:val="22"/>
          <w:szCs w:val="22"/>
          <w:lang w:val="fr-FR"/>
        </w:rPr>
        <w:t>EUCAST</w:t>
      </w:r>
      <w:r w:rsidRPr="000E1775">
        <w:rPr>
          <w:rFonts w:ascii="Times New Roman" w:eastAsia="Calibri" w:hAnsi="Times New Roman"/>
          <w:sz w:val="22"/>
          <w:szCs w:val="22"/>
          <w:lang w:val="fr-FR"/>
        </w:rPr>
        <w:t>).</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TimesNewRoman,Italic" w:hAnsi="Times New Roman"/>
          <w:i/>
          <w:iCs/>
          <w:sz w:val="22"/>
          <w:szCs w:val="22"/>
          <w:lang w:val="en-US"/>
        </w:rPr>
        <w:t xml:space="preserve">EUCAST </w:t>
      </w:r>
      <w:r w:rsidRPr="000E1775">
        <w:rPr>
          <w:rFonts w:ascii="Times New Roman" w:eastAsia="Calibri" w:hAnsi="Times New Roman"/>
          <w:sz w:val="22"/>
          <w:szCs w:val="22"/>
          <w:lang w:val="en-US"/>
        </w:rPr>
        <w:t>jautrumo ribos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6"/>
        <w:gridCol w:w="2301"/>
        <w:gridCol w:w="2283"/>
      </w:tblGrid>
      <w:tr w:rsidR="00E5066C" w:rsidRPr="000E1775" w:rsidTr="009852BC">
        <w:trPr>
          <w:trHeight w:val="107"/>
        </w:trPr>
        <w:tc>
          <w:tcPr>
            <w:tcW w:w="2470" w:type="pct"/>
            <w:vMerge w:val="restart"/>
          </w:tcPr>
          <w:p w:rsidR="00E5066C" w:rsidRPr="000E1775" w:rsidRDefault="00E5066C" w:rsidP="009852BC">
            <w:pPr>
              <w:widowControl w:val="0"/>
              <w:autoSpaceDE w:val="0"/>
              <w:autoSpaceDN w:val="0"/>
              <w:adjustRightInd w:val="0"/>
              <w:rPr>
                <w:rFonts w:ascii="Times New Roman" w:hAnsi="Times New Roman"/>
                <w:sz w:val="22"/>
                <w:szCs w:val="22"/>
              </w:rPr>
            </w:pPr>
            <w:r w:rsidRPr="000E1775">
              <w:rPr>
                <w:rFonts w:ascii="Times New Roman" w:hAnsi="Times New Roman"/>
                <w:b/>
                <w:bCs/>
                <w:sz w:val="22"/>
                <w:szCs w:val="22"/>
              </w:rPr>
              <w:t xml:space="preserve">Candida </w:t>
            </w:r>
            <w:r w:rsidRPr="000E1775">
              <w:rPr>
                <w:rFonts w:ascii="Times New Roman" w:eastAsia="Calibri" w:hAnsi="Times New Roman"/>
                <w:b/>
                <w:bCs/>
                <w:sz w:val="22"/>
                <w:szCs w:val="22"/>
                <w:lang w:val="en-US"/>
              </w:rPr>
              <w:t xml:space="preserve">rūšys </w:t>
            </w:r>
          </w:p>
        </w:tc>
        <w:tc>
          <w:tcPr>
            <w:tcW w:w="2530" w:type="pct"/>
            <w:gridSpan w:val="2"/>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eastAsia="Calibri" w:hAnsi="Times New Roman"/>
                <w:b/>
                <w:bCs/>
                <w:sz w:val="22"/>
                <w:szCs w:val="22"/>
                <w:lang w:val="en-US"/>
              </w:rPr>
              <w:t>MSK ribos (mg/l)</w:t>
            </w:r>
          </w:p>
        </w:tc>
      </w:tr>
      <w:tr w:rsidR="00E5066C" w:rsidRPr="000E1775" w:rsidTr="009852BC">
        <w:trPr>
          <w:trHeight w:val="106"/>
        </w:trPr>
        <w:tc>
          <w:tcPr>
            <w:tcW w:w="2470" w:type="pct"/>
            <w:vMerge/>
          </w:tcPr>
          <w:p w:rsidR="00E5066C" w:rsidRPr="000E1775" w:rsidRDefault="00E5066C" w:rsidP="009852BC">
            <w:pPr>
              <w:widowControl w:val="0"/>
              <w:autoSpaceDE w:val="0"/>
              <w:autoSpaceDN w:val="0"/>
              <w:adjustRightInd w:val="0"/>
              <w:rPr>
                <w:rFonts w:ascii="Times New Roman" w:hAnsi="Times New Roman"/>
                <w:b/>
                <w:bCs/>
                <w:sz w:val="22"/>
                <w:szCs w:val="22"/>
              </w:rPr>
            </w:pPr>
          </w:p>
        </w:tc>
        <w:tc>
          <w:tcPr>
            <w:tcW w:w="1270"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eastAsia="Calibri" w:hAnsi="Times New Roman"/>
                <w:b/>
                <w:bCs/>
                <w:sz w:val="22"/>
                <w:szCs w:val="22"/>
                <w:lang w:val="en-US"/>
              </w:rPr>
              <w:t xml:space="preserve">≤J (jautrios) </w:t>
            </w:r>
          </w:p>
        </w:tc>
        <w:tc>
          <w:tcPr>
            <w:tcW w:w="1260"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eastAsia="Calibri" w:hAnsi="Times New Roman"/>
                <w:b/>
                <w:bCs/>
                <w:sz w:val="22"/>
                <w:szCs w:val="22"/>
                <w:lang w:val="en-US"/>
              </w:rPr>
              <w:t>&gt;A (atsparios)</w:t>
            </w:r>
          </w:p>
        </w:tc>
      </w:tr>
      <w:tr w:rsidR="00E5066C" w:rsidRPr="000E1775" w:rsidTr="009852BC">
        <w:tc>
          <w:tcPr>
            <w:tcW w:w="2470" w:type="pct"/>
          </w:tcPr>
          <w:p w:rsidR="00E5066C" w:rsidRPr="000E1775" w:rsidRDefault="00E5066C" w:rsidP="009852BC">
            <w:pPr>
              <w:widowControl w:val="0"/>
              <w:autoSpaceDE w:val="0"/>
              <w:autoSpaceDN w:val="0"/>
              <w:adjustRightInd w:val="0"/>
              <w:rPr>
                <w:rFonts w:ascii="Times New Roman" w:hAnsi="Times New Roman"/>
                <w:sz w:val="22"/>
                <w:szCs w:val="22"/>
              </w:rPr>
            </w:pPr>
            <w:r w:rsidRPr="000E1775">
              <w:rPr>
                <w:rFonts w:ascii="Times New Roman" w:hAnsi="Times New Roman"/>
                <w:i/>
                <w:iCs/>
                <w:sz w:val="22"/>
                <w:szCs w:val="22"/>
              </w:rPr>
              <w:t>Candida albicans</w:t>
            </w:r>
            <w:r w:rsidRPr="000E1775">
              <w:rPr>
                <w:rFonts w:ascii="Times New Roman" w:hAnsi="Times New Roman"/>
                <w:i/>
                <w:iCs/>
                <w:sz w:val="22"/>
                <w:szCs w:val="22"/>
                <w:vertAlign w:val="superscript"/>
              </w:rPr>
              <w:t>1</w:t>
            </w:r>
          </w:p>
        </w:tc>
        <w:tc>
          <w:tcPr>
            <w:tcW w:w="1270"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sz w:val="22"/>
                <w:szCs w:val="22"/>
                <w:lang w:eastAsia="hu-HU"/>
              </w:rPr>
              <w:t>0.125</w:t>
            </w:r>
          </w:p>
        </w:tc>
        <w:tc>
          <w:tcPr>
            <w:tcW w:w="1260"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sz w:val="22"/>
                <w:szCs w:val="22"/>
                <w:lang w:eastAsia="hu-HU"/>
              </w:rPr>
              <w:t>0.125</w:t>
            </w:r>
          </w:p>
        </w:tc>
      </w:tr>
      <w:tr w:rsidR="00E5066C" w:rsidRPr="000E1775" w:rsidTr="009852BC">
        <w:tc>
          <w:tcPr>
            <w:tcW w:w="2470" w:type="pct"/>
          </w:tcPr>
          <w:p w:rsidR="00E5066C" w:rsidRPr="000E1775" w:rsidRDefault="00E5066C" w:rsidP="009852BC">
            <w:pPr>
              <w:widowControl w:val="0"/>
              <w:autoSpaceDE w:val="0"/>
              <w:autoSpaceDN w:val="0"/>
              <w:adjustRightInd w:val="0"/>
              <w:rPr>
                <w:rFonts w:ascii="Times New Roman" w:hAnsi="Times New Roman"/>
                <w:sz w:val="22"/>
                <w:szCs w:val="22"/>
              </w:rPr>
            </w:pPr>
            <w:r w:rsidRPr="000E1775">
              <w:rPr>
                <w:rFonts w:ascii="Times New Roman" w:hAnsi="Times New Roman"/>
                <w:i/>
                <w:iCs/>
                <w:sz w:val="22"/>
                <w:szCs w:val="22"/>
              </w:rPr>
              <w:t>Candida tropicalis</w:t>
            </w:r>
            <w:r w:rsidRPr="000E1775">
              <w:rPr>
                <w:rFonts w:ascii="Times New Roman" w:hAnsi="Times New Roman"/>
                <w:i/>
                <w:iCs/>
                <w:sz w:val="22"/>
                <w:szCs w:val="22"/>
                <w:vertAlign w:val="superscript"/>
              </w:rPr>
              <w:t>1</w:t>
            </w:r>
          </w:p>
        </w:tc>
        <w:tc>
          <w:tcPr>
            <w:tcW w:w="1270"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sz w:val="22"/>
                <w:szCs w:val="22"/>
                <w:lang w:eastAsia="hu-HU"/>
              </w:rPr>
              <w:t>0.125</w:t>
            </w:r>
          </w:p>
        </w:tc>
        <w:tc>
          <w:tcPr>
            <w:tcW w:w="1260"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sz w:val="22"/>
                <w:szCs w:val="22"/>
                <w:lang w:eastAsia="hu-HU"/>
              </w:rPr>
              <w:t>0.125</w:t>
            </w:r>
          </w:p>
        </w:tc>
      </w:tr>
      <w:tr w:rsidR="00E5066C" w:rsidRPr="000E1775" w:rsidTr="009852BC">
        <w:tc>
          <w:tcPr>
            <w:tcW w:w="2470" w:type="pct"/>
          </w:tcPr>
          <w:p w:rsidR="00E5066C" w:rsidRPr="000E1775" w:rsidRDefault="00E5066C" w:rsidP="009852BC">
            <w:pPr>
              <w:widowControl w:val="0"/>
              <w:autoSpaceDE w:val="0"/>
              <w:autoSpaceDN w:val="0"/>
              <w:adjustRightInd w:val="0"/>
              <w:rPr>
                <w:rFonts w:ascii="Times New Roman" w:hAnsi="Times New Roman"/>
                <w:sz w:val="22"/>
                <w:szCs w:val="22"/>
              </w:rPr>
            </w:pPr>
            <w:r w:rsidRPr="000E1775">
              <w:rPr>
                <w:rFonts w:ascii="Times New Roman" w:hAnsi="Times New Roman"/>
                <w:i/>
                <w:iCs/>
                <w:sz w:val="22"/>
                <w:szCs w:val="22"/>
              </w:rPr>
              <w:t>Candida parapsilosis</w:t>
            </w:r>
            <w:r w:rsidRPr="000E1775">
              <w:rPr>
                <w:rFonts w:ascii="Times New Roman" w:hAnsi="Times New Roman"/>
                <w:i/>
                <w:iCs/>
                <w:sz w:val="22"/>
                <w:szCs w:val="22"/>
                <w:vertAlign w:val="superscript"/>
              </w:rPr>
              <w:t>1</w:t>
            </w:r>
          </w:p>
        </w:tc>
        <w:tc>
          <w:tcPr>
            <w:tcW w:w="1270"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sz w:val="22"/>
                <w:szCs w:val="22"/>
                <w:lang w:eastAsia="hu-HU"/>
              </w:rPr>
              <w:t>0.125</w:t>
            </w:r>
          </w:p>
        </w:tc>
        <w:tc>
          <w:tcPr>
            <w:tcW w:w="1260"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sz w:val="22"/>
                <w:szCs w:val="22"/>
                <w:lang w:eastAsia="hu-HU"/>
              </w:rPr>
              <w:t>0.125</w:t>
            </w:r>
          </w:p>
        </w:tc>
      </w:tr>
      <w:tr w:rsidR="00E5066C" w:rsidRPr="000E1775" w:rsidTr="009852BC">
        <w:tc>
          <w:tcPr>
            <w:tcW w:w="2470" w:type="pct"/>
          </w:tcPr>
          <w:p w:rsidR="00E5066C" w:rsidRPr="000E1775" w:rsidRDefault="00E5066C" w:rsidP="009852BC">
            <w:pPr>
              <w:widowControl w:val="0"/>
              <w:autoSpaceDE w:val="0"/>
              <w:autoSpaceDN w:val="0"/>
              <w:adjustRightInd w:val="0"/>
              <w:rPr>
                <w:rFonts w:ascii="Times New Roman" w:hAnsi="Times New Roman"/>
                <w:sz w:val="22"/>
                <w:szCs w:val="22"/>
              </w:rPr>
            </w:pPr>
            <w:r w:rsidRPr="000E1775">
              <w:rPr>
                <w:rFonts w:ascii="Times New Roman" w:hAnsi="Times New Roman"/>
                <w:i/>
                <w:iCs/>
                <w:sz w:val="22"/>
                <w:szCs w:val="22"/>
              </w:rPr>
              <w:t>Candida glabrata</w:t>
            </w:r>
            <w:r w:rsidRPr="000E1775">
              <w:rPr>
                <w:rFonts w:ascii="Times New Roman" w:hAnsi="Times New Roman"/>
                <w:i/>
                <w:iCs/>
                <w:sz w:val="22"/>
                <w:szCs w:val="22"/>
                <w:vertAlign w:val="superscript"/>
              </w:rPr>
              <w:t>2</w:t>
            </w:r>
          </w:p>
        </w:tc>
        <w:tc>
          <w:tcPr>
            <w:tcW w:w="2530" w:type="pct"/>
            <w:gridSpan w:val="2"/>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eastAsia="Calibri" w:hAnsi="Times New Roman"/>
                <w:sz w:val="22"/>
                <w:szCs w:val="22"/>
                <w:lang w:val="en-US"/>
              </w:rPr>
              <w:t>Įrodymų nepakanka</w:t>
            </w:r>
          </w:p>
        </w:tc>
      </w:tr>
      <w:tr w:rsidR="00E5066C" w:rsidRPr="000E1775" w:rsidTr="009852BC">
        <w:tc>
          <w:tcPr>
            <w:tcW w:w="2470" w:type="pct"/>
          </w:tcPr>
          <w:p w:rsidR="00E5066C" w:rsidRPr="000E1775" w:rsidRDefault="00E5066C" w:rsidP="009852BC">
            <w:pPr>
              <w:widowControl w:val="0"/>
              <w:autoSpaceDE w:val="0"/>
              <w:autoSpaceDN w:val="0"/>
              <w:adjustRightInd w:val="0"/>
              <w:rPr>
                <w:rFonts w:ascii="Times New Roman" w:hAnsi="Times New Roman"/>
                <w:sz w:val="22"/>
                <w:szCs w:val="22"/>
              </w:rPr>
            </w:pPr>
            <w:r w:rsidRPr="000E1775">
              <w:rPr>
                <w:rFonts w:ascii="Times New Roman" w:hAnsi="Times New Roman"/>
                <w:i/>
                <w:iCs/>
                <w:sz w:val="22"/>
                <w:szCs w:val="22"/>
              </w:rPr>
              <w:t>Candida krusei</w:t>
            </w:r>
            <w:r w:rsidRPr="000E1775">
              <w:rPr>
                <w:rFonts w:ascii="Times New Roman" w:hAnsi="Times New Roman"/>
                <w:i/>
                <w:iCs/>
                <w:sz w:val="22"/>
                <w:szCs w:val="22"/>
                <w:vertAlign w:val="superscript"/>
              </w:rPr>
              <w:t>3</w:t>
            </w:r>
          </w:p>
        </w:tc>
        <w:tc>
          <w:tcPr>
            <w:tcW w:w="2530" w:type="pct"/>
            <w:gridSpan w:val="2"/>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eastAsia="Calibri" w:hAnsi="Times New Roman"/>
                <w:sz w:val="22"/>
                <w:szCs w:val="22"/>
                <w:lang w:val="en-US"/>
              </w:rPr>
              <w:t>Įrodymų nepakanka</w:t>
            </w:r>
          </w:p>
        </w:tc>
      </w:tr>
      <w:tr w:rsidR="00E5066C" w:rsidRPr="000E1775" w:rsidTr="009852BC">
        <w:tc>
          <w:tcPr>
            <w:tcW w:w="2470" w:type="pct"/>
          </w:tcPr>
          <w:p w:rsidR="00E5066C" w:rsidRPr="000E1775" w:rsidRDefault="00E5066C" w:rsidP="009852BC">
            <w:pPr>
              <w:widowControl w:val="0"/>
              <w:autoSpaceDE w:val="0"/>
              <w:autoSpaceDN w:val="0"/>
              <w:adjustRightInd w:val="0"/>
              <w:rPr>
                <w:rFonts w:ascii="Times New Roman" w:hAnsi="Times New Roman"/>
                <w:sz w:val="22"/>
                <w:szCs w:val="22"/>
              </w:rPr>
            </w:pPr>
            <w:r w:rsidRPr="000E1775">
              <w:rPr>
                <w:rFonts w:ascii="Times New Roman" w:eastAsia="Calibri" w:hAnsi="Times New Roman"/>
                <w:i/>
                <w:sz w:val="22"/>
                <w:szCs w:val="22"/>
                <w:lang w:val="en-US"/>
              </w:rPr>
              <w:t xml:space="preserve">Kitos </w:t>
            </w:r>
            <w:r w:rsidRPr="000E1775">
              <w:rPr>
                <w:rFonts w:ascii="Times New Roman" w:eastAsia="TimesNewRoman,Italic" w:hAnsi="Times New Roman"/>
                <w:i/>
                <w:iCs/>
                <w:sz w:val="22"/>
                <w:szCs w:val="22"/>
                <w:lang w:val="en-US"/>
              </w:rPr>
              <w:t xml:space="preserve">Candida </w:t>
            </w:r>
            <w:r w:rsidRPr="000E1775">
              <w:rPr>
                <w:rFonts w:ascii="Times New Roman" w:eastAsia="Calibri" w:hAnsi="Times New Roman"/>
                <w:i/>
                <w:sz w:val="22"/>
                <w:szCs w:val="22"/>
                <w:lang w:val="en-US"/>
              </w:rPr>
              <w:t>padermės</w:t>
            </w:r>
            <w:r w:rsidRPr="000E1775">
              <w:rPr>
                <w:rFonts w:ascii="Times New Roman" w:hAnsi="Times New Roman"/>
                <w:i/>
                <w:iCs/>
                <w:sz w:val="22"/>
                <w:szCs w:val="22"/>
              </w:rPr>
              <w:t xml:space="preserve"> spp.</w:t>
            </w:r>
            <w:r w:rsidRPr="000E1775">
              <w:rPr>
                <w:rFonts w:ascii="Times New Roman" w:hAnsi="Times New Roman"/>
                <w:i/>
                <w:iCs/>
                <w:sz w:val="22"/>
                <w:szCs w:val="22"/>
                <w:vertAlign w:val="superscript"/>
              </w:rPr>
              <w:t>4</w:t>
            </w:r>
          </w:p>
        </w:tc>
        <w:tc>
          <w:tcPr>
            <w:tcW w:w="2530" w:type="pct"/>
            <w:gridSpan w:val="2"/>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eastAsia="Calibri" w:hAnsi="Times New Roman"/>
                <w:sz w:val="22"/>
                <w:szCs w:val="22"/>
                <w:lang w:val="en-US"/>
              </w:rPr>
              <w:t>Įrodymų nepakanka</w:t>
            </w:r>
          </w:p>
        </w:tc>
      </w:tr>
      <w:tr w:rsidR="00E5066C" w:rsidRPr="000E1775" w:rsidTr="009852BC">
        <w:tc>
          <w:tcPr>
            <w:tcW w:w="5000" w:type="pct"/>
            <w:gridSpan w:val="3"/>
          </w:tcPr>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b/>
                <w:bCs/>
                <w:sz w:val="22"/>
                <w:szCs w:val="22"/>
                <w:lang w:val="en-US"/>
              </w:rPr>
              <w:t xml:space="preserve">1 </w:t>
            </w:r>
            <w:r w:rsidRPr="000E1775">
              <w:rPr>
                <w:rFonts w:ascii="Times New Roman" w:eastAsia="Calibri" w:hAnsi="Times New Roman"/>
                <w:sz w:val="22"/>
                <w:szCs w:val="22"/>
                <w:lang w:val="en-US"/>
              </w:rPr>
              <w:t>Padermės, kurių MSK didesnės už jautrių (J) mikroorganizmų jautrumo ribas pasitaiko retai arba jų iki šiol nenustatyta. Bet kurio tokio izoliato identifikaciją ir antimikrobinio jautrumo mėginį reikia kartoti ir, jeigu duomenys pasitvirtina, izoliatą nusiųsti į etaloninę laboratoriją.</w:t>
            </w:r>
          </w:p>
          <w:p w:rsidR="00E5066C" w:rsidRPr="000E1775" w:rsidRDefault="00E5066C" w:rsidP="007C6D23">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b/>
                <w:bCs/>
                <w:sz w:val="22"/>
                <w:szCs w:val="22"/>
                <w:lang w:val="en-US"/>
              </w:rPr>
              <w:t xml:space="preserve">2 </w:t>
            </w:r>
            <w:r w:rsidRPr="000E1775">
              <w:rPr>
                <w:rFonts w:ascii="Times New Roman" w:eastAsia="Calibri" w:hAnsi="Times New Roman"/>
                <w:sz w:val="22"/>
                <w:szCs w:val="22"/>
                <w:lang w:val="en-US"/>
              </w:rPr>
              <w:t xml:space="preserve">Klinikinių tyrimų duomenimis, pacientų, kuriems diagnozuota </w:t>
            </w:r>
            <w:r w:rsidRPr="000E1775">
              <w:rPr>
                <w:rFonts w:ascii="Times New Roman" w:eastAsia="TimesNewRoman,Italic" w:hAnsi="Times New Roman"/>
                <w:i/>
                <w:iCs/>
                <w:sz w:val="22"/>
                <w:szCs w:val="22"/>
                <w:lang w:val="en-US"/>
              </w:rPr>
              <w:t xml:space="preserve">C. glabrata </w:t>
            </w:r>
            <w:r w:rsidRPr="000E1775">
              <w:rPr>
                <w:rFonts w:ascii="Times New Roman" w:eastAsia="Calibri" w:hAnsi="Times New Roman"/>
                <w:sz w:val="22"/>
                <w:szCs w:val="22"/>
                <w:lang w:val="en-US"/>
              </w:rPr>
              <w:t xml:space="preserve">infekcija, atsakas į vorikonazolą buvo 21 % mažesnis, palyginti su tų, kuriems diagnozuota </w:t>
            </w:r>
            <w:r w:rsidRPr="000E1775">
              <w:rPr>
                <w:rFonts w:ascii="Times New Roman" w:eastAsia="TimesNewRoman,Italic" w:hAnsi="Times New Roman"/>
                <w:i/>
                <w:iCs/>
                <w:sz w:val="22"/>
                <w:szCs w:val="22"/>
                <w:lang w:val="en-US"/>
              </w:rPr>
              <w:t xml:space="preserve">C. albicans, C. parapsilosis </w:t>
            </w:r>
            <w:r w:rsidRPr="000E1775">
              <w:rPr>
                <w:rFonts w:ascii="Times New Roman" w:eastAsia="Calibri" w:hAnsi="Times New Roman"/>
                <w:sz w:val="22"/>
                <w:szCs w:val="22"/>
                <w:lang w:val="en-US"/>
              </w:rPr>
              <w:t xml:space="preserve">ar </w:t>
            </w:r>
            <w:r w:rsidRPr="000E1775">
              <w:rPr>
                <w:rFonts w:ascii="Times New Roman" w:eastAsia="TimesNewRoman,Italic" w:hAnsi="Times New Roman"/>
                <w:i/>
                <w:iCs/>
                <w:sz w:val="22"/>
                <w:szCs w:val="22"/>
                <w:lang w:val="en-US"/>
              </w:rPr>
              <w:t xml:space="preserve">C.tropicalis. </w:t>
            </w:r>
            <w:r w:rsidR="007C6D23" w:rsidRPr="000E1775">
              <w:rPr>
                <w:rFonts w:ascii="Times New Roman" w:eastAsia="TimesNewRoman,Italic" w:hAnsi="Times New Roman"/>
                <w:i/>
                <w:iCs/>
                <w:sz w:val="22"/>
                <w:szCs w:val="22"/>
                <w:lang w:val="en-US"/>
              </w:rPr>
              <w:t xml:space="preserve">In vitro </w:t>
            </w:r>
            <w:r w:rsidR="007C6D23" w:rsidRPr="000E1775">
              <w:rPr>
                <w:rFonts w:ascii="Times New Roman" w:eastAsia="TimesNewRoman" w:hAnsi="Times New Roman"/>
                <w:sz w:val="22"/>
                <w:szCs w:val="22"/>
                <w:lang w:val="en-US"/>
              </w:rPr>
              <w:t xml:space="preserve">duomenys parodė nedidelį </w:t>
            </w:r>
            <w:r w:rsidR="007C6D23" w:rsidRPr="000E1775">
              <w:rPr>
                <w:rFonts w:ascii="Times New Roman" w:eastAsia="TimesNewRoman,Italic" w:hAnsi="Times New Roman"/>
                <w:i/>
                <w:iCs/>
                <w:sz w:val="22"/>
                <w:szCs w:val="22"/>
                <w:lang w:val="en-US"/>
              </w:rPr>
              <w:t xml:space="preserve">C. glabrata </w:t>
            </w:r>
            <w:r w:rsidR="007C6D23" w:rsidRPr="000E1775">
              <w:rPr>
                <w:rFonts w:ascii="Times New Roman" w:eastAsia="TimesNewRoman" w:hAnsi="Times New Roman"/>
                <w:sz w:val="22"/>
                <w:szCs w:val="22"/>
                <w:lang w:val="en-US"/>
              </w:rPr>
              <w:t>atsparumo</w:t>
            </w:r>
            <w:r w:rsidR="0069489D" w:rsidRPr="000E1775">
              <w:rPr>
                <w:rFonts w:ascii="Times New Roman" w:eastAsia="TimesNewRoman" w:hAnsi="Times New Roman"/>
                <w:sz w:val="22"/>
                <w:szCs w:val="22"/>
                <w:lang w:val="en-US"/>
              </w:rPr>
              <w:t xml:space="preserve"> </w:t>
            </w:r>
            <w:r w:rsidR="007C6D23" w:rsidRPr="000E1775">
              <w:rPr>
                <w:rFonts w:ascii="Times New Roman" w:eastAsia="TimesNewRoman" w:hAnsi="Times New Roman"/>
                <w:sz w:val="22"/>
                <w:szCs w:val="22"/>
                <w:lang w:val="en-US"/>
              </w:rPr>
              <w:t>padidėjimą vorikonazolui.</w:t>
            </w:r>
          </w:p>
          <w:p w:rsidR="00E5066C" w:rsidRPr="000E1775" w:rsidRDefault="00E5066C" w:rsidP="009852B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b/>
                <w:bCs/>
                <w:sz w:val="22"/>
                <w:szCs w:val="22"/>
                <w:lang w:val="en-US"/>
              </w:rPr>
              <w:t xml:space="preserve">3 </w:t>
            </w:r>
            <w:r w:rsidRPr="000E1775">
              <w:rPr>
                <w:rFonts w:ascii="Times New Roman" w:eastAsia="Calibri" w:hAnsi="Times New Roman"/>
                <w:sz w:val="22"/>
                <w:szCs w:val="22"/>
                <w:lang w:val="en-US"/>
              </w:rPr>
              <w:t xml:space="preserve">Klinikinių tyrimų duomenimis, pacientų, kuriems diagnozuota </w:t>
            </w:r>
            <w:r w:rsidRPr="000E1775">
              <w:rPr>
                <w:rFonts w:ascii="Times New Roman" w:eastAsia="TimesNewRoman,Italic" w:hAnsi="Times New Roman"/>
                <w:i/>
                <w:iCs/>
                <w:sz w:val="22"/>
                <w:szCs w:val="22"/>
                <w:lang w:val="en-US"/>
              </w:rPr>
              <w:t xml:space="preserve">C. krusei </w:t>
            </w:r>
            <w:r w:rsidRPr="000E1775">
              <w:rPr>
                <w:rFonts w:ascii="Times New Roman" w:eastAsia="Calibri" w:hAnsi="Times New Roman"/>
                <w:sz w:val="22"/>
                <w:szCs w:val="22"/>
                <w:lang w:val="en-US"/>
              </w:rPr>
              <w:t xml:space="preserve">infekcija, atsakas į vorikonazolą buvo panašus kaip pacientų, kuriems diagnozuota </w:t>
            </w:r>
            <w:r w:rsidRPr="000E1775">
              <w:rPr>
                <w:rFonts w:ascii="Times New Roman" w:eastAsia="TimesNewRoman,Italic" w:hAnsi="Times New Roman"/>
                <w:i/>
                <w:iCs/>
                <w:sz w:val="22"/>
                <w:szCs w:val="22"/>
                <w:lang w:val="en-US"/>
              </w:rPr>
              <w:t xml:space="preserve">C. albicans, C. parapsilosis </w:t>
            </w:r>
            <w:r w:rsidRPr="000E1775">
              <w:rPr>
                <w:rFonts w:ascii="Times New Roman" w:eastAsia="Calibri" w:hAnsi="Times New Roman"/>
                <w:sz w:val="22"/>
                <w:szCs w:val="22"/>
                <w:lang w:val="en-US"/>
              </w:rPr>
              <w:t xml:space="preserve">ar </w:t>
            </w:r>
            <w:r w:rsidRPr="000E1775">
              <w:rPr>
                <w:rFonts w:ascii="Times New Roman" w:eastAsia="TimesNewRoman,Italic" w:hAnsi="Times New Roman"/>
                <w:i/>
                <w:iCs/>
                <w:sz w:val="22"/>
                <w:szCs w:val="22"/>
                <w:lang w:val="en-US"/>
              </w:rPr>
              <w:t xml:space="preserve">C. tropicalis. </w:t>
            </w:r>
            <w:r w:rsidRPr="000E1775">
              <w:rPr>
                <w:rFonts w:ascii="Times New Roman" w:eastAsia="Calibri" w:hAnsi="Times New Roman"/>
                <w:sz w:val="22"/>
                <w:szCs w:val="22"/>
                <w:lang w:val="en-US"/>
              </w:rPr>
              <w:t xml:space="preserve">Vis dėlto </w:t>
            </w:r>
            <w:r w:rsidRPr="000E1775">
              <w:rPr>
                <w:rFonts w:ascii="Times New Roman" w:eastAsia="TimesNewRoman,Italic" w:hAnsi="Times New Roman"/>
                <w:i/>
                <w:iCs/>
                <w:sz w:val="22"/>
                <w:szCs w:val="22"/>
                <w:lang w:val="en-US"/>
              </w:rPr>
              <w:t xml:space="preserve">EUCAST </w:t>
            </w:r>
            <w:r w:rsidRPr="000E1775">
              <w:rPr>
                <w:rFonts w:ascii="Times New Roman" w:eastAsia="Calibri" w:hAnsi="Times New Roman"/>
                <w:sz w:val="22"/>
                <w:szCs w:val="22"/>
                <w:lang w:val="en-US"/>
              </w:rPr>
              <w:t xml:space="preserve">analizė pagrįsta tik 9 atvejų duomenimis, todėl patirtis šiuo metu yra nepakankama, kad būtų galima nustatyti klinikines jautrumo ribas </w:t>
            </w:r>
            <w:r w:rsidRPr="000E1775">
              <w:rPr>
                <w:rFonts w:ascii="Times New Roman" w:eastAsia="TimesNewRoman,Italic" w:hAnsi="Times New Roman"/>
                <w:i/>
                <w:iCs/>
                <w:sz w:val="22"/>
                <w:szCs w:val="22"/>
                <w:lang w:val="en-US"/>
              </w:rPr>
              <w:t>C. krusei</w:t>
            </w:r>
            <w:r w:rsidRPr="000E1775">
              <w:rPr>
                <w:rFonts w:ascii="Times New Roman" w:eastAsia="Calibri" w:hAnsi="Times New Roman"/>
                <w:sz w:val="22"/>
                <w:szCs w:val="22"/>
                <w:lang w:val="en-US"/>
              </w:rPr>
              <w:t>.</w:t>
            </w:r>
          </w:p>
          <w:p w:rsidR="00E5066C" w:rsidRPr="000E1775" w:rsidRDefault="00E5066C" w:rsidP="009852BC">
            <w:pPr>
              <w:widowControl w:val="0"/>
              <w:autoSpaceDE w:val="0"/>
              <w:autoSpaceDN w:val="0"/>
              <w:adjustRightInd w:val="0"/>
              <w:rPr>
                <w:rFonts w:ascii="Times New Roman" w:hAnsi="Times New Roman"/>
                <w:sz w:val="22"/>
                <w:szCs w:val="22"/>
              </w:rPr>
            </w:pPr>
            <w:r w:rsidRPr="000E1775">
              <w:rPr>
                <w:rFonts w:ascii="Times New Roman" w:eastAsia="Calibri" w:hAnsi="Times New Roman"/>
                <w:b/>
                <w:bCs/>
                <w:sz w:val="22"/>
                <w:szCs w:val="22"/>
                <w:lang w:val="en-US"/>
              </w:rPr>
              <w:lastRenderedPageBreak/>
              <w:t xml:space="preserve">4 </w:t>
            </w:r>
            <w:r w:rsidRPr="000E1775">
              <w:rPr>
                <w:rFonts w:ascii="Times New Roman" w:eastAsia="TimesNewRoman,Italic" w:hAnsi="Times New Roman"/>
                <w:i/>
                <w:iCs/>
                <w:sz w:val="22"/>
                <w:szCs w:val="22"/>
                <w:lang w:val="en-US"/>
              </w:rPr>
              <w:t xml:space="preserve">EUCAST </w:t>
            </w:r>
            <w:r w:rsidRPr="000E1775">
              <w:rPr>
                <w:rFonts w:ascii="Times New Roman" w:eastAsia="Calibri" w:hAnsi="Times New Roman"/>
                <w:sz w:val="22"/>
                <w:szCs w:val="22"/>
                <w:lang w:val="en-US"/>
              </w:rPr>
              <w:t>nenustatė su rūšimi nesusijusių jautrumo vorikonazolui ribų.</w:t>
            </w:r>
          </w:p>
        </w:tc>
      </w:tr>
    </w:tbl>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u w:val="single"/>
          <w:lang w:val="en-US"/>
        </w:rPr>
      </w:pPr>
      <w:r w:rsidRPr="000E1775">
        <w:rPr>
          <w:rFonts w:ascii="Times New Roman" w:eastAsia="Calibri" w:hAnsi="Times New Roman"/>
          <w:sz w:val="22"/>
          <w:szCs w:val="22"/>
          <w:u w:val="single"/>
          <w:lang w:val="en-US"/>
        </w:rPr>
        <w:t>Klinikinių tyrimų duomenys</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Šiame skyrelyje aprašytas sėkmingo gydymo (t. y. visiško arba dalinio atsako) rezultatas.</w:t>
      </w:r>
    </w:p>
    <w:p w:rsidR="00E5066C" w:rsidRPr="000E1775" w:rsidRDefault="00E5066C" w:rsidP="00E5066C">
      <w:pPr>
        <w:autoSpaceDE w:val="0"/>
        <w:autoSpaceDN w:val="0"/>
        <w:adjustRightInd w:val="0"/>
        <w:rPr>
          <w:rFonts w:ascii="Times New Roman" w:eastAsia="TimesNewRoman,Italic" w:hAnsi="Times New Roman"/>
          <w:i/>
          <w:iCs/>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u w:val="single"/>
          <w:lang w:val="en-US"/>
        </w:rPr>
      </w:pPr>
      <w:r w:rsidRPr="000E1775">
        <w:rPr>
          <w:rFonts w:ascii="Times New Roman" w:eastAsia="TimesNewRoman,Italic" w:hAnsi="Times New Roman"/>
          <w:i/>
          <w:iCs/>
          <w:sz w:val="22"/>
          <w:szCs w:val="22"/>
          <w:u w:val="single"/>
          <w:lang w:val="en-US"/>
        </w:rPr>
        <w:t xml:space="preserve">Aspergillus </w:t>
      </w:r>
      <w:r w:rsidRPr="000E1775">
        <w:rPr>
          <w:rFonts w:ascii="Times New Roman" w:eastAsia="Calibri" w:hAnsi="Times New Roman"/>
          <w:sz w:val="22"/>
          <w:szCs w:val="22"/>
          <w:u w:val="single"/>
          <w:lang w:val="en-US"/>
        </w:rPr>
        <w:t>infekcija. Preparato efektyvumas, gydant aspergilioze sergančius pacientus, kurių prognozė bloga</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TimesNewRoman,Italic" w:hAnsi="Times New Roman"/>
          <w:i/>
          <w:iCs/>
          <w:sz w:val="22"/>
          <w:szCs w:val="22"/>
          <w:lang w:val="en-US"/>
        </w:rPr>
        <w:t xml:space="preserve">In vitro </w:t>
      </w:r>
      <w:r w:rsidRPr="000E1775">
        <w:rPr>
          <w:rFonts w:ascii="Times New Roman" w:eastAsia="Calibri" w:hAnsi="Times New Roman"/>
          <w:sz w:val="22"/>
          <w:szCs w:val="22"/>
          <w:lang w:val="en-US"/>
        </w:rPr>
        <w:t xml:space="preserve">vorikonazolas sukelia fungicidinį poveikį </w:t>
      </w:r>
      <w:r w:rsidRPr="000E1775">
        <w:rPr>
          <w:rFonts w:ascii="Times New Roman" w:eastAsia="TimesNewRoman,Italic" w:hAnsi="Times New Roman"/>
          <w:i/>
          <w:iCs/>
          <w:sz w:val="22"/>
          <w:szCs w:val="22"/>
          <w:lang w:val="en-US"/>
        </w:rPr>
        <w:t xml:space="preserve">Aspergillus </w:t>
      </w:r>
      <w:r w:rsidRPr="000E1775">
        <w:rPr>
          <w:rFonts w:ascii="Times New Roman" w:eastAsia="Calibri" w:hAnsi="Times New Roman"/>
          <w:sz w:val="22"/>
          <w:szCs w:val="22"/>
          <w:lang w:val="en-US"/>
        </w:rPr>
        <w:t>rūšims. Ūminės invazinės aspergiliozės pagrindinio gydymo vorikonazolu poveikio efektyvumo ir pacientų išgyvenamumo pailgėjimo,</w:t>
      </w:r>
      <w:r w:rsidRPr="000E1775" w:rsidDel="00847298">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palyginti su įprastiniu gydymu amfotericinu B, atviras tyrimas buvo atliktas keliuose centruose,</w:t>
      </w:r>
      <w:r w:rsidRPr="000E1775" w:rsidDel="00847298">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kuriuose 12 savaičių buvo gydomi 277 atsitiktiniu būdu parinkti ligoniai, kurių imuninės sistemos funkcija buvo nepakankama. Į veną buvo vartota įsotinamoji 6 mg/kg vorikonazolo dozė kas 12 valandų pirmąsias 24 valandas, vėliau – palaikomoji 4 mg/kg dozė kas 12 valandų mažiausiai 7 paras. Vėliau gydymą galima keisti į geriamąją formą ir vartoti 200 mg dozę kas 12 valandų. Gydymas vorikonazolu į veną truko vidutiniškai 10 parų (kitimo sritis nuo 2 iki 85 parų). Baigus gydymą vorikonazolu į veną, gydymas vorikonazolu truko vidutiniškai 76 paras (nuo 2 iki 232 parų).</w:t>
      </w:r>
    </w:p>
    <w:p w:rsidR="00E5066C" w:rsidRPr="000E1775" w:rsidRDefault="00E5066C" w:rsidP="00E5066C">
      <w:pPr>
        <w:autoSpaceDE w:val="0"/>
        <w:autoSpaceDN w:val="0"/>
        <w:adjustRightInd w:val="0"/>
        <w:rPr>
          <w:rFonts w:ascii="Times New Roman" w:eastAsia="Calibri" w:hAnsi="Times New Roman"/>
          <w:sz w:val="22"/>
          <w:szCs w:val="22"/>
          <w:lang w:val="fr-FR"/>
        </w:rPr>
      </w:pPr>
      <w:proofErr w:type="gramStart"/>
      <w:r w:rsidRPr="000E1775">
        <w:rPr>
          <w:rFonts w:ascii="Times New Roman" w:eastAsia="Calibri" w:hAnsi="Times New Roman"/>
          <w:sz w:val="22"/>
          <w:szCs w:val="22"/>
          <w:lang w:val="en-US"/>
        </w:rPr>
        <w:t>53</w:t>
      </w:r>
      <w:proofErr w:type="gramEnd"/>
      <w:r w:rsidRPr="000E1775">
        <w:rPr>
          <w:rFonts w:ascii="Times New Roman" w:eastAsia="Calibri" w:hAnsi="Times New Roman"/>
          <w:sz w:val="22"/>
          <w:szCs w:val="22"/>
          <w:lang w:val="en-US"/>
        </w:rPr>
        <w:t xml:space="preserve"> % vorikonazolu gydytų pacientų bendras vaistinio preparato poveikis buvo patenkinamas (iš dalies arba visiškai išnyko visi būdingi simptomai</w:t>
      </w:r>
      <w:r w:rsidR="00006F9A" w:rsidRPr="000E1775">
        <w:rPr>
          <w:rFonts w:ascii="Times New Roman" w:eastAsia="Calibri" w:hAnsi="Times New Roman"/>
          <w:sz w:val="22"/>
          <w:szCs w:val="22"/>
          <w:lang w:val="en-US"/>
        </w:rPr>
        <w:t>,</w:t>
      </w:r>
      <w:r w:rsidRPr="000E1775">
        <w:rPr>
          <w:rFonts w:ascii="Times New Roman" w:eastAsia="Calibri" w:hAnsi="Times New Roman"/>
          <w:sz w:val="22"/>
          <w:szCs w:val="22"/>
          <w:lang w:val="en-US"/>
        </w:rPr>
        <w:t xml:space="preserve"> požymiai, išnyko rentgenologinių arba bronchoskopinių tyrimų metu nustatyti pradiniai pokyčiai), o gydant palyginamuoju preparatu, toks poveikis pasireiškė 31 % pacientų. 84 paras išgyvenusių vorikonazolu gydytų pacientų procentas buvo statistiškai </w:t>
      </w:r>
      <w:r w:rsidRPr="000E1775">
        <w:rPr>
          <w:rFonts w:ascii="Times New Roman" w:eastAsia="Calibri" w:hAnsi="Times New Roman"/>
          <w:sz w:val="22"/>
          <w:szCs w:val="22"/>
          <w:lang w:val="fr-FR"/>
        </w:rPr>
        <w:t>patikimai didesnis nei gydytų palyginamuoju vaistiniu preparatu. Be to, laiko iki mirties ir laiko iki gydymo nutraukimo dėl vorikonazolo toksinio poveikio atžvilgiu, klinikiniai ir statistiniai duomenys rodė, kad pastarasis vaistinis preparatas yra efektyvesnis.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Šis tyrimas patvirtina anksčiau atliktų tyrimų rezultatus, rodančius teigiamą rezultatą rizikos grupės pacientams, kurių ligos prognozė buvo bloga, įskaitant recipiento ir donoro organų nesuderinamumo ligą, ir ypač tuo atveju, jei sergama infekcine smegenų liga (paprastai susijusios su 100 % mirtingumu).</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Tyrimai atlikti įtraukiant ligonius, sergančius smegenų, sinusų, plaučių ir išsėtine aspergilioze,</w:t>
      </w:r>
      <w:r w:rsidRPr="000E1775" w:rsidDel="00847298">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kuriems buvo transplantuoti kaulų čiulpai, standieji organai bei kurie sirgo kraujo ar kitokiu vėžiu arba AIDS.</w:t>
      </w:r>
    </w:p>
    <w:p w:rsidR="00E5066C" w:rsidRPr="000E1775" w:rsidRDefault="00E5066C" w:rsidP="00E5066C">
      <w:pPr>
        <w:autoSpaceDE w:val="0"/>
        <w:autoSpaceDN w:val="0"/>
        <w:adjustRightInd w:val="0"/>
        <w:rPr>
          <w:rFonts w:ascii="Times New Roman" w:eastAsia="Calibri" w:hAnsi="Times New Roman"/>
          <w:sz w:val="22"/>
          <w:szCs w:val="22"/>
          <w:u w:val="single"/>
          <w:lang w:val="fr-FR"/>
        </w:rPr>
      </w:pPr>
    </w:p>
    <w:p w:rsidR="00E5066C" w:rsidRPr="000E1775" w:rsidRDefault="00E5066C" w:rsidP="00E5066C">
      <w:pPr>
        <w:autoSpaceDE w:val="0"/>
        <w:autoSpaceDN w:val="0"/>
        <w:adjustRightInd w:val="0"/>
        <w:rPr>
          <w:rFonts w:ascii="Times New Roman" w:eastAsia="Calibri" w:hAnsi="Times New Roman"/>
          <w:sz w:val="22"/>
          <w:szCs w:val="22"/>
          <w:u w:val="single"/>
          <w:lang w:val="fr-FR"/>
        </w:rPr>
      </w:pPr>
      <w:r w:rsidRPr="000E1775">
        <w:rPr>
          <w:rFonts w:ascii="Times New Roman" w:eastAsia="Calibri" w:hAnsi="Times New Roman"/>
          <w:sz w:val="22"/>
          <w:szCs w:val="22"/>
          <w:u w:val="single"/>
          <w:lang w:val="fr-FR"/>
        </w:rPr>
        <w:t>Kandidemija pacientams, kuriems nėra neutropenijos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Atviro palyginamojo tyrimo metu buvo palygintas vorikonazolo veiksmingumas su amfotericino B ir vėliau flukonazolo, kaip pirmaeilio preparato kandidemijos gydymui, veiksmingumu. Tyrime dalyvavo trys šimtai septyniasdešimt pacientų, kuriems nebuvo neutropenijos (vyresnių kaip 12 metų) ir kuriems buvo nustatyta kandidemija, iš jų 248 vartojo vorikonazolą. Devyniems vorikonazolą ir </w:t>
      </w:r>
      <w:r w:rsidR="00006F9A" w:rsidRPr="000E1775">
        <w:rPr>
          <w:rFonts w:ascii="Times New Roman" w:eastAsia="Calibri" w:hAnsi="Times New Roman"/>
          <w:sz w:val="22"/>
          <w:szCs w:val="22"/>
          <w:lang w:val="fr-FR"/>
        </w:rPr>
        <w:t xml:space="preserve">5 </w:t>
      </w:r>
      <w:r w:rsidRPr="000E1775">
        <w:rPr>
          <w:rFonts w:ascii="Times New Roman" w:eastAsia="Calibri" w:hAnsi="Times New Roman"/>
          <w:sz w:val="22"/>
          <w:szCs w:val="22"/>
          <w:lang w:val="fr-FR"/>
        </w:rPr>
        <w:t>amfotereciną B ir vėliau flukonazolą vartojusiems asmenims buvo patvirtinta grybelių sukelta giliųjų audinių infekcinė liga. Pacientai, kurie sirgo inkstų nepakankamumu, buvo pašalinti iš tyrimo.</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Vidutinė gydymo trukmė abiejose tyrimo grupėse buvo 15 parų. Atliekant priminę analizę, Duomenų peržiūrėjimo komitetas (DPK), kuris nežinojo tiriamojo medikamento (aklasis būdas), gerą vaistinio preparato veiksmingumą vertino pasveikus arba pagerėjus visiems klinikiniams infekcinės ligos simptomams ir požymiams, išnaikinus </w:t>
      </w:r>
      <w:r w:rsidRPr="000E1775">
        <w:rPr>
          <w:rFonts w:ascii="Times New Roman" w:eastAsia="TimesNewRoman,Italic" w:hAnsi="Times New Roman"/>
          <w:i/>
          <w:iCs/>
          <w:sz w:val="22"/>
          <w:szCs w:val="22"/>
          <w:lang w:val="fr-FR"/>
        </w:rPr>
        <w:t xml:space="preserve">Candida </w:t>
      </w:r>
      <w:r w:rsidRPr="000E1775">
        <w:rPr>
          <w:rFonts w:ascii="Times New Roman" w:eastAsia="Calibri" w:hAnsi="Times New Roman"/>
          <w:sz w:val="22"/>
          <w:szCs w:val="22"/>
          <w:lang w:val="fr-FR"/>
        </w:rPr>
        <w:t>kraujyje ir infekcijos pažeistuose giliuosiuose audiniuose, praėjus 12 savaičių po gydymo pabaigos (GP). Pacientai, kurių būklė 12 savaitę po GP nebuvo įvertinta, priskirti prie tų, kuriems gydymas buvo neveiksmingas. Šios analizės metu geras veiksmingumas nustatytas 41 % pacientų abiejose gydymo grupėse.</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lastRenderedPageBreak/>
        <w:t>Antrinės analizės, kurios metu DPK vertino paskiausiu laiku (GP, arba 2, 6, 12 savaičių po GP), vorikonazolo ir amfoteracino B, vėliau vartojant flukonazolą, geras veiksmingumas buvo atitinkamai 65 % ir 71 %.</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Tyrėjo nustatytas geras veiksmingumas kiekvieną vertinimo laikotarpį pateiktas lentelėje.</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3020"/>
        <w:gridCol w:w="3027"/>
      </w:tblGrid>
      <w:tr w:rsidR="00E5066C" w:rsidRPr="000E1775" w:rsidTr="009852BC">
        <w:tc>
          <w:tcPr>
            <w:tcW w:w="1624" w:type="pct"/>
            <w:vAlign w:val="center"/>
          </w:tcPr>
          <w:p w:rsidR="00E5066C" w:rsidRPr="000E1775" w:rsidRDefault="00E5066C" w:rsidP="009852BC">
            <w:pPr>
              <w:widowControl w:val="0"/>
              <w:autoSpaceDE w:val="0"/>
              <w:autoSpaceDN w:val="0"/>
              <w:adjustRightInd w:val="0"/>
              <w:rPr>
                <w:rFonts w:ascii="Times New Roman" w:hAnsi="Times New Roman"/>
                <w:sz w:val="22"/>
                <w:szCs w:val="22"/>
              </w:rPr>
            </w:pPr>
            <w:r w:rsidRPr="000E1775">
              <w:rPr>
                <w:rFonts w:ascii="Times New Roman" w:eastAsia="TimesNewRoman,BoldItalic" w:hAnsi="Times New Roman"/>
                <w:b/>
                <w:bCs/>
                <w:i/>
                <w:iCs/>
                <w:sz w:val="22"/>
                <w:szCs w:val="22"/>
                <w:lang w:val="en-US"/>
              </w:rPr>
              <w:t>Vertinimo laikas</w:t>
            </w:r>
          </w:p>
        </w:tc>
        <w:tc>
          <w:tcPr>
            <w:tcW w:w="1686" w:type="pct"/>
            <w:vAlign w:val="center"/>
          </w:tcPr>
          <w:p w:rsidR="00E5066C" w:rsidRPr="000E1775" w:rsidRDefault="00E5066C" w:rsidP="009852BC">
            <w:pPr>
              <w:widowControl w:val="0"/>
              <w:autoSpaceDE w:val="0"/>
              <w:autoSpaceDN w:val="0"/>
              <w:adjustRightInd w:val="0"/>
              <w:jc w:val="center"/>
              <w:rPr>
                <w:rFonts w:ascii="Times New Roman" w:hAnsi="Times New Roman"/>
                <w:b/>
                <w:bCs/>
                <w:i/>
                <w:iCs/>
                <w:sz w:val="22"/>
                <w:szCs w:val="22"/>
              </w:rPr>
            </w:pPr>
            <w:r w:rsidRPr="000E1775">
              <w:rPr>
                <w:rFonts w:ascii="Times New Roman" w:hAnsi="Times New Roman"/>
                <w:b/>
                <w:bCs/>
                <w:i/>
                <w:iCs/>
                <w:sz w:val="22"/>
                <w:szCs w:val="22"/>
              </w:rPr>
              <w:t>Vorikonazolas</w:t>
            </w:r>
          </w:p>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b/>
                <w:bCs/>
                <w:i/>
                <w:iCs/>
                <w:sz w:val="22"/>
                <w:szCs w:val="22"/>
              </w:rPr>
              <w:t>(N=248)</w:t>
            </w:r>
          </w:p>
        </w:tc>
        <w:tc>
          <w:tcPr>
            <w:tcW w:w="1690" w:type="pct"/>
            <w:vAlign w:val="center"/>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b/>
                <w:bCs/>
                <w:i/>
                <w:iCs/>
                <w:sz w:val="22"/>
                <w:szCs w:val="22"/>
              </w:rPr>
              <w:t>Amfotericinas B → flukonazolas</w:t>
            </w:r>
          </w:p>
          <w:p w:rsidR="00E5066C" w:rsidRPr="000E1775" w:rsidRDefault="00E5066C" w:rsidP="009852BC">
            <w:pPr>
              <w:widowControl w:val="0"/>
              <w:autoSpaceDE w:val="0"/>
              <w:autoSpaceDN w:val="0"/>
              <w:adjustRightInd w:val="0"/>
              <w:jc w:val="center"/>
              <w:rPr>
                <w:rFonts w:ascii="Times New Roman" w:hAnsi="Times New Roman"/>
                <w:b/>
                <w:sz w:val="22"/>
                <w:szCs w:val="22"/>
              </w:rPr>
            </w:pPr>
            <w:r w:rsidRPr="000E1775">
              <w:rPr>
                <w:rFonts w:ascii="Times New Roman" w:hAnsi="Times New Roman"/>
                <w:b/>
                <w:sz w:val="22"/>
                <w:szCs w:val="22"/>
              </w:rPr>
              <w:t>(N=122)</w:t>
            </w:r>
          </w:p>
        </w:tc>
      </w:tr>
      <w:tr w:rsidR="00E5066C" w:rsidRPr="000E1775" w:rsidTr="009852BC">
        <w:tc>
          <w:tcPr>
            <w:tcW w:w="1624" w:type="pct"/>
          </w:tcPr>
          <w:p w:rsidR="00E5066C" w:rsidRPr="000E1775" w:rsidRDefault="00E5066C" w:rsidP="009852BC">
            <w:pPr>
              <w:widowControl w:val="0"/>
              <w:autoSpaceDE w:val="0"/>
              <w:autoSpaceDN w:val="0"/>
              <w:adjustRightInd w:val="0"/>
              <w:rPr>
                <w:rFonts w:ascii="Times New Roman" w:hAnsi="Times New Roman"/>
                <w:b/>
                <w:sz w:val="22"/>
                <w:szCs w:val="22"/>
              </w:rPr>
            </w:pPr>
            <w:r w:rsidRPr="000E1775">
              <w:rPr>
                <w:rFonts w:ascii="Times New Roman" w:hAnsi="Times New Roman"/>
                <w:b/>
                <w:sz w:val="22"/>
                <w:szCs w:val="22"/>
              </w:rPr>
              <w:t>GP</w:t>
            </w:r>
          </w:p>
        </w:tc>
        <w:tc>
          <w:tcPr>
            <w:tcW w:w="1686"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b/>
                <w:bCs/>
                <w:iCs/>
                <w:sz w:val="22"/>
                <w:szCs w:val="22"/>
                <w:lang w:eastAsia="hu-HU"/>
              </w:rPr>
              <w:t>178 (72%)</w:t>
            </w:r>
          </w:p>
        </w:tc>
        <w:tc>
          <w:tcPr>
            <w:tcW w:w="1690"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b/>
                <w:bCs/>
                <w:iCs/>
                <w:sz w:val="22"/>
                <w:szCs w:val="22"/>
                <w:lang w:eastAsia="hu-HU"/>
              </w:rPr>
              <w:t>88 (72%)</w:t>
            </w:r>
          </w:p>
        </w:tc>
      </w:tr>
      <w:tr w:rsidR="00E5066C" w:rsidRPr="000E1775" w:rsidTr="009852BC">
        <w:tc>
          <w:tcPr>
            <w:tcW w:w="1624" w:type="pct"/>
          </w:tcPr>
          <w:p w:rsidR="00E5066C" w:rsidRPr="000E1775" w:rsidRDefault="00E5066C" w:rsidP="009852BC">
            <w:pPr>
              <w:widowControl w:val="0"/>
              <w:autoSpaceDE w:val="0"/>
              <w:autoSpaceDN w:val="0"/>
              <w:adjustRightInd w:val="0"/>
              <w:rPr>
                <w:rFonts w:ascii="Times New Roman" w:hAnsi="Times New Roman"/>
                <w:b/>
                <w:sz w:val="22"/>
                <w:szCs w:val="22"/>
              </w:rPr>
            </w:pPr>
            <w:r w:rsidRPr="000E1775">
              <w:rPr>
                <w:rFonts w:ascii="Times New Roman" w:eastAsia="TimesNewRoman,Italic" w:hAnsi="Times New Roman"/>
                <w:b/>
                <w:i/>
                <w:iCs/>
                <w:sz w:val="22"/>
                <w:szCs w:val="22"/>
                <w:lang w:val="en-US"/>
              </w:rPr>
              <w:t xml:space="preserve">2 savaitės po GP </w:t>
            </w:r>
          </w:p>
        </w:tc>
        <w:tc>
          <w:tcPr>
            <w:tcW w:w="1686"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b/>
                <w:bCs/>
                <w:iCs/>
                <w:sz w:val="22"/>
                <w:szCs w:val="22"/>
                <w:lang w:eastAsia="hu-HU"/>
              </w:rPr>
              <w:t>125 (50%)</w:t>
            </w:r>
          </w:p>
        </w:tc>
        <w:tc>
          <w:tcPr>
            <w:tcW w:w="1690" w:type="pct"/>
          </w:tcPr>
          <w:p w:rsidR="00E5066C" w:rsidRPr="000E1775" w:rsidRDefault="00E5066C" w:rsidP="009852BC">
            <w:pPr>
              <w:widowControl w:val="0"/>
              <w:autoSpaceDE w:val="0"/>
              <w:autoSpaceDN w:val="0"/>
              <w:adjustRightInd w:val="0"/>
              <w:jc w:val="center"/>
              <w:rPr>
                <w:rFonts w:ascii="Times New Roman" w:hAnsi="Times New Roman"/>
                <w:sz w:val="22"/>
                <w:szCs w:val="22"/>
                <w:lang w:eastAsia="hu-HU"/>
              </w:rPr>
            </w:pPr>
            <w:r w:rsidRPr="000E1775">
              <w:rPr>
                <w:rFonts w:ascii="Times New Roman" w:hAnsi="Times New Roman"/>
                <w:b/>
                <w:bCs/>
                <w:iCs/>
                <w:sz w:val="22"/>
                <w:szCs w:val="22"/>
                <w:lang w:eastAsia="hu-HU"/>
              </w:rPr>
              <w:t>62 (51%)</w:t>
            </w:r>
          </w:p>
        </w:tc>
      </w:tr>
      <w:tr w:rsidR="00E5066C" w:rsidRPr="000E1775" w:rsidTr="009852BC">
        <w:tc>
          <w:tcPr>
            <w:tcW w:w="1624" w:type="pct"/>
          </w:tcPr>
          <w:p w:rsidR="00E5066C" w:rsidRPr="000E1775" w:rsidRDefault="00E5066C" w:rsidP="009852BC">
            <w:pPr>
              <w:widowControl w:val="0"/>
              <w:autoSpaceDE w:val="0"/>
              <w:autoSpaceDN w:val="0"/>
              <w:adjustRightInd w:val="0"/>
              <w:rPr>
                <w:rFonts w:ascii="Times New Roman" w:hAnsi="Times New Roman"/>
                <w:sz w:val="22"/>
                <w:szCs w:val="22"/>
              </w:rPr>
            </w:pPr>
            <w:r w:rsidRPr="000E1775">
              <w:rPr>
                <w:rFonts w:ascii="Times New Roman" w:hAnsi="Times New Roman"/>
                <w:b/>
                <w:bCs/>
                <w:iCs/>
                <w:sz w:val="22"/>
                <w:szCs w:val="22"/>
              </w:rPr>
              <w:t xml:space="preserve">6 </w:t>
            </w:r>
            <w:r w:rsidRPr="000E1775">
              <w:rPr>
                <w:rFonts w:ascii="Times New Roman" w:eastAsia="TimesNewRoman,Italic" w:hAnsi="Times New Roman"/>
                <w:b/>
                <w:i/>
                <w:iCs/>
                <w:sz w:val="22"/>
                <w:szCs w:val="22"/>
                <w:lang w:val="en-US"/>
              </w:rPr>
              <w:t xml:space="preserve"> savaitės po GP </w:t>
            </w:r>
          </w:p>
        </w:tc>
        <w:tc>
          <w:tcPr>
            <w:tcW w:w="1686"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b/>
                <w:bCs/>
                <w:iCs/>
                <w:sz w:val="22"/>
                <w:szCs w:val="22"/>
              </w:rPr>
              <w:t>104 (42%)</w:t>
            </w:r>
          </w:p>
        </w:tc>
        <w:tc>
          <w:tcPr>
            <w:tcW w:w="1690"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b/>
                <w:bCs/>
                <w:iCs/>
                <w:sz w:val="22"/>
                <w:szCs w:val="22"/>
              </w:rPr>
              <w:t>55 (45%)</w:t>
            </w:r>
          </w:p>
        </w:tc>
      </w:tr>
      <w:tr w:rsidR="00E5066C" w:rsidRPr="000E1775" w:rsidTr="009852BC">
        <w:tc>
          <w:tcPr>
            <w:tcW w:w="1624" w:type="pct"/>
          </w:tcPr>
          <w:p w:rsidR="00E5066C" w:rsidRPr="000E1775" w:rsidRDefault="00E5066C" w:rsidP="009852BC">
            <w:pPr>
              <w:widowControl w:val="0"/>
              <w:autoSpaceDE w:val="0"/>
              <w:autoSpaceDN w:val="0"/>
              <w:adjustRightInd w:val="0"/>
              <w:rPr>
                <w:rFonts w:ascii="Times New Roman" w:hAnsi="Times New Roman"/>
                <w:sz w:val="22"/>
                <w:szCs w:val="22"/>
              </w:rPr>
            </w:pPr>
            <w:r w:rsidRPr="000E1775">
              <w:rPr>
                <w:rFonts w:ascii="Times New Roman" w:hAnsi="Times New Roman"/>
                <w:b/>
                <w:bCs/>
                <w:iCs/>
                <w:sz w:val="22"/>
                <w:szCs w:val="22"/>
              </w:rPr>
              <w:t xml:space="preserve">12 </w:t>
            </w:r>
            <w:r w:rsidRPr="000E1775">
              <w:rPr>
                <w:rFonts w:ascii="Times New Roman" w:eastAsia="TimesNewRoman,Italic" w:hAnsi="Times New Roman"/>
                <w:b/>
                <w:i/>
                <w:iCs/>
                <w:sz w:val="22"/>
                <w:szCs w:val="22"/>
                <w:lang w:val="en-US"/>
              </w:rPr>
              <w:t xml:space="preserve"> savaičių po GP </w:t>
            </w:r>
          </w:p>
        </w:tc>
        <w:tc>
          <w:tcPr>
            <w:tcW w:w="1686"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b/>
                <w:bCs/>
                <w:iCs/>
                <w:sz w:val="22"/>
                <w:szCs w:val="22"/>
              </w:rPr>
              <w:t>104 (42%)</w:t>
            </w:r>
          </w:p>
        </w:tc>
        <w:tc>
          <w:tcPr>
            <w:tcW w:w="1690" w:type="pct"/>
          </w:tcPr>
          <w:p w:rsidR="00E5066C" w:rsidRPr="000E1775" w:rsidRDefault="00E5066C" w:rsidP="009852BC">
            <w:pPr>
              <w:widowControl w:val="0"/>
              <w:autoSpaceDE w:val="0"/>
              <w:autoSpaceDN w:val="0"/>
              <w:adjustRightInd w:val="0"/>
              <w:jc w:val="center"/>
              <w:rPr>
                <w:rFonts w:ascii="Times New Roman" w:hAnsi="Times New Roman"/>
                <w:sz w:val="22"/>
                <w:szCs w:val="22"/>
              </w:rPr>
            </w:pPr>
            <w:r w:rsidRPr="000E1775">
              <w:rPr>
                <w:rFonts w:ascii="Times New Roman" w:hAnsi="Times New Roman"/>
                <w:b/>
                <w:bCs/>
                <w:iCs/>
                <w:sz w:val="22"/>
                <w:szCs w:val="22"/>
              </w:rPr>
              <w:t>51 (42%)</w:t>
            </w:r>
          </w:p>
        </w:tc>
      </w:tr>
    </w:tbl>
    <w:p w:rsidR="00E5066C" w:rsidRPr="000E1775" w:rsidRDefault="00E5066C" w:rsidP="00E5066C">
      <w:pPr>
        <w:autoSpaceDE w:val="0"/>
        <w:autoSpaceDN w:val="0"/>
        <w:adjustRightInd w:val="0"/>
        <w:rPr>
          <w:rFonts w:ascii="Times New Roman" w:eastAsia="TimesNewRoman,Italic" w:hAnsi="Times New Roman"/>
          <w:i/>
          <w:iCs/>
          <w:sz w:val="22"/>
          <w:szCs w:val="22"/>
          <w:lang w:val="en-US"/>
        </w:rPr>
      </w:pPr>
    </w:p>
    <w:p w:rsidR="00E5066C" w:rsidRPr="000E1775" w:rsidRDefault="00E5066C" w:rsidP="00E5066C">
      <w:pPr>
        <w:autoSpaceDE w:val="0"/>
        <w:autoSpaceDN w:val="0"/>
        <w:adjustRightInd w:val="0"/>
        <w:rPr>
          <w:rFonts w:ascii="Times New Roman" w:eastAsia="TimesNewRoman,Italic" w:hAnsi="Times New Roman"/>
          <w:sz w:val="22"/>
          <w:szCs w:val="22"/>
          <w:u w:val="single"/>
          <w:lang w:val="en-US"/>
        </w:rPr>
      </w:pPr>
      <w:r w:rsidRPr="000E1775">
        <w:rPr>
          <w:rFonts w:ascii="Times New Roman" w:eastAsia="TimesNewRoman,Italic" w:hAnsi="Times New Roman"/>
          <w:i/>
          <w:iCs/>
          <w:sz w:val="22"/>
          <w:szCs w:val="22"/>
          <w:u w:val="single"/>
          <w:lang w:val="en-US"/>
        </w:rPr>
        <w:t xml:space="preserve">Candida </w:t>
      </w:r>
      <w:r w:rsidRPr="000E1775">
        <w:rPr>
          <w:rFonts w:ascii="Times New Roman" w:eastAsia="TimesNewRoman,Italic" w:hAnsi="Times New Roman"/>
          <w:sz w:val="22"/>
          <w:szCs w:val="22"/>
          <w:u w:val="single"/>
          <w:lang w:val="en-US"/>
        </w:rPr>
        <w:t>sukeltos sunkios atsparios infekcinės ligos</w:t>
      </w:r>
    </w:p>
    <w:p w:rsidR="00E5066C" w:rsidRPr="000E1775" w:rsidRDefault="00E5066C" w:rsidP="00E5066C">
      <w:pPr>
        <w:autoSpaceDE w:val="0"/>
        <w:autoSpaceDN w:val="0"/>
        <w:adjustRightInd w:val="0"/>
        <w:rPr>
          <w:rFonts w:ascii="Times New Roman" w:eastAsia="TimesNewRoman,Italic" w:hAnsi="Times New Roman"/>
          <w:sz w:val="22"/>
          <w:szCs w:val="22"/>
          <w:lang w:val="fr-FR"/>
        </w:rPr>
      </w:pPr>
      <w:r w:rsidRPr="000E1775">
        <w:rPr>
          <w:rFonts w:ascii="Times New Roman" w:eastAsia="TimesNewRoman,Italic" w:hAnsi="Times New Roman"/>
          <w:sz w:val="22"/>
          <w:szCs w:val="22"/>
          <w:lang w:val="fr-FR"/>
        </w:rPr>
        <w:t xml:space="preserve">Tyrimai atlikti su 55 pacientais, sergančiais sunkia atsparia sistemine </w:t>
      </w:r>
      <w:r w:rsidRPr="000E1775">
        <w:rPr>
          <w:rFonts w:ascii="Times New Roman" w:eastAsia="TimesNewRoman,Italic" w:hAnsi="Times New Roman"/>
          <w:i/>
          <w:iCs/>
          <w:sz w:val="22"/>
          <w:szCs w:val="22"/>
          <w:lang w:val="fr-FR"/>
        </w:rPr>
        <w:t xml:space="preserve">Candida </w:t>
      </w:r>
      <w:r w:rsidRPr="000E1775">
        <w:rPr>
          <w:rFonts w:ascii="Times New Roman" w:eastAsia="TimesNewRoman,Italic" w:hAnsi="Times New Roman"/>
          <w:sz w:val="22"/>
          <w:szCs w:val="22"/>
          <w:lang w:val="fr-FR"/>
        </w:rPr>
        <w:t xml:space="preserve">sukelta infekcine liga (įskaitant kandidemiją, išsėtinę arba kitokią invazinę kandidamikozę), kuriai priešgrybelinio poveikio preparatai, ypač flukonazolas, buvo neefektyvūs. Geras poveikis pasireiškė 24 </w:t>
      </w:r>
      <w:proofErr w:type="gramStart"/>
      <w:r w:rsidRPr="000E1775">
        <w:rPr>
          <w:rFonts w:ascii="Times New Roman" w:eastAsia="TimesNewRoman,Italic" w:hAnsi="Times New Roman"/>
          <w:sz w:val="22"/>
          <w:szCs w:val="22"/>
          <w:lang w:val="fr-FR"/>
        </w:rPr>
        <w:t>pacientams:</w:t>
      </w:r>
      <w:proofErr w:type="gramEnd"/>
      <w:r w:rsidRPr="000E1775">
        <w:rPr>
          <w:rFonts w:ascii="Times New Roman" w:eastAsia="TimesNewRoman,Italic" w:hAnsi="Times New Roman"/>
          <w:sz w:val="22"/>
          <w:szCs w:val="22"/>
          <w:lang w:val="fr-FR"/>
        </w:rPr>
        <w:t xml:space="preserve"> 15 iš jų visiškai pasveiko, 9 iš dalies. Gydant flukonazolo poveikiui atsparių ne </w:t>
      </w:r>
      <w:r w:rsidRPr="000E1775">
        <w:rPr>
          <w:rFonts w:ascii="Times New Roman" w:eastAsia="TimesNewRoman,Italic" w:hAnsi="Times New Roman"/>
          <w:i/>
          <w:iCs/>
          <w:sz w:val="22"/>
          <w:szCs w:val="22"/>
          <w:lang w:val="fr-FR"/>
        </w:rPr>
        <w:t xml:space="preserve">albicans </w:t>
      </w:r>
      <w:r w:rsidRPr="000E1775">
        <w:rPr>
          <w:rFonts w:ascii="Times New Roman" w:eastAsia="TimesNewRoman,Italic" w:hAnsi="Times New Roman"/>
          <w:sz w:val="22"/>
          <w:szCs w:val="22"/>
          <w:lang w:val="fr-FR"/>
        </w:rPr>
        <w:t xml:space="preserve">rūšių sukeltą infekcinę ligą, geras poveikis pasireiškė 3 pacientams (visiškai pasveiko) iš 3, sergančių </w:t>
      </w:r>
      <w:r w:rsidRPr="000E1775">
        <w:rPr>
          <w:rFonts w:ascii="Times New Roman" w:eastAsia="TimesNewRoman,Italic" w:hAnsi="Times New Roman"/>
          <w:i/>
          <w:iCs/>
          <w:sz w:val="22"/>
          <w:szCs w:val="22"/>
          <w:lang w:val="fr-FR"/>
        </w:rPr>
        <w:t xml:space="preserve">C. krusei </w:t>
      </w:r>
      <w:r w:rsidRPr="000E1775">
        <w:rPr>
          <w:rFonts w:ascii="Times New Roman" w:eastAsia="TimesNewRoman,Italic" w:hAnsi="Times New Roman"/>
          <w:sz w:val="22"/>
          <w:szCs w:val="22"/>
          <w:lang w:val="fr-FR"/>
        </w:rPr>
        <w:t xml:space="preserve">sukelta infekcine liga, ir 6 pacientams iš 8, sergančių </w:t>
      </w:r>
      <w:r w:rsidRPr="000E1775">
        <w:rPr>
          <w:rFonts w:ascii="Times New Roman" w:eastAsia="TimesNewRoman,Italic" w:hAnsi="Times New Roman"/>
          <w:i/>
          <w:iCs/>
          <w:sz w:val="22"/>
          <w:szCs w:val="22"/>
          <w:lang w:val="fr-FR"/>
        </w:rPr>
        <w:t xml:space="preserve">C. glabrata </w:t>
      </w:r>
      <w:r w:rsidRPr="000E1775">
        <w:rPr>
          <w:rFonts w:ascii="Times New Roman" w:eastAsia="TimesNewRoman,Italic" w:hAnsi="Times New Roman"/>
          <w:sz w:val="22"/>
          <w:szCs w:val="22"/>
          <w:lang w:val="fr-FR"/>
        </w:rPr>
        <w:t>sukelta liga (5 ligoniai pasveiko visiškai, 1 iš dalies). Klinikinio poveikio veiksmingumas buvo paremtas ribotais mikroorganizmų jautrumo duomenimis.</w:t>
      </w:r>
    </w:p>
    <w:p w:rsidR="00E5066C" w:rsidRPr="000E1775" w:rsidRDefault="00E5066C" w:rsidP="00E5066C">
      <w:pPr>
        <w:autoSpaceDE w:val="0"/>
        <w:autoSpaceDN w:val="0"/>
        <w:adjustRightInd w:val="0"/>
        <w:rPr>
          <w:rFonts w:ascii="Times New Roman" w:eastAsia="TimesNewRoman,Italic" w:hAnsi="Times New Roman"/>
          <w:i/>
          <w:iCs/>
          <w:sz w:val="22"/>
          <w:szCs w:val="22"/>
          <w:lang w:val="fr-FR"/>
        </w:rPr>
      </w:pPr>
    </w:p>
    <w:p w:rsidR="00E5066C" w:rsidRPr="000E1775" w:rsidRDefault="00E5066C" w:rsidP="00E5066C">
      <w:pPr>
        <w:autoSpaceDE w:val="0"/>
        <w:autoSpaceDN w:val="0"/>
        <w:adjustRightInd w:val="0"/>
        <w:rPr>
          <w:rFonts w:ascii="Times New Roman" w:eastAsia="TimesNewRoman,Italic" w:hAnsi="Times New Roman"/>
          <w:sz w:val="22"/>
          <w:szCs w:val="22"/>
          <w:u w:val="single"/>
          <w:lang w:val="fr-FR"/>
        </w:rPr>
      </w:pPr>
      <w:r w:rsidRPr="000E1775">
        <w:rPr>
          <w:rFonts w:ascii="Times New Roman" w:eastAsia="TimesNewRoman,Italic" w:hAnsi="Times New Roman"/>
          <w:i/>
          <w:iCs/>
          <w:sz w:val="22"/>
          <w:szCs w:val="22"/>
          <w:u w:val="single"/>
          <w:lang w:val="fr-FR"/>
        </w:rPr>
        <w:t xml:space="preserve">Scedosporium </w:t>
      </w:r>
      <w:r w:rsidRPr="000E1775">
        <w:rPr>
          <w:rFonts w:ascii="Times New Roman" w:eastAsia="TimesNewRoman,Italic" w:hAnsi="Times New Roman"/>
          <w:sz w:val="22"/>
          <w:szCs w:val="22"/>
          <w:u w:val="single"/>
          <w:lang w:val="fr-FR"/>
        </w:rPr>
        <w:t xml:space="preserve">ir </w:t>
      </w:r>
      <w:r w:rsidRPr="000E1775">
        <w:rPr>
          <w:rFonts w:ascii="Times New Roman" w:eastAsia="TimesNewRoman,Italic" w:hAnsi="Times New Roman"/>
          <w:i/>
          <w:iCs/>
          <w:sz w:val="22"/>
          <w:szCs w:val="22"/>
          <w:u w:val="single"/>
          <w:lang w:val="fr-FR"/>
        </w:rPr>
        <w:t xml:space="preserve">Fusarium </w:t>
      </w:r>
      <w:r w:rsidRPr="000E1775">
        <w:rPr>
          <w:rFonts w:ascii="Times New Roman" w:eastAsia="TimesNewRoman,Italic" w:hAnsi="Times New Roman"/>
          <w:sz w:val="22"/>
          <w:szCs w:val="22"/>
          <w:u w:val="single"/>
          <w:lang w:val="fr-FR"/>
        </w:rPr>
        <w:t>sukeltos infekcinės ligos</w:t>
      </w:r>
    </w:p>
    <w:p w:rsidR="00E5066C" w:rsidRPr="000E1775" w:rsidRDefault="00E5066C" w:rsidP="00E5066C">
      <w:pPr>
        <w:autoSpaceDE w:val="0"/>
        <w:autoSpaceDN w:val="0"/>
        <w:adjustRightInd w:val="0"/>
        <w:rPr>
          <w:rFonts w:ascii="Times New Roman" w:eastAsia="TimesNewRoman,Italic" w:hAnsi="Times New Roman"/>
          <w:sz w:val="22"/>
          <w:szCs w:val="22"/>
          <w:lang w:val="fr-FR"/>
        </w:rPr>
      </w:pPr>
      <w:r w:rsidRPr="000E1775">
        <w:rPr>
          <w:rFonts w:ascii="Times New Roman" w:eastAsia="TimesNewRoman,Italic" w:hAnsi="Times New Roman"/>
          <w:sz w:val="22"/>
          <w:szCs w:val="22"/>
          <w:lang w:val="fr-FR"/>
        </w:rPr>
        <w:t>Vorikonazolas efektyviai veikia toliau išvardytas retas grybelių rūšis.</w:t>
      </w:r>
    </w:p>
    <w:p w:rsidR="00E5066C" w:rsidRPr="000E1775" w:rsidRDefault="00E5066C" w:rsidP="00E5066C">
      <w:pPr>
        <w:autoSpaceDE w:val="0"/>
        <w:autoSpaceDN w:val="0"/>
        <w:adjustRightInd w:val="0"/>
        <w:rPr>
          <w:rFonts w:ascii="Times New Roman" w:eastAsia="TimesNewRoman,Italic" w:hAnsi="Times New Roman"/>
          <w:i/>
          <w:iCs/>
          <w:sz w:val="22"/>
          <w:szCs w:val="22"/>
          <w:lang w:val="fr-FR"/>
        </w:rPr>
      </w:pPr>
    </w:p>
    <w:p w:rsidR="00E5066C" w:rsidRPr="000E1775" w:rsidRDefault="00E5066C" w:rsidP="00E5066C">
      <w:pPr>
        <w:autoSpaceDE w:val="0"/>
        <w:autoSpaceDN w:val="0"/>
        <w:adjustRightInd w:val="0"/>
        <w:rPr>
          <w:rFonts w:ascii="Times New Roman" w:eastAsia="TimesNewRoman,Italic" w:hAnsi="Times New Roman"/>
          <w:sz w:val="22"/>
          <w:szCs w:val="22"/>
          <w:lang w:val="en-US"/>
        </w:rPr>
      </w:pPr>
      <w:r w:rsidRPr="000E1775">
        <w:rPr>
          <w:rFonts w:ascii="Times New Roman" w:eastAsia="TimesNewRoman,Italic" w:hAnsi="Times New Roman"/>
          <w:i/>
          <w:iCs/>
          <w:sz w:val="22"/>
          <w:szCs w:val="22"/>
          <w:lang w:val="fr-FR"/>
        </w:rPr>
        <w:t xml:space="preserve">Scedosporium </w:t>
      </w:r>
      <w:proofErr w:type="gramStart"/>
      <w:r w:rsidRPr="000E1775">
        <w:rPr>
          <w:rFonts w:ascii="Times New Roman" w:eastAsia="TimesNewRoman,Italic" w:hAnsi="Times New Roman"/>
          <w:sz w:val="22"/>
          <w:szCs w:val="22"/>
          <w:lang w:val="fr-FR"/>
        </w:rPr>
        <w:t>rūšys:</w:t>
      </w:r>
      <w:proofErr w:type="gramEnd"/>
      <w:r w:rsidRPr="000E1775">
        <w:rPr>
          <w:rFonts w:ascii="Times New Roman" w:eastAsia="TimesNewRoman,Italic" w:hAnsi="Times New Roman"/>
          <w:sz w:val="22"/>
          <w:szCs w:val="22"/>
          <w:lang w:val="fr-FR"/>
        </w:rPr>
        <w:t xml:space="preserve"> vorikonazolo poveikis buvo geras 16 pacientų iš 28, sergančių </w:t>
      </w:r>
      <w:r w:rsidRPr="000E1775">
        <w:rPr>
          <w:rFonts w:ascii="Times New Roman" w:eastAsia="TimesNewRoman,Italic" w:hAnsi="Times New Roman"/>
          <w:i/>
          <w:iCs/>
          <w:sz w:val="22"/>
          <w:szCs w:val="22"/>
          <w:lang w:val="fr-FR"/>
        </w:rPr>
        <w:t xml:space="preserve">S. apiospermium </w:t>
      </w:r>
      <w:r w:rsidRPr="000E1775">
        <w:rPr>
          <w:rFonts w:ascii="Times New Roman" w:eastAsia="TimesNewRoman,Italic" w:hAnsi="Times New Roman"/>
          <w:sz w:val="22"/>
          <w:szCs w:val="22"/>
          <w:lang w:val="fr-FR"/>
        </w:rPr>
        <w:t xml:space="preserve">sukelta infekcine liga (6 ligoniai išgijo visiškai, 10 iš dalies), bei 2 pacientams (abu išgijo iš dalies) iš 7, užsikrėtusių </w:t>
      </w:r>
      <w:r w:rsidRPr="000E1775">
        <w:rPr>
          <w:rFonts w:ascii="Times New Roman" w:eastAsia="TimesNewRoman,Italic" w:hAnsi="Times New Roman"/>
          <w:i/>
          <w:iCs/>
          <w:sz w:val="22"/>
          <w:szCs w:val="22"/>
          <w:lang w:val="fr-FR"/>
        </w:rPr>
        <w:t xml:space="preserve">S. prolificans </w:t>
      </w:r>
      <w:r w:rsidRPr="000E1775">
        <w:rPr>
          <w:rFonts w:ascii="Times New Roman" w:eastAsia="TimesNewRoman,Italic" w:hAnsi="Times New Roman"/>
          <w:sz w:val="22"/>
          <w:szCs w:val="22"/>
          <w:lang w:val="fr-FR"/>
        </w:rPr>
        <w:t xml:space="preserve">sukelta infekcine liga. </w:t>
      </w:r>
      <w:r w:rsidRPr="000E1775">
        <w:rPr>
          <w:rFonts w:ascii="Times New Roman" w:eastAsia="TimesNewRoman,Italic" w:hAnsi="Times New Roman"/>
          <w:sz w:val="22"/>
          <w:szCs w:val="22"/>
          <w:lang w:val="en-US"/>
        </w:rPr>
        <w:t xml:space="preserve">Be to, </w:t>
      </w:r>
      <w:proofErr w:type="gramStart"/>
      <w:r w:rsidRPr="000E1775">
        <w:rPr>
          <w:rFonts w:ascii="Times New Roman" w:eastAsia="TimesNewRoman,Italic" w:hAnsi="Times New Roman"/>
          <w:sz w:val="22"/>
          <w:szCs w:val="22"/>
          <w:lang w:val="en-US"/>
        </w:rPr>
        <w:t>gerą</w:t>
      </w:r>
      <w:proofErr w:type="gramEnd"/>
      <w:r w:rsidRPr="000E1775">
        <w:rPr>
          <w:rFonts w:ascii="Times New Roman" w:eastAsia="TimesNewRoman,Italic" w:hAnsi="Times New Roman"/>
          <w:sz w:val="22"/>
          <w:szCs w:val="22"/>
          <w:lang w:val="en-US"/>
        </w:rPr>
        <w:t xml:space="preserve"> poveikį preparatas sukėlė 1 ligoniui iš 3, kurie sirgo daugiau kaip vieno mikroorganizmo, įskaitant </w:t>
      </w:r>
      <w:r w:rsidRPr="000E1775">
        <w:rPr>
          <w:rFonts w:ascii="Times New Roman" w:eastAsia="TimesNewRoman,Italic" w:hAnsi="Times New Roman"/>
          <w:i/>
          <w:iCs/>
          <w:sz w:val="22"/>
          <w:szCs w:val="22"/>
          <w:lang w:val="en-US"/>
        </w:rPr>
        <w:t xml:space="preserve">Scedosporium </w:t>
      </w:r>
      <w:r w:rsidRPr="000E1775">
        <w:rPr>
          <w:rFonts w:ascii="Times New Roman" w:eastAsia="TimesNewRoman,Italic" w:hAnsi="Times New Roman"/>
          <w:sz w:val="22"/>
          <w:szCs w:val="22"/>
          <w:lang w:val="en-US"/>
        </w:rPr>
        <w:t>rūšių, sukelta infekcine liga.</w:t>
      </w:r>
    </w:p>
    <w:p w:rsidR="00E5066C" w:rsidRPr="000E1775" w:rsidRDefault="00E5066C" w:rsidP="00E5066C">
      <w:pPr>
        <w:autoSpaceDE w:val="0"/>
        <w:autoSpaceDN w:val="0"/>
        <w:adjustRightInd w:val="0"/>
        <w:rPr>
          <w:rFonts w:ascii="Times New Roman" w:eastAsia="TimesNewRoman,Italic" w:hAnsi="Times New Roman"/>
          <w:sz w:val="22"/>
          <w:szCs w:val="22"/>
          <w:lang w:val="en-US"/>
        </w:rPr>
      </w:pPr>
      <w:r w:rsidRPr="000E1775">
        <w:rPr>
          <w:rFonts w:ascii="Times New Roman" w:eastAsia="TimesNewRoman,Italic" w:hAnsi="Times New Roman"/>
          <w:i/>
          <w:iCs/>
          <w:sz w:val="22"/>
          <w:szCs w:val="22"/>
          <w:lang w:val="en-US"/>
        </w:rPr>
        <w:t xml:space="preserve">Fusarium </w:t>
      </w:r>
      <w:r w:rsidRPr="000E1775">
        <w:rPr>
          <w:rFonts w:ascii="Times New Roman" w:eastAsia="TimesNewRoman,Italic" w:hAnsi="Times New Roman"/>
          <w:sz w:val="22"/>
          <w:szCs w:val="22"/>
          <w:lang w:val="en-US"/>
        </w:rPr>
        <w:t xml:space="preserve">rūšys: geras gydomasis vorikonazolo poveikis pasireiškė </w:t>
      </w:r>
      <w:proofErr w:type="gramStart"/>
      <w:r w:rsidRPr="000E1775">
        <w:rPr>
          <w:rFonts w:ascii="Times New Roman" w:eastAsia="TimesNewRoman,Italic" w:hAnsi="Times New Roman"/>
          <w:sz w:val="22"/>
          <w:szCs w:val="22"/>
          <w:lang w:val="en-US"/>
        </w:rPr>
        <w:t>7</w:t>
      </w:r>
      <w:proofErr w:type="gramEnd"/>
      <w:r w:rsidRPr="000E1775">
        <w:rPr>
          <w:rFonts w:ascii="Times New Roman" w:eastAsia="TimesNewRoman,Italic" w:hAnsi="Times New Roman"/>
          <w:sz w:val="22"/>
          <w:szCs w:val="22"/>
          <w:lang w:val="en-US"/>
        </w:rPr>
        <w:t xml:space="preserve"> pacientams (3 išgijo visiškai, 4 iš dalies) iš 17. Iš šių 7 ligonių 3 sirgo akių, 1 – sinusų ir 3 - išsėtine grybelių sukelta infekcine liga. Be to, keturi ligoniai, sergantys </w:t>
      </w:r>
      <w:r w:rsidRPr="000E1775">
        <w:rPr>
          <w:rFonts w:ascii="Times New Roman" w:eastAsia="TimesNewRoman,Italic" w:hAnsi="Times New Roman"/>
          <w:i/>
          <w:iCs/>
          <w:sz w:val="22"/>
          <w:szCs w:val="22"/>
          <w:lang w:val="en-US"/>
        </w:rPr>
        <w:t xml:space="preserve">Fusarium </w:t>
      </w:r>
      <w:r w:rsidRPr="000E1775">
        <w:rPr>
          <w:rFonts w:ascii="Times New Roman" w:eastAsia="TimesNewRoman,Italic" w:hAnsi="Times New Roman"/>
          <w:sz w:val="22"/>
          <w:szCs w:val="22"/>
          <w:lang w:val="en-US"/>
        </w:rPr>
        <w:t xml:space="preserve">rūšių sukelta liga, sirgo ir kitokių mikroorganizmų sukelta infekcine liga. </w:t>
      </w:r>
      <w:proofErr w:type="gramStart"/>
      <w:r w:rsidRPr="000E1775">
        <w:rPr>
          <w:rFonts w:ascii="Times New Roman" w:eastAsia="TimesNewRoman,Italic" w:hAnsi="Times New Roman"/>
          <w:sz w:val="22"/>
          <w:szCs w:val="22"/>
          <w:lang w:val="en-US"/>
        </w:rPr>
        <w:t>2</w:t>
      </w:r>
      <w:proofErr w:type="gramEnd"/>
      <w:r w:rsidRPr="000E1775">
        <w:rPr>
          <w:rFonts w:ascii="Times New Roman" w:eastAsia="TimesNewRoman,Italic" w:hAnsi="Times New Roman"/>
          <w:sz w:val="22"/>
          <w:szCs w:val="22"/>
          <w:lang w:val="en-US"/>
        </w:rPr>
        <w:t xml:space="preserve"> iš jų gydymas buvo sėkmingas.</w:t>
      </w:r>
    </w:p>
    <w:p w:rsidR="00E5066C" w:rsidRPr="000E1775" w:rsidRDefault="00E5066C" w:rsidP="00E5066C">
      <w:pPr>
        <w:autoSpaceDE w:val="0"/>
        <w:autoSpaceDN w:val="0"/>
        <w:adjustRightInd w:val="0"/>
        <w:rPr>
          <w:rFonts w:ascii="Times New Roman" w:eastAsia="TimesNewRoman,Italic" w:hAnsi="Times New Roman"/>
          <w:sz w:val="22"/>
          <w:szCs w:val="22"/>
          <w:lang w:val="en-US"/>
        </w:rPr>
      </w:pPr>
      <w:r w:rsidRPr="000E1775">
        <w:rPr>
          <w:rFonts w:ascii="Times New Roman" w:eastAsia="TimesNewRoman,Italic" w:hAnsi="Times New Roman"/>
          <w:sz w:val="22"/>
          <w:szCs w:val="22"/>
          <w:lang w:val="en-US"/>
        </w:rPr>
        <w:t>Dauguma pacientų, vartojusių vorikonazolo aukščiau aprašytoms retoms infekcinėms ligoms gydyti,</w:t>
      </w:r>
      <w:r w:rsidRPr="000E1775" w:rsidDel="000650D9">
        <w:rPr>
          <w:rFonts w:ascii="Times New Roman" w:eastAsia="TimesNewRoman,Italic" w:hAnsi="Times New Roman"/>
          <w:sz w:val="22"/>
          <w:szCs w:val="22"/>
          <w:lang w:val="en-US"/>
        </w:rPr>
        <w:t xml:space="preserve"> </w:t>
      </w:r>
      <w:r w:rsidRPr="000E1775">
        <w:rPr>
          <w:rFonts w:ascii="Times New Roman" w:eastAsia="TimesNewRoman,Italic" w:hAnsi="Times New Roman"/>
          <w:sz w:val="22"/>
          <w:szCs w:val="22"/>
          <w:lang w:val="en-US"/>
        </w:rPr>
        <w:t>anksčiau buvo gydyti kitokiais vaistiniais preparatais nuo grybelių. Ligoniai šių preparatų netoleravo arba infekcija jų poveikiui buvo atspari.</w:t>
      </w:r>
    </w:p>
    <w:p w:rsidR="00E5066C" w:rsidRPr="000E1775" w:rsidRDefault="00E5066C" w:rsidP="00E5066C">
      <w:pPr>
        <w:autoSpaceDE w:val="0"/>
        <w:autoSpaceDN w:val="0"/>
        <w:adjustRightInd w:val="0"/>
        <w:rPr>
          <w:rFonts w:ascii="Times New Roman" w:eastAsia="TimesNewRoman,Italic" w:hAnsi="Times New Roman"/>
          <w:sz w:val="22"/>
          <w:szCs w:val="22"/>
          <w:lang w:val="en-US"/>
        </w:rPr>
      </w:pPr>
    </w:p>
    <w:p w:rsidR="00E5066C" w:rsidRPr="000E1775" w:rsidRDefault="00E5066C" w:rsidP="00E5066C">
      <w:pPr>
        <w:autoSpaceDE w:val="0"/>
        <w:autoSpaceDN w:val="0"/>
        <w:adjustRightInd w:val="0"/>
        <w:rPr>
          <w:rFonts w:ascii="Times New Roman" w:eastAsia="TimesNewRoman,Italic" w:hAnsi="Times New Roman"/>
          <w:sz w:val="22"/>
          <w:szCs w:val="22"/>
          <w:u w:val="single"/>
          <w:lang w:val="en-US"/>
        </w:rPr>
      </w:pPr>
      <w:r w:rsidRPr="000E1775">
        <w:rPr>
          <w:rFonts w:ascii="Times New Roman" w:eastAsia="TimesNewRoman,Italic" w:hAnsi="Times New Roman"/>
          <w:sz w:val="22"/>
          <w:szCs w:val="22"/>
          <w:u w:val="single"/>
          <w:lang w:val="en-US"/>
        </w:rPr>
        <w:t>Pirminė invazinių grybelinių infekcijų profilaktika – veiksmingumas pacientams, kuriems buvo atlikta hemopoezinių kamieninių ląstelių transplantacija be anksčiau nustatytos ar įtariamos invazinės grybelių sukeltos infekcinės ligos</w:t>
      </w:r>
    </w:p>
    <w:p w:rsidR="00E5066C" w:rsidRPr="000E1775" w:rsidRDefault="00E5066C" w:rsidP="00E5066C">
      <w:pPr>
        <w:autoSpaceDE w:val="0"/>
        <w:autoSpaceDN w:val="0"/>
        <w:adjustRightInd w:val="0"/>
        <w:rPr>
          <w:rFonts w:ascii="Times New Roman" w:eastAsia="TimesNewRoman,Italic" w:hAnsi="Times New Roman"/>
          <w:sz w:val="22"/>
          <w:szCs w:val="22"/>
          <w:lang w:val="en-US"/>
        </w:rPr>
      </w:pPr>
      <w:r w:rsidRPr="000E1775">
        <w:rPr>
          <w:rFonts w:ascii="Times New Roman" w:eastAsia="TimesNewRoman,Italic" w:hAnsi="Times New Roman"/>
          <w:sz w:val="22"/>
          <w:szCs w:val="22"/>
          <w:lang w:val="en-US"/>
        </w:rPr>
        <w:t xml:space="preserve">Vorikonazolas buvo lyginamas su itrakonazolu kaip pirmaeiliu profilaktikai vartojamu vaistiniu preparatu, atvirame, palyginamajame daugiacentriame tyrime suaugusiems ir paaugliams, kuriems buvo atlikta alogeninė hemopoezinių kamieninių ląstelių transplantacija be anksčiau nustatytos ar įtariamos invazinės grybelių sukeltos infekcinės ligos. Sėkmė buvo apibrėžta kaip gebėjimas tęsti tiriamojo preparato vartojimą profilaktikai 100 parų po hemopoezinių kamieninių ląstelių transplantacijos (be sustojimo &gt;14 parų) ir išgyventi be nustatytos ar įtariamos invazinės grybelių sukeltos infekcinės ligos 180 parų po hemopoezinių kamieninių ląstelių transplantacijos. Modifikuoto tikslingo gydymo (MITT) grupėje buvo 465 pacientai, kuriems buvo atlikta alogeninė </w:t>
      </w:r>
      <w:r w:rsidRPr="000E1775">
        <w:rPr>
          <w:rFonts w:ascii="Times New Roman" w:eastAsia="TimesNewRoman,Italic" w:hAnsi="Times New Roman"/>
          <w:sz w:val="22"/>
          <w:szCs w:val="22"/>
          <w:lang w:val="en-US"/>
        </w:rPr>
        <w:lastRenderedPageBreak/>
        <w:t xml:space="preserve">hemopoezinių kamieninių ląstelių transplantacija, iš jų 45 % pacientų sirgo ūmine mieloleukemija. </w:t>
      </w:r>
      <w:proofErr w:type="gramStart"/>
      <w:r w:rsidRPr="000E1775">
        <w:rPr>
          <w:rFonts w:ascii="Times New Roman" w:eastAsia="TimesNewRoman,Italic" w:hAnsi="Times New Roman"/>
          <w:sz w:val="22"/>
          <w:szCs w:val="22"/>
          <w:lang w:val="en-US"/>
        </w:rPr>
        <w:t>58 %</w:t>
      </w:r>
      <w:proofErr w:type="gramEnd"/>
      <w:r w:rsidRPr="000E1775">
        <w:rPr>
          <w:rFonts w:ascii="Times New Roman" w:eastAsia="TimesNewRoman,Italic" w:hAnsi="Times New Roman"/>
          <w:sz w:val="22"/>
          <w:szCs w:val="22"/>
          <w:lang w:val="en-US"/>
        </w:rPr>
        <w:t xml:space="preserve"> pacientų buvo taikomi mieloabliaciniai gydymo režimai. Profilaktika tiriamuoju preparatu buvo pradėta iš karto po hemopoezinių kamieninių ląstelių transplantacijos: 224 pacientai vartojo vorikonazolo ir 241 pacientas – itrakonazolo. Vidutinė profilaktinio gydymo vorikonazolu trukmė buvo 96 </w:t>
      </w:r>
      <w:proofErr w:type="gramStart"/>
      <w:r w:rsidRPr="000E1775">
        <w:rPr>
          <w:rFonts w:ascii="Times New Roman" w:eastAsia="TimesNewRoman,Italic" w:hAnsi="Times New Roman"/>
          <w:sz w:val="22"/>
          <w:szCs w:val="22"/>
          <w:lang w:val="en-US"/>
        </w:rPr>
        <w:t>paros</w:t>
      </w:r>
      <w:proofErr w:type="gramEnd"/>
      <w:r w:rsidRPr="000E1775">
        <w:rPr>
          <w:rFonts w:ascii="Times New Roman" w:eastAsia="TimesNewRoman,Italic" w:hAnsi="Times New Roman"/>
          <w:sz w:val="22"/>
          <w:szCs w:val="22"/>
          <w:lang w:val="en-US"/>
        </w:rPr>
        <w:t>, o itrakonazolu – 68 paros MITT grupėje.</w:t>
      </w:r>
    </w:p>
    <w:p w:rsidR="00E5066C" w:rsidRPr="000E1775" w:rsidRDefault="00E5066C" w:rsidP="00E5066C">
      <w:pPr>
        <w:autoSpaceDE w:val="0"/>
        <w:autoSpaceDN w:val="0"/>
        <w:adjustRightInd w:val="0"/>
        <w:rPr>
          <w:rFonts w:ascii="Times New Roman" w:eastAsia="TimesNewRoman,Italic" w:hAnsi="Times New Roman"/>
          <w:sz w:val="22"/>
          <w:szCs w:val="22"/>
          <w:lang w:val="en-US"/>
        </w:rPr>
      </w:pPr>
      <w:r w:rsidRPr="000E1775">
        <w:rPr>
          <w:rFonts w:ascii="Times New Roman" w:eastAsia="TimesNewRoman,Italic" w:hAnsi="Times New Roman"/>
          <w:sz w:val="22"/>
          <w:szCs w:val="22"/>
          <w:lang w:val="en-US"/>
        </w:rPr>
        <w:t>Sėkmės lygis ir kiti antriniai vertinimo kriterijai yra pateikti toliau lentelėje.</w:t>
      </w:r>
    </w:p>
    <w:tbl>
      <w:tblPr>
        <w:tblW w:w="9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842"/>
        <w:gridCol w:w="1842"/>
        <w:gridCol w:w="2411"/>
        <w:gridCol w:w="1245"/>
      </w:tblGrid>
      <w:tr w:rsidR="00E5066C" w:rsidRPr="000E1775" w:rsidTr="009852BC">
        <w:tc>
          <w:tcPr>
            <w:tcW w:w="2093" w:type="dxa"/>
          </w:tcPr>
          <w:p w:rsidR="00E5066C" w:rsidRPr="000E1775" w:rsidRDefault="00E5066C" w:rsidP="009852BC">
            <w:pPr>
              <w:widowControl w:val="0"/>
              <w:autoSpaceDE w:val="0"/>
              <w:autoSpaceDN w:val="0"/>
              <w:adjustRightInd w:val="0"/>
              <w:rPr>
                <w:rFonts w:ascii="Times New Roman" w:hAnsi="Times New Roman"/>
                <w:b/>
                <w:sz w:val="22"/>
                <w:szCs w:val="22"/>
                <w:lang w:eastAsia="hu-HU"/>
              </w:rPr>
            </w:pPr>
            <w:r w:rsidRPr="000E1775">
              <w:rPr>
                <w:rFonts w:ascii="Times New Roman" w:hAnsi="Times New Roman"/>
                <w:b/>
                <w:sz w:val="22"/>
                <w:szCs w:val="22"/>
                <w:lang w:eastAsia="hu-HU"/>
              </w:rPr>
              <w:t>Tyrimo vertinimo kriterijai</w:t>
            </w:r>
          </w:p>
        </w:tc>
        <w:tc>
          <w:tcPr>
            <w:tcW w:w="1842"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Vorikonazolas</w:t>
            </w:r>
          </w:p>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N=224</w:t>
            </w:r>
          </w:p>
          <w:p w:rsidR="00E5066C" w:rsidRPr="000E1775" w:rsidRDefault="00E5066C" w:rsidP="009852BC">
            <w:pPr>
              <w:widowControl w:val="0"/>
              <w:autoSpaceDE w:val="0"/>
              <w:autoSpaceDN w:val="0"/>
              <w:adjustRightInd w:val="0"/>
              <w:rPr>
                <w:rFonts w:ascii="Times New Roman" w:hAnsi="Times New Roman"/>
                <w:sz w:val="22"/>
                <w:szCs w:val="22"/>
                <w:lang w:eastAsia="hu-HU"/>
              </w:rPr>
            </w:pPr>
          </w:p>
        </w:tc>
        <w:tc>
          <w:tcPr>
            <w:tcW w:w="1842"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Itrakonazolas</w:t>
            </w:r>
          </w:p>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N=241</w:t>
            </w:r>
          </w:p>
          <w:p w:rsidR="00E5066C" w:rsidRPr="000E1775" w:rsidRDefault="00E5066C" w:rsidP="009852BC">
            <w:pPr>
              <w:widowControl w:val="0"/>
              <w:autoSpaceDE w:val="0"/>
              <w:autoSpaceDN w:val="0"/>
              <w:adjustRightInd w:val="0"/>
              <w:rPr>
                <w:rFonts w:ascii="Times New Roman" w:hAnsi="Times New Roman"/>
                <w:b/>
                <w:bCs/>
                <w:sz w:val="22"/>
                <w:szCs w:val="22"/>
                <w:lang w:eastAsia="hu-HU"/>
              </w:rPr>
            </w:pPr>
          </w:p>
          <w:p w:rsidR="00E5066C" w:rsidRPr="000E1775" w:rsidRDefault="00E5066C" w:rsidP="009852BC">
            <w:pPr>
              <w:widowControl w:val="0"/>
              <w:autoSpaceDE w:val="0"/>
              <w:autoSpaceDN w:val="0"/>
              <w:adjustRightInd w:val="0"/>
              <w:rPr>
                <w:rFonts w:ascii="Times New Roman" w:hAnsi="Times New Roman"/>
                <w:sz w:val="22"/>
                <w:szCs w:val="22"/>
                <w:lang w:eastAsia="hu-HU"/>
              </w:rPr>
            </w:pPr>
          </w:p>
        </w:tc>
        <w:tc>
          <w:tcPr>
            <w:tcW w:w="2411" w:type="dxa"/>
          </w:tcPr>
          <w:p w:rsidR="00E5066C" w:rsidRPr="000E1775" w:rsidRDefault="00E5066C" w:rsidP="009852BC">
            <w:pPr>
              <w:autoSpaceDE w:val="0"/>
              <w:autoSpaceDN w:val="0"/>
              <w:adjustRightInd w:val="0"/>
              <w:rPr>
                <w:rFonts w:ascii="Times New Roman" w:hAnsi="Times New Roman"/>
                <w:b/>
                <w:bCs/>
                <w:sz w:val="22"/>
                <w:szCs w:val="22"/>
                <w:lang w:eastAsia="hu-HU"/>
              </w:rPr>
            </w:pPr>
            <w:r w:rsidRPr="000E1775">
              <w:rPr>
                <w:rFonts w:ascii="Times New Roman" w:eastAsia="Calibri" w:hAnsi="Times New Roman"/>
                <w:b/>
                <w:bCs/>
                <w:sz w:val="22"/>
                <w:szCs w:val="22"/>
                <w:lang w:val="en-US"/>
              </w:rPr>
              <w:t xml:space="preserve">Proporcijų skirtumas ir 95 % pasikliovimo intervalas </w:t>
            </w:r>
            <w:r w:rsidRPr="000E1775">
              <w:rPr>
                <w:rFonts w:ascii="Times New Roman" w:hAnsi="Times New Roman"/>
                <w:b/>
                <w:bCs/>
                <w:sz w:val="22"/>
                <w:szCs w:val="22"/>
                <w:lang w:eastAsia="hu-HU"/>
              </w:rPr>
              <w:t>(CI)</w:t>
            </w:r>
          </w:p>
        </w:tc>
        <w:tc>
          <w:tcPr>
            <w:tcW w:w="1245"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b/>
                <w:bCs/>
                <w:sz w:val="22"/>
                <w:szCs w:val="22"/>
                <w:lang w:eastAsia="hu-HU"/>
              </w:rPr>
              <w:t>P-Vertė</w:t>
            </w:r>
          </w:p>
        </w:tc>
      </w:tr>
      <w:tr w:rsidR="00E5066C" w:rsidRPr="000E1775" w:rsidTr="009852BC">
        <w:tc>
          <w:tcPr>
            <w:tcW w:w="2093"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Sėkmė 180* parą</w:t>
            </w: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109 (48.7%)</w:t>
            </w: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80 (33.2%)</w:t>
            </w:r>
          </w:p>
        </w:tc>
        <w:tc>
          <w:tcPr>
            <w:tcW w:w="2411"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16.4% (7.7%, 25.1%</w:t>
            </w:r>
            <w:proofErr w:type="gramStart"/>
            <w:r w:rsidRPr="000E1775">
              <w:rPr>
                <w:rFonts w:ascii="Times New Roman" w:hAnsi="Times New Roman"/>
                <w:sz w:val="22"/>
                <w:szCs w:val="22"/>
                <w:lang w:eastAsia="hu-HU"/>
              </w:rPr>
              <w:t>)*</w:t>
            </w:r>
            <w:proofErr w:type="gramEnd"/>
            <w:r w:rsidRPr="000E1775">
              <w:rPr>
                <w:rFonts w:ascii="Times New Roman" w:hAnsi="Times New Roman"/>
                <w:sz w:val="22"/>
                <w:szCs w:val="22"/>
                <w:lang w:eastAsia="hu-HU"/>
              </w:rPr>
              <w:t>*</w:t>
            </w:r>
          </w:p>
        </w:tc>
        <w:tc>
          <w:tcPr>
            <w:tcW w:w="1245"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0.0002**</w:t>
            </w:r>
          </w:p>
        </w:tc>
      </w:tr>
      <w:tr w:rsidR="00E5066C" w:rsidRPr="000E1775" w:rsidTr="009852BC">
        <w:tc>
          <w:tcPr>
            <w:tcW w:w="2093"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Sėkmė 100 parą</w:t>
            </w: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121 (54.0%)</w:t>
            </w: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96 (39.8%)</w:t>
            </w:r>
          </w:p>
        </w:tc>
        <w:tc>
          <w:tcPr>
            <w:tcW w:w="2411"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15.4% (6.6%, 24.2%</w:t>
            </w:r>
            <w:proofErr w:type="gramStart"/>
            <w:r w:rsidRPr="000E1775">
              <w:rPr>
                <w:rFonts w:ascii="Times New Roman" w:hAnsi="Times New Roman"/>
                <w:sz w:val="22"/>
                <w:szCs w:val="22"/>
                <w:lang w:eastAsia="hu-HU"/>
              </w:rPr>
              <w:t>)*</w:t>
            </w:r>
            <w:proofErr w:type="gramEnd"/>
            <w:r w:rsidRPr="000E1775">
              <w:rPr>
                <w:rFonts w:ascii="Times New Roman" w:hAnsi="Times New Roman"/>
                <w:sz w:val="22"/>
                <w:szCs w:val="22"/>
                <w:lang w:eastAsia="hu-HU"/>
              </w:rPr>
              <w:t>*</w:t>
            </w:r>
          </w:p>
        </w:tc>
        <w:tc>
          <w:tcPr>
            <w:tcW w:w="1245"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0.0006**</w:t>
            </w:r>
          </w:p>
        </w:tc>
      </w:tr>
      <w:tr w:rsidR="00E5066C" w:rsidRPr="000E1775" w:rsidTr="009852BC">
        <w:tc>
          <w:tcPr>
            <w:tcW w:w="2093" w:type="dxa"/>
          </w:tcPr>
          <w:p w:rsidR="00E5066C" w:rsidRPr="000E1775" w:rsidRDefault="00E5066C" w:rsidP="009852BC">
            <w:pPr>
              <w:autoSpaceDE w:val="0"/>
              <w:autoSpaceDN w:val="0"/>
              <w:adjustRightInd w:val="0"/>
              <w:rPr>
                <w:rFonts w:ascii="Times New Roman" w:hAnsi="Times New Roman"/>
                <w:sz w:val="22"/>
                <w:szCs w:val="22"/>
                <w:lang w:eastAsia="hu-HU"/>
              </w:rPr>
            </w:pPr>
            <w:r w:rsidRPr="000E1775">
              <w:rPr>
                <w:rFonts w:ascii="Times New Roman" w:eastAsia="Calibri" w:hAnsi="Times New Roman"/>
                <w:sz w:val="22"/>
                <w:szCs w:val="22"/>
                <w:lang w:val="en-US"/>
              </w:rPr>
              <w:t xml:space="preserve">Atlikta bent 100 parų profilaktinio gydymo tiriamuoju preparatu  </w:t>
            </w:r>
          </w:p>
          <w:p w:rsidR="00E5066C" w:rsidRPr="000E1775" w:rsidRDefault="00E5066C" w:rsidP="009852BC">
            <w:pPr>
              <w:widowControl w:val="0"/>
              <w:autoSpaceDE w:val="0"/>
              <w:autoSpaceDN w:val="0"/>
              <w:adjustRightInd w:val="0"/>
              <w:rPr>
                <w:rFonts w:ascii="Times New Roman" w:hAnsi="Times New Roman"/>
                <w:sz w:val="22"/>
                <w:szCs w:val="22"/>
                <w:lang w:eastAsia="hu-HU"/>
              </w:rPr>
            </w:pP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120 (53.6%)</w:t>
            </w:r>
          </w:p>
          <w:p w:rsidR="00E5066C" w:rsidRPr="000E1775" w:rsidRDefault="00E5066C" w:rsidP="009852BC">
            <w:pPr>
              <w:widowControl w:val="0"/>
              <w:autoSpaceDE w:val="0"/>
              <w:autoSpaceDN w:val="0"/>
              <w:adjustRightInd w:val="0"/>
              <w:rPr>
                <w:rFonts w:ascii="Times New Roman" w:hAnsi="Times New Roman"/>
                <w:sz w:val="22"/>
                <w:szCs w:val="22"/>
                <w:lang w:eastAsia="hu-HU"/>
              </w:rPr>
            </w:pP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94 (39.0%)</w:t>
            </w:r>
          </w:p>
        </w:tc>
        <w:tc>
          <w:tcPr>
            <w:tcW w:w="2411"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14.6% (5.6%, 23.5%)</w:t>
            </w:r>
          </w:p>
        </w:tc>
        <w:tc>
          <w:tcPr>
            <w:tcW w:w="1245"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0.0015</w:t>
            </w:r>
          </w:p>
        </w:tc>
      </w:tr>
      <w:tr w:rsidR="00E5066C" w:rsidRPr="000E1775" w:rsidTr="009852BC">
        <w:tc>
          <w:tcPr>
            <w:tcW w:w="2093"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Išgyveno iki 180 paros</w:t>
            </w: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184 (82.1%)</w:t>
            </w: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197 (81.7%)</w:t>
            </w:r>
          </w:p>
        </w:tc>
        <w:tc>
          <w:tcPr>
            <w:tcW w:w="2411"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0.4% (-6.6%, 7.4%)</w:t>
            </w:r>
          </w:p>
        </w:tc>
        <w:tc>
          <w:tcPr>
            <w:tcW w:w="1245"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0.9107</w:t>
            </w:r>
          </w:p>
        </w:tc>
      </w:tr>
      <w:tr w:rsidR="00E5066C" w:rsidRPr="000E1775" w:rsidTr="009852BC">
        <w:tc>
          <w:tcPr>
            <w:tcW w:w="2093"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sz w:val="22"/>
                <w:szCs w:val="22"/>
                <w:lang w:val="en-US"/>
              </w:rPr>
              <w:t xml:space="preserve">Nustatyta arba įtariama invazinė grybelių sukelta infekcinė liga iki 180 paros </w:t>
            </w: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3 (1.3%)</w:t>
            </w:r>
          </w:p>
          <w:p w:rsidR="00E5066C" w:rsidRPr="000E1775" w:rsidRDefault="00E5066C" w:rsidP="009852BC">
            <w:pPr>
              <w:widowControl w:val="0"/>
              <w:autoSpaceDE w:val="0"/>
              <w:autoSpaceDN w:val="0"/>
              <w:adjustRightInd w:val="0"/>
              <w:rPr>
                <w:rFonts w:ascii="Times New Roman" w:hAnsi="Times New Roman"/>
                <w:sz w:val="22"/>
                <w:szCs w:val="22"/>
                <w:lang w:eastAsia="hu-HU"/>
              </w:rPr>
            </w:pP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5 (2.1%)</w:t>
            </w:r>
          </w:p>
        </w:tc>
        <w:tc>
          <w:tcPr>
            <w:tcW w:w="2411"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-0.7% (-3.1%, 1.6%)</w:t>
            </w:r>
          </w:p>
        </w:tc>
        <w:tc>
          <w:tcPr>
            <w:tcW w:w="1245"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0.5390</w:t>
            </w:r>
          </w:p>
        </w:tc>
      </w:tr>
      <w:tr w:rsidR="00E5066C" w:rsidRPr="000E1775" w:rsidTr="009852BC">
        <w:tc>
          <w:tcPr>
            <w:tcW w:w="2093"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sz w:val="22"/>
                <w:szCs w:val="22"/>
                <w:lang w:val="en-US"/>
              </w:rPr>
              <w:t xml:space="preserve">Nustatyta arba įtariama invazinė grybelių sukelta infekcinė liga iki 100 paros </w:t>
            </w: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2 (0.9%)</w:t>
            </w:r>
          </w:p>
          <w:p w:rsidR="00E5066C" w:rsidRPr="000E1775" w:rsidRDefault="00E5066C" w:rsidP="009852BC">
            <w:pPr>
              <w:widowControl w:val="0"/>
              <w:autoSpaceDE w:val="0"/>
              <w:autoSpaceDN w:val="0"/>
              <w:adjustRightInd w:val="0"/>
              <w:rPr>
                <w:rFonts w:ascii="Times New Roman" w:hAnsi="Times New Roman"/>
                <w:sz w:val="22"/>
                <w:szCs w:val="22"/>
                <w:lang w:eastAsia="hu-HU"/>
              </w:rPr>
            </w:pP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4 (1.7%)</w:t>
            </w:r>
          </w:p>
        </w:tc>
        <w:tc>
          <w:tcPr>
            <w:tcW w:w="2411"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-0.8% (-2.8%, 1.3%)</w:t>
            </w:r>
          </w:p>
        </w:tc>
        <w:tc>
          <w:tcPr>
            <w:tcW w:w="1245"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0.4589</w:t>
            </w:r>
          </w:p>
        </w:tc>
      </w:tr>
      <w:tr w:rsidR="00E5066C" w:rsidRPr="000E1775" w:rsidTr="009852BC">
        <w:tc>
          <w:tcPr>
            <w:tcW w:w="2093"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sz w:val="22"/>
                <w:szCs w:val="22"/>
                <w:lang w:val="en-US"/>
              </w:rPr>
              <w:t xml:space="preserve">Nustatyta arba įtariama invazinė grybelių sukelta infekcinė liga vartojant tiriamąjį preparatą </w:t>
            </w: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0</w:t>
            </w:r>
          </w:p>
          <w:p w:rsidR="00E5066C" w:rsidRPr="000E1775" w:rsidRDefault="00E5066C" w:rsidP="009852BC">
            <w:pPr>
              <w:widowControl w:val="0"/>
              <w:autoSpaceDE w:val="0"/>
              <w:autoSpaceDN w:val="0"/>
              <w:adjustRightInd w:val="0"/>
              <w:rPr>
                <w:rFonts w:ascii="Times New Roman" w:hAnsi="Times New Roman"/>
                <w:sz w:val="22"/>
                <w:szCs w:val="22"/>
                <w:lang w:eastAsia="hu-HU"/>
              </w:rPr>
            </w:pPr>
          </w:p>
        </w:tc>
        <w:tc>
          <w:tcPr>
            <w:tcW w:w="1842"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3 (1.2%)</w:t>
            </w:r>
          </w:p>
        </w:tc>
        <w:tc>
          <w:tcPr>
            <w:tcW w:w="2411"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-1.2% (-2.6%, 0.2%)</w:t>
            </w:r>
          </w:p>
        </w:tc>
        <w:tc>
          <w:tcPr>
            <w:tcW w:w="1245"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0.0813</w:t>
            </w:r>
          </w:p>
        </w:tc>
      </w:tr>
    </w:tbl>
    <w:p w:rsidR="00E5066C" w:rsidRPr="000E1775" w:rsidRDefault="00E5066C" w:rsidP="00E5066C">
      <w:pPr>
        <w:autoSpaceDE w:val="0"/>
        <w:autoSpaceDN w:val="0"/>
        <w:adjustRightInd w:val="0"/>
        <w:rPr>
          <w:rFonts w:ascii="Times New Roman" w:eastAsia="TimesNewRoman,Italic" w:hAnsi="Times New Roman"/>
          <w:b/>
          <w:bCs/>
          <w:sz w:val="22"/>
          <w:szCs w:val="22"/>
          <w:lang w:val="en-US"/>
        </w:rPr>
      </w:pPr>
    </w:p>
    <w:p w:rsidR="00E5066C" w:rsidRPr="000E1775" w:rsidRDefault="00E5066C" w:rsidP="00E5066C">
      <w:pPr>
        <w:autoSpaceDE w:val="0"/>
        <w:autoSpaceDN w:val="0"/>
        <w:adjustRightInd w:val="0"/>
        <w:rPr>
          <w:rFonts w:ascii="Times New Roman" w:eastAsia="TimesNewRoman,Italic" w:hAnsi="Times New Roman"/>
          <w:b/>
          <w:bCs/>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Pagrindinis tyrimo vertinimo kriterijus</w:t>
      </w:r>
    </w:p>
    <w:p w:rsidR="00E5066C" w:rsidRPr="000E1775" w:rsidRDefault="00E5066C" w:rsidP="00E5066C">
      <w:pPr>
        <w:autoSpaceDE w:val="0"/>
        <w:autoSpaceDN w:val="0"/>
        <w:adjustRightInd w:val="0"/>
        <w:rPr>
          <w:rFonts w:ascii="Times New Roman" w:hAnsi="Times New Roman"/>
          <w:sz w:val="22"/>
          <w:szCs w:val="22"/>
          <w:u w:val="single"/>
          <w:lang w:val="lt-LT"/>
        </w:rPr>
      </w:pPr>
      <w:r w:rsidRPr="000E1775">
        <w:rPr>
          <w:rFonts w:ascii="Times New Roman" w:eastAsia="Calibri" w:hAnsi="Times New Roman"/>
          <w:sz w:val="22"/>
          <w:szCs w:val="22"/>
          <w:lang w:val="en-US"/>
        </w:rPr>
        <w:t xml:space="preserve">** Proporcijų skirtumas, 95 % CI ir p vertės, gautos po atsitiktinės atrankos koregavimo Invazinės grybelių sukeltos infekcinės ligos protrūkio dažnis iki 180 paros ir pagrindinis tyrimo vertinimo kriterijus, kuris yra sėkmė 180 parą, pacientams, sergantiems AML ir kuriems yra taikomas </w:t>
      </w:r>
      <w:r w:rsidRPr="000E1775">
        <w:rPr>
          <w:rFonts w:ascii="Times New Roman" w:eastAsia="Calibri" w:hAnsi="Times New Roman"/>
          <w:sz w:val="22"/>
          <w:szCs w:val="22"/>
          <w:lang w:val="fr-FR"/>
        </w:rPr>
        <w:t>mieloabliacinis gydymas, atitinkamai yra pateikta toliau lentelėje.</w:t>
      </w: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b/>
          <w:noProof/>
          <w:sz w:val="22"/>
          <w:szCs w:val="22"/>
          <w:lang w:val="lt-LT"/>
        </w:rPr>
      </w:pPr>
      <w:r w:rsidRPr="000E1775">
        <w:rPr>
          <w:rFonts w:ascii="Times New Roman" w:hAnsi="Times New Roman"/>
          <w:b/>
          <w:noProof/>
          <w:sz w:val="22"/>
          <w:szCs w:val="22"/>
          <w:lang w:val="lt-LT"/>
        </w:rPr>
        <w:t>AML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1728"/>
        <w:gridCol w:w="1693"/>
        <w:gridCol w:w="2937"/>
      </w:tblGrid>
      <w:tr w:rsidR="00E5066C" w:rsidRPr="000E1775" w:rsidTr="009852BC">
        <w:tc>
          <w:tcPr>
            <w:tcW w:w="2768" w:type="dxa"/>
          </w:tcPr>
          <w:p w:rsidR="00E5066C" w:rsidRPr="000E1775" w:rsidRDefault="00E5066C" w:rsidP="009852BC">
            <w:pPr>
              <w:autoSpaceDE w:val="0"/>
              <w:autoSpaceDN w:val="0"/>
              <w:adjustRightInd w:val="0"/>
              <w:rPr>
                <w:rFonts w:ascii="Times New Roman" w:hAnsi="Times New Roman"/>
                <w:b/>
                <w:bCs/>
                <w:sz w:val="22"/>
                <w:szCs w:val="22"/>
                <w:lang w:eastAsia="hu-HU"/>
              </w:rPr>
            </w:pPr>
            <w:r w:rsidRPr="000E1775">
              <w:rPr>
                <w:rFonts w:ascii="Times New Roman" w:eastAsia="Calibri" w:hAnsi="Times New Roman"/>
                <w:b/>
                <w:bCs/>
                <w:sz w:val="22"/>
                <w:szCs w:val="22"/>
                <w:lang w:val="en-US"/>
              </w:rPr>
              <w:t>Tyrimo vertinimo kriterijai</w:t>
            </w:r>
            <w:r w:rsidRPr="000E1775">
              <w:rPr>
                <w:rFonts w:ascii="Times New Roman" w:hAnsi="Times New Roman"/>
                <w:b/>
                <w:bCs/>
                <w:sz w:val="22"/>
                <w:szCs w:val="22"/>
                <w:lang w:eastAsia="hu-HU"/>
              </w:rPr>
              <w:t xml:space="preserve"> </w:t>
            </w:r>
          </w:p>
        </w:tc>
        <w:tc>
          <w:tcPr>
            <w:tcW w:w="1735"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Vorikonazolas</w:t>
            </w:r>
          </w:p>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(N=98)</w:t>
            </w:r>
          </w:p>
          <w:p w:rsidR="00E5066C" w:rsidRPr="000E1775" w:rsidRDefault="00E5066C" w:rsidP="009852BC">
            <w:pPr>
              <w:widowControl w:val="0"/>
              <w:autoSpaceDE w:val="0"/>
              <w:autoSpaceDN w:val="0"/>
              <w:adjustRightInd w:val="0"/>
              <w:rPr>
                <w:rFonts w:ascii="Times New Roman" w:hAnsi="Times New Roman"/>
                <w:b/>
                <w:bCs/>
                <w:sz w:val="22"/>
                <w:szCs w:val="22"/>
                <w:lang w:eastAsia="hu-HU"/>
              </w:rPr>
            </w:pPr>
          </w:p>
        </w:tc>
        <w:tc>
          <w:tcPr>
            <w:tcW w:w="1701"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Itrakonazolas</w:t>
            </w:r>
          </w:p>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(N=109)</w:t>
            </w:r>
          </w:p>
          <w:p w:rsidR="00E5066C" w:rsidRPr="000E1775" w:rsidRDefault="00E5066C" w:rsidP="009852BC">
            <w:pPr>
              <w:widowControl w:val="0"/>
              <w:autoSpaceDE w:val="0"/>
              <w:autoSpaceDN w:val="0"/>
              <w:adjustRightInd w:val="0"/>
              <w:rPr>
                <w:rFonts w:ascii="Times New Roman" w:hAnsi="Times New Roman"/>
                <w:b/>
                <w:bCs/>
                <w:sz w:val="22"/>
                <w:szCs w:val="22"/>
                <w:lang w:eastAsia="hu-HU"/>
              </w:rPr>
            </w:pPr>
          </w:p>
        </w:tc>
        <w:tc>
          <w:tcPr>
            <w:tcW w:w="3007" w:type="dxa"/>
          </w:tcPr>
          <w:p w:rsidR="00E5066C" w:rsidRPr="000E1775" w:rsidRDefault="00E5066C" w:rsidP="009852BC">
            <w:pPr>
              <w:autoSpaceDE w:val="0"/>
              <w:autoSpaceDN w:val="0"/>
              <w:adjustRightInd w:val="0"/>
              <w:rPr>
                <w:rFonts w:ascii="Times New Roman" w:hAnsi="Times New Roman"/>
                <w:b/>
                <w:bCs/>
                <w:sz w:val="22"/>
                <w:szCs w:val="22"/>
                <w:lang w:val="fr-FR" w:eastAsia="hu-HU"/>
              </w:rPr>
            </w:pPr>
            <w:r w:rsidRPr="000E1775">
              <w:rPr>
                <w:rFonts w:ascii="Times New Roman" w:eastAsia="Calibri" w:hAnsi="Times New Roman"/>
                <w:b/>
                <w:bCs/>
                <w:sz w:val="22"/>
                <w:szCs w:val="22"/>
                <w:lang w:val="fr-FR"/>
              </w:rPr>
              <w:t xml:space="preserve">Proporcijų skirtumas ir 95% pasikliovimo intervalas </w:t>
            </w:r>
            <w:r w:rsidRPr="000E1775">
              <w:rPr>
                <w:rFonts w:ascii="Times New Roman" w:hAnsi="Times New Roman"/>
                <w:b/>
                <w:bCs/>
                <w:sz w:val="22"/>
                <w:szCs w:val="22"/>
                <w:lang w:val="fr-FR" w:eastAsia="hu-HU"/>
              </w:rPr>
              <w:t>(CI)</w:t>
            </w:r>
          </w:p>
          <w:p w:rsidR="00E5066C" w:rsidRPr="000E1775" w:rsidRDefault="00E5066C" w:rsidP="009852BC">
            <w:pPr>
              <w:widowControl w:val="0"/>
              <w:autoSpaceDE w:val="0"/>
              <w:autoSpaceDN w:val="0"/>
              <w:adjustRightInd w:val="0"/>
              <w:rPr>
                <w:rFonts w:ascii="Times New Roman" w:hAnsi="Times New Roman"/>
                <w:b/>
                <w:bCs/>
                <w:sz w:val="22"/>
                <w:szCs w:val="22"/>
                <w:lang w:val="fr-FR" w:eastAsia="hu-HU"/>
              </w:rPr>
            </w:pPr>
          </w:p>
        </w:tc>
      </w:tr>
      <w:tr w:rsidR="00E5066C" w:rsidRPr="000E1775" w:rsidTr="009852BC">
        <w:tc>
          <w:tcPr>
            <w:tcW w:w="2768"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sz w:val="22"/>
                <w:szCs w:val="22"/>
                <w:lang w:val="fr-FR"/>
              </w:rPr>
              <w:t xml:space="preserve">Invazinės grybelių sukeltos infekcinės ligos protrūkis iki 180 </w:t>
            </w:r>
            <w:r w:rsidRPr="000E1775">
              <w:rPr>
                <w:rFonts w:ascii="Times New Roman" w:eastAsia="Calibri" w:hAnsi="Times New Roman"/>
                <w:sz w:val="22"/>
                <w:szCs w:val="22"/>
                <w:lang w:val="en-US"/>
              </w:rPr>
              <w:t xml:space="preserve">paros </w:t>
            </w:r>
          </w:p>
        </w:tc>
        <w:tc>
          <w:tcPr>
            <w:tcW w:w="1735"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sz w:val="22"/>
                <w:szCs w:val="22"/>
                <w:lang w:eastAsia="hu-HU"/>
              </w:rPr>
              <w:t>1 (1.0%)</w:t>
            </w:r>
          </w:p>
        </w:tc>
        <w:tc>
          <w:tcPr>
            <w:tcW w:w="1701"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sz w:val="22"/>
                <w:szCs w:val="22"/>
                <w:lang w:eastAsia="hu-HU"/>
              </w:rPr>
              <w:t>2 (1.8%)</w:t>
            </w:r>
          </w:p>
        </w:tc>
        <w:tc>
          <w:tcPr>
            <w:tcW w:w="3007"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sz w:val="22"/>
                <w:szCs w:val="22"/>
                <w:lang w:eastAsia="hu-HU"/>
              </w:rPr>
              <w:t>-0.8% (-4.0%, 2.4%) **</w:t>
            </w:r>
          </w:p>
        </w:tc>
      </w:tr>
      <w:tr w:rsidR="00E5066C" w:rsidRPr="000E1775" w:rsidTr="009852BC">
        <w:tc>
          <w:tcPr>
            <w:tcW w:w="2768"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Sėkmė180* parą</w:t>
            </w:r>
          </w:p>
        </w:tc>
        <w:tc>
          <w:tcPr>
            <w:tcW w:w="1735"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sz w:val="22"/>
                <w:szCs w:val="22"/>
                <w:lang w:eastAsia="hu-HU"/>
              </w:rPr>
              <w:t>55 (56.1%)</w:t>
            </w:r>
          </w:p>
        </w:tc>
        <w:tc>
          <w:tcPr>
            <w:tcW w:w="1701"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sz w:val="22"/>
                <w:szCs w:val="22"/>
                <w:lang w:eastAsia="hu-HU"/>
              </w:rPr>
              <w:t>45 (41.3%)</w:t>
            </w:r>
          </w:p>
        </w:tc>
        <w:tc>
          <w:tcPr>
            <w:tcW w:w="3007"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sz w:val="22"/>
                <w:szCs w:val="22"/>
                <w:lang w:eastAsia="hu-HU"/>
              </w:rPr>
              <w:t>14.7% (1.7%, 27.7%</w:t>
            </w:r>
            <w:proofErr w:type="gramStart"/>
            <w:r w:rsidRPr="000E1775">
              <w:rPr>
                <w:rFonts w:ascii="Times New Roman" w:hAnsi="Times New Roman"/>
                <w:sz w:val="22"/>
                <w:szCs w:val="22"/>
                <w:lang w:eastAsia="hu-HU"/>
              </w:rPr>
              <w:t>)*</w:t>
            </w:r>
            <w:proofErr w:type="gramEnd"/>
            <w:r w:rsidRPr="000E1775">
              <w:rPr>
                <w:rFonts w:ascii="Times New Roman" w:hAnsi="Times New Roman"/>
                <w:sz w:val="22"/>
                <w:szCs w:val="22"/>
                <w:lang w:eastAsia="hu-HU"/>
              </w:rPr>
              <w:t>**</w:t>
            </w:r>
          </w:p>
        </w:tc>
      </w:tr>
    </w:tbl>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Pagrindinis tyrimo vertinimo kriterijus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Vartojant 5 % ribą parodytas ne mažesnis veiksmingumas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lastRenderedPageBreak/>
        <w:t>** Proporcijų skirtumas, 95 % CI gautos po atsitiktinės atrankos koregavimo</w:t>
      </w:r>
    </w:p>
    <w:p w:rsidR="00E5066C" w:rsidRPr="000E1775" w:rsidRDefault="00E5066C" w:rsidP="00E5066C">
      <w:pPr>
        <w:rPr>
          <w:rFonts w:ascii="Times New Roman" w:eastAsia="Calibri" w:hAnsi="Times New Roman"/>
          <w:b/>
          <w:bCs/>
          <w:sz w:val="22"/>
          <w:szCs w:val="22"/>
          <w:lang w:val="fr-FR"/>
        </w:rPr>
      </w:pPr>
    </w:p>
    <w:p w:rsidR="00E5066C" w:rsidRPr="000E1775" w:rsidRDefault="00E5066C" w:rsidP="00E5066C">
      <w:pPr>
        <w:rPr>
          <w:rFonts w:ascii="Times New Roman" w:hAnsi="Times New Roman"/>
          <w:noProof/>
          <w:sz w:val="22"/>
          <w:szCs w:val="22"/>
          <w:lang w:val="lt-LT"/>
        </w:rPr>
      </w:pPr>
      <w:r w:rsidRPr="000E1775">
        <w:rPr>
          <w:rFonts w:ascii="Times New Roman" w:eastAsia="Calibri" w:hAnsi="Times New Roman"/>
          <w:b/>
          <w:bCs/>
          <w:sz w:val="22"/>
          <w:szCs w:val="22"/>
          <w:lang w:val="en-US"/>
        </w:rPr>
        <w:t>Mieloabliacinio gydymo režimai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1728"/>
        <w:gridCol w:w="1693"/>
        <w:gridCol w:w="2940"/>
      </w:tblGrid>
      <w:tr w:rsidR="00E5066C" w:rsidRPr="000E1775" w:rsidTr="009852BC">
        <w:tc>
          <w:tcPr>
            <w:tcW w:w="2768"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Tyrimo vertinimo kriterijai</w:t>
            </w:r>
          </w:p>
        </w:tc>
        <w:tc>
          <w:tcPr>
            <w:tcW w:w="1735"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Vorikonazolas</w:t>
            </w:r>
          </w:p>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(N=125)</w:t>
            </w:r>
          </w:p>
          <w:p w:rsidR="00E5066C" w:rsidRPr="000E1775" w:rsidRDefault="00E5066C" w:rsidP="009852BC">
            <w:pPr>
              <w:widowControl w:val="0"/>
              <w:autoSpaceDE w:val="0"/>
              <w:autoSpaceDN w:val="0"/>
              <w:adjustRightInd w:val="0"/>
              <w:rPr>
                <w:rFonts w:ascii="Times New Roman" w:hAnsi="Times New Roman"/>
                <w:b/>
                <w:bCs/>
                <w:sz w:val="22"/>
                <w:szCs w:val="22"/>
                <w:lang w:eastAsia="hu-HU"/>
              </w:rPr>
            </w:pPr>
          </w:p>
        </w:tc>
        <w:tc>
          <w:tcPr>
            <w:tcW w:w="1701"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Itrakonazolas</w:t>
            </w:r>
          </w:p>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b/>
                <w:bCs/>
                <w:sz w:val="22"/>
                <w:szCs w:val="22"/>
                <w:lang w:eastAsia="hu-HU"/>
              </w:rPr>
              <w:t>(N=143)</w:t>
            </w:r>
          </w:p>
          <w:p w:rsidR="00E5066C" w:rsidRPr="000E1775" w:rsidRDefault="00E5066C" w:rsidP="009852BC">
            <w:pPr>
              <w:widowControl w:val="0"/>
              <w:autoSpaceDE w:val="0"/>
              <w:autoSpaceDN w:val="0"/>
              <w:adjustRightInd w:val="0"/>
              <w:rPr>
                <w:rFonts w:ascii="Times New Roman" w:hAnsi="Times New Roman"/>
                <w:b/>
                <w:bCs/>
                <w:sz w:val="22"/>
                <w:szCs w:val="22"/>
                <w:lang w:eastAsia="hu-HU"/>
              </w:rPr>
            </w:pPr>
          </w:p>
        </w:tc>
        <w:tc>
          <w:tcPr>
            <w:tcW w:w="3007" w:type="dxa"/>
          </w:tcPr>
          <w:p w:rsidR="00E5066C" w:rsidRPr="000E1775" w:rsidRDefault="00E5066C" w:rsidP="009852BC">
            <w:pPr>
              <w:autoSpaceDE w:val="0"/>
              <w:autoSpaceDN w:val="0"/>
              <w:adjustRightInd w:val="0"/>
              <w:rPr>
                <w:rFonts w:ascii="Times New Roman" w:hAnsi="Times New Roman"/>
                <w:b/>
                <w:bCs/>
                <w:sz w:val="22"/>
                <w:szCs w:val="22"/>
                <w:lang w:eastAsia="hu-HU"/>
              </w:rPr>
            </w:pPr>
            <w:r w:rsidRPr="000E1775">
              <w:rPr>
                <w:rFonts w:ascii="Times New Roman" w:eastAsia="Calibri" w:hAnsi="Times New Roman"/>
                <w:b/>
                <w:bCs/>
                <w:sz w:val="22"/>
                <w:szCs w:val="22"/>
                <w:lang w:val="en-US"/>
              </w:rPr>
              <w:t xml:space="preserve">Proporcijų skirtumas ir 95% pasikliovimo intervalas </w:t>
            </w:r>
            <w:r w:rsidRPr="000E1775">
              <w:rPr>
                <w:rFonts w:ascii="Times New Roman" w:hAnsi="Times New Roman"/>
                <w:b/>
                <w:bCs/>
                <w:sz w:val="22"/>
                <w:szCs w:val="22"/>
                <w:lang w:eastAsia="hu-HU"/>
              </w:rPr>
              <w:t>(CI)</w:t>
            </w:r>
          </w:p>
          <w:p w:rsidR="00E5066C" w:rsidRPr="000E1775" w:rsidRDefault="00E5066C" w:rsidP="009852BC">
            <w:pPr>
              <w:widowControl w:val="0"/>
              <w:autoSpaceDE w:val="0"/>
              <w:autoSpaceDN w:val="0"/>
              <w:adjustRightInd w:val="0"/>
              <w:rPr>
                <w:rFonts w:ascii="Times New Roman" w:hAnsi="Times New Roman"/>
                <w:b/>
                <w:bCs/>
                <w:sz w:val="22"/>
                <w:szCs w:val="22"/>
                <w:lang w:eastAsia="hu-HU"/>
              </w:rPr>
            </w:pPr>
          </w:p>
        </w:tc>
      </w:tr>
      <w:tr w:rsidR="00E5066C" w:rsidRPr="000E1775" w:rsidTr="009852BC">
        <w:tc>
          <w:tcPr>
            <w:tcW w:w="2768"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eastAsia="Calibri" w:hAnsi="Times New Roman"/>
                <w:sz w:val="22"/>
                <w:szCs w:val="22"/>
                <w:lang w:val="en-US"/>
              </w:rPr>
              <w:t xml:space="preserve">Invazinės grybelių sukeltos infekcinės ligos protrūkis iki 180 paros </w:t>
            </w:r>
          </w:p>
        </w:tc>
        <w:tc>
          <w:tcPr>
            <w:tcW w:w="1735"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sz w:val="22"/>
                <w:szCs w:val="22"/>
                <w:lang w:eastAsia="hu-HU"/>
              </w:rPr>
              <w:t>2 (1.6%)</w:t>
            </w:r>
          </w:p>
        </w:tc>
        <w:tc>
          <w:tcPr>
            <w:tcW w:w="1701"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sz w:val="22"/>
                <w:szCs w:val="22"/>
                <w:lang w:eastAsia="hu-HU"/>
              </w:rPr>
              <w:t>3 (2.1%)</w:t>
            </w:r>
          </w:p>
        </w:tc>
        <w:tc>
          <w:tcPr>
            <w:tcW w:w="3007"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sz w:val="22"/>
                <w:szCs w:val="22"/>
                <w:lang w:eastAsia="hu-HU"/>
              </w:rPr>
              <w:t>-0.5% (-3.7%, 2.7%) **</w:t>
            </w:r>
          </w:p>
        </w:tc>
      </w:tr>
      <w:tr w:rsidR="00E5066C" w:rsidRPr="000E1775" w:rsidTr="009852BC">
        <w:tc>
          <w:tcPr>
            <w:tcW w:w="2768" w:type="dxa"/>
          </w:tcPr>
          <w:p w:rsidR="00E5066C" w:rsidRPr="000E1775" w:rsidRDefault="00E5066C" w:rsidP="009852BC">
            <w:pPr>
              <w:widowControl w:val="0"/>
              <w:autoSpaceDE w:val="0"/>
              <w:autoSpaceDN w:val="0"/>
              <w:adjustRightInd w:val="0"/>
              <w:rPr>
                <w:rFonts w:ascii="Times New Roman" w:hAnsi="Times New Roman"/>
                <w:sz w:val="22"/>
                <w:szCs w:val="22"/>
                <w:lang w:eastAsia="hu-HU"/>
              </w:rPr>
            </w:pPr>
            <w:r w:rsidRPr="000E1775">
              <w:rPr>
                <w:rFonts w:ascii="Times New Roman" w:hAnsi="Times New Roman"/>
                <w:sz w:val="22"/>
                <w:szCs w:val="22"/>
                <w:lang w:eastAsia="hu-HU"/>
              </w:rPr>
              <w:t>Sėkmė 180* parą</w:t>
            </w:r>
          </w:p>
        </w:tc>
        <w:tc>
          <w:tcPr>
            <w:tcW w:w="1735"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sz w:val="22"/>
                <w:szCs w:val="22"/>
                <w:lang w:eastAsia="hu-HU"/>
              </w:rPr>
              <w:t>70 (56.0%)</w:t>
            </w:r>
          </w:p>
        </w:tc>
        <w:tc>
          <w:tcPr>
            <w:tcW w:w="1701"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sz w:val="22"/>
                <w:szCs w:val="22"/>
                <w:lang w:eastAsia="hu-HU"/>
              </w:rPr>
              <w:t>53 (37.1%)</w:t>
            </w:r>
          </w:p>
        </w:tc>
        <w:tc>
          <w:tcPr>
            <w:tcW w:w="3007" w:type="dxa"/>
          </w:tcPr>
          <w:p w:rsidR="00E5066C" w:rsidRPr="000E1775" w:rsidRDefault="00E5066C" w:rsidP="009852BC">
            <w:pPr>
              <w:widowControl w:val="0"/>
              <w:autoSpaceDE w:val="0"/>
              <w:autoSpaceDN w:val="0"/>
              <w:adjustRightInd w:val="0"/>
              <w:rPr>
                <w:rFonts w:ascii="Times New Roman" w:hAnsi="Times New Roman"/>
                <w:b/>
                <w:bCs/>
                <w:sz w:val="22"/>
                <w:szCs w:val="22"/>
                <w:lang w:eastAsia="hu-HU"/>
              </w:rPr>
            </w:pPr>
            <w:r w:rsidRPr="000E1775">
              <w:rPr>
                <w:rFonts w:ascii="Times New Roman" w:hAnsi="Times New Roman"/>
                <w:sz w:val="22"/>
                <w:szCs w:val="22"/>
                <w:lang w:eastAsia="hu-HU"/>
              </w:rPr>
              <w:t>20.1% (8.5%, 31.7%</w:t>
            </w:r>
            <w:proofErr w:type="gramStart"/>
            <w:r w:rsidRPr="000E1775">
              <w:rPr>
                <w:rFonts w:ascii="Times New Roman" w:hAnsi="Times New Roman"/>
                <w:sz w:val="22"/>
                <w:szCs w:val="22"/>
                <w:lang w:eastAsia="hu-HU"/>
              </w:rPr>
              <w:t>)*</w:t>
            </w:r>
            <w:proofErr w:type="gramEnd"/>
            <w:r w:rsidRPr="000E1775">
              <w:rPr>
                <w:rFonts w:ascii="Times New Roman" w:hAnsi="Times New Roman"/>
                <w:sz w:val="22"/>
                <w:szCs w:val="22"/>
                <w:lang w:eastAsia="hu-HU"/>
              </w:rPr>
              <w:t>**</w:t>
            </w:r>
          </w:p>
        </w:tc>
      </w:tr>
    </w:tbl>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Pagrindinis tyrimo vertinimo kriterijus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Vartojant 5 % ribą parodytas ne mažesnis veiksmingumas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w:t>
      </w:r>
      <w:r w:rsidR="00286B6A" w:rsidRPr="000E1775">
        <w:rPr>
          <w:rFonts w:ascii="Times New Roman" w:eastAsia="Calibri" w:hAnsi="Times New Roman"/>
          <w:sz w:val="22"/>
          <w:szCs w:val="22"/>
          <w:lang w:val="fr-FR"/>
        </w:rPr>
        <w:t>*</w:t>
      </w:r>
      <w:r w:rsidRPr="000E1775">
        <w:rPr>
          <w:rFonts w:ascii="Times New Roman" w:eastAsia="Calibri" w:hAnsi="Times New Roman"/>
          <w:sz w:val="22"/>
          <w:szCs w:val="22"/>
          <w:lang w:val="fr-FR"/>
        </w:rPr>
        <w:t xml:space="preserve"> Proporcijų skirtumas, 95 % CI gautos po atsitiktinės atrankos koregavimo</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u w:val="single"/>
          <w:lang w:val="fr-FR"/>
        </w:rPr>
      </w:pPr>
      <w:r w:rsidRPr="000E1775">
        <w:rPr>
          <w:rFonts w:ascii="Times New Roman" w:eastAsia="Calibri" w:hAnsi="Times New Roman"/>
          <w:sz w:val="22"/>
          <w:szCs w:val="22"/>
          <w:u w:val="single"/>
          <w:lang w:val="fr-FR"/>
        </w:rPr>
        <w:t>Antrinė invazinių grybelinių infekcijų profilaktika – veiksmingumas pacientams, kuriems buvo atlikta hemopoezinių kamieninių ląstelių transplantacija ir anksčiau nustatyta ar įtariama invazinė grybelių sukelta infekcinė liga.</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Vorikonazolas buvo tiriamas kaip antrinės profilaktikos priemonė atvirame, nepalyginamame daugiacentriame tyrime suaugusiems, kuriems buvo atlikta alogeninė hemopoezinių kamieninių ląstelių transplantacija ir anksčiau nustatyta ar įtariama invazinė grybelių sukelta infekcinė liga.</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Pagrindinis vertinimo kriterijus buvo nustatytos ir įtariamos invazinės grybelių sukeltos infekcinės ligos atsiradimo dažnis per pirmuosius metus po hemopoezinių kamieninių ląstelių transplantacijos.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Modifikuoto tikslingo gydymo (MITT) grupėje buvo 40 pacientų, kurie anksčiau sirgo invazine grybelių sukelta infekcine liga, įskaitant 31 sergantį aspergilioze, 5 kandidiaze ir 4 kitomis invazinėmis grybelių sukeltomis infekcinėmis ligomis. Vidutinė profilaktinio gydymo tiriamuoju preparatu trukmė buvo 95,5 paros MITT grupėje.</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Per pirmuosius metus po hemopoezinių kamieninių ląstelių transplantacijos buvo nustatytos arba įtariamos invazinės grybelių sukeltos infekcinės ligos 7,5 % (3 iš 40 pacientų), įskaitant vieną kandidemiją, vieną scedosporiozę (abu atkritimo atvejai) ir vieną zigomikozę. Išgyvenimo dažnis 180 parą buvo 80,0 % (32 iš 40 pacientų), po 1 metų – 70,0 % (28 iš 40 pacientų).</w:t>
      </w:r>
    </w:p>
    <w:p w:rsidR="00E5066C" w:rsidRPr="000E1775" w:rsidRDefault="00E5066C" w:rsidP="00E5066C">
      <w:pPr>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u w:val="single"/>
          <w:lang w:val="fr-FR"/>
        </w:rPr>
      </w:pPr>
      <w:r w:rsidRPr="000E1775">
        <w:rPr>
          <w:rFonts w:ascii="Times New Roman" w:eastAsia="Calibri" w:hAnsi="Times New Roman"/>
          <w:sz w:val="22"/>
          <w:szCs w:val="22"/>
          <w:u w:val="single"/>
          <w:lang w:val="fr-FR"/>
        </w:rPr>
        <w:t>Gydymo trukmė</w:t>
      </w:r>
    </w:p>
    <w:p w:rsidR="00E5066C" w:rsidRPr="000E1775" w:rsidRDefault="00E5066C" w:rsidP="00E5066C">
      <w:pPr>
        <w:autoSpaceDE w:val="0"/>
        <w:autoSpaceDN w:val="0"/>
        <w:adjustRightInd w:val="0"/>
        <w:rPr>
          <w:rFonts w:ascii="Times New Roman" w:hAnsi="Times New Roman"/>
          <w:noProof/>
          <w:sz w:val="22"/>
          <w:szCs w:val="22"/>
          <w:lang w:val="lt-LT"/>
        </w:rPr>
      </w:pPr>
      <w:r w:rsidRPr="000E1775">
        <w:rPr>
          <w:rFonts w:ascii="Times New Roman" w:eastAsia="Calibri" w:hAnsi="Times New Roman"/>
          <w:sz w:val="22"/>
          <w:szCs w:val="22"/>
          <w:lang w:val="fr-FR"/>
        </w:rPr>
        <w:t>Klinikinių tyrimų metu ilgiau kaip 12 savaičių vorikonazolo vartojo 705 pacientai, daugiau kaip 6 mėnesius – 164 ligoniai.</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u w:val="single"/>
          <w:lang w:val="fr-FR"/>
        </w:rPr>
      </w:pPr>
      <w:r w:rsidRPr="000E1775">
        <w:rPr>
          <w:rFonts w:ascii="Times New Roman" w:eastAsia="Calibri" w:hAnsi="Times New Roman"/>
          <w:sz w:val="22"/>
          <w:szCs w:val="22"/>
          <w:u w:val="single"/>
          <w:lang w:val="fr-FR"/>
        </w:rPr>
        <w:t>Vaikų populiacija</w:t>
      </w:r>
    </w:p>
    <w:p w:rsidR="00E5066C" w:rsidRPr="000E1775" w:rsidRDefault="00006F9A" w:rsidP="00006F9A">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Penkiasdešimt trys vaikai nuo 2 iki &lt; 18 metų buvo gydomi vorikonazolu dviejuose perspektyviniuose</w:t>
      </w:r>
      <w:r w:rsidR="00880FD9"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atviruose</w:t>
      </w:r>
      <w:r w:rsidR="00880FD9" w:rsidRPr="000E1775">
        <w:rPr>
          <w:rFonts w:ascii="Times New Roman" w:eastAsia="Calibri" w:hAnsi="Times New Roman"/>
          <w:sz w:val="22"/>
          <w:szCs w:val="22"/>
          <w:lang w:val="fr-FR"/>
        </w:rPr>
        <w:t>,</w:t>
      </w:r>
      <w:r w:rsidRPr="000E1775">
        <w:rPr>
          <w:rFonts w:ascii="Times New Roman" w:eastAsia="Calibri" w:hAnsi="Times New Roman"/>
          <w:sz w:val="22"/>
          <w:szCs w:val="22"/>
          <w:lang w:val="fr-FR"/>
        </w:rPr>
        <w:t xml:space="preserve"> nelyginamuosiuose</w:t>
      </w:r>
      <w:r w:rsidR="00880FD9" w:rsidRPr="000E1775">
        <w:rPr>
          <w:rFonts w:ascii="Times New Roman" w:eastAsia="Calibri" w:hAnsi="Times New Roman"/>
          <w:sz w:val="22"/>
          <w:szCs w:val="22"/>
          <w:lang w:val="fr-FR"/>
        </w:rPr>
        <w:t>,</w:t>
      </w:r>
      <w:r w:rsidRPr="000E1775">
        <w:rPr>
          <w:rFonts w:ascii="Times New Roman" w:eastAsia="Calibri" w:hAnsi="Times New Roman"/>
          <w:sz w:val="22"/>
          <w:szCs w:val="22"/>
          <w:lang w:val="fr-FR"/>
        </w:rPr>
        <w:t xml:space="preserve"> daugiacentriuose klinikiniuose tyrimuose. Viename tyrime dalyvavo 31</w:t>
      </w:r>
      <w:r w:rsidR="0038157E"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pacientas, sergantis galima, patvirtinta ar tikėtina invazine aspergiloze (IA), iš kurių 14 pacientų sirgo</w:t>
      </w:r>
      <w:r w:rsidR="0038157E"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patvirtinta arba tikėtina IA ir jiems buvo atliekamos MITT veiksmingumo analizės. Kitame tyrime</w:t>
      </w:r>
      <w:r w:rsidR="0038157E"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dalyvavo 22 pacientai, sergantys invazine kandidoze, įskaitant kandidemiją (ICC) ir ezofaginę</w:t>
      </w:r>
      <w:r w:rsidR="0038157E"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 xml:space="preserve">kandidozę (EC), kuriems buvo reikalingas pirminis ar gelbstintis </w:t>
      </w:r>
      <w:proofErr w:type="gramStart"/>
      <w:r w:rsidRPr="000E1775">
        <w:rPr>
          <w:rFonts w:ascii="Times New Roman" w:eastAsia="Calibri" w:hAnsi="Times New Roman"/>
          <w:sz w:val="22"/>
          <w:szCs w:val="22"/>
          <w:lang w:val="fr-FR"/>
        </w:rPr>
        <w:t>gydymas;</w:t>
      </w:r>
      <w:proofErr w:type="gramEnd"/>
      <w:r w:rsidRPr="000E1775">
        <w:rPr>
          <w:rFonts w:ascii="Times New Roman" w:eastAsia="Calibri" w:hAnsi="Times New Roman"/>
          <w:sz w:val="22"/>
          <w:szCs w:val="22"/>
          <w:lang w:val="fr-FR"/>
        </w:rPr>
        <w:t xml:space="preserve"> 17 iš jų buvo atliekamos</w:t>
      </w:r>
      <w:r w:rsidR="0038157E"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MITT veiksmingumo analizės. Per 6 savaites vaistinis preparatas padarė poveikį 64,3 % (9 iš 14)</w:t>
      </w:r>
      <w:r w:rsidR="0038157E" w:rsidRPr="000E1775" w:rsidDel="0038157E">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pacientų, sergančių IA (40 % (2 iš 5) pacientų nuo 2 iki &lt; 12 metų ir 77,8 % (7 iš 9) pacientų nuo 12</w:t>
      </w:r>
      <w:r w:rsidR="0038157E"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iki &lt; 18 metų). Vaistinis preparatas GP padarė poveikį 85,7 % (6 iš 7) pacientų, sergančių ICC, ir</w:t>
      </w:r>
      <w:r w:rsidR="0038157E"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70 % (7 iš 10) pacientų, sergančių EC. Bendras atsako dažnis (ICC ir EC kartu sudėjus) – 88,9 % (8 iš</w:t>
      </w:r>
      <w:r w:rsidR="0038157E"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 xml:space="preserve">9) pacientų nuo 2 iki &lt; 12 metų grupėje ir 62,5 % (5 iš 8) pacientų nuo 12 iki &lt; 18 metų grupėje. </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u w:val="single"/>
          <w:lang w:val="fr-FR"/>
        </w:rPr>
      </w:pPr>
      <w:r w:rsidRPr="000E1775">
        <w:rPr>
          <w:rFonts w:ascii="Times New Roman" w:eastAsia="Calibri" w:hAnsi="Times New Roman"/>
          <w:sz w:val="22"/>
          <w:szCs w:val="22"/>
          <w:u w:val="single"/>
          <w:lang w:val="fr-FR"/>
        </w:rPr>
        <w:t>Klinikinės studijos vertinant QTc intervalą</w:t>
      </w:r>
    </w:p>
    <w:p w:rsidR="00E5066C" w:rsidRPr="000E1775" w:rsidRDefault="00E5066C" w:rsidP="00E5066C">
      <w:pPr>
        <w:autoSpaceDE w:val="0"/>
        <w:autoSpaceDN w:val="0"/>
        <w:adjustRightInd w:val="0"/>
        <w:rPr>
          <w:rFonts w:ascii="Times New Roman" w:hAnsi="Times New Roman"/>
          <w:noProof/>
          <w:sz w:val="22"/>
          <w:szCs w:val="22"/>
          <w:lang w:val="lt-LT"/>
        </w:rPr>
      </w:pPr>
      <w:r w:rsidRPr="000E1775">
        <w:rPr>
          <w:rFonts w:ascii="Times New Roman" w:eastAsia="Calibri" w:hAnsi="Times New Roman"/>
          <w:sz w:val="22"/>
          <w:szCs w:val="22"/>
          <w:lang w:val="fr-FR"/>
        </w:rPr>
        <w:lastRenderedPageBreak/>
        <w:t>Buvo atlikta placebo (neveiklaus preparato) panaudojimo, atsitiktinio tiriamųjų parinkimo ir vienos vaisto dozės skyrimo studija, siekiant išsiaiškinti, kaip kinta QTc intervalas tarp sveikų savanorių, gavusių ketokonazolą ir tris skirtingas geriamas vorikonazolo dozes. Įvertinus placebo įtaką rezultatui,</w:t>
      </w:r>
      <w:r w:rsidRPr="000E1775" w:rsidDel="009E1824">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didžiausias QTc pokytis nuo bazinės linijos buvo 5,1, 4,8 ir 8,2 ms, vartojant atitinkamai 800, 1200 ir 1600 mg vorikonazolo dozes, ir 7,0 ms po 800 mg ketokonazolo dozės. Nei vienoje iš tirtų grupių nebuvo QTc reikšmės nukrypimo nuo bazinės linijos daugiau kaip 60 ms. Tyrimo metu nebuvo nustatyta QTc intervalo didesnio už kliniškai svarbią 500 ms reikšmę.</w:t>
      </w:r>
    </w:p>
    <w:p w:rsidR="00E5066C" w:rsidRPr="000E1775" w:rsidRDefault="00E5066C" w:rsidP="000E1775">
      <w:pPr>
        <w:pStyle w:val="Antrat4"/>
        <w:ind w:left="567" w:hanging="567"/>
        <w:rPr>
          <w:sz w:val="22"/>
          <w:szCs w:val="22"/>
          <w:lang w:val="lt-LT"/>
        </w:rPr>
      </w:pPr>
      <w:r w:rsidRPr="000E1775">
        <w:rPr>
          <w:sz w:val="22"/>
          <w:szCs w:val="22"/>
          <w:lang w:val="lt-LT"/>
        </w:rPr>
        <w:t>5.2</w:t>
      </w:r>
      <w:r w:rsidRPr="000E1775">
        <w:rPr>
          <w:sz w:val="22"/>
          <w:szCs w:val="22"/>
          <w:lang w:val="lt-LT"/>
        </w:rPr>
        <w:tab/>
        <w:t>Farmakokinetinės savybės</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u w:val="single"/>
          <w:lang w:val="lt-LT"/>
        </w:rPr>
      </w:pPr>
      <w:r w:rsidRPr="000E1775">
        <w:rPr>
          <w:rFonts w:ascii="Times New Roman" w:eastAsia="Calibri" w:hAnsi="Times New Roman"/>
          <w:sz w:val="22"/>
          <w:szCs w:val="22"/>
          <w:u w:val="single"/>
          <w:lang w:val="lt-LT"/>
        </w:rPr>
        <w:t>Bendras farmakokinetikos apibūdinimas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Buvo tirta vorikonazolo farmakokinetika sveikų savanorių, specialių žmonių grupių ir ligonių organizme. Pacientai, kuriems buvo aspergiliozės rizika (daugelis jų sirgo piktybiniais limfinių audinių arba kraujodaros organų piktybiniais navikais), 14 dienų du kartus per parą gėrė po 200 mg arba 300 mg vorikonazolo. Nustatyta, kad preparato rezorbcija vyksta greitai ir vienodai, vaistinio preparato kaupimasis ir nelinijinė farmakokinetika yra tokia pati kaip ir sveikų žmonių organizme.</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Dėl vorikonazolo metabolizmo įsotinimo jo farmakokinetika būna nelinijinė. Didinant dozę, daugiau nei proporcingai didėja vaistinio preparato ekspozicija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lt-LT"/>
        </w:rPr>
        <w:t>). Nustatyta, kad vietoj 200 mg geriamojo vorikonazolo dozės, vartojamos du kartus per parą, pradėjus vartoti po 300 mg du kartus per parą, 2,5 karto padidėja jo ekspozicija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lt-LT"/>
        </w:rPr>
        <w:t xml:space="preserve">). Vartojant palaikomąją 200 mg dozę per burną (arba 100 mg pacientams, kurių kūno masė yra mažesnė kaip 40 kg), buvo pasiekta panaši vorikonazolo ekspozicija, kaip vartojant 3 mg/kg dozę į veną. Vartojant palaikomąją 300 mg dozę per burną (arba 150 mg pacientams, kurių kūno masė yra mažesnė kaip 40 kg), buvo pasiekta panaši vorikonazolo ekspozicija, kaip vartojant 4 mg/kg dozę į veną. Vartojant pagal rekomenduojamą planą į veną arba įsotinamąją dozę per burną, vaistinio preparato koncentracijos plazmoje pusiausvyra nusistovi per pirmąsias 24 valandas. Jei įsotinamoji dozė nevartojama, vartojant kartotines vorikonazolo dozes du kartus per parą, daugelio tiriamųjų organizme vaistinis preparatas kaupiasi ir koncentracijos plazmoje pusiausvyra nusistovi 6-ą parą. </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u w:val="single"/>
          <w:lang w:val="lt-LT"/>
        </w:rPr>
      </w:pPr>
      <w:r w:rsidRPr="000E1775">
        <w:rPr>
          <w:rFonts w:ascii="Times New Roman" w:eastAsia="Calibri" w:hAnsi="Times New Roman"/>
          <w:sz w:val="22"/>
          <w:szCs w:val="22"/>
          <w:u w:val="single"/>
          <w:lang w:val="lt-LT"/>
        </w:rPr>
        <w:t>Absorbcija</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lt-LT"/>
        </w:rPr>
        <w:t xml:space="preserve">Išgertas vorikonazolas greitai ir visiškai absorbuojamas. Jo didžiausia koncentracija plazmoje (Cmax) pasiekiama praėjus 1-2 val. po dozės pavartojimo. Išgerto vorikonazolo absoliutus biologinis prieinamumas yra maždaug 96%. </w:t>
      </w:r>
      <w:r w:rsidRPr="000E1775">
        <w:rPr>
          <w:rFonts w:ascii="Times New Roman" w:eastAsia="Calibri" w:hAnsi="Times New Roman"/>
          <w:sz w:val="22"/>
          <w:szCs w:val="22"/>
          <w:lang w:val="fr-FR"/>
        </w:rPr>
        <w:t>Vartojant kartotines vorikonazolo dozes su labai riebiu maistu, Cmax ir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fr-FR"/>
        </w:rPr>
        <w:t xml:space="preserve"> atitinkamai sumažėja 34 % ir 24 %. Skrandžio pH pokytis vorikonazolo absorbcijai įtakos nedaro.</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u w:val="single"/>
          <w:lang w:val="fr-FR"/>
        </w:rPr>
      </w:pPr>
      <w:r w:rsidRPr="000E1775">
        <w:rPr>
          <w:rFonts w:ascii="Times New Roman" w:eastAsia="Calibri" w:hAnsi="Times New Roman"/>
          <w:sz w:val="22"/>
          <w:szCs w:val="22"/>
          <w:u w:val="single"/>
          <w:lang w:val="fr-FR"/>
        </w:rPr>
        <w:t>Pasiskirstymas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Vorikonazolas plačiai pasiskirsto organizmo audiniuose, nusistovėjusios koncentracijos pasiskirstymo tūris yra maždaug 4,6 l/kg kūno masės. Su plazmos baltymais jungiasi maždaug 58 % preparato. Iš aštuonių žmonių, dalyvavusių labdaros programoje, paimtuose cerebrospinalinio skysčio pavyzdžiuose vorikonazolo koncentracija buvo tokia, kurią nustatyti įmanoma.</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u w:val="single"/>
          <w:lang w:val="fr-FR"/>
        </w:rPr>
      </w:pPr>
      <w:r w:rsidRPr="000E1775">
        <w:rPr>
          <w:rFonts w:ascii="Times New Roman" w:eastAsia="Calibri" w:hAnsi="Times New Roman"/>
          <w:sz w:val="22"/>
          <w:szCs w:val="22"/>
          <w:u w:val="single"/>
          <w:lang w:val="fr-FR"/>
        </w:rPr>
        <w:t>Biotransformacija</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Tyrimai </w:t>
      </w:r>
      <w:r w:rsidRPr="000E1775">
        <w:rPr>
          <w:rFonts w:ascii="Times New Roman" w:eastAsia="TimesNewRoman,Italic" w:hAnsi="Times New Roman"/>
          <w:i/>
          <w:iCs/>
          <w:sz w:val="22"/>
          <w:szCs w:val="22"/>
          <w:lang w:val="fr-FR"/>
        </w:rPr>
        <w:t xml:space="preserve">in vitro </w:t>
      </w:r>
      <w:r w:rsidRPr="000E1775">
        <w:rPr>
          <w:rFonts w:ascii="Times New Roman" w:eastAsia="Calibri" w:hAnsi="Times New Roman"/>
          <w:sz w:val="22"/>
          <w:szCs w:val="22"/>
          <w:lang w:val="fr-FR"/>
        </w:rPr>
        <w:t>parodė, kad vorikonazolo metabolizmą veikia kepenų citochromo P450 CYP2C19,</w:t>
      </w:r>
      <w:r w:rsidRPr="000E1775" w:rsidDel="00590746">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CYP22C9 ir CYP3A4 izofermentai.</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lastRenderedPageBreak/>
        <w:t>Vorikonazolo farmakokinetikos kintamumas skirtingų pacientų organizme yra labai didelis.</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Tyrimais </w:t>
      </w:r>
      <w:r w:rsidRPr="000E1775">
        <w:rPr>
          <w:rFonts w:ascii="Times New Roman" w:eastAsia="TimesNewRoman,Italic" w:hAnsi="Times New Roman"/>
          <w:i/>
          <w:iCs/>
          <w:sz w:val="22"/>
          <w:szCs w:val="22"/>
          <w:lang w:val="fr-FR"/>
        </w:rPr>
        <w:t xml:space="preserve">in vivo </w:t>
      </w:r>
      <w:r w:rsidRPr="000E1775">
        <w:rPr>
          <w:rFonts w:ascii="Times New Roman" w:eastAsia="Calibri" w:hAnsi="Times New Roman"/>
          <w:sz w:val="22"/>
          <w:szCs w:val="22"/>
          <w:lang w:val="fr-FR"/>
        </w:rPr>
        <w:t>nustatyta, kad CYP2C19 yra labai svarbus vorikonazolo metabolizmui. Šis fermentas rodo genetinį polimorfizmą. Pavyzdžiui, 15-20 % azijiečių organizme metabolizmas yra silpnas ir tik 3-5 % baltosios ir juodosios rasės žmonių organizme metabolizmas yra silpnas. Tyrimai, atlikti su sveikais baltosios ir japonų rasės tiriamaisiais, parodė, kad jei ligonio organizme metabolizmas yra silpnas, vorikonazolo ekspozicija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fr-FR"/>
        </w:rPr>
        <w:t>) būna vidutiniškai 4 kartus didesnė nei homozigotinių pacientų, kurių organizme metabolizmas yra intensyvus. Heterozigotinių žmonių, kurių organizme vorikonazolo metabolizmas vyksta intensyviai, vaistinio preparato ekspozicija yra maždaug 2 kartus didesnė nei analoginių homozigotinių pacientų.</w:t>
      </w: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fr-FR"/>
        </w:rPr>
        <w:t>Svarbiausias vorikonazolo metabolitas yra N-oksidas, kuris sudaro 72 % visų plazmoje esančių radioaktyvių metabolitų. Šis metabolitas sukelia labai nedidelį priešgrybelinį poveikį ir bendram vorikonazolo poveikiui įtakos nedaro.</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u w:val="single"/>
          <w:lang w:val="fr-FR"/>
        </w:rPr>
      </w:pPr>
      <w:r w:rsidRPr="000E1775">
        <w:rPr>
          <w:rFonts w:ascii="Times New Roman" w:eastAsia="Calibri" w:hAnsi="Times New Roman"/>
          <w:sz w:val="22"/>
          <w:szCs w:val="22"/>
          <w:u w:val="single"/>
          <w:lang w:val="fr-FR"/>
        </w:rPr>
        <w:t>Eliminacija</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Vorikonazolas eliminuojamas per kepenis metabolizmo būdu, mažiau kaip 2 % dozės šalinama nepakitusio vaistinio preparato pavidalu su šlapimu.</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Į veną injekavus kelias radioaktyvaus vorikonazolo dozes, maždaug 80 % radioaktyvumo nustatoma šlapime, 83 % - jei vaistinio preparato kelis kartus buvo išgerta. Daugiausia (&gt; 94 %) radioaktyvios medžiagos išsiskiria per pirmąsias 96 valandas ir vartojant vaistinį preparatą per burną, ir į veną.</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Galutinis vorikonazolo pusinės eliminacijos periodas priklauso nuo dozės ir, išgėrus 200 mg dozę,</w:t>
      </w:r>
      <w:r w:rsidRPr="000E1775" w:rsidDel="00590746">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trunka maždaug 6 val. Kadangi vaistinio preparato farmakokinetika yra nelinijinė, galutinio pusinės eliminacijos periodo rodmenys netinka vorikonazolo kaupimuisi organizme arba išsiskyrimui iš jo prognozuoti.</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u w:val="single"/>
          <w:lang w:val="en-US"/>
        </w:rPr>
      </w:pPr>
      <w:r w:rsidRPr="000E1775">
        <w:rPr>
          <w:rFonts w:ascii="Times New Roman" w:eastAsia="Calibri" w:hAnsi="Times New Roman"/>
          <w:sz w:val="22"/>
          <w:szCs w:val="22"/>
          <w:u w:val="single"/>
          <w:lang w:val="en-US"/>
        </w:rPr>
        <w:t>Farmakokinetika specialių grupių ligonių organizme</w:t>
      </w:r>
    </w:p>
    <w:p w:rsidR="00E5066C" w:rsidRPr="000E1775" w:rsidRDefault="00E5066C" w:rsidP="00E5066C">
      <w:pPr>
        <w:autoSpaceDE w:val="0"/>
        <w:autoSpaceDN w:val="0"/>
        <w:adjustRightInd w:val="0"/>
        <w:rPr>
          <w:rFonts w:ascii="Times New Roman" w:eastAsia="Calibri" w:hAnsi="Times New Roman"/>
          <w:sz w:val="22"/>
          <w:szCs w:val="22"/>
          <w:u w:val="single"/>
          <w:lang w:val="en-US"/>
        </w:rPr>
      </w:pPr>
    </w:p>
    <w:p w:rsidR="00E5066C" w:rsidRPr="000E1775" w:rsidRDefault="00E5066C" w:rsidP="00E5066C">
      <w:pPr>
        <w:numPr>
          <w:ilvl w:val="0"/>
          <w:numId w:val="13"/>
        </w:numPr>
        <w:autoSpaceDE w:val="0"/>
        <w:autoSpaceDN w:val="0"/>
        <w:adjustRightInd w:val="0"/>
        <w:rPr>
          <w:rFonts w:ascii="Times New Roman" w:eastAsia="Calibri" w:hAnsi="Times New Roman"/>
          <w:sz w:val="22"/>
          <w:szCs w:val="22"/>
          <w:u w:val="single"/>
          <w:lang w:val="en-US"/>
        </w:rPr>
      </w:pPr>
      <w:r w:rsidRPr="000E1775">
        <w:rPr>
          <w:rFonts w:ascii="Times New Roman" w:eastAsia="Calibri" w:hAnsi="Times New Roman"/>
          <w:sz w:val="22"/>
          <w:szCs w:val="22"/>
          <w:u w:val="single"/>
          <w:lang w:val="en-US"/>
        </w:rPr>
        <w:t>Lytis</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Kartotinių dozių tyrimo duomenimis, Cmax ir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jaunų sveikų moterų organizme buvo atitinkamai 83 % ir 113 % didesni, palyginti su sveikų jaunų (18-45 metų) vyrų. To paties tyrimo duomenimis,</w:t>
      </w:r>
      <w:r w:rsidRPr="000E1775" w:rsidDel="00590746">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didelio sveikų senyvų (≥ 65 metų) vyrų ir moterų Cmax ir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rodmenų skirtumo nepastebėta.</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Klinikinių tyrimų metu dozės nebuvo koreguojamos </w:t>
      </w:r>
      <w:proofErr w:type="gramStart"/>
      <w:r w:rsidRPr="000E1775">
        <w:rPr>
          <w:rFonts w:ascii="Times New Roman" w:eastAsia="Calibri" w:hAnsi="Times New Roman"/>
          <w:sz w:val="22"/>
          <w:szCs w:val="22"/>
          <w:lang w:val="en-US"/>
        </w:rPr>
        <w:t>dėl</w:t>
      </w:r>
      <w:proofErr w:type="gramEnd"/>
      <w:r w:rsidRPr="000E1775">
        <w:rPr>
          <w:rFonts w:ascii="Times New Roman" w:eastAsia="Calibri" w:hAnsi="Times New Roman"/>
          <w:sz w:val="22"/>
          <w:szCs w:val="22"/>
          <w:lang w:val="en-US"/>
        </w:rPr>
        <w:t xml:space="preserve"> lyčių skirtumo. Vaistinio preparato saugumo duomenys ir koncentracijos vyrų ir moterų plazmoje buvo panašūs. Todėl atsižvelgiant į lytį, dozės koreguoti nereikia.</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u w:val="single"/>
          <w:lang w:val="en-US"/>
        </w:rPr>
      </w:pPr>
      <w:r w:rsidRPr="000E1775">
        <w:rPr>
          <w:rFonts w:ascii="Times New Roman" w:eastAsia="Calibri" w:hAnsi="Times New Roman"/>
          <w:sz w:val="22"/>
          <w:szCs w:val="22"/>
          <w:u w:val="single"/>
          <w:lang w:val="en-US"/>
        </w:rPr>
        <w:t>Senyvi žmonės</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Nustatyta, kad sveikiems senyviems (≥ 65 metų) vyrams geriant kartotines vorikonazolo dozes, Cmax ir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rodmenys būna atitinkamai 61 % ir 86 % didesni nei sveikų jaunų (18-45 metų) vyrų. Didelio sveikų senyvų (≥ 65 metų) moterų ir sveikų jaunų (18-45 metų) moterų Cmax ir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rodmenų skirtumo nėra.</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Klinikinių tyrimų metu dozė atsižvelgiant į amžių nebuvo koreguojama. Buvo tirtas ryšys tarp vaistinio preparato koncentracijos plazmoje ir ligonio amžiaus. Vorikonazolo saugumo jauniems ir senyviems pacientams duomenys buvo panašūs, todėl senyviems žmonėms dozės koreguoti nebūtina (žr. 4.2 skyrių).</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rPr>
          <w:rFonts w:ascii="Times New Roman" w:eastAsia="Calibri" w:hAnsi="Times New Roman"/>
          <w:sz w:val="22"/>
          <w:szCs w:val="22"/>
          <w:u w:val="single"/>
          <w:lang w:val="en-US"/>
        </w:rPr>
      </w:pPr>
      <w:r w:rsidRPr="000E1775">
        <w:rPr>
          <w:rFonts w:ascii="Times New Roman" w:eastAsia="Calibri" w:hAnsi="Times New Roman"/>
          <w:sz w:val="22"/>
          <w:szCs w:val="22"/>
          <w:u w:val="single"/>
          <w:lang w:val="en-US"/>
        </w:rPr>
        <w:t>Vaikų populiacija</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Rekomenduojamos dozės vaikams ir paaugliams buvo nustatytos, remiantis populiacijos farmakokinetikos tyrimų, kuriuose dalyvavo 112 nuo 2 iki &lt; 12 metų vaikų, </w:t>
      </w:r>
      <w:r w:rsidRPr="000E1775">
        <w:rPr>
          <w:rFonts w:ascii="Times New Roman" w:eastAsia="Calibri" w:hAnsi="Times New Roman"/>
          <w:sz w:val="22"/>
          <w:szCs w:val="22"/>
          <w:lang w:val="en-US"/>
        </w:rPr>
        <w:lastRenderedPageBreak/>
        <w:t>kurių imunitetas sutrikęs,</w:t>
      </w:r>
      <w:r w:rsidRPr="000E1775" w:rsidDel="00590746">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 xml:space="preserve">ir 26 nuo 12 iki &lt; 17 metų paaugliai, kurių imunitetas sutrikęs, duomenimis. Trijų farmakokinetikos vaikų organizme tyrimų metu buvo tirtos kartotinės 3, 4, 6, 7 ir 8 mg/kg dozės du kartus per parą į veną ir kartotinės 4 mg/kg, 6 mg/kg ir 200 mg dozės du kartus per parą per burną (vartoti milteliai geriamajai suspensijai). Vieno farmakokinetikos paauglių organizme tyrimo metu buvo įvertintas 6 mg/kg įsotinamosios dozės vartojimas į veną pirmąją parą toliau vartojant 4 mg/kg dozę į veną du kartus per parą ir 300 mg geriamųjų tablečių dozę du kartus per parą. Vaikų populiacijos pacientų duomenų kintamumas buvo didesnis, palyginti su suaugusiųjų. </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Vaikų ir suaugusiųjų populiacijos pacientų farmakokinetikos duomenų palyginimas rodo, kad numatytoji bendroji ekspozicija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vaikų organizme po 9 mg/kg įsotinamosios dozės į veną pavartojimo buvo panaši į suaugusiųjų po 6 mg/kg įsotinamosios dozės į veną pavartojimo.</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Numatytoji bendroji ekspozicija vaikų organizme vartojant 4 ir 8 mg/kg palaikomąsias dozes į veną du kartus per parą buvo panaši į </w:t>
      </w:r>
      <w:proofErr w:type="gramStart"/>
      <w:r w:rsidRPr="000E1775">
        <w:rPr>
          <w:rFonts w:ascii="Times New Roman" w:eastAsia="Calibri" w:hAnsi="Times New Roman"/>
          <w:sz w:val="22"/>
          <w:szCs w:val="22"/>
          <w:lang w:val="en-US"/>
        </w:rPr>
        <w:t>tas</w:t>
      </w:r>
      <w:proofErr w:type="gramEnd"/>
      <w:r w:rsidRPr="000E1775">
        <w:rPr>
          <w:rFonts w:ascii="Times New Roman" w:eastAsia="Calibri" w:hAnsi="Times New Roman"/>
          <w:sz w:val="22"/>
          <w:szCs w:val="22"/>
          <w:lang w:val="en-US"/>
        </w:rPr>
        <w:t xml:space="preserve">, kurios būna suaugusiųjų, kuriems vartojamos atitinkamai 3 ir 4 mg/kg palaikomosios dozės į veną du kartus per parą, organizme. Numatytoji bendroji ekspozicija vaikų organizme vartojant 9 mg/kg palaikomąsias dozes per burną du kartus per parą (didžiausia 350 mg dozė) buvo panaši į </w:t>
      </w:r>
      <w:proofErr w:type="gramStart"/>
      <w:r w:rsidRPr="000E1775">
        <w:rPr>
          <w:rFonts w:ascii="Times New Roman" w:eastAsia="Calibri" w:hAnsi="Times New Roman"/>
          <w:sz w:val="22"/>
          <w:szCs w:val="22"/>
          <w:lang w:val="en-US"/>
        </w:rPr>
        <w:t>tas</w:t>
      </w:r>
      <w:proofErr w:type="gramEnd"/>
      <w:r w:rsidRPr="000E1775">
        <w:rPr>
          <w:rFonts w:ascii="Times New Roman" w:eastAsia="Calibri" w:hAnsi="Times New Roman"/>
          <w:sz w:val="22"/>
          <w:szCs w:val="22"/>
          <w:lang w:val="en-US"/>
        </w:rPr>
        <w:t>, kurios būna suaugusiųjų, vartojančių 200 mg dozę per burną du kartus per parą, organizme. Vartojant 8 mg/kg dozę į veną, vorikonazolo ekspozicija būna maždaug 2 kartus didesnė nei vartojant 9 mg/kg dozę per burną.</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Didesnė palaikomoji dozė į veną vaikų populiacijos pacientams, palyginti su suaugusiaisiais, rodo didesnį eliminacijos pajėgumą vaikų populiacijos pacientų organizme </w:t>
      </w:r>
      <w:proofErr w:type="gramStart"/>
      <w:r w:rsidRPr="000E1775">
        <w:rPr>
          <w:rFonts w:ascii="Times New Roman" w:eastAsia="Calibri" w:hAnsi="Times New Roman"/>
          <w:sz w:val="22"/>
          <w:szCs w:val="22"/>
          <w:lang w:val="en-US"/>
        </w:rPr>
        <w:t>dėl</w:t>
      </w:r>
      <w:proofErr w:type="gramEnd"/>
      <w:r w:rsidRPr="000E1775">
        <w:rPr>
          <w:rFonts w:ascii="Times New Roman" w:eastAsia="Calibri" w:hAnsi="Times New Roman"/>
          <w:sz w:val="22"/>
          <w:szCs w:val="22"/>
          <w:lang w:val="en-US"/>
        </w:rPr>
        <w:t xml:space="preserve"> didesnio kepenų masės ir kūno masės santykio. Vis dėlto vaikų, kurie serga malabsorbcija arba kurių pagal amžių yra labai maža kūno masė, organizme biologinis prieinamumas gali būti mažesnis. Tokiu atveju rekomenduojama skirti vartoti vorikonazolą į veną.</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Vorikonazolo ekspozicijos daugumos paauglių populiacijos pacientų organizme buvo panašios į suaugusiųjų, kurie gydyti pagal tą patį dozavimo planą. Vis dėlto kai kurių jaunų paauglių, kurių kūno masė buvo maža, organizme buvo nustatyta mažesnė vorikonazolo ekspozicija, palyginti su suaugusiųjų. Tikėtina, kad tokių asmenų organizme vorikonazolas metabolizuojamas panašiai kaip suaugusiųjų. Remiantis farmakokinetikos duomenų populiacijoje analize, 12-14 metų paaugliai, kurių kūno masė yra mažesnė kaip 50 kg, turi vartoti vaikų dozes (žr. 4.2 skyrių).</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u w:val="single"/>
          <w:lang w:val="en-US"/>
        </w:rPr>
      </w:pPr>
      <w:r w:rsidRPr="000E1775">
        <w:rPr>
          <w:rFonts w:ascii="Times New Roman" w:hAnsi="Times New Roman"/>
          <w:iCs/>
          <w:color w:val="000000"/>
          <w:sz w:val="22"/>
          <w:szCs w:val="22"/>
          <w:u w:val="single"/>
          <w:lang w:val="lt-LT"/>
        </w:rPr>
        <w:t>Sutrikusi inkstų funkcija</w:t>
      </w:r>
      <w:r w:rsidRPr="000E1775">
        <w:rPr>
          <w:rFonts w:ascii="Times New Roman" w:eastAsia="Calibri" w:hAnsi="Times New Roman"/>
          <w:sz w:val="22"/>
          <w:szCs w:val="22"/>
          <w:u w:val="single"/>
          <w:lang w:val="en-US"/>
        </w:rPr>
        <w:t xml:space="preserve"> </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Vienkartinės per burną vartojamos vorikonazolo dozės (200 mg) tyrimo su tiriamaisiais, kurių inkstų funkcija yra normali arba kuriems yra lengvas (kreatinino klirensas yra 41-60 ml/min.) ar sunkus inkstų funkcijos sutrikimas (kreatinino klirensas &lt; 20 ml/min.) duomenimis, inkstų funkcijos sutrikimas neturi didelės įtakos vorikonazolo farmakokinetikai. Ligonių, kurių inkstų funkcijos sutrikimas buvo įvairaus laipsnio, plazmoje vorikonazolas su plazmos baltymais jungėsi vienodai (žr. 4.2 ir 4.4 skyrius).</w:t>
      </w:r>
    </w:p>
    <w:p w:rsidR="00E5066C" w:rsidRPr="000E1775" w:rsidRDefault="00E5066C" w:rsidP="00E5066C">
      <w:pPr>
        <w:rPr>
          <w:rFonts w:ascii="Times New Roman" w:hAnsi="Times New Roman"/>
          <w:iCs/>
          <w:color w:val="000000"/>
          <w:sz w:val="22"/>
          <w:szCs w:val="22"/>
          <w:lang w:val="lt-LT"/>
        </w:rPr>
      </w:pPr>
    </w:p>
    <w:p w:rsidR="00E5066C" w:rsidRPr="000E1775" w:rsidRDefault="00E5066C" w:rsidP="00E5066C">
      <w:pPr>
        <w:rPr>
          <w:rFonts w:ascii="Times New Roman" w:eastAsia="Calibri" w:hAnsi="Times New Roman"/>
          <w:sz w:val="22"/>
          <w:szCs w:val="22"/>
          <w:u w:val="single"/>
          <w:lang w:val="lt-LT"/>
        </w:rPr>
      </w:pPr>
      <w:r w:rsidRPr="000E1775">
        <w:rPr>
          <w:rFonts w:ascii="Times New Roman" w:hAnsi="Times New Roman"/>
          <w:iCs/>
          <w:color w:val="000000"/>
          <w:sz w:val="22"/>
          <w:szCs w:val="22"/>
          <w:u w:val="single"/>
          <w:lang w:val="lt-LT"/>
        </w:rPr>
        <w:t>Sutrikusi k</w:t>
      </w:r>
      <w:r w:rsidRPr="000E1775">
        <w:rPr>
          <w:rFonts w:ascii="Times New Roman" w:eastAsia="Calibri" w:hAnsi="Times New Roman"/>
          <w:sz w:val="22"/>
          <w:szCs w:val="22"/>
          <w:u w:val="single"/>
          <w:lang w:val="lt-LT"/>
        </w:rPr>
        <w:t xml:space="preserve">epenų funkcija </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lt-LT"/>
        </w:rPr>
        <w:t>Tiriamųjų, kuriems yra lengva arba vidutinio sunkumo kepenų cirozė (A ir B klasės pagal Child-Pugh), išgėrusių vienkartinę vorikonazolo 200 mg dozę, AUC buvo 233 % didesnis nei tiriamųjų,</w:t>
      </w:r>
      <w:r w:rsidRPr="000E1775" w:rsidDel="009E1824">
        <w:rPr>
          <w:rFonts w:ascii="Times New Roman" w:eastAsia="Calibri" w:hAnsi="Times New Roman"/>
          <w:sz w:val="22"/>
          <w:szCs w:val="22"/>
          <w:lang w:val="lt-LT"/>
        </w:rPr>
        <w:t xml:space="preserve"> </w:t>
      </w:r>
      <w:r w:rsidRPr="000E1775">
        <w:rPr>
          <w:rFonts w:ascii="Times New Roman" w:eastAsia="Calibri" w:hAnsi="Times New Roman"/>
          <w:sz w:val="22"/>
          <w:szCs w:val="22"/>
          <w:lang w:val="lt-LT"/>
        </w:rPr>
        <w:t xml:space="preserve">kurių kepenų funkcija buvo normali. </w:t>
      </w:r>
      <w:r w:rsidRPr="000E1775">
        <w:rPr>
          <w:rFonts w:ascii="Times New Roman" w:eastAsia="Calibri" w:hAnsi="Times New Roman"/>
          <w:sz w:val="22"/>
          <w:szCs w:val="22"/>
          <w:lang w:val="en-US"/>
        </w:rPr>
        <w:t>Vaistinio preparato jungimasis prie baltymų nuo kepenų funkcijos sutrikimo nepriklauso.</w:t>
      </w:r>
    </w:p>
    <w:p w:rsidR="00E5066C" w:rsidRPr="000E1775" w:rsidRDefault="00E5066C" w:rsidP="00E5066C">
      <w:pPr>
        <w:autoSpaceDE w:val="0"/>
        <w:autoSpaceDN w:val="0"/>
        <w:adjustRightInd w:val="0"/>
        <w:rPr>
          <w:rFonts w:ascii="Times New Roman" w:hAnsi="Times New Roman"/>
          <w:iCs/>
          <w:color w:val="000000"/>
          <w:sz w:val="22"/>
          <w:szCs w:val="22"/>
          <w:lang w:val="lt-LT"/>
        </w:rPr>
      </w:pPr>
      <w:r w:rsidRPr="000E1775">
        <w:rPr>
          <w:rFonts w:ascii="Times New Roman" w:eastAsia="Calibri" w:hAnsi="Times New Roman"/>
          <w:sz w:val="22"/>
          <w:szCs w:val="22"/>
          <w:lang w:val="en-US"/>
        </w:rPr>
        <w:t xml:space="preserve">Kartotinių dozių vartojimo per burną tyrimo duomenimis, tiriamųjų, sergančių vidutinio sunkumo kepenų ciroze (B klasės pagal Child-Pugh) ir vartojančių palaikomąją </w:t>
      </w:r>
      <w:r w:rsidRPr="000E1775">
        <w:rPr>
          <w:rFonts w:ascii="Times New Roman" w:eastAsia="Calibri" w:hAnsi="Times New Roman"/>
          <w:sz w:val="22"/>
          <w:szCs w:val="22"/>
          <w:lang w:val="en-US"/>
        </w:rPr>
        <w:lastRenderedPageBreak/>
        <w:t>100 mg dozę du kartus per parą,</w:t>
      </w:r>
      <w:r w:rsidRPr="000E1775" w:rsidDel="009E1824">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ir tiriamųjų, kurių kepenų funkcija yra normali, vartojančių palaikomąją 200 mg dozę du kartus per parą, AUC</w:t>
      </w:r>
      <w:r w:rsidRPr="000E1775">
        <w:rPr>
          <w:rFonts w:ascii="Times New Roman" w:hAnsi="Times New Roman"/>
          <w:sz w:val="22"/>
          <w:szCs w:val="22"/>
          <w:vertAlign w:val="subscript"/>
          <w:lang w:eastAsia="hu-HU"/>
        </w:rPr>
        <w:t>τ</w:t>
      </w:r>
      <w:r w:rsidRPr="000E1775">
        <w:rPr>
          <w:rFonts w:ascii="Times New Roman" w:eastAsia="Calibri" w:hAnsi="Times New Roman"/>
          <w:sz w:val="22"/>
          <w:szCs w:val="22"/>
          <w:lang w:val="en-US"/>
        </w:rPr>
        <w:t xml:space="preserve"> rodmenys buvo panašūs. Duomenų apie vaistinio preparato farmakokinetiką pacientų,</w:t>
      </w:r>
      <w:r w:rsidRPr="000E1775" w:rsidDel="009E1824">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sergančių sunkia kepenų ciroze (C klasės pagal Child-Pugh), organizme nėra (žr. 4.2 ir 4.4 skyrius).</w:t>
      </w:r>
    </w:p>
    <w:p w:rsidR="00E5066C" w:rsidRPr="000E1775" w:rsidRDefault="00E5066C" w:rsidP="000E1775">
      <w:pPr>
        <w:pStyle w:val="Antrat4"/>
        <w:ind w:left="567" w:hanging="567"/>
        <w:rPr>
          <w:sz w:val="22"/>
          <w:szCs w:val="22"/>
          <w:lang w:val="lt-LT"/>
        </w:rPr>
      </w:pPr>
      <w:r w:rsidRPr="000E1775">
        <w:rPr>
          <w:sz w:val="22"/>
          <w:szCs w:val="22"/>
          <w:lang w:val="lt-LT"/>
        </w:rPr>
        <w:t>5.3</w:t>
      </w:r>
      <w:r w:rsidRPr="000E1775">
        <w:rPr>
          <w:sz w:val="22"/>
          <w:szCs w:val="22"/>
          <w:lang w:val="lt-LT"/>
        </w:rPr>
        <w:tab/>
        <w:t>Ikiklinikinių saugumo tyrimų duomenys</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Vorikanozolo kartotinių dozių toksiškumo tyrimai parodė, kad organas – „taikinys“ yra kepenys.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Hepatotoksinis poveikis pasireiškia, kai vorikonazolo ekspozicija plazmoje buvo panaši į tą, kuri būna gydomąsias dozes vartojančio žmogaus organizme (panašiai kaip ir kitų priešgrybelinių preparatų atveju). Be to, žiurkėms, pelėms ir šunims vorikonazolas sukėlė nežymius antinksčių pokyčius. </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Įprastų farmakologinio saugumo, genotoksiškumo ir galimo kancerogeniškumo tyrimai specifinio pavojaus žmogui nerodo. </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Reprodukcijos tyrimų duomenimis, vorikonazolas sukėlė teratogeninį poveikį žiurkėms ir embriotoksinį poveikį triušiams, esant sisteminei ekspozicijai, kuri pasiekiama žmonių, pavartojusių gydomąsias dozes, organizme. Tiriant žiurkių prenatalinį ir postnatalinį periodą, kai vaistinio preparato ekspozicija buvo mažesnė už tą, kuri pasiekiama gydomąsias dozes vartojančių žmonių organizme, vorikonazolas pailgino vaikingumo laikotarpį, pasunkino jauniklių atsivedimą, padidino patelių mirtingumą ir sumažino vados išgyvenamumą. Preparato poveikį vados atsivedimui tikriausiai lemia rūšims specifiniai mechanizmai, susiję su estradiolio koncentracijos mažėjimu, kurie būdingi ir kitiems azolų grupės preparatams. Vorikonazolo vartojimas nesutrikdė žiurkių patinų ir patelių vislumo, kai ekspozicija žiurkių organizme buvo panaši į tą, kuri būna gydomąsias dozes vartojančio žmogaus organizme.</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0E177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6.</w:t>
      </w:r>
      <w:r w:rsidRPr="000E1775">
        <w:rPr>
          <w:rFonts w:ascii="Times New Roman" w:hAnsi="Times New Roman"/>
          <w:sz w:val="22"/>
          <w:szCs w:val="22"/>
          <w:lang w:val="lt-LT"/>
        </w:rPr>
        <w:tab/>
        <w:t>FARMACINĖ INFORMACIJA</w:t>
      </w:r>
    </w:p>
    <w:p w:rsidR="00E5066C" w:rsidRPr="000E1775" w:rsidRDefault="00E5066C" w:rsidP="000E1775">
      <w:pPr>
        <w:pStyle w:val="Antrat4"/>
        <w:ind w:left="567" w:hanging="567"/>
        <w:rPr>
          <w:sz w:val="22"/>
          <w:szCs w:val="22"/>
          <w:lang w:val="lt-LT"/>
        </w:rPr>
      </w:pPr>
      <w:r w:rsidRPr="000E1775">
        <w:rPr>
          <w:sz w:val="22"/>
          <w:szCs w:val="22"/>
          <w:lang w:val="lt-LT"/>
        </w:rPr>
        <w:t>6.1</w:t>
      </w:r>
      <w:r w:rsidRPr="000E1775">
        <w:rPr>
          <w:sz w:val="22"/>
          <w:szCs w:val="22"/>
          <w:lang w:val="lt-LT"/>
        </w:rPr>
        <w:tab/>
        <w:t>Pagalbinių medžiagų sąrašas</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u w:val="single"/>
          <w:lang w:val="lt-LT"/>
        </w:rPr>
      </w:pPr>
      <w:r w:rsidRPr="000E1775">
        <w:rPr>
          <w:rFonts w:ascii="Times New Roman" w:eastAsia="Calibri" w:hAnsi="Times New Roman"/>
          <w:sz w:val="22"/>
          <w:szCs w:val="22"/>
          <w:u w:val="single"/>
          <w:lang w:val="lt-LT"/>
        </w:rPr>
        <w:t>Tabletės branduolys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Laktozė monohidratas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Pregelifikuotas kukurūzų krakmolas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Kroskarmeliozės natrio druska</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Povidonas K25</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Magnio stearatas</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u w:val="single"/>
          <w:lang w:val="lt-LT"/>
        </w:rPr>
      </w:pPr>
      <w:r w:rsidRPr="000E1775">
        <w:rPr>
          <w:rFonts w:ascii="Times New Roman" w:eastAsia="Calibri" w:hAnsi="Times New Roman"/>
          <w:sz w:val="22"/>
          <w:szCs w:val="22"/>
          <w:u w:val="single"/>
          <w:lang w:val="lt-LT"/>
        </w:rPr>
        <w:t>Tabletės plėvelė</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Hipromeliozė E5</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Laktozė monohidratas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Triacetinas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Titano dioksidas (E 171)</w:t>
      </w:r>
    </w:p>
    <w:p w:rsidR="00E5066C" w:rsidRPr="000E1775" w:rsidRDefault="00E5066C" w:rsidP="000E1775">
      <w:pPr>
        <w:pStyle w:val="Antrat4"/>
        <w:ind w:left="567" w:hanging="567"/>
        <w:rPr>
          <w:sz w:val="22"/>
          <w:szCs w:val="22"/>
          <w:lang w:val="lt-LT"/>
        </w:rPr>
      </w:pPr>
      <w:r w:rsidRPr="000E1775">
        <w:rPr>
          <w:sz w:val="22"/>
          <w:szCs w:val="22"/>
          <w:lang w:val="lt-LT"/>
        </w:rPr>
        <w:t>6.2</w:t>
      </w:r>
      <w:r w:rsidRPr="000E1775">
        <w:rPr>
          <w:sz w:val="22"/>
          <w:szCs w:val="22"/>
          <w:lang w:val="lt-LT"/>
        </w:rPr>
        <w:tab/>
        <w:t>Nesuderinamumas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Duomenys nebūtini.</w:t>
      </w:r>
      <w:r w:rsidRPr="000E1775">
        <w:rPr>
          <w:rFonts w:ascii="Times New Roman" w:hAnsi="Times New Roman"/>
          <w:sz w:val="22"/>
          <w:szCs w:val="22"/>
          <w:lang w:val="lt-LT"/>
        </w:rPr>
        <w:t xml:space="preserve"> </w:t>
      </w:r>
    </w:p>
    <w:p w:rsidR="00E5066C" w:rsidRPr="000E1775" w:rsidRDefault="00E5066C" w:rsidP="000E1775">
      <w:pPr>
        <w:pStyle w:val="Antrat4"/>
        <w:ind w:left="567" w:hanging="567"/>
        <w:rPr>
          <w:sz w:val="22"/>
          <w:szCs w:val="22"/>
          <w:lang w:val="lt-LT"/>
        </w:rPr>
      </w:pPr>
      <w:r w:rsidRPr="000E1775">
        <w:rPr>
          <w:sz w:val="22"/>
          <w:szCs w:val="22"/>
          <w:lang w:val="lt-LT"/>
        </w:rPr>
        <w:t>6.3</w:t>
      </w:r>
      <w:r w:rsidRPr="000E1775">
        <w:rPr>
          <w:sz w:val="22"/>
          <w:szCs w:val="22"/>
          <w:lang w:val="lt-LT"/>
        </w:rPr>
        <w:tab/>
        <w:t>Tinkamumo laikas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3 metai.</w:t>
      </w:r>
    </w:p>
    <w:p w:rsidR="00E5066C" w:rsidRPr="000E1775" w:rsidRDefault="00E5066C" w:rsidP="000E1775">
      <w:pPr>
        <w:pStyle w:val="Antrat4"/>
        <w:ind w:left="567" w:hanging="567"/>
        <w:rPr>
          <w:sz w:val="22"/>
          <w:szCs w:val="22"/>
          <w:lang w:val="lt-LT"/>
        </w:rPr>
      </w:pPr>
      <w:r w:rsidRPr="000E1775">
        <w:rPr>
          <w:sz w:val="22"/>
          <w:szCs w:val="22"/>
          <w:lang w:val="lt-LT"/>
        </w:rPr>
        <w:t>6.4</w:t>
      </w:r>
      <w:r w:rsidRPr="000E1775">
        <w:rPr>
          <w:sz w:val="22"/>
          <w:szCs w:val="22"/>
          <w:lang w:val="lt-LT"/>
        </w:rPr>
        <w:tab/>
        <w:t>Specialios laikymo sąlygos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color w:val="0D0D0D"/>
          <w:sz w:val="22"/>
          <w:szCs w:val="22"/>
          <w:lang w:val="lt-LT"/>
        </w:rPr>
      </w:pPr>
      <w:r w:rsidRPr="000E1775">
        <w:rPr>
          <w:rFonts w:ascii="Times New Roman" w:eastAsia="Calibri" w:hAnsi="Times New Roman"/>
          <w:sz w:val="22"/>
          <w:szCs w:val="22"/>
          <w:lang w:val="lt-LT"/>
        </w:rPr>
        <w:t>Šiam vaistiniam preparatui specialių laikymo sąlygų nereikia</w:t>
      </w:r>
      <w:r w:rsidRPr="000E1775">
        <w:rPr>
          <w:rFonts w:ascii="Times New Roman" w:hAnsi="Times New Roman"/>
          <w:noProof/>
          <w:color w:val="0D0D0D"/>
          <w:sz w:val="22"/>
          <w:szCs w:val="22"/>
          <w:lang w:val="lt-LT"/>
        </w:rPr>
        <w:t>.</w:t>
      </w:r>
    </w:p>
    <w:p w:rsidR="00E5066C" w:rsidRPr="000E1775" w:rsidRDefault="00E5066C" w:rsidP="000E1775">
      <w:pPr>
        <w:pStyle w:val="Antrat4"/>
        <w:ind w:left="567" w:hanging="567"/>
        <w:rPr>
          <w:sz w:val="22"/>
          <w:szCs w:val="22"/>
          <w:lang w:val="lt-LT"/>
        </w:rPr>
      </w:pPr>
      <w:r w:rsidRPr="000E1775">
        <w:rPr>
          <w:sz w:val="22"/>
          <w:szCs w:val="22"/>
          <w:lang w:val="lt-LT"/>
        </w:rPr>
        <w:t>6.5</w:t>
      </w:r>
      <w:r w:rsidRPr="000E1775">
        <w:rPr>
          <w:sz w:val="22"/>
          <w:szCs w:val="22"/>
          <w:lang w:val="lt-LT"/>
        </w:rPr>
        <w:tab/>
        <w:t>Talpyklės pobūdis ir jos turinys</w:t>
      </w:r>
      <w:r w:rsidRPr="000E1775">
        <w:rPr>
          <w:bCs w:val="0"/>
          <w:noProof/>
          <w:sz w:val="22"/>
          <w:szCs w:val="22"/>
          <w:lang w:val="lt-LT"/>
        </w:rPr>
        <w:t xml:space="preserve"> </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noProof/>
          <w:sz w:val="22"/>
          <w:szCs w:val="22"/>
          <w:lang w:val="lt-LT"/>
        </w:rPr>
      </w:pPr>
      <w:r w:rsidRPr="000E1775">
        <w:rPr>
          <w:rFonts w:ascii="Times New Roman" w:hAnsi="Times New Roman"/>
          <w:noProof/>
          <w:sz w:val="22"/>
          <w:szCs w:val="22"/>
          <w:lang w:val="lt-LT"/>
        </w:rPr>
        <w:t>10 arba 14 VORICONAZOLE RICHTER 50 mg plėvele dengtų tablečių skaidriose PVC/Al lizdinėse plokštelėse, pagamintose iš skaidrios, permatomos PVC plėvelės ir kietos aliuminio folijos dangalo. Kartono dėžutėje yra viena, dvi arba trys lizdinės plokštelės ir pakuotės lapelis.</w:t>
      </w:r>
    </w:p>
    <w:p w:rsidR="00E5066C" w:rsidRPr="000E1775" w:rsidRDefault="00E5066C" w:rsidP="00E5066C">
      <w:pPr>
        <w:rPr>
          <w:rFonts w:ascii="Times New Roman" w:hAnsi="Times New Roman"/>
          <w:noProof/>
          <w:sz w:val="22"/>
          <w:szCs w:val="22"/>
          <w:lang w:val="lt-LT"/>
        </w:rPr>
      </w:pPr>
      <w:r w:rsidRPr="000E1775">
        <w:rPr>
          <w:rFonts w:ascii="Times New Roman" w:hAnsi="Times New Roman"/>
          <w:noProof/>
          <w:sz w:val="22"/>
          <w:szCs w:val="22"/>
          <w:highlight w:val="lightGray"/>
          <w:lang w:val="lt-LT"/>
        </w:rPr>
        <w:t>10 arba 14 VORICONAZOLE RICHTER 200 mg plėvele dengtų tablečių skaidriose PVC/Al lizdinėse plokštelėse, pagamintose iš skaidrios, permatomos PVC plėvelės ir kietos aliuminio folijos dangalo. Kartono dėžutėje yra viena, dvi arba trys lizdinės plokštelės ir pakuotės lapelis.</w:t>
      </w: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noProof/>
          <w:sz w:val="22"/>
          <w:szCs w:val="22"/>
          <w:lang w:val="lt-LT"/>
        </w:rPr>
      </w:pPr>
      <w:r w:rsidRPr="000E1775">
        <w:rPr>
          <w:rFonts w:ascii="Times New Roman" w:hAnsi="Times New Roman"/>
          <w:noProof/>
          <w:sz w:val="22"/>
          <w:szCs w:val="22"/>
          <w:lang w:val="lt-LT"/>
        </w:rPr>
        <w:t>Pakuočių dydžiai:</w:t>
      </w:r>
    </w:p>
    <w:p w:rsidR="00E5066C" w:rsidRPr="000E1775" w:rsidRDefault="00E5066C" w:rsidP="00E5066C">
      <w:pPr>
        <w:widowControl w:val="0"/>
        <w:rPr>
          <w:rFonts w:ascii="Times New Roman" w:hAnsi="Times New Roman"/>
          <w:sz w:val="22"/>
          <w:szCs w:val="22"/>
          <w:lang w:val="lt-LT"/>
        </w:rPr>
      </w:pPr>
      <w:r w:rsidRPr="000E1775">
        <w:rPr>
          <w:rFonts w:ascii="Times New Roman" w:hAnsi="Times New Roman"/>
          <w:sz w:val="22"/>
          <w:szCs w:val="22"/>
          <w:lang w:val="lt-LT"/>
        </w:rPr>
        <w:t xml:space="preserve">1x10 </w:t>
      </w:r>
      <w:r w:rsidRPr="000E1775">
        <w:rPr>
          <w:rFonts w:ascii="Times New Roman" w:hAnsi="Times New Roman"/>
          <w:noProof/>
          <w:sz w:val="22"/>
          <w:szCs w:val="22"/>
          <w:lang w:val="lt-LT"/>
        </w:rPr>
        <w:t>plėvele dengtų tablečių</w:t>
      </w:r>
      <w:r w:rsidRPr="000E1775">
        <w:rPr>
          <w:rFonts w:ascii="Times New Roman" w:hAnsi="Times New Roman"/>
          <w:sz w:val="22"/>
          <w:szCs w:val="22"/>
          <w:lang w:val="lt-LT"/>
        </w:rPr>
        <w:t xml:space="preserve"> </w:t>
      </w:r>
    </w:p>
    <w:p w:rsidR="00E5066C" w:rsidRPr="000E1775" w:rsidRDefault="00E5066C" w:rsidP="00E5066C">
      <w:pPr>
        <w:widowControl w:val="0"/>
        <w:rPr>
          <w:rFonts w:ascii="Times New Roman" w:hAnsi="Times New Roman"/>
          <w:sz w:val="22"/>
          <w:szCs w:val="22"/>
          <w:lang w:val="lt-LT"/>
        </w:rPr>
      </w:pPr>
      <w:r w:rsidRPr="000E1775">
        <w:rPr>
          <w:rFonts w:ascii="Times New Roman" w:hAnsi="Times New Roman"/>
          <w:sz w:val="22"/>
          <w:szCs w:val="22"/>
          <w:lang w:val="lt-LT"/>
        </w:rPr>
        <w:t xml:space="preserve">1x14 </w:t>
      </w:r>
      <w:r w:rsidRPr="000E1775">
        <w:rPr>
          <w:rFonts w:ascii="Times New Roman" w:hAnsi="Times New Roman"/>
          <w:noProof/>
          <w:sz w:val="22"/>
          <w:szCs w:val="22"/>
          <w:lang w:val="lt-LT"/>
        </w:rPr>
        <w:t>plėvele dengtų tablečių</w:t>
      </w:r>
      <w:r w:rsidRPr="000E1775">
        <w:rPr>
          <w:rFonts w:ascii="Times New Roman" w:hAnsi="Times New Roman"/>
          <w:sz w:val="22"/>
          <w:szCs w:val="22"/>
          <w:lang w:val="lt-LT"/>
        </w:rPr>
        <w:t xml:space="preserve"> </w:t>
      </w:r>
    </w:p>
    <w:p w:rsidR="00E5066C" w:rsidRPr="000E1775" w:rsidRDefault="00E5066C" w:rsidP="00E5066C">
      <w:pPr>
        <w:widowControl w:val="0"/>
        <w:rPr>
          <w:rFonts w:ascii="Times New Roman" w:hAnsi="Times New Roman"/>
          <w:sz w:val="22"/>
          <w:szCs w:val="22"/>
          <w:lang w:val="lt-LT"/>
        </w:rPr>
      </w:pPr>
      <w:r w:rsidRPr="000E1775">
        <w:rPr>
          <w:rFonts w:ascii="Times New Roman" w:hAnsi="Times New Roman"/>
          <w:sz w:val="22"/>
          <w:szCs w:val="22"/>
          <w:lang w:val="lt-LT"/>
        </w:rPr>
        <w:t xml:space="preserve">2x10 </w:t>
      </w:r>
      <w:r w:rsidRPr="000E1775">
        <w:rPr>
          <w:rFonts w:ascii="Times New Roman" w:hAnsi="Times New Roman"/>
          <w:noProof/>
          <w:sz w:val="22"/>
          <w:szCs w:val="22"/>
          <w:lang w:val="lt-LT"/>
        </w:rPr>
        <w:t>plėvele dengtų tablečių</w:t>
      </w:r>
      <w:r w:rsidRPr="000E1775">
        <w:rPr>
          <w:rFonts w:ascii="Times New Roman" w:hAnsi="Times New Roman"/>
          <w:sz w:val="22"/>
          <w:szCs w:val="22"/>
          <w:lang w:val="lt-LT"/>
        </w:rPr>
        <w:t xml:space="preserve"> </w:t>
      </w:r>
    </w:p>
    <w:p w:rsidR="00E5066C" w:rsidRPr="000E1775" w:rsidRDefault="00E5066C" w:rsidP="00E5066C">
      <w:pPr>
        <w:widowControl w:val="0"/>
        <w:rPr>
          <w:rFonts w:ascii="Times New Roman" w:hAnsi="Times New Roman"/>
          <w:sz w:val="22"/>
          <w:szCs w:val="22"/>
          <w:lang w:val="lt-LT"/>
        </w:rPr>
      </w:pPr>
      <w:r w:rsidRPr="000E1775">
        <w:rPr>
          <w:rFonts w:ascii="Times New Roman" w:hAnsi="Times New Roman"/>
          <w:sz w:val="22"/>
          <w:szCs w:val="22"/>
          <w:lang w:val="lt-LT"/>
        </w:rPr>
        <w:t xml:space="preserve">2x14 </w:t>
      </w:r>
      <w:r w:rsidRPr="000E1775">
        <w:rPr>
          <w:rFonts w:ascii="Times New Roman" w:hAnsi="Times New Roman"/>
          <w:noProof/>
          <w:sz w:val="22"/>
          <w:szCs w:val="22"/>
          <w:lang w:val="lt-LT"/>
        </w:rPr>
        <w:t>plėvele dengtų tablečių</w:t>
      </w:r>
      <w:r w:rsidRPr="000E1775">
        <w:rPr>
          <w:rFonts w:ascii="Times New Roman" w:hAnsi="Times New Roman"/>
          <w:sz w:val="22"/>
          <w:szCs w:val="22"/>
          <w:lang w:val="lt-LT"/>
        </w:rPr>
        <w:t xml:space="preserve"> </w:t>
      </w:r>
    </w:p>
    <w:p w:rsidR="00E5066C" w:rsidRPr="000E1775" w:rsidRDefault="00E5066C" w:rsidP="00E5066C">
      <w:pPr>
        <w:rPr>
          <w:rFonts w:ascii="Times New Roman" w:hAnsi="Times New Roman"/>
          <w:noProof/>
          <w:sz w:val="22"/>
          <w:szCs w:val="22"/>
          <w:lang w:val="lt-LT"/>
        </w:rPr>
      </w:pPr>
      <w:r w:rsidRPr="000E1775">
        <w:rPr>
          <w:rFonts w:ascii="Times New Roman" w:hAnsi="Times New Roman"/>
          <w:sz w:val="22"/>
          <w:szCs w:val="22"/>
          <w:lang w:val="lt-LT"/>
        </w:rPr>
        <w:t xml:space="preserve">3x10 </w:t>
      </w:r>
      <w:r w:rsidRPr="000E1775">
        <w:rPr>
          <w:rFonts w:ascii="Times New Roman" w:hAnsi="Times New Roman"/>
          <w:noProof/>
          <w:sz w:val="22"/>
          <w:szCs w:val="22"/>
          <w:lang w:val="lt-LT"/>
        </w:rPr>
        <w:t>plėvele dengtų tablečių</w:t>
      </w:r>
      <w:r w:rsidRPr="000E1775">
        <w:rPr>
          <w:rFonts w:ascii="Times New Roman" w:hAnsi="Times New Roman"/>
          <w:sz w:val="22"/>
          <w:szCs w:val="22"/>
          <w:lang w:val="lt-LT"/>
        </w:rPr>
        <w:t xml:space="preserve"> </w:t>
      </w: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Gali būti tiekiamos ne visų dydžių pakuotės.</w:t>
      </w:r>
    </w:p>
    <w:p w:rsidR="00E5066C" w:rsidRPr="000E1775" w:rsidRDefault="00E5066C" w:rsidP="000E1775">
      <w:pPr>
        <w:pStyle w:val="Antrat4"/>
        <w:ind w:left="567" w:hanging="567"/>
        <w:rPr>
          <w:sz w:val="22"/>
          <w:szCs w:val="22"/>
          <w:lang w:val="lt-LT"/>
        </w:rPr>
      </w:pPr>
      <w:bookmarkStart w:id="0" w:name="OLE_LINK1"/>
      <w:r w:rsidRPr="000E1775">
        <w:rPr>
          <w:sz w:val="22"/>
          <w:szCs w:val="22"/>
          <w:lang w:val="lt-LT"/>
        </w:rPr>
        <w:t>6.6</w:t>
      </w:r>
      <w:r w:rsidRPr="000E1775">
        <w:rPr>
          <w:sz w:val="22"/>
          <w:szCs w:val="22"/>
          <w:lang w:val="lt-LT"/>
        </w:rPr>
        <w:tab/>
        <w:t xml:space="preserve">Specialūs reikalavimai atliekoms tvarkyti </w:t>
      </w:r>
      <w:bookmarkEnd w:id="0"/>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Nesuvartotą vaistinį preparatą ar atliekas reikia tvarkyti laikantis vietinių reikalavimų.</w:t>
      </w:r>
      <w:r w:rsidRPr="000E1775">
        <w:rPr>
          <w:rFonts w:ascii="Times New Roman" w:hAnsi="Times New Roman"/>
          <w:sz w:val="22"/>
          <w:szCs w:val="22"/>
          <w:lang w:val="lt-LT"/>
        </w:rPr>
        <w:t xml:space="preserve"> </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0E177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7.</w:t>
      </w:r>
      <w:r w:rsidRPr="000E1775">
        <w:rPr>
          <w:rFonts w:ascii="Times New Roman" w:hAnsi="Times New Roman"/>
          <w:sz w:val="22"/>
          <w:szCs w:val="22"/>
          <w:lang w:val="lt-LT"/>
        </w:rPr>
        <w:tab/>
        <w:t>REGISTRUOTOJAS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pacing w:val="-2"/>
          <w:sz w:val="22"/>
          <w:szCs w:val="22"/>
          <w:lang w:val="de-DE"/>
        </w:rPr>
      </w:pPr>
      <w:r w:rsidRPr="000E1775">
        <w:rPr>
          <w:rFonts w:ascii="Times New Roman" w:hAnsi="Times New Roman"/>
          <w:spacing w:val="-2"/>
          <w:sz w:val="22"/>
          <w:szCs w:val="22"/>
          <w:lang w:val="de-DE"/>
        </w:rPr>
        <w:t>Gedeon Richter Plc.</w:t>
      </w:r>
    </w:p>
    <w:p w:rsidR="00E5066C" w:rsidRPr="000E1775" w:rsidRDefault="00E5066C" w:rsidP="00E5066C">
      <w:pPr>
        <w:jc w:val="both"/>
        <w:rPr>
          <w:rFonts w:ascii="Times New Roman" w:hAnsi="Times New Roman"/>
          <w:spacing w:val="-2"/>
          <w:sz w:val="22"/>
          <w:szCs w:val="22"/>
          <w:lang w:val="de-DE"/>
        </w:rPr>
      </w:pPr>
      <w:r w:rsidRPr="000E1775">
        <w:rPr>
          <w:rFonts w:ascii="Times New Roman" w:hAnsi="Times New Roman"/>
          <w:sz w:val="22"/>
          <w:szCs w:val="22"/>
          <w:lang w:val="de-DE"/>
        </w:rPr>
        <w:t>Gyömrői út 19 – 21</w:t>
      </w:r>
    </w:p>
    <w:p w:rsidR="00E5066C" w:rsidRPr="000E1775" w:rsidRDefault="00E5066C" w:rsidP="00E5066C">
      <w:pPr>
        <w:jc w:val="both"/>
        <w:rPr>
          <w:rFonts w:ascii="Times New Roman" w:hAnsi="Times New Roman"/>
          <w:spacing w:val="-2"/>
          <w:sz w:val="22"/>
          <w:szCs w:val="22"/>
          <w:lang w:val="de-DE"/>
        </w:rPr>
      </w:pPr>
      <w:r w:rsidRPr="000E1775">
        <w:rPr>
          <w:rFonts w:ascii="Times New Roman" w:hAnsi="Times New Roman"/>
          <w:spacing w:val="-2"/>
          <w:sz w:val="22"/>
          <w:szCs w:val="22"/>
          <w:lang w:val="de-DE"/>
        </w:rPr>
        <w:t>1103 Budapest</w:t>
      </w:r>
    </w:p>
    <w:p w:rsidR="00E5066C" w:rsidRPr="000E1775" w:rsidRDefault="00E5066C" w:rsidP="00E5066C">
      <w:pPr>
        <w:jc w:val="both"/>
        <w:rPr>
          <w:rFonts w:ascii="Times New Roman" w:hAnsi="Times New Roman"/>
          <w:spacing w:val="-2"/>
          <w:sz w:val="22"/>
          <w:szCs w:val="22"/>
          <w:lang w:val="de-DE"/>
        </w:rPr>
      </w:pPr>
      <w:r w:rsidRPr="000E1775">
        <w:rPr>
          <w:rFonts w:ascii="Times New Roman" w:hAnsi="Times New Roman"/>
          <w:spacing w:val="-2"/>
          <w:sz w:val="22"/>
          <w:szCs w:val="22"/>
          <w:lang w:val="de-DE"/>
        </w:rPr>
        <w:t>Vengrija</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0E177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8.</w:t>
      </w:r>
      <w:r w:rsidRPr="000E1775">
        <w:rPr>
          <w:rFonts w:ascii="Times New Roman" w:hAnsi="Times New Roman"/>
          <w:sz w:val="22"/>
          <w:szCs w:val="22"/>
          <w:lang w:val="lt-LT"/>
        </w:rPr>
        <w:tab/>
        <w:t xml:space="preserve">REGISTRACIJOS </w:t>
      </w:r>
      <w:r w:rsidRPr="000E1775">
        <w:rPr>
          <w:rFonts w:ascii="Times New Roman" w:hAnsi="Times New Roman"/>
          <w:noProof/>
          <w:sz w:val="22"/>
          <w:szCs w:val="22"/>
          <w:lang w:val="lt-LT"/>
        </w:rPr>
        <w:t>PAŽYMĖJIMO</w:t>
      </w:r>
      <w:r w:rsidRPr="000E1775">
        <w:rPr>
          <w:rFonts w:ascii="Times New Roman" w:hAnsi="Times New Roman"/>
          <w:sz w:val="22"/>
          <w:szCs w:val="22"/>
          <w:lang w:val="lt-LT"/>
        </w:rPr>
        <w:t xml:space="preserve"> NUMERIS (-IAI) </w:t>
      </w:r>
    </w:p>
    <w:p w:rsidR="00E5066C" w:rsidRPr="000E1775" w:rsidRDefault="00E5066C" w:rsidP="00E5066C">
      <w:pPr>
        <w:rPr>
          <w:rFonts w:ascii="Times New Roman" w:hAnsi="Times New Roman"/>
          <w:sz w:val="22"/>
          <w:szCs w:val="22"/>
          <w:lang w:val="lt-LT"/>
        </w:rPr>
      </w:pPr>
    </w:p>
    <w:tbl>
      <w:tblPr>
        <w:tblW w:w="0" w:type="auto"/>
        <w:tblLook w:val="04A0" w:firstRow="1" w:lastRow="0" w:firstColumn="1" w:lastColumn="0" w:noHBand="0" w:noVBand="1"/>
      </w:tblPr>
      <w:tblGrid>
        <w:gridCol w:w="4535"/>
        <w:gridCol w:w="4535"/>
      </w:tblGrid>
      <w:tr w:rsidR="00E5066C" w:rsidRPr="000E1775" w:rsidTr="009852BC">
        <w:tc>
          <w:tcPr>
            <w:tcW w:w="4643" w:type="dxa"/>
            <w:shd w:val="clear" w:color="auto" w:fill="auto"/>
          </w:tcPr>
          <w:p w:rsidR="00E5066C" w:rsidRPr="000E1775" w:rsidRDefault="00E5066C" w:rsidP="009852BC">
            <w:pPr>
              <w:rPr>
                <w:rFonts w:ascii="Times New Roman" w:hAnsi="Times New Roman"/>
                <w:sz w:val="22"/>
                <w:szCs w:val="22"/>
                <w:lang w:val="lt-LT"/>
              </w:rPr>
            </w:pPr>
            <w:r w:rsidRPr="000E1775">
              <w:rPr>
                <w:rFonts w:ascii="Times New Roman" w:hAnsi="Times New Roman"/>
                <w:sz w:val="22"/>
                <w:szCs w:val="22"/>
                <w:lang w:val="lt-LT"/>
              </w:rPr>
              <w:t>VORICONAZOLE RICHTER 50 mg</w:t>
            </w:r>
          </w:p>
          <w:p w:rsidR="00E5066C" w:rsidRPr="000E1775" w:rsidRDefault="00E5066C" w:rsidP="009852BC">
            <w:pPr>
              <w:rPr>
                <w:rFonts w:ascii="Times New Roman" w:hAnsi="Times New Roman"/>
                <w:sz w:val="22"/>
                <w:szCs w:val="22"/>
                <w:lang w:val="lt-LT"/>
              </w:rPr>
            </w:pPr>
            <w:r w:rsidRPr="000E1775">
              <w:rPr>
                <w:rFonts w:ascii="Times New Roman" w:hAnsi="Times New Roman"/>
                <w:sz w:val="22"/>
                <w:szCs w:val="22"/>
                <w:lang w:val="lt-LT"/>
              </w:rPr>
              <w:t>N10 – LT/1/15/3776/001</w:t>
            </w:r>
          </w:p>
          <w:p w:rsidR="00E5066C" w:rsidRPr="000E1775" w:rsidRDefault="00E5066C" w:rsidP="009852BC">
            <w:pPr>
              <w:rPr>
                <w:rFonts w:ascii="Times New Roman" w:hAnsi="Times New Roman"/>
                <w:sz w:val="22"/>
                <w:szCs w:val="22"/>
                <w:lang w:val="lt-LT"/>
              </w:rPr>
            </w:pPr>
            <w:r w:rsidRPr="000E1775">
              <w:rPr>
                <w:rFonts w:ascii="Times New Roman" w:hAnsi="Times New Roman"/>
                <w:sz w:val="22"/>
                <w:szCs w:val="22"/>
                <w:lang w:val="lt-LT"/>
              </w:rPr>
              <w:t>N14 – LT/1/15/3776/002</w:t>
            </w:r>
          </w:p>
          <w:p w:rsidR="00E5066C" w:rsidRPr="000E1775" w:rsidRDefault="00E5066C" w:rsidP="009852BC">
            <w:pPr>
              <w:rPr>
                <w:rFonts w:ascii="Times New Roman" w:hAnsi="Times New Roman"/>
                <w:sz w:val="22"/>
                <w:szCs w:val="22"/>
                <w:lang w:val="lt-LT"/>
              </w:rPr>
            </w:pPr>
            <w:r w:rsidRPr="000E1775">
              <w:rPr>
                <w:rFonts w:ascii="Times New Roman" w:hAnsi="Times New Roman"/>
                <w:sz w:val="22"/>
                <w:szCs w:val="22"/>
                <w:lang w:val="lt-LT"/>
              </w:rPr>
              <w:t>N20 – LT/1/15/3776/003</w:t>
            </w:r>
          </w:p>
          <w:p w:rsidR="00E5066C" w:rsidRPr="000E1775" w:rsidRDefault="00E5066C" w:rsidP="009852BC">
            <w:pPr>
              <w:rPr>
                <w:rFonts w:ascii="Times New Roman" w:hAnsi="Times New Roman"/>
                <w:sz w:val="22"/>
                <w:szCs w:val="22"/>
                <w:lang w:val="lt-LT"/>
              </w:rPr>
            </w:pPr>
            <w:r w:rsidRPr="000E1775">
              <w:rPr>
                <w:rFonts w:ascii="Times New Roman" w:hAnsi="Times New Roman"/>
                <w:sz w:val="22"/>
                <w:szCs w:val="22"/>
                <w:lang w:val="lt-LT"/>
              </w:rPr>
              <w:t>N28 – LT/1/15/3776/004</w:t>
            </w:r>
          </w:p>
          <w:p w:rsidR="00E5066C" w:rsidRPr="000E1775" w:rsidRDefault="00E5066C" w:rsidP="009852BC">
            <w:pPr>
              <w:rPr>
                <w:rFonts w:ascii="Times New Roman" w:hAnsi="Times New Roman"/>
                <w:sz w:val="22"/>
                <w:szCs w:val="22"/>
                <w:lang w:val="lt-LT"/>
              </w:rPr>
            </w:pPr>
            <w:r w:rsidRPr="000E1775">
              <w:rPr>
                <w:rFonts w:ascii="Times New Roman" w:hAnsi="Times New Roman"/>
                <w:sz w:val="22"/>
                <w:szCs w:val="22"/>
                <w:lang w:val="lt-LT"/>
              </w:rPr>
              <w:t>N30 – LT/1/15/3776/005</w:t>
            </w:r>
          </w:p>
        </w:tc>
        <w:tc>
          <w:tcPr>
            <w:tcW w:w="4643" w:type="dxa"/>
            <w:shd w:val="clear" w:color="auto" w:fill="auto"/>
          </w:tcPr>
          <w:p w:rsidR="00E5066C" w:rsidRPr="000E1775" w:rsidRDefault="00E5066C" w:rsidP="009852BC">
            <w:pPr>
              <w:rPr>
                <w:rFonts w:ascii="Times New Roman" w:hAnsi="Times New Roman"/>
                <w:sz w:val="22"/>
                <w:szCs w:val="22"/>
                <w:lang w:val="lt-LT"/>
              </w:rPr>
            </w:pPr>
            <w:r w:rsidRPr="000E1775">
              <w:rPr>
                <w:rFonts w:ascii="Times New Roman" w:hAnsi="Times New Roman"/>
                <w:sz w:val="22"/>
                <w:szCs w:val="22"/>
                <w:lang w:val="lt-LT"/>
              </w:rPr>
              <w:t>VORICONAZOLE RICHTER 200 mg</w:t>
            </w:r>
          </w:p>
          <w:p w:rsidR="00E5066C" w:rsidRPr="000E1775" w:rsidRDefault="00E5066C" w:rsidP="009852BC">
            <w:pPr>
              <w:rPr>
                <w:rFonts w:ascii="Times New Roman" w:hAnsi="Times New Roman"/>
                <w:sz w:val="22"/>
                <w:szCs w:val="22"/>
                <w:lang w:val="lt-LT"/>
              </w:rPr>
            </w:pPr>
            <w:r w:rsidRPr="000E1775">
              <w:rPr>
                <w:rFonts w:ascii="Times New Roman" w:hAnsi="Times New Roman"/>
                <w:sz w:val="22"/>
                <w:szCs w:val="22"/>
                <w:lang w:val="lt-LT"/>
              </w:rPr>
              <w:t>N10 – LT/1/15/3776/006</w:t>
            </w:r>
          </w:p>
          <w:p w:rsidR="00E5066C" w:rsidRPr="000E1775" w:rsidRDefault="00E5066C" w:rsidP="009852BC">
            <w:pPr>
              <w:rPr>
                <w:rFonts w:ascii="Times New Roman" w:hAnsi="Times New Roman"/>
                <w:sz w:val="22"/>
                <w:szCs w:val="22"/>
                <w:lang w:val="lt-LT"/>
              </w:rPr>
            </w:pPr>
            <w:r w:rsidRPr="000E1775">
              <w:rPr>
                <w:rFonts w:ascii="Times New Roman" w:hAnsi="Times New Roman"/>
                <w:sz w:val="22"/>
                <w:szCs w:val="22"/>
                <w:lang w:val="lt-LT"/>
              </w:rPr>
              <w:t>N14 – LT/1/15/3776/007</w:t>
            </w:r>
          </w:p>
          <w:p w:rsidR="00E5066C" w:rsidRPr="000E1775" w:rsidRDefault="00E5066C" w:rsidP="009852BC">
            <w:pPr>
              <w:rPr>
                <w:rFonts w:ascii="Times New Roman" w:hAnsi="Times New Roman"/>
                <w:sz w:val="22"/>
                <w:szCs w:val="22"/>
                <w:lang w:val="lt-LT"/>
              </w:rPr>
            </w:pPr>
            <w:r w:rsidRPr="000E1775">
              <w:rPr>
                <w:rFonts w:ascii="Times New Roman" w:hAnsi="Times New Roman"/>
                <w:sz w:val="22"/>
                <w:szCs w:val="22"/>
                <w:lang w:val="lt-LT"/>
              </w:rPr>
              <w:t>N20 – LT/1/15/3776/008</w:t>
            </w:r>
          </w:p>
          <w:p w:rsidR="00E5066C" w:rsidRPr="000E1775" w:rsidRDefault="00E5066C" w:rsidP="009852BC">
            <w:pPr>
              <w:rPr>
                <w:rFonts w:ascii="Times New Roman" w:hAnsi="Times New Roman"/>
                <w:sz w:val="22"/>
                <w:szCs w:val="22"/>
                <w:lang w:val="lt-LT"/>
              </w:rPr>
            </w:pPr>
            <w:r w:rsidRPr="000E1775">
              <w:rPr>
                <w:rFonts w:ascii="Times New Roman" w:hAnsi="Times New Roman"/>
                <w:sz w:val="22"/>
                <w:szCs w:val="22"/>
                <w:lang w:val="lt-LT"/>
              </w:rPr>
              <w:t>N28 – LT/1/15/3776/009</w:t>
            </w:r>
          </w:p>
          <w:p w:rsidR="00E5066C" w:rsidRPr="000E1775" w:rsidRDefault="00E5066C" w:rsidP="009852BC">
            <w:pPr>
              <w:rPr>
                <w:rFonts w:ascii="Times New Roman" w:hAnsi="Times New Roman"/>
                <w:sz w:val="22"/>
                <w:szCs w:val="22"/>
                <w:lang w:val="lt-LT"/>
              </w:rPr>
            </w:pPr>
            <w:r w:rsidRPr="000E1775">
              <w:rPr>
                <w:rFonts w:ascii="Times New Roman" w:hAnsi="Times New Roman"/>
                <w:sz w:val="22"/>
                <w:szCs w:val="22"/>
                <w:lang w:val="lt-LT"/>
              </w:rPr>
              <w:t>N30 – LT/1/15/3776/010</w:t>
            </w:r>
          </w:p>
        </w:tc>
      </w:tr>
    </w:tbl>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0E177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9.</w:t>
      </w:r>
      <w:r w:rsidRPr="000E1775">
        <w:rPr>
          <w:rFonts w:ascii="Times New Roman" w:hAnsi="Times New Roman"/>
          <w:sz w:val="22"/>
          <w:szCs w:val="22"/>
          <w:lang w:val="lt-LT"/>
        </w:rPr>
        <w:tab/>
        <w:t>REGISTRAVIMO / PERREGISTRAVIMO DATA</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Registravimo data: 2015 m. liepos mėn. 28 d.</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0E177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10.</w:t>
      </w:r>
      <w:r w:rsidRPr="000E1775">
        <w:rPr>
          <w:rFonts w:ascii="Times New Roman" w:hAnsi="Times New Roman"/>
          <w:sz w:val="22"/>
          <w:szCs w:val="22"/>
          <w:lang w:val="lt-LT"/>
        </w:rPr>
        <w:tab/>
        <w:t>TEKSTO PERŽIŪROS DATA</w:t>
      </w:r>
    </w:p>
    <w:p w:rsidR="00E5066C" w:rsidRPr="000E1775" w:rsidRDefault="00E5066C" w:rsidP="00E5066C">
      <w:pPr>
        <w:rPr>
          <w:rFonts w:ascii="Times New Roman" w:hAnsi="Times New Roman"/>
          <w:sz w:val="22"/>
          <w:szCs w:val="22"/>
          <w:lang w:val="lt-LT"/>
        </w:rPr>
      </w:pPr>
    </w:p>
    <w:p w:rsidR="00E5066C" w:rsidRPr="000E1775" w:rsidRDefault="008D360A" w:rsidP="00E5066C">
      <w:pPr>
        <w:rPr>
          <w:rFonts w:ascii="Times New Roman" w:hAnsi="Times New Roman"/>
          <w:sz w:val="22"/>
          <w:szCs w:val="22"/>
          <w:lang w:val="lt-LT"/>
        </w:rPr>
      </w:pPr>
      <w:r w:rsidRPr="000E1775">
        <w:rPr>
          <w:rFonts w:ascii="Times New Roman" w:hAnsi="Times New Roman"/>
          <w:sz w:val="22"/>
          <w:szCs w:val="22"/>
          <w:lang w:val="lt-LT"/>
        </w:rPr>
        <w:t>2016 m. balandžio 29 d.</w:t>
      </w:r>
    </w:p>
    <w:p w:rsidR="00E5066C" w:rsidRPr="000E1775" w:rsidRDefault="00E5066C" w:rsidP="00E5066C">
      <w:pPr>
        <w:rPr>
          <w:rFonts w:ascii="Times New Roman" w:hAnsi="Times New Roman"/>
          <w:sz w:val="22"/>
          <w:szCs w:val="22"/>
          <w:lang w:val="lt-LT"/>
        </w:rPr>
      </w:pPr>
    </w:p>
    <w:p w:rsidR="00E5066C" w:rsidRPr="000E1775" w:rsidRDefault="00E5066C" w:rsidP="00E5066C">
      <w:pPr>
        <w:pStyle w:val="Paprastasistekstas"/>
        <w:tabs>
          <w:tab w:val="left" w:pos="5954"/>
          <w:tab w:val="left" w:pos="6237"/>
          <w:tab w:val="left" w:pos="6663"/>
          <w:tab w:val="left" w:pos="6946"/>
        </w:tabs>
        <w:rPr>
          <w:rFonts w:ascii="Times New Roman" w:hAnsi="Times New Roman"/>
          <w:sz w:val="22"/>
          <w:szCs w:val="22"/>
          <w:lang w:val="lt-LT"/>
        </w:rPr>
      </w:pPr>
      <w:r w:rsidRPr="000E177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E1775">
        <w:rPr>
          <w:rFonts w:ascii="Times New Roman" w:hAnsi="Times New Roman"/>
          <w:i/>
          <w:noProof/>
          <w:sz w:val="22"/>
          <w:szCs w:val="22"/>
          <w:lang w:val="lt-LT"/>
        </w:rPr>
        <w:t xml:space="preserve"> </w:t>
      </w:r>
      <w:hyperlink r:id="rId7" w:history="1">
        <w:r w:rsidRPr="000E1775">
          <w:rPr>
            <w:rStyle w:val="Hipersaitas"/>
            <w:rFonts w:ascii="Times New Roman" w:hAnsi="Times New Roman"/>
            <w:noProof/>
            <w:sz w:val="22"/>
            <w:szCs w:val="22"/>
            <w:lang w:val="lt-LT"/>
          </w:rPr>
          <w:t>http://www.</w:t>
        </w:r>
        <w:r w:rsidRPr="000E1775">
          <w:rPr>
            <w:rStyle w:val="Hipersaitas"/>
            <w:rFonts w:ascii="Times New Roman" w:hAnsi="Times New Roman"/>
            <w:sz w:val="22"/>
            <w:szCs w:val="22"/>
            <w:lang w:val="lt-LT"/>
          </w:rPr>
          <w:t>vvkt.lt</w:t>
        </w:r>
      </w:hyperlink>
    </w:p>
    <w:p w:rsidR="00E5066C" w:rsidRPr="000E1775" w:rsidRDefault="00E5066C" w:rsidP="00E5066C">
      <w:pPr>
        <w:pStyle w:val="Paprastasistekstas"/>
        <w:tabs>
          <w:tab w:val="left" w:pos="5954"/>
          <w:tab w:val="left" w:pos="6237"/>
          <w:tab w:val="left" w:pos="6663"/>
          <w:tab w:val="left" w:pos="6946"/>
        </w:tabs>
        <w:jc w:val="center"/>
        <w:rPr>
          <w:rFonts w:ascii="Times New Roman" w:hAnsi="Times New Roman"/>
          <w:noProof/>
          <w:sz w:val="22"/>
          <w:szCs w:val="22"/>
          <w:lang w:val="lt-LT"/>
        </w:rPr>
      </w:pPr>
      <w:r w:rsidRPr="000E1775">
        <w:rPr>
          <w:rFonts w:ascii="Times New Roman" w:hAnsi="Times New Roman"/>
          <w:sz w:val="22"/>
          <w:szCs w:val="22"/>
          <w:lang w:val="lt-LT"/>
        </w:rPr>
        <w:br w:type="page"/>
      </w: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noProof/>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p>
    <w:p w:rsidR="00E5066C" w:rsidRPr="000E1775" w:rsidRDefault="00E5066C" w:rsidP="00E5066C">
      <w:pPr>
        <w:jc w:val="center"/>
        <w:rPr>
          <w:rFonts w:ascii="Times New Roman" w:hAnsi="Times New Roman"/>
          <w:b/>
          <w:sz w:val="22"/>
          <w:szCs w:val="22"/>
          <w:lang w:val="lt-LT"/>
        </w:rPr>
      </w:pPr>
      <w:r w:rsidRPr="000E1775">
        <w:rPr>
          <w:rFonts w:ascii="Times New Roman" w:hAnsi="Times New Roman"/>
          <w:b/>
          <w:sz w:val="22"/>
          <w:szCs w:val="22"/>
          <w:lang w:val="lt-LT"/>
        </w:rPr>
        <w:t>II PRIEDAS</w:t>
      </w:r>
    </w:p>
    <w:p w:rsidR="00E5066C" w:rsidRPr="000E1775" w:rsidRDefault="00E5066C" w:rsidP="00E5066C">
      <w:pPr>
        <w:ind w:left="1701" w:right="1416" w:hanging="567"/>
        <w:rPr>
          <w:rFonts w:ascii="Times New Roman" w:hAnsi="Times New Roman"/>
          <w:sz w:val="22"/>
          <w:szCs w:val="22"/>
          <w:lang w:val="lt-LT"/>
        </w:rPr>
      </w:pPr>
    </w:p>
    <w:p w:rsidR="00E5066C" w:rsidRPr="000E1775" w:rsidRDefault="00E5066C" w:rsidP="00E5066C">
      <w:pPr>
        <w:jc w:val="center"/>
        <w:rPr>
          <w:rFonts w:ascii="Times New Roman" w:hAnsi="Times New Roman"/>
          <w:i/>
          <w:sz w:val="22"/>
          <w:szCs w:val="22"/>
          <w:lang w:val="lt-LT"/>
        </w:rPr>
      </w:pPr>
      <w:r w:rsidRPr="000E1775">
        <w:rPr>
          <w:rFonts w:ascii="Times New Roman" w:hAnsi="Times New Roman"/>
          <w:b/>
          <w:sz w:val="22"/>
          <w:szCs w:val="22"/>
          <w:lang w:val="lt-LT"/>
        </w:rPr>
        <w:t>REGISTRACIJOS SĄLYGOS</w:t>
      </w:r>
    </w:p>
    <w:p w:rsidR="00E5066C" w:rsidRPr="000E1775" w:rsidRDefault="00E5066C" w:rsidP="00E5066C">
      <w:pPr>
        <w:rPr>
          <w:rFonts w:ascii="Times New Roman" w:hAnsi="Times New Roman"/>
          <w:sz w:val="22"/>
          <w:szCs w:val="22"/>
          <w:lang w:val="lt-LT"/>
        </w:rPr>
      </w:pPr>
    </w:p>
    <w:p w:rsidR="00E5066C" w:rsidRPr="000E1775" w:rsidRDefault="00E5066C" w:rsidP="00E5066C">
      <w:pPr>
        <w:tabs>
          <w:tab w:val="left" w:pos="1701"/>
        </w:tabs>
        <w:ind w:left="1701" w:right="567" w:hanging="567"/>
        <w:rPr>
          <w:rFonts w:ascii="Times New Roman" w:hAnsi="Times New Roman"/>
          <w:b/>
          <w:noProof/>
          <w:sz w:val="22"/>
          <w:szCs w:val="22"/>
          <w:lang w:val="lt-LT"/>
        </w:rPr>
      </w:pPr>
      <w:r w:rsidRPr="000E1775">
        <w:rPr>
          <w:rFonts w:ascii="Times New Roman" w:hAnsi="Times New Roman"/>
          <w:b/>
          <w:noProof/>
          <w:sz w:val="22"/>
          <w:szCs w:val="22"/>
          <w:lang w:val="lt-LT"/>
        </w:rPr>
        <w:t>A.</w:t>
      </w:r>
      <w:r w:rsidRPr="000E1775">
        <w:rPr>
          <w:rFonts w:ascii="Times New Roman" w:hAnsi="Times New Roman"/>
          <w:b/>
          <w:noProof/>
          <w:sz w:val="22"/>
          <w:szCs w:val="22"/>
          <w:lang w:val="lt-LT"/>
        </w:rPr>
        <w:tab/>
        <w:t>GAMINTOJAS (-AI), ATSAKINGAS (-I) UŽ SERIJŲ IŠLEIDIMĄ</w:t>
      </w:r>
    </w:p>
    <w:p w:rsidR="00E5066C" w:rsidRPr="000E1775" w:rsidRDefault="00E5066C" w:rsidP="00E5066C">
      <w:pPr>
        <w:tabs>
          <w:tab w:val="left" w:pos="1701"/>
        </w:tabs>
        <w:ind w:left="567" w:right="567" w:hanging="567"/>
        <w:rPr>
          <w:rFonts w:ascii="Times New Roman" w:hAnsi="Times New Roman"/>
          <w:noProof/>
          <w:sz w:val="22"/>
          <w:szCs w:val="22"/>
          <w:lang w:val="lt-LT"/>
        </w:rPr>
      </w:pPr>
    </w:p>
    <w:p w:rsidR="00E5066C" w:rsidRPr="000E1775" w:rsidRDefault="00E5066C" w:rsidP="00E5066C">
      <w:pPr>
        <w:tabs>
          <w:tab w:val="left" w:pos="1701"/>
        </w:tabs>
        <w:ind w:left="1701" w:right="567" w:hanging="567"/>
        <w:rPr>
          <w:rFonts w:ascii="Times New Roman" w:hAnsi="Times New Roman"/>
          <w:b/>
          <w:sz w:val="22"/>
          <w:szCs w:val="22"/>
          <w:lang w:val="lt-LT"/>
        </w:rPr>
      </w:pPr>
      <w:r w:rsidRPr="000E1775">
        <w:rPr>
          <w:rFonts w:ascii="Times New Roman" w:hAnsi="Times New Roman"/>
          <w:b/>
          <w:sz w:val="22"/>
          <w:szCs w:val="22"/>
          <w:lang w:val="lt-LT"/>
        </w:rPr>
        <w:t>B.</w:t>
      </w:r>
      <w:r w:rsidRPr="000E1775">
        <w:rPr>
          <w:rFonts w:ascii="Times New Roman" w:hAnsi="Times New Roman"/>
          <w:b/>
          <w:sz w:val="22"/>
          <w:szCs w:val="22"/>
          <w:lang w:val="lt-LT"/>
        </w:rPr>
        <w:tab/>
        <w:t>TIEKIMO IR VARTOJIMO SĄLYGOS AR APRIBOJIMAI</w:t>
      </w:r>
    </w:p>
    <w:p w:rsidR="00E5066C" w:rsidRPr="000E1775" w:rsidRDefault="00E5066C" w:rsidP="00E5066C">
      <w:pPr>
        <w:tabs>
          <w:tab w:val="left" w:pos="1701"/>
        </w:tabs>
        <w:ind w:left="567" w:right="567" w:hanging="567"/>
        <w:rPr>
          <w:rFonts w:ascii="Times New Roman" w:hAnsi="Times New Roman"/>
          <w:sz w:val="22"/>
          <w:szCs w:val="22"/>
          <w:lang w:val="lt-LT"/>
        </w:rPr>
      </w:pPr>
    </w:p>
    <w:p w:rsidR="00E5066C" w:rsidRPr="000E1775" w:rsidRDefault="00E5066C" w:rsidP="00E5066C">
      <w:pPr>
        <w:ind w:right="-1"/>
        <w:rPr>
          <w:rFonts w:ascii="Times New Roman" w:hAnsi="Times New Roman"/>
          <w:sz w:val="22"/>
          <w:szCs w:val="22"/>
          <w:lang w:val="lt-LT"/>
        </w:rPr>
      </w:pPr>
    </w:p>
    <w:p w:rsidR="00E5066C" w:rsidRPr="000E1775" w:rsidRDefault="00E5066C" w:rsidP="00E5066C">
      <w:pPr>
        <w:ind w:left="567" w:hanging="567"/>
        <w:rPr>
          <w:rFonts w:ascii="Times New Roman" w:hAnsi="Times New Roman"/>
          <w:b/>
          <w:sz w:val="22"/>
          <w:szCs w:val="22"/>
          <w:lang w:val="lt-LT"/>
        </w:rPr>
      </w:pPr>
      <w:r w:rsidRPr="000E1775">
        <w:rPr>
          <w:rFonts w:ascii="Times New Roman" w:hAnsi="Times New Roman"/>
          <w:sz w:val="22"/>
          <w:szCs w:val="22"/>
          <w:lang w:val="lt-LT"/>
        </w:rPr>
        <w:br w:type="page"/>
      </w:r>
      <w:r w:rsidRPr="000E1775">
        <w:rPr>
          <w:rFonts w:ascii="Times New Roman" w:hAnsi="Times New Roman"/>
          <w:b/>
          <w:sz w:val="22"/>
          <w:szCs w:val="22"/>
          <w:lang w:val="lt-LT"/>
        </w:rPr>
        <w:lastRenderedPageBreak/>
        <w:t>A.</w:t>
      </w:r>
      <w:r w:rsidRPr="000E1775">
        <w:rPr>
          <w:rFonts w:ascii="Times New Roman" w:hAnsi="Times New Roman"/>
          <w:b/>
          <w:sz w:val="22"/>
          <w:szCs w:val="22"/>
          <w:lang w:val="lt-LT"/>
        </w:rPr>
        <w:tab/>
        <w:t>GAMINTOJAS (-AI), ATSAKINGAS (-I) UŽ SERIJŲ IŠLEIDIMĄ</w:t>
      </w:r>
    </w:p>
    <w:p w:rsidR="00E5066C" w:rsidRPr="000E1775" w:rsidRDefault="00E5066C" w:rsidP="00E5066C">
      <w:pPr>
        <w:rPr>
          <w:rFonts w:ascii="Times New Roman" w:hAnsi="Times New Roman"/>
          <w:sz w:val="22"/>
          <w:szCs w:val="22"/>
          <w:lang w:val="lt-LT"/>
        </w:rPr>
      </w:pPr>
    </w:p>
    <w:p w:rsidR="00E5066C" w:rsidRPr="000E1775" w:rsidRDefault="00E5066C" w:rsidP="00E5066C">
      <w:pPr>
        <w:jc w:val="both"/>
        <w:rPr>
          <w:rFonts w:ascii="Times New Roman" w:hAnsi="Times New Roman"/>
          <w:sz w:val="22"/>
          <w:szCs w:val="22"/>
          <w:lang w:val="lt-LT"/>
        </w:rPr>
      </w:pPr>
      <w:r w:rsidRPr="000E1775">
        <w:rPr>
          <w:rFonts w:ascii="Times New Roman" w:hAnsi="Times New Roman"/>
          <w:noProof/>
          <w:sz w:val="22"/>
          <w:szCs w:val="22"/>
          <w:u w:val="single"/>
          <w:lang w:val="lt-LT"/>
        </w:rPr>
        <w:t>Gamintojo (-ų), atsakingo (-ų) už serijų išleidimą, pavadinimas (-ai) ir adresas (-ai)</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pacing w:val="-2"/>
          <w:sz w:val="22"/>
          <w:szCs w:val="22"/>
          <w:lang w:val="de-DE"/>
        </w:rPr>
      </w:pPr>
      <w:r w:rsidRPr="000E1775">
        <w:rPr>
          <w:rFonts w:ascii="Times New Roman" w:hAnsi="Times New Roman"/>
          <w:spacing w:val="-2"/>
          <w:sz w:val="22"/>
          <w:szCs w:val="22"/>
          <w:lang w:val="de-DE"/>
        </w:rPr>
        <w:t>Gedeon Richter Plc.</w:t>
      </w:r>
    </w:p>
    <w:p w:rsidR="00E5066C" w:rsidRPr="000E1775" w:rsidRDefault="00E5066C" w:rsidP="00E5066C">
      <w:pPr>
        <w:jc w:val="both"/>
        <w:rPr>
          <w:rFonts w:ascii="Times New Roman" w:hAnsi="Times New Roman"/>
          <w:spacing w:val="-2"/>
          <w:sz w:val="22"/>
          <w:szCs w:val="22"/>
          <w:lang w:val="de-DE"/>
        </w:rPr>
      </w:pPr>
      <w:r w:rsidRPr="000E1775">
        <w:rPr>
          <w:rFonts w:ascii="Times New Roman" w:hAnsi="Times New Roman"/>
          <w:sz w:val="22"/>
          <w:szCs w:val="22"/>
          <w:lang w:val="de-DE"/>
        </w:rPr>
        <w:t>Gyömrői út 19 – 21</w:t>
      </w:r>
    </w:p>
    <w:p w:rsidR="00E5066C" w:rsidRPr="000E1775" w:rsidRDefault="00E5066C" w:rsidP="00E5066C">
      <w:pPr>
        <w:jc w:val="both"/>
        <w:rPr>
          <w:rFonts w:ascii="Times New Roman" w:hAnsi="Times New Roman"/>
          <w:spacing w:val="-2"/>
          <w:sz w:val="22"/>
          <w:szCs w:val="22"/>
          <w:lang w:val="de-DE"/>
        </w:rPr>
      </w:pPr>
      <w:r w:rsidRPr="000E1775">
        <w:rPr>
          <w:rFonts w:ascii="Times New Roman" w:hAnsi="Times New Roman"/>
          <w:spacing w:val="-2"/>
          <w:sz w:val="22"/>
          <w:szCs w:val="22"/>
          <w:lang w:val="de-DE"/>
        </w:rPr>
        <w:t>1103 Budapest</w:t>
      </w:r>
    </w:p>
    <w:p w:rsidR="00E5066C" w:rsidRPr="000E1775" w:rsidRDefault="00E5066C" w:rsidP="00E5066C">
      <w:pPr>
        <w:jc w:val="both"/>
        <w:rPr>
          <w:rFonts w:ascii="Times New Roman" w:hAnsi="Times New Roman"/>
          <w:spacing w:val="-2"/>
          <w:sz w:val="22"/>
          <w:szCs w:val="22"/>
          <w:lang w:val="de-DE"/>
        </w:rPr>
      </w:pPr>
      <w:r w:rsidRPr="000E1775">
        <w:rPr>
          <w:rFonts w:ascii="Times New Roman" w:hAnsi="Times New Roman"/>
          <w:spacing w:val="-2"/>
          <w:sz w:val="22"/>
          <w:szCs w:val="22"/>
          <w:lang w:val="de-DE"/>
        </w:rPr>
        <w:t>Vengrija</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ind w:left="567" w:hanging="567"/>
        <w:rPr>
          <w:rFonts w:ascii="Times New Roman" w:hAnsi="Times New Roman"/>
          <w:sz w:val="22"/>
          <w:szCs w:val="22"/>
          <w:lang w:val="lt-LT"/>
        </w:rPr>
      </w:pPr>
      <w:r w:rsidRPr="000E1775">
        <w:rPr>
          <w:rFonts w:ascii="Times New Roman" w:hAnsi="Times New Roman"/>
          <w:b/>
          <w:noProof/>
          <w:sz w:val="22"/>
          <w:szCs w:val="22"/>
          <w:lang w:val="lt-LT"/>
        </w:rPr>
        <w:t>B.</w:t>
      </w:r>
      <w:r w:rsidRPr="000E1775">
        <w:rPr>
          <w:rFonts w:ascii="Times New Roman" w:hAnsi="Times New Roman"/>
          <w:b/>
          <w:sz w:val="22"/>
          <w:szCs w:val="22"/>
          <w:lang w:val="lt-LT"/>
        </w:rPr>
        <w:tab/>
      </w:r>
      <w:r w:rsidRPr="000E1775">
        <w:rPr>
          <w:rFonts w:ascii="Times New Roman" w:hAnsi="Times New Roman"/>
          <w:b/>
          <w:noProof/>
          <w:sz w:val="22"/>
          <w:szCs w:val="22"/>
          <w:lang w:val="lt-LT"/>
        </w:rPr>
        <w:t>TIEKIMO IR VARTOJIMO SĄLYGOS AR APRIBOJIMAI</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Receptinis vaistinis preparatas.</w:t>
      </w:r>
    </w:p>
    <w:p w:rsidR="00E5066C" w:rsidRPr="000E1775" w:rsidRDefault="00E5066C" w:rsidP="00E5066C">
      <w:pPr>
        <w:autoSpaceDE w:val="0"/>
        <w:autoSpaceDN w:val="0"/>
        <w:adjustRightInd w:val="0"/>
        <w:rPr>
          <w:rFonts w:ascii="Times New Roman" w:eastAsia="Calibri" w:hAnsi="Times New Roman"/>
          <w:b/>
          <w:bCs/>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br w:type="page"/>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hAnsi="Times New Roman"/>
          <w:b/>
          <w:sz w:val="22"/>
          <w:szCs w:val="22"/>
          <w:lang w:val="lt-LT"/>
        </w:rPr>
      </w:pPr>
    </w:p>
    <w:p w:rsidR="00E5066C" w:rsidRPr="000E1775" w:rsidRDefault="00E5066C" w:rsidP="00E5066C">
      <w:pPr>
        <w:pStyle w:val="Antrat2"/>
        <w:spacing w:before="0" w:after="0"/>
        <w:jc w:val="center"/>
        <w:rPr>
          <w:rFonts w:ascii="Times New Roman" w:hAnsi="Times New Roman"/>
          <w:i w:val="0"/>
          <w:sz w:val="22"/>
          <w:szCs w:val="22"/>
          <w:lang w:val="lt-LT"/>
        </w:rPr>
      </w:pPr>
    </w:p>
    <w:p w:rsidR="00E5066C" w:rsidRPr="000E1775" w:rsidRDefault="00E5066C" w:rsidP="00E5066C">
      <w:pPr>
        <w:pStyle w:val="Antrat2"/>
        <w:spacing w:before="0" w:after="0"/>
        <w:jc w:val="center"/>
        <w:rPr>
          <w:rFonts w:ascii="Times New Roman" w:hAnsi="Times New Roman"/>
          <w:i w:val="0"/>
          <w:sz w:val="22"/>
          <w:szCs w:val="22"/>
          <w:lang w:val="lt-LT"/>
        </w:rPr>
      </w:pPr>
    </w:p>
    <w:p w:rsidR="00E5066C" w:rsidRPr="000E1775" w:rsidRDefault="00E5066C" w:rsidP="00E5066C">
      <w:pPr>
        <w:pStyle w:val="Antrat2"/>
        <w:spacing w:before="0" w:after="0"/>
        <w:jc w:val="center"/>
        <w:rPr>
          <w:rFonts w:ascii="Times New Roman" w:hAnsi="Times New Roman"/>
          <w:i w:val="0"/>
          <w:sz w:val="22"/>
          <w:szCs w:val="22"/>
          <w:lang w:val="lt-LT"/>
        </w:rPr>
      </w:pPr>
    </w:p>
    <w:p w:rsidR="00E5066C" w:rsidRPr="000E1775" w:rsidRDefault="00E5066C" w:rsidP="00E5066C">
      <w:pPr>
        <w:pStyle w:val="Antrat2"/>
        <w:spacing w:before="0" w:after="0"/>
        <w:jc w:val="center"/>
        <w:rPr>
          <w:rFonts w:ascii="Times New Roman" w:hAnsi="Times New Roman"/>
          <w:i w:val="0"/>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Style w:val="Antrat2"/>
        <w:spacing w:before="0" w:after="0"/>
        <w:jc w:val="center"/>
        <w:rPr>
          <w:rFonts w:ascii="Times New Roman" w:hAnsi="Times New Roman"/>
          <w:bCs w:val="0"/>
          <w:i w:val="0"/>
          <w:iCs w:val="0"/>
          <w:sz w:val="22"/>
          <w:szCs w:val="22"/>
          <w:lang w:val="lt-LT"/>
        </w:rPr>
      </w:pPr>
      <w:r w:rsidRPr="000E1775">
        <w:rPr>
          <w:rFonts w:ascii="Times New Roman" w:hAnsi="Times New Roman"/>
          <w:i w:val="0"/>
          <w:sz w:val="22"/>
          <w:szCs w:val="22"/>
          <w:lang w:val="lt-LT"/>
        </w:rPr>
        <w:t>III PRIEDAS</w:t>
      </w:r>
    </w:p>
    <w:p w:rsidR="00E5066C" w:rsidRPr="000E1775" w:rsidRDefault="00E5066C" w:rsidP="00E5066C">
      <w:pPr>
        <w:rPr>
          <w:rFonts w:ascii="Times New Roman" w:hAnsi="Times New Roman"/>
          <w:sz w:val="22"/>
          <w:szCs w:val="22"/>
          <w:lang w:val="lt-LT"/>
        </w:rPr>
      </w:pPr>
    </w:p>
    <w:p w:rsidR="00E5066C" w:rsidRPr="000E1775" w:rsidRDefault="00E5066C" w:rsidP="00E5066C">
      <w:pPr>
        <w:pStyle w:val="Antrat2"/>
        <w:spacing w:before="0" w:after="0"/>
        <w:jc w:val="center"/>
        <w:rPr>
          <w:rFonts w:ascii="Times New Roman" w:hAnsi="Times New Roman"/>
          <w:bCs w:val="0"/>
          <w:i w:val="0"/>
          <w:iCs w:val="0"/>
          <w:sz w:val="22"/>
          <w:szCs w:val="22"/>
          <w:lang w:val="lt-LT"/>
        </w:rPr>
      </w:pPr>
      <w:r w:rsidRPr="000E1775">
        <w:rPr>
          <w:rFonts w:ascii="Times New Roman" w:hAnsi="Times New Roman"/>
          <w:i w:val="0"/>
          <w:sz w:val="22"/>
          <w:szCs w:val="22"/>
          <w:lang w:val="lt-LT"/>
        </w:rPr>
        <w:t>ŽENKLINIMAS IR PAKUOTĖS LAPELIS</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br w:type="page"/>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Style w:val="Antrat2"/>
        <w:spacing w:before="0" w:after="0"/>
        <w:jc w:val="center"/>
        <w:rPr>
          <w:rFonts w:ascii="Times New Roman" w:hAnsi="Times New Roman"/>
          <w:bCs w:val="0"/>
          <w:i w:val="0"/>
          <w:iCs w:val="0"/>
          <w:sz w:val="22"/>
          <w:szCs w:val="22"/>
          <w:lang w:val="lt-LT"/>
        </w:rPr>
      </w:pPr>
      <w:r w:rsidRPr="000E1775">
        <w:rPr>
          <w:rFonts w:ascii="Times New Roman" w:hAnsi="Times New Roman"/>
          <w:i w:val="0"/>
          <w:sz w:val="22"/>
          <w:szCs w:val="22"/>
          <w:lang w:val="lt-LT"/>
        </w:rPr>
        <w:t>A. ŽENKLINIMAS</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br w:type="page"/>
      </w:r>
    </w:p>
    <w:p w:rsidR="00E5066C" w:rsidRPr="000E1775" w:rsidRDefault="00E5066C" w:rsidP="00E5066C">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lt-LT"/>
        </w:rPr>
      </w:pPr>
      <w:r w:rsidRPr="000E1775">
        <w:rPr>
          <w:rFonts w:ascii="Times New Roman" w:hAnsi="Times New Roman"/>
          <w:b/>
          <w:noProof/>
          <w:sz w:val="22"/>
          <w:szCs w:val="22"/>
          <w:lang w:val="lt-LT"/>
        </w:rPr>
        <w:t>INFORMACIJA ANT IŠORINĖS PAKUOTĖS</w:t>
      </w:r>
    </w:p>
    <w:p w:rsidR="00E5066C" w:rsidRPr="000E1775" w:rsidRDefault="00E5066C" w:rsidP="00E5066C">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0E1775">
        <w:rPr>
          <w:rFonts w:ascii="Times New Roman" w:hAnsi="Times New Roman"/>
          <w:b/>
          <w:noProof/>
          <w:sz w:val="22"/>
          <w:szCs w:val="22"/>
          <w:lang w:val="lt-LT"/>
        </w:rPr>
        <w:t>KARTONO DĖŽUTĖ</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0E1775">
        <w:rPr>
          <w:rFonts w:ascii="Times New Roman" w:hAnsi="Times New Roman"/>
          <w:b/>
          <w:sz w:val="22"/>
          <w:szCs w:val="22"/>
          <w:lang w:val="lt-LT"/>
        </w:rPr>
        <w:t>1.</w:t>
      </w:r>
      <w:r w:rsidRPr="000E1775">
        <w:rPr>
          <w:rFonts w:ascii="Times New Roman" w:hAnsi="Times New Roman"/>
          <w:b/>
          <w:sz w:val="22"/>
          <w:szCs w:val="22"/>
          <w:lang w:val="lt-LT"/>
        </w:rPr>
        <w:tab/>
      </w:r>
      <w:r w:rsidRPr="000E1775">
        <w:rPr>
          <w:rFonts w:ascii="Times New Roman" w:hAnsi="Times New Roman"/>
          <w:b/>
          <w:caps/>
          <w:noProof/>
          <w:sz w:val="22"/>
          <w:szCs w:val="22"/>
          <w:lang w:val="lt-LT"/>
        </w:rPr>
        <w:t>VAISTINIO</w:t>
      </w:r>
      <w:r w:rsidRPr="000E1775">
        <w:rPr>
          <w:rFonts w:ascii="Times New Roman" w:hAnsi="Times New Roman"/>
          <w:b/>
          <w:noProof/>
          <w:sz w:val="22"/>
          <w:szCs w:val="22"/>
          <w:lang w:val="lt-LT"/>
        </w:rPr>
        <w:t xml:space="preserve"> PREPARATO PAVADINIMAS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VORICONAZOLE RICHTER 50 mg plėvele dengtos tabletės</w:t>
      </w:r>
    </w:p>
    <w:p w:rsidR="00E5066C" w:rsidRPr="000E1775" w:rsidRDefault="00E5066C" w:rsidP="00E5066C">
      <w:pPr>
        <w:rPr>
          <w:rFonts w:ascii="Times New Roman" w:hAnsi="Times New Roman"/>
          <w:noProof/>
          <w:sz w:val="22"/>
          <w:szCs w:val="22"/>
          <w:highlight w:val="lightGray"/>
        </w:rPr>
      </w:pPr>
      <w:r w:rsidRPr="000E1775">
        <w:rPr>
          <w:rFonts w:ascii="Times New Roman" w:hAnsi="Times New Roman"/>
          <w:bCs/>
          <w:sz w:val="22"/>
          <w:szCs w:val="22"/>
          <w:highlight w:val="lightGray"/>
        </w:rPr>
        <w:t>VORICONAZOLE RICHTER 20</w:t>
      </w:r>
      <w:r w:rsidRPr="000E1775">
        <w:rPr>
          <w:rFonts w:ascii="Times New Roman" w:hAnsi="Times New Roman"/>
          <w:noProof/>
          <w:sz w:val="22"/>
          <w:szCs w:val="22"/>
          <w:highlight w:val="lightGray"/>
        </w:rPr>
        <w:t>0 mg plėvele dengtos tabletės</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Voriconazolum</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0E1775">
        <w:rPr>
          <w:rFonts w:ascii="Times New Roman" w:hAnsi="Times New Roman"/>
          <w:b/>
          <w:sz w:val="22"/>
          <w:szCs w:val="22"/>
          <w:lang w:val="lt-LT"/>
        </w:rPr>
        <w:t>2.</w:t>
      </w:r>
      <w:r w:rsidRPr="000E1775">
        <w:rPr>
          <w:rFonts w:ascii="Times New Roman" w:hAnsi="Times New Roman"/>
          <w:b/>
          <w:sz w:val="22"/>
          <w:szCs w:val="22"/>
          <w:lang w:val="lt-LT"/>
        </w:rPr>
        <w:tab/>
      </w:r>
      <w:r w:rsidRPr="000E1775">
        <w:rPr>
          <w:rFonts w:ascii="Times New Roman" w:hAnsi="Times New Roman"/>
          <w:b/>
          <w:noProof/>
          <w:sz w:val="22"/>
          <w:szCs w:val="22"/>
          <w:lang w:val="lt-LT"/>
        </w:rPr>
        <w:t>VEIKLIOJI (-IOS) MEDŽIAGA (-OS) IR JOS (-Ų) KIEKIS (-IAI)</w:t>
      </w:r>
    </w:p>
    <w:p w:rsidR="00E5066C" w:rsidRPr="000E1775" w:rsidRDefault="00E5066C" w:rsidP="00E5066C">
      <w:pPr>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Kiekvienoje plėvele dengtoje tabletėje yra 50 mg vorikonazolo.</w:t>
      </w:r>
    </w:p>
    <w:p w:rsidR="00E5066C" w:rsidRPr="000E1775" w:rsidRDefault="00E5066C" w:rsidP="00E5066C">
      <w:pPr>
        <w:pStyle w:val="BTEMEASMCA"/>
      </w:pPr>
      <w:r w:rsidRPr="000E1775">
        <w:rPr>
          <w:rFonts w:eastAsia="Calibri"/>
          <w:highlight w:val="lightGray"/>
        </w:rPr>
        <w:t>Kiekvienoje</w:t>
      </w:r>
      <w:r w:rsidRPr="000E1775">
        <w:rPr>
          <w:highlight w:val="lightGray"/>
        </w:rPr>
        <w:t xml:space="preserve"> plėvele dengtoje tabletėje yra 200 mg </w:t>
      </w:r>
      <w:r w:rsidRPr="000E1775">
        <w:rPr>
          <w:rFonts w:eastAsia="TimesNewRoman"/>
          <w:highlight w:val="lightGray"/>
        </w:rPr>
        <w:t>vorikonazolo</w:t>
      </w:r>
      <w:r w:rsidRPr="000E1775">
        <w:rPr>
          <w:color w:val="0000FF"/>
          <w:highlight w:val="lightGray"/>
        </w:rPr>
        <w:t>.</w:t>
      </w:r>
    </w:p>
    <w:p w:rsidR="00E5066C" w:rsidRPr="000E1775" w:rsidRDefault="00E5066C" w:rsidP="00E5066C">
      <w:pPr>
        <w:rPr>
          <w:rFonts w:ascii="Times New Roman" w:hAnsi="Times New Roman"/>
          <w:sz w:val="22"/>
          <w:szCs w:val="22"/>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0E1775">
        <w:rPr>
          <w:rFonts w:ascii="Times New Roman" w:hAnsi="Times New Roman"/>
          <w:b/>
          <w:sz w:val="22"/>
          <w:szCs w:val="22"/>
          <w:lang w:val="lt-LT"/>
        </w:rPr>
        <w:t>3.</w:t>
      </w:r>
      <w:r w:rsidRPr="000E1775">
        <w:rPr>
          <w:rFonts w:ascii="Times New Roman" w:hAnsi="Times New Roman"/>
          <w:b/>
          <w:sz w:val="22"/>
          <w:szCs w:val="22"/>
          <w:lang w:val="lt-LT"/>
        </w:rPr>
        <w:tab/>
      </w:r>
      <w:r w:rsidRPr="000E1775">
        <w:rPr>
          <w:rFonts w:ascii="Times New Roman" w:hAnsi="Times New Roman"/>
          <w:b/>
          <w:noProof/>
          <w:sz w:val="22"/>
          <w:szCs w:val="22"/>
          <w:lang w:val="lt-LT"/>
        </w:rPr>
        <w:t>PAGALBINIŲ MEDŽIAGŲ SĄRAŠAS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Sudėtyje taip pat yra laktozės monohidrato.</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Daugiau informacijos žr. pakuotės lapelyje.</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0E1775">
        <w:rPr>
          <w:rFonts w:ascii="Times New Roman" w:hAnsi="Times New Roman"/>
          <w:b/>
          <w:sz w:val="22"/>
          <w:szCs w:val="22"/>
          <w:lang w:val="lt-LT"/>
        </w:rPr>
        <w:t>4.</w:t>
      </w:r>
      <w:r w:rsidRPr="000E1775">
        <w:rPr>
          <w:rFonts w:ascii="Times New Roman" w:hAnsi="Times New Roman"/>
          <w:b/>
          <w:sz w:val="22"/>
          <w:szCs w:val="22"/>
          <w:lang w:val="lt-LT"/>
        </w:rPr>
        <w:tab/>
      </w:r>
      <w:r w:rsidRPr="000E1775">
        <w:rPr>
          <w:rFonts w:ascii="Times New Roman" w:hAnsi="Times New Roman"/>
          <w:b/>
          <w:noProof/>
          <w:sz w:val="22"/>
          <w:szCs w:val="22"/>
          <w:lang w:val="lt-LT"/>
        </w:rPr>
        <w:t>FARMACINĖ FORMA IR KIEKIS PAKUOTĖJE</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highlight w:val="lightGray"/>
          <w:lang w:val="lt-LT"/>
        </w:rPr>
        <w:t>Plėvele dengta tabletė</w:t>
      </w:r>
    </w:p>
    <w:p w:rsidR="00E5066C" w:rsidRPr="000E1775" w:rsidRDefault="00E5066C" w:rsidP="00E5066C">
      <w:pPr>
        <w:rPr>
          <w:rFonts w:ascii="Times New Roman" w:hAnsi="Times New Roman"/>
          <w:sz w:val="22"/>
          <w:szCs w:val="22"/>
          <w:lang w:val="lt-LT"/>
        </w:rPr>
      </w:pPr>
    </w:p>
    <w:p w:rsidR="00E5066C" w:rsidRPr="000E1775" w:rsidRDefault="00E5066C" w:rsidP="00E5066C">
      <w:pPr>
        <w:widowControl w:val="0"/>
        <w:rPr>
          <w:rFonts w:ascii="Times New Roman" w:hAnsi="Times New Roman"/>
          <w:sz w:val="22"/>
          <w:szCs w:val="22"/>
          <w:lang w:val="lt-LT"/>
        </w:rPr>
      </w:pPr>
      <w:r w:rsidRPr="000E1775">
        <w:rPr>
          <w:rFonts w:ascii="Times New Roman" w:hAnsi="Times New Roman"/>
          <w:sz w:val="22"/>
          <w:szCs w:val="22"/>
          <w:lang w:val="lt-LT"/>
        </w:rPr>
        <w:t xml:space="preserve">10 </w:t>
      </w:r>
      <w:r w:rsidRPr="000E1775">
        <w:rPr>
          <w:rFonts w:ascii="Times New Roman" w:hAnsi="Times New Roman"/>
          <w:noProof/>
          <w:sz w:val="22"/>
          <w:szCs w:val="22"/>
          <w:lang w:val="lt-LT"/>
        </w:rPr>
        <w:t>plėvele dengtų tablečių</w:t>
      </w:r>
      <w:r w:rsidRPr="000E1775">
        <w:rPr>
          <w:rFonts w:ascii="Times New Roman" w:hAnsi="Times New Roman"/>
          <w:sz w:val="22"/>
          <w:szCs w:val="22"/>
          <w:lang w:val="lt-LT"/>
        </w:rPr>
        <w:t xml:space="preserve"> </w:t>
      </w:r>
    </w:p>
    <w:p w:rsidR="00E5066C" w:rsidRPr="000E1775" w:rsidRDefault="00E5066C" w:rsidP="00E5066C">
      <w:pPr>
        <w:widowControl w:val="0"/>
        <w:rPr>
          <w:rFonts w:ascii="Times New Roman" w:hAnsi="Times New Roman"/>
          <w:sz w:val="22"/>
          <w:szCs w:val="22"/>
          <w:highlight w:val="lightGray"/>
          <w:lang w:val="lt-LT"/>
        </w:rPr>
      </w:pPr>
      <w:r w:rsidRPr="000E1775">
        <w:rPr>
          <w:rFonts w:ascii="Times New Roman" w:hAnsi="Times New Roman"/>
          <w:sz w:val="22"/>
          <w:szCs w:val="22"/>
          <w:highlight w:val="lightGray"/>
          <w:lang w:val="lt-LT"/>
        </w:rPr>
        <w:t xml:space="preserve">14 </w:t>
      </w:r>
      <w:r w:rsidRPr="000E1775">
        <w:rPr>
          <w:rFonts w:ascii="Times New Roman" w:hAnsi="Times New Roman"/>
          <w:noProof/>
          <w:sz w:val="22"/>
          <w:szCs w:val="22"/>
          <w:highlight w:val="lightGray"/>
          <w:lang w:val="lt-LT"/>
        </w:rPr>
        <w:t>plėvele dengtų tablečių</w:t>
      </w:r>
      <w:r w:rsidRPr="000E1775">
        <w:rPr>
          <w:rFonts w:ascii="Times New Roman" w:hAnsi="Times New Roman"/>
          <w:sz w:val="22"/>
          <w:szCs w:val="22"/>
          <w:highlight w:val="lightGray"/>
          <w:lang w:val="lt-LT"/>
        </w:rPr>
        <w:t xml:space="preserve"> </w:t>
      </w:r>
    </w:p>
    <w:p w:rsidR="00E5066C" w:rsidRPr="000E1775" w:rsidRDefault="00E5066C" w:rsidP="00E5066C">
      <w:pPr>
        <w:widowControl w:val="0"/>
        <w:rPr>
          <w:rFonts w:ascii="Times New Roman" w:hAnsi="Times New Roman"/>
          <w:sz w:val="22"/>
          <w:szCs w:val="22"/>
          <w:highlight w:val="lightGray"/>
          <w:lang w:val="lt-LT"/>
        </w:rPr>
      </w:pPr>
      <w:r w:rsidRPr="000E1775">
        <w:rPr>
          <w:rFonts w:ascii="Times New Roman" w:hAnsi="Times New Roman"/>
          <w:sz w:val="22"/>
          <w:szCs w:val="22"/>
          <w:highlight w:val="lightGray"/>
          <w:lang w:val="lt-LT"/>
        </w:rPr>
        <w:t xml:space="preserve">20 </w:t>
      </w:r>
      <w:r w:rsidRPr="000E1775">
        <w:rPr>
          <w:rFonts w:ascii="Times New Roman" w:hAnsi="Times New Roman"/>
          <w:noProof/>
          <w:sz w:val="22"/>
          <w:szCs w:val="22"/>
          <w:highlight w:val="lightGray"/>
          <w:lang w:val="lt-LT"/>
        </w:rPr>
        <w:t>plėvele dengtų tablečių</w:t>
      </w:r>
      <w:r w:rsidRPr="000E1775">
        <w:rPr>
          <w:rFonts w:ascii="Times New Roman" w:hAnsi="Times New Roman"/>
          <w:sz w:val="22"/>
          <w:szCs w:val="22"/>
          <w:highlight w:val="lightGray"/>
          <w:lang w:val="lt-LT"/>
        </w:rPr>
        <w:t xml:space="preserve"> </w:t>
      </w:r>
    </w:p>
    <w:p w:rsidR="00E5066C" w:rsidRPr="000E1775" w:rsidRDefault="00E5066C" w:rsidP="00E5066C">
      <w:pPr>
        <w:widowControl w:val="0"/>
        <w:rPr>
          <w:rFonts w:ascii="Times New Roman" w:hAnsi="Times New Roman"/>
          <w:sz w:val="22"/>
          <w:szCs w:val="22"/>
          <w:highlight w:val="lightGray"/>
          <w:lang w:val="lt-LT"/>
        </w:rPr>
      </w:pPr>
      <w:r w:rsidRPr="000E1775">
        <w:rPr>
          <w:rFonts w:ascii="Times New Roman" w:hAnsi="Times New Roman"/>
          <w:sz w:val="22"/>
          <w:szCs w:val="22"/>
          <w:highlight w:val="lightGray"/>
          <w:lang w:val="lt-LT"/>
        </w:rPr>
        <w:t xml:space="preserve">28 </w:t>
      </w:r>
      <w:r w:rsidRPr="000E1775">
        <w:rPr>
          <w:rFonts w:ascii="Times New Roman" w:hAnsi="Times New Roman"/>
          <w:noProof/>
          <w:sz w:val="22"/>
          <w:szCs w:val="22"/>
          <w:highlight w:val="lightGray"/>
          <w:lang w:val="lt-LT"/>
        </w:rPr>
        <w:t>plėvele dengtų tablečių</w:t>
      </w:r>
      <w:r w:rsidRPr="000E1775">
        <w:rPr>
          <w:rFonts w:ascii="Times New Roman" w:hAnsi="Times New Roman"/>
          <w:sz w:val="22"/>
          <w:szCs w:val="22"/>
          <w:highlight w:val="lightGray"/>
          <w:lang w:val="lt-LT"/>
        </w:rPr>
        <w:t xml:space="preserve"> </w:t>
      </w:r>
    </w:p>
    <w:p w:rsidR="00E5066C" w:rsidRPr="000E1775" w:rsidRDefault="00E5066C" w:rsidP="00E5066C">
      <w:pPr>
        <w:rPr>
          <w:rFonts w:ascii="Times New Roman" w:hAnsi="Times New Roman"/>
          <w:noProof/>
          <w:sz w:val="22"/>
          <w:szCs w:val="22"/>
          <w:lang w:val="lt-LT"/>
        </w:rPr>
      </w:pPr>
      <w:r w:rsidRPr="000E1775">
        <w:rPr>
          <w:rFonts w:ascii="Times New Roman" w:hAnsi="Times New Roman"/>
          <w:sz w:val="22"/>
          <w:szCs w:val="22"/>
          <w:highlight w:val="lightGray"/>
          <w:lang w:val="lt-LT"/>
        </w:rPr>
        <w:t xml:space="preserve">30 </w:t>
      </w:r>
      <w:r w:rsidRPr="000E1775">
        <w:rPr>
          <w:rFonts w:ascii="Times New Roman" w:hAnsi="Times New Roman"/>
          <w:noProof/>
          <w:sz w:val="22"/>
          <w:szCs w:val="22"/>
          <w:highlight w:val="lightGray"/>
          <w:lang w:val="lt-LT"/>
        </w:rPr>
        <w:t>plėvele dengtų tablečių</w:t>
      </w:r>
      <w:r w:rsidRPr="000E1775">
        <w:rPr>
          <w:rFonts w:ascii="Times New Roman" w:hAnsi="Times New Roman"/>
          <w:sz w:val="22"/>
          <w:szCs w:val="22"/>
          <w:lang w:val="lt-LT"/>
        </w:rPr>
        <w:t xml:space="preserve"> </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0E1775">
        <w:rPr>
          <w:rFonts w:ascii="Times New Roman" w:hAnsi="Times New Roman"/>
          <w:b/>
          <w:sz w:val="22"/>
          <w:szCs w:val="22"/>
          <w:lang w:val="lt-LT"/>
        </w:rPr>
        <w:t>5.</w:t>
      </w:r>
      <w:r w:rsidRPr="000E1775">
        <w:rPr>
          <w:rFonts w:ascii="Times New Roman" w:hAnsi="Times New Roman"/>
          <w:b/>
          <w:sz w:val="22"/>
          <w:szCs w:val="22"/>
          <w:lang w:val="lt-LT"/>
        </w:rPr>
        <w:tab/>
      </w:r>
      <w:r w:rsidRPr="000E1775">
        <w:rPr>
          <w:rFonts w:ascii="Times New Roman" w:hAnsi="Times New Roman"/>
          <w:b/>
          <w:noProof/>
          <w:sz w:val="22"/>
          <w:szCs w:val="22"/>
          <w:lang w:val="lt-LT"/>
        </w:rPr>
        <w:t>VARTOJIMO METODAS IR BŪDAS (-AI)</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Vartoti per burną.</w:t>
      </w: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Prieš vartojimą perskaitykite pakuotės lapelį.</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0E1775">
        <w:rPr>
          <w:rFonts w:ascii="Times New Roman" w:hAnsi="Times New Roman"/>
          <w:b/>
          <w:sz w:val="22"/>
          <w:szCs w:val="22"/>
          <w:lang w:val="lt-LT"/>
        </w:rPr>
        <w:t>6.</w:t>
      </w:r>
      <w:r w:rsidRPr="000E1775">
        <w:rPr>
          <w:rFonts w:ascii="Times New Roman" w:hAnsi="Times New Roman"/>
          <w:b/>
          <w:sz w:val="22"/>
          <w:szCs w:val="22"/>
          <w:lang w:val="lt-LT"/>
        </w:rPr>
        <w:tab/>
      </w:r>
      <w:r w:rsidRPr="000E1775">
        <w:rPr>
          <w:rFonts w:ascii="Times New Roman" w:hAnsi="Times New Roman"/>
          <w:b/>
          <w:noProof/>
          <w:sz w:val="22"/>
          <w:szCs w:val="22"/>
          <w:lang w:val="lt-LT"/>
        </w:rPr>
        <w:t>SPECIALUS ĮSPĖJIMAS, KAD VAISTINĮ PREPARATĄ BŪTINA LAIKYTI VAIKAMS NEPASTEBIMOJE IR  NEPASIEKIAMOJE VIETOJE</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Laikyti vaikams nepastebimoje ir nepasiekiamoje vietoje.</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0E1775">
        <w:rPr>
          <w:rFonts w:ascii="Times New Roman" w:hAnsi="Times New Roman"/>
          <w:b/>
          <w:sz w:val="22"/>
          <w:szCs w:val="22"/>
          <w:lang w:val="lt-LT"/>
        </w:rPr>
        <w:t>7.</w:t>
      </w:r>
      <w:r w:rsidRPr="000E1775">
        <w:rPr>
          <w:rFonts w:ascii="Times New Roman" w:hAnsi="Times New Roman"/>
          <w:b/>
          <w:sz w:val="22"/>
          <w:szCs w:val="22"/>
          <w:lang w:val="lt-LT"/>
        </w:rPr>
        <w:tab/>
      </w:r>
      <w:r w:rsidRPr="000E1775">
        <w:rPr>
          <w:rFonts w:ascii="Times New Roman" w:hAnsi="Times New Roman"/>
          <w:b/>
          <w:noProof/>
          <w:sz w:val="22"/>
          <w:szCs w:val="22"/>
          <w:lang w:val="lt-LT"/>
        </w:rPr>
        <w:t>KITAS (-I) SPECIALUS (-ŪS) ĮSPĖJIMAS (-AI) (JEI REIKIA)</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0E1775">
        <w:rPr>
          <w:rFonts w:ascii="Times New Roman" w:hAnsi="Times New Roman"/>
          <w:b/>
          <w:sz w:val="22"/>
          <w:szCs w:val="22"/>
          <w:lang w:val="lt-LT"/>
        </w:rPr>
        <w:t>8.</w:t>
      </w:r>
      <w:r w:rsidRPr="000E1775">
        <w:rPr>
          <w:rFonts w:ascii="Times New Roman" w:hAnsi="Times New Roman"/>
          <w:b/>
          <w:sz w:val="22"/>
          <w:szCs w:val="22"/>
          <w:lang w:val="lt-LT"/>
        </w:rPr>
        <w:tab/>
      </w:r>
      <w:r w:rsidRPr="000E1775">
        <w:rPr>
          <w:rFonts w:ascii="Times New Roman" w:hAnsi="Times New Roman"/>
          <w:b/>
          <w:noProof/>
          <w:sz w:val="22"/>
          <w:szCs w:val="22"/>
          <w:lang w:val="lt-LT"/>
        </w:rPr>
        <w:t>TINKAMUMO LAIKAS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Tinka iki {mm/MMMM}</w:t>
      </w:r>
    </w:p>
    <w:p w:rsidR="00E5066C" w:rsidRPr="000E1775" w:rsidRDefault="00E5066C" w:rsidP="00E5066C">
      <w:pPr>
        <w:rPr>
          <w:rFonts w:ascii="Times New Roman" w:hAnsi="Times New Roman"/>
          <w:sz w:val="22"/>
          <w:szCs w:val="22"/>
          <w:lang w:val="lt-LT"/>
        </w:rPr>
      </w:pPr>
    </w:p>
    <w:p w:rsidR="00E5066C" w:rsidRPr="000E1775" w:rsidRDefault="00E5066C" w:rsidP="00E5066C">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0E1775">
        <w:rPr>
          <w:rFonts w:ascii="Times New Roman" w:hAnsi="Times New Roman"/>
          <w:b/>
          <w:sz w:val="22"/>
          <w:szCs w:val="22"/>
          <w:lang w:val="lt-LT"/>
        </w:rPr>
        <w:t>9.</w:t>
      </w:r>
      <w:r w:rsidRPr="000E1775">
        <w:rPr>
          <w:rFonts w:ascii="Times New Roman" w:hAnsi="Times New Roman"/>
          <w:b/>
          <w:sz w:val="22"/>
          <w:szCs w:val="22"/>
          <w:lang w:val="lt-LT"/>
        </w:rPr>
        <w:tab/>
      </w:r>
      <w:r w:rsidRPr="000E1775">
        <w:rPr>
          <w:rFonts w:ascii="Times New Roman" w:hAnsi="Times New Roman"/>
          <w:b/>
          <w:noProof/>
          <w:sz w:val="22"/>
          <w:szCs w:val="22"/>
          <w:lang w:val="lt-LT"/>
        </w:rPr>
        <w:t>SPECIALIOS LAIKYMO SĄLYGOS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0E1775">
        <w:rPr>
          <w:rFonts w:ascii="Times New Roman" w:hAnsi="Times New Roman"/>
          <w:b/>
          <w:sz w:val="22"/>
          <w:szCs w:val="22"/>
          <w:lang w:val="lt-LT"/>
        </w:rPr>
        <w:t>10.</w:t>
      </w:r>
      <w:r w:rsidRPr="000E1775">
        <w:rPr>
          <w:rFonts w:ascii="Times New Roman" w:hAnsi="Times New Roman"/>
          <w:b/>
          <w:sz w:val="22"/>
          <w:szCs w:val="22"/>
          <w:lang w:val="lt-LT"/>
        </w:rPr>
        <w:tab/>
      </w:r>
      <w:r w:rsidRPr="000E1775">
        <w:rPr>
          <w:rFonts w:ascii="Times New Roman" w:hAnsi="Times New Roman"/>
          <w:b/>
          <w:noProof/>
          <w:sz w:val="22"/>
          <w:szCs w:val="22"/>
          <w:lang w:val="lt-LT"/>
        </w:rPr>
        <w:t>SPECIALIOS ATSARGUMO PRIEMONĖS DĖL NESUVARTOTO VAISTINIO PREPARATO AR JO ATLIEKŲ TVARKYMO (JEI REIKIA)</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0E1775">
        <w:rPr>
          <w:rFonts w:ascii="Times New Roman" w:hAnsi="Times New Roman"/>
          <w:b/>
          <w:sz w:val="22"/>
          <w:szCs w:val="22"/>
          <w:lang w:val="lt-LT"/>
        </w:rPr>
        <w:t>11.</w:t>
      </w:r>
      <w:r w:rsidRPr="000E1775">
        <w:rPr>
          <w:rFonts w:ascii="Times New Roman" w:hAnsi="Times New Roman"/>
          <w:b/>
          <w:sz w:val="22"/>
          <w:szCs w:val="22"/>
          <w:lang w:val="lt-LT"/>
        </w:rPr>
        <w:tab/>
      </w:r>
      <w:r w:rsidRPr="000E1775">
        <w:rPr>
          <w:rFonts w:ascii="Times New Roman" w:hAnsi="Times New Roman"/>
          <w:b/>
          <w:caps/>
          <w:noProof/>
          <w:sz w:val="22"/>
          <w:szCs w:val="22"/>
          <w:lang w:val="lt-LT"/>
        </w:rPr>
        <w:t>REGISTRUOTOJO PAVADINIMAS IR ADRESAS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pacing w:val="-2"/>
          <w:sz w:val="22"/>
          <w:szCs w:val="22"/>
          <w:lang w:val="de-DE"/>
        </w:rPr>
      </w:pPr>
      <w:r w:rsidRPr="000E1775">
        <w:rPr>
          <w:rFonts w:ascii="Times New Roman" w:hAnsi="Times New Roman"/>
          <w:spacing w:val="-2"/>
          <w:sz w:val="22"/>
          <w:szCs w:val="22"/>
          <w:lang w:val="de-DE"/>
        </w:rPr>
        <w:t>Gedeon Richter Plc.</w:t>
      </w:r>
    </w:p>
    <w:p w:rsidR="00E5066C" w:rsidRPr="000E1775" w:rsidRDefault="00E5066C" w:rsidP="00E5066C">
      <w:pPr>
        <w:jc w:val="both"/>
        <w:rPr>
          <w:rFonts w:ascii="Times New Roman" w:hAnsi="Times New Roman"/>
          <w:spacing w:val="-2"/>
          <w:sz w:val="22"/>
          <w:szCs w:val="22"/>
          <w:lang w:val="de-DE"/>
        </w:rPr>
      </w:pPr>
      <w:r w:rsidRPr="000E1775">
        <w:rPr>
          <w:rFonts w:ascii="Times New Roman" w:hAnsi="Times New Roman"/>
          <w:sz w:val="22"/>
          <w:szCs w:val="22"/>
          <w:lang w:val="de-DE"/>
        </w:rPr>
        <w:t>Gyömrői út 19 – 21</w:t>
      </w:r>
    </w:p>
    <w:p w:rsidR="00E5066C" w:rsidRPr="000E1775" w:rsidRDefault="00E5066C" w:rsidP="00E5066C">
      <w:pPr>
        <w:jc w:val="both"/>
        <w:rPr>
          <w:rFonts w:ascii="Times New Roman" w:hAnsi="Times New Roman"/>
          <w:spacing w:val="-2"/>
          <w:sz w:val="22"/>
          <w:szCs w:val="22"/>
          <w:lang w:val="de-DE"/>
        </w:rPr>
      </w:pPr>
      <w:r w:rsidRPr="000E1775">
        <w:rPr>
          <w:rFonts w:ascii="Times New Roman" w:hAnsi="Times New Roman"/>
          <w:spacing w:val="-2"/>
          <w:sz w:val="22"/>
          <w:szCs w:val="22"/>
          <w:lang w:val="de-DE"/>
        </w:rPr>
        <w:t>1103 Budapest</w:t>
      </w:r>
    </w:p>
    <w:p w:rsidR="00E5066C" w:rsidRPr="000E1775" w:rsidRDefault="00E5066C" w:rsidP="00E5066C">
      <w:pPr>
        <w:rPr>
          <w:rFonts w:ascii="Times New Roman" w:hAnsi="Times New Roman"/>
          <w:sz w:val="22"/>
          <w:szCs w:val="22"/>
          <w:lang w:val="lt-LT"/>
        </w:rPr>
      </w:pPr>
      <w:r w:rsidRPr="000E1775">
        <w:rPr>
          <w:rFonts w:ascii="Times New Roman" w:hAnsi="Times New Roman"/>
          <w:spacing w:val="-2"/>
          <w:sz w:val="22"/>
          <w:szCs w:val="22"/>
          <w:lang w:val="de-DE"/>
        </w:rPr>
        <w:t>Vengrija</w:t>
      </w:r>
      <w:r w:rsidRPr="000E1775">
        <w:rPr>
          <w:rFonts w:ascii="Times New Roman" w:hAnsi="Times New Roman"/>
          <w:noProof/>
          <w:sz w:val="22"/>
          <w:szCs w:val="22"/>
          <w:lang w:val="lt-LT"/>
        </w:rPr>
        <w:t xml:space="preserve"> </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0E1775">
        <w:rPr>
          <w:rFonts w:ascii="Times New Roman" w:hAnsi="Times New Roman"/>
          <w:b/>
          <w:sz w:val="22"/>
          <w:szCs w:val="22"/>
          <w:lang w:val="lt-LT"/>
        </w:rPr>
        <w:t>12.</w:t>
      </w:r>
      <w:r w:rsidRPr="000E1775">
        <w:rPr>
          <w:rFonts w:ascii="Times New Roman" w:hAnsi="Times New Roman"/>
          <w:b/>
          <w:sz w:val="22"/>
          <w:szCs w:val="22"/>
          <w:lang w:val="lt-LT"/>
        </w:rPr>
        <w:tab/>
      </w:r>
      <w:r w:rsidRPr="000E1775">
        <w:rPr>
          <w:rFonts w:ascii="Times New Roman" w:hAnsi="Times New Roman"/>
          <w:b/>
          <w:noProof/>
          <w:sz w:val="22"/>
          <w:szCs w:val="22"/>
          <w:lang w:val="lt-LT"/>
        </w:rPr>
        <w:t>REGISTRACIJOS PAŽYMĖJIMO NUMERIS (-IAI)</w:t>
      </w:r>
      <w:r w:rsidRPr="000E1775">
        <w:rPr>
          <w:rFonts w:ascii="Times New Roman" w:hAnsi="Times New Roman"/>
          <w:b/>
          <w:sz w:val="22"/>
          <w:szCs w:val="22"/>
          <w:lang w:val="lt-LT"/>
        </w:rPr>
        <w:t xml:space="preserve"> </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VORICONAZOLE RICHTER 50 mg</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N10 – LT/1/15/3776/001</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N14 – LT/1/15/3776/002</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N20 – LT/1/15/3776/003</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N28 – LT/1/15/3776/004</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N30 – LT/1/15/3776/005</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VORICONAZOLE RICHTER 200 mg</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N10 – LT/1/15/3776/006</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N14 – LT/1/15/3776/007</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N20 – LT/1/15/3776/008</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N28 – LT/1/15/3776/009</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N30 – LT/1/15/3776/010</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0E1775">
        <w:rPr>
          <w:rFonts w:ascii="Times New Roman" w:hAnsi="Times New Roman"/>
          <w:b/>
          <w:sz w:val="22"/>
          <w:szCs w:val="22"/>
          <w:lang w:val="lt-LT"/>
        </w:rPr>
        <w:t>13.</w:t>
      </w:r>
      <w:r w:rsidRPr="000E1775">
        <w:rPr>
          <w:rFonts w:ascii="Times New Roman" w:hAnsi="Times New Roman"/>
          <w:b/>
          <w:sz w:val="22"/>
          <w:szCs w:val="22"/>
          <w:lang w:val="lt-LT"/>
        </w:rPr>
        <w:tab/>
      </w:r>
      <w:r w:rsidRPr="000E1775">
        <w:rPr>
          <w:rFonts w:ascii="Times New Roman" w:hAnsi="Times New Roman"/>
          <w:b/>
          <w:noProof/>
          <w:sz w:val="22"/>
          <w:szCs w:val="22"/>
          <w:lang w:val="lt-LT"/>
        </w:rPr>
        <w:t xml:space="preserve">SERIJOS NUMERIS </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Serija</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0E1775">
        <w:rPr>
          <w:rFonts w:ascii="Times New Roman" w:hAnsi="Times New Roman"/>
          <w:b/>
          <w:sz w:val="22"/>
          <w:szCs w:val="22"/>
          <w:lang w:val="lt-LT"/>
        </w:rPr>
        <w:t>14.</w:t>
      </w:r>
      <w:r w:rsidRPr="000E1775">
        <w:rPr>
          <w:rFonts w:ascii="Times New Roman" w:hAnsi="Times New Roman"/>
          <w:b/>
          <w:sz w:val="22"/>
          <w:szCs w:val="22"/>
          <w:lang w:val="lt-LT"/>
        </w:rPr>
        <w:tab/>
      </w:r>
      <w:r w:rsidRPr="000E1775">
        <w:rPr>
          <w:rFonts w:ascii="Times New Roman" w:hAnsi="Times New Roman"/>
          <w:b/>
          <w:noProof/>
          <w:sz w:val="22"/>
          <w:szCs w:val="22"/>
          <w:lang w:val="lt-LT"/>
        </w:rPr>
        <w:t>PARDAVIMO (IŠDAVIMO) TVARKA</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Receptinis vaistinis preparatas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2" w:color="auto"/>
          <w:left w:val="single" w:sz="4" w:space="4" w:color="auto"/>
          <w:bottom w:val="single" w:sz="4" w:space="1" w:color="auto"/>
          <w:right w:val="single" w:sz="4" w:space="4" w:color="auto"/>
        </w:pBdr>
        <w:outlineLvl w:val="0"/>
        <w:rPr>
          <w:rFonts w:ascii="Times New Roman" w:hAnsi="Times New Roman"/>
          <w:sz w:val="22"/>
          <w:szCs w:val="22"/>
          <w:lang w:val="lt-LT"/>
        </w:rPr>
      </w:pPr>
      <w:r w:rsidRPr="000E1775">
        <w:rPr>
          <w:rFonts w:ascii="Times New Roman" w:hAnsi="Times New Roman"/>
          <w:b/>
          <w:sz w:val="22"/>
          <w:szCs w:val="22"/>
          <w:lang w:val="lt-LT"/>
        </w:rPr>
        <w:t>15.</w:t>
      </w:r>
      <w:r w:rsidRPr="000E1775">
        <w:rPr>
          <w:rFonts w:ascii="Times New Roman" w:hAnsi="Times New Roman"/>
          <w:b/>
          <w:sz w:val="22"/>
          <w:szCs w:val="22"/>
          <w:lang w:val="lt-LT"/>
        </w:rPr>
        <w:tab/>
      </w:r>
      <w:r w:rsidRPr="000E1775">
        <w:rPr>
          <w:rFonts w:ascii="Times New Roman" w:hAnsi="Times New Roman"/>
          <w:b/>
          <w:noProof/>
          <w:sz w:val="22"/>
          <w:szCs w:val="22"/>
          <w:lang w:val="lt-LT"/>
        </w:rPr>
        <w:t>VARTOJIMO INSTRUKCIJA</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0" w:color="auto"/>
          <w:right w:val="single" w:sz="4" w:space="4" w:color="auto"/>
        </w:pBdr>
        <w:rPr>
          <w:rFonts w:ascii="Times New Roman" w:hAnsi="Times New Roman"/>
          <w:color w:val="008000"/>
          <w:sz w:val="22"/>
          <w:szCs w:val="22"/>
          <w:lang w:val="lt-LT"/>
        </w:rPr>
      </w:pPr>
      <w:r w:rsidRPr="000E1775">
        <w:rPr>
          <w:rFonts w:ascii="Times New Roman" w:hAnsi="Times New Roman"/>
          <w:b/>
          <w:sz w:val="22"/>
          <w:szCs w:val="22"/>
          <w:lang w:val="lt-LT"/>
        </w:rPr>
        <w:t>16.</w:t>
      </w:r>
      <w:r w:rsidRPr="000E1775">
        <w:rPr>
          <w:rFonts w:ascii="Times New Roman" w:hAnsi="Times New Roman"/>
          <w:b/>
          <w:sz w:val="22"/>
          <w:szCs w:val="22"/>
          <w:lang w:val="lt-LT"/>
        </w:rPr>
        <w:tab/>
      </w:r>
      <w:r w:rsidRPr="000E1775">
        <w:rPr>
          <w:rFonts w:ascii="Times New Roman" w:hAnsi="Times New Roman"/>
          <w:b/>
          <w:noProof/>
          <w:sz w:val="22"/>
          <w:szCs w:val="22"/>
          <w:lang w:val="lt-LT"/>
        </w:rPr>
        <w:t>INFORMACIJA BRAILIO RAŠTU</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noProof/>
          <w:sz w:val="22"/>
          <w:szCs w:val="22"/>
          <w:lang w:val="de-DE"/>
        </w:rPr>
      </w:pPr>
      <w:r w:rsidRPr="000E1775">
        <w:rPr>
          <w:rFonts w:ascii="Times New Roman" w:hAnsi="Times New Roman"/>
          <w:noProof/>
          <w:sz w:val="22"/>
          <w:szCs w:val="22"/>
          <w:lang w:val="de-DE"/>
        </w:rPr>
        <w:t>voriconazole richter 50 mg</w:t>
      </w:r>
    </w:p>
    <w:p w:rsidR="00E5066C" w:rsidRPr="000E1775" w:rsidRDefault="00E5066C" w:rsidP="00E5066C">
      <w:pPr>
        <w:rPr>
          <w:rFonts w:ascii="Times New Roman" w:hAnsi="Times New Roman"/>
          <w:noProof/>
          <w:sz w:val="22"/>
          <w:szCs w:val="22"/>
          <w:lang w:val="de-DE"/>
        </w:rPr>
      </w:pPr>
      <w:r w:rsidRPr="000E1775">
        <w:rPr>
          <w:rFonts w:ascii="Times New Roman" w:hAnsi="Times New Roman"/>
          <w:noProof/>
          <w:sz w:val="22"/>
          <w:szCs w:val="22"/>
          <w:highlight w:val="lightGray"/>
          <w:lang w:val="de-DE"/>
        </w:rPr>
        <w:t>voriconazole richter 200 mg</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br w:type="page"/>
      </w:r>
    </w:p>
    <w:p w:rsidR="00E5066C" w:rsidRPr="000E1775" w:rsidRDefault="00E5066C" w:rsidP="00E5066C">
      <w:pPr>
        <w:pBdr>
          <w:top w:val="single" w:sz="4" w:space="1" w:color="auto"/>
          <w:left w:val="single" w:sz="4" w:space="4" w:color="auto"/>
          <w:bottom w:val="single" w:sz="4" w:space="1" w:color="auto"/>
          <w:right w:val="single" w:sz="4" w:space="4" w:color="auto"/>
        </w:pBdr>
        <w:tabs>
          <w:tab w:val="left" w:pos="0"/>
        </w:tabs>
        <w:rPr>
          <w:rFonts w:ascii="Times New Roman" w:hAnsi="Times New Roman"/>
          <w:b/>
          <w:noProof/>
          <w:sz w:val="22"/>
          <w:szCs w:val="22"/>
          <w:lang w:val="lt-LT"/>
        </w:rPr>
      </w:pPr>
      <w:r w:rsidRPr="000E1775">
        <w:rPr>
          <w:rFonts w:ascii="Times New Roman" w:hAnsi="Times New Roman"/>
          <w:b/>
          <w:noProof/>
          <w:sz w:val="22"/>
          <w:szCs w:val="22"/>
          <w:lang w:val="lt-LT"/>
        </w:rPr>
        <w:t>MINIMALI INFORMACIJA ANT LIZDINIŲ PLOKŠTELIŲ ARBA DVISLUOKSNIŲ JUOSTELIŲ</w:t>
      </w:r>
    </w:p>
    <w:p w:rsidR="00E5066C" w:rsidRPr="000E1775" w:rsidRDefault="00E5066C" w:rsidP="00E5066C">
      <w:pPr>
        <w:pBdr>
          <w:top w:val="single" w:sz="4" w:space="1" w:color="auto"/>
          <w:left w:val="single" w:sz="4" w:space="4" w:color="auto"/>
          <w:bottom w:val="single" w:sz="4" w:space="1" w:color="auto"/>
          <w:right w:val="single" w:sz="4" w:space="4" w:color="auto"/>
        </w:pBdr>
        <w:ind w:left="567" w:hanging="567"/>
        <w:rPr>
          <w:rFonts w:ascii="Times New Roman" w:hAnsi="Times New Roman"/>
          <w:b/>
          <w:noProof/>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ind w:left="567" w:hanging="567"/>
        <w:rPr>
          <w:rFonts w:ascii="Times New Roman" w:hAnsi="Times New Roman"/>
          <w:b/>
          <w:noProof/>
          <w:sz w:val="22"/>
          <w:szCs w:val="22"/>
          <w:lang w:val="lt-LT"/>
        </w:rPr>
      </w:pPr>
      <w:r w:rsidRPr="000E1775">
        <w:rPr>
          <w:rFonts w:ascii="Times New Roman" w:hAnsi="Times New Roman"/>
          <w:b/>
          <w:noProof/>
          <w:sz w:val="22"/>
          <w:szCs w:val="22"/>
          <w:lang w:val="lt-LT"/>
        </w:rPr>
        <w:t>LIZDINĖS PLOKŠTELĖS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0E1775">
        <w:rPr>
          <w:rFonts w:ascii="Times New Roman" w:hAnsi="Times New Roman"/>
          <w:b/>
          <w:sz w:val="22"/>
          <w:szCs w:val="22"/>
          <w:lang w:val="lt-LT"/>
        </w:rPr>
        <w:t>1.</w:t>
      </w:r>
      <w:r w:rsidRPr="000E1775">
        <w:rPr>
          <w:rFonts w:ascii="Times New Roman" w:hAnsi="Times New Roman"/>
          <w:b/>
          <w:sz w:val="22"/>
          <w:szCs w:val="22"/>
          <w:lang w:val="lt-LT"/>
        </w:rPr>
        <w:tab/>
      </w:r>
      <w:r w:rsidRPr="000E1775">
        <w:rPr>
          <w:rFonts w:ascii="Times New Roman" w:hAnsi="Times New Roman"/>
          <w:b/>
          <w:caps/>
          <w:noProof/>
          <w:sz w:val="22"/>
          <w:szCs w:val="22"/>
          <w:lang w:val="lt-LT"/>
        </w:rPr>
        <w:t>VAISTINIO</w:t>
      </w:r>
      <w:r w:rsidRPr="000E1775">
        <w:rPr>
          <w:rFonts w:ascii="Times New Roman" w:hAnsi="Times New Roman"/>
          <w:b/>
          <w:noProof/>
          <w:sz w:val="22"/>
          <w:szCs w:val="22"/>
          <w:lang w:val="lt-LT"/>
        </w:rPr>
        <w:t xml:space="preserve"> PREPARATO PAVADINIMAS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VORICONAZOLE RICHTER 50 mg plėvele dengtos tabletės</w:t>
      </w:r>
    </w:p>
    <w:p w:rsidR="00E5066C" w:rsidRPr="000E1775" w:rsidRDefault="00E5066C" w:rsidP="00E5066C">
      <w:pPr>
        <w:rPr>
          <w:rFonts w:ascii="Times New Roman" w:hAnsi="Times New Roman"/>
          <w:noProof/>
          <w:sz w:val="22"/>
          <w:szCs w:val="22"/>
          <w:highlight w:val="lightGray"/>
          <w:lang w:val="lt-LT"/>
        </w:rPr>
      </w:pPr>
      <w:r w:rsidRPr="000E1775">
        <w:rPr>
          <w:rFonts w:ascii="Times New Roman" w:hAnsi="Times New Roman"/>
          <w:bCs/>
          <w:sz w:val="22"/>
          <w:szCs w:val="22"/>
          <w:highlight w:val="lightGray"/>
          <w:lang w:val="lt-LT"/>
        </w:rPr>
        <w:t>VORICONAZOLE RICHTER 20</w:t>
      </w:r>
      <w:r w:rsidRPr="000E1775">
        <w:rPr>
          <w:rFonts w:ascii="Times New Roman" w:hAnsi="Times New Roman"/>
          <w:noProof/>
          <w:sz w:val="22"/>
          <w:szCs w:val="22"/>
          <w:highlight w:val="lightGray"/>
          <w:lang w:val="lt-LT"/>
        </w:rPr>
        <w:t>0 mg plėvele dengtos tabletės</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Voriconazolum</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0E1775">
        <w:rPr>
          <w:rFonts w:ascii="Times New Roman" w:hAnsi="Times New Roman"/>
          <w:b/>
          <w:sz w:val="22"/>
          <w:szCs w:val="22"/>
          <w:lang w:val="lt-LT"/>
        </w:rPr>
        <w:t>2.</w:t>
      </w:r>
      <w:r w:rsidRPr="000E1775">
        <w:rPr>
          <w:rFonts w:ascii="Times New Roman" w:hAnsi="Times New Roman"/>
          <w:b/>
          <w:sz w:val="22"/>
          <w:szCs w:val="22"/>
          <w:lang w:val="lt-LT"/>
        </w:rPr>
        <w:tab/>
      </w:r>
      <w:r w:rsidRPr="000E1775">
        <w:rPr>
          <w:rFonts w:ascii="Times New Roman" w:hAnsi="Times New Roman"/>
          <w:b/>
          <w:caps/>
          <w:noProof/>
          <w:sz w:val="22"/>
          <w:szCs w:val="22"/>
          <w:lang w:val="lt-LT"/>
        </w:rPr>
        <w:t>REGISTRUOTOJO  pavadinimas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pacing w:val="-2"/>
          <w:sz w:val="22"/>
          <w:szCs w:val="22"/>
          <w:lang w:val="de-DE"/>
        </w:rPr>
        <w:t>Gedeon Richter Plc.</w:t>
      </w:r>
      <w:r w:rsidRPr="000E1775">
        <w:rPr>
          <w:rFonts w:ascii="Times New Roman" w:hAnsi="Times New Roman"/>
          <w:noProof/>
          <w:sz w:val="22"/>
          <w:szCs w:val="22"/>
          <w:lang w:val="lt-LT"/>
        </w:rPr>
        <w:t xml:space="preserve"> </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 xml:space="preserve"> </w:t>
      </w: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2" w:color="auto"/>
          <w:right w:val="single" w:sz="4" w:space="4" w:color="auto"/>
        </w:pBdr>
        <w:outlineLvl w:val="0"/>
        <w:rPr>
          <w:rFonts w:ascii="Times New Roman" w:hAnsi="Times New Roman"/>
          <w:b/>
          <w:sz w:val="22"/>
          <w:szCs w:val="22"/>
          <w:lang w:val="lt-LT"/>
        </w:rPr>
      </w:pPr>
      <w:r w:rsidRPr="000E1775">
        <w:rPr>
          <w:rFonts w:ascii="Times New Roman" w:hAnsi="Times New Roman"/>
          <w:b/>
          <w:sz w:val="22"/>
          <w:szCs w:val="22"/>
          <w:lang w:val="lt-LT"/>
        </w:rPr>
        <w:t>3.</w:t>
      </w:r>
      <w:r w:rsidRPr="000E1775">
        <w:rPr>
          <w:rFonts w:ascii="Times New Roman" w:hAnsi="Times New Roman"/>
          <w:b/>
          <w:sz w:val="22"/>
          <w:szCs w:val="22"/>
          <w:lang w:val="lt-LT"/>
        </w:rPr>
        <w:tab/>
      </w:r>
      <w:r w:rsidRPr="000E1775">
        <w:rPr>
          <w:rFonts w:ascii="Times New Roman" w:hAnsi="Times New Roman"/>
          <w:b/>
          <w:noProof/>
          <w:sz w:val="22"/>
          <w:szCs w:val="22"/>
          <w:lang w:val="lt-LT"/>
        </w:rPr>
        <w:t>TINKAMUMO LAIKAS</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highlight w:val="lightGray"/>
        </w:rPr>
        <w:t>[</w:t>
      </w:r>
      <w:r w:rsidRPr="000E1775">
        <w:rPr>
          <w:rFonts w:ascii="Times New Roman" w:hAnsi="Times New Roman"/>
          <w:sz w:val="22"/>
          <w:szCs w:val="22"/>
          <w:highlight w:val="lightGray"/>
          <w:lang w:val="lt-LT"/>
        </w:rPr>
        <w:t>EXP</w:t>
      </w:r>
      <w:r w:rsidRPr="000E1775">
        <w:rPr>
          <w:rFonts w:ascii="Times New Roman" w:hAnsi="Times New Roman"/>
          <w:sz w:val="22"/>
          <w:szCs w:val="22"/>
          <w:highlight w:val="lightGray"/>
        </w:rPr>
        <w:t>]</w:t>
      </w:r>
      <w:r w:rsidRPr="000E1775">
        <w:rPr>
          <w:rFonts w:ascii="Times New Roman" w:hAnsi="Times New Roman"/>
          <w:sz w:val="22"/>
          <w:szCs w:val="22"/>
        </w:rPr>
        <w:t xml:space="preserve"> </w:t>
      </w:r>
      <w:r w:rsidRPr="000E1775">
        <w:rPr>
          <w:rFonts w:ascii="Times New Roman" w:hAnsi="Times New Roman"/>
          <w:sz w:val="22"/>
          <w:szCs w:val="22"/>
          <w:lang w:val="lt-LT"/>
        </w:rPr>
        <w:t xml:space="preserve">{mm/MMMM} </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suppressLineNumbers/>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0E1775">
        <w:rPr>
          <w:rFonts w:ascii="Times New Roman" w:hAnsi="Times New Roman"/>
          <w:b/>
          <w:sz w:val="22"/>
          <w:szCs w:val="22"/>
          <w:lang w:val="lt-LT"/>
        </w:rPr>
        <w:t>4.</w:t>
      </w:r>
      <w:r w:rsidRPr="000E1775">
        <w:rPr>
          <w:rFonts w:ascii="Times New Roman" w:hAnsi="Times New Roman"/>
          <w:b/>
          <w:sz w:val="22"/>
          <w:szCs w:val="22"/>
          <w:lang w:val="lt-LT"/>
        </w:rPr>
        <w:tab/>
      </w:r>
      <w:r w:rsidRPr="000E1775">
        <w:rPr>
          <w:rFonts w:ascii="Times New Roman" w:hAnsi="Times New Roman"/>
          <w:b/>
          <w:noProof/>
          <w:sz w:val="22"/>
          <w:szCs w:val="22"/>
          <w:lang w:val="lt-LT"/>
        </w:rPr>
        <w:t>SERIJOS NUMERIS</w:t>
      </w:r>
    </w:p>
    <w:p w:rsidR="00E5066C" w:rsidRPr="000E1775" w:rsidRDefault="00E5066C" w:rsidP="00E5066C">
      <w:pPr>
        <w:rPr>
          <w:rFonts w:ascii="Times New Roman" w:hAnsi="Times New Roman"/>
          <w:sz w:val="22"/>
          <w:szCs w:val="22"/>
          <w:lang w:val="lt-LT"/>
        </w:rPr>
      </w:pPr>
    </w:p>
    <w:p w:rsidR="00E5066C" w:rsidRPr="000E1775" w:rsidRDefault="00E5066C" w:rsidP="00E5066C">
      <w:pPr>
        <w:outlineLvl w:val="0"/>
        <w:rPr>
          <w:rFonts w:ascii="Times New Roman" w:hAnsi="Times New Roman"/>
          <w:b/>
          <w:sz w:val="22"/>
          <w:szCs w:val="22"/>
          <w:lang w:val="lt-LT"/>
        </w:rPr>
      </w:pPr>
      <w:r w:rsidRPr="000E1775">
        <w:rPr>
          <w:rFonts w:ascii="Times New Roman" w:hAnsi="Times New Roman"/>
          <w:sz w:val="22"/>
          <w:szCs w:val="22"/>
          <w:highlight w:val="lightGray"/>
        </w:rPr>
        <w:t>[</w:t>
      </w:r>
      <w:r w:rsidRPr="000E1775">
        <w:rPr>
          <w:rFonts w:ascii="Times New Roman" w:hAnsi="Times New Roman"/>
          <w:sz w:val="22"/>
          <w:szCs w:val="22"/>
          <w:highlight w:val="lightGray"/>
          <w:lang w:val="lt-LT"/>
        </w:rPr>
        <w:t>Lot</w:t>
      </w:r>
      <w:r w:rsidRPr="000E1775">
        <w:rPr>
          <w:rFonts w:ascii="Times New Roman" w:hAnsi="Times New Roman"/>
          <w:sz w:val="22"/>
          <w:szCs w:val="22"/>
          <w:highlight w:val="lightGray"/>
        </w:rPr>
        <w:t>]</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pBdr>
          <w:top w:val="single" w:sz="4" w:space="1" w:color="auto"/>
          <w:left w:val="single" w:sz="4" w:space="4" w:color="auto"/>
          <w:bottom w:val="single" w:sz="4" w:space="1" w:color="auto"/>
          <w:right w:val="single" w:sz="4" w:space="4" w:color="auto"/>
        </w:pBdr>
        <w:outlineLvl w:val="0"/>
        <w:rPr>
          <w:rFonts w:ascii="Times New Roman" w:hAnsi="Times New Roman"/>
          <w:b/>
          <w:sz w:val="22"/>
          <w:szCs w:val="22"/>
          <w:lang w:val="lt-LT"/>
        </w:rPr>
      </w:pPr>
      <w:r w:rsidRPr="000E1775">
        <w:rPr>
          <w:rFonts w:ascii="Times New Roman" w:hAnsi="Times New Roman"/>
          <w:b/>
          <w:sz w:val="22"/>
          <w:szCs w:val="22"/>
          <w:lang w:val="lt-LT"/>
        </w:rPr>
        <w:t>5.</w:t>
      </w:r>
      <w:r w:rsidRPr="000E1775">
        <w:rPr>
          <w:rFonts w:ascii="Times New Roman" w:hAnsi="Times New Roman"/>
          <w:b/>
          <w:sz w:val="22"/>
          <w:szCs w:val="22"/>
          <w:lang w:val="lt-LT"/>
        </w:rPr>
        <w:tab/>
      </w:r>
      <w:r w:rsidRPr="000E1775">
        <w:rPr>
          <w:rFonts w:ascii="Times New Roman" w:hAnsi="Times New Roman"/>
          <w:b/>
          <w:noProof/>
          <w:sz w:val="22"/>
          <w:szCs w:val="22"/>
          <w:lang w:val="lt-LT"/>
        </w:rPr>
        <w:t>KITA</w:t>
      </w: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br w:type="page"/>
      </w: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outlineLvl w:val="0"/>
        <w:rPr>
          <w:rFonts w:ascii="Times New Roman" w:hAnsi="Times New Roman"/>
          <w:sz w:val="22"/>
          <w:szCs w:val="22"/>
          <w:lang w:val="lt-LT"/>
        </w:rPr>
      </w:pPr>
    </w:p>
    <w:p w:rsidR="00E5066C" w:rsidRPr="000E1775" w:rsidRDefault="00E5066C" w:rsidP="00E5066C">
      <w:pPr>
        <w:jc w:val="center"/>
        <w:outlineLvl w:val="0"/>
        <w:rPr>
          <w:rFonts w:ascii="Times New Roman" w:hAnsi="Times New Roman"/>
          <w:b/>
          <w:sz w:val="22"/>
          <w:szCs w:val="22"/>
          <w:lang w:val="lt-LT"/>
        </w:rPr>
      </w:pPr>
    </w:p>
    <w:p w:rsidR="00E5066C" w:rsidRPr="000E1775" w:rsidRDefault="00E5066C" w:rsidP="00E5066C">
      <w:pPr>
        <w:jc w:val="center"/>
        <w:outlineLvl w:val="0"/>
        <w:rPr>
          <w:rFonts w:ascii="Times New Roman" w:hAnsi="Times New Roman"/>
          <w:b/>
          <w:sz w:val="22"/>
          <w:szCs w:val="22"/>
          <w:lang w:val="lt-LT"/>
        </w:rPr>
      </w:pPr>
    </w:p>
    <w:p w:rsidR="00E5066C" w:rsidRPr="000E1775" w:rsidRDefault="00E5066C" w:rsidP="00E5066C">
      <w:pPr>
        <w:jc w:val="center"/>
        <w:outlineLvl w:val="0"/>
        <w:rPr>
          <w:rFonts w:ascii="Times New Roman" w:hAnsi="Times New Roman"/>
          <w:b/>
          <w:sz w:val="22"/>
          <w:szCs w:val="22"/>
          <w:lang w:val="lt-LT"/>
        </w:rPr>
      </w:pPr>
      <w:r w:rsidRPr="000E1775">
        <w:rPr>
          <w:rFonts w:ascii="Times New Roman" w:hAnsi="Times New Roman"/>
          <w:b/>
          <w:sz w:val="22"/>
          <w:szCs w:val="22"/>
          <w:lang w:val="lt-LT"/>
        </w:rPr>
        <w:t>B. PAKUOTĖS LAPELIS</w:t>
      </w:r>
    </w:p>
    <w:p w:rsidR="00E5066C" w:rsidRPr="000E1775" w:rsidRDefault="00E5066C" w:rsidP="00E5066C">
      <w:pPr>
        <w:pStyle w:val="Antrat2"/>
        <w:spacing w:before="0" w:after="0"/>
        <w:jc w:val="center"/>
        <w:rPr>
          <w:rFonts w:ascii="Times New Roman" w:hAnsi="Times New Roman"/>
          <w:bCs w:val="0"/>
          <w:i w:val="0"/>
          <w:iCs w:val="0"/>
          <w:sz w:val="22"/>
          <w:szCs w:val="22"/>
          <w:lang w:val="lt-LT"/>
        </w:rPr>
      </w:pPr>
      <w:r w:rsidRPr="000E1775">
        <w:rPr>
          <w:rFonts w:ascii="Times New Roman" w:hAnsi="Times New Roman"/>
          <w:i w:val="0"/>
          <w:sz w:val="22"/>
          <w:szCs w:val="22"/>
          <w:lang w:val="lt-LT"/>
        </w:rPr>
        <w:br w:type="page"/>
      </w:r>
      <w:r w:rsidRPr="000E1775">
        <w:rPr>
          <w:rFonts w:ascii="Times New Roman" w:hAnsi="Times New Roman"/>
          <w:i w:val="0"/>
          <w:sz w:val="22"/>
          <w:szCs w:val="22"/>
          <w:lang w:val="lt-LT"/>
        </w:rPr>
        <w:lastRenderedPageBreak/>
        <w:t>Pakuotės lapelis:</w:t>
      </w:r>
      <w:r w:rsidRPr="000E1775">
        <w:rPr>
          <w:rFonts w:ascii="Times New Roman" w:hAnsi="Times New Roman"/>
          <w:bCs w:val="0"/>
          <w:i w:val="0"/>
          <w:iCs w:val="0"/>
          <w:sz w:val="22"/>
          <w:szCs w:val="22"/>
          <w:lang w:val="lt-LT"/>
        </w:rPr>
        <w:t xml:space="preserve"> </w:t>
      </w:r>
      <w:r w:rsidRPr="000E1775">
        <w:rPr>
          <w:rFonts w:ascii="Times New Roman" w:hAnsi="Times New Roman"/>
          <w:i w:val="0"/>
          <w:sz w:val="22"/>
          <w:szCs w:val="22"/>
          <w:lang w:val="lt-LT"/>
        </w:rPr>
        <w:t>informacija vartotojui</w:t>
      </w:r>
    </w:p>
    <w:p w:rsidR="00E5066C" w:rsidRPr="000E1775" w:rsidRDefault="00E5066C" w:rsidP="00E5066C">
      <w:pPr>
        <w:numPr>
          <w:ilvl w:val="12"/>
          <w:numId w:val="0"/>
        </w:numPr>
        <w:shd w:val="clear" w:color="auto" w:fill="FFFFFF"/>
        <w:jc w:val="center"/>
        <w:rPr>
          <w:rFonts w:ascii="Times New Roman" w:hAnsi="Times New Roman"/>
          <w:sz w:val="22"/>
          <w:szCs w:val="22"/>
          <w:lang w:val="lt-LT"/>
        </w:rPr>
      </w:pPr>
    </w:p>
    <w:p w:rsidR="00E5066C" w:rsidRPr="000E1775" w:rsidRDefault="00E5066C" w:rsidP="00E5066C">
      <w:pPr>
        <w:autoSpaceDE w:val="0"/>
        <w:autoSpaceDN w:val="0"/>
        <w:adjustRightInd w:val="0"/>
        <w:jc w:val="center"/>
        <w:rPr>
          <w:rFonts w:ascii="Times New Roman" w:eastAsia="Calibri" w:hAnsi="Times New Roman"/>
          <w:b/>
          <w:sz w:val="22"/>
          <w:szCs w:val="22"/>
          <w:lang w:val="lt-LT"/>
        </w:rPr>
      </w:pPr>
      <w:r w:rsidRPr="000E1775">
        <w:rPr>
          <w:rFonts w:ascii="Times New Roman" w:hAnsi="Times New Roman"/>
          <w:b/>
          <w:sz w:val="22"/>
          <w:szCs w:val="22"/>
          <w:lang w:val="lt-LT"/>
        </w:rPr>
        <w:t>VORICONAZOLE RICHTER 50 mg plėvele dengtos tabletės</w:t>
      </w:r>
    </w:p>
    <w:p w:rsidR="00E5066C" w:rsidRPr="000E1775" w:rsidRDefault="00E5066C" w:rsidP="00E5066C">
      <w:pPr>
        <w:jc w:val="center"/>
        <w:rPr>
          <w:rFonts w:ascii="Times New Roman" w:hAnsi="Times New Roman"/>
          <w:sz w:val="22"/>
          <w:szCs w:val="22"/>
          <w:lang w:val="lt-LT"/>
        </w:rPr>
      </w:pPr>
      <w:r w:rsidRPr="000E1775">
        <w:rPr>
          <w:rFonts w:ascii="Times New Roman" w:hAnsi="Times New Roman"/>
          <w:b/>
          <w:sz w:val="22"/>
          <w:szCs w:val="22"/>
          <w:highlight w:val="lightGray"/>
          <w:lang w:val="lt-LT"/>
        </w:rPr>
        <w:t>VORICONAZOLE RICHTER 200 mg plėvele dengtos tabletės</w:t>
      </w:r>
    </w:p>
    <w:p w:rsidR="00E5066C" w:rsidRPr="000E1775" w:rsidRDefault="00E5066C" w:rsidP="00E5066C">
      <w:pPr>
        <w:jc w:val="center"/>
        <w:rPr>
          <w:rFonts w:ascii="Times New Roman" w:hAnsi="Times New Roman"/>
          <w:sz w:val="22"/>
          <w:szCs w:val="22"/>
          <w:lang w:val="lt-LT"/>
        </w:rPr>
      </w:pPr>
      <w:r w:rsidRPr="000E1775">
        <w:rPr>
          <w:rFonts w:ascii="Times New Roman" w:hAnsi="Times New Roman"/>
          <w:sz w:val="22"/>
          <w:szCs w:val="22"/>
          <w:lang w:val="lt-LT"/>
        </w:rPr>
        <w:t>Vorikonazolas</w:t>
      </w:r>
    </w:p>
    <w:p w:rsidR="00E5066C" w:rsidRPr="000E1775" w:rsidRDefault="00E5066C" w:rsidP="00E5066C">
      <w:pPr>
        <w:rPr>
          <w:rFonts w:ascii="Times New Roman" w:hAnsi="Times New Roman"/>
          <w:sz w:val="22"/>
          <w:szCs w:val="22"/>
          <w:lang w:val="lt-LT"/>
        </w:rPr>
      </w:pPr>
    </w:p>
    <w:p w:rsidR="00E5066C" w:rsidRPr="000E1775" w:rsidRDefault="00E5066C" w:rsidP="00E5066C">
      <w:pPr>
        <w:suppressAutoHyphens/>
        <w:ind w:left="142" w:hanging="142"/>
        <w:rPr>
          <w:rFonts w:ascii="Times New Roman" w:hAnsi="Times New Roman"/>
          <w:sz w:val="22"/>
          <w:szCs w:val="22"/>
          <w:lang w:val="lt-LT"/>
        </w:rPr>
      </w:pPr>
      <w:r w:rsidRPr="000E1775">
        <w:rPr>
          <w:rFonts w:ascii="Times New Roman" w:hAnsi="Times New Roman"/>
          <w:b/>
          <w:noProof/>
          <w:sz w:val="22"/>
          <w:szCs w:val="22"/>
          <w:lang w:val="lt-LT"/>
        </w:rPr>
        <w:t>Atidžiai perskaitykite visą šį lapelį, prieš pradėdami vartoti vaistą, nes jame pateikiama Jums svarbi informacija.</w:t>
      </w:r>
    </w:p>
    <w:p w:rsidR="00E5066C" w:rsidRPr="000E1775" w:rsidRDefault="00E5066C" w:rsidP="00E5066C">
      <w:pPr>
        <w:numPr>
          <w:ilvl w:val="0"/>
          <w:numId w:val="9"/>
        </w:numPr>
        <w:ind w:left="567" w:right="-2" w:hanging="567"/>
        <w:rPr>
          <w:rFonts w:ascii="Times New Roman" w:hAnsi="Times New Roman"/>
          <w:sz w:val="22"/>
          <w:szCs w:val="22"/>
          <w:lang w:val="lt-LT"/>
        </w:rPr>
      </w:pPr>
      <w:r w:rsidRPr="000E1775">
        <w:rPr>
          <w:rFonts w:ascii="Times New Roman" w:hAnsi="Times New Roman"/>
          <w:noProof/>
          <w:sz w:val="22"/>
          <w:szCs w:val="22"/>
          <w:lang w:val="lt-LT"/>
        </w:rPr>
        <w:t>Neišmeskite šio lapelio, nes vėl gali prireikti jį perskaityti.</w:t>
      </w:r>
      <w:r w:rsidRPr="000E1775">
        <w:rPr>
          <w:rFonts w:ascii="Times New Roman" w:hAnsi="Times New Roman"/>
          <w:sz w:val="22"/>
          <w:szCs w:val="22"/>
          <w:lang w:val="lt-LT"/>
        </w:rPr>
        <w:t xml:space="preserve"> </w:t>
      </w:r>
    </w:p>
    <w:p w:rsidR="00E5066C" w:rsidRPr="000E1775" w:rsidRDefault="00E5066C" w:rsidP="00E5066C">
      <w:pPr>
        <w:numPr>
          <w:ilvl w:val="0"/>
          <w:numId w:val="9"/>
        </w:numPr>
        <w:ind w:left="567" w:right="-2" w:hanging="567"/>
        <w:rPr>
          <w:rFonts w:ascii="Times New Roman" w:hAnsi="Times New Roman"/>
          <w:sz w:val="22"/>
          <w:szCs w:val="22"/>
          <w:lang w:val="lt-LT"/>
        </w:rPr>
      </w:pPr>
      <w:r w:rsidRPr="000E1775">
        <w:rPr>
          <w:rFonts w:ascii="Times New Roman" w:hAnsi="Times New Roman"/>
          <w:noProof/>
          <w:sz w:val="22"/>
          <w:szCs w:val="22"/>
          <w:lang w:val="lt-LT"/>
        </w:rPr>
        <w:t>Jeigu kiltų daugiau klausimų, kreipkitės į gydytoją, vaistininką arba slaugytoją.</w:t>
      </w:r>
    </w:p>
    <w:p w:rsidR="00E5066C" w:rsidRPr="000E1775" w:rsidRDefault="00E5066C" w:rsidP="00E5066C">
      <w:pPr>
        <w:ind w:left="567" w:right="-2" w:hanging="567"/>
        <w:rPr>
          <w:rFonts w:ascii="Times New Roman" w:hAnsi="Times New Roman"/>
          <w:sz w:val="22"/>
          <w:szCs w:val="22"/>
          <w:lang w:val="lt-LT"/>
        </w:rPr>
      </w:pPr>
      <w:r w:rsidRPr="000E1775">
        <w:rPr>
          <w:rFonts w:ascii="Times New Roman" w:hAnsi="Times New Roman"/>
          <w:sz w:val="22"/>
          <w:szCs w:val="22"/>
          <w:lang w:val="lt-LT"/>
        </w:rPr>
        <w:t>-</w:t>
      </w:r>
      <w:r w:rsidRPr="000E1775">
        <w:rPr>
          <w:rFonts w:ascii="Times New Roman" w:hAnsi="Times New Roman"/>
          <w:sz w:val="22"/>
          <w:szCs w:val="22"/>
          <w:lang w:val="lt-LT"/>
        </w:rPr>
        <w:tab/>
      </w:r>
      <w:r w:rsidRPr="000E1775">
        <w:rPr>
          <w:rFonts w:ascii="Times New Roman" w:hAnsi="Times New Roman"/>
          <w:noProof/>
          <w:sz w:val="22"/>
          <w:szCs w:val="22"/>
          <w:lang w:val="lt-LT"/>
        </w:rPr>
        <w:t>Šis vaistas skirtas tik Jums, todėl kitiems žmonėms jo duoti negalima.</w:t>
      </w:r>
      <w:r w:rsidRPr="000E1775">
        <w:rPr>
          <w:rFonts w:ascii="Times New Roman" w:hAnsi="Times New Roman"/>
          <w:sz w:val="22"/>
          <w:szCs w:val="22"/>
          <w:lang w:val="lt-LT"/>
        </w:rPr>
        <w:t xml:space="preserve"> </w:t>
      </w:r>
      <w:r w:rsidRPr="000E1775">
        <w:rPr>
          <w:rFonts w:ascii="Times New Roman" w:hAnsi="Times New Roman"/>
          <w:noProof/>
          <w:sz w:val="22"/>
          <w:szCs w:val="22"/>
          <w:lang w:val="lt-LT"/>
        </w:rPr>
        <w:t>Vaistas gali jiems pakenkti (net tiems, kurių ligos požymiai yra tokie patys kaip Jūsų).</w:t>
      </w:r>
      <w:r w:rsidRPr="000E1775">
        <w:rPr>
          <w:rFonts w:ascii="Times New Roman" w:hAnsi="Times New Roman"/>
          <w:color w:val="008000"/>
          <w:sz w:val="22"/>
          <w:szCs w:val="22"/>
          <w:lang w:val="lt-LT"/>
        </w:rPr>
        <w:t xml:space="preserve"> </w:t>
      </w:r>
    </w:p>
    <w:p w:rsidR="00E5066C" w:rsidRPr="000E1775" w:rsidRDefault="00E5066C" w:rsidP="00E5066C">
      <w:pPr>
        <w:numPr>
          <w:ilvl w:val="0"/>
          <w:numId w:val="9"/>
        </w:numPr>
        <w:tabs>
          <w:tab w:val="left" w:pos="567"/>
        </w:tabs>
        <w:ind w:left="567" w:hanging="567"/>
        <w:rPr>
          <w:rFonts w:ascii="Times New Roman" w:hAnsi="Times New Roman"/>
          <w:sz w:val="22"/>
          <w:szCs w:val="22"/>
          <w:lang w:val="lt-LT"/>
        </w:rPr>
      </w:pPr>
      <w:r w:rsidRPr="000E1775">
        <w:rPr>
          <w:rFonts w:ascii="Times New Roman" w:hAnsi="Times New Roman"/>
          <w:noProof/>
          <w:sz w:val="22"/>
          <w:szCs w:val="22"/>
          <w:lang w:val="lt-LT"/>
        </w:rPr>
        <w:t>Jeigu pasireiškė šalutinis poveikis (net jeigu jis šiame lapelyje nenurodytas), kreipkitės į gydytoją, vaistininką arba slaugytoją. Žr. 4 skyrių.</w:t>
      </w:r>
    </w:p>
    <w:p w:rsidR="00E5066C" w:rsidRPr="000E1775" w:rsidRDefault="00E5066C" w:rsidP="00E5066C">
      <w:pPr>
        <w:ind w:right="-2"/>
        <w:rPr>
          <w:rFonts w:ascii="Times New Roman" w:hAnsi="Times New Roman"/>
          <w:sz w:val="22"/>
          <w:szCs w:val="22"/>
          <w:lang w:val="lt-LT"/>
        </w:rPr>
      </w:pPr>
    </w:p>
    <w:p w:rsidR="00E5066C" w:rsidRPr="000E1775" w:rsidRDefault="00E5066C" w:rsidP="00E5066C">
      <w:pPr>
        <w:pStyle w:val="Antrat4"/>
        <w:rPr>
          <w:sz w:val="22"/>
          <w:szCs w:val="22"/>
          <w:lang w:val="lt-LT"/>
        </w:rPr>
      </w:pPr>
      <w:r w:rsidRPr="000E1775">
        <w:rPr>
          <w:sz w:val="22"/>
          <w:szCs w:val="22"/>
          <w:lang w:val="lt-LT"/>
        </w:rPr>
        <w:t>Apie ką rašoma šiame lapelyje?</w:t>
      </w:r>
    </w:p>
    <w:p w:rsidR="00E5066C" w:rsidRPr="000E1775" w:rsidRDefault="00E5066C" w:rsidP="00E5066C">
      <w:pPr>
        <w:numPr>
          <w:ilvl w:val="12"/>
          <w:numId w:val="0"/>
        </w:numPr>
        <w:ind w:left="284" w:right="-2"/>
        <w:rPr>
          <w:rFonts w:ascii="Times New Roman" w:hAnsi="Times New Roman"/>
          <w:sz w:val="22"/>
          <w:szCs w:val="22"/>
          <w:lang w:val="lt-LT"/>
        </w:rPr>
      </w:pPr>
    </w:p>
    <w:p w:rsidR="00E5066C" w:rsidRPr="000E1775" w:rsidRDefault="00E5066C" w:rsidP="00A406A5">
      <w:pPr>
        <w:numPr>
          <w:ilvl w:val="12"/>
          <w:numId w:val="0"/>
        </w:numPr>
        <w:ind w:left="567" w:right="-2" w:hanging="283"/>
        <w:rPr>
          <w:rFonts w:ascii="Times New Roman" w:hAnsi="Times New Roman"/>
          <w:sz w:val="22"/>
          <w:szCs w:val="22"/>
          <w:lang w:val="lt-LT"/>
        </w:rPr>
      </w:pPr>
      <w:r w:rsidRPr="000E1775">
        <w:rPr>
          <w:rFonts w:ascii="Times New Roman" w:hAnsi="Times New Roman"/>
          <w:sz w:val="22"/>
          <w:szCs w:val="22"/>
          <w:lang w:val="lt-LT"/>
        </w:rPr>
        <w:t>1.</w:t>
      </w:r>
      <w:r w:rsidRPr="000E1775">
        <w:rPr>
          <w:rFonts w:ascii="Times New Roman" w:hAnsi="Times New Roman"/>
          <w:sz w:val="22"/>
          <w:szCs w:val="22"/>
          <w:lang w:val="lt-LT"/>
        </w:rPr>
        <w:tab/>
        <w:t xml:space="preserve">Kas yra </w:t>
      </w:r>
      <w:r w:rsidRPr="000E1775">
        <w:rPr>
          <w:rFonts w:ascii="Times New Roman" w:hAnsi="Times New Roman"/>
          <w:sz w:val="22"/>
          <w:szCs w:val="22"/>
          <w:lang w:val="de-DE"/>
        </w:rPr>
        <w:t>VORICONAZOLE RICHTER</w:t>
      </w:r>
      <w:r w:rsidRPr="000E1775">
        <w:rPr>
          <w:rFonts w:ascii="Times New Roman" w:hAnsi="Times New Roman"/>
          <w:b/>
          <w:sz w:val="22"/>
          <w:szCs w:val="22"/>
          <w:lang w:val="de-DE"/>
        </w:rPr>
        <w:t xml:space="preserve"> </w:t>
      </w:r>
      <w:r w:rsidRPr="000E1775">
        <w:rPr>
          <w:rFonts w:ascii="Times New Roman" w:hAnsi="Times New Roman"/>
          <w:sz w:val="22"/>
          <w:szCs w:val="22"/>
          <w:lang w:val="lt-LT"/>
        </w:rPr>
        <w:t xml:space="preserve">ir kam jis vartojamas </w:t>
      </w:r>
    </w:p>
    <w:p w:rsidR="00E5066C" w:rsidRPr="000E1775" w:rsidRDefault="00E5066C" w:rsidP="00A406A5">
      <w:pPr>
        <w:numPr>
          <w:ilvl w:val="12"/>
          <w:numId w:val="0"/>
        </w:numPr>
        <w:ind w:left="567" w:right="-2" w:hanging="283"/>
        <w:rPr>
          <w:rFonts w:ascii="Times New Roman" w:hAnsi="Times New Roman"/>
          <w:sz w:val="22"/>
          <w:szCs w:val="22"/>
          <w:lang w:val="lt-LT"/>
        </w:rPr>
      </w:pPr>
      <w:r w:rsidRPr="000E1775">
        <w:rPr>
          <w:rFonts w:ascii="Times New Roman" w:hAnsi="Times New Roman"/>
          <w:sz w:val="22"/>
          <w:szCs w:val="22"/>
          <w:lang w:val="lt-LT"/>
        </w:rPr>
        <w:t>2.</w:t>
      </w:r>
      <w:r w:rsidRPr="000E1775">
        <w:rPr>
          <w:rFonts w:ascii="Times New Roman" w:hAnsi="Times New Roman"/>
          <w:sz w:val="22"/>
          <w:szCs w:val="22"/>
          <w:lang w:val="lt-LT"/>
        </w:rPr>
        <w:tab/>
      </w:r>
      <w:r w:rsidRPr="000E1775">
        <w:rPr>
          <w:rFonts w:ascii="Times New Roman" w:hAnsi="Times New Roman"/>
          <w:noProof/>
          <w:sz w:val="22"/>
          <w:szCs w:val="22"/>
          <w:lang w:val="lt-LT"/>
        </w:rPr>
        <w:t xml:space="preserve">Kas žinotina prieš vartojant </w:t>
      </w:r>
      <w:r w:rsidRPr="000E1775">
        <w:rPr>
          <w:rFonts w:ascii="Times New Roman" w:hAnsi="Times New Roman"/>
          <w:sz w:val="22"/>
          <w:szCs w:val="22"/>
          <w:lang w:val="lt-LT"/>
        </w:rPr>
        <w:t xml:space="preserve">VORICONAZOLE RICHTER  </w:t>
      </w:r>
    </w:p>
    <w:p w:rsidR="00E5066C" w:rsidRPr="000E1775" w:rsidRDefault="00E5066C" w:rsidP="00A406A5">
      <w:pPr>
        <w:numPr>
          <w:ilvl w:val="12"/>
          <w:numId w:val="0"/>
        </w:numPr>
        <w:ind w:left="567" w:right="-2" w:hanging="283"/>
        <w:rPr>
          <w:rFonts w:ascii="Times New Roman" w:hAnsi="Times New Roman"/>
          <w:sz w:val="22"/>
          <w:szCs w:val="22"/>
          <w:lang w:val="lt-LT"/>
        </w:rPr>
      </w:pPr>
      <w:r w:rsidRPr="000E1775">
        <w:rPr>
          <w:rFonts w:ascii="Times New Roman" w:hAnsi="Times New Roman"/>
          <w:sz w:val="22"/>
          <w:szCs w:val="22"/>
          <w:lang w:val="lt-LT"/>
        </w:rPr>
        <w:t>3.</w:t>
      </w:r>
      <w:r w:rsidRPr="000E1775">
        <w:rPr>
          <w:rFonts w:ascii="Times New Roman" w:hAnsi="Times New Roman"/>
          <w:sz w:val="22"/>
          <w:szCs w:val="22"/>
          <w:lang w:val="lt-LT"/>
        </w:rPr>
        <w:tab/>
      </w:r>
      <w:r w:rsidRPr="000E1775">
        <w:rPr>
          <w:rFonts w:ascii="Times New Roman" w:hAnsi="Times New Roman"/>
          <w:noProof/>
          <w:sz w:val="22"/>
          <w:szCs w:val="22"/>
          <w:lang w:val="lt-LT"/>
        </w:rPr>
        <w:t xml:space="preserve">Kaip vartoti </w:t>
      </w:r>
      <w:r w:rsidRPr="000E1775">
        <w:rPr>
          <w:rFonts w:ascii="Times New Roman" w:hAnsi="Times New Roman"/>
          <w:sz w:val="22"/>
          <w:szCs w:val="22"/>
          <w:lang w:val="lt-LT"/>
        </w:rPr>
        <w:t>VORICONAZOLE RICHTER</w:t>
      </w:r>
      <w:r w:rsidRPr="000E1775">
        <w:rPr>
          <w:rFonts w:ascii="Times New Roman" w:hAnsi="Times New Roman"/>
          <w:b/>
          <w:sz w:val="22"/>
          <w:szCs w:val="22"/>
          <w:lang w:val="lt-LT"/>
        </w:rPr>
        <w:t xml:space="preserve"> </w:t>
      </w:r>
    </w:p>
    <w:p w:rsidR="00E5066C" w:rsidRPr="000E1775" w:rsidRDefault="00E5066C" w:rsidP="00A406A5">
      <w:pPr>
        <w:numPr>
          <w:ilvl w:val="12"/>
          <w:numId w:val="0"/>
        </w:numPr>
        <w:ind w:left="567" w:right="-2" w:hanging="283"/>
        <w:rPr>
          <w:rFonts w:ascii="Times New Roman" w:hAnsi="Times New Roman"/>
          <w:sz w:val="22"/>
          <w:szCs w:val="22"/>
          <w:lang w:val="lt-LT"/>
        </w:rPr>
      </w:pPr>
      <w:r w:rsidRPr="000E1775">
        <w:rPr>
          <w:rFonts w:ascii="Times New Roman" w:hAnsi="Times New Roman"/>
          <w:sz w:val="22"/>
          <w:szCs w:val="22"/>
          <w:lang w:val="lt-LT"/>
        </w:rPr>
        <w:t>4.</w:t>
      </w:r>
      <w:r w:rsidRPr="000E1775">
        <w:rPr>
          <w:rFonts w:ascii="Times New Roman" w:hAnsi="Times New Roman"/>
          <w:sz w:val="22"/>
          <w:szCs w:val="22"/>
          <w:lang w:val="lt-LT"/>
        </w:rPr>
        <w:tab/>
        <w:t xml:space="preserve">Galimas šalutinis poveikis </w:t>
      </w:r>
    </w:p>
    <w:p w:rsidR="00E5066C" w:rsidRPr="000E1775" w:rsidRDefault="00E5066C" w:rsidP="00A406A5">
      <w:pPr>
        <w:numPr>
          <w:ilvl w:val="12"/>
          <w:numId w:val="0"/>
        </w:numPr>
        <w:ind w:left="567" w:right="-2" w:hanging="283"/>
        <w:rPr>
          <w:rFonts w:ascii="Times New Roman" w:hAnsi="Times New Roman"/>
          <w:sz w:val="22"/>
          <w:szCs w:val="22"/>
          <w:lang w:val="lt-LT"/>
        </w:rPr>
      </w:pPr>
      <w:r w:rsidRPr="000E1775">
        <w:rPr>
          <w:rFonts w:ascii="Times New Roman" w:hAnsi="Times New Roman"/>
          <w:sz w:val="22"/>
          <w:szCs w:val="22"/>
          <w:lang w:val="lt-LT"/>
        </w:rPr>
        <w:t>5.</w:t>
      </w:r>
      <w:r w:rsidRPr="000E1775">
        <w:rPr>
          <w:rFonts w:ascii="Times New Roman" w:hAnsi="Times New Roman"/>
          <w:sz w:val="22"/>
          <w:szCs w:val="22"/>
          <w:lang w:val="lt-LT"/>
        </w:rPr>
        <w:tab/>
        <w:t xml:space="preserve">Kaip laikyti VORICONAZOLE RICHTER </w:t>
      </w:r>
    </w:p>
    <w:p w:rsidR="00E5066C" w:rsidRPr="000E1775" w:rsidRDefault="00E5066C" w:rsidP="00A406A5">
      <w:pPr>
        <w:numPr>
          <w:ilvl w:val="12"/>
          <w:numId w:val="0"/>
        </w:numPr>
        <w:ind w:left="567" w:right="-2" w:hanging="283"/>
        <w:rPr>
          <w:rFonts w:ascii="Times New Roman" w:hAnsi="Times New Roman"/>
          <w:sz w:val="22"/>
          <w:szCs w:val="22"/>
          <w:lang w:val="lt-LT"/>
        </w:rPr>
      </w:pPr>
      <w:r w:rsidRPr="000E1775">
        <w:rPr>
          <w:rFonts w:ascii="Times New Roman" w:hAnsi="Times New Roman"/>
          <w:sz w:val="22"/>
          <w:szCs w:val="22"/>
          <w:lang w:val="lt-LT"/>
        </w:rPr>
        <w:t>6.</w:t>
      </w:r>
      <w:r w:rsidRPr="000E1775">
        <w:rPr>
          <w:rFonts w:ascii="Times New Roman" w:hAnsi="Times New Roman"/>
          <w:sz w:val="22"/>
          <w:szCs w:val="22"/>
          <w:lang w:val="lt-LT"/>
        </w:rPr>
        <w:tab/>
      </w:r>
      <w:r w:rsidRPr="000E1775">
        <w:rPr>
          <w:rFonts w:ascii="Times New Roman" w:hAnsi="Times New Roman"/>
          <w:noProof/>
          <w:sz w:val="22"/>
          <w:szCs w:val="22"/>
          <w:lang w:val="lt-LT"/>
        </w:rPr>
        <w:t>Pakuotės turinys ir kita informacija</w:t>
      </w: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A406A5">
      <w:pPr>
        <w:pStyle w:val="Antrat4"/>
        <w:ind w:left="567" w:hanging="567"/>
        <w:rPr>
          <w:sz w:val="22"/>
          <w:szCs w:val="22"/>
          <w:lang w:val="lt-LT"/>
        </w:rPr>
      </w:pPr>
      <w:r w:rsidRPr="000E1775">
        <w:rPr>
          <w:sz w:val="22"/>
          <w:szCs w:val="22"/>
          <w:lang w:val="lt-LT"/>
        </w:rPr>
        <w:t>1.</w:t>
      </w:r>
      <w:r w:rsidRPr="000E1775">
        <w:rPr>
          <w:sz w:val="22"/>
          <w:szCs w:val="22"/>
          <w:lang w:val="lt-LT"/>
        </w:rPr>
        <w:tab/>
        <w:t>Kas yra VORICONAZOLE RICHTER</w:t>
      </w:r>
      <w:r w:rsidRPr="000E1775">
        <w:rPr>
          <w:b w:val="0"/>
          <w:sz w:val="22"/>
          <w:szCs w:val="22"/>
          <w:lang w:val="lt-LT"/>
        </w:rPr>
        <w:t xml:space="preserve"> </w:t>
      </w:r>
      <w:r w:rsidRPr="000E1775">
        <w:rPr>
          <w:sz w:val="22"/>
          <w:szCs w:val="22"/>
          <w:lang w:val="lt-LT"/>
        </w:rPr>
        <w:t>ir kam jis vartojamas</w:t>
      </w: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hAnsi="Times New Roman"/>
          <w:sz w:val="22"/>
          <w:szCs w:val="22"/>
          <w:lang w:val="lt-LT"/>
        </w:rPr>
        <w:t>VORICONAZOLE RICHTER</w:t>
      </w:r>
      <w:r w:rsidRPr="000E1775">
        <w:rPr>
          <w:rFonts w:ascii="Times New Roman" w:hAnsi="Times New Roman"/>
          <w:b/>
          <w:sz w:val="22"/>
          <w:szCs w:val="22"/>
          <w:lang w:val="lt-LT"/>
        </w:rPr>
        <w:t xml:space="preserve"> </w:t>
      </w:r>
      <w:r w:rsidRPr="000E1775">
        <w:rPr>
          <w:rFonts w:ascii="Times New Roman" w:eastAsia="Calibri" w:hAnsi="Times New Roman"/>
          <w:sz w:val="22"/>
          <w:szCs w:val="22"/>
          <w:lang w:val="lt-LT"/>
        </w:rPr>
        <w:t xml:space="preserve">sudėtyje yra veikliosios medžiagos vorikonazolo. </w:t>
      </w:r>
      <w:r w:rsidRPr="000E1775">
        <w:rPr>
          <w:rFonts w:ascii="Times New Roman" w:hAnsi="Times New Roman"/>
          <w:sz w:val="22"/>
          <w:szCs w:val="22"/>
          <w:lang w:val="lt-LT"/>
        </w:rPr>
        <w:t>VORICONAZOLE RICHTER</w:t>
      </w:r>
      <w:r w:rsidRPr="000E1775">
        <w:rPr>
          <w:rFonts w:ascii="Times New Roman" w:hAnsi="Times New Roman"/>
          <w:b/>
          <w:sz w:val="22"/>
          <w:szCs w:val="22"/>
          <w:lang w:val="lt-LT"/>
        </w:rPr>
        <w:t xml:space="preserve"> </w:t>
      </w:r>
      <w:r w:rsidRPr="000E1775">
        <w:rPr>
          <w:rFonts w:ascii="Times New Roman" w:eastAsia="Calibri" w:hAnsi="Times New Roman"/>
          <w:sz w:val="22"/>
          <w:szCs w:val="22"/>
          <w:lang w:val="lt-LT"/>
        </w:rPr>
        <w:t>yra priešgrybelinis vaistas. Jis sunaikina užkrečiamąsias ligas sukeliančius grybelius arba stabdo jų augimą.</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Vorikonazolu gydomi pacientai (suaugusieji ir 2 metų </w:t>
      </w:r>
      <w:r w:rsidR="00075844" w:rsidRPr="000E1775">
        <w:rPr>
          <w:rFonts w:ascii="Times New Roman" w:eastAsia="Calibri" w:hAnsi="Times New Roman"/>
          <w:sz w:val="22"/>
          <w:szCs w:val="22"/>
          <w:lang w:val="lt-LT"/>
        </w:rPr>
        <w:t xml:space="preserve">bei vyresni </w:t>
      </w:r>
      <w:r w:rsidRPr="000E1775">
        <w:rPr>
          <w:rFonts w:ascii="Times New Roman" w:eastAsia="Calibri" w:hAnsi="Times New Roman"/>
          <w:sz w:val="22"/>
          <w:szCs w:val="22"/>
          <w:lang w:val="lt-LT"/>
        </w:rPr>
        <w:t>vaikai), kuriems yra diagnozuota:</w:t>
      </w:r>
    </w:p>
    <w:p w:rsidR="00E5066C" w:rsidRPr="000E1775" w:rsidRDefault="00E5066C" w:rsidP="00E5066C">
      <w:pPr>
        <w:numPr>
          <w:ilvl w:val="0"/>
          <w:numId w:val="9"/>
        </w:num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invazinė aspergiliozė (</w:t>
      </w:r>
      <w:r w:rsidRPr="000E1775">
        <w:rPr>
          <w:rFonts w:ascii="Times New Roman" w:eastAsia="TimesNewRoman,Italic" w:hAnsi="Times New Roman"/>
          <w:i/>
          <w:iCs/>
          <w:sz w:val="22"/>
          <w:szCs w:val="22"/>
          <w:lang w:val="lt-LT"/>
        </w:rPr>
        <w:t xml:space="preserve">Aspergillus </w:t>
      </w:r>
      <w:r w:rsidRPr="000E1775">
        <w:rPr>
          <w:rFonts w:ascii="Times New Roman" w:eastAsia="Calibri" w:hAnsi="Times New Roman"/>
          <w:sz w:val="22"/>
          <w:szCs w:val="22"/>
          <w:lang w:val="lt-LT"/>
        </w:rPr>
        <w:t>rūšių grybelių sukelta infekcinė liga);</w:t>
      </w:r>
    </w:p>
    <w:p w:rsidR="00E5066C" w:rsidRPr="000E1775" w:rsidRDefault="00E5066C" w:rsidP="00E5066C">
      <w:pPr>
        <w:numPr>
          <w:ilvl w:val="0"/>
          <w:numId w:val="9"/>
        </w:num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kandidemija (kitos rūšies (</w:t>
      </w:r>
      <w:r w:rsidRPr="000E1775">
        <w:rPr>
          <w:rFonts w:ascii="Times New Roman" w:eastAsia="TimesNewRoman,Italic" w:hAnsi="Times New Roman"/>
          <w:i/>
          <w:iCs/>
          <w:sz w:val="22"/>
          <w:szCs w:val="22"/>
          <w:lang w:val="lt-LT"/>
        </w:rPr>
        <w:t>Candida</w:t>
      </w:r>
      <w:r w:rsidRPr="000E1775">
        <w:rPr>
          <w:rFonts w:ascii="Times New Roman" w:eastAsia="Calibri" w:hAnsi="Times New Roman"/>
          <w:sz w:val="22"/>
          <w:szCs w:val="22"/>
          <w:lang w:val="lt-LT"/>
        </w:rPr>
        <w:t>) grybelių sukelta infekcinė liga) pacientams, kuriems nėra neutropenijos (pacientai, kurių kraujyje nėra nenormaliai mažo baltųjų kraujo ląstelių (leukocitų) kiekio);</w:t>
      </w:r>
    </w:p>
    <w:p w:rsidR="00E5066C" w:rsidRPr="000E1775" w:rsidRDefault="00E5066C" w:rsidP="00E5066C">
      <w:pPr>
        <w:numPr>
          <w:ilvl w:val="0"/>
          <w:numId w:val="9"/>
        </w:num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sunki invazinė flukonazolui (kitam priešgrybeliniam vaistui) atsparių </w:t>
      </w:r>
      <w:r w:rsidRPr="000E1775">
        <w:rPr>
          <w:rFonts w:ascii="Times New Roman" w:eastAsia="TimesNewRoman,Italic" w:hAnsi="Times New Roman"/>
          <w:i/>
          <w:iCs/>
          <w:sz w:val="22"/>
          <w:szCs w:val="22"/>
          <w:lang w:val="lt-LT"/>
        </w:rPr>
        <w:t xml:space="preserve">Candida </w:t>
      </w:r>
      <w:r w:rsidRPr="000E1775">
        <w:rPr>
          <w:rFonts w:ascii="Times New Roman" w:eastAsia="Calibri" w:hAnsi="Times New Roman"/>
          <w:sz w:val="22"/>
          <w:szCs w:val="22"/>
          <w:lang w:val="lt-LT"/>
        </w:rPr>
        <w:t>rūšies grybelių sukelta infekcinė liga;</w:t>
      </w:r>
    </w:p>
    <w:p w:rsidR="00E5066C" w:rsidRPr="000E1775" w:rsidRDefault="00E5066C" w:rsidP="00E5066C">
      <w:pPr>
        <w:numPr>
          <w:ilvl w:val="0"/>
          <w:numId w:val="9"/>
        </w:num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sunkios grybelių sukeltos infekcinės ligos, kurias sukėlė </w:t>
      </w:r>
      <w:r w:rsidRPr="000E1775">
        <w:rPr>
          <w:rFonts w:ascii="Times New Roman" w:eastAsia="TimesNewRoman,Italic" w:hAnsi="Times New Roman"/>
          <w:i/>
          <w:iCs/>
          <w:sz w:val="22"/>
          <w:szCs w:val="22"/>
          <w:lang w:val="lt-LT"/>
        </w:rPr>
        <w:t xml:space="preserve">Scedosporium </w:t>
      </w:r>
      <w:r w:rsidRPr="000E1775">
        <w:rPr>
          <w:rFonts w:ascii="Times New Roman" w:eastAsia="Calibri" w:hAnsi="Times New Roman"/>
          <w:sz w:val="22"/>
          <w:szCs w:val="22"/>
          <w:lang w:val="lt-LT"/>
        </w:rPr>
        <w:t xml:space="preserve">arba </w:t>
      </w:r>
      <w:r w:rsidRPr="000E1775">
        <w:rPr>
          <w:rFonts w:ascii="Times New Roman" w:eastAsia="TimesNewRoman,Italic" w:hAnsi="Times New Roman"/>
          <w:i/>
          <w:iCs/>
          <w:sz w:val="22"/>
          <w:szCs w:val="22"/>
          <w:lang w:val="lt-LT"/>
        </w:rPr>
        <w:t xml:space="preserve">Fusarium </w:t>
      </w:r>
      <w:r w:rsidRPr="000E1775">
        <w:rPr>
          <w:rFonts w:ascii="Times New Roman" w:eastAsia="Calibri" w:hAnsi="Times New Roman"/>
          <w:sz w:val="22"/>
          <w:szCs w:val="22"/>
          <w:lang w:val="lt-LT"/>
        </w:rPr>
        <w:t>rūšių grybeliai (kitos dvi skirtingos grybelių rūšys).</w:t>
      </w:r>
    </w:p>
    <w:p w:rsidR="00E5066C" w:rsidRPr="000E1775" w:rsidRDefault="00E5066C" w:rsidP="00E5066C">
      <w:pPr>
        <w:autoSpaceDE w:val="0"/>
        <w:autoSpaceDN w:val="0"/>
        <w:adjustRightInd w:val="0"/>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hAnsi="Times New Roman"/>
          <w:sz w:val="22"/>
          <w:szCs w:val="22"/>
          <w:lang w:val="lt-LT"/>
        </w:rPr>
        <w:t>VORICONAZOLE RICHTER</w:t>
      </w:r>
      <w:r w:rsidRPr="000E1775">
        <w:rPr>
          <w:rFonts w:ascii="Times New Roman" w:hAnsi="Times New Roman"/>
          <w:b/>
          <w:sz w:val="22"/>
          <w:szCs w:val="22"/>
          <w:lang w:val="lt-LT"/>
        </w:rPr>
        <w:t xml:space="preserve"> </w:t>
      </w:r>
      <w:r w:rsidRPr="000E1775">
        <w:rPr>
          <w:rFonts w:ascii="Times New Roman" w:eastAsia="Calibri" w:hAnsi="Times New Roman"/>
          <w:sz w:val="22"/>
          <w:szCs w:val="22"/>
          <w:lang w:val="lt-LT"/>
        </w:rPr>
        <w:t>skirtas gydyti pacientus, kuriems diagnozuotas grybelių sukeltos infekcinės ligos pasunkėjimas, kuris gali būti pavojingas gyvybei.</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Grybelių sukeltų infekcinių ligų profilaktikai didelės rizikos pacientams, kuriems buvo atlikta kaulų čiulpų transplantacija.</w:t>
      </w:r>
    </w:p>
    <w:p w:rsidR="00E5066C" w:rsidRPr="000E1775" w:rsidRDefault="00E5066C" w:rsidP="00E5066C">
      <w:pPr>
        <w:numPr>
          <w:ilvl w:val="12"/>
          <w:numId w:val="0"/>
        </w:numPr>
        <w:ind w:right="-2"/>
        <w:rPr>
          <w:rFonts w:ascii="Times New Roman" w:eastAsia="Calibri" w:hAnsi="Times New Roman"/>
          <w:sz w:val="22"/>
          <w:szCs w:val="22"/>
          <w:lang w:val="lt-LT"/>
        </w:rPr>
      </w:pPr>
    </w:p>
    <w:p w:rsidR="00E5066C" w:rsidRPr="000E1775" w:rsidRDefault="00E5066C" w:rsidP="00E5066C">
      <w:pPr>
        <w:numPr>
          <w:ilvl w:val="12"/>
          <w:numId w:val="0"/>
        </w:numPr>
        <w:ind w:right="-2"/>
        <w:rPr>
          <w:rFonts w:ascii="Times New Roman" w:hAnsi="Times New Roman"/>
          <w:sz w:val="22"/>
          <w:szCs w:val="22"/>
          <w:lang w:val="lt-LT"/>
        </w:rPr>
      </w:pPr>
      <w:r w:rsidRPr="000E1775">
        <w:rPr>
          <w:rFonts w:ascii="Times New Roman" w:eastAsia="Calibri" w:hAnsi="Times New Roman"/>
          <w:sz w:val="22"/>
          <w:szCs w:val="22"/>
          <w:lang w:val="en-US"/>
        </w:rPr>
        <w:t>Šį vaistą galima vartoti tik prižiūrint gydytojui.</w:t>
      </w: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A406A5">
      <w:pPr>
        <w:pStyle w:val="Antrat4"/>
        <w:ind w:left="567" w:hanging="567"/>
        <w:rPr>
          <w:sz w:val="22"/>
          <w:szCs w:val="22"/>
          <w:lang w:val="lt-LT"/>
        </w:rPr>
      </w:pPr>
      <w:r w:rsidRPr="000E1775">
        <w:rPr>
          <w:sz w:val="22"/>
          <w:szCs w:val="22"/>
          <w:lang w:val="lt-LT"/>
        </w:rPr>
        <w:lastRenderedPageBreak/>
        <w:t>2.</w:t>
      </w:r>
      <w:r w:rsidRPr="000E1775">
        <w:rPr>
          <w:sz w:val="22"/>
          <w:szCs w:val="22"/>
          <w:lang w:val="lt-LT"/>
        </w:rPr>
        <w:tab/>
        <w:t xml:space="preserve">Kas žinotina prieš vartojant VORICONAZOLE RICHTER </w:t>
      </w:r>
      <w:r w:rsidRPr="000E1775">
        <w:rPr>
          <w:bCs w:val="0"/>
          <w:sz w:val="22"/>
          <w:szCs w:val="22"/>
          <w:lang w:val="lt-LT"/>
        </w:rPr>
        <w:t xml:space="preserve"> </w:t>
      </w: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E5066C">
      <w:pPr>
        <w:pStyle w:val="Antrat4"/>
        <w:rPr>
          <w:sz w:val="22"/>
          <w:szCs w:val="22"/>
          <w:lang w:val="lt-LT"/>
        </w:rPr>
      </w:pPr>
      <w:r w:rsidRPr="000E1775">
        <w:rPr>
          <w:sz w:val="22"/>
          <w:szCs w:val="22"/>
          <w:lang w:val="lt-LT"/>
        </w:rPr>
        <w:t>VORICONAZOLE RICHTER</w:t>
      </w:r>
      <w:r w:rsidRPr="000E1775">
        <w:rPr>
          <w:b w:val="0"/>
          <w:sz w:val="22"/>
          <w:szCs w:val="22"/>
          <w:lang w:val="lt-LT"/>
        </w:rPr>
        <w:t xml:space="preserve"> </w:t>
      </w:r>
      <w:r w:rsidRPr="000E1775">
        <w:rPr>
          <w:sz w:val="22"/>
          <w:szCs w:val="22"/>
          <w:lang w:val="lt-LT"/>
        </w:rPr>
        <w:t>vartoti negalima:</w:t>
      </w:r>
    </w:p>
    <w:p w:rsidR="00E5066C" w:rsidRPr="000E1775" w:rsidRDefault="00E5066C" w:rsidP="00E5066C">
      <w:pPr>
        <w:numPr>
          <w:ilvl w:val="12"/>
          <w:numId w:val="0"/>
        </w:numPr>
        <w:ind w:left="567" w:hanging="567"/>
        <w:rPr>
          <w:rFonts w:ascii="Times New Roman" w:hAnsi="Times New Roman"/>
          <w:noProof/>
          <w:sz w:val="22"/>
          <w:szCs w:val="22"/>
          <w:lang w:val="lt-LT"/>
        </w:rPr>
      </w:pPr>
      <w:r w:rsidRPr="000E1775">
        <w:rPr>
          <w:rFonts w:ascii="Times New Roman" w:hAnsi="Times New Roman"/>
          <w:sz w:val="22"/>
          <w:szCs w:val="22"/>
          <w:lang w:val="lt-LT"/>
        </w:rPr>
        <w:t>-</w:t>
      </w:r>
      <w:r w:rsidRPr="000E1775">
        <w:rPr>
          <w:rFonts w:ascii="Times New Roman" w:hAnsi="Times New Roman"/>
          <w:sz w:val="22"/>
          <w:szCs w:val="22"/>
          <w:lang w:val="lt-LT"/>
        </w:rPr>
        <w:tab/>
      </w:r>
      <w:r w:rsidRPr="000E1775">
        <w:rPr>
          <w:rFonts w:ascii="Times New Roman" w:hAnsi="Times New Roman"/>
          <w:noProof/>
          <w:sz w:val="22"/>
          <w:szCs w:val="22"/>
          <w:lang w:val="lt-LT"/>
        </w:rPr>
        <w:t>jeigu yra alergija vorikonazolui arba bet kuriai pagalbinei šio vaisto medžiagai (jos išvardytos 6 skyriuje).</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Labai svarbu pasakyti gydytojui arba vaistininkui, jei vartojate arba vartojote kokių nors kitų vaistų, net ir įsigytų be recepto arba vaistažolių preparatų.</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Toliau išvardyti vaistai, kurių negalima vartoti </w:t>
      </w:r>
      <w:r w:rsidRPr="000E1775">
        <w:rPr>
          <w:rFonts w:ascii="Times New Roman" w:hAnsi="Times New Roman"/>
          <w:sz w:val="22"/>
          <w:szCs w:val="22"/>
          <w:lang w:val="en-US"/>
        </w:rPr>
        <w:t>VORICONAZOLE RICHTER</w:t>
      </w:r>
      <w:r w:rsidRPr="000E1775">
        <w:rPr>
          <w:rFonts w:ascii="Times New Roman" w:hAnsi="Times New Roman"/>
          <w:b/>
          <w:sz w:val="22"/>
          <w:szCs w:val="22"/>
          <w:lang w:val="en-US"/>
        </w:rPr>
        <w:t xml:space="preserve"> </w:t>
      </w:r>
      <w:r w:rsidRPr="000E1775">
        <w:rPr>
          <w:rFonts w:ascii="Times New Roman" w:eastAsia="Calibri" w:hAnsi="Times New Roman"/>
          <w:sz w:val="22"/>
          <w:szCs w:val="22"/>
          <w:lang w:val="en-US"/>
        </w:rPr>
        <w:t>vartojimo metu:</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  </w:t>
      </w:r>
      <w:proofErr w:type="gramStart"/>
      <w:r w:rsidRPr="000E1775">
        <w:rPr>
          <w:rFonts w:ascii="Times New Roman" w:eastAsia="Calibri" w:hAnsi="Times New Roman"/>
          <w:sz w:val="22"/>
          <w:szCs w:val="22"/>
          <w:lang w:val="en-US"/>
        </w:rPr>
        <w:t>terfenadinas</w:t>
      </w:r>
      <w:proofErr w:type="gramEnd"/>
      <w:r w:rsidRPr="000E1775">
        <w:rPr>
          <w:rFonts w:ascii="Times New Roman" w:eastAsia="Calibri" w:hAnsi="Times New Roman"/>
          <w:sz w:val="22"/>
          <w:szCs w:val="22"/>
          <w:lang w:val="en-US"/>
        </w:rPr>
        <w:t xml:space="preserve"> (gydoma alergija);</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  </w:t>
      </w:r>
      <w:proofErr w:type="gramStart"/>
      <w:r w:rsidRPr="000E1775">
        <w:rPr>
          <w:rFonts w:ascii="Times New Roman" w:eastAsia="Calibri" w:hAnsi="Times New Roman"/>
          <w:sz w:val="22"/>
          <w:szCs w:val="22"/>
          <w:lang w:val="en-US"/>
        </w:rPr>
        <w:t>astemizolas</w:t>
      </w:r>
      <w:proofErr w:type="gramEnd"/>
      <w:r w:rsidRPr="000E1775">
        <w:rPr>
          <w:rFonts w:ascii="Times New Roman" w:eastAsia="Calibri" w:hAnsi="Times New Roman"/>
          <w:sz w:val="22"/>
          <w:szCs w:val="22"/>
          <w:lang w:val="en-US"/>
        </w:rPr>
        <w:t xml:space="preserve"> (gydoma alergija);</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  </w:t>
      </w:r>
      <w:proofErr w:type="gramStart"/>
      <w:r w:rsidRPr="000E1775">
        <w:rPr>
          <w:rFonts w:ascii="Times New Roman" w:eastAsia="Calibri" w:hAnsi="Times New Roman"/>
          <w:sz w:val="22"/>
          <w:szCs w:val="22"/>
          <w:lang w:val="en-US"/>
        </w:rPr>
        <w:t>cisapridas</w:t>
      </w:r>
      <w:proofErr w:type="gramEnd"/>
      <w:r w:rsidRPr="000E1775">
        <w:rPr>
          <w:rFonts w:ascii="Times New Roman" w:eastAsia="Calibri" w:hAnsi="Times New Roman"/>
          <w:sz w:val="22"/>
          <w:szCs w:val="22"/>
          <w:lang w:val="en-US"/>
        </w:rPr>
        <w:t xml:space="preserve"> (gydomi skrandžio sutrikimai);</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  </w:t>
      </w:r>
      <w:proofErr w:type="gramStart"/>
      <w:r w:rsidRPr="000E1775">
        <w:rPr>
          <w:rFonts w:ascii="Times New Roman" w:eastAsia="Calibri" w:hAnsi="Times New Roman"/>
          <w:sz w:val="22"/>
          <w:szCs w:val="22"/>
          <w:lang w:val="en-US"/>
        </w:rPr>
        <w:t>pimozidas</w:t>
      </w:r>
      <w:proofErr w:type="gramEnd"/>
      <w:r w:rsidRPr="000E1775">
        <w:rPr>
          <w:rFonts w:ascii="Times New Roman" w:eastAsia="Calibri" w:hAnsi="Times New Roman"/>
          <w:sz w:val="22"/>
          <w:szCs w:val="22"/>
          <w:lang w:val="en-US"/>
        </w:rPr>
        <w:t xml:space="preserve"> (gydoma psichikos ligos);</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  </w:t>
      </w:r>
      <w:proofErr w:type="gramStart"/>
      <w:r w:rsidRPr="000E1775">
        <w:rPr>
          <w:rFonts w:ascii="Times New Roman" w:eastAsia="Calibri" w:hAnsi="Times New Roman"/>
          <w:sz w:val="22"/>
          <w:szCs w:val="22"/>
          <w:lang w:val="en-US"/>
        </w:rPr>
        <w:t>chinidinas</w:t>
      </w:r>
      <w:proofErr w:type="gramEnd"/>
      <w:r w:rsidRPr="000E1775">
        <w:rPr>
          <w:rFonts w:ascii="Times New Roman" w:eastAsia="Calibri" w:hAnsi="Times New Roman"/>
          <w:sz w:val="22"/>
          <w:szCs w:val="22"/>
          <w:lang w:val="en-US"/>
        </w:rPr>
        <w:t xml:space="preserve"> (gydomi širdies ritmo sutrikimai);</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  </w:t>
      </w:r>
      <w:proofErr w:type="gramStart"/>
      <w:r w:rsidRPr="000E1775">
        <w:rPr>
          <w:rFonts w:ascii="Times New Roman" w:eastAsia="Calibri" w:hAnsi="Times New Roman"/>
          <w:sz w:val="22"/>
          <w:szCs w:val="22"/>
          <w:lang w:val="en-US"/>
        </w:rPr>
        <w:t>rifampicinas</w:t>
      </w:r>
      <w:proofErr w:type="gramEnd"/>
      <w:r w:rsidRPr="000E1775">
        <w:rPr>
          <w:rFonts w:ascii="Times New Roman" w:eastAsia="Calibri" w:hAnsi="Times New Roman"/>
          <w:sz w:val="22"/>
          <w:szCs w:val="22"/>
          <w:lang w:val="en-US"/>
        </w:rPr>
        <w:t xml:space="preserve"> (gydoma tuberkuliozė);</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400 mg efavirenzo ir didesnės (vartojamas ŽIV gydyti) dozės vieną kartą per parą</w:t>
      </w:r>
      <w:proofErr w:type="gramStart"/>
      <w:r w:rsidRPr="000E1775">
        <w:rPr>
          <w:rFonts w:ascii="Times New Roman" w:eastAsia="Calibri" w:hAnsi="Times New Roman"/>
          <w:sz w:val="22"/>
          <w:szCs w:val="22"/>
          <w:lang w:val="en-US"/>
        </w:rPr>
        <w:t>;</w:t>
      </w:r>
      <w:proofErr w:type="gramEnd"/>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  </w:t>
      </w:r>
      <w:proofErr w:type="gramStart"/>
      <w:r w:rsidRPr="000E1775">
        <w:rPr>
          <w:rFonts w:ascii="Times New Roman" w:eastAsia="Calibri" w:hAnsi="Times New Roman"/>
          <w:sz w:val="22"/>
          <w:szCs w:val="22"/>
          <w:lang w:val="en-US"/>
        </w:rPr>
        <w:t>karbamazepinas</w:t>
      </w:r>
      <w:proofErr w:type="gramEnd"/>
      <w:r w:rsidRPr="000E1775">
        <w:rPr>
          <w:rFonts w:ascii="Times New Roman" w:eastAsia="Calibri" w:hAnsi="Times New Roman"/>
          <w:sz w:val="22"/>
          <w:szCs w:val="22"/>
          <w:lang w:val="en-US"/>
        </w:rPr>
        <w:t xml:space="preserve"> (gydomi priepuoliai);</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 </w:t>
      </w:r>
      <w:proofErr w:type="gramStart"/>
      <w:r w:rsidRPr="000E1775">
        <w:rPr>
          <w:rFonts w:ascii="Times New Roman" w:eastAsia="Calibri" w:hAnsi="Times New Roman"/>
          <w:sz w:val="22"/>
          <w:szCs w:val="22"/>
          <w:lang w:val="en-US"/>
        </w:rPr>
        <w:t>fenobarbitalis</w:t>
      </w:r>
      <w:proofErr w:type="gramEnd"/>
      <w:r w:rsidRPr="000E1775">
        <w:rPr>
          <w:rFonts w:ascii="Times New Roman" w:eastAsia="Calibri" w:hAnsi="Times New Roman"/>
          <w:sz w:val="22"/>
          <w:szCs w:val="22"/>
          <w:lang w:val="en-US"/>
        </w:rPr>
        <w:t xml:space="preserve"> (gydoma sunki nemiga bei priepuoliai);</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  </w:t>
      </w:r>
      <w:proofErr w:type="gramStart"/>
      <w:r w:rsidRPr="000E1775">
        <w:rPr>
          <w:rFonts w:ascii="Times New Roman" w:eastAsia="Calibri" w:hAnsi="Times New Roman"/>
          <w:sz w:val="22"/>
          <w:szCs w:val="22"/>
          <w:lang w:val="en-US"/>
        </w:rPr>
        <w:t>skalsių</w:t>
      </w:r>
      <w:proofErr w:type="gramEnd"/>
      <w:r w:rsidRPr="000E1775">
        <w:rPr>
          <w:rFonts w:ascii="Times New Roman" w:eastAsia="Calibri" w:hAnsi="Times New Roman"/>
          <w:sz w:val="22"/>
          <w:szCs w:val="22"/>
          <w:lang w:val="en-US"/>
        </w:rPr>
        <w:t xml:space="preserve"> alkaloidai (pvz., ergotaminas, dihidroergotaminas, kuriais gydoma migrena);</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sirolimuzas (vartojamas po organų persodinimo</w:t>
      </w:r>
      <w:proofErr w:type="gramStart"/>
      <w:r w:rsidRPr="000E1775">
        <w:rPr>
          <w:rFonts w:ascii="Times New Roman" w:eastAsia="Calibri" w:hAnsi="Times New Roman"/>
          <w:sz w:val="22"/>
          <w:szCs w:val="22"/>
          <w:lang w:val="fr-FR"/>
        </w:rPr>
        <w:t>);</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ritonaviras (gydoma ŽIV liga), vartojamas 400 mg ir didesnėmis dozėmis du kartus per </w:t>
      </w:r>
      <w:proofErr w:type="gramStart"/>
      <w:r w:rsidRPr="000E1775">
        <w:rPr>
          <w:rFonts w:ascii="Times New Roman" w:eastAsia="Calibri" w:hAnsi="Times New Roman"/>
          <w:sz w:val="22"/>
          <w:szCs w:val="22"/>
          <w:lang w:val="fr-FR"/>
        </w:rPr>
        <w:t>parą;</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jonažolės (vaistažolių) preparatai depresijai gydyti.</w:t>
      </w:r>
    </w:p>
    <w:p w:rsidR="00E5066C" w:rsidRPr="000E1775" w:rsidRDefault="00E5066C" w:rsidP="00E5066C">
      <w:pPr>
        <w:pStyle w:val="Antrat4"/>
        <w:rPr>
          <w:sz w:val="22"/>
          <w:szCs w:val="22"/>
          <w:lang w:val="lt-LT"/>
        </w:rPr>
      </w:pPr>
      <w:r w:rsidRPr="000E1775">
        <w:rPr>
          <w:sz w:val="22"/>
          <w:szCs w:val="22"/>
          <w:lang w:val="lt-LT"/>
        </w:rPr>
        <w:t xml:space="preserve">Įspėjimai ir atsargumo priemonės </w:t>
      </w:r>
    </w:p>
    <w:p w:rsidR="00E5066C" w:rsidRPr="000E1775" w:rsidRDefault="00E5066C" w:rsidP="00E5066C">
      <w:pPr>
        <w:numPr>
          <w:ilvl w:val="12"/>
          <w:numId w:val="0"/>
        </w:numPr>
        <w:ind w:right="-2"/>
        <w:rPr>
          <w:rFonts w:ascii="Times New Roman" w:hAnsi="Times New Roman"/>
          <w:sz w:val="22"/>
          <w:szCs w:val="22"/>
          <w:lang w:val="lt-LT"/>
        </w:rPr>
      </w:pPr>
      <w:r w:rsidRPr="000E1775">
        <w:rPr>
          <w:rFonts w:ascii="Times New Roman" w:hAnsi="Times New Roman"/>
          <w:noProof/>
          <w:sz w:val="22"/>
          <w:szCs w:val="22"/>
          <w:lang w:val="lt-LT"/>
        </w:rPr>
        <w:t>Pasitarkite su gydytoju, vaistininku arba slaugytoju, prieš pradėdami vartoti</w:t>
      </w:r>
      <w:r w:rsidRPr="000E1775">
        <w:rPr>
          <w:rFonts w:ascii="Times New Roman" w:hAnsi="Times New Roman"/>
          <w:sz w:val="22"/>
          <w:szCs w:val="22"/>
          <w:lang w:val="lt-LT"/>
        </w:rPr>
        <w:t xml:space="preserve"> VORICONAZOLE RICHTER, jeigu:</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buvo pasireiškusi alerginė reakcija kitiems azolams;</w:t>
      </w:r>
      <w:r w:rsidRPr="000E1775">
        <w:rPr>
          <w:rFonts w:ascii="Times New Roman" w:hAnsi="Times New Roman"/>
          <w:sz w:val="22"/>
          <w:szCs w:val="22"/>
          <w:lang w:val="lt-LT"/>
        </w:rPr>
        <w:t xml:space="preserve"> </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  </w:t>
      </w:r>
      <w:proofErr w:type="gramStart"/>
      <w:r w:rsidRPr="000E1775">
        <w:rPr>
          <w:rFonts w:ascii="Times New Roman" w:eastAsia="Calibri" w:hAnsi="Times New Roman"/>
          <w:sz w:val="22"/>
          <w:szCs w:val="22"/>
          <w:lang w:val="en-US"/>
        </w:rPr>
        <w:t>sergate</w:t>
      </w:r>
      <w:proofErr w:type="gramEnd"/>
      <w:r w:rsidRPr="000E1775">
        <w:rPr>
          <w:rFonts w:ascii="Times New Roman" w:eastAsia="Calibri" w:hAnsi="Times New Roman"/>
          <w:sz w:val="22"/>
          <w:szCs w:val="22"/>
          <w:lang w:val="en-US"/>
        </w:rPr>
        <w:t xml:space="preserve"> arba anksčiau sirgote kepenų liga. Jeigu sergate kepenų liga, gydytojas gali skirti mažesnę </w:t>
      </w:r>
      <w:r w:rsidRPr="000E1775">
        <w:rPr>
          <w:rFonts w:ascii="Times New Roman" w:hAnsi="Times New Roman"/>
          <w:sz w:val="22"/>
          <w:szCs w:val="22"/>
          <w:lang w:val="en-US"/>
        </w:rPr>
        <w:t>VORICONAZOLE RICHTER</w:t>
      </w:r>
      <w:r w:rsidRPr="000E1775">
        <w:rPr>
          <w:rFonts w:ascii="Times New Roman" w:eastAsia="Calibri" w:hAnsi="Times New Roman"/>
          <w:sz w:val="22"/>
          <w:szCs w:val="22"/>
          <w:lang w:val="en-US"/>
        </w:rPr>
        <w:t xml:space="preserve"> dozę. Be to, gydymo </w:t>
      </w:r>
      <w:r w:rsidRPr="000E1775">
        <w:rPr>
          <w:rFonts w:ascii="Times New Roman" w:hAnsi="Times New Roman"/>
          <w:sz w:val="22"/>
          <w:szCs w:val="22"/>
          <w:lang w:val="en-US"/>
        </w:rPr>
        <w:t>VORICONAZOLE RICHTER</w:t>
      </w:r>
      <w:r w:rsidRPr="000E1775">
        <w:rPr>
          <w:rFonts w:ascii="Times New Roman" w:eastAsia="Calibri" w:hAnsi="Times New Roman"/>
          <w:sz w:val="22"/>
          <w:szCs w:val="22"/>
          <w:lang w:val="en-US"/>
        </w:rPr>
        <w:t xml:space="preserve"> metu gydytojas turės stebėti Jūsų kepenų veiklą, atlikdamas kraujo tyrimus</w:t>
      </w:r>
      <w:proofErr w:type="gramStart"/>
      <w:r w:rsidRPr="000E1775">
        <w:rPr>
          <w:rFonts w:ascii="Times New Roman" w:eastAsia="Calibri" w:hAnsi="Times New Roman"/>
          <w:sz w:val="22"/>
          <w:szCs w:val="22"/>
          <w:lang w:val="en-US"/>
        </w:rPr>
        <w:t>;</w:t>
      </w:r>
      <w:proofErr w:type="gramEnd"/>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Jums yra diagnozuota kardiomiopatija, neritmiškas širdies plakimas ar retas širdies plakimas arba pagal užrašytą elektrokardiogramą (EKG) diagnozuotas vadinamasis ilgo QTc sindromas.</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Šios atsargumo priemonės taip pat taikytinos vaikams.</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Gydymo </w:t>
      </w:r>
      <w:r w:rsidRPr="000E1775">
        <w:rPr>
          <w:rFonts w:ascii="Times New Roman" w:hAnsi="Times New Roman"/>
          <w:sz w:val="22"/>
          <w:szCs w:val="22"/>
          <w:lang w:val="en-US"/>
        </w:rPr>
        <w:t>VORICONAZOLE RICHTER</w:t>
      </w:r>
      <w:r w:rsidRPr="000E1775">
        <w:rPr>
          <w:rFonts w:ascii="Times New Roman" w:eastAsia="Calibri" w:hAnsi="Times New Roman"/>
          <w:sz w:val="22"/>
          <w:szCs w:val="22"/>
          <w:lang w:val="en-US"/>
        </w:rPr>
        <w:t xml:space="preserve"> metu nedelsdami pasakykite gydytojui, jeigu pasireiškia:</w:t>
      </w:r>
    </w:p>
    <w:p w:rsidR="00E5066C" w:rsidRPr="000E1775" w:rsidRDefault="00E5066C" w:rsidP="00E5066C">
      <w:pPr>
        <w:numPr>
          <w:ilvl w:val="0"/>
          <w:numId w:val="9"/>
        </w:num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nudegimas nuo saulės;</w:t>
      </w:r>
    </w:p>
    <w:p w:rsidR="00E5066C" w:rsidRPr="000E1775" w:rsidRDefault="00E5066C" w:rsidP="00E5066C">
      <w:pPr>
        <w:numPr>
          <w:ilvl w:val="0"/>
          <w:numId w:val="9"/>
        </w:num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sunkus odos bėrimas arba pūslės;</w:t>
      </w:r>
    </w:p>
    <w:p w:rsidR="00E5066C" w:rsidRPr="000E1775" w:rsidRDefault="00E5066C" w:rsidP="00E5066C">
      <w:pPr>
        <w:numPr>
          <w:ilvl w:val="0"/>
          <w:numId w:val="9"/>
        </w:numPr>
        <w:ind w:right="-2"/>
        <w:rPr>
          <w:rFonts w:ascii="Times New Roman" w:hAnsi="Times New Roman"/>
          <w:sz w:val="22"/>
          <w:szCs w:val="22"/>
          <w:lang w:val="lt-LT"/>
        </w:rPr>
      </w:pPr>
      <w:proofErr w:type="gramStart"/>
      <w:r w:rsidRPr="000E1775">
        <w:rPr>
          <w:rFonts w:ascii="Times New Roman" w:eastAsia="Calibri" w:hAnsi="Times New Roman"/>
          <w:sz w:val="22"/>
          <w:szCs w:val="22"/>
          <w:lang w:val="en-US"/>
        </w:rPr>
        <w:t>kaulų</w:t>
      </w:r>
      <w:proofErr w:type="gramEnd"/>
      <w:r w:rsidRPr="000E1775">
        <w:rPr>
          <w:rFonts w:ascii="Times New Roman" w:eastAsia="Calibri" w:hAnsi="Times New Roman"/>
          <w:sz w:val="22"/>
          <w:szCs w:val="22"/>
          <w:lang w:val="en-US"/>
        </w:rPr>
        <w:t xml:space="preserve"> skausmas.</w:t>
      </w:r>
    </w:p>
    <w:p w:rsidR="00E5066C" w:rsidRPr="000E1775" w:rsidRDefault="00E5066C" w:rsidP="00E5066C">
      <w:pPr>
        <w:pStyle w:val="Antrat4"/>
        <w:rPr>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Jei atsiras minėtų odos pažeidimų, gydytojas gali nusiųsti Jus pas dermatologą, kuris po konsultacijos gali nuspręsti, kad būtinos reguliarios konsultacijos. Yra nedidelė tikimybė, kad ilgai vartojant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gali išsivystyti odos vėžys.</w:t>
      </w:r>
    </w:p>
    <w:p w:rsidR="00E5066C" w:rsidRPr="000E1775" w:rsidRDefault="00E5066C" w:rsidP="00E5066C">
      <w:pPr>
        <w:rPr>
          <w:rFonts w:ascii="Times New Roman" w:hAnsi="Times New Roman"/>
          <w:sz w:val="22"/>
          <w:szCs w:val="22"/>
          <w:lang w:val="lt-LT"/>
        </w:rPr>
      </w:pPr>
      <w:r w:rsidRPr="000E1775">
        <w:rPr>
          <w:rFonts w:ascii="Times New Roman" w:eastAsia="Calibri" w:hAnsi="Times New Roman"/>
          <w:sz w:val="22"/>
          <w:szCs w:val="22"/>
          <w:lang w:val="lt-LT"/>
        </w:rPr>
        <w:t>Gydytojas turės stebėti Jūsų kepenų ir inkstų veiklą, atlikdamas kraujo tyrimus.</w:t>
      </w:r>
    </w:p>
    <w:p w:rsidR="00E5066C" w:rsidRPr="000E1775" w:rsidRDefault="00E5066C" w:rsidP="00E5066C">
      <w:pPr>
        <w:pStyle w:val="Antrat4"/>
        <w:rPr>
          <w:sz w:val="22"/>
          <w:szCs w:val="22"/>
          <w:lang w:val="lt-LT"/>
        </w:rPr>
      </w:pPr>
      <w:r w:rsidRPr="000E1775">
        <w:rPr>
          <w:sz w:val="22"/>
          <w:szCs w:val="22"/>
          <w:lang w:val="lt-LT"/>
        </w:rPr>
        <w:t>Vaikams ir paaugliams</w:t>
      </w:r>
    </w:p>
    <w:p w:rsidR="00E5066C" w:rsidRPr="000E1775" w:rsidRDefault="00E5066C" w:rsidP="00E5066C">
      <w:pPr>
        <w:numPr>
          <w:ilvl w:val="12"/>
          <w:numId w:val="0"/>
        </w:numPr>
        <w:rPr>
          <w:rFonts w:ascii="Times New Roman" w:hAnsi="Times New Roman"/>
          <w:b/>
          <w:sz w:val="22"/>
          <w:szCs w:val="22"/>
          <w:lang w:val="lt-LT"/>
        </w:rPr>
      </w:pPr>
      <w:r w:rsidRPr="000E1775">
        <w:rPr>
          <w:rFonts w:ascii="Times New Roman" w:eastAsia="Calibri" w:hAnsi="Times New Roman"/>
          <w:sz w:val="22"/>
          <w:szCs w:val="22"/>
          <w:lang w:val="lt-LT"/>
        </w:rPr>
        <w:t>Vorikonazolo negalima vartoti jaunesniems kaip 2 metų vaikams.</w:t>
      </w:r>
    </w:p>
    <w:p w:rsidR="00E5066C" w:rsidRPr="000E1775" w:rsidRDefault="00E5066C" w:rsidP="00E5066C">
      <w:pPr>
        <w:rPr>
          <w:rFonts w:ascii="Times New Roman" w:hAnsi="Times New Roman"/>
          <w:sz w:val="22"/>
          <w:szCs w:val="22"/>
          <w:lang w:val="lt-LT"/>
        </w:rPr>
      </w:pPr>
      <w:r w:rsidRPr="000E1775">
        <w:rPr>
          <w:rFonts w:ascii="Times New Roman" w:hAnsi="Times New Roman"/>
          <w:sz w:val="22"/>
          <w:szCs w:val="22"/>
          <w:lang w:val="lt-LT"/>
        </w:rPr>
        <w:t xml:space="preserve">Kadangi pagal rekomenduojamą dozavimo planą jaunesnių nei 12 metų vaikams gydymas pradedamas į veną leidžiamu vorikanazolu, tokiems pacientams gydymo pradžiai vien VORICONAZOLE RICHTER tabletės netiks. VORICONAZOLE RICHTER galima skirti jauniems 12-14 metų paaugliams, sveriantiems 50 kg ir daugiau. Visiems vyresniems nei 14 metų paaugliams skiriamos suaugusiųjų dozės. </w:t>
      </w:r>
    </w:p>
    <w:p w:rsidR="00E5066C" w:rsidRPr="000E1775" w:rsidRDefault="00E5066C" w:rsidP="00E5066C">
      <w:pPr>
        <w:pStyle w:val="Antrat4"/>
        <w:rPr>
          <w:sz w:val="22"/>
          <w:szCs w:val="22"/>
          <w:lang w:val="lt-LT"/>
        </w:rPr>
      </w:pPr>
    </w:p>
    <w:p w:rsidR="00E5066C" w:rsidRPr="000E1775" w:rsidRDefault="00E5066C" w:rsidP="00E5066C">
      <w:pPr>
        <w:pStyle w:val="Antrat4"/>
        <w:rPr>
          <w:sz w:val="22"/>
          <w:szCs w:val="22"/>
          <w:lang w:val="lt-LT"/>
        </w:rPr>
      </w:pPr>
      <w:r w:rsidRPr="000E1775">
        <w:rPr>
          <w:sz w:val="22"/>
          <w:szCs w:val="22"/>
          <w:lang w:val="lt-LT"/>
        </w:rPr>
        <w:t xml:space="preserve">Kiti vaistai ir VORICONAZOLE RICHTER </w:t>
      </w:r>
    </w:p>
    <w:p w:rsidR="00E5066C" w:rsidRPr="000E1775" w:rsidRDefault="00E5066C" w:rsidP="00E5066C">
      <w:pPr>
        <w:numPr>
          <w:ilvl w:val="12"/>
          <w:numId w:val="0"/>
        </w:numPr>
        <w:ind w:right="-2"/>
        <w:rPr>
          <w:rFonts w:ascii="Times New Roman" w:hAnsi="Times New Roman"/>
          <w:noProof/>
          <w:sz w:val="22"/>
          <w:szCs w:val="22"/>
          <w:lang w:val="lt-LT"/>
        </w:rPr>
      </w:pPr>
      <w:r w:rsidRPr="000E1775">
        <w:rPr>
          <w:rFonts w:ascii="Times New Roman" w:hAnsi="Times New Roman"/>
          <w:noProof/>
          <w:sz w:val="22"/>
          <w:szCs w:val="22"/>
          <w:lang w:val="lt-LT"/>
        </w:rPr>
        <w:t>Jeigu vartojate ar neseniai vartojote kitų vaistų</w:t>
      </w:r>
      <w:r w:rsidR="0086375C" w:rsidRPr="000E1775">
        <w:rPr>
          <w:rFonts w:ascii="Times New Roman" w:hAnsi="Times New Roman"/>
          <w:noProof/>
          <w:sz w:val="22"/>
          <w:szCs w:val="22"/>
          <w:lang w:val="lt-LT"/>
        </w:rPr>
        <w:t>,</w:t>
      </w:r>
      <w:r w:rsidRPr="000E1775">
        <w:rPr>
          <w:rFonts w:ascii="Times New Roman" w:hAnsi="Times New Roman"/>
          <w:noProof/>
          <w:sz w:val="22"/>
          <w:szCs w:val="22"/>
          <w:lang w:val="lt-LT"/>
        </w:rPr>
        <w:t xml:space="preserve"> arba dėl to nesate tikri, apie tai pasakykite gydytojui arba vaistininkui.</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Kai kurie kartu vartojami vaistai gali daryti įtaką </w:t>
      </w:r>
      <w:r w:rsidRPr="000E1775">
        <w:rPr>
          <w:rFonts w:ascii="Times New Roman" w:hAnsi="Times New Roman"/>
          <w:sz w:val="22"/>
          <w:szCs w:val="22"/>
          <w:lang w:val="lt-LT"/>
        </w:rPr>
        <w:t xml:space="preserve">VORICONAZOLE RICHTER </w:t>
      </w:r>
      <w:r w:rsidRPr="000E1775">
        <w:rPr>
          <w:rFonts w:ascii="Times New Roman" w:eastAsia="Calibri" w:hAnsi="Times New Roman"/>
          <w:sz w:val="22"/>
          <w:szCs w:val="22"/>
          <w:lang w:val="lt-LT"/>
        </w:rPr>
        <w:t xml:space="preserve">poveikiui arba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gali turėti įtakos šių vaistų veikimui.</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Pasakykite gydytojui, jeigu vartojate šių vaistų, nes jų, jeigu įmanoma, gydymo </w:t>
      </w:r>
      <w:r w:rsidRPr="000E1775">
        <w:rPr>
          <w:rFonts w:ascii="Times New Roman" w:hAnsi="Times New Roman"/>
          <w:sz w:val="22"/>
          <w:szCs w:val="22"/>
          <w:lang w:val="lt-LT"/>
        </w:rPr>
        <w:t xml:space="preserve">VORICONAZOLE RICHTER </w:t>
      </w:r>
      <w:r w:rsidRPr="000E1775">
        <w:rPr>
          <w:rFonts w:ascii="Times New Roman" w:eastAsia="Calibri" w:hAnsi="Times New Roman"/>
          <w:sz w:val="22"/>
          <w:szCs w:val="22"/>
          <w:lang w:val="lt-LT"/>
        </w:rPr>
        <w:t>metu patariama kartu nevartoti:</w:t>
      </w:r>
    </w:p>
    <w:p w:rsidR="00E5066C" w:rsidRPr="000E1775" w:rsidRDefault="00E5066C" w:rsidP="00E5066C">
      <w:pPr>
        <w:numPr>
          <w:ilvl w:val="0"/>
          <w:numId w:val="9"/>
        </w:num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 100 mg ritonaviro (gydoma ŽIV liga) dozės du kartus per parą.</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Pasakykite gydytojui, jeigu vartojate nors vieną iš šių vaistų, nes vartojant šių vaistų, jei įmanoma,</w:t>
      </w:r>
      <w:r w:rsidRPr="000E1775" w:rsidDel="008C0022">
        <w:rPr>
          <w:rFonts w:ascii="Times New Roman" w:eastAsia="Calibri" w:hAnsi="Times New Roman"/>
          <w:sz w:val="22"/>
          <w:szCs w:val="22"/>
          <w:lang w:val="lt-LT"/>
        </w:rPr>
        <w:t xml:space="preserve">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patariama kartu nevartoti arba gali prireikti keisti vorikonazolo dozę:</w:t>
      </w:r>
    </w:p>
    <w:p w:rsidR="00E5066C" w:rsidRPr="000E1775" w:rsidRDefault="00E5066C" w:rsidP="00E5066C">
      <w:pPr>
        <w:numPr>
          <w:ilvl w:val="0"/>
          <w:numId w:val="9"/>
        </w:num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rifabutinas (gydoma tuberkuliozė). Jeigu jau esate gydomas rifabutinu, teks skaičiuoti kraujo ląstelių skaičių ir stebėti, ar nepasireiškia rifabutino šalutinis poveikis;</w:t>
      </w: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 xml:space="preserve">-     fenitoinas (gydoma epilepsija). Jeigu jau esate gydomas fenitoinu, gydymo </w:t>
      </w:r>
      <w:r w:rsidRPr="000E1775">
        <w:rPr>
          <w:rFonts w:ascii="Times New Roman" w:hAnsi="Times New Roman"/>
          <w:sz w:val="22"/>
          <w:szCs w:val="22"/>
          <w:lang w:val="lt-LT"/>
        </w:rPr>
        <w:t>VORICONAZOLERICHTER</w:t>
      </w:r>
      <w:r w:rsidRPr="000E1775">
        <w:rPr>
          <w:rFonts w:ascii="Times New Roman" w:eastAsia="Calibri" w:hAnsi="Times New Roman"/>
          <w:sz w:val="22"/>
          <w:szCs w:val="22"/>
          <w:lang w:val="lt-LT"/>
        </w:rPr>
        <w:t xml:space="preserve"> metu teks stebėti fenitoino koncentraciją kraujyje ir gali tekti keisti dozę.</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Pasakykite gydytojui, jeigu vartojate nors vieną iš šių vaistų, nes gali prireikti keisti dozę arba stebėti,</w:t>
      </w:r>
      <w:r w:rsidRPr="000E1775" w:rsidDel="008C0022">
        <w:rPr>
          <w:rFonts w:ascii="Times New Roman" w:eastAsia="Calibri" w:hAnsi="Times New Roman"/>
          <w:sz w:val="22"/>
          <w:szCs w:val="22"/>
          <w:lang w:val="lt-LT"/>
        </w:rPr>
        <w:t xml:space="preserve"> </w:t>
      </w:r>
      <w:r w:rsidRPr="000E1775">
        <w:rPr>
          <w:rFonts w:ascii="Times New Roman" w:eastAsia="Calibri" w:hAnsi="Times New Roman"/>
          <w:sz w:val="22"/>
          <w:szCs w:val="22"/>
          <w:lang w:val="lt-LT"/>
        </w:rPr>
        <w:t xml:space="preserve">ar pasireiškia gydomasis šių vaistų ir (arba)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poveikis: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varfarinas ir kiti antikoaguliantai (pvz., fenprokumonas, acenokumarolas, kurie mažina kraujo    krešėjimą);</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ciklosporinas (vartojamas po organų persodinimo);</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takrolimuzas (vartojamas po organų persodinimo</w:t>
      </w:r>
      <w:proofErr w:type="gramStart"/>
      <w:r w:rsidRPr="000E1775">
        <w:rPr>
          <w:rFonts w:ascii="Times New Roman" w:eastAsia="Calibri" w:hAnsi="Times New Roman"/>
          <w:sz w:val="22"/>
          <w:szCs w:val="22"/>
          <w:lang w:val="fr-FR"/>
        </w:rPr>
        <w:t>);</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sulfonilkarbamido dariniai (</w:t>
      </w:r>
      <w:proofErr w:type="gramStart"/>
      <w:r w:rsidRPr="000E1775">
        <w:rPr>
          <w:rFonts w:ascii="Times New Roman" w:eastAsia="Calibri" w:hAnsi="Times New Roman"/>
          <w:sz w:val="22"/>
          <w:szCs w:val="22"/>
          <w:lang w:val="fr-FR"/>
        </w:rPr>
        <w:t>pvz.,</w:t>
      </w:r>
      <w:proofErr w:type="gramEnd"/>
      <w:r w:rsidRPr="000E1775">
        <w:rPr>
          <w:rFonts w:ascii="Times New Roman" w:eastAsia="Calibri" w:hAnsi="Times New Roman"/>
          <w:sz w:val="22"/>
          <w:szCs w:val="22"/>
          <w:lang w:val="fr-FR"/>
        </w:rPr>
        <w:t xml:space="preserve"> tolbutamidas, glipizidas ir gliburidas, kuriais gydomas cukrinis diabetas);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statinai (</w:t>
      </w:r>
      <w:proofErr w:type="gramStart"/>
      <w:r w:rsidRPr="000E1775">
        <w:rPr>
          <w:rFonts w:ascii="Times New Roman" w:eastAsia="Calibri" w:hAnsi="Times New Roman"/>
          <w:sz w:val="22"/>
          <w:szCs w:val="22"/>
          <w:lang w:val="fr-FR"/>
        </w:rPr>
        <w:t>pvz.,</w:t>
      </w:r>
      <w:proofErr w:type="gramEnd"/>
      <w:r w:rsidRPr="000E1775">
        <w:rPr>
          <w:rFonts w:ascii="Times New Roman" w:eastAsia="Calibri" w:hAnsi="Times New Roman"/>
          <w:sz w:val="22"/>
          <w:szCs w:val="22"/>
          <w:lang w:val="fr-FR"/>
        </w:rPr>
        <w:t xml:space="preserve"> atorvastatinas, simvastatinas, kurie mažina cholesterolio koncentraciją);</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benzodiazepinai (</w:t>
      </w:r>
      <w:proofErr w:type="gramStart"/>
      <w:r w:rsidRPr="000E1775">
        <w:rPr>
          <w:rFonts w:ascii="Times New Roman" w:eastAsia="Calibri" w:hAnsi="Times New Roman"/>
          <w:sz w:val="22"/>
          <w:szCs w:val="22"/>
          <w:lang w:val="fr-FR"/>
        </w:rPr>
        <w:t>pvz.,</w:t>
      </w:r>
      <w:proofErr w:type="gramEnd"/>
      <w:r w:rsidRPr="000E1775">
        <w:rPr>
          <w:rFonts w:ascii="Times New Roman" w:eastAsia="Calibri" w:hAnsi="Times New Roman"/>
          <w:sz w:val="22"/>
          <w:szCs w:val="22"/>
          <w:lang w:val="fr-FR"/>
        </w:rPr>
        <w:t xml:space="preserve"> midazolamas, triazolamas, kuriais gydoma sunki nemiga ir stresas);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omeprazolas (gydomos opos</w:t>
      </w:r>
      <w:proofErr w:type="gramStart"/>
      <w:r w:rsidRPr="000E1775">
        <w:rPr>
          <w:rFonts w:ascii="Times New Roman" w:eastAsia="Calibri" w:hAnsi="Times New Roman"/>
          <w:sz w:val="22"/>
          <w:szCs w:val="22"/>
          <w:lang w:val="fr-FR"/>
        </w:rPr>
        <w:t>);</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lastRenderedPageBreak/>
        <w:t xml:space="preserve">-   geriamieji kontraceptikai (jeigu vartojant geriamuosius kontraceptikus vartojamas </w:t>
      </w:r>
      <w:r w:rsidRPr="000E1775">
        <w:rPr>
          <w:rFonts w:ascii="Times New Roman" w:hAnsi="Times New Roman"/>
          <w:sz w:val="22"/>
          <w:szCs w:val="22"/>
          <w:lang w:val="fr-FR"/>
        </w:rPr>
        <w:t>VORICONAZOLE RICHTER</w:t>
      </w:r>
      <w:r w:rsidRPr="000E1775">
        <w:rPr>
          <w:rFonts w:ascii="Times New Roman" w:eastAsia="Calibri" w:hAnsi="Times New Roman"/>
          <w:sz w:val="22"/>
          <w:szCs w:val="22"/>
          <w:lang w:val="fr-FR"/>
        </w:rPr>
        <w:t>, gali pasireikšti šalutinis poveikis, pavyzdžiui, pykinimas ir mėnesinių sutrikimas</w:t>
      </w:r>
      <w:proofErr w:type="gramStart"/>
      <w:r w:rsidRPr="000E1775">
        <w:rPr>
          <w:rFonts w:ascii="Times New Roman" w:eastAsia="Calibri" w:hAnsi="Times New Roman"/>
          <w:sz w:val="22"/>
          <w:szCs w:val="22"/>
          <w:lang w:val="fr-FR"/>
        </w:rPr>
        <w:t>);</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žiemės alkaloidai (</w:t>
      </w:r>
      <w:proofErr w:type="gramStart"/>
      <w:r w:rsidRPr="000E1775">
        <w:rPr>
          <w:rFonts w:ascii="Times New Roman" w:eastAsia="Calibri" w:hAnsi="Times New Roman"/>
          <w:sz w:val="22"/>
          <w:szCs w:val="22"/>
          <w:lang w:val="fr-FR"/>
        </w:rPr>
        <w:t>pvz.,</w:t>
      </w:r>
      <w:proofErr w:type="gramEnd"/>
      <w:r w:rsidRPr="000E1775">
        <w:rPr>
          <w:rFonts w:ascii="Times New Roman" w:eastAsia="Calibri" w:hAnsi="Times New Roman"/>
          <w:sz w:val="22"/>
          <w:szCs w:val="22"/>
          <w:lang w:val="fr-FR"/>
        </w:rPr>
        <w:t xml:space="preserve"> vikristinas ir vinblastinas, kuriais gydomas vėžys);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indinaviras ir kiti ŽIV proteazės inhibitoriai (gydoma ŽIV liga</w:t>
      </w:r>
      <w:proofErr w:type="gramStart"/>
      <w:r w:rsidRPr="000E1775">
        <w:rPr>
          <w:rFonts w:ascii="Times New Roman" w:eastAsia="Calibri" w:hAnsi="Times New Roman"/>
          <w:sz w:val="22"/>
          <w:szCs w:val="22"/>
          <w:lang w:val="fr-FR"/>
        </w:rPr>
        <w:t>);</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nenukleozidinės atvirkštinės transkriptazės inhibitoriai (</w:t>
      </w:r>
      <w:proofErr w:type="gramStart"/>
      <w:r w:rsidRPr="000E1775">
        <w:rPr>
          <w:rFonts w:ascii="Times New Roman" w:eastAsia="Calibri" w:hAnsi="Times New Roman"/>
          <w:sz w:val="22"/>
          <w:szCs w:val="22"/>
          <w:lang w:val="fr-FR"/>
        </w:rPr>
        <w:t>pvz.,</w:t>
      </w:r>
      <w:proofErr w:type="gramEnd"/>
      <w:r w:rsidRPr="000E1775">
        <w:rPr>
          <w:rFonts w:ascii="Times New Roman" w:eastAsia="Calibri" w:hAnsi="Times New Roman"/>
          <w:sz w:val="22"/>
          <w:szCs w:val="22"/>
          <w:lang w:val="fr-FR"/>
        </w:rPr>
        <w:t xml:space="preserve"> efavirenzas, delaviridas, nevirapinas, kuriais gydoma ŽIV liga) (kai kurių efavirenzo dozių NEGALIMA vartoti kartu su</w:t>
      </w:r>
      <w:r w:rsidRPr="000E1775">
        <w:rPr>
          <w:rFonts w:ascii="Times New Roman" w:hAnsi="Times New Roman"/>
          <w:sz w:val="22"/>
          <w:szCs w:val="22"/>
          <w:lang w:val="fr-FR"/>
        </w:rPr>
        <w:t xml:space="preserve">   VORICONAZOLE RICHTER</w:t>
      </w:r>
      <w:r w:rsidRPr="000E1775">
        <w:rPr>
          <w:rFonts w:ascii="Times New Roman" w:eastAsia="Calibri" w:hAnsi="Times New Roman"/>
          <w:sz w:val="22"/>
          <w:szCs w:val="22"/>
          <w:lang w:val="fr-FR"/>
        </w:rPr>
        <w:t>);</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metadonas (gydoma priklausomybė nuo heroino</w:t>
      </w:r>
      <w:proofErr w:type="gramStart"/>
      <w:r w:rsidRPr="000E1775">
        <w:rPr>
          <w:rFonts w:ascii="Times New Roman" w:eastAsia="Calibri" w:hAnsi="Times New Roman"/>
          <w:sz w:val="22"/>
          <w:szCs w:val="22"/>
          <w:lang w:val="fr-FR"/>
        </w:rPr>
        <w:t>);</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alfentanilis ir fentanilis, kiti trumpai veikiantys opioidai, pavyzdžiui, sufentanilis (vaistai </w:t>
      </w:r>
      <w:proofErr w:type="gramStart"/>
      <w:r w:rsidRPr="000E1775">
        <w:rPr>
          <w:rFonts w:ascii="Times New Roman" w:eastAsia="Calibri" w:hAnsi="Times New Roman"/>
          <w:sz w:val="22"/>
          <w:szCs w:val="22"/>
          <w:lang w:val="fr-FR"/>
        </w:rPr>
        <w:t>nuo  skausmo</w:t>
      </w:r>
      <w:proofErr w:type="gramEnd"/>
      <w:r w:rsidRPr="000E1775">
        <w:rPr>
          <w:rFonts w:ascii="Times New Roman" w:eastAsia="Calibri" w:hAnsi="Times New Roman"/>
          <w:sz w:val="22"/>
          <w:szCs w:val="22"/>
          <w:lang w:val="fr-FR"/>
        </w:rPr>
        <w:t>, kurie vartojami chirurginių procedūrų metu);</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oksikodonas ir kiti ilgai veikiantys opioidai, pavyzdžiui, hidrokodonas (malšinamas </w:t>
      </w:r>
      <w:proofErr w:type="gramStart"/>
      <w:r w:rsidRPr="000E1775">
        <w:rPr>
          <w:rFonts w:ascii="Times New Roman" w:eastAsia="Calibri" w:hAnsi="Times New Roman"/>
          <w:sz w:val="22"/>
          <w:szCs w:val="22"/>
          <w:lang w:val="fr-FR"/>
        </w:rPr>
        <w:t>vidutinio  stiprumo</w:t>
      </w:r>
      <w:proofErr w:type="gramEnd"/>
      <w:r w:rsidRPr="000E1775">
        <w:rPr>
          <w:rFonts w:ascii="Times New Roman" w:eastAsia="Calibri" w:hAnsi="Times New Roman"/>
          <w:sz w:val="22"/>
          <w:szCs w:val="22"/>
          <w:lang w:val="fr-FR"/>
        </w:rPr>
        <w:t xml:space="preserve"> ir stiprus skausmas);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nesteroidiniai vaistai nuo uždegimo (</w:t>
      </w:r>
      <w:proofErr w:type="gramStart"/>
      <w:r w:rsidRPr="000E1775">
        <w:rPr>
          <w:rFonts w:ascii="Times New Roman" w:eastAsia="Calibri" w:hAnsi="Times New Roman"/>
          <w:sz w:val="22"/>
          <w:szCs w:val="22"/>
          <w:lang w:val="fr-FR"/>
        </w:rPr>
        <w:t>pvz.,</w:t>
      </w:r>
      <w:proofErr w:type="gramEnd"/>
      <w:r w:rsidRPr="000E1775">
        <w:rPr>
          <w:rFonts w:ascii="Times New Roman" w:eastAsia="Calibri" w:hAnsi="Times New Roman"/>
          <w:sz w:val="22"/>
          <w:szCs w:val="22"/>
          <w:lang w:val="fr-FR"/>
        </w:rPr>
        <w:t xml:space="preserve"> ibuprofenas, diklofenakas, kuriais malšinamas     skausmas ir slopinamas uždegimas);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flukonazolas (gydoma grybelių sukelta infekcija</w:t>
      </w:r>
      <w:proofErr w:type="gramStart"/>
      <w:r w:rsidRPr="000E1775">
        <w:rPr>
          <w:rFonts w:ascii="Times New Roman" w:eastAsia="Calibri" w:hAnsi="Times New Roman"/>
          <w:sz w:val="22"/>
          <w:szCs w:val="22"/>
          <w:lang w:val="fr-FR"/>
        </w:rPr>
        <w:t>);</w:t>
      </w:r>
      <w:proofErr w:type="gramEnd"/>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fr-FR"/>
        </w:rPr>
        <w:t xml:space="preserve">-  everolimuzas (vartojamas išplitusiam inkstų vėžiui gydyti ir pacientams po </w:t>
      </w:r>
      <w:proofErr w:type="gramStart"/>
      <w:r w:rsidRPr="000E1775">
        <w:rPr>
          <w:rFonts w:ascii="Times New Roman" w:eastAsia="Calibri" w:hAnsi="Times New Roman"/>
          <w:sz w:val="22"/>
          <w:szCs w:val="22"/>
          <w:lang w:val="fr-FR"/>
        </w:rPr>
        <w:t>organo  persodinimo</w:t>
      </w:r>
      <w:proofErr w:type="gramEnd"/>
      <w:r w:rsidRPr="000E1775">
        <w:rPr>
          <w:rFonts w:ascii="Times New Roman" w:eastAsia="Calibri" w:hAnsi="Times New Roman"/>
          <w:sz w:val="22"/>
          <w:szCs w:val="22"/>
          <w:lang w:val="fr-FR"/>
        </w:rPr>
        <w:t>).</w:t>
      </w:r>
    </w:p>
    <w:p w:rsidR="00E5066C" w:rsidRPr="000E1775" w:rsidRDefault="00E5066C" w:rsidP="00E5066C">
      <w:pPr>
        <w:numPr>
          <w:ilvl w:val="12"/>
          <w:numId w:val="0"/>
        </w:numPr>
        <w:rPr>
          <w:rFonts w:ascii="Times New Roman" w:hAnsi="Times New Roman"/>
          <w:sz w:val="22"/>
          <w:szCs w:val="22"/>
          <w:lang w:val="lt-LT"/>
        </w:rPr>
      </w:pPr>
    </w:p>
    <w:p w:rsidR="00E5066C" w:rsidRPr="000E1775" w:rsidRDefault="00E5066C" w:rsidP="00E5066C">
      <w:pPr>
        <w:pStyle w:val="Antrat4"/>
        <w:rPr>
          <w:sz w:val="22"/>
          <w:szCs w:val="22"/>
          <w:lang w:val="lt-LT"/>
        </w:rPr>
      </w:pPr>
      <w:r w:rsidRPr="000E1775">
        <w:rPr>
          <w:sz w:val="22"/>
          <w:szCs w:val="22"/>
          <w:lang w:val="lt-LT"/>
        </w:rPr>
        <w:t xml:space="preserve">Nėštumas ir žindymo laikotarpis </w:t>
      </w:r>
    </w:p>
    <w:p w:rsidR="0086375C" w:rsidRPr="000E1775" w:rsidRDefault="0086375C" w:rsidP="0086375C">
      <w:pPr>
        <w:numPr>
          <w:ilvl w:val="12"/>
          <w:numId w:val="0"/>
        </w:numPr>
        <w:rPr>
          <w:rFonts w:ascii="Times New Roman" w:hAnsi="Times New Roman"/>
          <w:noProof/>
          <w:sz w:val="22"/>
          <w:szCs w:val="22"/>
          <w:lang w:val="lt-LT"/>
        </w:rPr>
      </w:pPr>
      <w:r w:rsidRPr="000E1775">
        <w:rPr>
          <w:rFonts w:ascii="Times New Roman" w:hAnsi="Times New Roman"/>
          <w:noProof/>
          <w:sz w:val="22"/>
          <w:szCs w:val="22"/>
          <w:lang w:val="lt-LT"/>
        </w:rPr>
        <w:t>Vorikonazolo nėštumo metu vartoti draudžiama, išskyrus atvejus, kai vaistą skiria vartoti gydytojas.</w:t>
      </w:r>
    </w:p>
    <w:p w:rsidR="0086375C" w:rsidRPr="000E1775" w:rsidRDefault="0086375C" w:rsidP="0086375C">
      <w:pPr>
        <w:numPr>
          <w:ilvl w:val="12"/>
          <w:numId w:val="0"/>
        </w:numPr>
        <w:rPr>
          <w:rFonts w:ascii="Times New Roman" w:hAnsi="Times New Roman"/>
          <w:noProof/>
          <w:sz w:val="22"/>
          <w:szCs w:val="22"/>
          <w:lang w:val="lt-LT"/>
        </w:rPr>
      </w:pPr>
      <w:r w:rsidRPr="000E1775">
        <w:rPr>
          <w:rFonts w:ascii="Times New Roman" w:hAnsi="Times New Roman"/>
          <w:noProof/>
          <w:sz w:val="22"/>
          <w:szCs w:val="22"/>
          <w:lang w:val="lt-LT"/>
        </w:rPr>
        <w:t>Vaisingoms moterims reikia naudoti veiksmingas kontraceptines priemones. Jeigu</w:t>
      </w:r>
      <w:r w:rsidR="00805BEE" w:rsidRPr="000E1775">
        <w:rPr>
          <w:rFonts w:ascii="Times New Roman" w:hAnsi="Times New Roman"/>
          <w:noProof/>
          <w:sz w:val="22"/>
          <w:szCs w:val="22"/>
          <w:lang w:val="lt-LT"/>
        </w:rPr>
        <w:t xml:space="preserve"> </w:t>
      </w:r>
      <w:r w:rsidRPr="000E1775">
        <w:rPr>
          <w:rFonts w:ascii="Times New Roman" w:hAnsi="Times New Roman"/>
          <w:noProof/>
          <w:sz w:val="22"/>
          <w:szCs w:val="22"/>
          <w:lang w:val="lt-LT"/>
        </w:rPr>
        <w:t xml:space="preserve">pastojote vartodama </w:t>
      </w:r>
      <w:r w:rsidR="00805BEE" w:rsidRPr="000E1775">
        <w:rPr>
          <w:rFonts w:ascii="Times New Roman" w:hAnsi="Times New Roman"/>
          <w:noProof/>
          <w:sz w:val="22"/>
          <w:szCs w:val="22"/>
          <w:lang w:val="lt-LT"/>
        </w:rPr>
        <w:t>VORICONAZOLE RICHTER</w:t>
      </w:r>
      <w:r w:rsidRPr="000E1775">
        <w:rPr>
          <w:rFonts w:ascii="Times New Roman" w:hAnsi="Times New Roman"/>
          <w:noProof/>
          <w:sz w:val="22"/>
          <w:szCs w:val="22"/>
          <w:lang w:val="lt-LT"/>
        </w:rPr>
        <w:t>, nedelsdama kreipkitės į gydytoją.</w:t>
      </w:r>
    </w:p>
    <w:p w:rsidR="0086375C" w:rsidRPr="000E1775" w:rsidRDefault="0086375C" w:rsidP="0086375C">
      <w:pPr>
        <w:numPr>
          <w:ilvl w:val="12"/>
          <w:numId w:val="0"/>
        </w:numPr>
        <w:rPr>
          <w:rFonts w:ascii="Times New Roman" w:hAnsi="Times New Roman"/>
          <w:noProof/>
          <w:sz w:val="22"/>
          <w:szCs w:val="22"/>
          <w:lang w:val="lt-LT"/>
        </w:rPr>
      </w:pPr>
    </w:p>
    <w:p w:rsidR="00E5066C" w:rsidRPr="000E1775" w:rsidRDefault="00E5066C" w:rsidP="0086375C">
      <w:pPr>
        <w:numPr>
          <w:ilvl w:val="12"/>
          <w:numId w:val="0"/>
        </w:numPr>
        <w:rPr>
          <w:rFonts w:ascii="Times New Roman" w:hAnsi="Times New Roman"/>
          <w:sz w:val="22"/>
          <w:szCs w:val="22"/>
          <w:lang w:val="lt-LT"/>
        </w:rPr>
      </w:pPr>
      <w:r w:rsidRPr="000E1775">
        <w:rPr>
          <w:rFonts w:ascii="Times New Roman" w:hAnsi="Times New Roman"/>
          <w:noProof/>
          <w:sz w:val="22"/>
          <w:szCs w:val="22"/>
          <w:lang w:val="lt-LT"/>
        </w:rPr>
        <w:t>Jeigu esate nėščia, žindote kūdikį, manote, kad galbūt esate nėščia, arba planuojate pastoti, tai prieš vartodama šį vaistą, pasitarkite su gydytoju</w:t>
      </w:r>
      <w:r w:rsidR="0086375C" w:rsidRPr="000E1775">
        <w:rPr>
          <w:rFonts w:ascii="Times New Roman" w:hAnsi="Times New Roman"/>
          <w:noProof/>
          <w:sz w:val="22"/>
          <w:szCs w:val="22"/>
          <w:lang w:val="lt-LT"/>
        </w:rPr>
        <w:t xml:space="preserve"> arba vaistininku</w:t>
      </w:r>
      <w:r w:rsidRPr="000E1775">
        <w:rPr>
          <w:rFonts w:ascii="Times New Roman" w:hAnsi="Times New Roman"/>
          <w:noProof/>
          <w:sz w:val="22"/>
          <w:szCs w:val="22"/>
          <w:lang w:val="lt-LT"/>
        </w:rPr>
        <w:t>.</w:t>
      </w:r>
      <w:r w:rsidRPr="000E1775">
        <w:rPr>
          <w:rFonts w:ascii="Times New Roman" w:hAnsi="Times New Roman"/>
          <w:sz w:val="22"/>
          <w:szCs w:val="22"/>
          <w:lang w:val="lt-LT"/>
        </w:rPr>
        <w:t xml:space="preserve"> </w:t>
      </w:r>
    </w:p>
    <w:p w:rsidR="0086375C" w:rsidRPr="000E1775" w:rsidRDefault="0086375C" w:rsidP="00E5066C">
      <w:pPr>
        <w:autoSpaceDE w:val="0"/>
        <w:autoSpaceDN w:val="0"/>
        <w:adjustRightInd w:val="0"/>
        <w:rPr>
          <w:rFonts w:ascii="Times New Roman" w:hAnsi="Times New Roman"/>
          <w:sz w:val="22"/>
          <w:szCs w:val="22"/>
          <w:lang w:val="lt-LT"/>
        </w:rPr>
      </w:pPr>
    </w:p>
    <w:p w:rsidR="00E5066C" w:rsidRPr="000E1775" w:rsidRDefault="00E5066C" w:rsidP="00E5066C">
      <w:pPr>
        <w:pStyle w:val="Antrat4"/>
        <w:rPr>
          <w:sz w:val="22"/>
          <w:szCs w:val="22"/>
          <w:lang w:val="lt-LT"/>
        </w:rPr>
      </w:pPr>
      <w:r w:rsidRPr="000E1775">
        <w:rPr>
          <w:sz w:val="22"/>
          <w:szCs w:val="22"/>
          <w:lang w:val="lt-LT"/>
        </w:rPr>
        <w:t>Vairavimas ir mechanizmų valdymas</w:t>
      </w: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 xml:space="preserve">Vartojant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regėjimas gali tapti miglotas, atsirasti nemalonus jautrumas šviesai. Jeigu jaučiate tokį poveikį, vairuoti ir valdyti mechanizmų negalima. Jei taip atsitinka, reikia kreiptis į gydytoją.</w:t>
      </w:r>
    </w:p>
    <w:p w:rsidR="00E5066C" w:rsidRPr="000E1775" w:rsidRDefault="00E5066C" w:rsidP="00E5066C">
      <w:pPr>
        <w:pStyle w:val="Antrat4"/>
        <w:rPr>
          <w:sz w:val="22"/>
          <w:szCs w:val="22"/>
          <w:lang w:val="lt-LT"/>
        </w:rPr>
      </w:pPr>
      <w:r w:rsidRPr="000E1775">
        <w:rPr>
          <w:sz w:val="22"/>
          <w:szCs w:val="22"/>
          <w:lang w:val="lt-LT"/>
        </w:rPr>
        <w:t>VORICONAZOLE RICHTER sudėtyje yra pieno cukraus (laktozės)</w:t>
      </w: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Jeigu gydytojas Jums yra sakęs, kad netoleruojate kokių nors angliavandenių, kreipkitės į jį prieš pradėdami vartoti šį vaistą.</w:t>
      </w: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A406A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3.</w:t>
      </w:r>
      <w:r w:rsidRPr="000E1775">
        <w:rPr>
          <w:rFonts w:ascii="Times New Roman" w:hAnsi="Times New Roman"/>
          <w:sz w:val="22"/>
          <w:szCs w:val="22"/>
          <w:lang w:val="lt-LT"/>
        </w:rPr>
        <w:tab/>
        <w:t xml:space="preserve">Kaip vartoti VORICONAZOLE RICHTER </w:t>
      </w: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E5066C">
      <w:pPr>
        <w:numPr>
          <w:ilvl w:val="12"/>
          <w:numId w:val="0"/>
        </w:numPr>
        <w:ind w:right="-2"/>
        <w:rPr>
          <w:rFonts w:ascii="Times New Roman" w:hAnsi="Times New Roman"/>
          <w:sz w:val="22"/>
          <w:szCs w:val="22"/>
          <w:lang w:val="lt-LT"/>
        </w:rPr>
      </w:pPr>
      <w:r w:rsidRPr="000E1775">
        <w:rPr>
          <w:rFonts w:ascii="Times New Roman" w:hAnsi="Times New Roman"/>
          <w:noProof/>
          <w:sz w:val="22"/>
          <w:szCs w:val="22"/>
          <w:lang w:val="lt-LT"/>
        </w:rPr>
        <w:t>Visada vartokite šį vaistą tiksliai kaip nurodė gydytojas.</w:t>
      </w:r>
      <w:r w:rsidRPr="000E1775">
        <w:rPr>
          <w:rFonts w:ascii="Times New Roman" w:hAnsi="Times New Roman"/>
          <w:sz w:val="22"/>
          <w:szCs w:val="22"/>
          <w:lang w:val="lt-LT"/>
        </w:rPr>
        <w:t xml:space="preserve"> </w:t>
      </w:r>
      <w:r w:rsidRPr="000E1775">
        <w:rPr>
          <w:rFonts w:ascii="Times New Roman" w:hAnsi="Times New Roman"/>
          <w:noProof/>
          <w:sz w:val="22"/>
          <w:szCs w:val="22"/>
          <w:lang w:val="lt-LT"/>
        </w:rPr>
        <w:t>Jeigu abejojate, kreipkitės į  gydytoją arba vaistininką.</w:t>
      </w:r>
      <w:r w:rsidRPr="000E1775">
        <w:rPr>
          <w:rFonts w:ascii="Times New Roman" w:hAnsi="Times New Roman"/>
          <w:sz w:val="22"/>
          <w:szCs w:val="22"/>
          <w:lang w:val="lt-LT"/>
        </w:rPr>
        <w:t xml:space="preserve"> </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Gydytojas nustatys dozę, atsižvelgdamas į Jūsų kūno svorį ir infekcijos rūšį.</w:t>
      </w:r>
    </w:p>
    <w:p w:rsidR="00E5066C" w:rsidRPr="000E1775" w:rsidRDefault="00E5066C" w:rsidP="00E5066C">
      <w:pPr>
        <w:numPr>
          <w:ilvl w:val="12"/>
          <w:numId w:val="0"/>
        </w:numPr>
        <w:ind w:right="-2"/>
        <w:rPr>
          <w:rFonts w:ascii="Times New Roman" w:eastAsia="Calibri" w:hAnsi="Times New Roman"/>
          <w:sz w:val="22"/>
          <w:szCs w:val="22"/>
          <w:lang w:val="lt-LT"/>
        </w:rPr>
      </w:pPr>
    </w:p>
    <w:p w:rsidR="00E5066C" w:rsidRPr="000E1775" w:rsidRDefault="00E5066C" w:rsidP="00E5066C">
      <w:pPr>
        <w:numPr>
          <w:ilvl w:val="12"/>
          <w:numId w:val="0"/>
        </w:numPr>
        <w:ind w:right="-2"/>
        <w:rPr>
          <w:rFonts w:ascii="Times New Roman" w:hAnsi="Times New Roman"/>
          <w:noProof/>
          <w:sz w:val="22"/>
          <w:szCs w:val="22"/>
          <w:lang w:val="lt-LT"/>
        </w:rPr>
      </w:pPr>
      <w:r w:rsidRPr="000E1775">
        <w:rPr>
          <w:rFonts w:ascii="Times New Roman" w:eastAsia="Calibri" w:hAnsi="Times New Roman"/>
          <w:sz w:val="22"/>
          <w:szCs w:val="22"/>
          <w:lang w:val="lt-LT"/>
        </w:rPr>
        <w:t>Rekomenduojama dozė suaugusiam žmogui (įskaitant senyvus pacientus)</w:t>
      </w:r>
    </w:p>
    <w:p w:rsidR="00E5066C" w:rsidRPr="000E1775" w:rsidRDefault="00E5066C" w:rsidP="00E5066C">
      <w:pPr>
        <w:numPr>
          <w:ilvl w:val="12"/>
          <w:numId w:val="0"/>
        </w:numPr>
        <w:ind w:right="-2"/>
        <w:rPr>
          <w:rFonts w:ascii="Times New Roman" w:hAnsi="Times New Roman"/>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061"/>
        <w:gridCol w:w="2904"/>
      </w:tblGrid>
      <w:tr w:rsidR="00E5066C" w:rsidRPr="000E1775" w:rsidTr="009852BC">
        <w:trPr>
          <w:trHeight w:val="128"/>
        </w:trPr>
        <w:tc>
          <w:tcPr>
            <w:tcW w:w="3117" w:type="dxa"/>
            <w:vMerge w:val="restart"/>
            <w:tcBorders>
              <w:top w:val="single" w:sz="4" w:space="0" w:color="auto"/>
              <w:left w:val="single" w:sz="4" w:space="0" w:color="auto"/>
            </w:tcBorders>
          </w:tcPr>
          <w:p w:rsidR="00E5066C" w:rsidRPr="000E1775" w:rsidRDefault="00E5066C" w:rsidP="009852BC">
            <w:pPr>
              <w:widowControl w:val="0"/>
              <w:numPr>
                <w:ilvl w:val="12"/>
                <w:numId w:val="0"/>
              </w:numPr>
              <w:ind w:right="-2"/>
              <w:rPr>
                <w:rFonts w:ascii="Times New Roman" w:hAnsi="Times New Roman"/>
                <w:noProof/>
                <w:sz w:val="22"/>
                <w:szCs w:val="22"/>
                <w:lang w:val="lt-LT"/>
              </w:rPr>
            </w:pPr>
          </w:p>
        </w:tc>
        <w:tc>
          <w:tcPr>
            <w:tcW w:w="6011" w:type="dxa"/>
            <w:gridSpan w:val="2"/>
            <w:vAlign w:val="center"/>
          </w:tcPr>
          <w:p w:rsidR="00E5066C" w:rsidRPr="000E1775" w:rsidRDefault="00E5066C" w:rsidP="009852BC">
            <w:pPr>
              <w:pStyle w:val="Default"/>
              <w:widowControl w:val="0"/>
              <w:tabs>
                <w:tab w:val="left" w:pos="567"/>
              </w:tabs>
              <w:jc w:val="center"/>
              <w:rPr>
                <w:noProof/>
                <w:sz w:val="22"/>
                <w:szCs w:val="22"/>
                <w:lang w:val="en-GB"/>
              </w:rPr>
            </w:pPr>
            <w:r w:rsidRPr="000E1775">
              <w:rPr>
                <w:b/>
                <w:bCs/>
                <w:sz w:val="22"/>
                <w:szCs w:val="22"/>
                <w:lang w:val="en-GB"/>
              </w:rPr>
              <w:t>Tabletės</w:t>
            </w:r>
          </w:p>
        </w:tc>
      </w:tr>
      <w:tr w:rsidR="00E5066C" w:rsidRPr="000E1775" w:rsidTr="009852BC">
        <w:trPr>
          <w:trHeight w:val="127"/>
        </w:trPr>
        <w:tc>
          <w:tcPr>
            <w:tcW w:w="3117" w:type="dxa"/>
            <w:vMerge/>
            <w:tcBorders>
              <w:left w:val="single" w:sz="4" w:space="0" w:color="auto"/>
            </w:tcBorders>
          </w:tcPr>
          <w:p w:rsidR="00E5066C" w:rsidRPr="000E1775" w:rsidRDefault="00E5066C" w:rsidP="009852BC">
            <w:pPr>
              <w:widowControl w:val="0"/>
              <w:numPr>
                <w:ilvl w:val="12"/>
                <w:numId w:val="0"/>
              </w:numPr>
              <w:ind w:right="-2"/>
              <w:rPr>
                <w:rFonts w:ascii="Times New Roman" w:hAnsi="Times New Roman"/>
                <w:noProof/>
                <w:sz w:val="22"/>
                <w:szCs w:val="22"/>
              </w:rPr>
            </w:pPr>
          </w:p>
        </w:tc>
        <w:tc>
          <w:tcPr>
            <w:tcW w:w="3085" w:type="dxa"/>
          </w:tcPr>
          <w:p w:rsidR="00E5066C" w:rsidRPr="000E1775" w:rsidRDefault="00E5066C" w:rsidP="009852BC">
            <w:pPr>
              <w:pStyle w:val="Default"/>
              <w:widowControl w:val="0"/>
              <w:tabs>
                <w:tab w:val="left" w:pos="567"/>
              </w:tabs>
              <w:rPr>
                <w:noProof/>
                <w:sz w:val="22"/>
                <w:szCs w:val="22"/>
                <w:lang w:val="en-GB"/>
              </w:rPr>
            </w:pPr>
            <w:r w:rsidRPr="000E1775">
              <w:rPr>
                <w:rFonts w:eastAsia="Calibri"/>
                <w:sz w:val="22"/>
                <w:szCs w:val="22"/>
              </w:rPr>
              <w:t xml:space="preserve">Pacientai, sveriantys 40 kg ir daugiau </w:t>
            </w:r>
          </w:p>
        </w:tc>
        <w:tc>
          <w:tcPr>
            <w:tcW w:w="2926" w:type="dxa"/>
          </w:tcPr>
          <w:p w:rsidR="00E5066C" w:rsidRPr="000E1775" w:rsidRDefault="00E5066C" w:rsidP="009852BC">
            <w:pPr>
              <w:pStyle w:val="Default"/>
              <w:widowControl w:val="0"/>
              <w:tabs>
                <w:tab w:val="left" w:pos="567"/>
              </w:tabs>
              <w:rPr>
                <w:noProof/>
                <w:sz w:val="22"/>
                <w:szCs w:val="22"/>
                <w:lang w:val="en-GB"/>
              </w:rPr>
            </w:pPr>
            <w:r w:rsidRPr="000E1775">
              <w:rPr>
                <w:rFonts w:eastAsia="Calibri"/>
                <w:sz w:val="22"/>
                <w:szCs w:val="22"/>
                <w:lang w:val="en-GB"/>
              </w:rPr>
              <w:t>Pacientai, sveriantys mažiau</w:t>
            </w:r>
            <w:r w:rsidRPr="000E1775">
              <w:rPr>
                <w:rFonts w:eastAsia="Calibri"/>
                <w:sz w:val="22"/>
                <w:szCs w:val="22"/>
              </w:rPr>
              <w:t xml:space="preserve"> kaip 40 kg  </w:t>
            </w:r>
          </w:p>
        </w:tc>
      </w:tr>
      <w:tr w:rsidR="00E5066C" w:rsidRPr="000E1775" w:rsidTr="009852BC">
        <w:tc>
          <w:tcPr>
            <w:tcW w:w="3117" w:type="dxa"/>
          </w:tcPr>
          <w:p w:rsidR="00E5066C" w:rsidRPr="000E1775" w:rsidRDefault="00E5066C" w:rsidP="00805BEE">
            <w:pPr>
              <w:widowControl w:val="0"/>
              <w:numPr>
                <w:ilvl w:val="12"/>
                <w:numId w:val="0"/>
              </w:numPr>
              <w:ind w:right="-2"/>
              <w:rPr>
                <w:rFonts w:ascii="Times New Roman" w:hAnsi="Times New Roman"/>
                <w:b/>
                <w:noProof/>
                <w:sz w:val="22"/>
                <w:szCs w:val="22"/>
              </w:rPr>
            </w:pPr>
            <w:r w:rsidRPr="000E1775">
              <w:rPr>
                <w:rFonts w:ascii="Times New Roman" w:eastAsia="Calibri" w:hAnsi="Times New Roman"/>
                <w:b/>
                <w:bCs/>
                <w:sz w:val="22"/>
                <w:szCs w:val="22"/>
                <w:lang w:val="en-US"/>
              </w:rPr>
              <w:t xml:space="preserve">Dozė pirmąsias 24 valandas </w:t>
            </w:r>
            <w:r w:rsidRPr="000E1775">
              <w:rPr>
                <w:rFonts w:ascii="Times New Roman" w:eastAsia="Calibri" w:hAnsi="Times New Roman"/>
                <w:sz w:val="22"/>
                <w:szCs w:val="22"/>
                <w:lang w:val="en-US"/>
              </w:rPr>
              <w:t>(</w:t>
            </w:r>
            <w:r w:rsidR="00805BEE" w:rsidRPr="000E1775">
              <w:rPr>
                <w:rFonts w:ascii="Times New Roman" w:eastAsia="Calibri" w:hAnsi="Times New Roman"/>
                <w:sz w:val="22"/>
                <w:szCs w:val="22"/>
                <w:lang w:val="en-US"/>
              </w:rPr>
              <w:t>į</w:t>
            </w:r>
            <w:r w:rsidRPr="000E1775">
              <w:rPr>
                <w:rFonts w:ascii="Times New Roman" w:eastAsia="Calibri" w:hAnsi="Times New Roman"/>
                <w:sz w:val="22"/>
                <w:szCs w:val="22"/>
                <w:lang w:val="en-US"/>
              </w:rPr>
              <w:t>sotinamoji dozė)</w:t>
            </w:r>
            <w:r w:rsidRPr="000E1775">
              <w:rPr>
                <w:rFonts w:ascii="Times New Roman" w:hAnsi="Times New Roman"/>
                <w:noProof/>
                <w:sz w:val="22"/>
                <w:szCs w:val="22"/>
              </w:rPr>
              <w:t xml:space="preserve"> </w:t>
            </w:r>
          </w:p>
        </w:tc>
        <w:tc>
          <w:tcPr>
            <w:tcW w:w="3085" w:type="dxa"/>
          </w:tcPr>
          <w:p w:rsidR="00E5066C" w:rsidRPr="000E1775" w:rsidRDefault="00E5066C" w:rsidP="009852BC">
            <w:pPr>
              <w:autoSpaceDE w:val="0"/>
              <w:autoSpaceDN w:val="0"/>
              <w:adjustRightInd w:val="0"/>
              <w:rPr>
                <w:rFonts w:ascii="Times New Roman" w:hAnsi="Times New Roman"/>
                <w:noProof/>
                <w:sz w:val="22"/>
                <w:szCs w:val="22"/>
                <w:lang w:val="fr-FR"/>
              </w:rPr>
            </w:pPr>
            <w:r w:rsidRPr="000E1775">
              <w:rPr>
                <w:rFonts w:ascii="Times New Roman" w:eastAsia="Calibri" w:hAnsi="Times New Roman"/>
                <w:sz w:val="22"/>
                <w:szCs w:val="22"/>
                <w:lang w:val="fr-FR"/>
              </w:rPr>
              <w:t xml:space="preserve">Pirmąsias 24 valandas </w:t>
            </w:r>
            <w:proofErr w:type="gramStart"/>
            <w:r w:rsidRPr="000E1775">
              <w:rPr>
                <w:rFonts w:ascii="Times New Roman" w:eastAsia="Calibri" w:hAnsi="Times New Roman"/>
                <w:sz w:val="22"/>
                <w:szCs w:val="22"/>
                <w:lang w:val="fr-FR"/>
              </w:rPr>
              <w:t>po  400</w:t>
            </w:r>
            <w:proofErr w:type="gramEnd"/>
            <w:r w:rsidRPr="000E1775">
              <w:rPr>
                <w:rFonts w:ascii="Times New Roman" w:eastAsia="Calibri" w:hAnsi="Times New Roman"/>
                <w:sz w:val="22"/>
                <w:szCs w:val="22"/>
                <w:lang w:val="fr-FR"/>
              </w:rPr>
              <w:t xml:space="preserve"> mg kas 12 val.</w:t>
            </w:r>
          </w:p>
          <w:p w:rsidR="00E5066C" w:rsidRPr="000E1775" w:rsidRDefault="00E5066C" w:rsidP="009852BC">
            <w:pPr>
              <w:widowControl w:val="0"/>
              <w:numPr>
                <w:ilvl w:val="12"/>
                <w:numId w:val="0"/>
              </w:numPr>
              <w:ind w:right="-2"/>
              <w:rPr>
                <w:rFonts w:ascii="Times New Roman" w:hAnsi="Times New Roman"/>
                <w:noProof/>
                <w:sz w:val="22"/>
                <w:szCs w:val="22"/>
                <w:lang w:val="fr-FR"/>
              </w:rPr>
            </w:pPr>
          </w:p>
        </w:tc>
        <w:tc>
          <w:tcPr>
            <w:tcW w:w="2926" w:type="dxa"/>
          </w:tcPr>
          <w:p w:rsidR="00E5066C" w:rsidRPr="000E1775" w:rsidRDefault="00E5066C" w:rsidP="009852BC">
            <w:pPr>
              <w:autoSpaceDE w:val="0"/>
              <w:autoSpaceDN w:val="0"/>
              <w:adjustRightInd w:val="0"/>
              <w:rPr>
                <w:rFonts w:ascii="Times New Roman" w:hAnsi="Times New Roman"/>
                <w:noProof/>
                <w:sz w:val="22"/>
                <w:szCs w:val="22"/>
                <w:lang w:val="fr-FR"/>
              </w:rPr>
            </w:pPr>
            <w:r w:rsidRPr="000E1775">
              <w:rPr>
                <w:rFonts w:ascii="Times New Roman" w:eastAsia="Calibri" w:hAnsi="Times New Roman"/>
                <w:sz w:val="22"/>
                <w:szCs w:val="22"/>
                <w:lang w:val="fr-FR"/>
              </w:rPr>
              <w:t>Pirmąsias 24 valandas po200 mg kas 12 val.</w:t>
            </w:r>
          </w:p>
          <w:p w:rsidR="00E5066C" w:rsidRPr="000E1775" w:rsidRDefault="00E5066C" w:rsidP="009852BC">
            <w:pPr>
              <w:widowControl w:val="0"/>
              <w:numPr>
                <w:ilvl w:val="12"/>
                <w:numId w:val="0"/>
              </w:numPr>
              <w:ind w:right="-2"/>
              <w:rPr>
                <w:rFonts w:ascii="Times New Roman" w:hAnsi="Times New Roman"/>
                <w:noProof/>
                <w:sz w:val="22"/>
                <w:szCs w:val="22"/>
                <w:lang w:val="fr-FR"/>
              </w:rPr>
            </w:pPr>
          </w:p>
        </w:tc>
      </w:tr>
      <w:tr w:rsidR="00E5066C" w:rsidRPr="000E1775" w:rsidTr="009852BC">
        <w:tc>
          <w:tcPr>
            <w:tcW w:w="3117" w:type="dxa"/>
          </w:tcPr>
          <w:p w:rsidR="00E5066C" w:rsidRPr="000E1775" w:rsidRDefault="00E5066C" w:rsidP="009852BC">
            <w:pPr>
              <w:autoSpaceDE w:val="0"/>
              <w:autoSpaceDN w:val="0"/>
              <w:adjustRightInd w:val="0"/>
              <w:rPr>
                <w:rFonts w:ascii="Times New Roman" w:eastAsia="Calibri" w:hAnsi="Times New Roman"/>
                <w:b/>
                <w:bCs/>
                <w:sz w:val="22"/>
                <w:szCs w:val="22"/>
                <w:lang w:val="fr-FR"/>
              </w:rPr>
            </w:pPr>
            <w:r w:rsidRPr="000E1775">
              <w:rPr>
                <w:rFonts w:ascii="Times New Roman" w:eastAsia="Calibri" w:hAnsi="Times New Roman"/>
                <w:b/>
                <w:bCs/>
                <w:sz w:val="22"/>
                <w:szCs w:val="22"/>
                <w:lang w:val="fr-FR"/>
              </w:rPr>
              <w:t>Dozė praėjus pirmosioms 24 valandoms</w:t>
            </w:r>
          </w:p>
          <w:p w:rsidR="00E5066C" w:rsidRPr="000E1775" w:rsidRDefault="00E5066C" w:rsidP="00805BEE">
            <w:pPr>
              <w:widowControl w:val="0"/>
              <w:numPr>
                <w:ilvl w:val="12"/>
                <w:numId w:val="0"/>
              </w:numPr>
              <w:ind w:right="-2"/>
              <w:rPr>
                <w:rFonts w:ascii="Times New Roman" w:hAnsi="Times New Roman"/>
                <w:b/>
                <w:noProof/>
                <w:sz w:val="22"/>
                <w:szCs w:val="22"/>
                <w:lang w:val="fr-FR"/>
              </w:rPr>
            </w:pPr>
            <w:r w:rsidRPr="000E1775">
              <w:rPr>
                <w:rFonts w:ascii="Times New Roman" w:eastAsia="Calibri" w:hAnsi="Times New Roman"/>
                <w:sz w:val="22"/>
                <w:szCs w:val="22"/>
                <w:lang w:val="fr-FR"/>
              </w:rPr>
              <w:t>(</w:t>
            </w:r>
            <w:r w:rsidR="00805BEE" w:rsidRPr="000E1775">
              <w:rPr>
                <w:rFonts w:ascii="Times New Roman" w:eastAsia="Calibri" w:hAnsi="Times New Roman"/>
                <w:sz w:val="22"/>
                <w:szCs w:val="22"/>
                <w:lang w:val="fr-FR"/>
              </w:rPr>
              <w:t>p</w:t>
            </w:r>
            <w:r w:rsidRPr="000E1775">
              <w:rPr>
                <w:rFonts w:ascii="Times New Roman" w:eastAsia="Calibri" w:hAnsi="Times New Roman"/>
                <w:sz w:val="22"/>
                <w:szCs w:val="22"/>
                <w:lang w:val="fr-FR"/>
              </w:rPr>
              <w:t>alaikomoji dozė)</w:t>
            </w:r>
          </w:p>
        </w:tc>
        <w:tc>
          <w:tcPr>
            <w:tcW w:w="3085" w:type="dxa"/>
          </w:tcPr>
          <w:p w:rsidR="00E5066C" w:rsidRPr="000E1775" w:rsidRDefault="00E5066C" w:rsidP="009852BC">
            <w:pPr>
              <w:pStyle w:val="Default"/>
              <w:widowControl w:val="0"/>
              <w:tabs>
                <w:tab w:val="left" w:pos="567"/>
              </w:tabs>
              <w:rPr>
                <w:noProof/>
                <w:sz w:val="22"/>
                <w:szCs w:val="22"/>
                <w:lang w:val="en-GB"/>
              </w:rPr>
            </w:pPr>
            <w:r w:rsidRPr="000E1775">
              <w:rPr>
                <w:rFonts w:eastAsia="Calibri"/>
                <w:sz w:val="22"/>
                <w:szCs w:val="22"/>
              </w:rPr>
              <w:t xml:space="preserve">Po 200 mg du kartus per parą </w:t>
            </w:r>
          </w:p>
        </w:tc>
        <w:tc>
          <w:tcPr>
            <w:tcW w:w="2926" w:type="dxa"/>
          </w:tcPr>
          <w:p w:rsidR="00E5066C" w:rsidRPr="000E1775" w:rsidRDefault="00E5066C" w:rsidP="009852BC">
            <w:pPr>
              <w:pStyle w:val="Default"/>
              <w:widowControl w:val="0"/>
              <w:tabs>
                <w:tab w:val="left" w:pos="567"/>
              </w:tabs>
              <w:rPr>
                <w:noProof/>
                <w:sz w:val="22"/>
                <w:szCs w:val="22"/>
                <w:lang w:val="en-GB"/>
              </w:rPr>
            </w:pPr>
            <w:r w:rsidRPr="000E1775">
              <w:rPr>
                <w:rFonts w:eastAsia="Calibri"/>
                <w:sz w:val="22"/>
                <w:szCs w:val="22"/>
              </w:rPr>
              <w:t xml:space="preserve">Po 100 mg du kartus per parą </w:t>
            </w:r>
          </w:p>
        </w:tc>
      </w:tr>
    </w:tbl>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Atsižvelgdamas į </w:t>
      </w:r>
      <w:proofErr w:type="gramStart"/>
      <w:r w:rsidRPr="000E1775">
        <w:rPr>
          <w:rFonts w:ascii="Times New Roman" w:eastAsia="Calibri" w:hAnsi="Times New Roman"/>
          <w:sz w:val="22"/>
          <w:szCs w:val="22"/>
          <w:lang w:val="en-US"/>
        </w:rPr>
        <w:t>tai</w:t>
      </w:r>
      <w:proofErr w:type="gramEnd"/>
      <w:r w:rsidRPr="000E1775">
        <w:rPr>
          <w:rFonts w:ascii="Times New Roman" w:eastAsia="Calibri" w:hAnsi="Times New Roman"/>
          <w:sz w:val="22"/>
          <w:szCs w:val="22"/>
          <w:lang w:val="en-US"/>
        </w:rPr>
        <w:t>, kaip Jūsų organizmas reaguoja į gydymą, gydytojas dozę gali padidinti ir skirti vartoti po 300 mg du kartus per parą.</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Jeigu sergate lengva arba vidutinio sunkumo kepenų ciroze, gydytojas gali nuspręsti dozę sumažinti.</w:t>
      </w:r>
    </w:p>
    <w:p w:rsidR="00E5066C" w:rsidRPr="000E1775" w:rsidRDefault="00E5066C" w:rsidP="00E5066C">
      <w:pPr>
        <w:autoSpaceDE w:val="0"/>
        <w:autoSpaceDN w:val="0"/>
        <w:adjustRightInd w:val="0"/>
        <w:rPr>
          <w:rFonts w:ascii="Times New Roman" w:eastAsia="Calibri" w:hAnsi="Times New Roman"/>
          <w:b/>
          <w:bCs/>
          <w:sz w:val="22"/>
          <w:szCs w:val="22"/>
          <w:lang w:val="en-US"/>
        </w:rPr>
      </w:pPr>
    </w:p>
    <w:p w:rsidR="00E5066C" w:rsidRPr="000E1775" w:rsidRDefault="00E5066C" w:rsidP="00E5066C">
      <w:pPr>
        <w:autoSpaceDE w:val="0"/>
        <w:autoSpaceDN w:val="0"/>
        <w:adjustRightInd w:val="0"/>
        <w:rPr>
          <w:rFonts w:ascii="Times New Roman" w:eastAsia="Calibri" w:hAnsi="Times New Roman"/>
          <w:b/>
          <w:bCs/>
          <w:sz w:val="22"/>
          <w:szCs w:val="22"/>
          <w:lang w:val="en-US"/>
        </w:rPr>
      </w:pPr>
      <w:r w:rsidRPr="000E1775">
        <w:rPr>
          <w:rFonts w:ascii="Times New Roman" w:eastAsia="Calibri" w:hAnsi="Times New Roman"/>
          <w:b/>
          <w:bCs/>
          <w:sz w:val="22"/>
          <w:szCs w:val="22"/>
          <w:lang w:val="en-US"/>
        </w:rPr>
        <w:t>Vartojimas vaikams ir paaugliams</w:t>
      </w: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Rekomenduojama dozė vaikams ir paaugliams</w:t>
      </w:r>
    </w:p>
    <w:p w:rsidR="00E5066C" w:rsidRPr="000E1775" w:rsidRDefault="00E5066C" w:rsidP="00E5066C">
      <w:pPr>
        <w:numPr>
          <w:ilvl w:val="12"/>
          <w:numId w:val="0"/>
        </w:numPr>
        <w:rPr>
          <w:rFonts w:ascii="Times New Roman" w:hAnsi="Times New Roman"/>
          <w:sz w:val="22"/>
          <w:szCs w:val="22"/>
          <w:lang w:val="lt-LT"/>
        </w:rPr>
      </w:pPr>
      <w:r w:rsidRPr="000E1775">
        <w:rPr>
          <w:rFonts w:ascii="Times New Roman" w:hAnsi="Times New Roman"/>
          <w:sz w:val="22"/>
          <w:szCs w:val="22"/>
          <w:lang w:val="lt-LT"/>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3"/>
        <w:gridCol w:w="3166"/>
        <w:gridCol w:w="3573"/>
      </w:tblGrid>
      <w:tr w:rsidR="00E5066C" w:rsidRPr="000E1775" w:rsidTr="009852BC">
        <w:trPr>
          <w:trHeight w:val="127"/>
        </w:trPr>
        <w:tc>
          <w:tcPr>
            <w:tcW w:w="2250" w:type="dxa"/>
            <w:vMerge w:val="restart"/>
            <w:tcBorders>
              <w:left w:val="single" w:sz="4" w:space="0" w:color="auto"/>
              <w:right w:val="single" w:sz="4" w:space="0" w:color="auto"/>
            </w:tcBorders>
          </w:tcPr>
          <w:p w:rsidR="00E5066C" w:rsidRPr="000E1775" w:rsidRDefault="00E5066C" w:rsidP="009852BC">
            <w:pPr>
              <w:widowControl w:val="0"/>
              <w:numPr>
                <w:ilvl w:val="12"/>
                <w:numId w:val="0"/>
              </w:numPr>
              <w:ind w:right="-2"/>
              <w:rPr>
                <w:rFonts w:ascii="Times New Roman" w:hAnsi="Times New Roman"/>
                <w:noProof/>
                <w:sz w:val="22"/>
                <w:szCs w:val="22"/>
              </w:rPr>
            </w:pPr>
          </w:p>
        </w:tc>
        <w:tc>
          <w:tcPr>
            <w:tcW w:w="6929" w:type="dxa"/>
            <w:gridSpan w:val="2"/>
            <w:tcBorders>
              <w:left w:val="single" w:sz="4" w:space="0" w:color="auto"/>
              <w:bottom w:val="single" w:sz="4" w:space="0" w:color="auto"/>
            </w:tcBorders>
          </w:tcPr>
          <w:p w:rsidR="00E5066C" w:rsidRPr="000E1775" w:rsidRDefault="00E5066C" w:rsidP="009852BC">
            <w:pPr>
              <w:pStyle w:val="Default"/>
              <w:widowControl w:val="0"/>
              <w:tabs>
                <w:tab w:val="left" w:pos="567"/>
              </w:tabs>
              <w:jc w:val="center"/>
              <w:rPr>
                <w:sz w:val="22"/>
                <w:szCs w:val="22"/>
                <w:lang w:val="en-GB"/>
              </w:rPr>
            </w:pPr>
            <w:r w:rsidRPr="000E1775">
              <w:rPr>
                <w:b/>
                <w:bCs/>
                <w:sz w:val="22"/>
                <w:szCs w:val="22"/>
                <w:lang w:val="en-GB"/>
              </w:rPr>
              <w:t>Tabletės</w:t>
            </w:r>
          </w:p>
        </w:tc>
      </w:tr>
      <w:tr w:rsidR="00E5066C" w:rsidRPr="000E1775" w:rsidTr="009852BC">
        <w:trPr>
          <w:trHeight w:val="127"/>
        </w:trPr>
        <w:tc>
          <w:tcPr>
            <w:tcW w:w="2250" w:type="dxa"/>
            <w:vMerge/>
            <w:tcBorders>
              <w:left w:val="single" w:sz="4" w:space="0" w:color="auto"/>
              <w:bottom w:val="single" w:sz="4" w:space="0" w:color="auto"/>
              <w:right w:val="single" w:sz="4" w:space="0" w:color="auto"/>
            </w:tcBorders>
          </w:tcPr>
          <w:p w:rsidR="00E5066C" w:rsidRPr="000E1775" w:rsidRDefault="00E5066C" w:rsidP="009852BC">
            <w:pPr>
              <w:widowControl w:val="0"/>
              <w:numPr>
                <w:ilvl w:val="12"/>
                <w:numId w:val="0"/>
              </w:numPr>
              <w:ind w:right="-2"/>
              <w:rPr>
                <w:rFonts w:ascii="Times New Roman" w:hAnsi="Times New Roman"/>
                <w:noProof/>
                <w:sz w:val="22"/>
                <w:szCs w:val="22"/>
              </w:rPr>
            </w:pPr>
          </w:p>
        </w:tc>
        <w:tc>
          <w:tcPr>
            <w:tcW w:w="3250" w:type="dxa"/>
            <w:tcBorders>
              <w:top w:val="single" w:sz="4" w:space="0" w:color="auto"/>
              <w:left w:val="single" w:sz="4" w:space="0" w:color="auto"/>
              <w:bottom w:val="single" w:sz="4" w:space="0" w:color="auto"/>
              <w:right w:val="single" w:sz="4" w:space="0" w:color="auto"/>
            </w:tcBorders>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lang w:val="en-GB"/>
              </w:rPr>
              <w:t>Vaikai nuo 2 iki mažiau kaip</w:t>
            </w:r>
            <w:r w:rsidRPr="000E1775">
              <w:rPr>
                <w:rFonts w:eastAsia="Calibri"/>
                <w:sz w:val="22"/>
                <w:szCs w:val="22"/>
              </w:rPr>
              <w:t xml:space="preserve"> </w:t>
            </w:r>
            <w:r w:rsidRPr="000E1775">
              <w:rPr>
                <w:rFonts w:eastAsia="Calibri"/>
                <w:sz w:val="22"/>
                <w:szCs w:val="22"/>
                <w:lang w:val="en-GB"/>
              </w:rPr>
              <w:t>12 metų ir paaugliai nuo 12</w:t>
            </w:r>
            <w:r w:rsidRPr="000E1775">
              <w:rPr>
                <w:rFonts w:eastAsia="Calibri"/>
                <w:sz w:val="22"/>
                <w:szCs w:val="22"/>
              </w:rPr>
              <w:t xml:space="preserve"> </w:t>
            </w:r>
            <w:r w:rsidRPr="000E1775">
              <w:rPr>
                <w:rFonts w:eastAsia="Calibri"/>
                <w:sz w:val="22"/>
                <w:szCs w:val="22"/>
                <w:lang w:val="en-GB"/>
              </w:rPr>
              <w:t>iki 14 metų, kurie sveria</w:t>
            </w:r>
            <w:r w:rsidRPr="000E1775">
              <w:rPr>
                <w:rFonts w:eastAsia="Calibri"/>
                <w:sz w:val="22"/>
                <w:szCs w:val="22"/>
              </w:rPr>
              <w:t xml:space="preserve"> mažiau kaip 50 kg </w:t>
            </w:r>
          </w:p>
        </w:tc>
        <w:tc>
          <w:tcPr>
            <w:tcW w:w="3679" w:type="dxa"/>
            <w:tcBorders>
              <w:top w:val="single" w:sz="4" w:space="0" w:color="auto"/>
              <w:left w:val="single" w:sz="4" w:space="0" w:color="auto"/>
              <w:bottom w:val="single" w:sz="4" w:space="0" w:color="auto"/>
              <w:right w:val="single" w:sz="4" w:space="0" w:color="auto"/>
            </w:tcBorders>
          </w:tcPr>
          <w:p w:rsidR="00E5066C" w:rsidRPr="000E1775" w:rsidRDefault="00E5066C" w:rsidP="009852BC">
            <w:pPr>
              <w:pStyle w:val="Default"/>
              <w:widowControl w:val="0"/>
              <w:tabs>
                <w:tab w:val="left" w:pos="567"/>
              </w:tabs>
              <w:rPr>
                <w:noProof/>
                <w:sz w:val="22"/>
                <w:szCs w:val="22"/>
                <w:lang w:val="en-GB"/>
              </w:rPr>
            </w:pPr>
            <w:r w:rsidRPr="000E1775">
              <w:rPr>
                <w:rFonts w:eastAsia="Calibri"/>
                <w:sz w:val="22"/>
                <w:szCs w:val="22"/>
                <w:lang w:val="en-GB"/>
              </w:rPr>
              <w:t>Paaugliai nuo 12 iki 14 metų,</w:t>
            </w:r>
            <w:r w:rsidRPr="000E1775" w:rsidDel="00C13641">
              <w:rPr>
                <w:rFonts w:eastAsia="Calibri"/>
                <w:sz w:val="22"/>
                <w:szCs w:val="22"/>
              </w:rPr>
              <w:t xml:space="preserve"> </w:t>
            </w:r>
            <w:r w:rsidRPr="000E1775">
              <w:rPr>
                <w:rFonts w:eastAsia="Calibri"/>
                <w:sz w:val="22"/>
                <w:szCs w:val="22"/>
                <w:lang w:val="en-GB"/>
              </w:rPr>
              <w:t>kurie sveria 50 kg arba</w:t>
            </w:r>
            <w:r w:rsidRPr="000E1775">
              <w:rPr>
                <w:rFonts w:eastAsia="Calibri"/>
                <w:sz w:val="22"/>
                <w:szCs w:val="22"/>
              </w:rPr>
              <w:t xml:space="preserve"> </w:t>
            </w:r>
            <w:r w:rsidRPr="000E1775">
              <w:rPr>
                <w:rFonts w:eastAsia="Calibri"/>
                <w:sz w:val="22"/>
                <w:szCs w:val="22"/>
                <w:lang w:val="en-GB"/>
              </w:rPr>
              <w:t>daugiau; visi kiti vyresni kaip</w:t>
            </w:r>
            <w:r w:rsidRPr="000E1775">
              <w:rPr>
                <w:rFonts w:eastAsia="Calibri"/>
                <w:sz w:val="22"/>
                <w:szCs w:val="22"/>
              </w:rPr>
              <w:t xml:space="preserve"> 14 metų paaugliai  </w:t>
            </w:r>
          </w:p>
        </w:tc>
      </w:tr>
      <w:tr w:rsidR="00E5066C" w:rsidRPr="000E1775" w:rsidTr="009852BC">
        <w:tc>
          <w:tcPr>
            <w:tcW w:w="2250" w:type="dxa"/>
            <w:tcBorders>
              <w:top w:val="single" w:sz="4" w:space="0" w:color="auto"/>
              <w:left w:val="single" w:sz="4" w:space="0" w:color="auto"/>
              <w:bottom w:val="single" w:sz="4" w:space="0" w:color="auto"/>
              <w:right w:val="single" w:sz="4" w:space="0" w:color="auto"/>
            </w:tcBorders>
          </w:tcPr>
          <w:p w:rsidR="00E5066C" w:rsidRPr="000E1775" w:rsidRDefault="00E5066C" w:rsidP="009852BC">
            <w:pPr>
              <w:autoSpaceDE w:val="0"/>
              <w:autoSpaceDN w:val="0"/>
              <w:adjustRightInd w:val="0"/>
              <w:rPr>
                <w:rFonts w:ascii="Times New Roman" w:eastAsia="Calibri" w:hAnsi="Times New Roman"/>
                <w:b/>
                <w:bCs/>
                <w:sz w:val="22"/>
                <w:szCs w:val="22"/>
                <w:lang w:val="en-US"/>
              </w:rPr>
            </w:pPr>
            <w:r w:rsidRPr="000E1775">
              <w:rPr>
                <w:rFonts w:ascii="Times New Roman" w:eastAsia="Calibri" w:hAnsi="Times New Roman"/>
                <w:b/>
                <w:bCs/>
                <w:sz w:val="22"/>
                <w:szCs w:val="22"/>
                <w:lang w:val="en-US"/>
              </w:rPr>
              <w:t>Dozė pirmąsias 24 valandas</w:t>
            </w:r>
          </w:p>
          <w:p w:rsidR="00E5066C" w:rsidRPr="000E1775" w:rsidRDefault="00E5066C" w:rsidP="00805BEE">
            <w:pPr>
              <w:widowControl w:val="0"/>
              <w:numPr>
                <w:ilvl w:val="12"/>
                <w:numId w:val="0"/>
              </w:numPr>
              <w:ind w:right="-2"/>
              <w:rPr>
                <w:rFonts w:ascii="Times New Roman" w:hAnsi="Times New Roman"/>
                <w:b/>
                <w:noProof/>
                <w:sz w:val="22"/>
                <w:szCs w:val="22"/>
              </w:rPr>
            </w:pPr>
            <w:r w:rsidRPr="000E1775">
              <w:rPr>
                <w:rFonts w:ascii="Times New Roman" w:eastAsia="Calibri" w:hAnsi="Times New Roman"/>
                <w:sz w:val="22"/>
                <w:szCs w:val="22"/>
                <w:lang w:val="en-US"/>
              </w:rPr>
              <w:t>(</w:t>
            </w:r>
            <w:r w:rsidR="00805BEE" w:rsidRPr="000E1775">
              <w:rPr>
                <w:rFonts w:ascii="Times New Roman" w:eastAsia="Calibri" w:hAnsi="Times New Roman"/>
                <w:sz w:val="22"/>
                <w:szCs w:val="22"/>
                <w:lang w:val="en-US"/>
              </w:rPr>
              <w:t>į</w:t>
            </w:r>
            <w:r w:rsidRPr="000E1775">
              <w:rPr>
                <w:rFonts w:ascii="Times New Roman" w:eastAsia="Calibri" w:hAnsi="Times New Roman"/>
                <w:sz w:val="22"/>
                <w:szCs w:val="22"/>
                <w:lang w:val="en-US"/>
              </w:rPr>
              <w:t>sotinamoji dozė)</w:t>
            </w:r>
          </w:p>
        </w:tc>
        <w:tc>
          <w:tcPr>
            <w:tcW w:w="3250" w:type="dxa"/>
            <w:tcBorders>
              <w:top w:val="single" w:sz="4" w:space="0" w:color="auto"/>
              <w:left w:val="single" w:sz="4" w:space="0" w:color="auto"/>
              <w:bottom w:val="single" w:sz="4" w:space="0" w:color="auto"/>
              <w:right w:val="single" w:sz="4" w:space="0" w:color="auto"/>
            </w:tcBorders>
          </w:tcPr>
          <w:p w:rsidR="00E5066C" w:rsidRPr="000E1775" w:rsidRDefault="00E5066C" w:rsidP="009852BC">
            <w:pPr>
              <w:pStyle w:val="Default"/>
              <w:widowControl w:val="0"/>
              <w:tabs>
                <w:tab w:val="left" w:pos="567"/>
              </w:tabs>
              <w:rPr>
                <w:sz w:val="22"/>
                <w:szCs w:val="22"/>
                <w:lang w:val="en-GB"/>
              </w:rPr>
            </w:pPr>
            <w:r w:rsidRPr="000E1775">
              <w:rPr>
                <w:rFonts w:eastAsia="Calibri"/>
                <w:sz w:val="22"/>
                <w:szCs w:val="22"/>
                <w:lang w:val="en-GB"/>
              </w:rPr>
              <w:t>Gydymo pradžioje bus skirta</w:t>
            </w:r>
            <w:r w:rsidRPr="000E1775">
              <w:rPr>
                <w:rFonts w:eastAsia="Calibri"/>
                <w:sz w:val="22"/>
                <w:szCs w:val="22"/>
              </w:rPr>
              <w:t xml:space="preserve"> Infuzija </w:t>
            </w:r>
          </w:p>
        </w:tc>
        <w:tc>
          <w:tcPr>
            <w:tcW w:w="3679" w:type="dxa"/>
            <w:tcBorders>
              <w:top w:val="single" w:sz="4" w:space="0" w:color="auto"/>
              <w:left w:val="single" w:sz="4" w:space="0" w:color="auto"/>
              <w:bottom w:val="single" w:sz="4" w:space="0" w:color="auto"/>
              <w:right w:val="single" w:sz="4" w:space="0" w:color="auto"/>
            </w:tcBorders>
          </w:tcPr>
          <w:p w:rsidR="00E5066C" w:rsidRPr="000E1775" w:rsidRDefault="00E5066C" w:rsidP="009852BC">
            <w:pPr>
              <w:autoSpaceDE w:val="0"/>
              <w:autoSpaceDN w:val="0"/>
              <w:adjustRightInd w:val="0"/>
              <w:rPr>
                <w:rFonts w:ascii="Times New Roman" w:hAnsi="Times New Roman"/>
                <w:sz w:val="22"/>
                <w:szCs w:val="22"/>
              </w:rPr>
            </w:pPr>
            <w:r w:rsidRPr="000E1775">
              <w:rPr>
                <w:rFonts w:ascii="Times New Roman" w:eastAsia="Calibri" w:hAnsi="Times New Roman"/>
                <w:sz w:val="22"/>
                <w:szCs w:val="22"/>
                <w:lang w:val="en-US"/>
              </w:rPr>
              <w:t xml:space="preserve">400 mg kas 12 val. pirmąsias </w:t>
            </w:r>
            <w:r w:rsidRPr="000E1775">
              <w:rPr>
                <w:rFonts w:ascii="Times New Roman" w:eastAsia="Calibri" w:hAnsi="Times New Roman"/>
                <w:sz w:val="22"/>
                <w:szCs w:val="22"/>
              </w:rPr>
              <w:t xml:space="preserve">24 valandas </w:t>
            </w:r>
          </w:p>
          <w:p w:rsidR="00E5066C" w:rsidRPr="000E1775" w:rsidRDefault="00E5066C" w:rsidP="009852BC">
            <w:pPr>
              <w:pStyle w:val="Default"/>
              <w:widowControl w:val="0"/>
              <w:tabs>
                <w:tab w:val="left" w:pos="567"/>
              </w:tabs>
              <w:rPr>
                <w:noProof/>
                <w:sz w:val="22"/>
                <w:szCs w:val="22"/>
                <w:lang w:val="en-GB"/>
              </w:rPr>
            </w:pPr>
          </w:p>
        </w:tc>
      </w:tr>
      <w:tr w:rsidR="00E5066C" w:rsidRPr="000E1775" w:rsidTr="009852BC">
        <w:tc>
          <w:tcPr>
            <w:tcW w:w="2250" w:type="dxa"/>
            <w:tcBorders>
              <w:top w:val="single" w:sz="4" w:space="0" w:color="auto"/>
              <w:left w:val="single" w:sz="4" w:space="0" w:color="auto"/>
              <w:bottom w:val="single" w:sz="4" w:space="0" w:color="auto"/>
              <w:right w:val="single" w:sz="4" w:space="0" w:color="auto"/>
            </w:tcBorders>
          </w:tcPr>
          <w:p w:rsidR="00E5066C" w:rsidRPr="000E1775" w:rsidRDefault="00E5066C" w:rsidP="009852BC">
            <w:pPr>
              <w:autoSpaceDE w:val="0"/>
              <w:autoSpaceDN w:val="0"/>
              <w:adjustRightInd w:val="0"/>
              <w:rPr>
                <w:rFonts w:ascii="Times New Roman" w:eastAsia="Calibri" w:hAnsi="Times New Roman"/>
                <w:b/>
                <w:bCs/>
                <w:sz w:val="22"/>
                <w:szCs w:val="22"/>
                <w:lang w:val="en-US"/>
              </w:rPr>
            </w:pPr>
            <w:r w:rsidRPr="000E1775">
              <w:rPr>
                <w:rFonts w:ascii="Times New Roman" w:eastAsia="Calibri" w:hAnsi="Times New Roman"/>
                <w:b/>
                <w:bCs/>
                <w:sz w:val="22"/>
                <w:szCs w:val="22"/>
                <w:lang w:val="en-US"/>
              </w:rPr>
              <w:t>Dozė po pirmųjų 24 valandų</w:t>
            </w:r>
          </w:p>
          <w:p w:rsidR="00E5066C" w:rsidRPr="000E1775" w:rsidRDefault="00E5066C" w:rsidP="00805BEE">
            <w:pPr>
              <w:widowControl w:val="0"/>
              <w:numPr>
                <w:ilvl w:val="12"/>
                <w:numId w:val="0"/>
              </w:numPr>
              <w:ind w:right="-2"/>
              <w:rPr>
                <w:rFonts w:ascii="Times New Roman" w:hAnsi="Times New Roman"/>
                <w:b/>
                <w:noProof/>
                <w:sz w:val="22"/>
                <w:szCs w:val="22"/>
              </w:rPr>
            </w:pPr>
            <w:r w:rsidRPr="000E1775">
              <w:rPr>
                <w:rFonts w:ascii="Times New Roman" w:eastAsia="Calibri" w:hAnsi="Times New Roman"/>
                <w:sz w:val="22"/>
                <w:szCs w:val="22"/>
                <w:lang w:val="en-US"/>
              </w:rPr>
              <w:t>(</w:t>
            </w:r>
            <w:r w:rsidR="00805BEE" w:rsidRPr="000E1775">
              <w:rPr>
                <w:rFonts w:ascii="Times New Roman" w:eastAsia="Calibri" w:hAnsi="Times New Roman"/>
                <w:sz w:val="22"/>
                <w:szCs w:val="22"/>
                <w:lang w:val="en-US"/>
              </w:rPr>
              <w:t>p</w:t>
            </w:r>
            <w:r w:rsidRPr="000E1775">
              <w:rPr>
                <w:rFonts w:ascii="Times New Roman" w:eastAsia="Calibri" w:hAnsi="Times New Roman"/>
                <w:sz w:val="22"/>
                <w:szCs w:val="22"/>
                <w:lang w:val="en-US"/>
              </w:rPr>
              <w:t xml:space="preserve">alaikomoji dozė) </w:t>
            </w:r>
          </w:p>
        </w:tc>
        <w:tc>
          <w:tcPr>
            <w:tcW w:w="3250" w:type="dxa"/>
            <w:tcBorders>
              <w:top w:val="single" w:sz="4" w:space="0" w:color="auto"/>
              <w:left w:val="single" w:sz="4" w:space="0" w:color="auto"/>
              <w:bottom w:val="single" w:sz="4" w:space="0" w:color="auto"/>
              <w:right w:val="single" w:sz="4" w:space="0" w:color="auto"/>
            </w:tcBorders>
          </w:tcPr>
          <w:p w:rsidR="00E5066C" w:rsidRPr="000E1775" w:rsidRDefault="00E5066C" w:rsidP="009852BC">
            <w:pPr>
              <w:autoSpaceDE w:val="0"/>
              <w:autoSpaceDN w:val="0"/>
              <w:adjustRightInd w:val="0"/>
              <w:rPr>
                <w:rFonts w:ascii="Times New Roman" w:hAnsi="Times New Roman"/>
                <w:sz w:val="22"/>
                <w:szCs w:val="22"/>
              </w:rPr>
            </w:pPr>
            <w:r w:rsidRPr="000E1775">
              <w:rPr>
                <w:rFonts w:ascii="Times New Roman" w:eastAsia="Calibri" w:hAnsi="Times New Roman"/>
                <w:sz w:val="22"/>
                <w:szCs w:val="22"/>
                <w:lang w:val="en-US"/>
              </w:rPr>
              <w:t>9 mg/kg du kartus per parą</w:t>
            </w:r>
            <w:r w:rsidRPr="000E1775" w:rsidDel="00A12D88">
              <w:rPr>
                <w:rFonts w:ascii="Times New Roman" w:eastAsia="Calibri" w:hAnsi="Times New Roman"/>
                <w:sz w:val="22"/>
                <w:szCs w:val="22"/>
                <w:lang w:val="en-US"/>
              </w:rPr>
              <w:t xml:space="preserve"> </w:t>
            </w:r>
            <w:r w:rsidRPr="000E1775">
              <w:rPr>
                <w:rFonts w:ascii="Times New Roman" w:eastAsia="Calibri" w:hAnsi="Times New Roman"/>
                <w:sz w:val="22"/>
                <w:szCs w:val="22"/>
                <w:lang w:val="en-US"/>
              </w:rPr>
              <w:t xml:space="preserve">(didžiausia dozė 350 mg du </w:t>
            </w:r>
            <w:r w:rsidRPr="000E1775">
              <w:rPr>
                <w:rFonts w:ascii="Times New Roman" w:eastAsia="Calibri" w:hAnsi="Times New Roman"/>
                <w:sz w:val="22"/>
                <w:szCs w:val="22"/>
              </w:rPr>
              <w:t>kartus per parą)</w:t>
            </w:r>
          </w:p>
          <w:p w:rsidR="00E5066C" w:rsidRPr="000E1775" w:rsidRDefault="00E5066C" w:rsidP="009852BC">
            <w:pPr>
              <w:pStyle w:val="Default"/>
              <w:widowControl w:val="0"/>
              <w:tabs>
                <w:tab w:val="left" w:pos="567"/>
              </w:tabs>
              <w:rPr>
                <w:sz w:val="22"/>
                <w:szCs w:val="22"/>
                <w:lang w:val="en-GB"/>
              </w:rPr>
            </w:pPr>
          </w:p>
        </w:tc>
        <w:tc>
          <w:tcPr>
            <w:tcW w:w="3679" w:type="dxa"/>
            <w:tcBorders>
              <w:top w:val="single" w:sz="4" w:space="0" w:color="auto"/>
              <w:left w:val="single" w:sz="4" w:space="0" w:color="auto"/>
              <w:bottom w:val="single" w:sz="4" w:space="0" w:color="auto"/>
              <w:right w:val="single" w:sz="4" w:space="0" w:color="auto"/>
            </w:tcBorders>
          </w:tcPr>
          <w:p w:rsidR="00E5066C" w:rsidRPr="000E1775" w:rsidRDefault="00E5066C" w:rsidP="009852BC">
            <w:pPr>
              <w:pStyle w:val="Default"/>
              <w:widowControl w:val="0"/>
              <w:tabs>
                <w:tab w:val="left" w:pos="567"/>
              </w:tabs>
              <w:rPr>
                <w:noProof/>
                <w:sz w:val="22"/>
                <w:szCs w:val="22"/>
                <w:lang w:val="en-GB"/>
              </w:rPr>
            </w:pPr>
            <w:r w:rsidRPr="000E1775">
              <w:rPr>
                <w:rFonts w:eastAsia="Calibri"/>
                <w:sz w:val="22"/>
                <w:szCs w:val="22"/>
              </w:rPr>
              <w:t xml:space="preserve">200 mg du kartus per parą </w:t>
            </w:r>
          </w:p>
        </w:tc>
      </w:tr>
    </w:tbl>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 xml:space="preserve">Atsižvelgdamas į Jūsų organizmo reakciją į gydymą, gydytojas </w:t>
      </w:r>
      <w:proofErr w:type="gramStart"/>
      <w:r w:rsidRPr="000E1775">
        <w:rPr>
          <w:rFonts w:ascii="Times New Roman" w:eastAsia="Calibri" w:hAnsi="Times New Roman"/>
          <w:sz w:val="22"/>
          <w:szCs w:val="22"/>
          <w:lang w:val="en-US"/>
        </w:rPr>
        <w:t>paros</w:t>
      </w:r>
      <w:proofErr w:type="gramEnd"/>
      <w:r w:rsidRPr="000E1775">
        <w:rPr>
          <w:rFonts w:ascii="Times New Roman" w:eastAsia="Calibri" w:hAnsi="Times New Roman"/>
          <w:sz w:val="22"/>
          <w:szCs w:val="22"/>
          <w:lang w:val="en-US"/>
        </w:rPr>
        <w:t xml:space="preserve"> dozę gali padidinti arba sumažinti.</w:t>
      </w:r>
    </w:p>
    <w:p w:rsidR="00E5066C" w:rsidRPr="000E1775" w:rsidRDefault="00E5066C" w:rsidP="00E5066C">
      <w:pPr>
        <w:autoSpaceDE w:val="0"/>
        <w:autoSpaceDN w:val="0"/>
        <w:adjustRightInd w:val="0"/>
        <w:rPr>
          <w:rFonts w:ascii="Times New Roman" w:eastAsia="Calibri" w:hAnsi="Times New Roman"/>
          <w:sz w:val="22"/>
          <w:szCs w:val="22"/>
          <w:lang w:val="en-US"/>
        </w:rPr>
      </w:pPr>
    </w:p>
    <w:p w:rsidR="00E5066C" w:rsidRPr="000E1775" w:rsidRDefault="00E5066C" w:rsidP="00E5066C">
      <w:pPr>
        <w:autoSpaceDE w:val="0"/>
        <w:autoSpaceDN w:val="0"/>
        <w:adjustRightInd w:val="0"/>
        <w:rPr>
          <w:rFonts w:ascii="Times New Roman" w:eastAsia="Calibri" w:hAnsi="Times New Roman"/>
          <w:sz w:val="22"/>
          <w:szCs w:val="22"/>
          <w:lang w:val="en-US"/>
        </w:rPr>
      </w:pPr>
      <w:r w:rsidRPr="000E1775">
        <w:rPr>
          <w:rFonts w:ascii="Times New Roman" w:eastAsia="Calibri" w:hAnsi="Times New Roman"/>
          <w:sz w:val="22"/>
          <w:szCs w:val="22"/>
          <w:lang w:val="en-US"/>
        </w:rPr>
        <w:t>Tablečių galima skirti tik tuo atveju, jei vaikas gali nuryti tabletę.</w:t>
      </w:r>
    </w:p>
    <w:p w:rsidR="003D36AC" w:rsidRPr="000E1775" w:rsidRDefault="003D36AC" w:rsidP="003D36AC">
      <w:pPr>
        <w:numPr>
          <w:ilvl w:val="12"/>
          <w:numId w:val="0"/>
        </w:numPr>
        <w:ind w:right="-2"/>
        <w:rPr>
          <w:rFonts w:ascii="Times New Roman" w:eastAsia="Calibri" w:hAnsi="Times New Roman"/>
          <w:sz w:val="22"/>
          <w:szCs w:val="22"/>
          <w:lang w:val="lt-LT"/>
        </w:rPr>
      </w:pPr>
    </w:p>
    <w:p w:rsidR="003D36AC" w:rsidRPr="000E1775" w:rsidRDefault="003D36AC" w:rsidP="003D36AC">
      <w:pPr>
        <w:numPr>
          <w:ilvl w:val="12"/>
          <w:numId w:val="0"/>
        </w:numPr>
        <w:ind w:right="-2"/>
        <w:rPr>
          <w:rFonts w:ascii="Times New Roman" w:hAnsi="Times New Roman"/>
          <w:sz w:val="22"/>
          <w:szCs w:val="22"/>
          <w:lang w:val="lt-LT"/>
        </w:rPr>
      </w:pPr>
      <w:r w:rsidRPr="000E1775">
        <w:rPr>
          <w:rFonts w:ascii="Times New Roman" w:eastAsia="Calibri" w:hAnsi="Times New Roman"/>
          <w:sz w:val="22"/>
          <w:szCs w:val="22"/>
          <w:lang w:val="lt-LT"/>
        </w:rPr>
        <w:t>Šias tabletes reikia vartoti mažiausiai 1 valandą prieš valgį arba praėjus 1 valandai po valgio. Tabletes nurykite nesmulkintas, užsigerdami vandeniu.</w:t>
      </w:r>
    </w:p>
    <w:p w:rsidR="003D36AC" w:rsidRPr="000E1775" w:rsidRDefault="003D36A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 xml:space="preserve">Jeigu Jūs ar Jūsų vaikas vartojate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grybelių sukeliamų infekcinių ligų profilaktikai, Jūsų gydytojas gali nutraukti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vartojimą, jeigu Jums ar Jūsų vaikui atsiranda su gydymu susijęs šalutinis poveikis.</w:t>
      </w:r>
    </w:p>
    <w:p w:rsidR="00E5066C" w:rsidRPr="000E1775" w:rsidRDefault="00E5066C" w:rsidP="00E5066C">
      <w:pPr>
        <w:pStyle w:val="Antrat4"/>
        <w:rPr>
          <w:sz w:val="22"/>
          <w:szCs w:val="22"/>
          <w:lang w:val="lt-LT"/>
        </w:rPr>
      </w:pPr>
      <w:r w:rsidRPr="000E1775">
        <w:rPr>
          <w:sz w:val="22"/>
          <w:szCs w:val="22"/>
          <w:lang w:val="lt-LT"/>
        </w:rPr>
        <w:t>Ką daryti pavartojus per didelę VORICONAZOLE RICHTER dozę?</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 xml:space="preserve">Jeigu išgėrėte per daug tablečių (arba tablečių išgėrė kas nors kitas), nedelsdami kreipkitės į gydytoją arba į artimiausios ligoninės skubios pagalbos skyrių. Kartu su savimi reikia pasiimti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tablečių pakuotę. Pavartojus daugiau nei skirta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gali pasireikšti nenormalus šviesos netoleravimas.</w:t>
      </w:r>
    </w:p>
    <w:p w:rsidR="00E5066C" w:rsidRPr="000E1775" w:rsidRDefault="00E5066C" w:rsidP="00E5066C">
      <w:pPr>
        <w:pStyle w:val="Antrat4"/>
        <w:rPr>
          <w:sz w:val="22"/>
          <w:szCs w:val="22"/>
          <w:lang w:val="lt-LT"/>
        </w:rPr>
      </w:pPr>
      <w:r w:rsidRPr="000E1775">
        <w:rPr>
          <w:sz w:val="22"/>
          <w:szCs w:val="22"/>
          <w:lang w:val="lt-LT"/>
        </w:rPr>
        <w:lastRenderedPageBreak/>
        <w:t xml:space="preserve">Pamiršus pavartoti VORICONAZOLE RICHTER </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 xml:space="preserve">Svarbu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tabletes gerti reguliariai kasdien tuo pačiu laiku. Jeigu užmiršote išgerti vieną dozę, kitą išgerkite įprastu laiku. Negalima vartoti dvigubos dozės norint kompensuoti praleistą dozę.</w:t>
      </w:r>
      <w:r w:rsidRPr="000E1775">
        <w:rPr>
          <w:rFonts w:ascii="Times New Roman" w:hAnsi="Times New Roman"/>
          <w:noProof/>
          <w:sz w:val="22"/>
          <w:szCs w:val="22"/>
          <w:lang w:val="lt-LT"/>
        </w:rPr>
        <w:t xml:space="preserve"> </w:t>
      </w:r>
    </w:p>
    <w:p w:rsidR="00E5066C" w:rsidRPr="000E1775" w:rsidRDefault="00E5066C" w:rsidP="00E5066C">
      <w:pPr>
        <w:numPr>
          <w:ilvl w:val="12"/>
          <w:numId w:val="0"/>
        </w:numPr>
        <w:ind w:right="-29"/>
        <w:rPr>
          <w:rFonts w:ascii="Times New Roman" w:eastAsia="Calibri" w:hAnsi="Times New Roman"/>
          <w:b/>
          <w:bCs/>
          <w:sz w:val="22"/>
          <w:szCs w:val="22"/>
          <w:lang w:val="lt-LT"/>
        </w:rPr>
      </w:pPr>
    </w:p>
    <w:p w:rsidR="00E5066C" w:rsidRPr="000E1775" w:rsidRDefault="00E5066C" w:rsidP="00E5066C">
      <w:pPr>
        <w:numPr>
          <w:ilvl w:val="12"/>
          <w:numId w:val="0"/>
        </w:numPr>
        <w:ind w:right="-29"/>
        <w:rPr>
          <w:rFonts w:ascii="Times New Roman" w:hAnsi="Times New Roman"/>
          <w:noProof/>
          <w:sz w:val="22"/>
          <w:szCs w:val="22"/>
          <w:lang w:val="lt-LT"/>
        </w:rPr>
      </w:pPr>
      <w:r w:rsidRPr="000E1775">
        <w:rPr>
          <w:rFonts w:ascii="Times New Roman" w:eastAsia="Calibri" w:hAnsi="Times New Roman"/>
          <w:b/>
          <w:bCs/>
          <w:sz w:val="22"/>
          <w:szCs w:val="22"/>
          <w:lang w:val="lt-LT"/>
        </w:rPr>
        <w:t xml:space="preserve">Nustojus vartoti </w:t>
      </w:r>
      <w:r w:rsidRPr="000E1775">
        <w:rPr>
          <w:rFonts w:ascii="Times New Roman" w:hAnsi="Times New Roman"/>
          <w:sz w:val="22"/>
          <w:szCs w:val="22"/>
          <w:lang w:val="lt-LT"/>
        </w:rPr>
        <w:t xml:space="preserve">VORICONAZOLE RICHTER </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Įrodyta, kad visas dozes išgėrus tinkamu laiku, gali labai padidėti vaisto veiksmingumas. Todėl svarbu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vartoti tiksliai, kaip nurodyta, nebent gydytojas lieptų gydymą nutraukti.</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Vartokite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tol, kol gydytojas lieps nutraukti gydymą. Nenutraukite gydymo anksčiau, nes gali būti neišgydyta infekcinė liga. Pacientams, kurių imuninė sistema yra nusilpusi arba kurie serga sunkiomis infekcinėmis ligomis, gali prireikti ilgalaikio gydymo, kad infekcinė liga nepasikartotų.</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Jeigu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vartojimas nutraukiamas gydytojo nurodymu, jokio poveikio nepajausite.</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Jeigu kiltų daugiau klausimų dėl šio vaisto vartojimo, kreipkitės į gydytoją, vaistininką arba slaugytoją.</w:t>
      </w:r>
    </w:p>
    <w:p w:rsidR="00E5066C" w:rsidRPr="000E1775" w:rsidRDefault="00E5066C" w:rsidP="00E5066C">
      <w:pPr>
        <w:numPr>
          <w:ilvl w:val="12"/>
          <w:numId w:val="0"/>
        </w:numPr>
        <w:rPr>
          <w:rFonts w:ascii="Times New Roman" w:hAnsi="Times New Roman"/>
          <w:sz w:val="22"/>
          <w:szCs w:val="22"/>
          <w:lang w:val="lt-LT"/>
        </w:rPr>
      </w:pPr>
    </w:p>
    <w:p w:rsidR="00E5066C" w:rsidRPr="000E1775" w:rsidRDefault="00E5066C" w:rsidP="00E5066C">
      <w:pPr>
        <w:numPr>
          <w:ilvl w:val="12"/>
          <w:numId w:val="0"/>
        </w:numPr>
        <w:rPr>
          <w:rFonts w:ascii="Times New Roman" w:hAnsi="Times New Roman"/>
          <w:sz w:val="22"/>
          <w:szCs w:val="22"/>
          <w:lang w:val="lt-LT"/>
        </w:rPr>
      </w:pPr>
    </w:p>
    <w:p w:rsidR="00E5066C" w:rsidRPr="000E1775" w:rsidRDefault="00E5066C" w:rsidP="00A406A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4.</w:t>
      </w:r>
      <w:r w:rsidRPr="000E1775">
        <w:rPr>
          <w:rFonts w:ascii="Times New Roman" w:hAnsi="Times New Roman"/>
          <w:sz w:val="22"/>
          <w:szCs w:val="22"/>
          <w:lang w:val="lt-LT"/>
        </w:rPr>
        <w:tab/>
        <w:t>Galimas šalutinis poveikis</w:t>
      </w:r>
    </w:p>
    <w:p w:rsidR="00E5066C" w:rsidRPr="000E1775" w:rsidRDefault="00E5066C" w:rsidP="00E5066C">
      <w:pPr>
        <w:numPr>
          <w:ilvl w:val="12"/>
          <w:numId w:val="0"/>
        </w:numPr>
        <w:rPr>
          <w:rFonts w:ascii="Times New Roman" w:hAnsi="Times New Roman"/>
          <w:sz w:val="22"/>
          <w:szCs w:val="22"/>
          <w:lang w:val="lt-LT"/>
        </w:rPr>
      </w:pPr>
    </w:p>
    <w:p w:rsidR="00E5066C" w:rsidRPr="000E1775" w:rsidRDefault="00E5066C" w:rsidP="00E5066C">
      <w:pPr>
        <w:numPr>
          <w:ilvl w:val="12"/>
          <w:numId w:val="0"/>
        </w:numPr>
        <w:ind w:right="-29"/>
        <w:rPr>
          <w:rFonts w:ascii="Times New Roman" w:hAnsi="Times New Roman"/>
          <w:sz w:val="22"/>
          <w:szCs w:val="22"/>
          <w:lang w:val="lt-LT"/>
        </w:rPr>
      </w:pPr>
      <w:r w:rsidRPr="000E1775">
        <w:rPr>
          <w:rFonts w:ascii="Times New Roman" w:hAnsi="Times New Roman"/>
          <w:noProof/>
          <w:sz w:val="22"/>
          <w:szCs w:val="22"/>
          <w:lang w:val="lt-LT"/>
        </w:rPr>
        <w:t>Šis vaistas, kaip ir visi kiti, gali sukelti šalutinį poveikį, nors jis pasireiškia ne visiems žmonėms.</w:t>
      </w: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Jeigu pasireiškia koks nors šalutinis poveikis, dažniausiai jis būna lengvas ir laikinas. Vis dėlto kai kuris šalutinis poveikis gali būti sunkus ir gali prireikti medicininės pagalbos.</w:t>
      </w:r>
    </w:p>
    <w:p w:rsidR="00E5066C" w:rsidRPr="000E1775" w:rsidRDefault="00E5066C" w:rsidP="00E5066C">
      <w:pPr>
        <w:autoSpaceDE w:val="0"/>
        <w:autoSpaceDN w:val="0"/>
        <w:adjustRightInd w:val="0"/>
        <w:rPr>
          <w:rFonts w:ascii="Times New Roman" w:eastAsia="Calibri" w:hAnsi="Times New Roman"/>
          <w:b/>
          <w:bCs/>
          <w:sz w:val="22"/>
          <w:szCs w:val="22"/>
          <w:lang w:val="lt-LT"/>
        </w:rPr>
      </w:pPr>
    </w:p>
    <w:p w:rsidR="00E5066C" w:rsidRPr="000E1775" w:rsidRDefault="00E5066C" w:rsidP="00E5066C">
      <w:pPr>
        <w:autoSpaceDE w:val="0"/>
        <w:autoSpaceDN w:val="0"/>
        <w:adjustRightInd w:val="0"/>
        <w:rPr>
          <w:rFonts w:ascii="Times New Roman" w:eastAsia="Calibri" w:hAnsi="Times New Roman"/>
          <w:b/>
          <w:bCs/>
          <w:sz w:val="22"/>
          <w:szCs w:val="22"/>
          <w:lang w:val="lt-LT"/>
        </w:rPr>
      </w:pPr>
      <w:r w:rsidRPr="000E1775">
        <w:rPr>
          <w:rFonts w:ascii="Times New Roman" w:eastAsia="Calibri" w:hAnsi="Times New Roman"/>
          <w:b/>
          <w:bCs/>
          <w:sz w:val="22"/>
          <w:szCs w:val="22"/>
          <w:lang w:val="lt-LT"/>
        </w:rPr>
        <w:t xml:space="preserve">Sunkus šalutinis poveikis (nutraukite </w:t>
      </w:r>
      <w:r w:rsidRPr="000E1775">
        <w:rPr>
          <w:rFonts w:ascii="Times New Roman" w:hAnsi="Times New Roman"/>
          <w:b/>
          <w:sz w:val="22"/>
          <w:szCs w:val="22"/>
          <w:lang w:val="lt-LT"/>
        </w:rPr>
        <w:t>VORICONAZOLE RICHTER</w:t>
      </w:r>
      <w:r w:rsidRPr="000E1775">
        <w:rPr>
          <w:rFonts w:ascii="Times New Roman" w:eastAsia="Calibri" w:hAnsi="Times New Roman"/>
          <w:sz w:val="22"/>
          <w:szCs w:val="22"/>
          <w:lang w:val="lt-LT"/>
        </w:rPr>
        <w:t xml:space="preserve"> </w:t>
      </w:r>
      <w:r w:rsidRPr="000E1775">
        <w:rPr>
          <w:rFonts w:ascii="Times New Roman" w:eastAsia="Calibri" w:hAnsi="Times New Roman"/>
          <w:b/>
          <w:bCs/>
          <w:sz w:val="22"/>
          <w:szCs w:val="22"/>
          <w:lang w:val="lt-LT"/>
        </w:rPr>
        <w:t>vartojimą ir nedelsdami kreipkitės į gydytoją)</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Išbėrimas.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Gelta, kraujo tyrimuose kepenų funkciją atspindinčių rodmenų pokyčiai.</w:t>
      </w:r>
    </w:p>
    <w:p w:rsidR="00E5066C" w:rsidRPr="000E1775" w:rsidRDefault="00E5066C" w:rsidP="00E5066C">
      <w:pPr>
        <w:numPr>
          <w:ilvl w:val="12"/>
          <w:numId w:val="0"/>
        </w:numPr>
        <w:ind w:right="-29"/>
        <w:rPr>
          <w:rFonts w:ascii="Times New Roman" w:hAnsi="Times New Roman"/>
          <w:sz w:val="22"/>
          <w:szCs w:val="22"/>
          <w:lang w:val="lt-LT"/>
        </w:rPr>
      </w:pPr>
      <w:r w:rsidRPr="000E1775">
        <w:rPr>
          <w:rFonts w:ascii="Times New Roman" w:eastAsia="Calibri" w:hAnsi="Times New Roman"/>
          <w:sz w:val="22"/>
          <w:szCs w:val="22"/>
          <w:lang w:val="lt-LT"/>
        </w:rPr>
        <w:t>- Pankreatitas.</w:t>
      </w:r>
    </w:p>
    <w:p w:rsidR="00E5066C" w:rsidRPr="000E1775" w:rsidRDefault="00E5066C" w:rsidP="00E5066C">
      <w:pPr>
        <w:autoSpaceDE w:val="0"/>
        <w:autoSpaceDN w:val="0"/>
        <w:adjustRightInd w:val="0"/>
        <w:rPr>
          <w:rFonts w:ascii="Times New Roman" w:eastAsia="Calibri" w:hAnsi="Times New Roman"/>
          <w:b/>
          <w:bCs/>
          <w:sz w:val="22"/>
          <w:szCs w:val="22"/>
          <w:lang w:val="lt-LT"/>
        </w:rPr>
      </w:pPr>
    </w:p>
    <w:p w:rsidR="00E5066C" w:rsidRPr="000E1775" w:rsidRDefault="00E5066C" w:rsidP="00E5066C">
      <w:pPr>
        <w:autoSpaceDE w:val="0"/>
        <w:autoSpaceDN w:val="0"/>
        <w:adjustRightInd w:val="0"/>
        <w:rPr>
          <w:rFonts w:ascii="Times New Roman" w:eastAsia="Calibri" w:hAnsi="Times New Roman"/>
          <w:b/>
          <w:bCs/>
          <w:sz w:val="22"/>
          <w:szCs w:val="22"/>
          <w:lang w:val="lt-LT"/>
        </w:rPr>
      </w:pPr>
      <w:r w:rsidRPr="000E1775">
        <w:rPr>
          <w:rFonts w:ascii="Times New Roman" w:eastAsia="Calibri" w:hAnsi="Times New Roman"/>
          <w:b/>
          <w:bCs/>
          <w:sz w:val="22"/>
          <w:szCs w:val="22"/>
          <w:lang w:val="lt-LT"/>
        </w:rPr>
        <w:t>Kitas šalutinis poveikis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Labai dažnas (gali pasireikšti dažniau kaip 1 iš 10 žmonių):</w:t>
      </w:r>
    </w:p>
    <w:p w:rsidR="00E5066C" w:rsidRPr="000E1775" w:rsidRDefault="00E5066C" w:rsidP="00805BEE">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regos sutrikimai (regos pokyčiai</w:t>
      </w:r>
      <w:r w:rsidR="00805BEE" w:rsidRPr="000E1775">
        <w:rPr>
          <w:rFonts w:ascii="Times New Roman" w:eastAsia="Calibri" w:hAnsi="Times New Roman"/>
          <w:sz w:val="22"/>
          <w:szCs w:val="22"/>
          <w:lang w:val="lt-LT"/>
        </w:rPr>
        <w:t>, įskaitant neryškų matymą, pakitusias spalvas, neįprastą</w:t>
      </w:r>
      <w:r w:rsidR="004D54BC" w:rsidRPr="000E1775">
        <w:rPr>
          <w:rFonts w:ascii="Times New Roman" w:eastAsia="Calibri" w:hAnsi="Times New Roman"/>
          <w:sz w:val="22"/>
          <w:szCs w:val="22"/>
          <w:lang w:val="lt-LT"/>
        </w:rPr>
        <w:t xml:space="preserve"> </w:t>
      </w:r>
      <w:r w:rsidR="00805BEE" w:rsidRPr="000E1775">
        <w:rPr>
          <w:rFonts w:ascii="Times New Roman" w:eastAsia="Calibri" w:hAnsi="Times New Roman"/>
          <w:sz w:val="22"/>
          <w:szCs w:val="22"/>
          <w:lang w:val="lt-LT"/>
        </w:rPr>
        <w:t>vizualinio šviesos suvokimo netoleravimą, daltonizmą, akių sutrikimą, aureolių matymą,</w:t>
      </w:r>
      <w:r w:rsidR="004D54BC" w:rsidRPr="000E1775">
        <w:rPr>
          <w:rFonts w:ascii="Times New Roman" w:eastAsia="Calibri" w:hAnsi="Times New Roman"/>
          <w:sz w:val="22"/>
          <w:szCs w:val="22"/>
          <w:lang w:val="lt-LT"/>
        </w:rPr>
        <w:t xml:space="preserve">  </w:t>
      </w:r>
      <w:r w:rsidR="00805BEE" w:rsidRPr="000E1775">
        <w:rPr>
          <w:rFonts w:ascii="Times New Roman" w:eastAsia="Calibri" w:hAnsi="Times New Roman"/>
          <w:sz w:val="22"/>
          <w:szCs w:val="22"/>
          <w:lang w:val="lt-LT"/>
        </w:rPr>
        <w:t>vištakumą, svyruojantį vaizdą,</w:t>
      </w:r>
      <w:r w:rsidR="004D54BC" w:rsidRPr="000E1775">
        <w:rPr>
          <w:rFonts w:ascii="Times New Roman" w:eastAsia="Calibri" w:hAnsi="Times New Roman"/>
          <w:sz w:val="22"/>
          <w:szCs w:val="22"/>
          <w:lang w:val="lt-LT"/>
        </w:rPr>
        <w:t xml:space="preserve"> </w:t>
      </w:r>
      <w:r w:rsidR="00805BEE" w:rsidRPr="000E1775">
        <w:rPr>
          <w:rFonts w:ascii="Times New Roman" w:eastAsia="Calibri" w:hAnsi="Times New Roman"/>
          <w:sz w:val="22"/>
          <w:szCs w:val="22"/>
          <w:lang w:val="lt-LT"/>
        </w:rPr>
        <w:t>žybčiojimą, vizualinę aurą, sumažėjusį matymo aštrumą, matymo</w:t>
      </w:r>
      <w:r w:rsidR="004D54BC" w:rsidRPr="000E1775">
        <w:rPr>
          <w:rFonts w:ascii="Times New Roman" w:eastAsia="Calibri" w:hAnsi="Times New Roman"/>
          <w:sz w:val="22"/>
          <w:szCs w:val="22"/>
          <w:lang w:val="lt-LT"/>
        </w:rPr>
        <w:t xml:space="preserve">  </w:t>
      </w:r>
      <w:r w:rsidR="00805BEE" w:rsidRPr="000E1775">
        <w:rPr>
          <w:rFonts w:ascii="Times New Roman" w:eastAsia="Calibri" w:hAnsi="Times New Roman"/>
          <w:sz w:val="22"/>
          <w:szCs w:val="22"/>
          <w:lang w:val="lt-LT"/>
        </w:rPr>
        <w:t>ryškumą, įprasto regos lauko sumažėjimą, dėmes prieš akis)</w:t>
      </w:r>
      <w:r w:rsidRPr="000E1775">
        <w:rPr>
          <w:rFonts w:ascii="Times New Roman" w:eastAsia="Calibri" w:hAnsi="Times New Roman"/>
          <w:sz w:val="22"/>
          <w:szCs w:val="22"/>
          <w:lang w:val="lt-LT"/>
        </w:rPr>
        <w:t>;</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karščiavimas;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išbėrimas;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pykinimas, vėmimas, viduriavimas;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galvos skausmas;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galūnių patinimas;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pilvo skausmas;</w:t>
      </w:r>
    </w:p>
    <w:p w:rsidR="004D54BC" w:rsidRPr="000E1775" w:rsidRDefault="004D54BC" w:rsidP="004D54BC">
      <w:pPr>
        <w:rPr>
          <w:rFonts w:ascii="Times New Roman" w:eastAsia="Calibri" w:hAnsi="Times New Roman"/>
          <w:sz w:val="22"/>
          <w:szCs w:val="22"/>
          <w:lang w:val="lt-LT"/>
        </w:rPr>
      </w:pPr>
      <w:r w:rsidRPr="000E1775">
        <w:rPr>
          <w:rFonts w:ascii="Times New Roman" w:eastAsia="Calibri" w:hAnsi="Times New Roman"/>
          <w:sz w:val="22"/>
          <w:szCs w:val="22"/>
          <w:lang w:val="lt-LT"/>
        </w:rPr>
        <w:t>- kvėpavimo pasunkėjimas;</w:t>
      </w:r>
    </w:p>
    <w:p w:rsidR="004D54BC" w:rsidRPr="000E1775" w:rsidRDefault="004D54BC" w:rsidP="004D54BC">
      <w:pPr>
        <w:rPr>
          <w:rFonts w:ascii="Times New Roman" w:hAnsi="Times New Roman"/>
          <w:sz w:val="22"/>
          <w:szCs w:val="22"/>
          <w:lang w:val="lt-LT"/>
        </w:rPr>
      </w:pPr>
      <w:r w:rsidRPr="000E1775">
        <w:rPr>
          <w:rFonts w:ascii="Times New Roman" w:hAnsi="Times New Roman"/>
          <w:sz w:val="22"/>
          <w:szCs w:val="22"/>
          <w:lang w:val="lt-LT"/>
        </w:rPr>
        <w:t>- kepenų fermentų aktyvumo padidėjimas.</w:t>
      </w:r>
    </w:p>
    <w:p w:rsidR="00E5066C" w:rsidRPr="000E1775" w:rsidRDefault="00E5066C" w:rsidP="00E5066C">
      <w:pPr>
        <w:pStyle w:val="Antrat4"/>
        <w:rPr>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Dažnas (gali pasireikšti rečiau kaip 1 iš 10 žmonių):</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sinusų uždegimas,  dantenų uždegimas, šaltkrėtis, silpnumas;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kai kurių rūšių raudonųjų</w:t>
      </w:r>
      <w:r w:rsidR="007B7F52" w:rsidRPr="000E1775">
        <w:rPr>
          <w:sz w:val="22"/>
          <w:szCs w:val="22"/>
          <w:lang w:val="lt-LT"/>
        </w:rPr>
        <w:t xml:space="preserve"> </w:t>
      </w:r>
      <w:r w:rsidR="007B7F52" w:rsidRPr="000E1775">
        <w:rPr>
          <w:rFonts w:ascii="Times New Roman" w:eastAsia="Calibri" w:hAnsi="Times New Roman"/>
          <w:sz w:val="22"/>
          <w:szCs w:val="22"/>
          <w:lang w:val="lt-LT"/>
        </w:rPr>
        <w:t>(kartais dėl imuninės sistemos) ir (</w:t>
      </w:r>
      <w:r w:rsidRPr="000E1775">
        <w:rPr>
          <w:rFonts w:ascii="Times New Roman" w:eastAsia="Calibri" w:hAnsi="Times New Roman"/>
          <w:sz w:val="22"/>
          <w:szCs w:val="22"/>
          <w:lang w:val="lt-LT"/>
        </w:rPr>
        <w:t>arba</w:t>
      </w:r>
      <w:r w:rsidR="007B7F52" w:rsidRPr="000E1775">
        <w:rPr>
          <w:rFonts w:ascii="Times New Roman" w:eastAsia="Calibri" w:hAnsi="Times New Roman"/>
          <w:sz w:val="22"/>
          <w:szCs w:val="22"/>
          <w:lang w:val="lt-LT"/>
        </w:rPr>
        <w:t>)</w:t>
      </w:r>
      <w:r w:rsidRPr="000E1775">
        <w:rPr>
          <w:rFonts w:ascii="Times New Roman" w:eastAsia="Calibri" w:hAnsi="Times New Roman"/>
          <w:sz w:val="22"/>
          <w:szCs w:val="22"/>
          <w:lang w:val="lt-LT"/>
        </w:rPr>
        <w:t xml:space="preserve"> baltųjų</w:t>
      </w:r>
      <w:r w:rsidR="007B7F52" w:rsidRPr="000E1775">
        <w:rPr>
          <w:sz w:val="22"/>
          <w:szCs w:val="22"/>
          <w:lang w:val="lt-LT"/>
        </w:rPr>
        <w:t xml:space="preserve"> </w:t>
      </w:r>
      <w:r w:rsidR="007B7F52" w:rsidRPr="000E1775">
        <w:rPr>
          <w:rFonts w:ascii="Times New Roman" w:eastAsia="Calibri" w:hAnsi="Times New Roman"/>
          <w:sz w:val="22"/>
          <w:szCs w:val="22"/>
          <w:lang w:val="lt-LT"/>
        </w:rPr>
        <w:t xml:space="preserve">(kartais su karščiavimu) </w:t>
      </w:r>
      <w:r w:rsidRPr="000E1775">
        <w:rPr>
          <w:rFonts w:ascii="Times New Roman" w:eastAsia="Calibri" w:hAnsi="Times New Roman"/>
          <w:sz w:val="22"/>
          <w:szCs w:val="22"/>
          <w:lang w:val="lt-LT"/>
        </w:rPr>
        <w:t>kraujo ląstelių kiekio kraujyje sumažėjimas,</w:t>
      </w:r>
      <w:r w:rsidR="007B7F52" w:rsidRPr="000E1775">
        <w:rPr>
          <w:rFonts w:ascii="Times New Roman" w:eastAsia="Calibri" w:hAnsi="Times New Roman"/>
          <w:sz w:val="22"/>
          <w:szCs w:val="22"/>
          <w:lang w:val="lt-LT"/>
        </w:rPr>
        <w:t xml:space="preserve"> įskaitant sunkų,</w:t>
      </w:r>
      <w:r w:rsidRPr="000E1775">
        <w:rPr>
          <w:rFonts w:ascii="Times New Roman" w:eastAsia="Calibri" w:hAnsi="Times New Roman"/>
          <w:sz w:val="22"/>
          <w:szCs w:val="22"/>
          <w:lang w:val="lt-LT"/>
        </w:rPr>
        <w:t xml:space="preserve"> kraujo  ląstelių, kurios vadinamos trombocitais ir padeda krešėti kraujui, kiekio kraujyje sumažėjimas;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alerginė reakcija arba perdėtas imuninis atsakas;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gliukozės koncentracijos kraujyje sumažėjimas, kalio koncentracijos kraujyje sumažėjimas,  natrio koncentracijos kraujyje sumažėjimas;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nerimas, depresija, sumišimas, susijaudinimas, nemiga, haliucinacijos;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traukuliai, drebulys ar nekontroliuojami raumenų judesiai, dilgčiojimas ar nuo normos nukrypę  odos pojūčiai, raumenų tonuso padidėjimas, mieguistumas, galvos svaigulys;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akių kraujavimas;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širdies ritmo sutrikimai, įskaitant labai greitą širdies plakimą, labai lėtą širdies plakimą, alpimą;</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kraujospūdžio sumažėjimas, venų uždegimas (kuris gali būti susijęs su krešulių susiformavimu);</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 </w:t>
      </w:r>
      <w:r w:rsidR="007B7F52" w:rsidRPr="000E1775">
        <w:rPr>
          <w:rFonts w:ascii="Times New Roman" w:eastAsia="Calibri" w:hAnsi="Times New Roman"/>
          <w:sz w:val="22"/>
          <w:szCs w:val="22"/>
          <w:lang w:val="lt-LT"/>
        </w:rPr>
        <w:t xml:space="preserve">ūmus </w:t>
      </w:r>
      <w:r w:rsidRPr="000E1775">
        <w:rPr>
          <w:rFonts w:ascii="Times New Roman" w:eastAsia="Calibri" w:hAnsi="Times New Roman"/>
          <w:sz w:val="22"/>
          <w:szCs w:val="22"/>
          <w:lang w:val="lt-LT"/>
        </w:rPr>
        <w:t>kvėpavimo pasunkėjimas, krūtinės skausmas, veido</w:t>
      </w:r>
      <w:r w:rsidR="000A77A3" w:rsidRPr="000E1775">
        <w:rPr>
          <w:sz w:val="22"/>
          <w:szCs w:val="22"/>
          <w:lang w:val="lt-LT"/>
        </w:rPr>
        <w:t xml:space="preserve"> </w:t>
      </w:r>
      <w:r w:rsidR="000A77A3" w:rsidRPr="000E1775">
        <w:rPr>
          <w:rFonts w:ascii="Times New Roman" w:eastAsia="Calibri" w:hAnsi="Times New Roman"/>
          <w:sz w:val="22"/>
          <w:szCs w:val="22"/>
          <w:lang w:val="lt-LT"/>
        </w:rPr>
        <w:t>(burnos, lūpų ir apie akis)</w:t>
      </w:r>
      <w:r w:rsidRPr="000E1775">
        <w:rPr>
          <w:rFonts w:ascii="Times New Roman" w:eastAsia="Calibri" w:hAnsi="Times New Roman"/>
          <w:sz w:val="22"/>
          <w:szCs w:val="22"/>
          <w:lang w:val="lt-LT"/>
        </w:rPr>
        <w:t xml:space="preserve"> patinimas, skysčių susikaupimas  plaučiuose;</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vidurių užkietėjimas, virškinimo problemos, lūpų uždegimas;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gelta, kepenų uždegimas,</w:t>
      </w:r>
      <w:r w:rsidR="000A77A3" w:rsidRPr="000E1775">
        <w:rPr>
          <w:sz w:val="22"/>
          <w:szCs w:val="22"/>
        </w:rPr>
        <w:t xml:space="preserve"> </w:t>
      </w:r>
      <w:r w:rsidR="000A77A3" w:rsidRPr="000E1775">
        <w:rPr>
          <w:rFonts w:ascii="Times New Roman" w:eastAsia="Calibri" w:hAnsi="Times New Roman"/>
          <w:sz w:val="22"/>
          <w:szCs w:val="22"/>
          <w:lang w:val="lt-LT"/>
        </w:rPr>
        <w:t>kepenų pažeidimas</w:t>
      </w:r>
      <w:r w:rsidRPr="000E1775">
        <w:rPr>
          <w:rFonts w:ascii="Times New Roman" w:eastAsia="Calibri" w:hAnsi="Times New Roman"/>
          <w:sz w:val="22"/>
          <w:szCs w:val="22"/>
          <w:lang w:val="lt-LT"/>
        </w:rPr>
        <w:t>;</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odos išbėrimai, kurie kartais gali lemti plačiai išplitusį pūslinį išbėrimą ir odos lupimąsi, kuriam  būdingas plokščias, paraudęs odos plotas, padengtas mažais susijungiančiais guzeliais</w:t>
      </w:r>
      <w:r w:rsidR="000A77A3" w:rsidRPr="000E1775">
        <w:rPr>
          <w:rFonts w:ascii="Times New Roman" w:eastAsia="Calibri" w:hAnsi="Times New Roman"/>
          <w:sz w:val="22"/>
          <w:szCs w:val="22"/>
          <w:lang w:val="lt-LT"/>
        </w:rPr>
        <w:t>, odos paraudimas</w:t>
      </w:r>
      <w:r w:rsidRPr="000E1775">
        <w:rPr>
          <w:rFonts w:ascii="Times New Roman" w:eastAsia="Calibri" w:hAnsi="Times New Roman"/>
          <w:sz w:val="22"/>
          <w:szCs w:val="22"/>
          <w:lang w:val="lt-LT"/>
        </w:rPr>
        <w:t>;</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niežulys;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plaukų slinkimas;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nugaros skausmas;</w:t>
      </w:r>
    </w:p>
    <w:p w:rsidR="00E5066C" w:rsidRPr="000E1775" w:rsidRDefault="00E5066C" w:rsidP="00E5066C">
      <w:pPr>
        <w:pStyle w:val="Antrat4"/>
        <w:rPr>
          <w:sz w:val="22"/>
          <w:szCs w:val="22"/>
          <w:lang w:val="lt-LT"/>
        </w:rPr>
      </w:pPr>
      <w:r w:rsidRPr="000E1775">
        <w:rPr>
          <w:rFonts w:eastAsia="Calibri"/>
          <w:b w:val="0"/>
          <w:bCs w:val="0"/>
          <w:sz w:val="22"/>
          <w:szCs w:val="22"/>
          <w:lang w:val="lt-LT"/>
        </w:rPr>
        <w:t>- inkstų nepakankamumas, kraujas šlapime, inkstų funkcijos kraujo tyrimų rodmenų pokyčiai.</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Nedažnas (gali pasireikšti rečiau kaip 1 iš 100 žmonių):</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 </w:t>
      </w:r>
      <w:r w:rsidR="000A77A3" w:rsidRPr="000E1775">
        <w:rPr>
          <w:rFonts w:ascii="Times New Roman" w:eastAsia="Calibri" w:hAnsi="Times New Roman"/>
          <w:sz w:val="22"/>
          <w:szCs w:val="22"/>
          <w:lang w:val="lt-LT"/>
        </w:rPr>
        <w:t xml:space="preserve">į gripą panašūs simptomai, virškinamojo trakto sudirginimas ir uždegimas, </w:t>
      </w:r>
      <w:r w:rsidRPr="000E1775">
        <w:rPr>
          <w:rFonts w:ascii="Times New Roman" w:eastAsia="Calibri" w:hAnsi="Times New Roman"/>
          <w:sz w:val="22"/>
          <w:szCs w:val="22"/>
          <w:lang w:val="lt-LT"/>
        </w:rPr>
        <w:t>virškinamojo trakto uždegimas, sukeliantis su antibiotikų vartojimu susijusį viduriavimą,  limfagyslių uždegimą;</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plono audinio, dengiančio pilvo vidinę sienelę ir pilvo organus, uždegimas;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limfmazgių padidėjimas (kartais skausmingas),</w:t>
      </w:r>
      <w:r w:rsidR="000A77A3" w:rsidRPr="000E1775">
        <w:rPr>
          <w:rFonts w:ascii="Times New Roman" w:eastAsia="Calibri" w:hAnsi="Times New Roman"/>
          <w:sz w:val="22"/>
          <w:szCs w:val="22"/>
          <w:lang w:val="lt-LT"/>
        </w:rPr>
        <w:t xml:space="preserve"> </w:t>
      </w:r>
      <w:r w:rsidRPr="000E1775">
        <w:rPr>
          <w:rFonts w:ascii="Times New Roman" w:eastAsia="Calibri" w:hAnsi="Times New Roman"/>
          <w:sz w:val="22"/>
          <w:szCs w:val="22"/>
          <w:lang w:val="lt-LT"/>
        </w:rPr>
        <w:t xml:space="preserve">kaulų čiulpų  nepakankamumas, </w:t>
      </w:r>
      <w:r w:rsidR="000A77A3" w:rsidRPr="000E1775">
        <w:rPr>
          <w:rFonts w:ascii="Times New Roman" w:eastAsia="Calibri" w:hAnsi="Times New Roman"/>
          <w:sz w:val="22"/>
          <w:szCs w:val="22"/>
          <w:lang w:val="lt-LT"/>
        </w:rPr>
        <w:t xml:space="preserve"> </w:t>
      </w:r>
      <w:r w:rsidRPr="000E1775">
        <w:rPr>
          <w:rFonts w:ascii="Times New Roman" w:eastAsia="Calibri" w:hAnsi="Times New Roman"/>
          <w:sz w:val="22"/>
          <w:szCs w:val="22"/>
          <w:lang w:val="lt-LT"/>
        </w:rPr>
        <w:t>padidėjęs eozinofilų kiekis kraujyje);</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antinksčių funkcijos susilpnėjimas, per mažai aktyvi skydliaukė;</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nenormali smegenų funkcija, panašūs į Parkinsono ligos simptomai, nervų pažeidimai,  lemiantys rankų ar kojų tirpimą, skausmą, dilgčiojimą ar deginimą;</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 </w:t>
      </w:r>
      <w:r w:rsidR="003D36AC" w:rsidRPr="000E1775">
        <w:rPr>
          <w:rFonts w:ascii="Times New Roman" w:eastAsia="Calibri" w:hAnsi="Times New Roman"/>
          <w:sz w:val="22"/>
          <w:szCs w:val="22"/>
          <w:lang w:val="lt-LT"/>
        </w:rPr>
        <w:t xml:space="preserve">pusiausvyros ir </w:t>
      </w:r>
      <w:r w:rsidRPr="000E1775">
        <w:rPr>
          <w:rFonts w:ascii="Times New Roman" w:eastAsia="Calibri" w:hAnsi="Times New Roman"/>
          <w:sz w:val="22"/>
          <w:szCs w:val="22"/>
          <w:lang w:val="lt-LT"/>
        </w:rPr>
        <w:t>koordinacijos sutrikimai;</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smegenų pabrinkimas;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dvejinimasis akyse, sunkios akių būklės, įskaitant: akių ir akies vokų skausmą ir uždegimą,  nenormalius akies judesius, regos nervo pažeidimą, lemiantį regėjimo  sutrikimą, optinio disko patinimą;</w:t>
      </w:r>
    </w:p>
    <w:p w:rsidR="00E5066C" w:rsidRPr="000E1775" w:rsidRDefault="00E5066C" w:rsidP="00E5066C">
      <w:pPr>
        <w:pStyle w:val="Antrat4"/>
        <w:rPr>
          <w:rFonts w:eastAsia="Calibri"/>
          <w:b w:val="0"/>
          <w:bCs w:val="0"/>
          <w:sz w:val="22"/>
          <w:szCs w:val="22"/>
          <w:lang w:val="lt-LT"/>
        </w:rPr>
      </w:pPr>
      <w:r w:rsidRPr="000E1775">
        <w:rPr>
          <w:rFonts w:eastAsia="Calibri"/>
          <w:b w:val="0"/>
          <w:bCs w:val="0"/>
          <w:sz w:val="22"/>
          <w:szCs w:val="22"/>
          <w:lang w:val="lt-LT"/>
        </w:rPr>
        <w:t>- jautrumo prisilietimui sumažėjimas;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nenormalus skonio pojūtis;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klausos pablogėjimas, spengimas ausyse, galvos svaigulys;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lastRenderedPageBreak/>
        <w:t>- tam tikrų vidaus organų uždegimas – kasos ir dvylikapirštės žarnos, liežuvio patinimas ir</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  uždegimas;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kepenų padidėjimas, kepenų nepakankamumas, tulžies pūslės liga, tulžies pūslės  akmenligė;</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sąnarių uždegimas, poodinių venų uždegimas (kuris gali būti susijęs su krešulių susidarymu);</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inkstų uždegimas, baltymai šlapime</w:t>
      </w:r>
      <w:r w:rsidR="00762343" w:rsidRPr="000E1775">
        <w:rPr>
          <w:rFonts w:ascii="Times New Roman" w:eastAsia="Calibri" w:hAnsi="Times New Roman"/>
          <w:sz w:val="22"/>
          <w:szCs w:val="22"/>
          <w:lang w:val="lt-LT"/>
        </w:rPr>
        <w:t>,</w:t>
      </w:r>
      <w:r w:rsidR="00762343" w:rsidRPr="000E1775">
        <w:rPr>
          <w:sz w:val="22"/>
          <w:szCs w:val="22"/>
        </w:rPr>
        <w:t xml:space="preserve"> </w:t>
      </w:r>
      <w:r w:rsidR="00762343" w:rsidRPr="000E1775">
        <w:rPr>
          <w:rFonts w:ascii="Times New Roman" w:eastAsia="Calibri" w:hAnsi="Times New Roman"/>
          <w:sz w:val="22"/>
          <w:szCs w:val="22"/>
          <w:lang w:val="lt-LT"/>
        </w:rPr>
        <w:t>inkstų pažeidimas</w:t>
      </w:r>
      <w:r w:rsidRPr="000E1775">
        <w:rPr>
          <w:rFonts w:ascii="Times New Roman" w:eastAsia="Calibri" w:hAnsi="Times New Roman"/>
          <w:sz w:val="22"/>
          <w:szCs w:val="22"/>
          <w:lang w:val="lt-LT"/>
        </w:rPr>
        <w:t>;</w:t>
      </w:r>
    </w:p>
    <w:p w:rsidR="00E5066C" w:rsidRPr="000E1775" w:rsidRDefault="00E5066C" w:rsidP="00762343">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labai greitas širdies plakimas arba plakimas su pertrūkiais</w:t>
      </w:r>
      <w:r w:rsidR="00762343" w:rsidRPr="000E1775">
        <w:rPr>
          <w:rFonts w:ascii="Times New Roman" w:eastAsia="Calibri" w:hAnsi="Times New Roman"/>
          <w:sz w:val="22"/>
          <w:szCs w:val="22"/>
          <w:lang w:val="lt-LT"/>
        </w:rPr>
        <w:t>,</w:t>
      </w:r>
      <w:r w:rsidR="00762343" w:rsidRPr="000E1775">
        <w:rPr>
          <w:sz w:val="22"/>
          <w:szCs w:val="22"/>
        </w:rPr>
        <w:t xml:space="preserve"> </w:t>
      </w:r>
      <w:r w:rsidR="00762343" w:rsidRPr="000E1775">
        <w:rPr>
          <w:rFonts w:ascii="Times New Roman" w:eastAsia="Calibri" w:hAnsi="Times New Roman"/>
          <w:sz w:val="22"/>
          <w:szCs w:val="22"/>
          <w:lang w:val="lt-LT"/>
        </w:rPr>
        <w:t>kartais su neritmingais elektros impulsais</w:t>
      </w:r>
      <w:r w:rsidRPr="000E1775">
        <w:rPr>
          <w:rFonts w:ascii="Times New Roman" w:eastAsia="Calibri" w:hAnsi="Times New Roman"/>
          <w:sz w:val="22"/>
          <w:szCs w:val="22"/>
          <w:lang w:val="lt-LT"/>
        </w:rPr>
        <w:t>;</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nenormali elektrokardiograma (EKG);</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padidėjęs cholesterolio kiekis kraujyje, padidėjęs šlapalo kiekis kraujyje;</w:t>
      </w:r>
    </w:p>
    <w:p w:rsidR="00E5066C" w:rsidRPr="000E1775" w:rsidRDefault="00E5066C" w:rsidP="00762343">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 xml:space="preserve">- alerginės odos reakcijos (kartais sunkios), įskaitant </w:t>
      </w:r>
      <w:r w:rsidR="00762343" w:rsidRPr="000E1775">
        <w:rPr>
          <w:rFonts w:ascii="Times New Roman" w:eastAsia="Calibri" w:hAnsi="Times New Roman"/>
          <w:sz w:val="22"/>
          <w:szCs w:val="22"/>
          <w:lang w:val="lt-LT"/>
        </w:rPr>
        <w:t>gyvybei pavojingą odos sutrikimą, sukeliantį</w:t>
      </w:r>
      <w:r w:rsidR="00BD0042" w:rsidRPr="000E1775">
        <w:rPr>
          <w:rFonts w:ascii="Times New Roman" w:eastAsia="Calibri" w:hAnsi="Times New Roman"/>
          <w:sz w:val="22"/>
          <w:szCs w:val="22"/>
          <w:lang w:val="lt-LT"/>
        </w:rPr>
        <w:t xml:space="preserve"> </w:t>
      </w:r>
      <w:r w:rsidR="00762343" w:rsidRPr="000E1775">
        <w:rPr>
          <w:rFonts w:ascii="Times New Roman" w:eastAsia="Calibri" w:hAnsi="Times New Roman"/>
          <w:sz w:val="22"/>
          <w:szCs w:val="22"/>
          <w:lang w:val="lt-LT"/>
        </w:rPr>
        <w:t>skausmingas pūsles ir odos bei gleivinių žaizdas, ypač burnoje, odos uždegimą,</w:t>
      </w:r>
      <w:r w:rsidR="00762343" w:rsidRPr="000E1775" w:rsidDel="00762343">
        <w:rPr>
          <w:rFonts w:ascii="Times New Roman" w:eastAsia="Calibri" w:hAnsi="Times New Roman"/>
          <w:sz w:val="22"/>
          <w:szCs w:val="22"/>
          <w:lang w:val="lt-LT"/>
        </w:rPr>
        <w:t xml:space="preserve"> </w:t>
      </w:r>
      <w:r w:rsidRPr="000E1775">
        <w:rPr>
          <w:rFonts w:ascii="Times New Roman" w:eastAsia="Calibri" w:hAnsi="Times New Roman"/>
          <w:sz w:val="22"/>
          <w:szCs w:val="22"/>
          <w:lang w:val="lt-LT"/>
        </w:rPr>
        <w:t xml:space="preserve"> odos uždegimą, </w:t>
      </w:r>
      <w:r w:rsidR="00762343" w:rsidRPr="000E1775">
        <w:rPr>
          <w:rFonts w:ascii="Times New Roman" w:eastAsia="Calibri" w:hAnsi="Times New Roman"/>
          <w:sz w:val="22"/>
          <w:szCs w:val="22"/>
          <w:lang w:val="lt-LT"/>
        </w:rPr>
        <w:t xml:space="preserve"> </w:t>
      </w:r>
      <w:r w:rsidRPr="000E1775">
        <w:rPr>
          <w:rFonts w:ascii="Times New Roman" w:eastAsia="Calibri" w:hAnsi="Times New Roman"/>
          <w:sz w:val="22"/>
          <w:szCs w:val="22"/>
          <w:lang w:val="lt-LT"/>
        </w:rPr>
        <w:t>dilgėlinę, nudegimą nuo saulės arba sunkias odos reakcijas po šviesos ar saulės  poveikio, odos paraudimą ir dirginimą, odos spalvos pakeitimą į raudoną arba violetinę dėl  galimai nedidelio trombocitų kiekio, egzemą;</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Retas (gali pasireikšti rečiau kaip 1 iš 1000 žmonių</w:t>
      </w:r>
      <w:proofErr w:type="gramStart"/>
      <w:r w:rsidRPr="000E1775">
        <w:rPr>
          <w:rFonts w:ascii="Times New Roman" w:eastAsia="Calibri" w:hAnsi="Times New Roman"/>
          <w:sz w:val="22"/>
          <w:szCs w:val="22"/>
          <w:lang w:val="fr-FR"/>
        </w:rPr>
        <w:t>):</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pernelyg suaktyvėjusi </w:t>
      </w:r>
      <w:proofErr w:type="gramStart"/>
      <w:r w:rsidRPr="000E1775">
        <w:rPr>
          <w:rFonts w:ascii="Times New Roman" w:eastAsia="Calibri" w:hAnsi="Times New Roman"/>
          <w:sz w:val="22"/>
          <w:szCs w:val="22"/>
          <w:lang w:val="fr-FR"/>
        </w:rPr>
        <w:t>skydliaukė;</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smegenų funkcijos pablogėjimas, kuris yra sunki kepenų ligos </w:t>
      </w:r>
      <w:proofErr w:type="gramStart"/>
      <w:r w:rsidRPr="000E1775">
        <w:rPr>
          <w:rFonts w:ascii="Times New Roman" w:eastAsia="Calibri" w:hAnsi="Times New Roman"/>
          <w:sz w:val="22"/>
          <w:szCs w:val="22"/>
          <w:lang w:val="fr-FR"/>
        </w:rPr>
        <w:t>komplikacija;</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w:t>
      </w:r>
      <w:r w:rsidR="00165FB0" w:rsidRPr="000E1775">
        <w:rPr>
          <w:rFonts w:ascii="Times New Roman" w:eastAsia="Calibri" w:hAnsi="Times New Roman"/>
          <w:sz w:val="22"/>
          <w:szCs w:val="22"/>
          <w:lang w:val="fr-FR"/>
        </w:rPr>
        <w:t xml:space="preserve">daugumos regos nervo skaidulų praradimas, ragenos drumstys, nevalingi akies </w:t>
      </w:r>
      <w:proofErr w:type="gramStart"/>
      <w:r w:rsidR="00165FB0" w:rsidRPr="000E1775">
        <w:rPr>
          <w:rFonts w:ascii="Times New Roman" w:eastAsia="Calibri" w:hAnsi="Times New Roman"/>
          <w:sz w:val="22"/>
          <w:szCs w:val="22"/>
          <w:lang w:val="fr-FR"/>
        </w:rPr>
        <w:t>judesiai;</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jautrumas šviesai, dėl kurio išberia </w:t>
      </w:r>
      <w:proofErr w:type="gramStart"/>
      <w:r w:rsidRPr="000E1775">
        <w:rPr>
          <w:rFonts w:ascii="Times New Roman" w:eastAsia="Calibri" w:hAnsi="Times New Roman"/>
          <w:sz w:val="22"/>
          <w:szCs w:val="22"/>
          <w:lang w:val="fr-FR"/>
        </w:rPr>
        <w:t>pūslėmis;</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sutrikimas, kuriam esant kūno imuninė sistema atakuoja periferinės nervų sistemos </w:t>
      </w:r>
      <w:proofErr w:type="gramStart"/>
      <w:r w:rsidRPr="000E1775">
        <w:rPr>
          <w:rFonts w:ascii="Times New Roman" w:eastAsia="Calibri" w:hAnsi="Times New Roman"/>
          <w:sz w:val="22"/>
          <w:szCs w:val="22"/>
          <w:lang w:val="fr-FR"/>
        </w:rPr>
        <w:t>dalį;</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širdies ritmo </w:t>
      </w:r>
      <w:r w:rsidR="00165FB0" w:rsidRPr="000E1775">
        <w:rPr>
          <w:rFonts w:ascii="Times New Roman" w:eastAsia="Calibri" w:hAnsi="Times New Roman"/>
          <w:sz w:val="22"/>
          <w:szCs w:val="22"/>
          <w:lang w:val="fr-FR"/>
        </w:rPr>
        <w:t xml:space="preserve">ar laidumo </w:t>
      </w:r>
      <w:r w:rsidRPr="000E1775">
        <w:rPr>
          <w:rFonts w:ascii="Times New Roman" w:eastAsia="Calibri" w:hAnsi="Times New Roman"/>
          <w:sz w:val="22"/>
          <w:szCs w:val="22"/>
          <w:lang w:val="fr-FR"/>
        </w:rPr>
        <w:t>problemos</w:t>
      </w:r>
      <w:r w:rsidR="00165FB0" w:rsidRPr="000E1775">
        <w:rPr>
          <w:sz w:val="22"/>
          <w:szCs w:val="22"/>
        </w:rPr>
        <w:t xml:space="preserve"> </w:t>
      </w:r>
      <w:r w:rsidR="00165FB0" w:rsidRPr="000E1775">
        <w:rPr>
          <w:rFonts w:ascii="Times New Roman" w:eastAsia="Calibri" w:hAnsi="Times New Roman"/>
          <w:sz w:val="22"/>
          <w:szCs w:val="22"/>
          <w:lang w:val="fr-FR"/>
        </w:rPr>
        <w:t>(kartais pavojingos gyvybei)</w:t>
      </w:r>
      <w:r w:rsidR="00620992" w:rsidRPr="000E1775">
        <w:rPr>
          <w:rFonts w:ascii="Times New Roman" w:eastAsia="Calibri" w:hAnsi="Times New Roman"/>
          <w:sz w:val="22"/>
          <w:szCs w:val="22"/>
          <w:lang w:val="fr-FR"/>
        </w:rPr>
        <w:t> ;</w:t>
      </w:r>
      <w:r w:rsidR="00165FB0" w:rsidRPr="000E1775">
        <w:rPr>
          <w:rFonts w:ascii="Times New Roman" w:eastAsia="Calibri" w:hAnsi="Times New Roman"/>
          <w:sz w:val="22"/>
          <w:szCs w:val="22"/>
          <w:lang w:val="fr-FR"/>
        </w:rPr>
        <w:t xml:space="preserve"> </w:t>
      </w:r>
    </w:p>
    <w:p w:rsidR="00165FB0" w:rsidRPr="000E1775" w:rsidRDefault="00165FB0" w:rsidP="00165FB0">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gyvybei pavojinga alerginė </w:t>
      </w:r>
      <w:proofErr w:type="gramStart"/>
      <w:r w:rsidRPr="000E1775">
        <w:rPr>
          <w:rFonts w:ascii="Times New Roman" w:eastAsia="Calibri" w:hAnsi="Times New Roman"/>
          <w:sz w:val="22"/>
          <w:szCs w:val="22"/>
          <w:lang w:val="fr-FR"/>
        </w:rPr>
        <w:t>reakcija;</w:t>
      </w:r>
      <w:proofErr w:type="gramEnd"/>
    </w:p>
    <w:p w:rsidR="00165FB0" w:rsidRPr="000E1775" w:rsidRDefault="00165FB0" w:rsidP="00165FB0">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kraujo krešėjimo sistemos </w:t>
      </w:r>
      <w:proofErr w:type="gramStart"/>
      <w:r w:rsidRPr="000E1775">
        <w:rPr>
          <w:rFonts w:ascii="Times New Roman" w:eastAsia="Calibri" w:hAnsi="Times New Roman"/>
          <w:sz w:val="22"/>
          <w:szCs w:val="22"/>
          <w:lang w:val="fr-FR"/>
        </w:rPr>
        <w:t>sutrikimas;</w:t>
      </w:r>
      <w:proofErr w:type="gramEnd"/>
    </w:p>
    <w:p w:rsidR="00165FB0" w:rsidRPr="000E1775" w:rsidRDefault="00165FB0" w:rsidP="00165FB0">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alerginės odos reakcijos (kartais sunkios), įskaitant ūmų odos, poodinio audinio, gleivinių ir po</w:t>
      </w:r>
      <w:r w:rsidR="00620992"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gleivinėmis esančių audinių tinimą (edemą), sustorėjusios, paraudusios odos niežtinčias arba</w:t>
      </w:r>
      <w:r w:rsidR="00620992"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skausmingas dėmes su sidabriniais odos žvynais, odos ir gleivinių sudirginimą, gyvybei</w:t>
      </w:r>
      <w:r w:rsidR="00620992"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pavojingą odos ligą, dėl kurios didelės epidermio, išorinio odos sluoksnio, dalys atsiskiria nuo</w:t>
      </w:r>
      <w:r w:rsidR="00620992" w:rsidRPr="000E1775">
        <w:rPr>
          <w:rFonts w:ascii="Times New Roman" w:eastAsia="Calibri" w:hAnsi="Times New Roman"/>
          <w:sz w:val="22"/>
          <w:szCs w:val="22"/>
          <w:lang w:val="fr-FR"/>
        </w:rPr>
        <w:t xml:space="preserve"> </w:t>
      </w:r>
      <w:r w:rsidRPr="000E1775">
        <w:rPr>
          <w:rFonts w:ascii="Times New Roman" w:eastAsia="Calibri" w:hAnsi="Times New Roman"/>
          <w:sz w:val="22"/>
          <w:szCs w:val="22"/>
          <w:lang w:val="fr-FR"/>
        </w:rPr>
        <w:t>giliau esančių odos sluoksnių.</w:t>
      </w:r>
    </w:p>
    <w:p w:rsidR="00BC7C82" w:rsidRPr="000E1775" w:rsidRDefault="00BC7C82" w:rsidP="00BC7C82">
      <w:pPr>
        <w:autoSpaceDE w:val="0"/>
        <w:autoSpaceDN w:val="0"/>
        <w:adjustRightInd w:val="0"/>
        <w:rPr>
          <w:rFonts w:ascii="Times New Roman" w:eastAsia="TimesNewRoman" w:hAnsi="Times New Roman"/>
          <w:sz w:val="22"/>
          <w:szCs w:val="22"/>
          <w:lang w:val="en-US"/>
        </w:rPr>
      </w:pPr>
      <w:r w:rsidRPr="000E1775">
        <w:rPr>
          <w:rFonts w:ascii="Times New Roman" w:eastAsia="TimesNewRoman" w:hAnsi="Times New Roman"/>
          <w:sz w:val="22"/>
          <w:szCs w:val="22"/>
          <w:lang w:val="en-US"/>
        </w:rPr>
        <w:t xml:space="preserve">- </w:t>
      </w:r>
      <w:proofErr w:type="gramStart"/>
      <w:r w:rsidRPr="000E1775">
        <w:rPr>
          <w:rFonts w:ascii="Times New Roman" w:eastAsia="TimesNewRoman" w:hAnsi="Times New Roman"/>
          <w:sz w:val="22"/>
          <w:szCs w:val="22"/>
          <w:lang w:val="en-US"/>
        </w:rPr>
        <w:t>nedideli</w:t>
      </w:r>
      <w:proofErr w:type="gramEnd"/>
      <w:r w:rsidRPr="000E1775">
        <w:rPr>
          <w:rFonts w:ascii="Times New Roman" w:eastAsia="TimesNewRoman" w:hAnsi="Times New Roman"/>
          <w:sz w:val="22"/>
          <w:szCs w:val="22"/>
          <w:lang w:val="en-US"/>
        </w:rPr>
        <w:t xml:space="preserve"> sausos pleiskanotos odos plotai, kartais sustorėję ir padengti žvyneliais ar „rageliais“.</w:t>
      </w:r>
    </w:p>
    <w:p w:rsidR="00BC7C82" w:rsidRPr="000E1775" w:rsidRDefault="00BC7C82" w:rsidP="00BC7C82">
      <w:pPr>
        <w:autoSpaceDE w:val="0"/>
        <w:autoSpaceDN w:val="0"/>
        <w:adjustRightInd w:val="0"/>
        <w:rPr>
          <w:rFonts w:ascii="TimesNewRoman" w:eastAsia="TimesNewRoman" w:hAnsi="Times New Roman" w:cs="TimesNewRoman"/>
          <w:sz w:val="22"/>
          <w:szCs w:val="22"/>
          <w:highlight w:val="cyan"/>
          <w:lang w:val="en-US"/>
        </w:rPr>
      </w:pPr>
    </w:p>
    <w:p w:rsidR="00BC7C82" w:rsidRPr="000E1775" w:rsidRDefault="00BC7C82" w:rsidP="00BC7C82">
      <w:pPr>
        <w:autoSpaceDE w:val="0"/>
        <w:autoSpaceDN w:val="0"/>
        <w:adjustRightInd w:val="0"/>
        <w:rPr>
          <w:rFonts w:ascii="Times New Roman" w:eastAsia="TimesNewRoman" w:hAnsi="Times New Roman"/>
          <w:sz w:val="22"/>
          <w:szCs w:val="22"/>
          <w:lang w:val="en-US"/>
        </w:rPr>
      </w:pPr>
      <w:r w:rsidRPr="000E1775">
        <w:rPr>
          <w:rFonts w:ascii="Times New Roman" w:eastAsia="TimesNewRoman" w:hAnsi="Times New Roman"/>
          <w:sz w:val="22"/>
          <w:szCs w:val="22"/>
          <w:lang w:val="en-US"/>
        </w:rPr>
        <w:t>Šalutinis poveikis, kurio dažnis nežinomas:</w:t>
      </w:r>
    </w:p>
    <w:p w:rsidR="00BC7C82" w:rsidRPr="000E1775" w:rsidRDefault="00BC7C82" w:rsidP="00BC7C82">
      <w:pPr>
        <w:autoSpaceDE w:val="0"/>
        <w:autoSpaceDN w:val="0"/>
        <w:adjustRightInd w:val="0"/>
        <w:rPr>
          <w:rFonts w:ascii="Times New Roman" w:eastAsia="TimesNewRoman" w:hAnsi="Times New Roman"/>
          <w:sz w:val="22"/>
          <w:szCs w:val="22"/>
          <w:lang w:val="en-US"/>
        </w:rPr>
      </w:pPr>
      <w:r w:rsidRPr="000E1775">
        <w:rPr>
          <w:rFonts w:ascii="Times New Roman" w:eastAsia="TimesNewRoman,Bold" w:hAnsi="Times New Roman"/>
          <w:b/>
          <w:bCs/>
          <w:sz w:val="22"/>
          <w:szCs w:val="22"/>
          <w:lang w:val="en-US"/>
        </w:rPr>
        <w:t xml:space="preserve">- </w:t>
      </w:r>
      <w:proofErr w:type="gramStart"/>
      <w:r w:rsidRPr="000E1775">
        <w:rPr>
          <w:rFonts w:ascii="Times New Roman" w:eastAsia="TimesNewRoman" w:hAnsi="Times New Roman"/>
          <w:sz w:val="22"/>
          <w:szCs w:val="22"/>
          <w:lang w:val="en-US"/>
        </w:rPr>
        <w:t>strazdanos</w:t>
      </w:r>
      <w:proofErr w:type="gramEnd"/>
      <w:r w:rsidRPr="000E1775">
        <w:rPr>
          <w:rFonts w:ascii="Times New Roman" w:eastAsia="TimesNewRoman" w:hAnsi="Times New Roman"/>
          <w:sz w:val="22"/>
          <w:szCs w:val="22"/>
          <w:lang w:val="en-US"/>
        </w:rPr>
        <w:t xml:space="preserve"> ir pigmentinės dėmės.</w:t>
      </w: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Kitas reikšmingas šalutinis poveikis, kurio dažnis nežinomas, bet apie jį reikia skubiai pranešti savo </w:t>
      </w:r>
      <w:proofErr w:type="gramStart"/>
      <w:r w:rsidRPr="000E1775">
        <w:rPr>
          <w:rFonts w:ascii="Times New Roman" w:eastAsia="Calibri" w:hAnsi="Times New Roman"/>
          <w:sz w:val="22"/>
          <w:szCs w:val="22"/>
          <w:lang w:val="fr-FR"/>
        </w:rPr>
        <w:t>gydytojui:</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odos </w:t>
      </w:r>
      <w:proofErr w:type="gramStart"/>
      <w:r w:rsidRPr="000E1775">
        <w:rPr>
          <w:rFonts w:ascii="Times New Roman" w:eastAsia="Calibri" w:hAnsi="Times New Roman"/>
          <w:sz w:val="22"/>
          <w:szCs w:val="22"/>
          <w:lang w:val="fr-FR"/>
        </w:rPr>
        <w:t>vėžys;</w:t>
      </w:r>
      <w:proofErr w:type="gramEnd"/>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 xml:space="preserve">- kaulą supančio audinio </w:t>
      </w:r>
      <w:proofErr w:type="gramStart"/>
      <w:r w:rsidRPr="000E1775">
        <w:rPr>
          <w:rFonts w:ascii="Times New Roman" w:eastAsia="Calibri" w:hAnsi="Times New Roman"/>
          <w:sz w:val="22"/>
          <w:szCs w:val="22"/>
          <w:lang w:val="fr-FR"/>
        </w:rPr>
        <w:t>uždegimas;</w:t>
      </w:r>
      <w:proofErr w:type="gramEnd"/>
    </w:p>
    <w:p w:rsidR="00E5066C" w:rsidRPr="000E1775" w:rsidRDefault="00E5066C" w:rsidP="00E5066C">
      <w:pPr>
        <w:autoSpaceDE w:val="0"/>
        <w:autoSpaceDN w:val="0"/>
        <w:adjustRightInd w:val="0"/>
        <w:rPr>
          <w:rFonts w:ascii="Times New Roman" w:hAnsi="Times New Roman"/>
          <w:sz w:val="22"/>
          <w:szCs w:val="22"/>
          <w:lang w:val="fr-FR"/>
        </w:rPr>
      </w:pPr>
      <w:r w:rsidRPr="000E1775">
        <w:rPr>
          <w:rFonts w:ascii="Times New Roman" w:eastAsia="Calibri" w:hAnsi="Times New Roman"/>
          <w:sz w:val="22"/>
          <w:szCs w:val="22"/>
          <w:lang w:val="fr-FR"/>
        </w:rPr>
        <w:t>- raudoni, žvynuoti plotai arba žiedo formos odos pažeidimai, galintys būti autoimuninės ligos, vadinamos odos raudonąja vilklige, simptomais.</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hAnsi="Times New Roman"/>
          <w:sz w:val="22"/>
          <w:szCs w:val="22"/>
          <w:lang w:val="fr-FR"/>
        </w:rPr>
        <w:t>VORICONAZOLE RICHTER</w:t>
      </w:r>
      <w:r w:rsidRPr="000E1775">
        <w:rPr>
          <w:rFonts w:ascii="Times New Roman" w:eastAsia="Calibri" w:hAnsi="Times New Roman"/>
          <w:sz w:val="22"/>
          <w:szCs w:val="22"/>
          <w:lang w:val="fr-FR"/>
        </w:rPr>
        <w:t xml:space="preserve"> gali daryti poveikį kepenims ir inkstams, taigi gydytojas turės stebėti Jūsų inkstų ir kepenų funkciją (tirti kraują). Jeigu skauda pilvą ar pakito išmatų konsistencija, kreipkitės į gydytoją.</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E5066C">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t>Buvo pranešta apie odos vėžį pacientams, kurie ilgą laiką gydėsi vorikonazolu.</w:t>
      </w:r>
    </w:p>
    <w:p w:rsidR="00E5066C" w:rsidRPr="000E1775" w:rsidRDefault="00E5066C" w:rsidP="00E5066C">
      <w:pPr>
        <w:autoSpaceDE w:val="0"/>
        <w:autoSpaceDN w:val="0"/>
        <w:adjustRightInd w:val="0"/>
        <w:rPr>
          <w:rFonts w:ascii="Times New Roman" w:eastAsia="Calibri" w:hAnsi="Times New Roman"/>
          <w:sz w:val="22"/>
          <w:szCs w:val="22"/>
          <w:lang w:val="fr-FR"/>
        </w:rPr>
      </w:pPr>
    </w:p>
    <w:p w:rsidR="00E5066C" w:rsidRPr="000E1775" w:rsidRDefault="00E5066C" w:rsidP="00620992">
      <w:pPr>
        <w:autoSpaceDE w:val="0"/>
        <w:autoSpaceDN w:val="0"/>
        <w:adjustRightInd w:val="0"/>
        <w:rPr>
          <w:rFonts w:ascii="Times New Roman" w:eastAsia="Calibri" w:hAnsi="Times New Roman"/>
          <w:sz w:val="22"/>
          <w:szCs w:val="22"/>
          <w:lang w:val="fr-FR"/>
        </w:rPr>
      </w:pPr>
      <w:r w:rsidRPr="000E1775">
        <w:rPr>
          <w:rFonts w:ascii="Times New Roman" w:eastAsia="Calibri" w:hAnsi="Times New Roman"/>
          <w:sz w:val="22"/>
          <w:szCs w:val="22"/>
          <w:lang w:val="fr-FR"/>
        </w:rPr>
        <w:lastRenderedPageBreak/>
        <w:t>Saulės nudegimus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w:t>
      </w:r>
      <w:r w:rsidR="00620992" w:rsidRPr="000E1775">
        <w:rPr>
          <w:sz w:val="22"/>
          <w:szCs w:val="22"/>
          <w:lang w:val="fr-FR"/>
        </w:rPr>
        <w:t xml:space="preserve"> </w:t>
      </w:r>
      <w:r w:rsidR="00620992" w:rsidRPr="000E1775">
        <w:rPr>
          <w:rFonts w:ascii="Times New Roman" w:eastAsia="Calibri" w:hAnsi="Times New Roman"/>
          <w:sz w:val="22"/>
          <w:szCs w:val="22"/>
          <w:lang w:val="fr-FR"/>
        </w:rPr>
        <w:t>Vaikams taip pat dažniau pastebėtas kepenų fermentų aktyvumo padidėjimas.</w:t>
      </w:r>
    </w:p>
    <w:p w:rsidR="00E5066C" w:rsidRPr="000E1775" w:rsidRDefault="00E5066C" w:rsidP="00E5066C">
      <w:pPr>
        <w:pStyle w:val="Antrat4"/>
        <w:rPr>
          <w:sz w:val="22"/>
          <w:szCs w:val="22"/>
          <w:lang w:val="lt-LT"/>
        </w:rPr>
      </w:pPr>
      <w:r w:rsidRPr="000E1775">
        <w:rPr>
          <w:rFonts w:eastAsia="Calibri"/>
          <w:b w:val="0"/>
          <w:bCs w:val="0"/>
          <w:sz w:val="22"/>
          <w:szCs w:val="22"/>
          <w:lang w:val="fr-FR"/>
        </w:rPr>
        <w:t>Jei bet kuris minėtas šalutinis poveikis išlieka arba sunkėja, reikia pasakyti gydytojui.</w:t>
      </w:r>
    </w:p>
    <w:p w:rsidR="00E5066C" w:rsidRPr="000E1775" w:rsidRDefault="00E5066C" w:rsidP="00E5066C">
      <w:pPr>
        <w:rPr>
          <w:rFonts w:ascii="Times New Roman" w:hAnsi="Times New Roman"/>
          <w:b/>
          <w:sz w:val="22"/>
          <w:szCs w:val="22"/>
          <w:lang w:val="lt-LT"/>
        </w:rPr>
      </w:pPr>
    </w:p>
    <w:p w:rsidR="00E5066C" w:rsidRPr="000E1775" w:rsidRDefault="00E5066C" w:rsidP="00E5066C">
      <w:pPr>
        <w:rPr>
          <w:rFonts w:ascii="Times New Roman" w:hAnsi="Times New Roman"/>
          <w:b/>
          <w:sz w:val="22"/>
          <w:szCs w:val="22"/>
          <w:lang w:val="lt-LT"/>
        </w:rPr>
      </w:pPr>
      <w:r w:rsidRPr="000E1775">
        <w:rPr>
          <w:rFonts w:ascii="Times New Roman" w:hAnsi="Times New Roman"/>
          <w:b/>
          <w:noProof/>
          <w:sz w:val="22"/>
          <w:szCs w:val="22"/>
          <w:lang w:val="lt-LT"/>
        </w:rPr>
        <w:t>Pranešimas apie šalutinį poveikį</w:t>
      </w:r>
    </w:p>
    <w:p w:rsidR="00E5066C" w:rsidRPr="000E1775" w:rsidRDefault="00E5066C" w:rsidP="00E5066C">
      <w:pPr>
        <w:ind w:right="-449"/>
        <w:rPr>
          <w:rFonts w:ascii="Times New Roman" w:hAnsi="Times New Roman"/>
          <w:noProof/>
          <w:sz w:val="22"/>
          <w:szCs w:val="22"/>
          <w:lang w:val="lt-LT"/>
        </w:rPr>
      </w:pPr>
      <w:r w:rsidRPr="000E1775">
        <w:rPr>
          <w:rFonts w:ascii="Times New Roman" w:hAnsi="Times New Roman"/>
          <w:noProof/>
          <w:sz w:val="22"/>
          <w:szCs w:val="22"/>
          <w:lang w:val="lt-LT"/>
        </w:rPr>
        <w:t xml:space="preserve">Jeigu pasireiškė šalutinis poveikis, įskaitant šiame lapelyje nenurodytą, pasakykite gydytojui, vaistininkui arba </w:t>
      </w:r>
      <w:r w:rsidRPr="000E1775">
        <w:rPr>
          <w:rFonts w:ascii="Times New Roman" w:hAnsi="Times New Roman"/>
          <w:sz w:val="22"/>
          <w:szCs w:val="22"/>
          <w:lang w:val="lt-LT"/>
        </w:rPr>
        <w:t>slaugytojui.</w:t>
      </w:r>
      <w:r w:rsidRPr="000E1775">
        <w:rPr>
          <w:rFonts w:ascii="Times New Roman" w:hAnsi="Times New Roman"/>
          <w:noProof/>
          <w:sz w:val="22"/>
          <w:szCs w:val="22"/>
          <w:lang w:val="lt-LT"/>
        </w:rPr>
        <w:t xml:space="preserve"> Apie šalutinį poveikį taip pat galite pranešti tiesiogiai, užpildę interneto svetainėje </w:t>
      </w:r>
      <w:hyperlink r:id="rId8" w:history="1">
        <w:r w:rsidRPr="000E1775">
          <w:rPr>
            <w:rStyle w:val="Hipersaitas"/>
            <w:rFonts w:ascii="Times New Roman" w:eastAsia="SimSun" w:hAnsi="Times New Roman"/>
            <w:noProof/>
            <w:sz w:val="22"/>
            <w:szCs w:val="22"/>
            <w:lang w:val="lt-LT"/>
          </w:rPr>
          <w:t>www.vvkt.lt</w:t>
        </w:r>
      </w:hyperlink>
      <w:r w:rsidRPr="000E1775">
        <w:rPr>
          <w:rFonts w:ascii="Times New Roman" w:hAnsi="Times New Roman"/>
          <w:noProof/>
          <w:sz w:val="22"/>
          <w:szCs w:val="22"/>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E5066C" w:rsidRPr="000E1775" w:rsidRDefault="00E5066C" w:rsidP="00E5066C">
      <w:pPr>
        <w:ind w:right="-449"/>
        <w:rPr>
          <w:rFonts w:ascii="Times New Roman" w:hAnsi="Times New Roman"/>
          <w:noProof/>
          <w:sz w:val="22"/>
          <w:szCs w:val="22"/>
          <w:lang w:val="lt-LT"/>
        </w:rPr>
      </w:pPr>
    </w:p>
    <w:p w:rsidR="00E5066C" w:rsidRPr="000E1775" w:rsidRDefault="00E5066C" w:rsidP="00E5066C">
      <w:pPr>
        <w:ind w:right="-449"/>
        <w:rPr>
          <w:rFonts w:ascii="Times New Roman" w:hAnsi="Times New Roman"/>
          <w:noProof/>
          <w:sz w:val="22"/>
          <w:szCs w:val="22"/>
          <w:lang w:val="lt-LT"/>
        </w:rPr>
      </w:pPr>
    </w:p>
    <w:p w:rsidR="00E5066C" w:rsidRPr="000E1775" w:rsidRDefault="00E5066C" w:rsidP="00A406A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5.</w:t>
      </w:r>
      <w:r w:rsidRPr="000E1775">
        <w:rPr>
          <w:rFonts w:ascii="Times New Roman" w:hAnsi="Times New Roman"/>
          <w:sz w:val="22"/>
          <w:szCs w:val="22"/>
          <w:lang w:val="lt-LT"/>
        </w:rPr>
        <w:tab/>
        <w:t>Kaip laikyti VORICONAZOLE RICHTER</w:t>
      </w:r>
      <w:r w:rsidRPr="000E1775">
        <w:rPr>
          <w:rFonts w:ascii="Times New Roman" w:eastAsia="Calibri" w:hAnsi="Times New Roman"/>
          <w:sz w:val="22"/>
          <w:szCs w:val="22"/>
          <w:lang w:val="lt-LT"/>
        </w:rPr>
        <w:t xml:space="preserve"> </w:t>
      </w: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E5066C">
      <w:pPr>
        <w:numPr>
          <w:ilvl w:val="12"/>
          <w:numId w:val="0"/>
        </w:numPr>
        <w:ind w:right="-2"/>
        <w:rPr>
          <w:rFonts w:ascii="Times New Roman" w:hAnsi="Times New Roman"/>
          <w:sz w:val="22"/>
          <w:szCs w:val="22"/>
          <w:lang w:val="lt-LT"/>
        </w:rPr>
      </w:pPr>
      <w:r w:rsidRPr="000E1775">
        <w:rPr>
          <w:rFonts w:ascii="Times New Roman" w:hAnsi="Times New Roman"/>
          <w:noProof/>
          <w:sz w:val="22"/>
          <w:szCs w:val="22"/>
          <w:lang w:val="lt-LT"/>
        </w:rPr>
        <w:t>Šį vaistą laikykite vaikams nepastebimoje ir nepasiekiamoje vietoje.</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Šiam vaistui specialių laikymo sąlygų nereikia.</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sz w:val="22"/>
          <w:szCs w:val="22"/>
          <w:lang w:val="lt-LT"/>
        </w:rPr>
        <w:t>Ant lizdinės plokštelės ir dėžutės po „Tinka iki/EXP“ nurodytam tinkamumo laikui pasibaigus, šio vaisto vartoti negalima. Vaistas tinkamas vartoti iki paskutinės nurodyto mėnesio dienos.</w:t>
      </w:r>
    </w:p>
    <w:p w:rsidR="00E5066C" w:rsidRPr="000E1775" w:rsidRDefault="00E5066C" w:rsidP="00E5066C">
      <w:pPr>
        <w:autoSpaceDE w:val="0"/>
        <w:autoSpaceDN w:val="0"/>
        <w:adjustRightInd w:val="0"/>
        <w:rPr>
          <w:rFonts w:ascii="Times New Roman" w:eastAsia="Calibri" w:hAnsi="Times New Roman"/>
          <w:sz w:val="22"/>
          <w:szCs w:val="22"/>
          <w:lang w:val="lt-LT"/>
        </w:rPr>
      </w:pP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t>Vaistų negalima išmesti į kanalizaciją arba su buitinėmis atliekomis. Kaip išmesti nereikalingus vaistus, klauskite vaistininko. Šios priemonės padės apsaugoti aplinką.</w:t>
      </w:r>
      <w:r w:rsidRPr="000E1775">
        <w:rPr>
          <w:rFonts w:ascii="Times New Roman" w:hAnsi="Times New Roman"/>
          <w:noProof/>
          <w:sz w:val="22"/>
          <w:szCs w:val="22"/>
          <w:lang w:val="lt-LT"/>
        </w:rPr>
        <w:t xml:space="preserve"> </w:t>
      </w: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E5066C">
      <w:pPr>
        <w:numPr>
          <w:ilvl w:val="12"/>
          <w:numId w:val="0"/>
        </w:numPr>
        <w:ind w:right="-2"/>
        <w:rPr>
          <w:rFonts w:ascii="Times New Roman" w:hAnsi="Times New Roman"/>
          <w:noProof/>
          <w:sz w:val="22"/>
          <w:szCs w:val="22"/>
          <w:lang w:val="lt-LT"/>
        </w:rPr>
      </w:pPr>
    </w:p>
    <w:p w:rsidR="00E5066C" w:rsidRPr="000E1775" w:rsidRDefault="00E5066C" w:rsidP="00A406A5">
      <w:pPr>
        <w:pStyle w:val="Antrat3"/>
        <w:spacing w:before="0" w:after="0"/>
        <w:ind w:left="567" w:hanging="567"/>
        <w:rPr>
          <w:rFonts w:ascii="Times New Roman" w:hAnsi="Times New Roman"/>
          <w:sz w:val="22"/>
          <w:szCs w:val="22"/>
          <w:lang w:val="lt-LT"/>
        </w:rPr>
      </w:pPr>
      <w:r w:rsidRPr="000E1775">
        <w:rPr>
          <w:rFonts w:ascii="Times New Roman" w:hAnsi="Times New Roman"/>
          <w:sz w:val="22"/>
          <w:szCs w:val="22"/>
          <w:lang w:val="lt-LT"/>
        </w:rPr>
        <w:t>6.</w:t>
      </w:r>
      <w:r w:rsidRPr="000E1775">
        <w:rPr>
          <w:rFonts w:ascii="Times New Roman" w:hAnsi="Times New Roman"/>
          <w:b w:val="0"/>
          <w:sz w:val="22"/>
          <w:szCs w:val="22"/>
          <w:lang w:val="lt-LT"/>
        </w:rPr>
        <w:tab/>
      </w:r>
      <w:r w:rsidRPr="000E1775">
        <w:rPr>
          <w:rFonts w:ascii="Times New Roman" w:hAnsi="Times New Roman"/>
          <w:sz w:val="22"/>
          <w:szCs w:val="22"/>
          <w:lang w:val="lt-LT"/>
        </w:rPr>
        <w:t>Pakuotės turinys ir kita informacija</w:t>
      </w:r>
    </w:p>
    <w:p w:rsidR="00E5066C" w:rsidRPr="000E1775" w:rsidRDefault="00E5066C" w:rsidP="00E5066C">
      <w:pPr>
        <w:pStyle w:val="Antrat4"/>
        <w:rPr>
          <w:sz w:val="22"/>
          <w:szCs w:val="22"/>
          <w:lang w:val="lt-LT"/>
        </w:rPr>
      </w:pPr>
      <w:r w:rsidRPr="000E1775">
        <w:rPr>
          <w:sz w:val="22"/>
          <w:szCs w:val="22"/>
          <w:lang w:val="lt-LT"/>
        </w:rPr>
        <w:t>VORICONAZOLE RICHTER</w:t>
      </w:r>
      <w:r w:rsidRPr="000E1775">
        <w:rPr>
          <w:rFonts w:eastAsia="Calibri"/>
          <w:sz w:val="22"/>
          <w:szCs w:val="22"/>
          <w:lang w:val="lt-LT"/>
        </w:rPr>
        <w:t xml:space="preserve"> </w:t>
      </w:r>
      <w:r w:rsidRPr="000E1775">
        <w:rPr>
          <w:sz w:val="22"/>
          <w:szCs w:val="22"/>
          <w:lang w:val="lt-LT"/>
        </w:rPr>
        <w:t xml:space="preserve">sudėtis </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b/>
          <w:bCs/>
          <w:sz w:val="22"/>
          <w:szCs w:val="22"/>
          <w:lang w:val="lt-LT"/>
        </w:rPr>
        <w:t xml:space="preserve">- </w:t>
      </w:r>
      <w:r w:rsidRPr="000E1775">
        <w:rPr>
          <w:rFonts w:ascii="Times New Roman" w:eastAsia="Calibri" w:hAnsi="Times New Roman"/>
          <w:sz w:val="22"/>
          <w:szCs w:val="22"/>
          <w:lang w:val="lt-LT"/>
        </w:rPr>
        <w:t>Veiklioji medžiaga yra vorikonazolas. Kiekvienoje tabletėje yra arba 50 mg vorikonazolo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50 mg plėvele dengtos tabletės), arba 200 mg vorikonazolo (</w:t>
      </w:r>
      <w:r w:rsidRPr="000E1775">
        <w:rPr>
          <w:rFonts w:ascii="Times New Roman" w:hAnsi="Times New Roman"/>
          <w:sz w:val="22"/>
          <w:szCs w:val="22"/>
          <w:lang w:val="lt-LT"/>
        </w:rPr>
        <w:t>VORICONAZOLE RICHTER</w:t>
      </w:r>
      <w:r w:rsidRPr="000E1775">
        <w:rPr>
          <w:rFonts w:ascii="Times New Roman" w:eastAsia="Calibri" w:hAnsi="Times New Roman"/>
          <w:sz w:val="22"/>
          <w:szCs w:val="22"/>
          <w:lang w:val="lt-LT"/>
        </w:rPr>
        <w:t xml:space="preserve"> 200 mg plėvele dengtos tabletės).</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b/>
          <w:bCs/>
          <w:sz w:val="22"/>
          <w:szCs w:val="22"/>
          <w:lang w:val="lt-LT"/>
        </w:rPr>
        <w:t xml:space="preserve">- </w:t>
      </w:r>
      <w:r w:rsidRPr="000E1775">
        <w:rPr>
          <w:rFonts w:ascii="Times New Roman" w:eastAsia="Calibri" w:hAnsi="Times New Roman"/>
          <w:bCs/>
          <w:sz w:val="22"/>
          <w:szCs w:val="22"/>
          <w:lang w:val="lt-LT"/>
        </w:rPr>
        <w:t>P</w:t>
      </w:r>
      <w:r w:rsidRPr="000E1775">
        <w:rPr>
          <w:rFonts w:ascii="Times New Roman" w:eastAsia="Calibri" w:hAnsi="Times New Roman"/>
          <w:sz w:val="22"/>
          <w:szCs w:val="22"/>
          <w:lang w:val="lt-LT"/>
        </w:rPr>
        <w:t xml:space="preserve">agalbinės medžiagos: </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i/>
          <w:sz w:val="22"/>
          <w:szCs w:val="22"/>
          <w:lang w:val="lt-LT"/>
        </w:rPr>
        <w:t>Tabletės branduolys</w:t>
      </w:r>
      <w:r w:rsidRPr="000E1775">
        <w:rPr>
          <w:rFonts w:ascii="Times New Roman" w:eastAsia="Calibri" w:hAnsi="Times New Roman"/>
          <w:sz w:val="22"/>
          <w:szCs w:val="22"/>
          <w:lang w:val="lt-LT"/>
        </w:rPr>
        <w:t xml:space="preserve">: laktozė monohidratas, pregelifikuotas kukurūzų krakmolas, kroskarmeliozės natrio druska, povidonas K 25, magnio stearatas. </w:t>
      </w: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eastAsia="Calibri" w:hAnsi="Times New Roman"/>
          <w:i/>
          <w:sz w:val="22"/>
          <w:szCs w:val="22"/>
          <w:lang w:val="lt-LT"/>
        </w:rPr>
        <w:t>Tabletės plėvelė</w:t>
      </w:r>
      <w:r w:rsidRPr="000E1775">
        <w:rPr>
          <w:rFonts w:ascii="Times New Roman" w:eastAsia="Calibri" w:hAnsi="Times New Roman"/>
          <w:sz w:val="22"/>
          <w:szCs w:val="22"/>
          <w:lang w:val="lt-LT"/>
        </w:rPr>
        <w:t>: hipromeliozė E5, laktozė monohidratas, triacetinas, titano dioksidas (E 171).</w:t>
      </w:r>
    </w:p>
    <w:p w:rsidR="00E5066C" w:rsidRPr="000E1775" w:rsidRDefault="00E5066C" w:rsidP="00E5066C">
      <w:pPr>
        <w:pStyle w:val="Antrat4"/>
        <w:rPr>
          <w:sz w:val="22"/>
          <w:szCs w:val="22"/>
          <w:lang w:val="lt-LT"/>
        </w:rPr>
      </w:pPr>
      <w:r w:rsidRPr="000E1775">
        <w:rPr>
          <w:sz w:val="22"/>
          <w:szCs w:val="22"/>
          <w:lang w:val="lt-LT"/>
        </w:rPr>
        <w:t>VORICONAZOLE RICHTER</w:t>
      </w:r>
      <w:r w:rsidRPr="000E1775">
        <w:rPr>
          <w:rFonts w:eastAsia="Calibri"/>
          <w:sz w:val="22"/>
          <w:szCs w:val="22"/>
          <w:lang w:val="lt-LT"/>
        </w:rPr>
        <w:t xml:space="preserve"> </w:t>
      </w:r>
      <w:r w:rsidRPr="000E1775">
        <w:rPr>
          <w:sz w:val="22"/>
          <w:szCs w:val="22"/>
          <w:lang w:val="lt-LT"/>
        </w:rPr>
        <w:t>išvaizda ir kiekis pakuotėje</w:t>
      </w:r>
    </w:p>
    <w:p w:rsidR="00E5066C" w:rsidRPr="000E1775" w:rsidRDefault="00E5066C" w:rsidP="00E5066C">
      <w:pPr>
        <w:autoSpaceDE w:val="0"/>
        <w:autoSpaceDN w:val="0"/>
        <w:adjustRightInd w:val="0"/>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hAnsi="Times New Roman"/>
          <w:sz w:val="22"/>
          <w:szCs w:val="22"/>
          <w:lang w:val="lt-LT"/>
        </w:rPr>
        <w:t xml:space="preserve">VORICONAZOLE RICHTER 50 mg plėvele dengtos tabletės </w:t>
      </w: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lang w:val="lt-LT"/>
        </w:rPr>
        <w:lastRenderedPageBreak/>
        <w:t xml:space="preserve">Baltos arba balkšvos, apvalios, maždaug 7,0 mm skrsmens plėvele dengtos tabletės, kurių vienoje pusėje yra įspaudas “V50”, kita pusė lygi. </w:t>
      </w:r>
    </w:p>
    <w:p w:rsidR="00E5066C" w:rsidRPr="000E1775" w:rsidRDefault="00E5066C" w:rsidP="00E5066C">
      <w:pPr>
        <w:autoSpaceDE w:val="0"/>
        <w:autoSpaceDN w:val="0"/>
        <w:adjustRightInd w:val="0"/>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highlight w:val="lightGray"/>
          <w:lang w:val="lt-LT"/>
        </w:rPr>
      </w:pPr>
      <w:r w:rsidRPr="000E1775">
        <w:rPr>
          <w:rFonts w:ascii="Times New Roman" w:hAnsi="Times New Roman"/>
          <w:sz w:val="22"/>
          <w:szCs w:val="22"/>
          <w:highlight w:val="lightGray"/>
          <w:lang w:val="lt-LT"/>
        </w:rPr>
        <w:t xml:space="preserve">VORICONAZOLE RICHTER 200 mg plėvele dengtos tabletės </w:t>
      </w:r>
    </w:p>
    <w:p w:rsidR="00E5066C" w:rsidRPr="000E1775" w:rsidRDefault="00E5066C" w:rsidP="00E5066C">
      <w:pPr>
        <w:autoSpaceDE w:val="0"/>
        <w:autoSpaceDN w:val="0"/>
        <w:adjustRightInd w:val="0"/>
        <w:rPr>
          <w:rFonts w:ascii="Times New Roman" w:hAnsi="Times New Roman"/>
          <w:sz w:val="22"/>
          <w:szCs w:val="22"/>
          <w:lang w:val="lt-LT"/>
        </w:rPr>
      </w:pPr>
      <w:r w:rsidRPr="000E1775">
        <w:rPr>
          <w:rFonts w:ascii="Times New Roman" w:eastAsia="Calibri" w:hAnsi="Times New Roman"/>
          <w:sz w:val="22"/>
          <w:szCs w:val="22"/>
          <w:highlight w:val="lightGray"/>
          <w:lang w:val="lt-LT"/>
        </w:rPr>
        <w:t>Baltos arba balkšvos, ovalios, maždaug 15,6 mm ilgio ir 7,8 mm pločio plėvele dengtos tabletės, kurių vienoje pusėje yra įspaudas “V200”, kita pusė lygi.</w:t>
      </w:r>
      <w:r w:rsidRPr="000E1775">
        <w:rPr>
          <w:rFonts w:ascii="Times New Roman" w:eastAsia="Calibri" w:hAnsi="Times New Roman"/>
          <w:sz w:val="22"/>
          <w:szCs w:val="22"/>
          <w:lang w:val="lt-LT"/>
        </w:rPr>
        <w:t xml:space="preserve"> </w:t>
      </w:r>
    </w:p>
    <w:p w:rsidR="00E5066C" w:rsidRPr="000E1775" w:rsidRDefault="00E5066C" w:rsidP="00E5066C">
      <w:pPr>
        <w:autoSpaceDE w:val="0"/>
        <w:autoSpaceDN w:val="0"/>
        <w:adjustRightInd w:val="0"/>
        <w:rPr>
          <w:rFonts w:ascii="Times New Roman" w:hAnsi="Times New Roman"/>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lang w:val="lt-LT"/>
        </w:rPr>
      </w:pPr>
      <w:r w:rsidRPr="000E1775">
        <w:rPr>
          <w:rFonts w:ascii="Times New Roman" w:hAnsi="Times New Roman"/>
          <w:sz w:val="22"/>
          <w:szCs w:val="22"/>
          <w:lang w:val="lt-LT"/>
        </w:rPr>
        <w:t xml:space="preserve">VORICONAZOLE RICHTER 50 mg plėvele dengtos tabletės: </w:t>
      </w:r>
    </w:p>
    <w:p w:rsidR="00E5066C" w:rsidRPr="000E1775" w:rsidRDefault="00E5066C" w:rsidP="00E5066C">
      <w:pPr>
        <w:rPr>
          <w:rFonts w:ascii="Times New Roman" w:hAnsi="Times New Roman"/>
          <w:noProof/>
          <w:sz w:val="22"/>
          <w:szCs w:val="22"/>
          <w:lang w:val="lt-LT"/>
        </w:rPr>
      </w:pPr>
      <w:r w:rsidRPr="000E1775">
        <w:rPr>
          <w:rFonts w:ascii="Times New Roman" w:hAnsi="Times New Roman"/>
          <w:noProof/>
          <w:sz w:val="22"/>
          <w:szCs w:val="22"/>
          <w:lang w:val="lt-LT"/>
        </w:rPr>
        <w:t>10 arba 14 tablečių skaidriose PVC/Al lizdinėse plokštelėse, pagamintose iš skaidrios, permatomos  PVC plėvelės ir kietos aliuminio folijos dangalo. Kartono dėžutėje yra viena, dvi arba trys lizdinės plokštelės ir pakuotės lapelis.</w:t>
      </w:r>
    </w:p>
    <w:p w:rsidR="00E5066C" w:rsidRPr="000E1775" w:rsidRDefault="00E5066C" w:rsidP="00E5066C">
      <w:pPr>
        <w:rPr>
          <w:rFonts w:ascii="Times New Roman" w:hAnsi="Times New Roman"/>
          <w:noProof/>
          <w:sz w:val="22"/>
          <w:szCs w:val="22"/>
          <w:lang w:val="lt-LT"/>
        </w:rPr>
      </w:pPr>
    </w:p>
    <w:p w:rsidR="00E5066C" w:rsidRPr="000E1775" w:rsidRDefault="00E5066C" w:rsidP="00E5066C">
      <w:pPr>
        <w:autoSpaceDE w:val="0"/>
        <w:autoSpaceDN w:val="0"/>
        <w:adjustRightInd w:val="0"/>
        <w:rPr>
          <w:rFonts w:ascii="Times New Roman" w:eastAsia="Calibri" w:hAnsi="Times New Roman"/>
          <w:sz w:val="22"/>
          <w:szCs w:val="22"/>
          <w:highlight w:val="lightGray"/>
          <w:lang w:val="lt-LT"/>
        </w:rPr>
      </w:pPr>
      <w:r w:rsidRPr="000E1775">
        <w:rPr>
          <w:rFonts w:ascii="Times New Roman" w:hAnsi="Times New Roman"/>
          <w:sz w:val="22"/>
          <w:szCs w:val="22"/>
          <w:highlight w:val="lightGray"/>
          <w:lang w:val="lt-LT"/>
        </w:rPr>
        <w:t xml:space="preserve">VORICONAZOLE RICHTER 200 mg plėvele dengtos tabletės: </w:t>
      </w:r>
    </w:p>
    <w:p w:rsidR="00E5066C" w:rsidRPr="000E1775" w:rsidRDefault="00E5066C" w:rsidP="00E5066C">
      <w:pPr>
        <w:rPr>
          <w:rFonts w:ascii="Times New Roman" w:hAnsi="Times New Roman"/>
          <w:noProof/>
          <w:sz w:val="22"/>
          <w:szCs w:val="22"/>
          <w:lang w:val="lt-LT"/>
        </w:rPr>
      </w:pPr>
      <w:r w:rsidRPr="000E1775">
        <w:rPr>
          <w:rFonts w:ascii="Times New Roman" w:hAnsi="Times New Roman"/>
          <w:noProof/>
          <w:sz w:val="22"/>
          <w:szCs w:val="22"/>
          <w:highlight w:val="lightGray"/>
          <w:lang w:val="lt-LT"/>
        </w:rPr>
        <w:t>10 arba 14 tablečių skaidriose PVC/Al lizdinėse plokštelėse, pagamintose iš skaidrios, permatomos PVC plėvelės ir kietos aliuminio folijos dangalo. Kartono dėžutėje yra viena, dvi arba trys lizdinės plokštelės ir pakuotės lapelis.</w:t>
      </w: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noProof/>
          <w:sz w:val="22"/>
          <w:szCs w:val="22"/>
          <w:lang w:val="lt-LT"/>
        </w:rPr>
      </w:pPr>
      <w:r w:rsidRPr="000E1775">
        <w:rPr>
          <w:rFonts w:ascii="Times New Roman" w:hAnsi="Times New Roman"/>
          <w:noProof/>
          <w:sz w:val="22"/>
          <w:szCs w:val="22"/>
          <w:lang w:val="lt-LT"/>
        </w:rPr>
        <w:t>Pakuočių dydžiai:</w:t>
      </w:r>
    </w:p>
    <w:p w:rsidR="00E5066C" w:rsidRPr="000E1775" w:rsidRDefault="00E5066C" w:rsidP="00E5066C">
      <w:pPr>
        <w:widowControl w:val="0"/>
        <w:rPr>
          <w:rFonts w:ascii="Times New Roman" w:hAnsi="Times New Roman"/>
          <w:sz w:val="22"/>
          <w:szCs w:val="22"/>
          <w:lang w:val="lt-LT"/>
        </w:rPr>
      </w:pPr>
      <w:r w:rsidRPr="000E1775">
        <w:rPr>
          <w:rFonts w:ascii="Times New Roman" w:hAnsi="Times New Roman"/>
          <w:sz w:val="22"/>
          <w:szCs w:val="22"/>
          <w:lang w:val="lt-LT"/>
        </w:rPr>
        <w:t xml:space="preserve">1 x 10 </w:t>
      </w:r>
      <w:r w:rsidRPr="000E1775">
        <w:rPr>
          <w:rFonts w:ascii="Times New Roman" w:hAnsi="Times New Roman"/>
          <w:noProof/>
          <w:sz w:val="22"/>
          <w:szCs w:val="22"/>
          <w:lang w:val="lt-LT"/>
        </w:rPr>
        <w:t>plėvele dengtų tablečių</w:t>
      </w:r>
      <w:r w:rsidRPr="000E1775">
        <w:rPr>
          <w:rFonts w:ascii="Times New Roman" w:hAnsi="Times New Roman"/>
          <w:sz w:val="22"/>
          <w:szCs w:val="22"/>
          <w:lang w:val="lt-LT"/>
        </w:rPr>
        <w:t xml:space="preserve"> </w:t>
      </w:r>
    </w:p>
    <w:p w:rsidR="00E5066C" w:rsidRPr="000E1775" w:rsidRDefault="00E5066C" w:rsidP="00E5066C">
      <w:pPr>
        <w:widowControl w:val="0"/>
        <w:rPr>
          <w:rFonts w:ascii="Times New Roman" w:hAnsi="Times New Roman"/>
          <w:sz w:val="22"/>
          <w:szCs w:val="22"/>
          <w:lang w:val="lt-LT"/>
        </w:rPr>
      </w:pPr>
      <w:r w:rsidRPr="000E1775">
        <w:rPr>
          <w:rFonts w:ascii="Times New Roman" w:hAnsi="Times New Roman"/>
          <w:sz w:val="22"/>
          <w:szCs w:val="22"/>
          <w:lang w:val="lt-LT"/>
        </w:rPr>
        <w:t xml:space="preserve">1 x 14 </w:t>
      </w:r>
      <w:r w:rsidRPr="000E1775">
        <w:rPr>
          <w:rFonts w:ascii="Times New Roman" w:hAnsi="Times New Roman"/>
          <w:noProof/>
          <w:sz w:val="22"/>
          <w:szCs w:val="22"/>
          <w:lang w:val="lt-LT"/>
        </w:rPr>
        <w:t>plėvele dengtų tablečių</w:t>
      </w:r>
      <w:r w:rsidRPr="000E1775">
        <w:rPr>
          <w:rFonts w:ascii="Times New Roman" w:hAnsi="Times New Roman"/>
          <w:sz w:val="22"/>
          <w:szCs w:val="22"/>
          <w:lang w:val="lt-LT"/>
        </w:rPr>
        <w:t xml:space="preserve"> </w:t>
      </w:r>
    </w:p>
    <w:p w:rsidR="00E5066C" w:rsidRPr="000E1775" w:rsidRDefault="00E5066C" w:rsidP="00E5066C">
      <w:pPr>
        <w:widowControl w:val="0"/>
        <w:rPr>
          <w:rFonts w:ascii="Times New Roman" w:hAnsi="Times New Roman"/>
          <w:sz w:val="22"/>
          <w:szCs w:val="22"/>
          <w:lang w:val="lt-LT"/>
        </w:rPr>
      </w:pPr>
      <w:r w:rsidRPr="000E1775">
        <w:rPr>
          <w:rFonts w:ascii="Times New Roman" w:hAnsi="Times New Roman"/>
          <w:sz w:val="22"/>
          <w:szCs w:val="22"/>
          <w:lang w:val="lt-LT"/>
        </w:rPr>
        <w:t xml:space="preserve">2 x 10 </w:t>
      </w:r>
      <w:r w:rsidRPr="000E1775">
        <w:rPr>
          <w:rFonts w:ascii="Times New Roman" w:hAnsi="Times New Roman"/>
          <w:noProof/>
          <w:sz w:val="22"/>
          <w:szCs w:val="22"/>
          <w:lang w:val="lt-LT"/>
        </w:rPr>
        <w:t>plėvele dengtų tablečių</w:t>
      </w:r>
      <w:r w:rsidRPr="000E1775">
        <w:rPr>
          <w:rFonts w:ascii="Times New Roman" w:hAnsi="Times New Roman"/>
          <w:sz w:val="22"/>
          <w:szCs w:val="22"/>
          <w:lang w:val="lt-LT"/>
        </w:rPr>
        <w:t xml:space="preserve"> </w:t>
      </w:r>
    </w:p>
    <w:p w:rsidR="00E5066C" w:rsidRPr="000E1775" w:rsidRDefault="00E5066C" w:rsidP="00E5066C">
      <w:pPr>
        <w:widowControl w:val="0"/>
        <w:rPr>
          <w:rFonts w:ascii="Times New Roman" w:hAnsi="Times New Roman"/>
          <w:sz w:val="22"/>
          <w:szCs w:val="22"/>
          <w:lang w:val="lt-LT"/>
        </w:rPr>
      </w:pPr>
      <w:r w:rsidRPr="000E1775">
        <w:rPr>
          <w:rFonts w:ascii="Times New Roman" w:hAnsi="Times New Roman"/>
          <w:sz w:val="22"/>
          <w:szCs w:val="22"/>
          <w:lang w:val="lt-LT"/>
        </w:rPr>
        <w:t xml:space="preserve">2 x 14 </w:t>
      </w:r>
      <w:r w:rsidRPr="000E1775">
        <w:rPr>
          <w:rFonts w:ascii="Times New Roman" w:hAnsi="Times New Roman"/>
          <w:noProof/>
          <w:sz w:val="22"/>
          <w:szCs w:val="22"/>
          <w:lang w:val="lt-LT"/>
        </w:rPr>
        <w:t>plėvele dengtų tablečių</w:t>
      </w:r>
      <w:r w:rsidRPr="000E1775">
        <w:rPr>
          <w:rFonts w:ascii="Times New Roman" w:hAnsi="Times New Roman"/>
          <w:sz w:val="22"/>
          <w:szCs w:val="22"/>
          <w:lang w:val="lt-LT"/>
        </w:rPr>
        <w:t xml:space="preserve"> </w:t>
      </w:r>
    </w:p>
    <w:p w:rsidR="00E5066C" w:rsidRPr="000E1775" w:rsidRDefault="00E5066C" w:rsidP="00E5066C">
      <w:pPr>
        <w:rPr>
          <w:rFonts w:ascii="Times New Roman" w:hAnsi="Times New Roman"/>
          <w:noProof/>
          <w:sz w:val="22"/>
          <w:szCs w:val="22"/>
          <w:lang w:val="lt-LT"/>
        </w:rPr>
      </w:pPr>
      <w:r w:rsidRPr="000E1775">
        <w:rPr>
          <w:rFonts w:ascii="Times New Roman" w:hAnsi="Times New Roman"/>
          <w:sz w:val="22"/>
          <w:szCs w:val="22"/>
          <w:lang w:val="lt-LT"/>
        </w:rPr>
        <w:t xml:space="preserve">3 x 10 </w:t>
      </w:r>
      <w:r w:rsidRPr="000E1775">
        <w:rPr>
          <w:rFonts w:ascii="Times New Roman" w:hAnsi="Times New Roman"/>
          <w:noProof/>
          <w:sz w:val="22"/>
          <w:szCs w:val="22"/>
          <w:lang w:val="lt-LT"/>
        </w:rPr>
        <w:t>plėvele dengtų tablečių</w:t>
      </w:r>
      <w:r w:rsidRPr="000E1775">
        <w:rPr>
          <w:rFonts w:ascii="Times New Roman" w:hAnsi="Times New Roman"/>
          <w:sz w:val="22"/>
          <w:szCs w:val="22"/>
          <w:lang w:val="lt-LT"/>
        </w:rPr>
        <w:t xml:space="preserve"> </w:t>
      </w:r>
    </w:p>
    <w:p w:rsidR="00E5066C" w:rsidRPr="000E1775" w:rsidRDefault="00E5066C" w:rsidP="00E5066C">
      <w:pPr>
        <w:rPr>
          <w:rFonts w:ascii="Times New Roman" w:hAnsi="Times New Roman"/>
          <w:noProof/>
          <w:sz w:val="22"/>
          <w:szCs w:val="22"/>
          <w:lang w:val="lt-LT"/>
        </w:rPr>
      </w:pPr>
    </w:p>
    <w:p w:rsidR="00E5066C" w:rsidRPr="000E1775" w:rsidRDefault="00E5066C" w:rsidP="00E5066C">
      <w:pPr>
        <w:rPr>
          <w:rFonts w:ascii="Times New Roman" w:hAnsi="Times New Roman"/>
          <w:sz w:val="22"/>
          <w:szCs w:val="22"/>
          <w:lang w:val="lt-LT"/>
        </w:rPr>
      </w:pPr>
      <w:r w:rsidRPr="000E1775">
        <w:rPr>
          <w:rFonts w:ascii="Times New Roman" w:hAnsi="Times New Roman"/>
          <w:noProof/>
          <w:sz w:val="22"/>
          <w:szCs w:val="22"/>
          <w:lang w:val="lt-LT"/>
        </w:rPr>
        <w:t>Gali būti tiekiamos ne visų dydžių pakuotės.</w:t>
      </w:r>
    </w:p>
    <w:p w:rsidR="00E5066C" w:rsidRPr="000E1775" w:rsidRDefault="00E5066C" w:rsidP="00E5066C">
      <w:pPr>
        <w:pStyle w:val="Antrat4"/>
        <w:rPr>
          <w:sz w:val="22"/>
          <w:szCs w:val="22"/>
          <w:lang w:val="lt-LT"/>
        </w:rPr>
      </w:pPr>
      <w:r w:rsidRPr="000E1775">
        <w:rPr>
          <w:sz w:val="22"/>
          <w:szCs w:val="22"/>
          <w:lang w:val="lt-LT"/>
        </w:rPr>
        <w:t>Registruotojas ir gamintojas</w:t>
      </w: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E5066C">
      <w:pPr>
        <w:rPr>
          <w:rFonts w:ascii="Times New Roman" w:hAnsi="Times New Roman"/>
          <w:spacing w:val="-2"/>
          <w:sz w:val="22"/>
          <w:szCs w:val="22"/>
          <w:lang w:val="de-DE"/>
        </w:rPr>
      </w:pPr>
      <w:r w:rsidRPr="000E1775">
        <w:rPr>
          <w:rFonts w:ascii="Times New Roman" w:hAnsi="Times New Roman"/>
          <w:spacing w:val="-2"/>
          <w:sz w:val="22"/>
          <w:szCs w:val="22"/>
          <w:lang w:val="de-DE"/>
        </w:rPr>
        <w:t>Gedeon Richter Plc.</w:t>
      </w:r>
    </w:p>
    <w:p w:rsidR="00E5066C" w:rsidRPr="000E1775" w:rsidRDefault="00E5066C" w:rsidP="00E5066C">
      <w:pPr>
        <w:jc w:val="both"/>
        <w:rPr>
          <w:rFonts w:ascii="Times New Roman" w:hAnsi="Times New Roman"/>
          <w:spacing w:val="-2"/>
          <w:sz w:val="22"/>
          <w:szCs w:val="22"/>
          <w:lang w:val="de-DE"/>
        </w:rPr>
      </w:pPr>
      <w:r w:rsidRPr="000E1775">
        <w:rPr>
          <w:rFonts w:ascii="Times New Roman" w:hAnsi="Times New Roman"/>
          <w:sz w:val="22"/>
          <w:szCs w:val="22"/>
          <w:lang w:val="de-DE"/>
        </w:rPr>
        <w:t>Gyömrői út 19 – 21</w:t>
      </w:r>
    </w:p>
    <w:p w:rsidR="00E5066C" w:rsidRPr="000E1775" w:rsidRDefault="00E5066C" w:rsidP="00E5066C">
      <w:pPr>
        <w:jc w:val="both"/>
        <w:rPr>
          <w:rFonts w:ascii="Times New Roman" w:hAnsi="Times New Roman"/>
          <w:spacing w:val="-2"/>
          <w:sz w:val="22"/>
          <w:szCs w:val="22"/>
          <w:lang w:val="de-DE"/>
        </w:rPr>
      </w:pPr>
      <w:r w:rsidRPr="000E1775">
        <w:rPr>
          <w:rFonts w:ascii="Times New Roman" w:hAnsi="Times New Roman"/>
          <w:spacing w:val="-2"/>
          <w:sz w:val="22"/>
          <w:szCs w:val="22"/>
          <w:lang w:val="de-DE"/>
        </w:rPr>
        <w:t>1103 Budapest</w:t>
      </w:r>
    </w:p>
    <w:p w:rsidR="00E5066C" w:rsidRPr="000E1775" w:rsidRDefault="00E5066C" w:rsidP="00E5066C">
      <w:pPr>
        <w:jc w:val="both"/>
        <w:rPr>
          <w:rFonts w:ascii="Times New Roman" w:hAnsi="Times New Roman"/>
          <w:spacing w:val="-2"/>
          <w:sz w:val="22"/>
          <w:szCs w:val="22"/>
          <w:lang w:val="de-DE"/>
        </w:rPr>
      </w:pPr>
      <w:r w:rsidRPr="000E1775">
        <w:rPr>
          <w:rFonts w:ascii="Times New Roman" w:hAnsi="Times New Roman"/>
          <w:spacing w:val="-2"/>
          <w:sz w:val="22"/>
          <w:szCs w:val="22"/>
          <w:lang w:val="de-DE"/>
        </w:rPr>
        <w:t>Vengrija</w:t>
      </w: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E5066C">
      <w:pPr>
        <w:rPr>
          <w:rFonts w:ascii="Times New Roman" w:hAnsi="Times New Roman"/>
          <w:noProof/>
          <w:sz w:val="22"/>
          <w:szCs w:val="22"/>
          <w:lang w:val="lt-LT"/>
        </w:rPr>
      </w:pPr>
      <w:r w:rsidRPr="000E1775">
        <w:rPr>
          <w:rFonts w:ascii="Times New Roman" w:hAnsi="Times New Roman"/>
          <w:noProof/>
          <w:sz w:val="22"/>
          <w:szCs w:val="22"/>
          <w:lang w:val="lt-LT"/>
        </w:rPr>
        <w:t>Jeigu apie šį vaistą norite sužinoti daugiau, kreipkitės į vietinį registruotojo atstovą:</w:t>
      </w:r>
      <w:r w:rsidRPr="000E1775" w:rsidDel="00A12D88">
        <w:rPr>
          <w:rFonts w:ascii="Times New Roman" w:hAnsi="Times New Roman"/>
          <w:noProof/>
          <w:sz w:val="22"/>
          <w:szCs w:val="22"/>
          <w:lang w:val="lt-LT"/>
        </w:rPr>
        <w:t xml:space="preserve"> </w:t>
      </w:r>
    </w:p>
    <w:p w:rsidR="00E5066C" w:rsidRPr="000E1775" w:rsidRDefault="00E5066C" w:rsidP="00E5066C">
      <w:pPr>
        <w:numPr>
          <w:ilvl w:val="12"/>
          <w:numId w:val="0"/>
        </w:numPr>
        <w:ind w:right="-2"/>
        <w:rPr>
          <w:rFonts w:ascii="Times New Roman" w:hAnsi="Times New Roman"/>
          <w:sz w:val="22"/>
          <w:szCs w:val="22"/>
          <w:lang w:val="lt-LT" w:eastAsia="lt-LT"/>
        </w:rPr>
      </w:pPr>
      <w:r w:rsidRPr="000E1775">
        <w:rPr>
          <w:rFonts w:ascii="Times New Roman" w:hAnsi="Times New Roman"/>
          <w:sz w:val="22"/>
          <w:szCs w:val="22"/>
          <w:lang w:val="lt-LT" w:eastAsia="lt-LT"/>
        </w:rPr>
        <w:t>Gedeon Richter Plc. atstovybė</w:t>
      </w:r>
    </w:p>
    <w:p w:rsidR="00E5066C" w:rsidRPr="000E1775" w:rsidRDefault="00E5066C" w:rsidP="00E5066C">
      <w:pPr>
        <w:rPr>
          <w:rFonts w:ascii="Times New Roman" w:hAnsi="Times New Roman"/>
          <w:sz w:val="22"/>
          <w:szCs w:val="22"/>
          <w:lang w:val="lt-LT" w:eastAsia="lt-LT"/>
        </w:rPr>
      </w:pPr>
      <w:r w:rsidRPr="000E1775">
        <w:rPr>
          <w:rFonts w:ascii="Times New Roman" w:hAnsi="Times New Roman"/>
          <w:sz w:val="22"/>
          <w:szCs w:val="22"/>
          <w:lang w:val="lt-LT" w:eastAsia="lt-LT"/>
        </w:rPr>
        <w:t>Maironio 23-3,</w:t>
      </w:r>
    </w:p>
    <w:p w:rsidR="00E5066C" w:rsidRPr="000E1775" w:rsidRDefault="00E5066C" w:rsidP="00E5066C">
      <w:pPr>
        <w:rPr>
          <w:rFonts w:ascii="Times New Roman" w:hAnsi="Times New Roman"/>
          <w:sz w:val="22"/>
          <w:szCs w:val="22"/>
          <w:lang w:val="lt-LT" w:eastAsia="lt-LT"/>
        </w:rPr>
      </w:pPr>
      <w:r w:rsidRPr="000E1775">
        <w:rPr>
          <w:rFonts w:ascii="Times New Roman" w:hAnsi="Times New Roman"/>
          <w:sz w:val="22"/>
          <w:szCs w:val="22"/>
          <w:lang w:val="lt-LT" w:eastAsia="lt-LT"/>
        </w:rPr>
        <w:t xml:space="preserve">Vilnius </w:t>
      </w:r>
    </w:p>
    <w:p w:rsidR="00E5066C" w:rsidRPr="000E1775" w:rsidRDefault="00E5066C" w:rsidP="00E5066C">
      <w:pPr>
        <w:rPr>
          <w:rFonts w:ascii="Times New Roman" w:hAnsi="Times New Roman"/>
          <w:sz w:val="22"/>
          <w:szCs w:val="22"/>
          <w:lang w:val="lt-LT" w:eastAsia="lt-LT"/>
        </w:rPr>
      </w:pPr>
      <w:r w:rsidRPr="000E1775">
        <w:rPr>
          <w:rFonts w:ascii="Times New Roman" w:hAnsi="Times New Roman"/>
          <w:sz w:val="22"/>
          <w:szCs w:val="22"/>
          <w:lang w:val="lt-LT" w:eastAsia="lt-LT"/>
        </w:rPr>
        <w:t>Tel. +370 5 268 53 92</w:t>
      </w:r>
    </w:p>
    <w:p w:rsidR="00E5066C" w:rsidRPr="000E1775" w:rsidRDefault="00E5066C" w:rsidP="00E5066C">
      <w:pPr>
        <w:numPr>
          <w:ilvl w:val="12"/>
          <w:numId w:val="0"/>
        </w:numPr>
        <w:ind w:right="-2"/>
        <w:rPr>
          <w:rFonts w:ascii="Times New Roman" w:hAnsi="Times New Roman"/>
          <w:sz w:val="22"/>
          <w:szCs w:val="22"/>
          <w:lang w:val="lt-LT"/>
        </w:rPr>
      </w:pPr>
    </w:p>
    <w:p w:rsidR="00E5066C" w:rsidRPr="000E1775" w:rsidRDefault="00E5066C" w:rsidP="00E5066C">
      <w:pPr>
        <w:numPr>
          <w:ilvl w:val="12"/>
          <w:numId w:val="0"/>
        </w:numPr>
        <w:ind w:right="-2"/>
        <w:rPr>
          <w:rFonts w:ascii="Times New Roman" w:hAnsi="Times New Roman"/>
          <w:sz w:val="22"/>
          <w:szCs w:val="22"/>
          <w:lang w:val="lt-LT"/>
        </w:rPr>
      </w:pPr>
      <w:r w:rsidRPr="000E1775">
        <w:rPr>
          <w:rFonts w:ascii="Times New Roman" w:hAnsi="Times New Roman"/>
          <w:b/>
          <w:sz w:val="22"/>
          <w:szCs w:val="22"/>
          <w:lang w:val="lt-LT"/>
        </w:rPr>
        <w:t>Šis vaistas EEE valstybėse narėse registruotas tokiais pavadinimais</w:t>
      </w:r>
      <w:r w:rsidRPr="000E1775">
        <w:rPr>
          <w:rFonts w:ascii="Times New Roman" w:hAnsi="Times New Roman"/>
          <w:sz w:val="22"/>
          <w:szCs w:val="22"/>
          <w:lang w:val="lt-LT"/>
        </w:rPr>
        <w:t>:</w:t>
      </w:r>
    </w:p>
    <w:p w:rsidR="00E5066C" w:rsidRPr="000E1775" w:rsidRDefault="00E5066C" w:rsidP="00E5066C">
      <w:pPr>
        <w:numPr>
          <w:ilvl w:val="12"/>
          <w:numId w:val="0"/>
        </w:numPr>
        <w:ind w:right="-2"/>
        <w:rPr>
          <w:rFonts w:ascii="Times New Roman" w:hAnsi="Times New Roman"/>
          <w:b/>
          <w:sz w:val="22"/>
          <w:szCs w:val="22"/>
          <w:lang w:val="lt-LT"/>
        </w:rPr>
      </w:pPr>
    </w:p>
    <w:p w:rsidR="00E5066C" w:rsidRPr="000E1775" w:rsidRDefault="00E5066C" w:rsidP="00E5066C">
      <w:pPr>
        <w:numPr>
          <w:ilvl w:val="12"/>
          <w:numId w:val="0"/>
        </w:numPr>
        <w:ind w:right="-2"/>
        <w:rPr>
          <w:rFonts w:ascii="Times New Roman" w:hAnsi="Times New Roman"/>
          <w:b/>
          <w:sz w:val="22"/>
          <w:szCs w:val="22"/>
          <w:lang w:val="lt-LT"/>
        </w:rPr>
      </w:pPr>
      <w:r w:rsidRPr="000E1775">
        <w:rPr>
          <w:rFonts w:ascii="Times New Roman" w:hAnsi="Times New Roman"/>
          <w:sz w:val="22"/>
          <w:szCs w:val="22"/>
          <w:lang w:val="lt-LT"/>
        </w:rPr>
        <w:t>Bulgarija: Voriconazole Richter</w:t>
      </w:r>
    </w:p>
    <w:p w:rsidR="00E5066C" w:rsidRPr="000E1775" w:rsidRDefault="00E5066C" w:rsidP="00E5066C">
      <w:pPr>
        <w:numPr>
          <w:ilvl w:val="12"/>
          <w:numId w:val="0"/>
        </w:numPr>
        <w:ind w:right="-2"/>
        <w:rPr>
          <w:rFonts w:ascii="Times New Roman" w:hAnsi="Times New Roman"/>
          <w:b/>
          <w:sz w:val="22"/>
          <w:szCs w:val="22"/>
          <w:lang w:val="lt-LT"/>
        </w:rPr>
      </w:pPr>
      <w:r w:rsidRPr="000E1775">
        <w:rPr>
          <w:rFonts w:ascii="Times New Roman" w:hAnsi="Times New Roman"/>
          <w:sz w:val="22"/>
          <w:szCs w:val="22"/>
          <w:lang w:val="lt-LT"/>
        </w:rPr>
        <w:t xml:space="preserve">Čekija:      Voriconazole Richter </w:t>
      </w:r>
    </w:p>
    <w:p w:rsidR="00E5066C" w:rsidRPr="000E1775" w:rsidRDefault="00E5066C" w:rsidP="00E5066C">
      <w:pPr>
        <w:numPr>
          <w:ilvl w:val="12"/>
          <w:numId w:val="0"/>
        </w:numPr>
        <w:ind w:right="-2"/>
        <w:rPr>
          <w:rFonts w:ascii="Times New Roman" w:hAnsi="Times New Roman"/>
          <w:b/>
          <w:sz w:val="22"/>
          <w:szCs w:val="22"/>
          <w:lang w:val="lt-LT"/>
        </w:rPr>
      </w:pPr>
      <w:r w:rsidRPr="000E1775">
        <w:rPr>
          <w:rFonts w:ascii="Times New Roman" w:hAnsi="Times New Roman"/>
          <w:sz w:val="22"/>
          <w:szCs w:val="22"/>
          <w:lang w:val="lt-LT"/>
        </w:rPr>
        <w:t>Vengrija:</w:t>
      </w:r>
      <w:r w:rsidRPr="000E1775">
        <w:rPr>
          <w:rFonts w:ascii="Times New Roman" w:hAnsi="Times New Roman"/>
          <w:b/>
          <w:sz w:val="22"/>
          <w:szCs w:val="22"/>
          <w:lang w:val="lt-LT"/>
        </w:rPr>
        <w:t xml:space="preserve">   </w:t>
      </w:r>
      <w:r w:rsidRPr="000E1775">
        <w:rPr>
          <w:rFonts w:ascii="Times New Roman" w:hAnsi="Times New Roman"/>
          <w:sz w:val="22"/>
          <w:szCs w:val="22"/>
          <w:lang w:val="lt-LT"/>
        </w:rPr>
        <w:t xml:space="preserve">Voriconazole Richter </w:t>
      </w:r>
    </w:p>
    <w:p w:rsidR="00E5066C" w:rsidRPr="000E1775" w:rsidRDefault="00E5066C" w:rsidP="00E5066C">
      <w:pPr>
        <w:numPr>
          <w:ilvl w:val="12"/>
          <w:numId w:val="0"/>
        </w:numPr>
        <w:ind w:right="-2"/>
        <w:rPr>
          <w:rFonts w:ascii="Times New Roman" w:hAnsi="Times New Roman"/>
          <w:b/>
          <w:sz w:val="22"/>
          <w:szCs w:val="22"/>
          <w:lang w:val="lt-LT"/>
        </w:rPr>
      </w:pPr>
      <w:r w:rsidRPr="000E1775">
        <w:rPr>
          <w:rFonts w:ascii="Times New Roman" w:hAnsi="Times New Roman"/>
          <w:sz w:val="22"/>
          <w:szCs w:val="22"/>
          <w:lang w:val="lt-LT"/>
        </w:rPr>
        <w:t>Lietuva:</w:t>
      </w:r>
      <w:r w:rsidRPr="000E1775">
        <w:rPr>
          <w:rFonts w:ascii="Times New Roman" w:hAnsi="Times New Roman"/>
          <w:b/>
          <w:sz w:val="22"/>
          <w:szCs w:val="22"/>
          <w:lang w:val="lt-LT"/>
        </w:rPr>
        <w:t xml:space="preserve"> </w:t>
      </w:r>
      <w:r w:rsidRPr="000E1775">
        <w:rPr>
          <w:rFonts w:ascii="Times New Roman" w:hAnsi="Times New Roman"/>
          <w:sz w:val="22"/>
          <w:szCs w:val="22"/>
          <w:lang w:val="lt-LT"/>
        </w:rPr>
        <w:t xml:space="preserve">VORICONAZOLE RICHTER </w:t>
      </w:r>
    </w:p>
    <w:p w:rsidR="00E5066C" w:rsidRPr="000E1775" w:rsidRDefault="00E5066C" w:rsidP="00E5066C">
      <w:pPr>
        <w:numPr>
          <w:ilvl w:val="12"/>
          <w:numId w:val="0"/>
        </w:numPr>
        <w:ind w:right="-2"/>
        <w:rPr>
          <w:rFonts w:ascii="Times New Roman" w:hAnsi="Times New Roman"/>
          <w:b/>
          <w:sz w:val="22"/>
          <w:szCs w:val="22"/>
          <w:lang w:val="lt-LT"/>
        </w:rPr>
      </w:pPr>
      <w:r w:rsidRPr="000E1775">
        <w:rPr>
          <w:rFonts w:ascii="Times New Roman" w:hAnsi="Times New Roman"/>
          <w:sz w:val="22"/>
          <w:szCs w:val="22"/>
          <w:lang w:val="lt-LT"/>
        </w:rPr>
        <w:t xml:space="preserve">Latvija: Voriconazole Richter </w:t>
      </w:r>
    </w:p>
    <w:p w:rsidR="00E5066C" w:rsidRPr="000E1775" w:rsidRDefault="00E5066C" w:rsidP="00E5066C">
      <w:pPr>
        <w:numPr>
          <w:ilvl w:val="12"/>
          <w:numId w:val="0"/>
        </w:numPr>
        <w:ind w:right="-2"/>
        <w:rPr>
          <w:rFonts w:ascii="Times New Roman" w:hAnsi="Times New Roman"/>
          <w:sz w:val="22"/>
          <w:szCs w:val="22"/>
          <w:lang w:val="lt-LT"/>
        </w:rPr>
      </w:pPr>
      <w:r w:rsidRPr="000E1775">
        <w:rPr>
          <w:rFonts w:ascii="Times New Roman" w:hAnsi="Times New Roman"/>
          <w:sz w:val="22"/>
          <w:szCs w:val="22"/>
          <w:lang w:val="lt-LT"/>
        </w:rPr>
        <w:t>Lenkija:</w:t>
      </w:r>
      <w:r w:rsidRPr="000E1775">
        <w:rPr>
          <w:rFonts w:ascii="Times New Roman" w:hAnsi="Times New Roman"/>
          <w:b/>
          <w:sz w:val="22"/>
          <w:szCs w:val="22"/>
          <w:lang w:val="lt-LT"/>
        </w:rPr>
        <w:t xml:space="preserve"> </w:t>
      </w:r>
      <w:r w:rsidRPr="000E1775">
        <w:rPr>
          <w:rFonts w:ascii="Times New Roman" w:hAnsi="Times New Roman"/>
          <w:sz w:val="22"/>
          <w:szCs w:val="22"/>
          <w:lang w:val="lt-LT"/>
        </w:rPr>
        <w:t xml:space="preserve">Voriconazole Richter </w:t>
      </w:r>
    </w:p>
    <w:p w:rsidR="00E5066C" w:rsidRPr="000E1775" w:rsidRDefault="00E5066C" w:rsidP="00E5066C">
      <w:pPr>
        <w:numPr>
          <w:ilvl w:val="12"/>
          <w:numId w:val="0"/>
        </w:numPr>
        <w:ind w:right="-2"/>
        <w:rPr>
          <w:rFonts w:ascii="Times New Roman" w:hAnsi="Times New Roman"/>
          <w:b/>
          <w:sz w:val="22"/>
          <w:szCs w:val="22"/>
          <w:lang w:val="lt-LT"/>
        </w:rPr>
      </w:pPr>
      <w:r w:rsidRPr="000E1775">
        <w:rPr>
          <w:rFonts w:ascii="Times New Roman" w:hAnsi="Times New Roman"/>
          <w:sz w:val="22"/>
          <w:szCs w:val="22"/>
          <w:lang w:val="en-US"/>
        </w:rPr>
        <w:t xml:space="preserve">Rumunija: Voriconazol Richter </w:t>
      </w:r>
    </w:p>
    <w:p w:rsidR="00E5066C" w:rsidRPr="000E1775" w:rsidRDefault="00E5066C" w:rsidP="00E5066C">
      <w:pPr>
        <w:numPr>
          <w:ilvl w:val="12"/>
          <w:numId w:val="0"/>
        </w:numPr>
        <w:ind w:right="-2"/>
        <w:rPr>
          <w:rFonts w:ascii="Times New Roman" w:hAnsi="Times New Roman"/>
          <w:b/>
          <w:sz w:val="22"/>
          <w:szCs w:val="22"/>
          <w:lang w:val="lt-LT"/>
        </w:rPr>
      </w:pPr>
      <w:r w:rsidRPr="000E1775">
        <w:rPr>
          <w:rFonts w:ascii="Times New Roman" w:hAnsi="Times New Roman"/>
          <w:sz w:val="22"/>
          <w:szCs w:val="22"/>
          <w:lang w:val="lt-LT"/>
        </w:rPr>
        <w:t>Slovakija:</w:t>
      </w:r>
      <w:r w:rsidRPr="000E1775">
        <w:rPr>
          <w:rFonts w:ascii="Times New Roman" w:hAnsi="Times New Roman"/>
          <w:sz w:val="22"/>
          <w:szCs w:val="22"/>
          <w:lang w:val="en-US"/>
        </w:rPr>
        <w:t xml:space="preserve"> Voriconazole Richter </w:t>
      </w:r>
    </w:p>
    <w:p w:rsidR="00E5066C" w:rsidRPr="000E1775" w:rsidRDefault="00E5066C" w:rsidP="00E5066C">
      <w:pPr>
        <w:numPr>
          <w:ilvl w:val="12"/>
          <w:numId w:val="0"/>
        </w:numPr>
        <w:ind w:right="-2"/>
        <w:rPr>
          <w:rFonts w:ascii="Times New Roman" w:hAnsi="Times New Roman"/>
          <w:b/>
          <w:sz w:val="22"/>
          <w:szCs w:val="22"/>
          <w:lang w:val="lt-LT"/>
        </w:rPr>
      </w:pPr>
    </w:p>
    <w:p w:rsidR="00E5066C" w:rsidRPr="000E1775" w:rsidRDefault="00E5066C" w:rsidP="00E5066C">
      <w:pPr>
        <w:numPr>
          <w:ilvl w:val="12"/>
          <w:numId w:val="0"/>
        </w:numPr>
        <w:ind w:right="-2"/>
        <w:rPr>
          <w:rFonts w:ascii="Times New Roman" w:hAnsi="Times New Roman"/>
          <w:b/>
          <w:sz w:val="22"/>
          <w:szCs w:val="22"/>
          <w:lang w:val="lt-LT"/>
        </w:rPr>
      </w:pPr>
    </w:p>
    <w:p w:rsidR="00E5066C" w:rsidRPr="000E1775" w:rsidRDefault="00E5066C" w:rsidP="00E5066C">
      <w:pPr>
        <w:numPr>
          <w:ilvl w:val="12"/>
          <w:numId w:val="0"/>
        </w:numPr>
        <w:ind w:right="-2"/>
        <w:rPr>
          <w:rFonts w:ascii="Times New Roman" w:hAnsi="Times New Roman"/>
          <w:i/>
          <w:sz w:val="22"/>
          <w:szCs w:val="22"/>
          <w:lang w:val="lt-LT"/>
        </w:rPr>
      </w:pPr>
      <w:r w:rsidRPr="000E1775">
        <w:rPr>
          <w:rFonts w:ascii="Times New Roman" w:hAnsi="Times New Roman"/>
          <w:b/>
          <w:sz w:val="22"/>
          <w:szCs w:val="22"/>
          <w:lang w:val="lt-LT"/>
        </w:rPr>
        <w:t xml:space="preserve">Šis pakuotės lapelis paskutinį kartą peržiūrėtas </w:t>
      </w:r>
      <w:r w:rsidR="008D360A" w:rsidRPr="000E1775">
        <w:rPr>
          <w:rFonts w:ascii="Times New Roman" w:hAnsi="Times New Roman"/>
          <w:b/>
          <w:sz w:val="22"/>
          <w:szCs w:val="22"/>
          <w:lang w:val="lt-LT"/>
        </w:rPr>
        <w:t>2016-04-29.</w:t>
      </w:r>
    </w:p>
    <w:p w:rsidR="00E5066C" w:rsidRPr="000E1775" w:rsidRDefault="00E5066C" w:rsidP="00E5066C">
      <w:pPr>
        <w:numPr>
          <w:ilvl w:val="12"/>
          <w:numId w:val="0"/>
        </w:numPr>
        <w:ind w:right="-2"/>
        <w:rPr>
          <w:rFonts w:ascii="Times New Roman" w:hAnsi="Times New Roman"/>
          <w:i/>
          <w:sz w:val="22"/>
          <w:szCs w:val="22"/>
          <w:lang w:val="lt-LT"/>
        </w:rPr>
      </w:pPr>
    </w:p>
    <w:p w:rsidR="00E5066C" w:rsidRPr="000E1775" w:rsidRDefault="00E5066C" w:rsidP="00E5066C">
      <w:pPr>
        <w:numPr>
          <w:ilvl w:val="12"/>
          <w:numId w:val="0"/>
        </w:numPr>
        <w:ind w:right="-2"/>
        <w:rPr>
          <w:rFonts w:ascii="Times New Roman" w:hAnsi="Times New Roman"/>
          <w:sz w:val="22"/>
          <w:szCs w:val="22"/>
          <w:lang w:val="lt-LT"/>
        </w:rPr>
      </w:pPr>
      <w:r w:rsidRPr="000E1775">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0E1775">
        <w:rPr>
          <w:rFonts w:ascii="Times New Roman" w:hAnsi="Times New Roman"/>
          <w:i/>
          <w:sz w:val="22"/>
          <w:szCs w:val="22"/>
          <w:lang w:val="lt-LT"/>
        </w:rPr>
        <w:t xml:space="preserve"> </w:t>
      </w:r>
      <w:hyperlink r:id="rId9" w:history="1">
        <w:r w:rsidRPr="000E1775">
          <w:rPr>
            <w:rStyle w:val="Hipersaitas"/>
            <w:rFonts w:ascii="Times New Roman" w:eastAsia="SimSun" w:hAnsi="Times New Roman"/>
            <w:sz w:val="22"/>
            <w:szCs w:val="22"/>
            <w:lang w:val="lt-LT"/>
          </w:rPr>
          <w:t>http://www.vvkt.lt/</w:t>
        </w:r>
      </w:hyperlink>
      <w:r w:rsidRPr="000E1775">
        <w:rPr>
          <w:rFonts w:ascii="Times New Roman" w:hAnsi="Times New Roman"/>
          <w:sz w:val="22"/>
          <w:szCs w:val="22"/>
          <w:lang w:val="lt-LT"/>
        </w:rPr>
        <w:t>.</w:t>
      </w:r>
    </w:p>
    <w:p w:rsidR="00AA5BD6" w:rsidRPr="000E1775" w:rsidRDefault="00AA5BD6" w:rsidP="00AA5BD6">
      <w:pPr>
        <w:rPr>
          <w:rFonts w:ascii="Times New Roman" w:hAnsi="Times New Roman"/>
          <w:sz w:val="22"/>
          <w:szCs w:val="22"/>
          <w:lang w:val="lt-LT"/>
        </w:rPr>
      </w:pPr>
    </w:p>
    <w:p w:rsidR="00773B1A" w:rsidRPr="000E1775" w:rsidRDefault="00773B1A" w:rsidP="00773B1A">
      <w:pPr>
        <w:pStyle w:val="BTEMEASMCA"/>
      </w:pPr>
      <w:bookmarkStart w:id="1" w:name="_GoBack"/>
      <w:bookmarkEnd w:id="1"/>
      <w:permStart w:id="260471626" w:edGrp="everyone"/>
      <w:permEnd w:id="260471626"/>
    </w:p>
    <w:p w:rsidR="00773B1A" w:rsidRPr="000E1775" w:rsidRDefault="00773B1A" w:rsidP="00773B1A">
      <w:pPr>
        <w:pStyle w:val="BTEMEASMCA"/>
      </w:pPr>
    </w:p>
    <w:p w:rsidR="00773B1A" w:rsidRPr="000E1775" w:rsidRDefault="00773B1A" w:rsidP="00773B1A">
      <w:pPr>
        <w:pStyle w:val="BTEMEASMCA"/>
      </w:pPr>
    </w:p>
    <w:p w:rsidR="00773B1A" w:rsidRPr="000E1775" w:rsidRDefault="00773B1A" w:rsidP="00773B1A">
      <w:pPr>
        <w:pStyle w:val="BTEMEASMCA"/>
      </w:pPr>
    </w:p>
    <w:p w:rsidR="00773B1A" w:rsidRPr="000E1775" w:rsidRDefault="00773B1A" w:rsidP="00773B1A">
      <w:pPr>
        <w:pStyle w:val="BTEMEASMCA"/>
      </w:pPr>
    </w:p>
    <w:p w:rsidR="00773B1A" w:rsidRPr="000E1775" w:rsidRDefault="00773B1A" w:rsidP="00773B1A">
      <w:pPr>
        <w:pStyle w:val="BTEMEASMCA"/>
      </w:pPr>
    </w:p>
    <w:sectPr w:rsidR="00773B1A" w:rsidRPr="000E1775" w:rsidSect="000E177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imesNewRoman,BoldItalic">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00"/>
    <w:family w:val="roman"/>
    <w:notTrueType/>
    <w:pitch w:val="default"/>
    <w:sig w:usb0="00000001" w:usb1="08070000" w:usb2="00000010" w:usb3="00000000" w:csb0="0002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23961"/>
    <w:multiLevelType w:val="hybridMultilevel"/>
    <w:tmpl w:val="1EA88278"/>
    <w:lvl w:ilvl="0" w:tplc="E110BB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0526DC"/>
    <w:multiLevelType w:val="hybridMultilevel"/>
    <w:tmpl w:val="07BA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2C15D9"/>
    <w:multiLevelType w:val="hybridMultilevel"/>
    <w:tmpl w:val="D770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lvlOverride w:ilvl="0">
      <w:lvl w:ilvl="0">
        <w:start w:val="1"/>
        <w:numFmt w:val="bullet"/>
        <w:lvlText w:val="-"/>
        <w:legacy w:legacy="1" w:legacySpace="0" w:legacyIndent="360"/>
        <w:lvlJc w:val="left"/>
        <w:pPr>
          <w:ind w:left="360" w:hanging="360"/>
        </w:pPr>
      </w:lvl>
    </w:lvlOverride>
  </w:num>
  <w:num w:numId="3">
    <w:abstractNumId w:val="8"/>
  </w:num>
  <w:num w:numId="4">
    <w:abstractNumId w:val="10"/>
  </w:num>
  <w:num w:numId="5">
    <w:abstractNumId w:val="1"/>
  </w:num>
  <w:num w:numId="6">
    <w:abstractNumId w:val="6"/>
  </w:num>
  <w:num w:numId="7">
    <w:abstractNumId w:val="3"/>
  </w:num>
  <w:num w:numId="8">
    <w:abstractNumId w:val="9"/>
  </w:num>
  <w:num w:numId="9">
    <w:abstractNumId w:val="0"/>
    <w:lvlOverride w:ilvl="0">
      <w:lvl w:ilvl="0">
        <w:start w:val="1"/>
        <w:numFmt w:val="bullet"/>
        <w:lvlText w:val="-"/>
        <w:lvlJc w:val="left"/>
        <w:pPr>
          <w:ind w:left="360" w:hanging="360"/>
        </w:pPr>
      </w:lvl>
    </w:lvlOverride>
  </w:num>
  <w:num w:numId="10">
    <w:abstractNumId w:val="0"/>
    <w:lvlOverride w:ilvl="0">
      <w:lvl w:ilvl="0">
        <w:start w:val="1"/>
        <w:numFmt w:val="bullet"/>
        <w:lvlText w:val=""/>
        <w:lvlJc w:val="left"/>
        <w:pPr>
          <w:ind w:left="360" w:hanging="360"/>
        </w:pPr>
        <w:rPr>
          <w:rFonts w:ascii="Symbol" w:hAnsi="Symbol" w:hint="default"/>
        </w:rPr>
      </w:lvl>
    </w:lvlOverride>
  </w:num>
  <w:num w:numId="11">
    <w:abstractNumId w:val="0"/>
    <w:lvlOverride w:ilvl="0">
      <w:lvl w:ilvl="0">
        <w:start w:val="1"/>
        <w:numFmt w:val="bullet"/>
        <w:lvlText w:val="-"/>
        <w:lvlJc w:val="left"/>
        <w:pPr>
          <w:ind w:left="360" w:hanging="360"/>
        </w:pPr>
      </w:lvl>
    </w:lvlOverride>
  </w:num>
  <w:num w:numId="12">
    <w:abstractNumId w:val="2"/>
  </w:num>
  <w:num w:numId="13">
    <w:abstractNumId w:val="5"/>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nj65IDx6N0LxMgV4zyWtonzMu2exbCufUR3qrF4VbJiRIjt2DALFWKdX3aePcdGYPSqJLObGVkqy+qiN4lyPw==" w:salt="5VTImxa2p/hZQ12wh1AoE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7B"/>
    <w:rsid w:val="00006F9A"/>
    <w:rsid w:val="00026AED"/>
    <w:rsid w:val="00071D9A"/>
    <w:rsid w:val="00075844"/>
    <w:rsid w:val="0009380E"/>
    <w:rsid w:val="000A3859"/>
    <w:rsid w:val="000A77A3"/>
    <w:rsid w:val="000A7910"/>
    <w:rsid w:val="000B2B76"/>
    <w:rsid w:val="000B6C64"/>
    <w:rsid w:val="000C2993"/>
    <w:rsid w:val="000C2E79"/>
    <w:rsid w:val="000E1775"/>
    <w:rsid w:val="000E3777"/>
    <w:rsid w:val="001341C1"/>
    <w:rsid w:val="00147A68"/>
    <w:rsid w:val="00160890"/>
    <w:rsid w:val="00165FB0"/>
    <w:rsid w:val="001716D7"/>
    <w:rsid w:val="00182303"/>
    <w:rsid w:val="00197CB7"/>
    <w:rsid w:val="001F2AD7"/>
    <w:rsid w:val="001F5B4E"/>
    <w:rsid w:val="0020797B"/>
    <w:rsid w:val="002129B0"/>
    <w:rsid w:val="002249CD"/>
    <w:rsid w:val="00224F4D"/>
    <w:rsid w:val="00242AAD"/>
    <w:rsid w:val="00246FEC"/>
    <w:rsid w:val="00255BCC"/>
    <w:rsid w:val="00263D5B"/>
    <w:rsid w:val="00286B6A"/>
    <w:rsid w:val="0029251A"/>
    <w:rsid w:val="002A2D2D"/>
    <w:rsid w:val="002E3D3A"/>
    <w:rsid w:val="003349AB"/>
    <w:rsid w:val="00345D54"/>
    <w:rsid w:val="00356B44"/>
    <w:rsid w:val="0036174F"/>
    <w:rsid w:val="00372973"/>
    <w:rsid w:val="0038157E"/>
    <w:rsid w:val="00384752"/>
    <w:rsid w:val="00390613"/>
    <w:rsid w:val="00396DBF"/>
    <w:rsid w:val="003D36AC"/>
    <w:rsid w:val="0045237B"/>
    <w:rsid w:val="00464554"/>
    <w:rsid w:val="004C4D77"/>
    <w:rsid w:val="004D54BC"/>
    <w:rsid w:val="0053102F"/>
    <w:rsid w:val="00536EC7"/>
    <w:rsid w:val="00546E4F"/>
    <w:rsid w:val="00547714"/>
    <w:rsid w:val="005B1CC8"/>
    <w:rsid w:val="005B1E29"/>
    <w:rsid w:val="006122A8"/>
    <w:rsid w:val="00613FB9"/>
    <w:rsid w:val="00620992"/>
    <w:rsid w:val="006316EC"/>
    <w:rsid w:val="00641C1F"/>
    <w:rsid w:val="006643F7"/>
    <w:rsid w:val="00677F3F"/>
    <w:rsid w:val="006801FF"/>
    <w:rsid w:val="0068079B"/>
    <w:rsid w:val="00685380"/>
    <w:rsid w:val="0069489D"/>
    <w:rsid w:val="006B5B18"/>
    <w:rsid w:val="006C7626"/>
    <w:rsid w:val="00732A8A"/>
    <w:rsid w:val="00733285"/>
    <w:rsid w:val="00745FE0"/>
    <w:rsid w:val="00746A72"/>
    <w:rsid w:val="00762343"/>
    <w:rsid w:val="00766C37"/>
    <w:rsid w:val="00773B1A"/>
    <w:rsid w:val="007969A0"/>
    <w:rsid w:val="007B63D8"/>
    <w:rsid w:val="007B7F52"/>
    <w:rsid w:val="007C6D23"/>
    <w:rsid w:val="007D30EA"/>
    <w:rsid w:val="007D4C0C"/>
    <w:rsid w:val="007D726C"/>
    <w:rsid w:val="007F00DD"/>
    <w:rsid w:val="00805BEE"/>
    <w:rsid w:val="00816940"/>
    <w:rsid w:val="00844D0A"/>
    <w:rsid w:val="00862A8F"/>
    <w:rsid w:val="0086375C"/>
    <w:rsid w:val="00880FD9"/>
    <w:rsid w:val="008D1121"/>
    <w:rsid w:val="008D360A"/>
    <w:rsid w:val="008F0047"/>
    <w:rsid w:val="00915F82"/>
    <w:rsid w:val="00954806"/>
    <w:rsid w:val="00970CE9"/>
    <w:rsid w:val="009852BC"/>
    <w:rsid w:val="009C0196"/>
    <w:rsid w:val="009C73E7"/>
    <w:rsid w:val="009D4A61"/>
    <w:rsid w:val="009D4E33"/>
    <w:rsid w:val="009F03E9"/>
    <w:rsid w:val="009F3D64"/>
    <w:rsid w:val="00A155E3"/>
    <w:rsid w:val="00A20772"/>
    <w:rsid w:val="00A24601"/>
    <w:rsid w:val="00A251DF"/>
    <w:rsid w:val="00A3144B"/>
    <w:rsid w:val="00A35DC0"/>
    <w:rsid w:val="00A406A5"/>
    <w:rsid w:val="00A67559"/>
    <w:rsid w:val="00A90589"/>
    <w:rsid w:val="00A97385"/>
    <w:rsid w:val="00AA5BD6"/>
    <w:rsid w:val="00AE5EF3"/>
    <w:rsid w:val="00B049AD"/>
    <w:rsid w:val="00B05DD3"/>
    <w:rsid w:val="00B1371D"/>
    <w:rsid w:val="00B309A7"/>
    <w:rsid w:val="00B46E52"/>
    <w:rsid w:val="00B852F3"/>
    <w:rsid w:val="00B93F89"/>
    <w:rsid w:val="00BC31AD"/>
    <w:rsid w:val="00BC7C82"/>
    <w:rsid w:val="00BD0042"/>
    <w:rsid w:val="00BD3DF4"/>
    <w:rsid w:val="00BE7013"/>
    <w:rsid w:val="00C46007"/>
    <w:rsid w:val="00C70FB2"/>
    <w:rsid w:val="00CD6D1C"/>
    <w:rsid w:val="00D302E1"/>
    <w:rsid w:val="00D50787"/>
    <w:rsid w:val="00D71645"/>
    <w:rsid w:val="00DB47F2"/>
    <w:rsid w:val="00DD0370"/>
    <w:rsid w:val="00DD4534"/>
    <w:rsid w:val="00DD5176"/>
    <w:rsid w:val="00DF7C7B"/>
    <w:rsid w:val="00E01AF5"/>
    <w:rsid w:val="00E14279"/>
    <w:rsid w:val="00E23FE7"/>
    <w:rsid w:val="00E5066C"/>
    <w:rsid w:val="00E51BDC"/>
    <w:rsid w:val="00E51F7C"/>
    <w:rsid w:val="00E54458"/>
    <w:rsid w:val="00EF383A"/>
    <w:rsid w:val="00EF6094"/>
    <w:rsid w:val="00F049A1"/>
    <w:rsid w:val="00F27FB1"/>
    <w:rsid w:val="00F94E47"/>
    <w:rsid w:val="00FB1978"/>
    <w:rsid w:val="00FC240F"/>
    <w:rsid w:val="00FF2F7B"/>
    <w:rsid w:val="00FF3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808DCB-DB4C-4760-B4E1-8FA58886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47F2"/>
    <w:rPr>
      <w:rFonts w:ascii="Verdana" w:hAnsi="Verdana"/>
      <w:szCs w:val="24"/>
      <w:lang w:val="en-GB" w:eastAsia="en-US"/>
    </w:rPr>
  </w:style>
  <w:style w:type="paragraph" w:styleId="Antrat1">
    <w:name w:val="heading 1"/>
    <w:basedOn w:val="prastasis"/>
    <w:next w:val="prastasis"/>
    <w:link w:val="Antrat1Diagrama"/>
    <w:uiPriority w:val="99"/>
    <w:qFormat/>
    <w:rsid w:val="006B5B18"/>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uiPriority w:val="99"/>
    <w:qFormat/>
    <w:rsid w:val="006B5B18"/>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uiPriority w:val="99"/>
    <w:qFormat/>
    <w:rsid w:val="006B5B18"/>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773B1A"/>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uiPriority w:val="99"/>
    <w:qFormat/>
    <w:rsid w:val="0068079B"/>
    <w:pPr>
      <w:keepNext/>
      <w:jc w:val="both"/>
      <w:outlineLvl w:val="4"/>
    </w:pPr>
    <w:rPr>
      <w:rFonts w:ascii="Times New Roman" w:hAnsi="Times New Roman"/>
      <w:b/>
      <w:bCs/>
      <w:sz w:val="22"/>
      <w:lang w:val="lt-LT" w:eastAsia="x-none"/>
    </w:rPr>
  </w:style>
  <w:style w:type="paragraph" w:styleId="Antrat6">
    <w:name w:val="heading 6"/>
    <w:basedOn w:val="prastasis"/>
    <w:next w:val="prastasis"/>
    <w:link w:val="Antrat6Diagrama"/>
    <w:uiPriority w:val="99"/>
    <w:qFormat/>
    <w:rsid w:val="00773B1A"/>
    <w:pPr>
      <w:keepNext/>
      <w:jc w:val="both"/>
      <w:outlineLvl w:val="5"/>
    </w:pPr>
    <w:rPr>
      <w:rFonts w:ascii="Times New Roman" w:hAnsi="Times New Roman"/>
      <w:b/>
      <w:bCs/>
      <w:sz w:val="24"/>
      <w:szCs w:val="22"/>
      <w:lang w:eastAsia="x-none"/>
    </w:rPr>
  </w:style>
  <w:style w:type="paragraph" w:styleId="Antrat7">
    <w:name w:val="heading 7"/>
    <w:basedOn w:val="prastasis"/>
    <w:next w:val="prastasis"/>
    <w:link w:val="Antrat7Diagrama"/>
    <w:uiPriority w:val="99"/>
    <w:qFormat/>
    <w:rsid w:val="00773B1A"/>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uiPriority w:val="99"/>
    <w:qFormat/>
    <w:rsid w:val="0068079B"/>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uiPriority w:val="99"/>
    <w:qFormat/>
    <w:rsid w:val="0068079B"/>
    <w:pPr>
      <w:spacing w:before="240" w:after="60"/>
      <w:outlineLvl w:val="8"/>
    </w:pPr>
    <w:rPr>
      <w:rFonts w:ascii="Arial" w:hAnsi="Arial"/>
      <w:sz w:val="22"/>
      <w:szCs w:val="22"/>
      <w:lang w:eastAsia="x-none"/>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character" w:styleId="Hipersaitas">
    <w:name w:val="Hyperlink"/>
    <w:uiPriority w:val="99"/>
    <w:rsid w:val="006B5B18"/>
    <w:rPr>
      <w:color w:val="0000FF"/>
      <w:u w:val="single"/>
    </w:rPr>
  </w:style>
  <w:style w:type="paragraph" w:customStyle="1" w:styleId="PI-1EMEASMCA">
    <w:name w:val="PI-1 EMEA_SMCA"/>
    <w:basedOn w:val="Antrat2"/>
    <w:autoRedefine/>
    <w:rsid w:val="006B5B18"/>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6B5B18"/>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lt-LT"/>
    </w:rPr>
  </w:style>
  <w:style w:type="character" w:customStyle="1" w:styleId="PI-1labEMEASMCAChar">
    <w:name w:val="PI-1_lab EMEA_SMCA Char"/>
    <w:link w:val="PI-1labEMEASMCA"/>
    <w:rsid w:val="006B5B18"/>
    <w:rPr>
      <w:b/>
      <w:noProof/>
      <w:sz w:val="22"/>
      <w:szCs w:val="22"/>
      <w:lang w:val="lt-LT" w:eastAsia="en-US" w:bidi="ar-SA"/>
    </w:rPr>
  </w:style>
  <w:style w:type="paragraph" w:customStyle="1" w:styleId="PI-2EMEASMCA">
    <w:name w:val="PI-2 EMEA_SMCA"/>
    <w:basedOn w:val="Antrat3"/>
    <w:autoRedefine/>
    <w:rsid w:val="006B5B18"/>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EMEASMCA">
    <w:name w:val="BT EMEA_SMCA"/>
    <w:basedOn w:val="prastasis"/>
    <w:link w:val="BTEMEASMCAChar"/>
    <w:autoRedefine/>
    <w:rsid w:val="006B5B18"/>
    <w:rPr>
      <w:rFonts w:ascii="Times New Roman" w:hAnsi="Times New Roman"/>
      <w:sz w:val="22"/>
      <w:szCs w:val="22"/>
      <w:lang w:val="lt-LT"/>
    </w:rPr>
  </w:style>
  <w:style w:type="character" w:customStyle="1" w:styleId="BTEMEASMCAChar">
    <w:name w:val="BT EMEA_SMCA Char"/>
    <w:link w:val="BTEMEASMCA"/>
    <w:rsid w:val="006B5B18"/>
    <w:rPr>
      <w:sz w:val="22"/>
      <w:szCs w:val="22"/>
      <w:lang w:val="lt-LT" w:eastAsia="en-US" w:bidi="ar-SA"/>
    </w:rPr>
  </w:style>
  <w:style w:type="paragraph" w:customStyle="1" w:styleId="TTEMEASMCA">
    <w:name w:val="TT EMEA_SMCA"/>
    <w:basedOn w:val="Antrat1"/>
    <w:link w:val="TTEMEASMCAChar"/>
    <w:autoRedefine/>
    <w:rsid w:val="006B5B18"/>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6B5B18"/>
    <w:rPr>
      <w:b/>
      <w:caps/>
      <w:sz w:val="22"/>
      <w:szCs w:val="22"/>
      <w:lang w:val="en-US" w:eastAsia="en-US" w:bidi="ar-SA"/>
    </w:rPr>
  </w:style>
  <w:style w:type="paragraph" w:customStyle="1" w:styleId="BTAnIIEMEASMCA">
    <w:name w:val="BT(AnII) EMEA_SMCA"/>
    <w:basedOn w:val="Debesliotekstas"/>
    <w:autoRedefine/>
    <w:rsid w:val="006B5B18"/>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rsid w:val="006B5B18"/>
    <w:rPr>
      <w:rFonts w:ascii="Tahoma" w:hAnsi="Tahoma" w:cs="Tahoma"/>
      <w:sz w:val="16"/>
      <w:szCs w:val="16"/>
    </w:rPr>
  </w:style>
  <w:style w:type="paragraph" w:customStyle="1" w:styleId="BT-EMEASMCA">
    <w:name w:val="BT- EMEA_SMCA"/>
    <w:basedOn w:val="BTEMEASMCA"/>
    <w:autoRedefine/>
    <w:rsid w:val="006B5B18"/>
    <w:pPr>
      <w:numPr>
        <w:numId w:val="1"/>
      </w:numPr>
      <w:tabs>
        <w:tab w:val="clear" w:pos="720"/>
        <w:tab w:val="num" w:pos="360"/>
      </w:tabs>
      <w:ind w:left="0" w:firstLine="0"/>
    </w:pPr>
  </w:style>
  <w:style w:type="paragraph" w:customStyle="1" w:styleId="PI-3EMEASMCA">
    <w:name w:val="PI-3 EMEA_SMCA"/>
    <w:basedOn w:val="prastasis"/>
    <w:autoRedefine/>
    <w:rsid w:val="006B5B18"/>
    <w:pPr>
      <w:spacing w:line="220" w:lineRule="exact"/>
    </w:pPr>
    <w:rPr>
      <w:b/>
      <w:bCs/>
      <w:sz w:val="22"/>
      <w:szCs w:val="22"/>
    </w:rPr>
  </w:style>
  <w:style w:type="paragraph" w:customStyle="1" w:styleId="BTbEMEASMCA">
    <w:name w:val="BT(b) EMEA_SMCA"/>
    <w:basedOn w:val="BTEMEASMCA"/>
    <w:autoRedefine/>
    <w:rsid w:val="006B5B18"/>
    <w:rPr>
      <w:b/>
    </w:rPr>
  </w:style>
  <w:style w:type="paragraph" w:customStyle="1" w:styleId="BTbeEMEASMCA">
    <w:name w:val="BT(be) EMEA_SMCA"/>
    <w:basedOn w:val="BTEMEASMCA"/>
    <w:autoRedefine/>
    <w:rsid w:val="006B5B18"/>
    <w:pPr>
      <w:jc w:val="center"/>
    </w:pPr>
    <w:rPr>
      <w:b/>
    </w:rPr>
  </w:style>
  <w:style w:type="paragraph" w:customStyle="1" w:styleId="BTeEMEASMCA">
    <w:name w:val="BT(e) EMEA_SMCA"/>
    <w:basedOn w:val="BTEMEASMCA"/>
    <w:autoRedefine/>
    <w:rsid w:val="006B5B18"/>
    <w:pPr>
      <w:jc w:val="center"/>
    </w:pPr>
  </w:style>
  <w:style w:type="paragraph" w:customStyle="1" w:styleId="BTgEMEASMCA">
    <w:name w:val="BT(g) EMEA_SMCA"/>
    <w:basedOn w:val="BTEMEASMCA"/>
    <w:link w:val="BTgEMEASMCAChar"/>
    <w:autoRedefine/>
    <w:rsid w:val="006B5B18"/>
    <w:rPr>
      <w:i/>
      <w:color w:val="008000"/>
    </w:rPr>
  </w:style>
  <w:style w:type="character" w:customStyle="1" w:styleId="BTgEMEASMCAChar">
    <w:name w:val="BT(g) EMEA_SMCA Char"/>
    <w:link w:val="BTgEMEASMCA"/>
    <w:rsid w:val="006B5B18"/>
    <w:rPr>
      <w:i/>
      <w:color w:val="008000"/>
      <w:sz w:val="22"/>
      <w:szCs w:val="22"/>
      <w:lang w:val="lt-LT" w:eastAsia="en-US" w:bidi="ar-SA"/>
    </w:rPr>
  </w:style>
  <w:style w:type="paragraph" w:customStyle="1" w:styleId="BTuEMEASMCA">
    <w:name w:val="BT(u) EMEA_SMCA"/>
    <w:basedOn w:val="BTEMEASMCA"/>
    <w:autoRedefine/>
    <w:rsid w:val="006B5B18"/>
    <w:rPr>
      <w:u w:val="single"/>
    </w:rPr>
  </w:style>
  <w:style w:type="paragraph" w:styleId="Pagrindinistekstas">
    <w:name w:val="Body Text"/>
    <w:aliases w:val="Body Text Char Char Char,Body Text Char"/>
    <w:basedOn w:val="prastasis"/>
    <w:link w:val="PagrindinistekstasDiagrama"/>
    <w:rsid w:val="006B5B18"/>
    <w:pPr>
      <w:jc w:val="both"/>
    </w:pPr>
    <w:rPr>
      <w:color w:val="FF0000"/>
      <w:sz w:val="22"/>
    </w:rPr>
  </w:style>
  <w:style w:type="paragraph" w:styleId="Paprastasistekstas">
    <w:name w:val="Plain Text"/>
    <w:basedOn w:val="prastasis"/>
    <w:link w:val="PaprastasistekstasDiagrama"/>
    <w:uiPriority w:val="99"/>
    <w:rsid w:val="006B5B18"/>
    <w:rPr>
      <w:rFonts w:ascii="Courier New" w:hAnsi="Courier New"/>
      <w:szCs w:val="20"/>
      <w:lang w:val="de-DE" w:eastAsia="de-DE"/>
    </w:rPr>
  </w:style>
  <w:style w:type="paragraph" w:styleId="Vokoatgalinisadresas">
    <w:name w:val="envelope return"/>
    <w:basedOn w:val="prastasis"/>
    <w:rsid w:val="006B5B18"/>
    <w:rPr>
      <w:rFonts w:ascii="Arial" w:hAnsi="Arial"/>
      <w:b/>
      <w:sz w:val="28"/>
    </w:rPr>
  </w:style>
  <w:style w:type="paragraph" w:styleId="Adresasantvoko">
    <w:name w:val="envelope address"/>
    <w:basedOn w:val="prastasis"/>
    <w:rsid w:val="006B5B18"/>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6B5B18"/>
    <w:pPr>
      <w:tabs>
        <w:tab w:val="center" w:pos="4819"/>
        <w:tab w:val="right" w:pos="9638"/>
      </w:tabs>
    </w:pPr>
    <w:rPr>
      <w:lang w:eastAsia="x-none"/>
    </w:rPr>
  </w:style>
  <w:style w:type="character" w:styleId="Puslapionumeris">
    <w:name w:val="page number"/>
    <w:basedOn w:val="Numatytasispastraiposriftas"/>
    <w:uiPriority w:val="99"/>
    <w:rsid w:val="006B5B18"/>
  </w:style>
  <w:style w:type="paragraph" w:styleId="Antrats">
    <w:name w:val="header"/>
    <w:basedOn w:val="prastasis"/>
    <w:link w:val="AntratsDiagrama"/>
    <w:rsid w:val="006B5B18"/>
    <w:pPr>
      <w:tabs>
        <w:tab w:val="center" w:pos="4819"/>
        <w:tab w:val="right" w:pos="9638"/>
      </w:tabs>
    </w:pPr>
  </w:style>
  <w:style w:type="paragraph" w:styleId="Pavadinimas">
    <w:name w:val="Title"/>
    <w:basedOn w:val="prastasis"/>
    <w:link w:val="PavadinimasDiagrama"/>
    <w:uiPriority w:val="99"/>
    <w:qFormat/>
    <w:rsid w:val="006B5B18"/>
    <w:pPr>
      <w:jc w:val="center"/>
    </w:pPr>
    <w:rPr>
      <w:sz w:val="28"/>
      <w:szCs w:val="20"/>
    </w:rPr>
  </w:style>
  <w:style w:type="paragraph" w:customStyle="1" w:styleId="SPCNormal">
    <w:name w:val="SPC Normal"/>
    <w:basedOn w:val="prastasis"/>
    <w:rsid w:val="00773B1A"/>
    <w:pPr>
      <w:tabs>
        <w:tab w:val="left" w:pos="562"/>
      </w:tabs>
    </w:pPr>
    <w:rPr>
      <w:rFonts w:ascii="Times New Roman" w:hAnsi="Times New Roman"/>
      <w:sz w:val="22"/>
      <w:szCs w:val="20"/>
    </w:rPr>
  </w:style>
  <w:style w:type="paragraph" w:customStyle="1" w:styleId="SPC1">
    <w:name w:val="SPC1"/>
    <w:basedOn w:val="SPCNormal"/>
    <w:next w:val="SPCNormal"/>
    <w:rsid w:val="00773B1A"/>
    <w:pPr>
      <w:keepNext/>
      <w:tabs>
        <w:tab w:val="clear" w:pos="562"/>
      </w:tabs>
      <w:spacing w:before="480"/>
      <w:ind w:left="562" w:hanging="562"/>
    </w:pPr>
    <w:rPr>
      <w:b/>
      <w:caps/>
    </w:rPr>
  </w:style>
  <w:style w:type="paragraph" w:customStyle="1" w:styleId="SPC2">
    <w:name w:val="SPC2"/>
    <w:basedOn w:val="SPCNormal"/>
    <w:next w:val="SPCNormal"/>
    <w:rsid w:val="00773B1A"/>
    <w:pPr>
      <w:keepNext/>
      <w:tabs>
        <w:tab w:val="clear" w:pos="562"/>
      </w:tabs>
      <w:ind w:left="562" w:hanging="562"/>
    </w:pPr>
    <w:rPr>
      <w:b/>
    </w:rPr>
  </w:style>
  <w:style w:type="paragraph" w:styleId="Pagrindinistekstas3">
    <w:name w:val="Body Text 3"/>
    <w:basedOn w:val="prastasis"/>
    <w:link w:val="Pagrindinistekstas3Diagrama"/>
    <w:uiPriority w:val="99"/>
    <w:rsid w:val="00773B1A"/>
    <w:pPr>
      <w:tabs>
        <w:tab w:val="left" w:pos="720"/>
      </w:tabs>
    </w:pPr>
    <w:rPr>
      <w:rFonts w:ascii="Times New Roman" w:hAnsi="Times New Roman"/>
      <w:b/>
      <w:bCs/>
      <w:i/>
      <w:iCs/>
      <w:sz w:val="24"/>
      <w:lang w:eastAsia="x-none"/>
    </w:rPr>
  </w:style>
  <w:style w:type="character" w:styleId="Grietas">
    <w:name w:val="Strong"/>
    <w:uiPriority w:val="99"/>
    <w:qFormat/>
    <w:rsid w:val="00773B1A"/>
    <w:rPr>
      <w:b/>
      <w:bCs/>
    </w:rPr>
  </w:style>
  <w:style w:type="paragraph" w:customStyle="1" w:styleId="EMEAEnBodyText">
    <w:name w:val="EMEA En Body Text"/>
    <w:basedOn w:val="prastasis"/>
    <w:uiPriority w:val="99"/>
    <w:rsid w:val="00773B1A"/>
    <w:pPr>
      <w:spacing w:before="120" w:after="120"/>
      <w:jc w:val="both"/>
    </w:pPr>
    <w:rPr>
      <w:rFonts w:ascii="Times New Roman" w:hAnsi="Times New Roman"/>
      <w:sz w:val="22"/>
      <w:szCs w:val="20"/>
      <w:lang w:val="en-US"/>
    </w:rPr>
  </w:style>
  <w:style w:type="paragraph" w:styleId="Tekstoblokas">
    <w:name w:val="Block Text"/>
    <w:basedOn w:val="prastasis"/>
    <w:rsid w:val="00773B1A"/>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uiPriority w:val="99"/>
    <w:rsid w:val="00B05DD3"/>
    <w:pPr>
      <w:spacing w:after="120" w:line="480" w:lineRule="auto"/>
    </w:pPr>
  </w:style>
  <w:style w:type="character" w:customStyle="1" w:styleId="DebesliotekstasDiagrama">
    <w:name w:val="Debesėlio tekstas Diagrama"/>
    <w:link w:val="Debesliotekstas"/>
    <w:uiPriority w:val="99"/>
    <w:rsid w:val="0068079B"/>
    <w:rPr>
      <w:rFonts w:ascii="Tahoma" w:hAnsi="Tahoma" w:cs="Tahoma"/>
      <w:sz w:val="16"/>
      <w:szCs w:val="16"/>
      <w:lang w:val="en-GB" w:eastAsia="en-US" w:bidi="ar-SA"/>
    </w:rPr>
  </w:style>
  <w:style w:type="character" w:styleId="Komentaronuoroda">
    <w:name w:val="annotation reference"/>
    <w:uiPriority w:val="99"/>
    <w:rsid w:val="0068079B"/>
    <w:rPr>
      <w:sz w:val="16"/>
      <w:szCs w:val="16"/>
    </w:rPr>
  </w:style>
  <w:style w:type="paragraph" w:styleId="Komentarotekstas">
    <w:name w:val="annotation text"/>
    <w:basedOn w:val="prastasis"/>
    <w:link w:val="KomentarotekstasDiagrama"/>
    <w:uiPriority w:val="99"/>
    <w:rsid w:val="0068079B"/>
    <w:rPr>
      <w:rFonts w:ascii="Times New Roman" w:hAnsi="Times New Roman"/>
      <w:szCs w:val="20"/>
      <w:lang w:val="lt-LT"/>
    </w:rPr>
  </w:style>
  <w:style w:type="character" w:customStyle="1" w:styleId="KomentarotekstasDiagrama">
    <w:name w:val="Komentaro tekstas Diagrama"/>
    <w:link w:val="Komentarotekstas"/>
    <w:uiPriority w:val="99"/>
    <w:rsid w:val="0068079B"/>
    <w:rPr>
      <w:lang w:val="lt-LT" w:eastAsia="en-US" w:bidi="ar-SA"/>
    </w:rPr>
  </w:style>
  <w:style w:type="paragraph" w:styleId="Komentarotema">
    <w:name w:val="annotation subject"/>
    <w:basedOn w:val="Komentarotekstas"/>
    <w:next w:val="Komentarotekstas"/>
    <w:link w:val="KomentarotemaDiagrama"/>
    <w:uiPriority w:val="99"/>
    <w:rsid w:val="0068079B"/>
    <w:rPr>
      <w:b/>
      <w:bCs/>
    </w:rPr>
  </w:style>
  <w:style w:type="character" w:customStyle="1" w:styleId="KomentarotemaDiagrama">
    <w:name w:val="Komentaro tema Diagrama"/>
    <w:link w:val="Komentarotema"/>
    <w:uiPriority w:val="99"/>
    <w:rsid w:val="0068079B"/>
    <w:rPr>
      <w:b/>
      <w:bCs/>
      <w:lang w:val="lt-LT" w:eastAsia="en-US" w:bidi="ar-SA"/>
    </w:rPr>
  </w:style>
  <w:style w:type="character" w:customStyle="1" w:styleId="PavadinimasDiagrama">
    <w:name w:val="Pavadinimas Diagrama"/>
    <w:link w:val="Pavadinimas"/>
    <w:uiPriority w:val="99"/>
    <w:locked/>
    <w:rsid w:val="0029251A"/>
    <w:rPr>
      <w:rFonts w:ascii="Verdana" w:hAnsi="Verdana"/>
      <w:sz w:val="28"/>
      <w:lang w:val="en-GB" w:eastAsia="en-US" w:bidi="ar-SA"/>
    </w:rPr>
  </w:style>
  <w:style w:type="paragraph" w:customStyle="1" w:styleId="NoNumHead3">
    <w:name w:val="NoNum:Head3"/>
    <w:basedOn w:val="prastasis"/>
    <w:next w:val="prastasis"/>
    <w:link w:val="NoNumHead3Char"/>
    <w:rsid w:val="00BD3DF4"/>
    <w:pPr>
      <w:keepNext/>
      <w:spacing w:before="120" w:after="240"/>
      <w:outlineLvl w:val="0"/>
    </w:pPr>
    <w:rPr>
      <w:rFonts w:ascii="Arial" w:hAnsi="Arial" w:cs="Arial"/>
      <w:b/>
      <w:bCs/>
      <w:sz w:val="24"/>
    </w:rPr>
  </w:style>
  <w:style w:type="character" w:customStyle="1" w:styleId="NoNumHead3Char">
    <w:name w:val="NoNum:Head3 Char"/>
    <w:link w:val="NoNumHead3"/>
    <w:locked/>
    <w:rsid w:val="00BD3DF4"/>
    <w:rPr>
      <w:rFonts w:ascii="Arial" w:hAnsi="Arial" w:cs="Arial"/>
      <w:b/>
      <w:bCs/>
      <w:sz w:val="24"/>
      <w:szCs w:val="24"/>
      <w:lang w:val="en-GB" w:eastAsia="en-US" w:bidi="ar-SA"/>
    </w:rPr>
  </w:style>
  <w:style w:type="character" w:customStyle="1" w:styleId="PagrindinistekstasDiagrama">
    <w:name w:val="Pagrindinis tekstas Diagrama"/>
    <w:aliases w:val="Body Text Char Char Char Diagrama,Body Text Char Diagrama"/>
    <w:link w:val="Pagrindinistekstas"/>
    <w:locked/>
    <w:rsid w:val="006801FF"/>
    <w:rPr>
      <w:rFonts w:ascii="Verdana" w:hAnsi="Verdana"/>
      <w:color w:val="FF0000"/>
      <w:sz w:val="22"/>
      <w:szCs w:val="24"/>
      <w:lang w:val="en-GB" w:eastAsia="en-US" w:bidi="ar-SA"/>
    </w:rPr>
  </w:style>
  <w:style w:type="character" w:customStyle="1" w:styleId="AntratsDiagrama">
    <w:name w:val="Antraštės Diagrama"/>
    <w:link w:val="Antrats"/>
    <w:locked/>
    <w:rsid w:val="006801FF"/>
    <w:rPr>
      <w:rFonts w:ascii="Verdana" w:hAnsi="Verdana"/>
      <w:szCs w:val="24"/>
      <w:lang w:val="en-GB" w:eastAsia="en-US" w:bidi="ar-SA"/>
    </w:rPr>
  </w:style>
  <w:style w:type="character" w:customStyle="1" w:styleId="Pagrindinistekstas2Diagrama">
    <w:name w:val="Pagrindinis tekstas 2 Diagrama"/>
    <w:link w:val="Pagrindinistekstas2"/>
    <w:uiPriority w:val="99"/>
    <w:locked/>
    <w:rsid w:val="006801FF"/>
    <w:rPr>
      <w:rFonts w:ascii="Verdana" w:hAnsi="Verdana"/>
      <w:szCs w:val="24"/>
      <w:lang w:val="en-GB" w:eastAsia="en-US" w:bidi="ar-SA"/>
    </w:rPr>
  </w:style>
  <w:style w:type="table" w:styleId="Lentelstinklelis">
    <w:name w:val="Table Grid"/>
    <w:basedOn w:val="prastojilentel"/>
    <w:uiPriority w:val="59"/>
    <w:rsid w:val="00DB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9"/>
    <w:rsid w:val="00E5066C"/>
    <w:rPr>
      <w:rFonts w:ascii="Arial" w:hAnsi="Arial" w:cs="Arial"/>
      <w:b/>
      <w:bCs/>
      <w:kern w:val="32"/>
      <w:sz w:val="32"/>
      <w:szCs w:val="32"/>
      <w:lang w:val="en-GB"/>
    </w:rPr>
  </w:style>
  <w:style w:type="character" w:customStyle="1" w:styleId="Antrat2Diagrama">
    <w:name w:val="Antraštė 2 Diagrama"/>
    <w:link w:val="Antrat2"/>
    <w:uiPriority w:val="99"/>
    <w:rsid w:val="00E5066C"/>
    <w:rPr>
      <w:rFonts w:ascii="Arial" w:hAnsi="Arial" w:cs="Arial"/>
      <w:b/>
      <w:bCs/>
      <w:i/>
      <w:iCs/>
      <w:sz w:val="28"/>
      <w:szCs w:val="28"/>
      <w:lang w:val="en-GB"/>
    </w:rPr>
  </w:style>
  <w:style w:type="character" w:customStyle="1" w:styleId="Antrat3Diagrama">
    <w:name w:val="Antraštė 3 Diagrama"/>
    <w:link w:val="Antrat3"/>
    <w:uiPriority w:val="99"/>
    <w:rsid w:val="00E5066C"/>
    <w:rPr>
      <w:rFonts w:ascii="Arial" w:hAnsi="Arial" w:cs="Arial"/>
      <w:b/>
      <w:bCs/>
      <w:sz w:val="26"/>
      <w:szCs w:val="26"/>
      <w:lang w:val="en-GB"/>
    </w:rPr>
  </w:style>
  <w:style w:type="character" w:customStyle="1" w:styleId="Antrat4Diagrama">
    <w:name w:val="Antraštė 4 Diagrama"/>
    <w:link w:val="Antrat4"/>
    <w:uiPriority w:val="99"/>
    <w:rsid w:val="00E5066C"/>
    <w:rPr>
      <w:b/>
      <w:bCs/>
      <w:sz w:val="28"/>
      <w:szCs w:val="28"/>
      <w:lang w:val="en-GB"/>
    </w:rPr>
  </w:style>
  <w:style w:type="character" w:customStyle="1" w:styleId="Antrat5Diagrama">
    <w:name w:val="Antraštė 5 Diagrama"/>
    <w:link w:val="Antrat5"/>
    <w:uiPriority w:val="99"/>
    <w:rsid w:val="00E5066C"/>
    <w:rPr>
      <w:b/>
      <w:bCs/>
      <w:sz w:val="22"/>
      <w:szCs w:val="24"/>
      <w:lang w:val="lt-LT"/>
    </w:rPr>
  </w:style>
  <w:style w:type="character" w:customStyle="1" w:styleId="Antrat6Diagrama">
    <w:name w:val="Antraštė 6 Diagrama"/>
    <w:link w:val="Antrat6"/>
    <w:uiPriority w:val="99"/>
    <w:rsid w:val="00E5066C"/>
    <w:rPr>
      <w:b/>
      <w:bCs/>
      <w:sz w:val="24"/>
      <w:szCs w:val="22"/>
      <w:lang w:val="en-GB"/>
    </w:rPr>
  </w:style>
  <w:style w:type="character" w:customStyle="1" w:styleId="Antrat7Diagrama">
    <w:name w:val="Antraštė 7 Diagrama"/>
    <w:link w:val="Antrat7"/>
    <w:uiPriority w:val="99"/>
    <w:rsid w:val="00E5066C"/>
    <w:rPr>
      <w:sz w:val="24"/>
      <w:szCs w:val="24"/>
      <w:lang w:val="en-GB"/>
    </w:rPr>
  </w:style>
  <w:style w:type="character" w:customStyle="1" w:styleId="Antrat8Diagrama">
    <w:name w:val="Antraštė 8 Diagrama"/>
    <w:link w:val="Antrat8"/>
    <w:uiPriority w:val="99"/>
    <w:rsid w:val="00E5066C"/>
    <w:rPr>
      <w:i/>
      <w:iCs/>
      <w:sz w:val="24"/>
      <w:szCs w:val="24"/>
      <w:lang w:val="en-GB"/>
    </w:rPr>
  </w:style>
  <w:style w:type="character" w:customStyle="1" w:styleId="Antrat9Diagrama">
    <w:name w:val="Antraštė 9 Diagrama"/>
    <w:link w:val="Antrat9"/>
    <w:uiPriority w:val="99"/>
    <w:rsid w:val="00E5066C"/>
    <w:rPr>
      <w:rFonts w:ascii="Arial" w:hAnsi="Arial" w:cs="Arial"/>
      <w:sz w:val="22"/>
      <w:szCs w:val="22"/>
      <w:lang w:val="en-GB"/>
    </w:rPr>
  </w:style>
  <w:style w:type="character" w:customStyle="1" w:styleId="PoratDiagrama">
    <w:name w:val="Poraštė Diagrama"/>
    <w:link w:val="Porat"/>
    <w:uiPriority w:val="99"/>
    <w:rsid w:val="00E5066C"/>
    <w:rPr>
      <w:rFonts w:ascii="Verdana" w:hAnsi="Verdana"/>
      <w:szCs w:val="24"/>
      <w:lang w:val="en-GB"/>
    </w:rPr>
  </w:style>
  <w:style w:type="paragraph" w:customStyle="1" w:styleId="BodytextAgency">
    <w:name w:val="Body text (Agency)"/>
    <w:basedOn w:val="prastasis"/>
    <w:link w:val="BodytextAgencyChar"/>
    <w:uiPriority w:val="99"/>
    <w:rsid w:val="00E5066C"/>
    <w:pPr>
      <w:spacing w:after="140" w:line="280" w:lineRule="atLeast"/>
    </w:pPr>
    <w:rPr>
      <w:snapToGrid w:val="0"/>
      <w:sz w:val="18"/>
      <w:szCs w:val="20"/>
      <w:lang w:eastAsia="x-none"/>
    </w:rPr>
  </w:style>
  <w:style w:type="paragraph" w:customStyle="1" w:styleId="NormalAgency">
    <w:name w:val="Normal (Agency)"/>
    <w:link w:val="NormalAgencyChar"/>
    <w:uiPriority w:val="99"/>
    <w:rsid w:val="00E5066C"/>
    <w:rPr>
      <w:rFonts w:ascii="Verdana" w:hAnsi="Verdana"/>
      <w:snapToGrid w:val="0"/>
      <w:sz w:val="18"/>
      <w:szCs w:val="22"/>
      <w:lang w:val="en-GB"/>
    </w:rPr>
  </w:style>
  <w:style w:type="paragraph" w:customStyle="1" w:styleId="TabletextrowsAgency">
    <w:name w:val="Table text rows (Agency)"/>
    <w:basedOn w:val="prastasis"/>
    <w:uiPriority w:val="99"/>
    <w:rsid w:val="00E5066C"/>
    <w:pPr>
      <w:spacing w:line="280" w:lineRule="exact"/>
    </w:pPr>
    <w:rPr>
      <w:snapToGrid w:val="0"/>
      <w:sz w:val="18"/>
      <w:szCs w:val="20"/>
    </w:rPr>
  </w:style>
  <w:style w:type="character" w:customStyle="1" w:styleId="tw4winError">
    <w:name w:val="tw4winError"/>
    <w:uiPriority w:val="99"/>
    <w:rsid w:val="00E5066C"/>
    <w:rPr>
      <w:rFonts w:ascii="Courier New" w:hAnsi="Courier New"/>
      <w:color w:val="00FF00"/>
      <w:sz w:val="40"/>
    </w:rPr>
  </w:style>
  <w:style w:type="character" w:customStyle="1" w:styleId="tw4winTerm">
    <w:name w:val="tw4winTerm"/>
    <w:uiPriority w:val="99"/>
    <w:rsid w:val="00E5066C"/>
    <w:rPr>
      <w:color w:val="0000FF"/>
    </w:rPr>
  </w:style>
  <w:style w:type="character" w:customStyle="1" w:styleId="tw4winPopup">
    <w:name w:val="tw4winPopup"/>
    <w:uiPriority w:val="99"/>
    <w:rsid w:val="00E5066C"/>
    <w:rPr>
      <w:rFonts w:ascii="Courier New" w:hAnsi="Courier New"/>
      <w:noProof/>
      <w:color w:val="008000"/>
    </w:rPr>
  </w:style>
  <w:style w:type="character" w:customStyle="1" w:styleId="tw4winJump">
    <w:name w:val="tw4winJump"/>
    <w:uiPriority w:val="99"/>
    <w:rsid w:val="00E5066C"/>
    <w:rPr>
      <w:rFonts w:ascii="Courier New" w:hAnsi="Courier New"/>
      <w:noProof/>
      <w:color w:val="008080"/>
    </w:rPr>
  </w:style>
  <w:style w:type="character" w:customStyle="1" w:styleId="tw4winExternal">
    <w:name w:val="tw4winExternal"/>
    <w:uiPriority w:val="99"/>
    <w:rsid w:val="00E5066C"/>
    <w:rPr>
      <w:rFonts w:ascii="Courier New" w:hAnsi="Courier New"/>
      <w:noProof/>
      <w:color w:val="808080"/>
    </w:rPr>
  </w:style>
  <w:style w:type="character" w:customStyle="1" w:styleId="tw4winInternal">
    <w:name w:val="tw4winInternal"/>
    <w:uiPriority w:val="99"/>
    <w:rsid w:val="00E5066C"/>
    <w:rPr>
      <w:rFonts w:ascii="Courier New" w:hAnsi="Courier New"/>
      <w:noProof/>
      <w:color w:val="FF0000"/>
    </w:rPr>
  </w:style>
  <w:style w:type="character" w:customStyle="1" w:styleId="DONOTTRANSLATE">
    <w:name w:val="DO_NOT_TRANSLATE"/>
    <w:uiPriority w:val="99"/>
    <w:rsid w:val="00E5066C"/>
    <w:rPr>
      <w:rFonts w:ascii="Courier New" w:hAnsi="Courier New"/>
      <w:noProof/>
      <w:color w:val="800000"/>
    </w:rPr>
  </w:style>
  <w:style w:type="paragraph" w:styleId="Pataisymai">
    <w:name w:val="Revision"/>
    <w:hidden/>
    <w:uiPriority w:val="99"/>
    <w:semiHidden/>
    <w:rsid w:val="00E5066C"/>
    <w:rPr>
      <w:snapToGrid w:val="0"/>
      <w:sz w:val="22"/>
      <w:lang w:val="en-GB" w:eastAsia="en-US"/>
    </w:rPr>
  </w:style>
  <w:style w:type="character" w:customStyle="1" w:styleId="tw4winMark">
    <w:name w:val="tw4winMark"/>
    <w:uiPriority w:val="99"/>
    <w:rsid w:val="00E5066C"/>
    <w:rPr>
      <w:rFonts w:ascii="Courier New" w:hAnsi="Courier New"/>
      <w:vanish/>
      <w:color w:val="800080"/>
      <w:sz w:val="24"/>
      <w:vertAlign w:val="subscript"/>
    </w:rPr>
  </w:style>
  <w:style w:type="character" w:customStyle="1" w:styleId="HeaderChar1">
    <w:name w:val="Header Char1"/>
    <w:uiPriority w:val="99"/>
    <w:rsid w:val="00E5066C"/>
    <w:rPr>
      <w:rFonts w:ascii="Times New Roman" w:eastAsia="SimSun" w:hAnsi="Times New Roman"/>
      <w:lang w:val="en-GB" w:eastAsia="zh-CN"/>
    </w:rPr>
  </w:style>
  <w:style w:type="paragraph" w:styleId="Dokumentostruktra">
    <w:name w:val="Document Map"/>
    <w:basedOn w:val="prastasis"/>
    <w:link w:val="DokumentostruktraDiagrama"/>
    <w:uiPriority w:val="99"/>
    <w:rsid w:val="00E5066C"/>
    <w:pPr>
      <w:shd w:val="clear" w:color="auto" w:fill="000080"/>
      <w:tabs>
        <w:tab w:val="left" w:pos="567"/>
      </w:tabs>
      <w:spacing w:line="260" w:lineRule="exact"/>
    </w:pPr>
    <w:rPr>
      <w:rFonts w:ascii="Tahoma" w:eastAsia="SimSun" w:hAnsi="Tahoma"/>
      <w:szCs w:val="20"/>
      <w:lang w:eastAsia="zh-CN"/>
    </w:rPr>
  </w:style>
  <w:style w:type="character" w:customStyle="1" w:styleId="DokumentostruktraDiagrama">
    <w:name w:val="Dokumento struktūra Diagrama"/>
    <w:link w:val="Dokumentostruktra"/>
    <w:uiPriority w:val="99"/>
    <w:rsid w:val="00E5066C"/>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E5066C"/>
    <w:pPr>
      <w:autoSpaceDE w:val="0"/>
      <w:autoSpaceDN w:val="0"/>
      <w:adjustRightInd w:val="0"/>
      <w:ind w:left="720"/>
      <w:jc w:val="both"/>
    </w:pPr>
    <w:rPr>
      <w:rFonts w:ascii="Times New Roman" w:eastAsia="SimSun" w:hAnsi="Times New Roman"/>
      <w:szCs w:val="20"/>
      <w:lang w:eastAsia="en-GB"/>
    </w:rPr>
  </w:style>
  <w:style w:type="character" w:customStyle="1" w:styleId="PagrindiniotekstotraukaDiagrama">
    <w:name w:val="Pagrindinio teksto įtrauka Diagrama"/>
    <w:link w:val="Pagrindiniotekstotrauka"/>
    <w:uiPriority w:val="99"/>
    <w:rsid w:val="00E5066C"/>
    <w:rPr>
      <w:rFonts w:eastAsia="SimSun"/>
      <w:lang w:val="en-GB" w:eastAsia="en-GB"/>
    </w:rPr>
  </w:style>
  <w:style w:type="character" w:customStyle="1" w:styleId="Pagrindinistekstas3Diagrama">
    <w:name w:val="Pagrindinis tekstas 3 Diagrama"/>
    <w:link w:val="Pagrindinistekstas3"/>
    <w:uiPriority w:val="99"/>
    <w:rsid w:val="00E5066C"/>
    <w:rPr>
      <w:b/>
      <w:bCs/>
      <w:i/>
      <w:iCs/>
      <w:sz w:val="24"/>
      <w:szCs w:val="24"/>
      <w:lang w:val="en-GB"/>
    </w:rPr>
  </w:style>
  <w:style w:type="paragraph" w:styleId="Pagrindiniotekstotrauka2">
    <w:name w:val="Body Text Indent 2"/>
    <w:basedOn w:val="prastasis"/>
    <w:link w:val="Pagrindiniotekstotrauka2Diagrama"/>
    <w:uiPriority w:val="99"/>
    <w:rsid w:val="00E5066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b/>
      <w:bCs/>
      <w:color w:val="0000FF"/>
      <w:szCs w:val="20"/>
      <w:lang w:eastAsia="x-none"/>
    </w:rPr>
  </w:style>
  <w:style w:type="character" w:customStyle="1" w:styleId="Pagrindiniotekstotrauka2Diagrama">
    <w:name w:val="Pagrindinio teksto įtrauka 2 Diagrama"/>
    <w:link w:val="Pagrindiniotekstotrauka2"/>
    <w:uiPriority w:val="99"/>
    <w:rsid w:val="00E5066C"/>
    <w:rPr>
      <w:rFonts w:eastAsia="SimSun"/>
      <w:b/>
      <w:bCs/>
      <w:color w:val="0000FF"/>
      <w:lang w:val="en-GB"/>
    </w:rPr>
  </w:style>
  <w:style w:type="paragraph" w:customStyle="1" w:styleId="AHeader1">
    <w:name w:val="AHeader 1"/>
    <w:basedOn w:val="prastasis"/>
    <w:uiPriority w:val="99"/>
    <w:rsid w:val="00E5066C"/>
    <w:pPr>
      <w:tabs>
        <w:tab w:val="num" w:pos="720"/>
      </w:tabs>
      <w:spacing w:after="120"/>
      <w:ind w:left="284" w:hanging="284"/>
    </w:pPr>
    <w:rPr>
      <w:rFonts w:ascii="Arial" w:eastAsia="SimSun" w:hAnsi="Arial" w:cs="Arial"/>
      <w:b/>
      <w:bCs/>
      <w:sz w:val="24"/>
      <w:szCs w:val="20"/>
    </w:rPr>
  </w:style>
  <w:style w:type="paragraph" w:customStyle="1" w:styleId="AHeader2">
    <w:name w:val="AHeader 2"/>
    <w:basedOn w:val="AHeader1"/>
    <w:uiPriority w:val="99"/>
    <w:rsid w:val="00E5066C"/>
    <w:pPr>
      <w:tabs>
        <w:tab w:val="clear" w:pos="720"/>
        <w:tab w:val="num" w:pos="360"/>
      </w:tabs>
      <w:ind w:left="709" w:hanging="425"/>
    </w:pPr>
    <w:rPr>
      <w:sz w:val="22"/>
    </w:rPr>
  </w:style>
  <w:style w:type="paragraph" w:customStyle="1" w:styleId="AHeader3">
    <w:name w:val="AHeader 3"/>
    <w:basedOn w:val="AHeader2"/>
    <w:uiPriority w:val="99"/>
    <w:rsid w:val="00E5066C"/>
    <w:pPr>
      <w:ind w:left="1276" w:hanging="567"/>
    </w:pPr>
  </w:style>
  <w:style w:type="paragraph" w:customStyle="1" w:styleId="AHeader2abc">
    <w:name w:val="AHeader 2 abc"/>
    <w:basedOn w:val="AHeader3"/>
    <w:uiPriority w:val="99"/>
    <w:rsid w:val="00E5066C"/>
    <w:pPr>
      <w:jc w:val="both"/>
    </w:pPr>
    <w:rPr>
      <w:b w:val="0"/>
      <w:bCs w:val="0"/>
    </w:rPr>
  </w:style>
  <w:style w:type="paragraph" w:customStyle="1" w:styleId="AHeader3abc">
    <w:name w:val="AHeader 3 abc"/>
    <w:basedOn w:val="AHeader2abc"/>
    <w:uiPriority w:val="99"/>
    <w:rsid w:val="00E5066C"/>
    <w:pPr>
      <w:ind w:left="1701" w:hanging="425"/>
    </w:pPr>
  </w:style>
  <w:style w:type="paragraph" w:styleId="Pagrindiniotekstotrauka3">
    <w:name w:val="Body Text Indent 3"/>
    <w:basedOn w:val="prastasis"/>
    <w:link w:val="Pagrindiniotekstotrauka3Diagrama"/>
    <w:uiPriority w:val="99"/>
    <w:rsid w:val="00E5066C"/>
    <w:pPr>
      <w:tabs>
        <w:tab w:val="left" w:pos="567"/>
        <w:tab w:val="left" w:pos="1134"/>
      </w:tabs>
      <w:autoSpaceDE w:val="0"/>
      <w:autoSpaceDN w:val="0"/>
      <w:adjustRightInd w:val="0"/>
      <w:spacing w:line="260" w:lineRule="exact"/>
      <w:ind w:left="633"/>
      <w:jc w:val="both"/>
    </w:pPr>
    <w:rPr>
      <w:rFonts w:ascii="Times New Roman" w:eastAsia="SimSun" w:hAnsi="Times New Roman"/>
      <w:szCs w:val="21"/>
      <w:lang w:eastAsia="x-none"/>
    </w:rPr>
  </w:style>
  <w:style w:type="character" w:customStyle="1" w:styleId="Pagrindiniotekstotrauka3Diagrama">
    <w:name w:val="Pagrindinio teksto įtrauka 3 Diagrama"/>
    <w:link w:val="Pagrindiniotekstotrauka3"/>
    <w:uiPriority w:val="99"/>
    <w:rsid w:val="00E5066C"/>
    <w:rPr>
      <w:rFonts w:eastAsia="SimSun"/>
      <w:szCs w:val="21"/>
      <w:lang w:val="en-GB"/>
    </w:rPr>
  </w:style>
  <w:style w:type="character" w:styleId="Perirtashipersaitas">
    <w:name w:val="FollowedHyperlink"/>
    <w:uiPriority w:val="99"/>
    <w:rsid w:val="00E5066C"/>
    <w:rPr>
      <w:rFonts w:cs="Times New Roman"/>
      <w:color w:val="800080"/>
      <w:u w:val="single"/>
    </w:rPr>
  </w:style>
  <w:style w:type="character" w:customStyle="1" w:styleId="BodytextAgencyChar">
    <w:name w:val="Body text (Agency) Char"/>
    <w:link w:val="BodytextAgency"/>
    <w:uiPriority w:val="99"/>
    <w:locked/>
    <w:rsid w:val="00E5066C"/>
    <w:rPr>
      <w:rFonts w:ascii="Verdana" w:hAnsi="Verdana"/>
      <w:snapToGrid w:val="0"/>
      <w:sz w:val="18"/>
      <w:lang w:val="en-GB"/>
    </w:rPr>
  </w:style>
  <w:style w:type="table" w:customStyle="1" w:styleId="TablegridAgencyblack">
    <w:name w:val="Table grid (Agency) black"/>
    <w:uiPriority w:val="99"/>
    <w:semiHidden/>
    <w:rsid w:val="00E5066C"/>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5066C"/>
    <w:pPr>
      <w:keepNext/>
    </w:pPr>
    <w:rPr>
      <w:rFonts w:eastAsia="SimSun" w:cs="Verdana"/>
      <w:b/>
      <w:snapToGrid/>
      <w:szCs w:val="18"/>
      <w:lang w:eastAsia="en-GB"/>
    </w:rPr>
  </w:style>
  <w:style w:type="character" w:customStyle="1" w:styleId="NormalAgencyChar">
    <w:name w:val="Normal (Agency) Char"/>
    <w:link w:val="NormalAgency"/>
    <w:uiPriority w:val="99"/>
    <w:locked/>
    <w:rsid w:val="00E5066C"/>
    <w:rPr>
      <w:rFonts w:ascii="Verdana" w:hAnsi="Verdana"/>
      <w:snapToGrid w:val="0"/>
      <w:sz w:val="18"/>
      <w:szCs w:val="22"/>
      <w:lang w:val="en-GB" w:eastAsia="lt-LT" w:bidi="ar-SA"/>
    </w:rPr>
  </w:style>
  <w:style w:type="character" w:customStyle="1" w:styleId="PaprastasistekstasDiagrama">
    <w:name w:val="Paprastasis tekstas Diagrama"/>
    <w:link w:val="Paprastasistekstas"/>
    <w:uiPriority w:val="99"/>
    <w:rsid w:val="00E5066C"/>
    <w:rPr>
      <w:rFonts w:ascii="Courier New" w:hAnsi="Courier New"/>
      <w:lang w:val="de-DE" w:eastAsia="de-DE"/>
    </w:rPr>
  </w:style>
  <w:style w:type="paragraph" w:customStyle="1" w:styleId="Default">
    <w:name w:val="Default"/>
    <w:rsid w:val="00E5066C"/>
    <w:pPr>
      <w:autoSpaceDE w:val="0"/>
      <w:autoSpaceDN w:val="0"/>
      <w:adjustRightInd w:val="0"/>
    </w:pPr>
    <w:rPr>
      <w:rFonts w:eastAsia="SimSun"/>
      <w:color w:val="000000"/>
      <w:sz w:val="24"/>
      <w:szCs w:val="24"/>
      <w:lang w:val="en-US" w:eastAsia="zh-CN"/>
    </w:rPr>
  </w:style>
  <w:style w:type="paragraph" w:styleId="Dokumentoinaostekstas">
    <w:name w:val="endnote text"/>
    <w:basedOn w:val="prastasis"/>
    <w:link w:val="DokumentoinaostekstasDiagrama"/>
    <w:uiPriority w:val="99"/>
    <w:rsid w:val="00E5066C"/>
    <w:pPr>
      <w:tabs>
        <w:tab w:val="left" w:pos="567"/>
      </w:tabs>
    </w:pPr>
    <w:rPr>
      <w:rFonts w:ascii="Times New Roman" w:eastAsia="SimSun" w:hAnsi="Times New Roman"/>
      <w:szCs w:val="20"/>
      <w:lang w:eastAsia="x-none"/>
    </w:rPr>
  </w:style>
  <w:style w:type="character" w:customStyle="1" w:styleId="DokumentoinaostekstasDiagrama">
    <w:name w:val="Dokumento išnašos tekstas Diagrama"/>
    <w:link w:val="Dokumentoinaostekstas"/>
    <w:uiPriority w:val="99"/>
    <w:rsid w:val="00E5066C"/>
    <w:rPr>
      <w:rFonts w:eastAsia="SimSun"/>
      <w:lang w:val="en-GB"/>
    </w:rPr>
  </w:style>
  <w:style w:type="character" w:customStyle="1" w:styleId="CharChar12">
    <w:name w:val="Char Char12"/>
    <w:locked/>
    <w:rsid w:val="00E5066C"/>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E506-9910-4CE9-8D17-F564E2A2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14498</Words>
  <Characters>99765</Characters>
  <Application>Microsoft Office Word</Application>
  <DocSecurity>8</DocSecurity>
  <Lines>831</Lines>
  <Paragraphs>228</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114035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dc:creator>
  <cp:keywords/>
  <cp:lastModifiedBy>Albina Burkauskaitė</cp:lastModifiedBy>
  <cp:revision>3</cp:revision>
  <cp:lastPrinted>2015-09-01T13:32:00Z</cp:lastPrinted>
  <dcterms:created xsi:type="dcterms:W3CDTF">2016-05-09T05:38:00Z</dcterms:created>
  <dcterms:modified xsi:type="dcterms:W3CDTF">2016-05-09T05:41:00Z</dcterms:modified>
</cp:coreProperties>
</file>