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A79F4" w14:textId="77777777" w:rsidR="008A305D" w:rsidRPr="00BA3FBD" w:rsidRDefault="008A305D" w:rsidP="008A305D">
      <w:pPr>
        <w:autoSpaceDE w:val="0"/>
        <w:autoSpaceDN w:val="0"/>
        <w:adjustRightInd w:val="0"/>
        <w:jc w:val="center"/>
        <w:rPr>
          <w:b/>
          <w:bCs/>
          <w:sz w:val="22"/>
          <w:szCs w:val="22"/>
        </w:rPr>
      </w:pPr>
    </w:p>
    <w:p w14:paraId="15E54C27" w14:textId="77777777" w:rsidR="008A305D" w:rsidRPr="00BA3FBD" w:rsidRDefault="008A305D" w:rsidP="008A305D">
      <w:pPr>
        <w:autoSpaceDE w:val="0"/>
        <w:autoSpaceDN w:val="0"/>
        <w:adjustRightInd w:val="0"/>
        <w:jc w:val="center"/>
        <w:rPr>
          <w:b/>
          <w:bCs/>
          <w:sz w:val="22"/>
          <w:szCs w:val="22"/>
        </w:rPr>
      </w:pPr>
    </w:p>
    <w:p w14:paraId="18A724B9" w14:textId="77777777" w:rsidR="008A305D" w:rsidRPr="00BA3FBD" w:rsidRDefault="008A305D" w:rsidP="008A305D">
      <w:pPr>
        <w:autoSpaceDE w:val="0"/>
        <w:autoSpaceDN w:val="0"/>
        <w:adjustRightInd w:val="0"/>
        <w:jc w:val="center"/>
        <w:rPr>
          <w:b/>
          <w:bCs/>
          <w:sz w:val="22"/>
          <w:szCs w:val="22"/>
        </w:rPr>
      </w:pPr>
    </w:p>
    <w:p w14:paraId="5F389BA8" w14:textId="77777777" w:rsidR="008A305D" w:rsidRPr="00BA3FBD" w:rsidRDefault="008A305D" w:rsidP="008A305D">
      <w:pPr>
        <w:autoSpaceDE w:val="0"/>
        <w:autoSpaceDN w:val="0"/>
        <w:adjustRightInd w:val="0"/>
        <w:jc w:val="center"/>
        <w:rPr>
          <w:b/>
          <w:bCs/>
          <w:sz w:val="22"/>
          <w:szCs w:val="22"/>
        </w:rPr>
      </w:pPr>
    </w:p>
    <w:p w14:paraId="19B85CB1" w14:textId="77777777" w:rsidR="008A305D" w:rsidRPr="00BA3FBD" w:rsidRDefault="008A305D" w:rsidP="008A305D">
      <w:pPr>
        <w:autoSpaceDE w:val="0"/>
        <w:autoSpaceDN w:val="0"/>
        <w:adjustRightInd w:val="0"/>
        <w:jc w:val="center"/>
        <w:rPr>
          <w:b/>
          <w:bCs/>
          <w:sz w:val="22"/>
          <w:szCs w:val="22"/>
        </w:rPr>
      </w:pPr>
    </w:p>
    <w:p w14:paraId="50C8B1EA" w14:textId="77777777" w:rsidR="008A305D" w:rsidRPr="00BA3FBD" w:rsidRDefault="008A305D" w:rsidP="008A305D">
      <w:pPr>
        <w:autoSpaceDE w:val="0"/>
        <w:autoSpaceDN w:val="0"/>
        <w:adjustRightInd w:val="0"/>
        <w:jc w:val="center"/>
        <w:rPr>
          <w:b/>
          <w:bCs/>
          <w:sz w:val="22"/>
          <w:szCs w:val="22"/>
        </w:rPr>
      </w:pPr>
    </w:p>
    <w:p w14:paraId="3E5E4004" w14:textId="77777777" w:rsidR="008A305D" w:rsidRPr="00BA3FBD" w:rsidRDefault="008A305D" w:rsidP="008A305D">
      <w:pPr>
        <w:autoSpaceDE w:val="0"/>
        <w:autoSpaceDN w:val="0"/>
        <w:adjustRightInd w:val="0"/>
        <w:jc w:val="center"/>
        <w:rPr>
          <w:b/>
          <w:bCs/>
          <w:sz w:val="22"/>
          <w:szCs w:val="22"/>
        </w:rPr>
      </w:pPr>
    </w:p>
    <w:p w14:paraId="40CAA368" w14:textId="77777777" w:rsidR="008A305D" w:rsidRPr="00BA3FBD" w:rsidRDefault="008A305D" w:rsidP="008A305D">
      <w:pPr>
        <w:autoSpaceDE w:val="0"/>
        <w:autoSpaceDN w:val="0"/>
        <w:adjustRightInd w:val="0"/>
        <w:jc w:val="center"/>
        <w:rPr>
          <w:b/>
          <w:bCs/>
          <w:sz w:val="22"/>
          <w:szCs w:val="22"/>
        </w:rPr>
      </w:pPr>
    </w:p>
    <w:p w14:paraId="38EBB156" w14:textId="77777777" w:rsidR="008A305D" w:rsidRPr="00BA3FBD" w:rsidRDefault="008A305D" w:rsidP="008A305D">
      <w:pPr>
        <w:autoSpaceDE w:val="0"/>
        <w:autoSpaceDN w:val="0"/>
        <w:adjustRightInd w:val="0"/>
        <w:jc w:val="center"/>
        <w:rPr>
          <w:b/>
          <w:bCs/>
          <w:sz w:val="22"/>
          <w:szCs w:val="22"/>
        </w:rPr>
      </w:pPr>
    </w:p>
    <w:p w14:paraId="44FF00F1" w14:textId="77777777" w:rsidR="008A305D" w:rsidRPr="00BA3FBD" w:rsidRDefault="008A305D" w:rsidP="008A305D">
      <w:pPr>
        <w:autoSpaceDE w:val="0"/>
        <w:autoSpaceDN w:val="0"/>
        <w:adjustRightInd w:val="0"/>
        <w:jc w:val="center"/>
        <w:rPr>
          <w:b/>
          <w:bCs/>
          <w:sz w:val="22"/>
          <w:szCs w:val="22"/>
        </w:rPr>
      </w:pPr>
    </w:p>
    <w:p w14:paraId="05D3E915" w14:textId="77777777" w:rsidR="008A305D" w:rsidRPr="00BA3FBD" w:rsidRDefault="008A305D" w:rsidP="008A305D">
      <w:pPr>
        <w:autoSpaceDE w:val="0"/>
        <w:autoSpaceDN w:val="0"/>
        <w:adjustRightInd w:val="0"/>
        <w:jc w:val="center"/>
        <w:rPr>
          <w:b/>
          <w:bCs/>
          <w:sz w:val="22"/>
          <w:szCs w:val="22"/>
        </w:rPr>
      </w:pPr>
    </w:p>
    <w:p w14:paraId="2DA181B4" w14:textId="77777777" w:rsidR="008A305D" w:rsidRPr="00BA3FBD" w:rsidRDefault="008A305D" w:rsidP="008A305D">
      <w:pPr>
        <w:autoSpaceDE w:val="0"/>
        <w:autoSpaceDN w:val="0"/>
        <w:adjustRightInd w:val="0"/>
        <w:jc w:val="center"/>
        <w:rPr>
          <w:b/>
          <w:bCs/>
          <w:sz w:val="22"/>
          <w:szCs w:val="22"/>
        </w:rPr>
      </w:pPr>
    </w:p>
    <w:p w14:paraId="27F99D46" w14:textId="77777777" w:rsidR="008A305D" w:rsidRPr="00BA3FBD" w:rsidRDefault="008A305D" w:rsidP="008A305D">
      <w:pPr>
        <w:autoSpaceDE w:val="0"/>
        <w:autoSpaceDN w:val="0"/>
        <w:adjustRightInd w:val="0"/>
        <w:jc w:val="center"/>
        <w:rPr>
          <w:b/>
          <w:bCs/>
          <w:sz w:val="22"/>
          <w:szCs w:val="22"/>
        </w:rPr>
      </w:pPr>
    </w:p>
    <w:p w14:paraId="2E1359D4" w14:textId="77777777" w:rsidR="008A305D" w:rsidRPr="00BA3FBD" w:rsidRDefault="008A305D" w:rsidP="008A305D">
      <w:pPr>
        <w:autoSpaceDE w:val="0"/>
        <w:autoSpaceDN w:val="0"/>
        <w:adjustRightInd w:val="0"/>
        <w:jc w:val="center"/>
        <w:rPr>
          <w:b/>
          <w:bCs/>
          <w:sz w:val="22"/>
          <w:szCs w:val="22"/>
        </w:rPr>
      </w:pPr>
    </w:p>
    <w:p w14:paraId="3769D3DC" w14:textId="77777777" w:rsidR="008A305D" w:rsidRPr="00BA3FBD" w:rsidRDefault="008A305D" w:rsidP="008A305D">
      <w:pPr>
        <w:autoSpaceDE w:val="0"/>
        <w:autoSpaceDN w:val="0"/>
        <w:adjustRightInd w:val="0"/>
        <w:jc w:val="center"/>
        <w:rPr>
          <w:b/>
          <w:bCs/>
          <w:sz w:val="22"/>
          <w:szCs w:val="22"/>
        </w:rPr>
      </w:pPr>
    </w:p>
    <w:p w14:paraId="71F18173" w14:textId="77777777" w:rsidR="008A305D" w:rsidRPr="00BA3FBD" w:rsidRDefault="008A305D" w:rsidP="008A305D">
      <w:pPr>
        <w:autoSpaceDE w:val="0"/>
        <w:autoSpaceDN w:val="0"/>
        <w:adjustRightInd w:val="0"/>
        <w:jc w:val="center"/>
        <w:rPr>
          <w:b/>
          <w:bCs/>
          <w:sz w:val="22"/>
          <w:szCs w:val="22"/>
        </w:rPr>
      </w:pPr>
    </w:p>
    <w:p w14:paraId="59001382" w14:textId="77777777" w:rsidR="008A305D" w:rsidRPr="00BA3FBD" w:rsidRDefault="008A305D" w:rsidP="008A305D">
      <w:pPr>
        <w:autoSpaceDE w:val="0"/>
        <w:autoSpaceDN w:val="0"/>
        <w:adjustRightInd w:val="0"/>
        <w:jc w:val="center"/>
        <w:rPr>
          <w:b/>
          <w:bCs/>
          <w:sz w:val="22"/>
          <w:szCs w:val="22"/>
        </w:rPr>
      </w:pPr>
    </w:p>
    <w:p w14:paraId="72F9504B" w14:textId="77777777" w:rsidR="008A305D" w:rsidRPr="00BA3FBD" w:rsidRDefault="008A305D" w:rsidP="008A305D">
      <w:pPr>
        <w:autoSpaceDE w:val="0"/>
        <w:autoSpaceDN w:val="0"/>
        <w:adjustRightInd w:val="0"/>
        <w:jc w:val="center"/>
        <w:rPr>
          <w:b/>
          <w:bCs/>
          <w:sz w:val="22"/>
          <w:szCs w:val="22"/>
        </w:rPr>
      </w:pPr>
    </w:p>
    <w:p w14:paraId="618A46EE" w14:textId="77777777" w:rsidR="008A305D" w:rsidRPr="00BA3FBD" w:rsidRDefault="008A305D" w:rsidP="008A305D">
      <w:pPr>
        <w:autoSpaceDE w:val="0"/>
        <w:autoSpaceDN w:val="0"/>
        <w:adjustRightInd w:val="0"/>
        <w:jc w:val="center"/>
        <w:rPr>
          <w:b/>
          <w:bCs/>
          <w:sz w:val="22"/>
          <w:szCs w:val="22"/>
        </w:rPr>
      </w:pPr>
    </w:p>
    <w:p w14:paraId="10CFF1B4" w14:textId="77777777" w:rsidR="008A305D" w:rsidRPr="00BA3FBD" w:rsidRDefault="008A305D" w:rsidP="008A305D">
      <w:pPr>
        <w:autoSpaceDE w:val="0"/>
        <w:autoSpaceDN w:val="0"/>
        <w:adjustRightInd w:val="0"/>
        <w:jc w:val="center"/>
        <w:rPr>
          <w:b/>
          <w:bCs/>
          <w:sz w:val="22"/>
          <w:szCs w:val="22"/>
        </w:rPr>
      </w:pPr>
    </w:p>
    <w:p w14:paraId="147846AF" w14:textId="77777777" w:rsidR="008A305D" w:rsidRPr="00BA3FBD" w:rsidRDefault="008A305D" w:rsidP="008A305D">
      <w:pPr>
        <w:autoSpaceDE w:val="0"/>
        <w:autoSpaceDN w:val="0"/>
        <w:adjustRightInd w:val="0"/>
        <w:jc w:val="center"/>
        <w:rPr>
          <w:b/>
          <w:bCs/>
          <w:sz w:val="22"/>
          <w:szCs w:val="22"/>
        </w:rPr>
      </w:pPr>
    </w:p>
    <w:p w14:paraId="653C5534" w14:textId="77777777" w:rsidR="008A305D" w:rsidRPr="00BA3FBD" w:rsidRDefault="008A305D" w:rsidP="008A305D">
      <w:pPr>
        <w:autoSpaceDE w:val="0"/>
        <w:autoSpaceDN w:val="0"/>
        <w:adjustRightInd w:val="0"/>
        <w:jc w:val="center"/>
        <w:rPr>
          <w:b/>
          <w:bCs/>
          <w:sz w:val="22"/>
          <w:szCs w:val="22"/>
        </w:rPr>
      </w:pPr>
    </w:p>
    <w:p w14:paraId="569D9D7B" w14:textId="77777777" w:rsidR="008A305D" w:rsidRPr="00BA3FBD" w:rsidRDefault="008A305D" w:rsidP="008A305D">
      <w:pPr>
        <w:autoSpaceDE w:val="0"/>
        <w:autoSpaceDN w:val="0"/>
        <w:adjustRightInd w:val="0"/>
        <w:jc w:val="center"/>
        <w:rPr>
          <w:b/>
          <w:bCs/>
          <w:sz w:val="22"/>
          <w:szCs w:val="22"/>
        </w:rPr>
      </w:pPr>
    </w:p>
    <w:p w14:paraId="77AF5F9B" w14:textId="77777777" w:rsidR="008A305D" w:rsidRPr="00BA3FBD" w:rsidRDefault="008A305D" w:rsidP="008A305D">
      <w:pPr>
        <w:pStyle w:val="Default"/>
        <w:keepNext/>
        <w:jc w:val="center"/>
        <w:rPr>
          <w:rFonts w:ascii="Times New Roman" w:hAnsi="Times New Roman" w:cs="Times New Roman"/>
          <w:b/>
          <w:bCs/>
          <w:color w:val="auto"/>
          <w:sz w:val="22"/>
          <w:szCs w:val="22"/>
          <w:lang w:val="lt-LT"/>
        </w:rPr>
      </w:pPr>
      <w:r w:rsidRPr="00BA3FBD">
        <w:rPr>
          <w:rFonts w:ascii="Times New Roman" w:hAnsi="Times New Roman" w:cs="Times New Roman"/>
          <w:b/>
          <w:bCs/>
          <w:color w:val="auto"/>
          <w:sz w:val="22"/>
          <w:szCs w:val="22"/>
          <w:lang w:val="lt-LT"/>
        </w:rPr>
        <w:t>I PRIEDAS</w:t>
      </w:r>
    </w:p>
    <w:p w14:paraId="1DF3BB0A" w14:textId="77777777" w:rsidR="008A305D" w:rsidRPr="00BA3FBD" w:rsidRDefault="008A305D" w:rsidP="008A305D">
      <w:pPr>
        <w:pStyle w:val="Default"/>
        <w:keepNext/>
        <w:jc w:val="center"/>
        <w:rPr>
          <w:rFonts w:ascii="Times New Roman" w:hAnsi="Times New Roman" w:cs="Times New Roman"/>
          <w:color w:val="auto"/>
          <w:sz w:val="22"/>
          <w:szCs w:val="22"/>
          <w:lang w:val="lt-LT"/>
        </w:rPr>
      </w:pPr>
    </w:p>
    <w:p w14:paraId="2A5B4088" w14:textId="77777777" w:rsidR="008A305D" w:rsidRPr="00BA3FBD" w:rsidRDefault="008A305D" w:rsidP="008A305D">
      <w:pPr>
        <w:pStyle w:val="Default"/>
        <w:keepNext/>
        <w:jc w:val="center"/>
        <w:rPr>
          <w:rFonts w:ascii="Times New Roman" w:hAnsi="Times New Roman" w:cs="Times New Roman"/>
          <w:color w:val="auto"/>
          <w:sz w:val="22"/>
          <w:szCs w:val="22"/>
          <w:lang w:val="lt-LT"/>
        </w:rPr>
      </w:pPr>
      <w:r w:rsidRPr="00BA3FBD">
        <w:rPr>
          <w:rFonts w:ascii="Times New Roman" w:hAnsi="Times New Roman" w:cs="Times New Roman"/>
          <w:b/>
          <w:bCs/>
          <w:color w:val="auto"/>
          <w:sz w:val="22"/>
          <w:szCs w:val="22"/>
          <w:lang w:val="lt-LT"/>
        </w:rPr>
        <w:t>PREPARATO CHARAKTERISTIKŲ SANTRAUKA</w:t>
      </w:r>
    </w:p>
    <w:p w14:paraId="09C76957" w14:textId="77777777" w:rsidR="008A305D" w:rsidRPr="00BA3FBD" w:rsidRDefault="008A305D" w:rsidP="008A305D">
      <w:pPr>
        <w:numPr>
          <w:ilvl w:val="0"/>
          <w:numId w:val="4"/>
        </w:numPr>
        <w:spacing w:after="200" w:line="276" w:lineRule="auto"/>
        <w:ind w:left="567" w:hanging="567"/>
        <w:rPr>
          <w:b/>
          <w:bCs/>
          <w:sz w:val="22"/>
          <w:szCs w:val="22"/>
        </w:rPr>
      </w:pPr>
      <w:r w:rsidRPr="00BA3FBD">
        <w:rPr>
          <w:sz w:val="22"/>
          <w:szCs w:val="22"/>
        </w:rPr>
        <w:br w:type="page"/>
      </w:r>
      <w:r w:rsidRPr="00BA3FBD">
        <w:rPr>
          <w:b/>
          <w:bCs/>
          <w:sz w:val="22"/>
          <w:szCs w:val="22"/>
        </w:rPr>
        <w:lastRenderedPageBreak/>
        <w:t xml:space="preserve">VAISTINIO PREPARATO PAVADINIMAS </w:t>
      </w:r>
    </w:p>
    <w:p w14:paraId="4220F078" w14:textId="77777777" w:rsidR="008A305D" w:rsidRPr="00BA3FBD" w:rsidRDefault="008A305D" w:rsidP="008A305D">
      <w:pPr>
        <w:pStyle w:val="Default"/>
        <w:rPr>
          <w:rFonts w:ascii="Times New Roman" w:hAnsi="Times New Roman" w:cs="Times New Roman"/>
          <w:color w:val="auto"/>
          <w:sz w:val="22"/>
          <w:szCs w:val="22"/>
          <w:lang w:val="lt-LT"/>
        </w:rPr>
      </w:pPr>
      <w:r w:rsidRPr="00BA3FBD">
        <w:rPr>
          <w:rFonts w:ascii="Times New Roman" w:hAnsi="Times New Roman" w:cs="Times New Roman"/>
          <w:color w:val="auto"/>
          <w:sz w:val="22"/>
          <w:szCs w:val="22"/>
          <w:lang w:val="lt-LT"/>
        </w:rPr>
        <w:t xml:space="preserve">Imatinib Actavis Group 100 mg plėvele dengtos tabletės </w:t>
      </w:r>
    </w:p>
    <w:p w14:paraId="04B5F879" w14:textId="77777777" w:rsidR="008A305D" w:rsidRPr="00BA3FBD" w:rsidRDefault="008A305D" w:rsidP="008A305D">
      <w:pPr>
        <w:pStyle w:val="Default"/>
        <w:shd w:val="clear" w:color="auto" w:fill="F2F2F2"/>
        <w:rPr>
          <w:rFonts w:ascii="Times New Roman" w:hAnsi="Times New Roman" w:cs="Times New Roman"/>
          <w:color w:val="auto"/>
          <w:sz w:val="22"/>
          <w:szCs w:val="22"/>
          <w:lang w:val="lt-LT"/>
        </w:rPr>
      </w:pPr>
      <w:r w:rsidRPr="00BA3FBD">
        <w:rPr>
          <w:rFonts w:ascii="Times New Roman" w:hAnsi="Times New Roman" w:cs="Times New Roman"/>
          <w:color w:val="auto"/>
          <w:sz w:val="22"/>
          <w:szCs w:val="22"/>
          <w:lang w:val="lt-LT"/>
        </w:rPr>
        <w:t xml:space="preserve">Imatinib Actavis Group 200 mg plėvele dengtos tabletės </w:t>
      </w:r>
    </w:p>
    <w:p w14:paraId="5409FB5E" w14:textId="77777777" w:rsidR="008A305D" w:rsidRPr="00BA3FBD" w:rsidRDefault="008A305D" w:rsidP="008A305D">
      <w:pPr>
        <w:pStyle w:val="Default"/>
        <w:shd w:val="clear" w:color="auto" w:fill="D9D9D9"/>
        <w:rPr>
          <w:rFonts w:ascii="Times New Roman" w:hAnsi="Times New Roman" w:cs="Times New Roman"/>
          <w:color w:val="auto"/>
          <w:sz w:val="22"/>
          <w:szCs w:val="22"/>
          <w:lang w:val="lt-LT"/>
        </w:rPr>
      </w:pPr>
      <w:r w:rsidRPr="00BA3FBD">
        <w:rPr>
          <w:rFonts w:ascii="Times New Roman" w:hAnsi="Times New Roman" w:cs="Times New Roman"/>
          <w:color w:val="auto"/>
          <w:sz w:val="22"/>
          <w:szCs w:val="22"/>
          <w:lang w:val="lt-LT"/>
        </w:rPr>
        <w:t xml:space="preserve">Imatinib Actavis Group 300 mg plėvele dengtos tabletės </w:t>
      </w:r>
    </w:p>
    <w:p w14:paraId="1DFD34F2" w14:textId="77777777" w:rsidR="008A305D" w:rsidRPr="00BA3FBD" w:rsidRDefault="008A305D" w:rsidP="008A305D">
      <w:pPr>
        <w:pStyle w:val="Default"/>
        <w:shd w:val="clear" w:color="auto" w:fill="BFBFBF"/>
        <w:rPr>
          <w:rFonts w:ascii="Times New Roman" w:hAnsi="Times New Roman" w:cs="Times New Roman"/>
          <w:color w:val="auto"/>
          <w:sz w:val="22"/>
          <w:szCs w:val="22"/>
          <w:lang w:val="lt-LT"/>
        </w:rPr>
      </w:pPr>
      <w:r w:rsidRPr="00BA3FBD">
        <w:rPr>
          <w:rFonts w:ascii="Times New Roman" w:hAnsi="Times New Roman" w:cs="Times New Roman"/>
          <w:color w:val="auto"/>
          <w:sz w:val="22"/>
          <w:szCs w:val="22"/>
          <w:lang w:val="lt-LT"/>
        </w:rPr>
        <w:t xml:space="preserve">Imatinib Actavis Group 400 mg plėvele dengtos tabletės </w:t>
      </w:r>
    </w:p>
    <w:p w14:paraId="15E4DBB1" w14:textId="77777777" w:rsidR="008A305D" w:rsidRPr="00BA3FBD" w:rsidRDefault="008A305D" w:rsidP="008A305D">
      <w:pPr>
        <w:pStyle w:val="Default"/>
        <w:rPr>
          <w:rFonts w:ascii="Times New Roman" w:hAnsi="Times New Roman" w:cs="Times New Roman"/>
          <w:color w:val="auto"/>
          <w:sz w:val="22"/>
          <w:szCs w:val="22"/>
          <w:lang w:val="lt-LT"/>
        </w:rPr>
      </w:pPr>
    </w:p>
    <w:p w14:paraId="07CCDC7D" w14:textId="77777777" w:rsidR="008A305D" w:rsidRPr="00BA3FBD" w:rsidRDefault="008A305D" w:rsidP="008A305D">
      <w:pPr>
        <w:pStyle w:val="Default"/>
        <w:rPr>
          <w:rFonts w:ascii="Times New Roman" w:hAnsi="Times New Roman" w:cs="Times New Roman"/>
          <w:color w:val="auto"/>
          <w:sz w:val="22"/>
          <w:szCs w:val="22"/>
          <w:lang w:val="lt-LT"/>
        </w:rPr>
      </w:pPr>
    </w:p>
    <w:p w14:paraId="593349F3" w14:textId="77777777" w:rsidR="008A305D" w:rsidRPr="00BA3FBD" w:rsidRDefault="008A305D" w:rsidP="008A305D">
      <w:pPr>
        <w:pStyle w:val="Default"/>
        <w:keepNext/>
        <w:numPr>
          <w:ilvl w:val="0"/>
          <w:numId w:val="4"/>
        </w:numPr>
        <w:ind w:left="567" w:hanging="567"/>
        <w:rPr>
          <w:rFonts w:ascii="Times New Roman" w:hAnsi="Times New Roman" w:cs="Times New Roman"/>
          <w:b/>
          <w:bCs/>
          <w:color w:val="auto"/>
          <w:sz w:val="22"/>
          <w:szCs w:val="22"/>
          <w:lang w:val="lt-LT"/>
        </w:rPr>
      </w:pPr>
      <w:r w:rsidRPr="00BA3FBD">
        <w:rPr>
          <w:rFonts w:ascii="Times New Roman" w:hAnsi="Times New Roman" w:cs="Times New Roman"/>
          <w:b/>
          <w:bCs/>
          <w:color w:val="auto"/>
          <w:sz w:val="22"/>
          <w:szCs w:val="22"/>
          <w:lang w:val="lt-LT"/>
        </w:rPr>
        <w:t xml:space="preserve">KOKYBINĖ IR KIEKYBINĖ SUDĖTIS </w:t>
      </w:r>
    </w:p>
    <w:p w14:paraId="1FA8E55E" w14:textId="77777777" w:rsidR="008A305D" w:rsidRPr="00BA3FBD" w:rsidRDefault="008A305D" w:rsidP="008A305D">
      <w:pPr>
        <w:pStyle w:val="Default"/>
        <w:rPr>
          <w:rFonts w:ascii="Times New Roman" w:hAnsi="Times New Roman" w:cs="Times New Roman"/>
          <w:color w:val="auto"/>
          <w:sz w:val="22"/>
          <w:szCs w:val="22"/>
          <w:lang w:val="lt-LT"/>
        </w:rPr>
      </w:pPr>
    </w:p>
    <w:p w14:paraId="2D7404D1" w14:textId="77777777" w:rsidR="008A305D" w:rsidRPr="00BA3FBD" w:rsidRDefault="008A305D" w:rsidP="008A305D">
      <w:pPr>
        <w:pStyle w:val="Default"/>
        <w:rPr>
          <w:rFonts w:ascii="Times New Roman" w:hAnsi="Times New Roman" w:cs="Times New Roman"/>
          <w:color w:val="auto"/>
          <w:sz w:val="22"/>
          <w:szCs w:val="22"/>
          <w:lang w:val="lt-LT"/>
        </w:rPr>
      </w:pPr>
      <w:r w:rsidRPr="00BA3FBD">
        <w:rPr>
          <w:rFonts w:ascii="Times New Roman" w:hAnsi="Times New Roman" w:cs="Times New Roman"/>
          <w:color w:val="auto"/>
          <w:sz w:val="22"/>
          <w:szCs w:val="22"/>
          <w:lang w:val="lt-LT"/>
        </w:rPr>
        <w:t>Kiekvienoje plėvele dengtoje tabletėje yra 119,5 mg imatinibo mesilato, kas atitinka 100 mg imatinibo.</w:t>
      </w:r>
    </w:p>
    <w:p w14:paraId="56E98C35" w14:textId="77777777" w:rsidR="008A305D" w:rsidRPr="00BA3FBD" w:rsidRDefault="008A305D" w:rsidP="008A305D">
      <w:pPr>
        <w:tabs>
          <w:tab w:val="left" w:pos="567"/>
        </w:tabs>
        <w:spacing w:line="260" w:lineRule="exact"/>
        <w:rPr>
          <w:snapToGrid w:val="0"/>
          <w:sz w:val="22"/>
        </w:rPr>
      </w:pPr>
      <w:r w:rsidRPr="00BA3FBD">
        <w:rPr>
          <w:snapToGrid w:val="0"/>
          <w:sz w:val="22"/>
          <w:szCs w:val="20"/>
          <w:u w:val="single"/>
        </w:rPr>
        <w:t xml:space="preserve">Pagalbinė medžiaga, </w:t>
      </w:r>
      <w:r w:rsidRPr="00BA3FBD">
        <w:rPr>
          <w:snapToGrid w:val="0"/>
          <w:sz w:val="22"/>
          <w:u w:val="single"/>
        </w:rPr>
        <w:t>kurios</w:t>
      </w:r>
      <w:r w:rsidRPr="00BA3FBD">
        <w:rPr>
          <w:snapToGrid w:val="0"/>
          <w:sz w:val="22"/>
          <w:szCs w:val="20"/>
          <w:u w:val="single"/>
        </w:rPr>
        <w:t xml:space="preserve"> poveikis žinomas:</w:t>
      </w:r>
    </w:p>
    <w:p w14:paraId="58B4B5A1" w14:textId="77777777" w:rsidR="008A305D" w:rsidRPr="00BA3FBD" w:rsidRDefault="008A305D" w:rsidP="008A305D">
      <w:pPr>
        <w:tabs>
          <w:tab w:val="left" w:pos="567"/>
        </w:tabs>
        <w:spacing w:line="260" w:lineRule="exact"/>
        <w:rPr>
          <w:snapToGrid w:val="0"/>
          <w:sz w:val="22"/>
        </w:rPr>
      </w:pPr>
      <w:r w:rsidRPr="00BA3FBD">
        <w:rPr>
          <w:snapToGrid w:val="0"/>
          <w:sz w:val="22"/>
        </w:rPr>
        <w:t>Kiekvienoje plėvele dengtoje tabletėje yra 76 mg laktozės monohidrato (žr. 4</w:t>
      </w:r>
      <w:r>
        <w:rPr>
          <w:snapToGrid w:val="0"/>
          <w:sz w:val="22"/>
        </w:rPr>
        <w:t>.4</w:t>
      </w:r>
      <w:r w:rsidRPr="00BA3FBD">
        <w:rPr>
          <w:snapToGrid w:val="0"/>
          <w:sz w:val="22"/>
        </w:rPr>
        <w:t xml:space="preserve"> skyrių).</w:t>
      </w:r>
    </w:p>
    <w:p w14:paraId="27A8BC4E" w14:textId="77777777" w:rsidR="008A305D" w:rsidRPr="00BA3FBD" w:rsidRDefault="008A305D" w:rsidP="008A305D">
      <w:pPr>
        <w:tabs>
          <w:tab w:val="left" w:pos="567"/>
        </w:tabs>
        <w:spacing w:line="260" w:lineRule="exact"/>
        <w:rPr>
          <w:snapToGrid w:val="0"/>
          <w:sz w:val="22"/>
        </w:rPr>
      </w:pPr>
    </w:p>
    <w:p w14:paraId="0F4CB582" w14:textId="77777777" w:rsidR="008A305D" w:rsidRPr="00BA3FBD" w:rsidRDefault="008A305D" w:rsidP="008A305D">
      <w:pPr>
        <w:pStyle w:val="Default"/>
        <w:shd w:val="clear" w:color="auto" w:fill="F2F2F2"/>
        <w:rPr>
          <w:rFonts w:ascii="Times New Roman" w:hAnsi="Times New Roman" w:cs="Times New Roman"/>
          <w:color w:val="auto"/>
          <w:sz w:val="22"/>
          <w:szCs w:val="22"/>
          <w:lang w:val="lt-LT"/>
        </w:rPr>
      </w:pPr>
      <w:r w:rsidRPr="00BA3FBD">
        <w:rPr>
          <w:rFonts w:ascii="Times New Roman" w:hAnsi="Times New Roman" w:cs="Times New Roman"/>
          <w:color w:val="auto"/>
          <w:sz w:val="22"/>
          <w:szCs w:val="22"/>
          <w:lang w:val="lt-LT"/>
        </w:rPr>
        <w:t>Kiekvienoje plėvele dengtoje tabletėje yra 239 mg imatinibo mesilato, kas atitinka 200 mg imatinibo.</w:t>
      </w:r>
    </w:p>
    <w:p w14:paraId="0CDC0669" w14:textId="77777777" w:rsidR="008A305D" w:rsidRPr="00BA3FBD" w:rsidRDefault="008A305D" w:rsidP="008A305D">
      <w:pPr>
        <w:shd w:val="clear" w:color="auto" w:fill="F2F2F2"/>
        <w:tabs>
          <w:tab w:val="left" w:pos="567"/>
        </w:tabs>
        <w:spacing w:line="260" w:lineRule="exact"/>
        <w:rPr>
          <w:snapToGrid w:val="0"/>
          <w:sz w:val="22"/>
        </w:rPr>
      </w:pPr>
      <w:r w:rsidRPr="00BA3FBD">
        <w:rPr>
          <w:snapToGrid w:val="0"/>
          <w:sz w:val="22"/>
          <w:szCs w:val="20"/>
          <w:u w:val="single"/>
        </w:rPr>
        <w:t xml:space="preserve">Pagalbinė medžiaga, </w:t>
      </w:r>
      <w:r w:rsidRPr="00BA3FBD">
        <w:rPr>
          <w:snapToGrid w:val="0"/>
          <w:sz w:val="22"/>
          <w:u w:val="single"/>
        </w:rPr>
        <w:t>kurios</w:t>
      </w:r>
      <w:r w:rsidRPr="00BA3FBD">
        <w:rPr>
          <w:snapToGrid w:val="0"/>
          <w:sz w:val="22"/>
          <w:szCs w:val="20"/>
          <w:u w:val="single"/>
        </w:rPr>
        <w:t xml:space="preserve"> poveikis žinomas:</w:t>
      </w:r>
    </w:p>
    <w:p w14:paraId="6FEE96E0" w14:textId="77777777" w:rsidR="008A305D" w:rsidRPr="00BA3FBD" w:rsidRDefault="008A305D" w:rsidP="008A305D">
      <w:pPr>
        <w:shd w:val="clear" w:color="auto" w:fill="F2F2F2"/>
        <w:tabs>
          <w:tab w:val="left" w:pos="567"/>
        </w:tabs>
        <w:spacing w:line="260" w:lineRule="exact"/>
        <w:rPr>
          <w:snapToGrid w:val="0"/>
          <w:sz w:val="22"/>
        </w:rPr>
      </w:pPr>
      <w:r w:rsidRPr="00BA3FBD">
        <w:rPr>
          <w:snapToGrid w:val="0"/>
          <w:sz w:val="22"/>
        </w:rPr>
        <w:t>Kiekvienoje plėvele dengtoje tabletėje yra 152 mg laktozės monohidrato (žr. 4</w:t>
      </w:r>
      <w:r>
        <w:rPr>
          <w:snapToGrid w:val="0"/>
          <w:sz w:val="22"/>
        </w:rPr>
        <w:t>.4</w:t>
      </w:r>
      <w:r w:rsidRPr="00BA3FBD">
        <w:rPr>
          <w:snapToGrid w:val="0"/>
          <w:sz w:val="22"/>
        </w:rPr>
        <w:t xml:space="preserve"> skyrių).</w:t>
      </w:r>
    </w:p>
    <w:p w14:paraId="2F1EFA13" w14:textId="77777777" w:rsidR="008A305D" w:rsidRPr="00BA3FBD" w:rsidRDefault="008A305D" w:rsidP="008A305D">
      <w:pPr>
        <w:tabs>
          <w:tab w:val="left" w:pos="567"/>
        </w:tabs>
        <w:spacing w:line="260" w:lineRule="exact"/>
        <w:rPr>
          <w:snapToGrid w:val="0"/>
          <w:sz w:val="22"/>
        </w:rPr>
      </w:pPr>
    </w:p>
    <w:p w14:paraId="526C778E" w14:textId="77777777" w:rsidR="008A305D" w:rsidRPr="00BA3FBD" w:rsidRDefault="008A305D" w:rsidP="008A305D">
      <w:pPr>
        <w:pStyle w:val="Default"/>
        <w:shd w:val="clear" w:color="auto" w:fill="D9D9D9"/>
        <w:rPr>
          <w:rFonts w:ascii="Times New Roman" w:hAnsi="Times New Roman" w:cs="Times New Roman"/>
          <w:color w:val="auto"/>
          <w:sz w:val="22"/>
          <w:szCs w:val="22"/>
          <w:lang w:val="lt-LT"/>
        </w:rPr>
      </w:pPr>
      <w:r w:rsidRPr="00BA3FBD">
        <w:rPr>
          <w:rFonts w:ascii="Times New Roman" w:hAnsi="Times New Roman" w:cs="Times New Roman"/>
          <w:color w:val="auto"/>
          <w:sz w:val="22"/>
          <w:szCs w:val="22"/>
          <w:lang w:val="lt-LT"/>
        </w:rPr>
        <w:t>Kiekvienoje plėvele dengtoje tabletėje yra 358,5 mg imatinibo mesilato, kas atitinka 300 mg imatinibo.</w:t>
      </w:r>
    </w:p>
    <w:p w14:paraId="26335575" w14:textId="77777777" w:rsidR="008A305D" w:rsidRPr="00BA3FBD" w:rsidRDefault="008A305D" w:rsidP="008A305D">
      <w:pPr>
        <w:shd w:val="clear" w:color="auto" w:fill="D9D9D9"/>
        <w:tabs>
          <w:tab w:val="left" w:pos="567"/>
        </w:tabs>
        <w:spacing w:line="260" w:lineRule="exact"/>
        <w:rPr>
          <w:snapToGrid w:val="0"/>
          <w:sz w:val="22"/>
        </w:rPr>
      </w:pPr>
      <w:r w:rsidRPr="00BA3FBD">
        <w:rPr>
          <w:snapToGrid w:val="0"/>
          <w:sz w:val="22"/>
          <w:szCs w:val="20"/>
          <w:u w:val="single"/>
        </w:rPr>
        <w:t xml:space="preserve">Pagalbinė medžiaga, </w:t>
      </w:r>
      <w:r w:rsidRPr="00BA3FBD">
        <w:rPr>
          <w:snapToGrid w:val="0"/>
          <w:sz w:val="22"/>
          <w:u w:val="single"/>
        </w:rPr>
        <w:t>kurios</w:t>
      </w:r>
      <w:r w:rsidRPr="00BA3FBD">
        <w:rPr>
          <w:snapToGrid w:val="0"/>
          <w:sz w:val="22"/>
          <w:szCs w:val="20"/>
          <w:u w:val="single"/>
        </w:rPr>
        <w:t xml:space="preserve"> poveikis žinomas:</w:t>
      </w:r>
    </w:p>
    <w:p w14:paraId="1A623F4D" w14:textId="77777777" w:rsidR="008A305D" w:rsidRPr="00BA3FBD" w:rsidRDefault="008A305D" w:rsidP="008A305D">
      <w:pPr>
        <w:shd w:val="clear" w:color="auto" w:fill="D9D9D9"/>
        <w:tabs>
          <w:tab w:val="left" w:pos="567"/>
        </w:tabs>
        <w:spacing w:line="260" w:lineRule="exact"/>
        <w:rPr>
          <w:snapToGrid w:val="0"/>
          <w:sz w:val="22"/>
        </w:rPr>
      </w:pPr>
      <w:r w:rsidRPr="00BA3FBD">
        <w:rPr>
          <w:snapToGrid w:val="0"/>
          <w:sz w:val="22"/>
        </w:rPr>
        <w:t>Kiekvienoje plėvele dengtoje tabletėje yra 228 mg laktozės monohidrato (žr. 4</w:t>
      </w:r>
      <w:r>
        <w:rPr>
          <w:snapToGrid w:val="0"/>
          <w:sz w:val="22"/>
        </w:rPr>
        <w:t>.4</w:t>
      </w:r>
      <w:r w:rsidRPr="00BA3FBD">
        <w:rPr>
          <w:snapToGrid w:val="0"/>
          <w:sz w:val="22"/>
        </w:rPr>
        <w:t xml:space="preserve"> skyrių).</w:t>
      </w:r>
    </w:p>
    <w:p w14:paraId="46231FA0" w14:textId="77777777" w:rsidR="008A305D" w:rsidRPr="00BA3FBD" w:rsidRDefault="008A305D" w:rsidP="008A305D">
      <w:pPr>
        <w:tabs>
          <w:tab w:val="left" w:pos="567"/>
        </w:tabs>
        <w:spacing w:line="260" w:lineRule="exact"/>
        <w:rPr>
          <w:snapToGrid w:val="0"/>
          <w:sz w:val="22"/>
        </w:rPr>
      </w:pPr>
    </w:p>
    <w:p w14:paraId="4C810EDF" w14:textId="77777777" w:rsidR="008A305D" w:rsidRPr="00BA3FBD" w:rsidRDefault="008A305D" w:rsidP="008A305D">
      <w:pPr>
        <w:pStyle w:val="Default"/>
        <w:shd w:val="clear" w:color="auto" w:fill="BFBFBF"/>
        <w:rPr>
          <w:rFonts w:ascii="Times New Roman" w:hAnsi="Times New Roman" w:cs="Times New Roman"/>
          <w:color w:val="auto"/>
          <w:sz w:val="22"/>
          <w:szCs w:val="22"/>
          <w:lang w:val="lt-LT"/>
        </w:rPr>
      </w:pPr>
      <w:r w:rsidRPr="00BA3FBD">
        <w:rPr>
          <w:rFonts w:ascii="Times New Roman" w:hAnsi="Times New Roman" w:cs="Times New Roman"/>
          <w:color w:val="auto"/>
          <w:sz w:val="22"/>
          <w:szCs w:val="22"/>
          <w:lang w:val="lt-LT"/>
        </w:rPr>
        <w:t>Kiekvienoje plėvele dengtoje tabletėje yra 478 mg imatinibo mesilato, kas atitinka 400 mg imatinibo.</w:t>
      </w:r>
    </w:p>
    <w:p w14:paraId="0E24615F" w14:textId="77777777" w:rsidR="008A305D" w:rsidRPr="00BA3FBD" w:rsidRDefault="008A305D" w:rsidP="008A305D">
      <w:pPr>
        <w:shd w:val="clear" w:color="auto" w:fill="BFBFBF"/>
        <w:tabs>
          <w:tab w:val="left" w:pos="567"/>
        </w:tabs>
        <w:spacing w:line="260" w:lineRule="exact"/>
        <w:rPr>
          <w:snapToGrid w:val="0"/>
          <w:sz w:val="22"/>
        </w:rPr>
      </w:pPr>
      <w:r w:rsidRPr="00BA3FBD">
        <w:rPr>
          <w:snapToGrid w:val="0"/>
          <w:sz w:val="22"/>
          <w:szCs w:val="20"/>
          <w:u w:val="single"/>
        </w:rPr>
        <w:t xml:space="preserve">Pagalbinė medžiaga, </w:t>
      </w:r>
      <w:r w:rsidRPr="00BA3FBD">
        <w:rPr>
          <w:snapToGrid w:val="0"/>
          <w:sz w:val="22"/>
          <w:u w:val="single"/>
        </w:rPr>
        <w:t>kurios</w:t>
      </w:r>
      <w:r w:rsidRPr="00BA3FBD">
        <w:rPr>
          <w:snapToGrid w:val="0"/>
          <w:sz w:val="22"/>
          <w:szCs w:val="20"/>
          <w:u w:val="single"/>
        </w:rPr>
        <w:t xml:space="preserve"> poveikis žinomas:</w:t>
      </w:r>
    </w:p>
    <w:p w14:paraId="24B8439E" w14:textId="77777777" w:rsidR="008A305D" w:rsidRPr="00BA3FBD" w:rsidRDefault="008A305D" w:rsidP="008A305D">
      <w:pPr>
        <w:shd w:val="clear" w:color="auto" w:fill="BFBFBF"/>
        <w:tabs>
          <w:tab w:val="left" w:pos="567"/>
        </w:tabs>
        <w:spacing w:line="260" w:lineRule="exact"/>
        <w:rPr>
          <w:snapToGrid w:val="0"/>
          <w:sz w:val="22"/>
        </w:rPr>
      </w:pPr>
      <w:r w:rsidRPr="00BA3FBD">
        <w:rPr>
          <w:snapToGrid w:val="0"/>
          <w:sz w:val="22"/>
        </w:rPr>
        <w:t>Kiekvienoje plėvele dengtoje tabletėje yra 304 mg laktozės monohidrato (žr. 4</w:t>
      </w:r>
      <w:r>
        <w:rPr>
          <w:snapToGrid w:val="0"/>
          <w:sz w:val="22"/>
        </w:rPr>
        <w:t>.4</w:t>
      </w:r>
      <w:r w:rsidRPr="00BA3FBD">
        <w:rPr>
          <w:snapToGrid w:val="0"/>
          <w:sz w:val="22"/>
        </w:rPr>
        <w:t xml:space="preserve"> skyrių).</w:t>
      </w:r>
    </w:p>
    <w:p w14:paraId="4C06D086" w14:textId="77777777" w:rsidR="008A305D" w:rsidRPr="00BA3FBD" w:rsidRDefault="008A305D" w:rsidP="008A305D">
      <w:pPr>
        <w:pStyle w:val="Default"/>
        <w:rPr>
          <w:rFonts w:ascii="Times New Roman" w:hAnsi="Times New Roman" w:cs="Times New Roman"/>
          <w:color w:val="auto"/>
          <w:sz w:val="22"/>
          <w:szCs w:val="22"/>
          <w:lang w:val="lt-LT"/>
        </w:rPr>
      </w:pPr>
    </w:p>
    <w:p w14:paraId="3C7A9380" w14:textId="77777777" w:rsidR="008A305D" w:rsidRPr="00BA3FBD" w:rsidRDefault="008A305D" w:rsidP="008A305D">
      <w:pPr>
        <w:pStyle w:val="Default"/>
        <w:rPr>
          <w:rFonts w:ascii="Times New Roman" w:hAnsi="Times New Roman" w:cs="Times New Roman"/>
          <w:color w:val="auto"/>
          <w:sz w:val="22"/>
          <w:szCs w:val="22"/>
          <w:lang w:val="lt-LT"/>
        </w:rPr>
      </w:pPr>
      <w:r w:rsidRPr="00BA3FBD">
        <w:rPr>
          <w:rFonts w:ascii="Times New Roman" w:hAnsi="Times New Roman" w:cs="Times New Roman"/>
          <w:color w:val="auto"/>
          <w:sz w:val="22"/>
          <w:szCs w:val="22"/>
          <w:lang w:val="lt-LT"/>
        </w:rPr>
        <w:t xml:space="preserve">Visos pagalbinės medžiagos išvardytos 6.1 skyriuje. </w:t>
      </w:r>
    </w:p>
    <w:p w14:paraId="457961C7" w14:textId="77777777" w:rsidR="008A305D" w:rsidRPr="00BA3FBD" w:rsidRDefault="008A305D" w:rsidP="008A305D">
      <w:pPr>
        <w:pStyle w:val="Default"/>
        <w:rPr>
          <w:rFonts w:ascii="Times New Roman" w:hAnsi="Times New Roman" w:cs="Times New Roman"/>
          <w:color w:val="auto"/>
          <w:sz w:val="22"/>
          <w:szCs w:val="22"/>
          <w:lang w:val="lt-LT"/>
        </w:rPr>
      </w:pPr>
    </w:p>
    <w:p w14:paraId="5CA8E5AF" w14:textId="77777777" w:rsidR="008A305D" w:rsidRPr="00BA3FBD" w:rsidRDefault="008A305D" w:rsidP="008A305D">
      <w:pPr>
        <w:pStyle w:val="Default"/>
        <w:rPr>
          <w:rFonts w:ascii="Times New Roman" w:hAnsi="Times New Roman" w:cs="Times New Roman"/>
          <w:color w:val="auto"/>
          <w:sz w:val="22"/>
          <w:szCs w:val="22"/>
          <w:lang w:val="lt-LT"/>
        </w:rPr>
      </w:pPr>
    </w:p>
    <w:p w14:paraId="568054F9" w14:textId="77777777" w:rsidR="008A305D" w:rsidRPr="00BA3FBD" w:rsidRDefault="008A305D" w:rsidP="008A305D">
      <w:pPr>
        <w:pStyle w:val="Default"/>
        <w:keepNext/>
        <w:numPr>
          <w:ilvl w:val="0"/>
          <w:numId w:val="4"/>
        </w:numPr>
        <w:ind w:left="567" w:hanging="567"/>
        <w:rPr>
          <w:rFonts w:ascii="Times New Roman" w:hAnsi="Times New Roman" w:cs="Times New Roman"/>
          <w:b/>
          <w:color w:val="auto"/>
          <w:sz w:val="22"/>
          <w:szCs w:val="22"/>
          <w:lang w:val="lt-LT"/>
        </w:rPr>
      </w:pPr>
      <w:r w:rsidRPr="00BA3FBD">
        <w:rPr>
          <w:rFonts w:ascii="Times New Roman" w:hAnsi="Times New Roman" w:cs="Times New Roman"/>
          <w:b/>
          <w:bCs/>
          <w:color w:val="auto"/>
          <w:sz w:val="22"/>
          <w:szCs w:val="22"/>
          <w:lang w:val="lt-LT"/>
        </w:rPr>
        <w:t xml:space="preserve">FARMACINĖ FORMA </w:t>
      </w:r>
    </w:p>
    <w:p w14:paraId="1448AB9A" w14:textId="77777777" w:rsidR="008A305D" w:rsidRPr="00BA3FBD" w:rsidRDefault="008A305D" w:rsidP="008A305D">
      <w:pPr>
        <w:pStyle w:val="Default"/>
        <w:rPr>
          <w:rFonts w:ascii="Times New Roman" w:hAnsi="Times New Roman" w:cs="Times New Roman"/>
          <w:color w:val="auto"/>
          <w:sz w:val="22"/>
          <w:szCs w:val="22"/>
          <w:lang w:val="lt-LT"/>
        </w:rPr>
      </w:pPr>
    </w:p>
    <w:p w14:paraId="42EBEFF0" w14:textId="77777777" w:rsidR="008A305D" w:rsidRPr="00BA3FBD" w:rsidRDefault="008A305D" w:rsidP="008A305D">
      <w:pPr>
        <w:pStyle w:val="Default"/>
        <w:rPr>
          <w:rFonts w:ascii="Times New Roman" w:hAnsi="Times New Roman" w:cs="Times New Roman"/>
          <w:color w:val="auto"/>
          <w:sz w:val="22"/>
          <w:szCs w:val="22"/>
          <w:lang w:val="lt-LT"/>
        </w:rPr>
      </w:pPr>
      <w:r w:rsidRPr="00BA3FBD">
        <w:rPr>
          <w:rFonts w:ascii="Times New Roman" w:hAnsi="Times New Roman" w:cs="Times New Roman"/>
          <w:color w:val="auto"/>
          <w:sz w:val="22"/>
          <w:szCs w:val="22"/>
          <w:lang w:val="lt-LT"/>
        </w:rPr>
        <w:t>Plėvele dengta tabletė (tabletė)</w:t>
      </w:r>
    </w:p>
    <w:p w14:paraId="70609E7B" w14:textId="77777777" w:rsidR="008A305D" w:rsidRPr="00BA3FBD" w:rsidRDefault="008A305D" w:rsidP="008A305D">
      <w:pPr>
        <w:pStyle w:val="Default"/>
        <w:rPr>
          <w:rFonts w:ascii="Times New Roman" w:hAnsi="Times New Roman" w:cs="Times New Roman"/>
          <w:color w:val="auto"/>
          <w:sz w:val="22"/>
          <w:szCs w:val="22"/>
          <w:lang w:val="lt-LT"/>
        </w:rPr>
      </w:pPr>
    </w:p>
    <w:p w14:paraId="45ACBBC9" w14:textId="77777777" w:rsidR="008A305D" w:rsidRPr="00BA3FBD" w:rsidRDefault="008A305D" w:rsidP="008A305D">
      <w:pPr>
        <w:pStyle w:val="Default"/>
        <w:rPr>
          <w:rFonts w:ascii="Times New Roman" w:hAnsi="Times New Roman" w:cs="Times New Roman"/>
          <w:color w:val="auto"/>
          <w:sz w:val="22"/>
          <w:szCs w:val="22"/>
          <w:lang w:val="lt-LT"/>
        </w:rPr>
      </w:pPr>
      <w:r w:rsidRPr="00BA3FBD">
        <w:rPr>
          <w:rFonts w:ascii="Times New Roman" w:hAnsi="Times New Roman" w:cs="Times New Roman"/>
          <w:color w:val="auto"/>
          <w:sz w:val="22"/>
          <w:szCs w:val="22"/>
          <w:lang w:val="lt-LT"/>
        </w:rPr>
        <w:t xml:space="preserve">Imatinib Actavis Group 100 mg plėvele dengtos tabletės: rusvai oranžinės spalvos, apvalios, 10,5 mm diametro, abipusiai išgaubtos plėvele dengtos tabletės be vagelių ar ženklinimo. </w:t>
      </w:r>
    </w:p>
    <w:p w14:paraId="0EACE577" w14:textId="77777777" w:rsidR="008A305D" w:rsidRPr="00BA3FBD" w:rsidRDefault="008A305D" w:rsidP="008A305D">
      <w:pPr>
        <w:pStyle w:val="Default"/>
        <w:rPr>
          <w:rFonts w:ascii="Times New Roman" w:hAnsi="Times New Roman" w:cs="Times New Roman"/>
          <w:color w:val="auto"/>
          <w:sz w:val="22"/>
          <w:szCs w:val="22"/>
          <w:lang w:val="lt-LT"/>
        </w:rPr>
      </w:pPr>
    </w:p>
    <w:p w14:paraId="19EBB8BC" w14:textId="77777777" w:rsidR="008A305D" w:rsidRPr="00BA3FBD" w:rsidRDefault="008A305D" w:rsidP="008A305D">
      <w:pPr>
        <w:pStyle w:val="Default"/>
        <w:shd w:val="clear" w:color="auto" w:fill="F2F2F2"/>
        <w:rPr>
          <w:rFonts w:ascii="Times New Roman" w:hAnsi="Times New Roman" w:cs="Times New Roman"/>
          <w:color w:val="auto"/>
          <w:sz w:val="22"/>
          <w:szCs w:val="22"/>
          <w:lang w:val="lt-LT"/>
        </w:rPr>
      </w:pPr>
      <w:r w:rsidRPr="00BA3FBD">
        <w:rPr>
          <w:rFonts w:ascii="Times New Roman" w:hAnsi="Times New Roman" w:cs="Times New Roman"/>
          <w:color w:val="auto"/>
          <w:sz w:val="22"/>
          <w:szCs w:val="22"/>
          <w:lang w:val="lt-LT"/>
        </w:rPr>
        <w:t>Imatinib Actavis Group 200 mg plėvele dengtos tabletės: rusvai oranžinės spalvos, ovalios, 17 mm ilgio ir 8 mm pločio, abipusiai išgaubtos plėvele dengtos tabletės su vagele vienoje pusėje ir žyme “200” kitoje.</w:t>
      </w:r>
    </w:p>
    <w:p w14:paraId="031AC81C" w14:textId="77777777" w:rsidR="008A305D" w:rsidRPr="00BA3FBD" w:rsidRDefault="008A305D" w:rsidP="008A305D">
      <w:pPr>
        <w:pStyle w:val="Default"/>
        <w:shd w:val="clear" w:color="auto" w:fill="F2F2F2"/>
        <w:rPr>
          <w:rFonts w:ascii="Times New Roman" w:hAnsi="Times New Roman" w:cs="Times New Roman"/>
          <w:color w:val="auto"/>
          <w:sz w:val="22"/>
          <w:szCs w:val="22"/>
          <w:lang w:val="lt-LT"/>
        </w:rPr>
      </w:pPr>
      <w:r w:rsidRPr="00BA3FBD">
        <w:rPr>
          <w:rFonts w:ascii="Times New Roman" w:hAnsi="Times New Roman" w:cs="Times New Roman"/>
          <w:color w:val="auto"/>
          <w:sz w:val="22"/>
          <w:szCs w:val="22"/>
          <w:lang w:val="lt-LT"/>
        </w:rPr>
        <w:t>Vagelė nėra skirta tabletei perlaužti.</w:t>
      </w:r>
    </w:p>
    <w:p w14:paraId="357B9C69" w14:textId="77777777" w:rsidR="008A305D" w:rsidRPr="00BA3FBD" w:rsidRDefault="008A305D" w:rsidP="008A305D">
      <w:pPr>
        <w:pStyle w:val="Default"/>
        <w:rPr>
          <w:rFonts w:ascii="Times New Roman" w:hAnsi="Times New Roman" w:cs="Times New Roman"/>
          <w:color w:val="auto"/>
          <w:sz w:val="22"/>
          <w:szCs w:val="22"/>
          <w:lang w:val="lt-LT"/>
        </w:rPr>
      </w:pPr>
    </w:p>
    <w:p w14:paraId="622C3180" w14:textId="77777777" w:rsidR="008A305D" w:rsidRPr="00BA3FBD" w:rsidRDefault="008A305D" w:rsidP="008A305D">
      <w:pPr>
        <w:pStyle w:val="Default"/>
        <w:shd w:val="clear" w:color="auto" w:fill="D9D9D9"/>
        <w:rPr>
          <w:rFonts w:ascii="Times New Roman" w:hAnsi="Times New Roman" w:cs="Times New Roman"/>
          <w:color w:val="auto"/>
          <w:sz w:val="22"/>
          <w:szCs w:val="22"/>
          <w:lang w:val="lt-LT"/>
        </w:rPr>
      </w:pPr>
      <w:r w:rsidRPr="00BA3FBD">
        <w:rPr>
          <w:rFonts w:ascii="Times New Roman" w:hAnsi="Times New Roman" w:cs="Times New Roman"/>
          <w:color w:val="auto"/>
          <w:sz w:val="22"/>
          <w:szCs w:val="22"/>
          <w:lang w:val="lt-LT"/>
        </w:rPr>
        <w:lastRenderedPageBreak/>
        <w:t>Imatinib Actavis Group 300 mg plėvele dengtos tabletės: rusvai oranžinės spalvos, ovalios, 19 mm ilgio ir 9 mm pločio, abipusiai išgaubtos plėvele dengtos tabletės su vagele vienoje pusėje ir žyme “300” kitoje.</w:t>
      </w:r>
    </w:p>
    <w:p w14:paraId="5473E5AC" w14:textId="77777777" w:rsidR="008A305D" w:rsidRPr="00BA3FBD" w:rsidRDefault="008A305D" w:rsidP="008A305D">
      <w:pPr>
        <w:pStyle w:val="Default"/>
        <w:shd w:val="clear" w:color="auto" w:fill="D9D9D9"/>
        <w:rPr>
          <w:rFonts w:ascii="Times New Roman" w:hAnsi="Times New Roman" w:cs="Times New Roman"/>
          <w:color w:val="auto"/>
          <w:sz w:val="22"/>
          <w:szCs w:val="22"/>
          <w:lang w:val="lt-LT"/>
        </w:rPr>
      </w:pPr>
      <w:r w:rsidRPr="00BA3FBD">
        <w:rPr>
          <w:rFonts w:ascii="Times New Roman" w:hAnsi="Times New Roman" w:cs="Times New Roman"/>
          <w:color w:val="auto"/>
          <w:sz w:val="22"/>
          <w:szCs w:val="22"/>
          <w:lang w:val="lt-LT"/>
        </w:rPr>
        <w:t>Vagelė nėra skirta tabletei perlaužti.</w:t>
      </w:r>
    </w:p>
    <w:p w14:paraId="7D3EE015" w14:textId="77777777" w:rsidR="008A305D" w:rsidRPr="00BA3FBD" w:rsidRDefault="008A305D" w:rsidP="008A305D">
      <w:pPr>
        <w:pStyle w:val="Default"/>
        <w:rPr>
          <w:rFonts w:ascii="Times New Roman" w:hAnsi="Times New Roman" w:cs="Times New Roman"/>
          <w:color w:val="auto"/>
          <w:sz w:val="22"/>
          <w:szCs w:val="22"/>
          <w:lang w:val="lt-LT"/>
        </w:rPr>
      </w:pPr>
    </w:p>
    <w:p w14:paraId="70277558" w14:textId="77777777" w:rsidR="008A305D" w:rsidRPr="00BA3FBD" w:rsidRDefault="008A305D" w:rsidP="008A305D">
      <w:pPr>
        <w:pStyle w:val="Default"/>
        <w:shd w:val="clear" w:color="auto" w:fill="A6A6A6"/>
        <w:rPr>
          <w:rFonts w:ascii="Times New Roman" w:hAnsi="Times New Roman" w:cs="Times New Roman"/>
          <w:color w:val="auto"/>
          <w:sz w:val="22"/>
          <w:szCs w:val="22"/>
          <w:lang w:val="lt-LT"/>
        </w:rPr>
      </w:pPr>
      <w:r w:rsidRPr="00BA3FBD">
        <w:rPr>
          <w:rFonts w:ascii="Times New Roman" w:hAnsi="Times New Roman" w:cs="Times New Roman"/>
          <w:color w:val="auto"/>
          <w:sz w:val="22"/>
          <w:szCs w:val="22"/>
          <w:lang w:val="lt-LT"/>
        </w:rPr>
        <w:t>Imatinib Actavis Group 400 mg plėvele dengtos tabletės</w:t>
      </w:r>
      <w:r>
        <w:rPr>
          <w:rFonts w:ascii="Times New Roman" w:hAnsi="Times New Roman" w:cs="Times New Roman"/>
          <w:color w:val="auto"/>
          <w:sz w:val="22"/>
          <w:szCs w:val="22"/>
          <w:lang w:val="lt-LT"/>
        </w:rPr>
        <w:t>:</w:t>
      </w:r>
      <w:r w:rsidRPr="00BA3FBD">
        <w:rPr>
          <w:rFonts w:ascii="Times New Roman" w:hAnsi="Times New Roman" w:cs="Times New Roman"/>
          <w:color w:val="auto"/>
          <w:sz w:val="22"/>
          <w:szCs w:val="22"/>
          <w:lang w:val="lt-LT"/>
        </w:rPr>
        <w:t xml:space="preserve"> rusvai oranžinės spalvos, kapsulės formos, 22 mm ilgio ir 10 mm pločio, abipusiai išgaubtos plėvele dengtos tabletės be vagelių ar ženklinimo.</w:t>
      </w:r>
    </w:p>
    <w:p w14:paraId="34CDAA94" w14:textId="77777777" w:rsidR="008A305D" w:rsidRPr="00BA3FBD" w:rsidRDefault="008A305D" w:rsidP="008A305D">
      <w:pPr>
        <w:pStyle w:val="Default"/>
        <w:rPr>
          <w:rFonts w:ascii="Times New Roman" w:hAnsi="Times New Roman" w:cs="Times New Roman"/>
          <w:color w:val="auto"/>
          <w:sz w:val="22"/>
          <w:szCs w:val="22"/>
          <w:lang w:val="lt-LT"/>
        </w:rPr>
      </w:pPr>
    </w:p>
    <w:p w14:paraId="5115C21C" w14:textId="77777777" w:rsidR="008A305D" w:rsidRPr="00BA3FBD" w:rsidRDefault="008A305D" w:rsidP="008A305D">
      <w:pPr>
        <w:pStyle w:val="Default"/>
        <w:rPr>
          <w:rFonts w:ascii="Times New Roman" w:hAnsi="Times New Roman" w:cs="Times New Roman"/>
          <w:color w:val="auto"/>
          <w:sz w:val="22"/>
          <w:szCs w:val="22"/>
          <w:lang w:val="lt-LT"/>
        </w:rPr>
      </w:pPr>
    </w:p>
    <w:p w14:paraId="4AC49DEA" w14:textId="77777777" w:rsidR="008A305D" w:rsidRPr="00D92F6B" w:rsidRDefault="008A305D" w:rsidP="008A305D">
      <w:pPr>
        <w:pStyle w:val="Default"/>
        <w:keepNext/>
        <w:numPr>
          <w:ilvl w:val="0"/>
          <w:numId w:val="4"/>
        </w:numPr>
        <w:ind w:left="567" w:hanging="567"/>
        <w:rPr>
          <w:rFonts w:ascii="Times New Roman" w:hAnsi="Times New Roman" w:cs="Times New Roman"/>
          <w:b/>
          <w:color w:val="auto"/>
          <w:sz w:val="22"/>
          <w:szCs w:val="22"/>
          <w:lang w:val="lt-LT"/>
        </w:rPr>
      </w:pPr>
      <w:r w:rsidRPr="00D92F6B">
        <w:rPr>
          <w:rFonts w:ascii="Times New Roman" w:hAnsi="Times New Roman" w:cs="Times New Roman"/>
          <w:b/>
          <w:bCs/>
          <w:color w:val="auto"/>
          <w:sz w:val="22"/>
          <w:szCs w:val="22"/>
          <w:lang w:val="lt-LT"/>
        </w:rPr>
        <w:t xml:space="preserve">KLINIKINĖ INFORMACIJA </w:t>
      </w:r>
    </w:p>
    <w:p w14:paraId="73EAE981" w14:textId="77777777" w:rsidR="008A305D" w:rsidRPr="00D92F6B" w:rsidRDefault="008A305D" w:rsidP="008A305D">
      <w:pPr>
        <w:pStyle w:val="Default"/>
        <w:keepNext/>
        <w:rPr>
          <w:rFonts w:ascii="Times New Roman" w:hAnsi="Times New Roman" w:cs="Times New Roman"/>
          <w:b/>
          <w:color w:val="auto"/>
          <w:sz w:val="22"/>
          <w:szCs w:val="22"/>
          <w:lang w:val="lt-LT"/>
        </w:rPr>
      </w:pPr>
    </w:p>
    <w:p w14:paraId="160CEF5B" w14:textId="77777777" w:rsidR="008A305D" w:rsidRPr="00D92F6B" w:rsidRDefault="008A305D" w:rsidP="008A305D">
      <w:pPr>
        <w:pStyle w:val="Default"/>
        <w:keepNext/>
        <w:numPr>
          <w:ilvl w:val="1"/>
          <w:numId w:val="5"/>
        </w:numPr>
        <w:ind w:left="567" w:hanging="567"/>
        <w:rPr>
          <w:rFonts w:ascii="Times New Roman" w:hAnsi="Times New Roman" w:cs="Times New Roman"/>
          <w:b/>
          <w:bCs/>
          <w:color w:val="auto"/>
          <w:sz w:val="22"/>
          <w:szCs w:val="22"/>
          <w:lang w:val="lt-LT"/>
        </w:rPr>
      </w:pPr>
      <w:r w:rsidRPr="00D92F6B">
        <w:rPr>
          <w:rFonts w:ascii="Times New Roman" w:hAnsi="Times New Roman" w:cs="Times New Roman"/>
          <w:b/>
          <w:bCs/>
          <w:color w:val="auto"/>
          <w:sz w:val="22"/>
          <w:szCs w:val="22"/>
          <w:lang w:val="lt-LT"/>
        </w:rPr>
        <w:t xml:space="preserve">Terapinės indikacijos </w:t>
      </w:r>
    </w:p>
    <w:p w14:paraId="09472258" w14:textId="77777777" w:rsidR="008A305D" w:rsidRPr="00D92F6B" w:rsidRDefault="008A305D" w:rsidP="008A305D">
      <w:pPr>
        <w:pStyle w:val="Default"/>
        <w:rPr>
          <w:rFonts w:ascii="Times New Roman" w:hAnsi="Times New Roman" w:cs="Times New Roman"/>
          <w:color w:val="auto"/>
          <w:sz w:val="22"/>
          <w:szCs w:val="22"/>
          <w:lang w:val="lt-LT"/>
        </w:rPr>
      </w:pPr>
    </w:p>
    <w:p w14:paraId="08FD4ADC" w14:textId="77777777" w:rsidR="008A305D" w:rsidRPr="00D92F6B" w:rsidRDefault="008A305D" w:rsidP="008A305D">
      <w:pPr>
        <w:pStyle w:val="Default"/>
        <w:rPr>
          <w:rFonts w:ascii="Times New Roman" w:hAnsi="Times New Roman" w:cs="Times New Roman"/>
          <w:color w:val="auto"/>
          <w:sz w:val="22"/>
          <w:szCs w:val="22"/>
          <w:lang w:val="lt-LT"/>
        </w:rPr>
      </w:pPr>
      <w:r w:rsidRPr="00D92F6B">
        <w:rPr>
          <w:rFonts w:ascii="Times New Roman" w:hAnsi="Times New Roman" w:cs="Times New Roman"/>
          <w:color w:val="auto"/>
          <w:sz w:val="22"/>
          <w:szCs w:val="22"/>
          <w:lang w:val="lt-LT"/>
        </w:rPr>
        <w:t xml:space="preserve">Imatinib Actavis Group </w:t>
      </w:r>
      <w:r>
        <w:rPr>
          <w:rFonts w:ascii="Times New Roman" w:hAnsi="Times New Roman" w:cs="Times New Roman"/>
          <w:color w:val="auto"/>
          <w:sz w:val="22"/>
          <w:szCs w:val="22"/>
          <w:lang w:val="lt-LT"/>
        </w:rPr>
        <w:t>skirtas</w:t>
      </w:r>
      <w:r w:rsidRPr="00D92F6B">
        <w:rPr>
          <w:rFonts w:ascii="Times New Roman" w:hAnsi="Times New Roman" w:cs="Times New Roman"/>
          <w:color w:val="auto"/>
          <w:sz w:val="22"/>
          <w:szCs w:val="22"/>
          <w:lang w:val="lt-LT"/>
        </w:rPr>
        <w:t xml:space="preserve"> gydyti</w:t>
      </w:r>
      <w:r>
        <w:rPr>
          <w:rFonts w:ascii="Times New Roman" w:hAnsi="Times New Roman" w:cs="Times New Roman"/>
          <w:color w:val="auto"/>
          <w:sz w:val="22"/>
          <w:szCs w:val="22"/>
          <w:lang w:val="lt-LT"/>
        </w:rPr>
        <w:t>:</w:t>
      </w:r>
      <w:r w:rsidRPr="00D92F6B">
        <w:rPr>
          <w:rFonts w:ascii="Times New Roman" w:hAnsi="Times New Roman" w:cs="Times New Roman"/>
          <w:color w:val="auto"/>
          <w:sz w:val="22"/>
          <w:szCs w:val="22"/>
          <w:lang w:val="lt-LT"/>
        </w:rPr>
        <w:t xml:space="preserve"> </w:t>
      </w:r>
    </w:p>
    <w:p w14:paraId="782D98EF" w14:textId="77777777" w:rsidR="008A305D" w:rsidRPr="00D92F6B" w:rsidRDefault="008A305D" w:rsidP="008A305D">
      <w:pPr>
        <w:pStyle w:val="Default"/>
        <w:numPr>
          <w:ilvl w:val="0"/>
          <w:numId w:val="1"/>
        </w:numPr>
        <w:ind w:left="567" w:hanging="567"/>
        <w:rPr>
          <w:rFonts w:ascii="Times New Roman" w:hAnsi="Times New Roman" w:cs="Times New Roman"/>
          <w:color w:val="auto"/>
          <w:sz w:val="22"/>
          <w:szCs w:val="22"/>
          <w:lang w:val="lt-LT"/>
        </w:rPr>
      </w:pPr>
      <w:r w:rsidRPr="00D92F6B">
        <w:rPr>
          <w:rFonts w:ascii="Times New Roman" w:hAnsi="Times New Roman" w:cs="Times New Roman"/>
          <w:color w:val="auto"/>
          <w:sz w:val="22"/>
          <w:szCs w:val="22"/>
          <w:lang w:val="lt-LT"/>
        </w:rPr>
        <w:t xml:space="preserve">vaikus, kuriems naujai diagnozuota </w:t>
      </w:r>
      <w:r w:rsidRPr="00D92F6B">
        <w:rPr>
          <w:rFonts w:ascii="Times New Roman" w:hAnsi="Times New Roman" w:cs="Times New Roman"/>
          <w:i/>
          <w:iCs/>
          <w:color w:val="auto"/>
          <w:sz w:val="22"/>
          <w:szCs w:val="22"/>
          <w:lang w:val="lt-LT"/>
        </w:rPr>
        <w:t xml:space="preserve">Philadelphia </w:t>
      </w:r>
      <w:r w:rsidRPr="00D92F6B">
        <w:rPr>
          <w:rFonts w:ascii="Times New Roman" w:hAnsi="Times New Roman" w:cs="Times New Roman"/>
          <w:color w:val="auto"/>
          <w:sz w:val="22"/>
          <w:szCs w:val="22"/>
          <w:lang w:val="lt-LT"/>
        </w:rPr>
        <w:t xml:space="preserve">chromosomai (bcr-abl) teigiama (Ph+) lėtinė </w:t>
      </w:r>
      <w:r w:rsidRPr="00D572D3">
        <w:rPr>
          <w:rFonts w:ascii="Times New Roman" w:hAnsi="Times New Roman" w:cs="Times New Roman"/>
          <w:sz w:val="22"/>
          <w:szCs w:val="22"/>
          <w:lang w:val="lt-LT"/>
        </w:rPr>
        <w:t>mieloidinė leukemija</w:t>
      </w:r>
      <w:r w:rsidRPr="00D92F6B">
        <w:rPr>
          <w:rFonts w:ascii="Times New Roman" w:hAnsi="Times New Roman" w:cs="Times New Roman"/>
          <w:color w:val="auto"/>
          <w:sz w:val="22"/>
          <w:szCs w:val="22"/>
          <w:lang w:val="lt-LT"/>
        </w:rPr>
        <w:t xml:space="preserve"> (LML) ir kuriems kaulų čiulpų transplantacija nėra pirmiausiai pasirenkamas gydymas</w:t>
      </w:r>
      <w:r>
        <w:rPr>
          <w:rFonts w:ascii="Times New Roman" w:hAnsi="Times New Roman" w:cs="Times New Roman"/>
          <w:color w:val="auto"/>
          <w:sz w:val="22"/>
          <w:szCs w:val="22"/>
          <w:lang w:val="lt-LT"/>
        </w:rPr>
        <w:t>;</w:t>
      </w:r>
      <w:r w:rsidRPr="00D92F6B">
        <w:rPr>
          <w:rFonts w:ascii="Times New Roman" w:hAnsi="Times New Roman" w:cs="Times New Roman"/>
          <w:color w:val="auto"/>
          <w:sz w:val="22"/>
          <w:szCs w:val="22"/>
          <w:lang w:val="lt-LT"/>
        </w:rPr>
        <w:t xml:space="preserve"> </w:t>
      </w:r>
    </w:p>
    <w:p w14:paraId="0850FFD0" w14:textId="77777777" w:rsidR="008A305D" w:rsidRPr="00D92F6B" w:rsidRDefault="008A305D" w:rsidP="008A305D">
      <w:pPr>
        <w:pStyle w:val="Default"/>
        <w:numPr>
          <w:ilvl w:val="0"/>
          <w:numId w:val="1"/>
        </w:numPr>
        <w:ind w:left="567" w:hanging="567"/>
        <w:rPr>
          <w:rFonts w:ascii="Times New Roman" w:hAnsi="Times New Roman" w:cs="Times New Roman"/>
          <w:color w:val="auto"/>
          <w:sz w:val="22"/>
          <w:szCs w:val="22"/>
          <w:lang w:val="lt-LT"/>
        </w:rPr>
      </w:pPr>
      <w:r w:rsidRPr="00D92F6B">
        <w:rPr>
          <w:rFonts w:ascii="Times New Roman" w:hAnsi="Times New Roman" w:cs="Times New Roman"/>
          <w:color w:val="auto"/>
          <w:sz w:val="22"/>
          <w:szCs w:val="22"/>
          <w:lang w:val="lt-LT"/>
        </w:rPr>
        <w:t xml:space="preserve">vaikus, kuriems </w:t>
      </w:r>
      <w:r>
        <w:rPr>
          <w:rFonts w:ascii="Times New Roman" w:hAnsi="Times New Roman" w:cs="Times New Roman"/>
          <w:color w:val="auto"/>
          <w:sz w:val="22"/>
          <w:szCs w:val="22"/>
          <w:lang w:val="lt-LT"/>
        </w:rPr>
        <w:t>nustatyta</w:t>
      </w:r>
      <w:r w:rsidRPr="00D92F6B">
        <w:rPr>
          <w:rFonts w:ascii="Times New Roman" w:hAnsi="Times New Roman" w:cs="Times New Roman"/>
          <w:color w:val="auto"/>
          <w:sz w:val="22"/>
          <w:szCs w:val="22"/>
          <w:lang w:val="lt-LT"/>
        </w:rPr>
        <w:t xml:space="preserve"> Ph+ LML lėtinė fazė po </w:t>
      </w:r>
      <w:r w:rsidRPr="00D206E5">
        <w:rPr>
          <w:rFonts w:ascii="Times New Roman" w:hAnsi="Times New Roman" w:cs="Times New Roman"/>
          <w:spacing w:val="1"/>
          <w:sz w:val="22"/>
          <w:szCs w:val="22"/>
          <w:lang w:val="es-ES"/>
        </w:rPr>
        <w:t>neveiksmingo</w:t>
      </w:r>
      <w:r w:rsidRPr="00D92F6B">
        <w:rPr>
          <w:rFonts w:ascii="Times New Roman" w:hAnsi="Times New Roman" w:cs="Times New Roman"/>
          <w:color w:val="auto"/>
          <w:sz w:val="22"/>
          <w:szCs w:val="22"/>
          <w:lang w:val="lt-LT"/>
        </w:rPr>
        <w:t xml:space="preserve"> gydymo interferonu alfa arba akceleracijos fazė, ar blastinė krizė</w:t>
      </w:r>
      <w:r>
        <w:rPr>
          <w:rFonts w:ascii="Times New Roman" w:hAnsi="Times New Roman" w:cs="Times New Roman"/>
          <w:color w:val="auto"/>
          <w:sz w:val="22"/>
          <w:szCs w:val="22"/>
          <w:lang w:val="lt-LT"/>
        </w:rPr>
        <w:t>;</w:t>
      </w:r>
      <w:r w:rsidRPr="00D92F6B">
        <w:rPr>
          <w:rFonts w:ascii="Times New Roman" w:hAnsi="Times New Roman" w:cs="Times New Roman"/>
          <w:color w:val="auto"/>
          <w:sz w:val="22"/>
          <w:szCs w:val="22"/>
          <w:lang w:val="lt-LT"/>
        </w:rPr>
        <w:t xml:space="preserve"> </w:t>
      </w:r>
    </w:p>
    <w:p w14:paraId="26729320" w14:textId="77777777" w:rsidR="008A305D" w:rsidRPr="00D92F6B" w:rsidRDefault="008A305D" w:rsidP="008A305D">
      <w:pPr>
        <w:pStyle w:val="Default"/>
        <w:numPr>
          <w:ilvl w:val="0"/>
          <w:numId w:val="1"/>
        </w:numPr>
        <w:ind w:left="567" w:hanging="567"/>
        <w:rPr>
          <w:rFonts w:ascii="Times New Roman" w:hAnsi="Times New Roman" w:cs="Times New Roman"/>
          <w:color w:val="auto"/>
          <w:sz w:val="22"/>
          <w:szCs w:val="22"/>
          <w:lang w:val="lt-LT"/>
        </w:rPr>
      </w:pPr>
      <w:r w:rsidRPr="00D92F6B">
        <w:rPr>
          <w:rFonts w:ascii="Times New Roman" w:hAnsi="Times New Roman" w:cs="Times New Roman"/>
          <w:color w:val="auto"/>
          <w:sz w:val="22"/>
          <w:szCs w:val="22"/>
          <w:lang w:val="lt-LT"/>
        </w:rPr>
        <w:t>suaugusi</w:t>
      </w:r>
      <w:r>
        <w:rPr>
          <w:rFonts w:ascii="Times New Roman" w:hAnsi="Times New Roman" w:cs="Times New Roman"/>
          <w:color w:val="auto"/>
          <w:sz w:val="22"/>
          <w:szCs w:val="22"/>
          <w:lang w:val="lt-LT"/>
        </w:rPr>
        <w:t>uosius, kuriems nustatyta</w:t>
      </w:r>
      <w:r w:rsidRPr="00D92F6B">
        <w:rPr>
          <w:rFonts w:ascii="Times New Roman" w:hAnsi="Times New Roman" w:cs="Times New Roman"/>
          <w:color w:val="auto"/>
          <w:sz w:val="22"/>
          <w:szCs w:val="22"/>
          <w:lang w:val="lt-LT"/>
        </w:rPr>
        <w:t xml:space="preserve"> Ph+ LML blastinė krizė</w:t>
      </w:r>
      <w:r>
        <w:rPr>
          <w:rFonts w:ascii="Times New Roman" w:hAnsi="Times New Roman" w:cs="Times New Roman"/>
          <w:color w:val="auto"/>
          <w:sz w:val="22"/>
          <w:szCs w:val="22"/>
          <w:lang w:val="lt-LT"/>
        </w:rPr>
        <w:t>;</w:t>
      </w:r>
      <w:r w:rsidRPr="00D92F6B">
        <w:rPr>
          <w:rFonts w:ascii="Times New Roman" w:hAnsi="Times New Roman" w:cs="Times New Roman"/>
          <w:color w:val="auto"/>
          <w:sz w:val="22"/>
          <w:szCs w:val="22"/>
          <w:lang w:val="lt-LT"/>
        </w:rPr>
        <w:t xml:space="preserve"> </w:t>
      </w:r>
    </w:p>
    <w:p w14:paraId="1482EDD2" w14:textId="77777777" w:rsidR="008A305D" w:rsidRPr="00D92F6B" w:rsidRDefault="008A305D" w:rsidP="008A305D">
      <w:pPr>
        <w:numPr>
          <w:ilvl w:val="0"/>
          <w:numId w:val="1"/>
        </w:numPr>
        <w:autoSpaceDE w:val="0"/>
        <w:autoSpaceDN w:val="0"/>
        <w:adjustRightInd w:val="0"/>
        <w:spacing w:after="35"/>
        <w:ind w:left="567" w:hanging="567"/>
        <w:rPr>
          <w:rFonts w:eastAsia="Calibri"/>
          <w:color w:val="000000"/>
          <w:sz w:val="22"/>
          <w:szCs w:val="22"/>
        </w:rPr>
      </w:pPr>
      <w:r w:rsidRPr="00D92F6B">
        <w:rPr>
          <w:rFonts w:eastAsia="Calibri"/>
          <w:color w:val="000000"/>
          <w:sz w:val="22"/>
          <w:szCs w:val="22"/>
        </w:rPr>
        <w:t>suaugusi</w:t>
      </w:r>
      <w:r>
        <w:rPr>
          <w:rFonts w:eastAsia="Calibri"/>
          <w:color w:val="000000"/>
          <w:sz w:val="22"/>
          <w:szCs w:val="22"/>
        </w:rPr>
        <w:t>uosius, kuriems</w:t>
      </w:r>
      <w:r w:rsidRPr="00D92F6B">
        <w:rPr>
          <w:rFonts w:eastAsia="Calibri"/>
          <w:color w:val="000000"/>
          <w:sz w:val="22"/>
          <w:szCs w:val="22"/>
        </w:rPr>
        <w:t xml:space="preserve"> naujai diagnozuot</w:t>
      </w:r>
      <w:r>
        <w:rPr>
          <w:rFonts w:eastAsia="Calibri"/>
          <w:color w:val="000000"/>
          <w:sz w:val="22"/>
          <w:szCs w:val="22"/>
        </w:rPr>
        <w:t>a</w:t>
      </w:r>
      <w:r w:rsidRPr="00D92F6B">
        <w:rPr>
          <w:rFonts w:eastAsia="Calibri"/>
          <w:color w:val="000000"/>
          <w:sz w:val="22"/>
          <w:szCs w:val="22"/>
        </w:rPr>
        <w:t xml:space="preserve"> </w:t>
      </w:r>
      <w:r w:rsidRPr="00D92F6B">
        <w:rPr>
          <w:rFonts w:eastAsia="Calibri"/>
          <w:i/>
          <w:iCs/>
          <w:color w:val="000000"/>
          <w:sz w:val="22"/>
          <w:szCs w:val="22"/>
        </w:rPr>
        <w:t xml:space="preserve">Philadelphia </w:t>
      </w:r>
      <w:r w:rsidRPr="00D92F6B">
        <w:rPr>
          <w:rFonts w:eastAsia="Calibri"/>
          <w:color w:val="000000"/>
          <w:sz w:val="22"/>
          <w:szCs w:val="22"/>
        </w:rPr>
        <w:t>chromosomai teigiam</w:t>
      </w:r>
      <w:r>
        <w:rPr>
          <w:rFonts w:eastAsia="Calibri"/>
          <w:color w:val="000000"/>
          <w:sz w:val="22"/>
          <w:szCs w:val="22"/>
        </w:rPr>
        <w:t>a</w:t>
      </w:r>
      <w:r w:rsidRPr="00D92F6B">
        <w:rPr>
          <w:rFonts w:eastAsia="Calibri"/>
          <w:color w:val="000000"/>
          <w:sz w:val="22"/>
          <w:szCs w:val="22"/>
        </w:rPr>
        <w:t xml:space="preserve"> ūminė </w:t>
      </w:r>
      <w:r w:rsidRPr="00D206E5">
        <w:rPr>
          <w:rFonts w:eastAsia="Calibri"/>
          <w:color w:val="000000"/>
          <w:sz w:val="22"/>
          <w:szCs w:val="22"/>
        </w:rPr>
        <w:t>limfoblastinė leukemija</w:t>
      </w:r>
      <w:r w:rsidRPr="00AC3918">
        <w:t xml:space="preserve"> </w:t>
      </w:r>
      <w:r w:rsidRPr="00D92F6B">
        <w:rPr>
          <w:rFonts w:eastAsia="Calibri"/>
          <w:color w:val="000000"/>
          <w:sz w:val="22"/>
          <w:szCs w:val="22"/>
        </w:rPr>
        <w:t>(Ph+ ŪLL)</w:t>
      </w:r>
      <w:r>
        <w:rPr>
          <w:rFonts w:eastAsia="Calibri"/>
          <w:color w:val="000000"/>
          <w:sz w:val="22"/>
          <w:szCs w:val="22"/>
        </w:rPr>
        <w:t>,</w:t>
      </w:r>
      <w:r w:rsidRPr="00D92F6B">
        <w:rPr>
          <w:rFonts w:eastAsia="Calibri"/>
          <w:color w:val="000000"/>
          <w:sz w:val="22"/>
          <w:szCs w:val="22"/>
        </w:rPr>
        <w:t xml:space="preserve"> kartu </w:t>
      </w:r>
      <w:r w:rsidRPr="00D206E5">
        <w:rPr>
          <w:rFonts w:eastAsia="Calibri"/>
          <w:color w:val="000000"/>
          <w:sz w:val="22"/>
          <w:szCs w:val="22"/>
        </w:rPr>
        <w:t>skiriant ir kitą chemoterapiją</w:t>
      </w:r>
      <w:r>
        <w:rPr>
          <w:rFonts w:eastAsia="Calibri"/>
          <w:color w:val="000000"/>
          <w:sz w:val="22"/>
          <w:szCs w:val="22"/>
        </w:rPr>
        <w:t>;</w:t>
      </w:r>
      <w:r w:rsidRPr="00D92F6B">
        <w:rPr>
          <w:rFonts w:eastAsia="Calibri"/>
          <w:color w:val="000000"/>
          <w:sz w:val="22"/>
          <w:szCs w:val="22"/>
        </w:rPr>
        <w:t xml:space="preserve"> </w:t>
      </w:r>
    </w:p>
    <w:p w14:paraId="7DEA57CB" w14:textId="77777777" w:rsidR="008A305D" w:rsidRPr="00D92F6B" w:rsidRDefault="008A305D" w:rsidP="008A305D">
      <w:pPr>
        <w:numPr>
          <w:ilvl w:val="0"/>
          <w:numId w:val="1"/>
        </w:numPr>
        <w:autoSpaceDE w:val="0"/>
        <w:autoSpaceDN w:val="0"/>
        <w:adjustRightInd w:val="0"/>
        <w:spacing w:after="35"/>
        <w:ind w:left="567" w:hanging="567"/>
        <w:rPr>
          <w:rFonts w:eastAsia="Calibri"/>
          <w:color w:val="000000"/>
          <w:sz w:val="22"/>
          <w:szCs w:val="22"/>
        </w:rPr>
      </w:pPr>
      <w:r w:rsidRPr="00D92F6B">
        <w:rPr>
          <w:rFonts w:eastAsia="Calibri"/>
          <w:color w:val="000000"/>
          <w:sz w:val="22"/>
          <w:szCs w:val="22"/>
        </w:rPr>
        <w:t>suaugusiųjų recidyvavusi</w:t>
      </w:r>
      <w:r>
        <w:rPr>
          <w:rFonts w:eastAsia="Calibri"/>
          <w:color w:val="000000"/>
          <w:sz w:val="22"/>
          <w:szCs w:val="22"/>
        </w:rPr>
        <w:t>ą</w:t>
      </w:r>
      <w:r w:rsidRPr="00D92F6B">
        <w:rPr>
          <w:rFonts w:eastAsia="Calibri"/>
          <w:color w:val="000000"/>
          <w:sz w:val="22"/>
          <w:szCs w:val="22"/>
        </w:rPr>
        <w:t xml:space="preserve"> ar refrakterin</w:t>
      </w:r>
      <w:r>
        <w:rPr>
          <w:rFonts w:eastAsia="Calibri"/>
          <w:color w:val="000000"/>
          <w:sz w:val="22"/>
          <w:szCs w:val="22"/>
        </w:rPr>
        <w:t>ę</w:t>
      </w:r>
      <w:r w:rsidRPr="00D92F6B">
        <w:rPr>
          <w:rFonts w:eastAsia="Calibri"/>
          <w:color w:val="000000"/>
          <w:sz w:val="22"/>
          <w:szCs w:val="22"/>
        </w:rPr>
        <w:t xml:space="preserve"> Ph+ŪLL </w:t>
      </w:r>
      <w:r>
        <w:rPr>
          <w:rFonts w:eastAsia="Calibri"/>
          <w:color w:val="000000"/>
          <w:sz w:val="22"/>
          <w:szCs w:val="22"/>
        </w:rPr>
        <w:t>(</w:t>
      </w:r>
      <w:r w:rsidRPr="00D92F6B">
        <w:rPr>
          <w:rFonts w:eastAsia="Calibri"/>
          <w:color w:val="000000"/>
          <w:sz w:val="22"/>
          <w:szCs w:val="22"/>
        </w:rPr>
        <w:t>monoterapija</w:t>
      </w:r>
      <w:r>
        <w:rPr>
          <w:rFonts w:eastAsia="Calibri"/>
          <w:color w:val="000000"/>
          <w:sz w:val="22"/>
          <w:szCs w:val="22"/>
        </w:rPr>
        <w:t>);</w:t>
      </w:r>
      <w:r w:rsidRPr="00D92F6B">
        <w:rPr>
          <w:rFonts w:eastAsia="Calibri"/>
          <w:color w:val="000000"/>
          <w:sz w:val="22"/>
          <w:szCs w:val="22"/>
        </w:rPr>
        <w:t xml:space="preserve"> </w:t>
      </w:r>
    </w:p>
    <w:p w14:paraId="22370407" w14:textId="77777777" w:rsidR="008A305D" w:rsidRPr="00D92F6B" w:rsidRDefault="008A305D" w:rsidP="008A305D">
      <w:pPr>
        <w:numPr>
          <w:ilvl w:val="0"/>
          <w:numId w:val="1"/>
        </w:numPr>
        <w:autoSpaceDE w:val="0"/>
        <w:autoSpaceDN w:val="0"/>
        <w:adjustRightInd w:val="0"/>
        <w:spacing w:after="35"/>
        <w:ind w:left="567" w:hanging="567"/>
        <w:rPr>
          <w:rFonts w:eastAsia="Calibri"/>
          <w:color w:val="000000"/>
          <w:sz w:val="22"/>
          <w:szCs w:val="22"/>
        </w:rPr>
      </w:pPr>
      <w:r w:rsidRPr="00D92F6B">
        <w:rPr>
          <w:rFonts w:eastAsia="Calibri"/>
          <w:color w:val="000000"/>
          <w:sz w:val="22"/>
          <w:szCs w:val="22"/>
        </w:rPr>
        <w:t xml:space="preserve">suaugusiųjų </w:t>
      </w:r>
      <w:r w:rsidRPr="00D572D3">
        <w:rPr>
          <w:rFonts w:eastAsia="Calibri"/>
          <w:color w:val="000000"/>
          <w:sz w:val="22"/>
          <w:szCs w:val="22"/>
        </w:rPr>
        <w:t>mielodisplazinį sindromą</w:t>
      </w:r>
      <w:r w:rsidRPr="00D92F6B">
        <w:rPr>
          <w:rFonts w:eastAsia="Calibri"/>
          <w:color w:val="000000"/>
          <w:sz w:val="22"/>
          <w:szCs w:val="22"/>
        </w:rPr>
        <w:t xml:space="preserve"> ar mieloproliferacines ligas (MDS/MPL), susijusias su trombocitų kilmės augimo faktoriaus receptoriaus (ang. </w:t>
      </w:r>
      <w:r w:rsidRPr="00D92F6B">
        <w:rPr>
          <w:rFonts w:eastAsia="Calibri"/>
          <w:i/>
          <w:iCs/>
          <w:color w:val="000000"/>
          <w:sz w:val="22"/>
          <w:szCs w:val="22"/>
        </w:rPr>
        <w:t>platelet-derived growth factor receptor</w:t>
      </w:r>
      <w:r w:rsidRPr="00D92F6B">
        <w:rPr>
          <w:rFonts w:eastAsia="Calibri"/>
          <w:color w:val="000000"/>
          <w:sz w:val="22"/>
          <w:szCs w:val="22"/>
        </w:rPr>
        <w:t>, PDGFR) genų pakitimais</w:t>
      </w:r>
      <w:r>
        <w:rPr>
          <w:rFonts w:eastAsia="Calibri"/>
          <w:color w:val="000000"/>
          <w:sz w:val="22"/>
          <w:szCs w:val="22"/>
        </w:rPr>
        <w:t>;</w:t>
      </w:r>
      <w:r w:rsidRPr="00D92F6B">
        <w:rPr>
          <w:rFonts w:eastAsia="Calibri"/>
          <w:color w:val="000000"/>
          <w:sz w:val="22"/>
          <w:szCs w:val="22"/>
        </w:rPr>
        <w:t xml:space="preserve"> </w:t>
      </w:r>
    </w:p>
    <w:p w14:paraId="33A24EFE" w14:textId="77777777" w:rsidR="008A305D" w:rsidRPr="00D92F6B" w:rsidRDefault="008A305D" w:rsidP="008A305D">
      <w:pPr>
        <w:numPr>
          <w:ilvl w:val="0"/>
          <w:numId w:val="1"/>
        </w:numPr>
        <w:autoSpaceDE w:val="0"/>
        <w:autoSpaceDN w:val="0"/>
        <w:adjustRightInd w:val="0"/>
        <w:ind w:left="567" w:hanging="567"/>
        <w:rPr>
          <w:rFonts w:eastAsia="Calibri"/>
          <w:color w:val="000000"/>
          <w:sz w:val="22"/>
          <w:szCs w:val="22"/>
        </w:rPr>
      </w:pPr>
      <w:r w:rsidRPr="00D92F6B">
        <w:rPr>
          <w:rFonts w:eastAsia="Calibri"/>
          <w:color w:val="000000"/>
          <w:sz w:val="22"/>
          <w:szCs w:val="22"/>
        </w:rPr>
        <w:t xml:space="preserve">suaugusiųjų progresavusį hipereozinofilijos sindromą (HES) </w:t>
      </w:r>
      <w:r>
        <w:rPr>
          <w:rFonts w:eastAsia="Calibri"/>
          <w:color w:val="000000"/>
          <w:sz w:val="22"/>
          <w:szCs w:val="22"/>
        </w:rPr>
        <w:t>i</w:t>
      </w:r>
      <w:r w:rsidRPr="00D92F6B">
        <w:rPr>
          <w:rFonts w:eastAsia="Calibri"/>
          <w:color w:val="000000"/>
          <w:sz w:val="22"/>
          <w:szCs w:val="22"/>
        </w:rPr>
        <w:t>r (arba) lėtinę eozinofilinę leukemiją (LEL) su FIP1L1-PDGFR</w:t>
      </w:r>
      <w:r w:rsidRPr="0045031A">
        <w:rPr>
          <w:sz w:val="22"/>
          <w:szCs w:val="22"/>
        </w:rPr>
        <w:t>α</w:t>
      </w:r>
      <w:r w:rsidRPr="00D92F6B">
        <w:rPr>
          <w:rFonts w:eastAsia="Calibri"/>
          <w:color w:val="000000"/>
          <w:sz w:val="22"/>
          <w:szCs w:val="22"/>
        </w:rPr>
        <w:t xml:space="preserve"> pokyčiu. </w:t>
      </w:r>
    </w:p>
    <w:p w14:paraId="74BD46EE" w14:textId="77777777" w:rsidR="008A305D" w:rsidRPr="00D92F6B" w:rsidRDefault="008A305D" w:rsidP="008A305D">
      <w:pPr>
        <w:pStyle w:val="Default"/>
        <w:rPr>
          <w:rFonts w:ascii="Times New Roman" w:hAnsi="Times New Roman" w:cs="Times New Roman"/>
          <w:color w:val="auto"/>
          <w:sz w:val="22"/>
          <w:szCs w:val="22"/>
          <w:lang w:val="lt-LT"/>
        </w:rPr>
      </w:pPr>
    </w:p>
    <w:p w14:paraId="1C56FE71" w14:textId="77777777" w:rsidR="008A305D" w:rsidRPr="00D92F6B" w:rsidRDefault="008A305D" w:rsidP="008A305D">
      <w:pPr>
        <w:pStyle w:val="Default"/>
        <w:rPr>
          <w:rFonts w:ascii="Times New Roman" w:hAnsi="Times New Roman" w:cs="Times New Roman"/>
          <w:color w:val="auto"/>
          <w:sz w:val="22"/>
          <w:szCs w:val="22"/>
          <w:lang w:val="lt-LT"/>
        </w:rPr>
      </w:pPr>
      <w:r w:rsidRPr="00D92F6B">
        <w:rPr>
          <w:rFonts w:ascii="Times New Roman" w:hAnsi="Times New Roman" w:cs="Times New Roman"/>
          <w:color w:val="auto"/>
          <w:sz w:val="22"/>
          <w:szCs w:val="22"/>
          <w:lang w:val="lt-LT"/>
        </w:rPr>
        <w:t xml:space="preserve">Imatinib Actavis Group poveikis kaulų čiulpų transplantacijos rezultatams nenustatytas. </w:t>
      </w:r>
    </w:p>
    <w:p w14:paraId="506BF0C5" w14:textId="77777777" w:rsidR="008A305D" w:rsidRPr="00D92F6B" w:rsidRDefault="008A305D" w:rsidP="008A305D">
      <w:pPr>
        <w:pStyle w:val="Default"/>
        <w:rPr>
          <w:rFonts w:ascii="Times New Roman" w:hAnsi="Times New Roman" w:cs="Times New Roman"/>
          <w:color w:val="auto"/>
          <w:sz w:val="22"/>
          <w:szCs w:val="22"/>
          <w:lang w:val="lt-LT"/>
        </w:rPr>
      </w:pPr>
    </w:p>
    <w:p w14:paraId="5800867D" w14:textId="77777777" w:rsidR="008A305D" w:rsidRPr="00203E94" w:rsidRDefault="008A305D" w:rsidP="008A305D">
      <w:pPr>
        <w:autoSpaceDE w:val="0"/>
        <w:autoSpaceDN w:val="0"/>
        <w:adjustRightInd w:val="0"/>
        <w:rPr>
          <w:rFonts w:eastAsia="Calibri"/>
          <w:color w:val="000000"/>
          <w:sz w:val="22"/>
          <w:szCs w:val="22"/>
        </w:rPr>
      </w:pPr>
      <w:r w:rsidRPr="0045031A">
        <w:rPr>
          <w:rFonts w:eastAsia="Calibri"/>
          <w:color w:val="000000"/>
          <w:sz w:val="22"/>
          <w:szCs w:val="22"/>
        </w:rPr>
        <w:t xml:space="preserve">Imatinib Actavis Group </w:t>
      </w:r>
      <w:r>
        <w:rPr>
          <w:rFonts w:eastAsia="Calibri"/>
          <w:color w:val="000000"/>
          <w:sz w:val="22"/>
          <w:szCs w:val="22"/>
        </w:rPr>
        <w:t>skirtas</w:t>
      </w:r>
      <w:r w:rsidRPr="00203E94">
        <w:rPr>
          <w:rFonts w:eastAsia="Calibri"/>
          <w:color w:val="000000"/>
          <w:sz w:val="22"/>
          <w:szCs w:val="22"/>
        </w:rPr>
        <w:t>:</w:t>
      </w:r>
    </w:p>
    <w:p w14:paraId="273449D8" w14:textId="77777777" w:rsidR="008A305D" w:rsidRPr="00D92F6B" w:rsidRDefault="008A305D" w:rsidP="008A305D">
      <w:pPr>
        <w:numPr>
          <w:ilvl w:val="0"/>
          <w:numId w:val="1"/>
        </w:numPr>
        <w:ind w:left="567" w:hanging="567"/>
        <w:rPr>
          <w:color w:val="000000"/>
          <w:sz w:val="22"/>
          <w:szCs w:val="22"/>
        </w:rPr>
      </w:pPr>
      <w:r w:rsidRPr="00D92F6B">
        <w:rPr>
          <w:color w:val="000000"/>
          <w:sz w:val="22"/>
          <w:szCs w:val="22"/>
        </w:rPr>
        <w:t>suaugusiesiems, kuriems yra Kit (CD 117) teigiamas nerezekuotinas ir (ar) metastaz</w:t>
      </w:r>
      <w:r>
        <w:rPr>
          <w:color w:val="000000"/>
          <w:sz w:val="22"/>
          <w:szCs w:val="22"/>
        </w:rPr>
        <w:t>inis</w:t>
      </w:r>
      <w:r w:rsidRPr="00D92F6B">
        <w:rPr>
          <w:color w:val="000000"/>
          <w:sz w:val="22"/>
          <w:szCs w:val="22"/>
        </w:rPr>
        <w:t xml:space="preserve"> piktybinis virškinimo trakto stromos navikas (</w:t>
      </w:r>
      <w:r w:rsidRPr="00203E94">
        <w:rPr>
          <w:iCs/>
          <w:snapToGrid w:val="0"/>
          <w:sz w:val="22"/>
          <w:szCs w:val="22"/>
        </w:rPr>
        <w:t>ang.</w:t>
      </w:r>
      <w:r w:rsidRPr="00203E94" w:rsidDel="0020661A">
        <w:rPr>
          <w:snapToGrid w:val="0"/>
          <w:sz w:val="22"/>
          <w:szCs w:val="22"/>
        </w:rPr>
        <w:t xml:space="preserve"> </w:t>
      </w:r>
      <w:r w:rsidRPr="00203E94">
        <w:rPr>
          <w:bCs/>
          <w:i/>
          <w:snapToGrid w:val="0"/>
          <w:sz w:val="22"/>
          <w:szCs w:val="22"/>
        </w:rPr>
        <w:t xml:space="preserve">gastrointestinal stromal tumor, </w:t>
      </w:r>
      <w:r w:rsidRPr="00203E94">
        <w:rPr>
          <w:snapToGrid w:val="0"/>
          <w:sz w:val="22"/>
          <w:szCs w:val="22"/>
        </w:rPr>
        <w:t>GIST</w:t>
      </w:r>
      <w:r w:rsidRPr="00D92F6B">
        <w:rPr>
          <w:color w:val="000000"/>
          <w:sz w:val="22"/>
          <w:szCs w:val="22"/>
        </w:rPr>
        <w:t>), gydyti</w:t>
      </w:r>
      <w:r>
        <w:rPr>
          <w:color w:val="000000"/>
          <w:sz w:val="22"/>
          <w:szCs w:val="22"/>
        </w:rPr>
        <w:t>;</w:t>
      </w:r>
    </w:p>
    <w:p w14:paraId="1C01B48B" w14:textId="77777777" w:rsidR="008A305D" w:rsidRPr="00D92F6B" w:rsidRDefault="008A305D" w:rsidP="008A305D">
      <w:pPr>
        <w:numPr>
          <w:ilvl w:val="0"/>
          <w:numId w:val="1"/>
        </w:numPr>
        <w:ind w:left="567" w:hanging="567"/>
        <w:rPr>
          <w:color w:val="000000"/>
          <w:sz w:val="22"/>
          <w:szCs w:val="22"/>
        </w:rPr>
      </w:pPr>
      <w:r w:rsidRPr="00D92F6B">
        <w:rPr>
          <w:sz w:val="22"/>
          <w:szCs w:val="22"/>
        </w:rPr>
        <w:t xml:space="preserve">adjuvantiniam suaugusiųjų, kuriems po atliktos </w:t>
      </w:r>
      <w:r w:rsidRPr="00D92F6B">
        <w:rPr>
          <w:color w:val="000000"/>
          <w:sz w:val="22"/>
          <w:szCs w:val="22"/>
        </w:rPr>
        <w:t xml:space="preserve">Kit (CD 117) teigiamo </w:t>
      </w:r>
      <w:r>
        <w:rPr>
          <w:color w:val="000000"/>
          <w:sz w:val="22"/>
          <w:szCs w:val="22"/>
        </w:rPr>
        <w:t>GIST</w:t>
      </w:r>
      <w:r w:rsidRPr="00D92F6B">
        <w:rPr>
          <w:color w:val="000000"/>
          <w:sz w:val="22"/>
          <w:szCs w:val="22"/>
        </w:rPr>
        <w:t xml:space="preserve"> rezekcijos</w:t>
      </w:r>
      <w:r w:rsidRPr="00D92F6B">
        <w:rPr>
          <w:sz w:val="22"/>
          <w:szCs w:val="22"/>
        </w:rPr>
        <w:t xml:space="preserve"> yra reikšmingai padidėjusi recidyvo rizika</w:t>
      </w:r>
      <w:r w:rsidRPr="00D92F6B">
        <w:rPr>
          <w:color w:val="000000"/>
          <w:sz w:val="22"/>
          <w:szCs w:val="22"/>
        </w:rPr>
        <w:t>, gydymui. Pacienta</w:t>
      </w:r>
      <w:r>
        <w:rPr>
          <w:color w:val="000000"/>
          <w:sz w:val="22"/>
          <w:szCs w:val="22"/>
        </w:rPr>
        <w:t>ms</w:t>
      </w:r>
      <w:r w:rsidRPr="00D92F6B">
        <w:rPr>
          <w:color w:val="000000"/>
          <w:sz w:val="22"/>
          <w:szCs w:val="22"/>
        </w:rPr>
        <w:t xml:space="preserve">, kuriems yra maža ar labai maža recidyvo rizika neturi </w:t>
      </w:r>
      <w:r>
        <w:rPr>
          <w:color w:val="000000"/>
          <w:sz w:val="22"/>
          <w:szCs w:val="22"/>
        </w:rPr>
        <w:t>būti</w:t>
      </w:r>
      <w:r w:rsidRPr="00D92F6B">
        <w:rPr>
          <w:color w:val="000000"/>
          <w:sz w:val="22"/>
          <w:szCs w:val="22"/>
        </w:rPr>
        <w:t xml:space="preserve"> </w:t>
      </w:r>
      <w:r>
        <w:rPr>
          <w:color w:val="000000"/>
          <w:sz w:val="22"/>
          <w:szCs w:val="22"/>
        </w:rPr>
        <w:t xml:space="preserve">skiriamas </w:t>
      </w:r>
      <w:r w:rsidRPr="00D92F6B">
        <w:rPr>
          <w:color w:val="000000"/>
          <w:sz w:val="22"/>
          <w:szCs w:val="22"/>
        </w:rPr>
        <w:t>adjuvantini</w:t>
      </w:r>
      <w:r>
        <w:rPr>
          <w:color w:val="000000"/>
          <w:sz w:val="22"/>
          <w:szCs w:val="22"/>
        </w:rPr>
        <w:t>s</w:t>
      </w:r>
      <w:r w:rsidRPr="00D92F6B">
        <w:rPr>
          <w:color w:val="000000"/>
          <w:sz w:val="22"/>
          <w:szCs w:val="22"/>
        </w:rPr>
        <w:t xml:space="preserve"> gydym</w:t>
      </w:r>
      <w:r>
        <w:rPr>
          <w:color w:val="000000"/>
          <w:sz w:val="22"/>
          <w:szCs w:val="22"/>
        </w:rPr>
        <w:t>as;</w:t>
      </w:r>
    </w:p>
    <w:p w14:paraId="08780082" w14:textId="77777777" w:rsidR="008A305D" w:rsidRPr="00D92F6B" w:rsidRDefault="008A305D" w:rsidP="008A305D">
      <w:pPr>
        <w:numPr>
          <w:ilvl w:val="0"/>
          <w:numId w:val="1"/>
        </w:numPr>
        <w:autoSpaceDE w:val="0"/>
        <w:autoSpaceDN w:val="0"/>
        <w:adjustRightInd w:val="0"/>
        <w:ind w:left="567" w:hanging="567"/>
        <w:rPr>
          <w:rFonts w:eastAsia="Calibri"/>
          <w:color w:val="000000"/>
          <w:sz w:val="22"/>
          <w:szCs w:val="22"/>
        </w:rPr>
      </w:pPr>
      <w:r w:rsidRPr="00D92F6B">
        <w:rPr>
          <w:rFonts w:eastAsia="Calibri"/>
          <w:color w:val="000000"/>
          <w:sz w:val="22"/>
          <w:szCs w:val="22"/>
        </w:rPr>
        <w:lastRenderedPageBreak/>
        <w:t xml:space="preserve">suaugusiesiems, kuriems yra nerezekuotina iškilioji dermatofibrosarkoma </w:t>
      </w:r>
      <w:r w:rsidRPr="00D92F6B">
        <w:rPr>
          <w:rFonts w:eastAsia="Calibri"/>
          <w:i/>
          <w:iCs/>
          <w:color w:val="000000"/>
          <w:sz w:val="22"/>
          <w:szCs w:val="22"/>
        </w:rPr>
        <w:t>(Dermatofibrosarcoma protuberans</w:t>
      </w:r>
      <w:r w:rsidRPr="00D92F6B">
        <w:rPr>
          <w:rFonts w:eastAsia="Calibri"/>
          <w:color w:val="000000"/>
          <w:sz w:val="22"/>
          <w:szCs w:val="22"/>
        </w:rPr>
        <w:t>, DFSP) ar, kuriems yra pasikartojanti ir (ar) metastaz</w:t>
      </w:r>
      <w:r>
        <w:rPr>
          <w:rFonts w:eastAsia="Calibri"/>
          <w:color w:val="000000"/>
          <w:sz w:val="22"/>
          <w:szCs w:val="22"/>
        </w:rPr>
        <w:t>inė</w:t>
      </w:r>
      <w:r w:rsidRPr="00D92F6B">
        <w:rPr>
          <w:rFonts w:eastAsia="Calibri"/>
          <w:color w:val="000000"/>
          <w:sz w:val="22"/>
          <w:szCs w:val="22"/>
        </w:rPr>
        <w:t xml:space="preserve"> DFSP ir kurių negalima operuoti. </w:t>
      </w:r>
    </w:p>
    <w:p w14:paraId="7EB81DB1" w14:textId="77777777" w:rsidR="008A305D" w:rsidRPr="00D92F6B" w:rsidRDefault="008A305D" w:rsidP="008A305D">
      <w:pPr>
        <w:pStyle w:val="Default"/>
        <w:rPr>
          <w:rFonts w:ascii="Times New Roman" w:hAnsi="Times New Roman" w:cs="Times New Roman"/>
          <w:color w:val="auto"/>
          <w:sz w:val="22"/>
          <w:szCs w:val="22"/>
          <w:lang w:val="lt-LT"/>
        </w:rPr>
      </w:pPr>
    </w:p>
    <w:p w14:paraId="7857FE6B" w14:textId="77777777" w:rsidR="008A305D" w:rsidRPr="00D92F6B" w:rsidRDefault="008A305D" w:rsidP="008A305D">
      <w:pPr>
        <w:rPr>
          <w:sz w:val="22"/>
          <w:szCs w:val="22"/>
        </w:rPr>
      </w:pPr>
      <w:r w:rsidRPr="00D92F6B">
        <w:rPr>
          <w:sz w:val="22"/>
          <w:szCs w:val="22"/>
        </w:rPr>
        <w:t xml:space="preserve">Suaugusiems pacientams ir vaikams imatinibo veiksmingumas </w:t>
      </w:r>
      <w:r w:rsidRPr="00111C4C">
        <w:rPr>
          <w:rFonts w:eastAsia="Calibri"/>
          <w:color w:val="000000"/>
          <w:sz w:val="22"/>
          <w:szCs w:val="22"/>
        </w:rPr>
        <w:t xml:space="preserve">pagrįstas bendru </w:t>
      </w:r>
      <w:r w:rsidRPr="008B158F">
        <w:rPr>
          <w:rFonts w:eastAsia="Calibri"/>
          <w:color w:val="000000"/>
          <w:sz w:val="22"/>
          <w:szCs w:val="22"/>
        </w:rPr>
        <w:t>hem</w:t>
      </w:r>
      <w:r w:rsidRPr="00111C4C">
        <w:rPr>
          <w:rFonts w:eastAsia="Calibri"/>
          <w:color w:val="000000"/>
          <w:sz w:val="22"/>
          <w:szCs w:val="22"/>
        </w:rPr>
        <w:t>atologi</w:t>
      </w:r>
      <w:r w:rsidRPr="008B158F">
        <w:rPr>
          <w:rFonts w:eastAsia="Calibri"/>
          <w:color w:val="000000"/>
          <w:sz w:val="22"/>
          <w:szCs w:val="22"/>
        </w:rPr>
        <w:t>ni</w:t>
      </w:r>
      <w:r w:rsidRPr="00111C4C">
        <w:rPr>
          <w:rFonts w:eastAsia="Calibri"/>
          <w:color w:val="000000"/>
          <w:sz w:val="22"/>
          <w:szCs w:val="22"/>
        </w:rPr>
        <w:t>o</w:t>
      </w:r>
      <w:r w:rsidRPr="008B158F">
        <w:rPr>
          <w:rFonts w:eastAsia="Calibri"/>
          <w:color w:val="000000"/>
          <w:sz w:val="22"/>
          <w:szCs w:val="22"/>
        </w:rPr>
        <w:t xml:space="preserve"> i</w:t>
      </w:r>
      <w:r w:rsidRPr="00111C4C">
        <w:rPr>
          <w:rFonts w:eastAsia="Calibri"/>
          <w:color w:val="000000"/>
          <w:sz w:val="22"/>
          <w:szCs w:val="22"/>
        </w:rPr>
        <w:t xml:space="preserve">r </w:t>
      </w:r>
      <w:r w:rsidRPr="008B158F">
        <w:rPr>
          <w:rFonts w:eastAsia="Calibri"/>
          <w:color w:val="000000"/>
          <w:sz w:val="22"/>
          <w:szCs w:val="22"/>
        </w:rPr>
        <w:t>citogenetinio atsako dažniu ir gyvenimo trukme ligai neprogresuojant</w:t>
      </w:r>
      <w:r w:rsidRPr="00D92F6B">
        <w:rPr>
          <w:sz w:val="22"/>
          <w:szCs w:val="22"/>
        </w:rPr>
        <w:t xml:space="preserve">, </w:t>
      </w:r>
      <w:r>
        <w:rPr>
          <w:sz w:val="22"/>
          <w:szCs w:val="22"/>
        </w:rPr>
        <w:t>sergant</w:t>
      </w:r>
      <w:r w:rsidRPr="00D92F6B">
        <w:rPr>
          <w:sz w:val="22"/>
          <w:szCs w:val="22"/>
        </w:rPr>
        <w:t xml:space="preserve"> LML,  hematologini</w:t>
      </w:r>
      <w:r>
        <w:rPr>
          <w:sz w:val="22"/>
          <w:szCs w:val="22"/>
        </w:rPr>
        <w:t>o</w:t>
      </w:r>
      <w:r w:rsidRPr="00D92F6B">
        <w:rPr>
          <w:sz w:val="22"/>
          <w:szCs w:val="22"/>
        </w:rPr>
        <w:t xml:space="preserve"> ir citogenetini</w:t>
      </w:r>
      <w:r>
        <w:rPr>
          <w:sz w:val="22"/>
          <w:szCs w:val="22"/>
        </w:rPr>
        <w:t>o</w:t>
      </w:r>
      <w:r w:rsidRPr="00D92F6B">
        <w:rPr>
          <w:sz w:val="22"/>
          <w:szCs w:val="22"/>
        </w:rPr>
        <w:t xml:space="preserve"> atsako dažniu, </w:t>
      </w:r>
      <w:r>
        <w:rPr>
          <w:sz w:val="22"/>
          <w:szCs w:val="22"/>
        </w:rPr>
        <w:t>sergant</w:t>
      </w:r>
      <w:r w:rsidRPr="00D92F6B">
        <w:rPr>
          <w:sz w:val="22"/>
          <w:szCs w:val="22"/>
        </w:rPr>
        <w:t xml:space="preserve"> Ph+ ŪLL, MDS/MPL, hematologini</w:t>
      </w:r>
      <w:r>
        <w:rPr>
          <w:sz w:val="22"/>
          <w:szCs w:val="22"/>
        </w:rPr>
        <w:t>o</w:t>
      </w:r>
      <w:r w:rsidRPr="00D92F6B">
        <w:rPr>
          <w:sz w:val="22"/>
          <w:szCs w:val="22"/>
        </w:rPr>
        <w:t xml:space="preserve"> atsako dažniu, </w:t>
      </w:r>
      <w:r>
        <w:rPr>
          <w:sz w:val="22"/>
          <w:szCs w:val="22"/>
        </w:rPr>
        <w:t>sergant</w:t>
      </w:r>
      <w:r w:rsidRPr="00D92F6B">
        <w:rPr>
          <w:sz w:val="22"/>
          <w:szCs w:val="22"/>
        </w:rPr>
        <w:t xml:space="preserve"> HES/LEL, </w:t>
      </w:r>
      <w:r w:rsidRPr="008B158F">
        <w:rPr>
          <w:rFonts w:eastAsia="Calibri"/>
          <w:color w:val="000000"/>
          <w:sz w:val="22"/>
          <w:szCs w:val="22"/>
        </w:rPr>
        <w:t>o taip pat suaugusių pacientų, sergančių nerezekuotinu ir (ar) metastaziniu GIST bei DFSP, objektyviu atsako dažniu, taip pat remiantis gyvenimo be ligos recidyvo trukme, taikant adjuvantinį GIST gydymą. Pacientų, sergančių MDS ar MPL, susijusių su PDGFR geno pakitimais, gydymo imatinibu patirtis yra labai maža (žr. 5.1 skyrių).</w:t>
      </w:r>
      <w:r>
        <w:rPr>
          <w:rFonts w:eastAsia="Calibri"/>
          <w:color w:val="000000"/>
          <w:sz w:val="22"/>
          <w:szCs w:val="22"/>
        </w:rPr>
        <w:t xml:space="preserve"> </w:t>
      </w:r>
      <w:r w:rsidRPr="008B158F">
        <w:rPr>
          <w:sz w:val="22"/>
          <w:szCs w:val="22"/>
        </w:rPr>
        <w:t>Kontroliuojamų tyrimų, kurie rodytų klinikinę naudą arba pailgėjusią gyvenimo trukmę sergant šiomis ligomis, nėra.</w:t>
      </w:r>
      <w:r w:rsidRPr="00D92F6B">
        <w:rPr>
          <w:sz w:val="22"/>
          <w:szCs w:val="22"/>
        </w:rPr>
        <w:t xml:space="preserve"> </w:t>
      </w:r>
    </w:p>
    <w:p w14:paraId="62C83718" w14:textId="77777777" w:rsidR="008A305D" w:rsidRPr="00D92F6B" w:rsidRDefault="008A305D" w:rsidP="008A305D">
      <w:pPr>
        <w:rPr>
          <w:sz w:val="22"/>
          <w:szCs w:val="22"/>
        </w:rPr>
      </w:pPr>
    </w:p>
    <w:p w14:paraId="35F68709" w14:textId="77777777" w:rsidR="008A305D" w:rsidRPr="00D92F6B" w:rsidRDefault="008A305D" w:rsidP="008A305D">
      <w:pPr>
        <w:pStyle w:val="Sraopastraipa"/>
        <w:keepNext/>
        <w:numPr>
          <w:ilvl w:val="1"/>
          <w:numId w:val="5"/>
        </w:numPr>
        <w:ind w:left="567" w:hanging="567"/>
        <w:rPr>
          <w:b/>
          <w:sz w:val="22"/>
          <w:szCs w:val="22"/>
        </w:rPr>
      </w:pPr>
      <w:r w:rsidRPr="00D92F6B">
        <w:rPr>
          <w:b/>
          <w:bCs/>
          <w:sz w:val="22"/>
          <w:szCs w:val="22"/>
        </w:rPr>
        <w:t xml:space="preserve">Dozavimas ir vartojimo metodas </w:t>
      </w:r>
    </w:p>
    <w:p w14:paraId="4DA72CA6" w14:textId="77777777" w:rsidR="008A305D" w:rsidRPr="00D92F6B" w:rsidRDefault="008A305D" w:rsidP="008A305D">
      <w:pPr>
        <w:keepNext/>
        <w:rPr>
          <w:b/>
          <w:sz w:val="22"/>
          <w:szCs w:val="22"/>
        </w:rPr>
      </w:pPr>
    </w:p>
    <w:p w14:paraId="2168C7FB" w14:textId="77777777" w:rsidR="008A305D" w:rsidRPr="00D92F6B" w:rsidRDefault="008A305D" w:rsidP="008A305D">
      <w:pPr>
        <w:rPr>
          <w:sz w:val="22"/>
          <w:szCs w:val="22"/>
        </w:rPr>
      </w:pPr>
      <w:r w:rsidRPr="00D92F6B">
        <w:rPr>
          <w:sz w:val="22"/>
          <w:szCs w:val="22"/>
        </w:rPr>
        <w:t xml:space="preserve">Skirti vaistą gali tik gydytojas, turintis patirties, kaip gydyti pacientus, sergančius piktybiniais hematologiniais navikais ar piktybine sarkoma. </w:t>
      </w:r>
    </w:p>
    <w:p w14:paraId="4BCC9C55" w14:textId="77777777" w:rsidR="008A305D" w:rsidRPr="00D92F6B" w:rsidRDefault="008A305D" w:rsidP="008A305D">
      <w:pPr>
        <w:rPr>
          <w:sz w:val="22"/>
          <w:szCs w:val="22"/>
        </w:rPr>
      </w:pPr>
    </w:p>
    <w:p w14:paraId="039652E8" w14:textId="77777777" w:rsidR="008A305D" w:rsidRPr="00D92F6B" w:rsidRDefault="008A305D" w:rsidP="008A305D">
      <w:pPr>
        <w:rPr>
          <w:sz w:val="22"/>
          <w:szCs w:val="22"/>
          <w:u w:val="single"/>
        </w:rPr>
      </w:pPr>
      <w:r w:rsidRPr="00D92F6B">
        <w:rPr>
          <w:sz w:val="22"/>
          <w:szCs w:val="22"/>
          <w:u w:val="single"/>
        </w:rPr>
        <w:t>Dozavimas</w:t>
      </w:r>
    </w:p>
    <w:p w14:paraId="38F74295" w14:textId="77777777" w:rsidR="008A305D" w:rsidRPr="00D92F6B" w:rsidRDefault="008A305D" w:rsidP="008A305D">
      <w:pPr>
        <w:rPr>
          <w:sz w:val="22"/>
          <w:szCs w:val="22"/>
          <w:u w:val="single"/>
        </w:rPr>
      </w:pPr>
    </w:p>
    <w:p w14:paraId="00C21FBB" w14:textId="77777777" w:rsidR="008A305D" w:rsidRPr="00D92F6B" w:rsidRDefault="008A305D" w:rsidP="008A305D">
      <w:pPr>
        <w:rPr>
          <w:i/>
          <w:sz w:val="22"/>
          <w:szCs w:val="22"/>
          <w:u w:val="single"/>
        </w:rPr>
      </w:pPr>
      <w:r w:rsidRPr="00D92F6B">
        <w:rPr>
          <w:i/>
          <w:sz w:val="22"/>
          <w:szCs w:val="22"/>
          <w:u w:val="single"/>
        </w:rPr>
        <w:t>Dozavimas, kai yra suaugusiųjų LML</w:t>
      </w:r>
    </w:p>
    <w:p w14:paraId="3247F4FE" w14:textId="77777777" w:rsidR="008A305D" w:rsidRPr="00D92F6B" w:rsidRDefault="008A305D" w:rsidP="008A305D">
      <w:pPr>
        <w:rPr>
          <w:sz w:val="22"/>
          <w:szCs w:val="22"/>
        </w:rPr>
      </w:pPr>
      <w:r w:rsidRPr="00D92F6B">
        <w:rPr>
          <w:sz w:val="22"/>
          <w:szCs w:val="22"/>
        </w:rPr>
        <w:t>Rekomenduojama imatinibo dozė suaugusiesiems pacientams, kuriems yra blastinė krizė, yra 600 mg per parą. Blastinė krizė diagnozuojama, kai blastų kraujyje ar kaulų čiulpuose ≥ 30% ar yra kitokia negu hepatosplenomegalija ekstramedulinė liga.</w:t>
      </w:r>
    </w:p>
    <w:p w14:paraId="0D8E86A0" w14:textId="77777777" w:rsidR="008A305D" w:rsidRPr="00D92F6B" w:rsidRDefault="008A305D" w:rsidP="008A305D">
      <w:pPr>
        <w:rPr>
          <w:sz w:val="22"/>
          <w:szCs w:val="22"/>
        </w:rPr>
      </w:pPr>
    </w:p>
    <w:p w14:paraId="2FCF58A4" w14:textId="77777777" w:rsidR="008A305D" w:rsidRPr="00D92F6B" w:rsidRDefault="008A305D" w:rsidP="008A305D">
      <w:pPr>
        <w:rPr>
          <w:sz w:val="22"/>
          <w:szCs w:val="22"/>
        </w:rPr>
      </w:pPr>
      <w:r w:rsidRPr="00D92F6B">
        <w:rPr>
          <w:sz w:val="22"/>
          <w:szCs w:val="22"/>
        </w:rPr>
        <w:t xml:space="preserve">Gydymo trukmė: Klinikinių tyrimų metu imatinibas vartotas iki ligos progresavimo. Gydymo nutraukimo poveikis gavus visišką citogenetinį atsaką netirtas. </w:t>
      </w:r>
    </w:p>
    <w:p w14:paraId="408869BA" w14:textId="77777777" w:rsidR="008A305D" w:rsidRPr="00D92F6B" w:rsidRDefault="008A305D" w:rsidP="008A305D">
      <w:pPr>
        <w:rPr>
          <w:sz w:val="22"/>
          <w:szCs w:val="22"/>
        </w:rPr>
      </w:pPr>
    </w:p>
    <w:p w14:paraId="4C4CD41B" w14:textId="77777777" w:rsidR="008A305D" w:rsidRPr="00D92F6B" w:rsidRDefault="008A305D" w:rsidP="008A305D">
      <w:pPr>
        <w:rPr>
          <w:sz w:val="22"/>
          <w:szCs w:val="22"/>
        </w:rPr>
      </w:pPr>
      <w:r w:rsidRPr="00D92F6B">
        <w:rPr>
          <w:sz w:val="22"/>
          <w:szCs w:val="22"/>
        </w:rPr>
        <w:t>Dozę galima didinti nuo 600 mg iki didžiausios 800 mg dozės (po 400 mg 2 kartus per parą), kai yra blastinė krizė ir nėra sunkių nepageidaujamų vaisto reakcijų ar sunkios su leukemija susijusios neutropenijos ar trombocitopenijos šiais atvejais: ligai progresuojant (bet kuriuo metu); po 3 mėnesių gydymo negavus reikiamo hematologinio atsako; po 12 mėnesių gydymo negavus citogenetinio atsako; ar išnykus anksčiau pasiektam hematologiniam ir (ar) citogenetiniam atsakui. Pacientą, kuriam padidinama dozė, būtina atidžiai stebėti dėl galimų dažnesnių nepageidaujamų reakcijų, sukeliamų didesnių dozių.</w:t>
      </w:r>
    </w:p>
    <w:p w14:paraId="3A71F5A3" w14:textId="77777777" w:rsidR="008A305D" w:rsidRPr="00D92F6B" w:rsidRDefault="008A305D" w:rsidP="008A305D">
      <w:pPr>
        <w:rPr>
          <w:sz w:val="22"/>
          <w:szCs w:val="22"/>
        </w:rPr>
      </w:pPr>
    </w:p>
    <w:p w14:paraId="40E94249" w14:textId="77777777" w:rsidR="008A305D" w:rsidRPr="00D92F6B" w:rsidRDefault="008A305D" w:rsidP="008A305D">
      <w:pPr>
        <w:rPr>
          <w:i/>
          <w:sz w:val="22"/>
          <w:szCs w:val="22"/>
          <w:u w:val="single"/>
        </w:rPr>
      </w:pPr>
      <w:r w:rsidRPr="00D92F6B">
        <w:rPr>
          <w:i/>
          <w:sz w:val="22"/>
          <w:szCs w:val="22"/>
          <w:u w:val="single"/>
        </w:rPr>
        <w:t xml:space="preserve">Dozavimas, kai yra vaikų ir paauglių LML </w:t>
      </w:r>
    </w:p>
    <w:p w14:paraId="4FA0BCB7" w14:textId="77777777" w:rsidR="008A305D" w:rsidRPr="00D92F6B" w:rsidRDefault="008A305D" w:rsidP="008A305D">
      <w:pPr>
        <w:rPr>
          <w:sz w:val="22"/>
          <w:szCs w:val="22"/>
        </w:rPr>
      </w:pPr>
      <w:r w:rsidRPr="00D92F6B">
        <w:rPr>
          <w:sz w:val="22"/>
          <w:szCs w:val="22"/>
        </w:rPr>
        <w:lastRenderedPageBreak/>
        <w:t>Vaikams ir paaugliams dozuojama pagal kūno paviršiaus plotą (mg/m</w:t>
      </w:r>
      <w:r w:rsidRPr="00D92F6B">
        <w:rPr>
          <w:sz w:val="22"/>
          <w:szCs w:val="22"/>
          <w:vertAlign w:val="superscript"/>
        </w:rPr>
        <w:t>2</w:t>
      </w:r>
      <w:r w:rsidRPr="00D92F6B">
        <w:rPr>
          <w:sz w:val="22"/>
          <w:szCs w:val="22"/>
        </w:rPr>
        <w:t>). Kai yra lėtinė ir progresavusi LML fazė, vaikams ir paaugliams rekomenduojama 340 mg/m</w:t>
      </w:r>
      <w:r w:rsidRPr="00D92F6B">
        <w:rPr>
          <w:sz w:val="22"/>
          <w:szCs w:val="22"/>
          <w:vertAlign w:val="superscript"/>
        </w:rPr>
        <w:t>2</w:t>
      </w:r>
      <w:r w:rsidRPr="00D92F6B">
        <w:rPr>
          <w:sz w:val="22"/>
          <w:szCs w:val="22"/>
        </w:rPr>
        <w:t xml:space="preserve"> paros dozė (bendros 800 mg dozės viršyti negalima). Vaistą galima vartoti vieną kartą per parą arba paros dozę dalyti į dvi dozes – vieną vartoti rytą, kitą – vakare. Dabartinės dozavimo rekomendacijos vadovaujasi mažu vaikų skaičiumi (žr. 5.1 ir 5.2 skyrius). Kaip gydyti jaunesnius negu 2 metų vaikus, patirties nėra. </w:t>
      </w:r>
    </w:p>
    <w:p w14:paraId="64749C48" w14:textId="77777777" w:rsidR="008A305D" w:rsidRPr="00D92F6B" w:rsidRDefault="008A305D" w:rsidP="008A305D">
      <w:pPr>
        <w:rPr>
          <w:sz w:val="22"/>
          <w:szCs w:val="22"/>
        </w:rPr>
      </w:pPr>
    </w:p>
    <w:p w14:paraId="689C7442" w14:textId="77777777" w:rsidR="008A305D" w:rsidRPr="00D92F6B" w:rsidRDefault="008A305D" w:rsidP="008A305D">
      <w:pPr>
        <w:rPr>
          <w:sz w:val="22"/>
          <w:szCs w:val="22"/>
        </w:rPr>
      </w:pPr>
      <w:r w:rsidRPr="00D92F6B">
        <w:rPr>
          <w:sz w:val="22"/>
          <w:szCs w:val="22"/>
        </w:rPr>
        <w:t>Jei nepasireiškė sunkaus nepageidaujamo poveikio ir sunkios ne su leukemija susijusios neutropenijos arba trombocitopenijos, dozė vaikams ir paaugliams gali būti didinama nuo 340 mg/m</w:t>
      </w:r>
      <w:r w:rsidRPr="00D92F6B">
        <w:rPr>
          <w:sz w:val="22"/>
          <w:szCs w:val="22"/>
          <w:vertAlign w:val="superscript"/>
        </w:rPr>
        <w:t>2</w:t>
      </w:r>
      <w:r w:rsidRPr="00D92F6B">
        <w:rPr>
          <w:sz w:val="22"/>
          <w:szCs w:val="22"/>
        </w:rPr>
        <w:t xml:space="preserve"> iki 570 mg/m</w:t>
      </w:r>
      <w:r w:rsidRPr="00D92F6B">
        <w:rPr>
          <w:sz w:val="22"/>
          <w:szCs w:val="22"/>
          <w:vertAlign w:val="superscript"/>
        </w:rPr>
        <w:t>2</w:t>
      </w:r>
      <w:r w:rsidRPr="00D92F6B">
        <w:rPr>
          <w:sz w:val="22"/>
          <w:szCs w:val="22"/>
        </w:rPr>
        <w:t xml:space="preserve"> per parą (bendros 800 mg dozės viršyti negalima) sekančiomis sąlygomis: ligos progresavimas (bet kuriuo metu); nepasiektas patenkinamas hematologinis atsakas po mažiausiai 3 gydymo mėnesių; nepasiektas citogenetinis atsakas po 12 gydymo mėnesių; anksčiau pasiekto hematologinio ir/arba citogenetinio atsako praradimas. Didinant dozę, pacientai turi būti atidžiai stebimi dėl padidėjusio nepageidaujamo poveikio pasireiškimo galimybės gydant didesnėmis dozėmis. </w:t>
      </w:r>
    </w:p>
    <w:p w14:paraId="5524FCB7" w14:textId="77777777" w:rsidR="008A305D" w:rsidRPr="00D92F6B" w:rsidRDefault="008A305D" w:rsidP="008A305D">
      <w:pPr>
        <w:autoSpaceDE w:val="0"/>
        <w:autoSpaceDN w:val="0"/>
        <w:adjustRightInd w:val="0"/>
        <w:rPr>
          <w:rFonts w:eastAsia="Calibri"/>
          <w:color w:val="000000"/>
          <w:sz w:val="22"/>
          <w:szCs w:val="22"/>
        </w:rPr>
      </w:pPr>
    </w:p>
    <w:p w14:paraId="06FFD22C" w14:textId="77777777" w:rsidR="008A305D" w:rsidRPr="00D92F6B" w:rsidRDefault="008A305D" w:rsidP="008A305D">
      <w:pPr>
        <w:autoSpaceDE w:val="0"/>
        <w:autoSpaceDN w:val="0"/>
        <w:adjustRightInd w:val="0"/>
        <w:rPr>
          <w:rFonts w:eastAsia="Calibri"/>
          <w:i/>
          <w:color w:val="000000"/>
          <w:sz w:val="22"/>
          <w:szCs w:val="22"/>
          <w:u w:val="single"/>
        </w:rPr>
      </w:pPr>
      <w:r w:rsidRPr="00D92F6B">
        <w:rPr>
          <w:rFonts w:eastAsia="Calibri"/>
          <w:i/>
          <w:color w:val="000000"/>
          <w:sz w:val="22"/>
          <w:szCs w:val="22"/>
          <w:u w:val="single"/>
        </w:rPr>
        <w:t xml:space="preserve">Dozavimas, kai yra suaugusiųjų Ph+ ŪLL </w:t>
      </w:r>
    </w:p>
    <w:p w14:paraId="1F2EA5B9"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Ph+ ŪLL sergantiems suaugusiesiems pacientams rekomenduojama imatinibo dozė yra 600 mg per parą. Visų fazių metu gydymui turi vadovauti hematologai, turintys šios ligos gydymo patirties. </w:t>
      </w:r>
    </w:p>
    <w:p w14:paraId="5B986579" w14:textId="77777777" w:rsidR="008A305D" w:rsidRPr="00D92F6B" w:rsidRDefault="008A305D" w:rsidP="008A305D">
      <w:pPr>
        <w:autoSpaceDE w:val="0"/>
        <w:autoSpaceDN w:val="0"/>
        <w:adjustRightInd w:val="0"/>
        <w:rPr>
          <w:rFonts w:eastAsia="Calibri"/>
          <w:color w:val="000000"/>
          <w:sz w:val="22"/>
          <w:szCs w:val="22"/>
        </w:rPr>
      </w:pPr>
    </w:p>
    <w:p w14:paraId="0079C6CD"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Gydymo planas. Pagal turimus duomenis, imatinibo 600 mg per parą dozė buvo efektyvi ir saugi kartu su chemoterapiniais preparatais pradinės, dozės didinimo ir palaikomosios chemoterapijos fazės metu (žr. 5.1 skyrių) suaugusiems pacientams, kuriems pirmą kartą diagnozuota Ph+ ŪLL. Gydymo imatinibu trukmė gali priklausyti nuo pasirinktos gydymo programos, bet dažniausiai ilgiau vartojant imatinibo rezultatai buvo geresni. </w:t>
      </w:r>
    </w:p>
    <w:p w14:paraId="5ACC52E7" w14:textId="77777777" w:rsidR="008A305D" w:rsidRPr="00D92F6B" w:rsidRDefault="008A305D" w:rsidP="008A305D">
      <w:pPr>
        <w:autoSpaceDE w:val="0"/>
        <w:autoSpaceDN w:val="0"/>
        <w:adjustRightInd w:val="0"/>
        <w:rPr>
          <w:rFonts w:eastAsia="Calibri"/>
          <w:color w:val="000000"/>
          <w:sz w:val="22"/>
          <w:szCs w:val="22"/>
        </w:rPr>
      </w:pPr>
    </w:p>
    <w:p w14:paraId="6B955D1B" w14:textId="77777777" w:rsidR="008A305D" w:rsidRPr="00D92F6B" w:rsidRDefault="008A305D" w:rsidP="008A305D">
      <w:pPr>
        <w:rPr>
          <w:rFonts w:eastAsia="Calibri"/>
          <w:color w:val="000000"/>
          <w:sz w:val="22"/>
          <w:szCs w:val="22"/>
        </w:rPr>
      </w:pPr>
      <w:r w:rsidRPr="00D92F6B">
        <w:rPr>
          <w:rFonts w:eastAsia="Calibri"/>
          <w:color w:val="000000"/>
          <w:sz w:val="22"/>
          <w:szCs w:val="22"/>
        </w:rPr>
        <w:t>Suaugusiesiems pacientams, kuriems yra recidyvas ar gydymui atspari Ph+ ŪLL, gydymas vien tik imatinibu po 600 mg per parą yra saugus, efektyvus ir gali būti skiriamas, kol liga pradės progresuoti.</w:t>
      </w:r>
    </w:p>
    <w:p w14:paraId="5C21BD68" w14:textId="77777777" w:rsidR="008A305D" w:rsidRPr="00D92F6B" w:rsidRDefault="008A305D" w:rsidP="008A305D">
      <w:pPr>
        <w:autoSpaceDE w:val="0"/>
        <w:autoSpaceDN w:val="0"/>
        <w:adjustRightInd w:val="0"/>
        <w:rPr>
          <w:rFonts w:eastAsia="Calibri"/>
          <w:color w:val="000000"/>
          <w:sz w:val="22"/>
          <w:szCs w:val="22"/>
        </w:rPr>
      </w:pPr>
    </w:p>
    <w:p w14:paraId="156C2E81" w14:textId="77777777" w:rsidR="008A305D" w:rsidRPr="00D92F6B" w:rsidRDefault="008A305D" w:rsidP="008A305D">
      <w:pPr>
        <w:autoSpaceDE w:val="0"/>
        <w:autoSpaceDN w:val="0"/>
        <w:adjustRightInd w:val="0"/>
        <w:rPr>
          <w:rFonts w:eastAsia="Calibri"/>
          <w:i/>
          <w:color w:val="000000"/>
          <w:sz w:val="22"/>
          <w:szCs w:val="22"/>
          <w:u w:val="single"/>
        </w:rPr>
      </w:pPr>
      <w:r w:rsidRPr="00D92F6B">
        <w:rPr>
          <w:rFonts w:eastAsia="Calibri"/>
          <w:i/>
          <w:color w:val="000000"/>
          <w:sz w:val="22"/>
          <w:szCs w:val="22"/>
          <w:u w:val="single"/>
        </w:rPr>
        <w:t xml:space="preserve">Dozavimas, kai yra MDS/MPL </w:t>
      </w:r>
    </w:p>
    <w:p w14:paraId="7240B7AB"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MDS ar MPL sergantiems suaugusiesiems pacientams rekomenduojama imatinibo dozė yra 400 mg per parą. </w:t>
      </w:r>
    </w:p>
    <w:p w14:paraId="37D30CCA" w14:textId="77777777" w:rsidR="008A305D" w:rsidRPr="00D92F6B" w:rsidRDefault="008A305D" w:rsidP="008A305D">
      <w:pPr>
        <w:autoSpaceDE w:val="0"/>
        <w:autoSpaceDN w:val="0"/>
        <w:adjustRightInd w:val="0"/>
        <w:rPr>
          <w:rFonts w:eastAsia="Calibri"/>
          <w:color w:val="000000"/>
          <w:sz w:val="22"/>
          <w:szCs w:val="22"/>
        </w:rPr>
      </w:pPr>
    </w:p>
    <w:p w14:paraId="369E69FD"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Gydymo trukmė: Klinikinio tyrimo, tęsiamo iki šiol, metu gydymas imatinibu buvo tęsiamas iki ligos progresavimo (žr. 5.1 skyrių). Tyrimo metu gydymo vidutinė trukmė buvo 47 mėnesiai (24 dienos – 60 mėnesių). </w:t>
      </w:r>
    </w:p>
    <w:p w14:paraId="7654E91F" w14:textId="77777777" w:rsidR="008A305D" w:rsidRPr="00D92F6B" w:rsidRDefault="008A305D" w:rsidP="008A305D">
      <w:pPr>
        <w:autoSpaceDE w:val="0"/>
        <w:autoSpaceDN w:val="0"/>
        <w:adjustRightInd w:val="0"/>
        <w:rPr>
          <w:rFonts w:eastAsia="Calibri"/>
          <w:color w:val="000000"/>
          <w:sz w:val="22"/>
          <w:szCs w:val="22"/>
        </w:rPr>
      </w:pPr>
    </w:p>
    <w:p w14:paraId="32803EC7" w14:textId="77777777" w:rsidR="008A305D" w:rsidRPr="00D92F6B" w:rsidRDefault="008A305D" w:rsidP="008A305D">
      <w:pPr>
        <w:autoSpaceDE w:val="0"/>
        <w:autoSpaceDN w:val="0"/>
        <w:adjustRightInd w:val="0"/>
        <w:rPr>
          <w:rFonts w:eastAsia="Calibri"/>
          <w:i/>
          <w:color w:val="000000"/>
          <w:sz w:val="22"/>
          <w:szCs w:val="22"/>
          <w:u w:val="single"/>
        </w:rPr>
      </w:pPr>
      <w:r w:rsidRPr="00D92F6B">
        <w:rPr>
          <w:rFonts w:eastAsia="Calibri"/>
          <w:i/>
          <w:color w:val="000000"/>
          <w:sz w:val="22"/>
          <w:szCs w:val="22"/>
          <w:u w:val="single"/>
        </w:rPr>
        <w:t xml:space="preserve">Dozavimas, kai yra HES/LEL </w:t>
      </w:r>
    </w:p>
    <w:p w14:paraId="7CF51D26"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lastRenderedPageBreak/>
        <w:t xml:space="preserve">Rekomenduojama imatinibo dozė suaugusiesiems pacientams, sergantiems HES/LEL, yra 100 mg per parą. </w:t>
      </w:r>
    </w:p>
    <w:p w14:paraId="626C383C" w14:textId="77777777" w:rsidR="008A305D" w:rsidRPr="00D92F6B" w:rsidRDefault="008A305D" w:rsidP="008A305D">
      <w:pPr>
        <w:autoSpaceDE w:val="0"/>
        <w:autoSpaceDN w:val="0"/>
        <w:adjustRightInd w:val="0"/>
        <w:rPr>
          <w:rFonts w:eastAsia="Calibri"/>
          <w:color w:val="000000"/>
          <w:sz w:val="22"/>
          <w:szCs w:val="22"/>
        </w:rPr>
      </w:pPr>
    </w:p>
    <w:p w14:paraId="6CB6322E"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Galima didinti dozę nuo 100 mg iki 400 mg, jei nėra nepageidaujamų reakcijų ir jeigu įvertinimas rodo nepakankamą atsaką į gydymą. </w:t>
      </w:r>
    </w:p>
    <w:p w14:paraId="24B00D7E" w14:textId="77777777" w:rsidR="008A305D" w:rsidRPr="00D92F6B" w:rsidRDefault="008A305D" w:rsidP="008A305D">
      <w:pPr>
        <w:autoSpaceDE w:val="0"/>
        <w:autoSpaceDN w:val="0"/>
        <w:adjustRightInd w:val="0"/>
        <w:rPr>
          <w:rFonts w:eastAsia="Calibri"/>
          <w:color w:val="000000"/>
          <w:sz w:val="22"/>
          <w:szCs w:val="22"/>
        </w:rPr>
      </w:pPr>
    </w:p>
    <w:p w14:paraId="11025B24"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Gydymą reikia tęsti tol, kol pacientui stebimas teigiamas poveikis. </w:t>
      </w:r>
    </w:p>
    <w:p w14:paraId="226F28AE" w14:textId="77777777" w:rsidR="008A305D" w:rsidRPr="00D92F6B" w:rsidRDefault="008A305D" w:rsidP="008A305D">
      <w:pPr>
        <w:autoSpaceDE w:val="0"/>
        <w:autoSpaceDN w:val="0"/>
        <w:adjustRightInd w:val="0"/>
        <w:rPr>
          <w:rFonts w:eastAsia="Calibri"/>
          <w:color w:val="000000"/>
          <w:sz w:val="22"/>
          <w:szCs w:val="22"/>
        </w:rPr>
      </w:pPr>
    </w:p>
    <w:p w14:paraId="1D786252" w14:textId="77777777" w:rsidR="008A305D" w:rsidRPr="00D92F6B" w:rsidRDefault="008A305D" w:rsidP="008A305D">
      <w:pPr>
        <w:rPr>
          <w:color w:val="000000"/>
          <w:sz w:val="22"/>
          <w:szCs w:val="22"/>
          <w:u w:val="single"/>
        </w:rPr>
      </w:pPr>
      <w:r w:rsidRPr="00D92F6B">
        <w:rPr>
          <w:color w:val="000000"/>
          <w:sz w:val="22"/>
          <w:szCs w:val="22"/>
          <w:u w:val="single"/>
        </w:rPr>
        <w:t xml:space="preserve">Dozavimas pacientams, kuriems yra </w:t>
      </w:r>
      <w:r>
        <w:rPr>
          <w:color w:val="000000"/>
          <w:sz w:val="22"/>
          <w:szCs w:val="22"/>
          <w:u w:val="single"/>
        </w:rPr>
        <w:t>GIST</w:t>
      </w:r>
    </w:p>
    <w:p w14:paraId="2E60A5BA" w14:textId="77777777" w:rsidR="008A305D" w:rsidRPr="00D92F6B" w:rsidRDefault="008A305D" w:rsidP="008A305D">
      <w:pPr>
        <w:rPr>
          <w:color w:val="000000"/>
          <w:sz w:val="22"/>
          <w:szCs w:val="22"/>
        </w:rPr>
      </w:pPr>
      <w:r w:rsidRPr="00D92F6B">
        <w:rPr>
          <w:color w:val="000000"/>
          <w:sz w:val="22"/>
          <w:szCs w:val="22"/>
        </w:rPr>
        <w:t xml:space="preserve">Rekomenduojama imatinibo dozė suaugusiesiems pacientams, kuriems yra nerezekuotinas ir (ar) metastazavęs piktybinis </w:t>
      </w:r>
      <w:r>
        <w:rPr>
          <w:color w:val="000000"/>
          <w:sz w:val="22"/>
          <w:szCs w:val="22"/>
        </w:rPr>
        <w:t>GIST</w:t>
      </w:r>
      <w:r w:rsidRPr="00D92F6B">
        <w:rPr>
          <w:color w:val="000000"/>
          <w:sz w:val="22"/>
          <w:szCs w:val="22"/>
        </w:rPr>
        <w:t>, yra 400 mg per parą.</w:t>
      </w:r>
    </w:p>
    <w:p w14:paraId="4CC2A46A" w14:textId="77777777" w:rsidR="008A305D" w:rsidRPr="00D92F6B" w:rsidRDefault="008A305D" w:rsidP="008A305D">
      <w:pPr>
        <w:rPr>
          <w:color w:val="000000"/>
          <w:sz w:val="22"/>
          <w:szCs w:val="22"/>
        </w:rPr>
      </w:pPr>
    </w:p>
    <w:p w14:paraId="622A5A29" w14:textId="77777777" w:rsidR="008A305D" w:rsidRPr="00D92F6B" w:rsidRDefault="008A305D" w:rsidP="008A305D">
      <w:pPr>
        <w:rPr>
          <w:color w:val="000000"/>
          <w:sz w:val="22"/>
          <w:szCs w:val="22"/>
        </w:rPr>
      </w:pPr>
      <w:r w:rsidRPr="00D92F6B">
        <w:rPr>
          <w:color w:val="000000"/>
          <w:sz w:val="22"/>
          <w:szCs w:val="22"/>
        </w:rPr>
        <w:t>Dar mažai duomenų apie nuo 400 mg iki 600 mg ar 800 mg padidintos dozės poveikį pacientams, kuriems liga progresavo vartojant mažesnę dozę (žr. 5.1 skyrių).</w:t>
      </w:r>
    </w:p>
    <w:p w14:paraId="0DD1C711" w14:textId="77777777" w:rsidR="008A305D" w:rsidRPr="00D92F6B" w:rsidRDefault="008A305D" w:rsidP="008A305D">
      <w:pPr>
        <w:rPr>
          <w:color w:val="000000"/>
          <w:sz w:val="22"/>
          <w:szCs w:val="22"/>
        </w:rPr>
      </w:pPr>
    </w:p>
    <w:p w14:paraId="43CE876E" w14:textId="77777777" w:rsidR="008A305D" w:rsidRPr="00D92F6B" w:rsidRDefault="008A305D" w:rsidP="008A305D">
      <w:pPr>
        <w:rPr>
          <w:color w:val="000000"/>
          <w:sz w:val="22"/>
          <w:szCs w:val="22"/>
        </w:rPr>
      </w:pPr>
      <w:r w:rsidRPr="00D92F6B">
        <w:rPr>
          <w:color w:val="000000"/>
          <w:sz w:val="22"/>
          <w:szCs w:val="22"/>
        </w:rPr>
        <w:t xml:space="preserve">Gydymo trukmė. Klinikinių tyrimų metu </w:t>
      </w:r>
      <w:r>
        <w:rPr>
          <w:color w:val="000000"/>
          <w:sz w:val="22"/>
          <w:szCs w:val="22"/>
        </w:rPr>
        <w:t>GIST</w:t>
      </w:r>
      <w:r w:rsidRPr="00D92F6B">
        <w:rPr>
          <w:color w:val="000000"/>
          <w:sz w:val="22"/>
          <w:szCs w:val="22"/>
        </w:rPr>
        <w:t xml:space="preserve"> sergantys pacientai imatinibu buvo gydomi iki ligos progresavimo. Analizės metu nustatyta, kad vidutinė gydymo trukmė buvo 7 mėnesiai (nuo 7 dienų iki 13 mėnesių). Gydymo nutraukimo poveikis po gauto atsako netirtas.</w:t>
      </w:r>
    </w:p>
    <w:p w14:paraId="652E5FE6" w14:textId="77777777" w:rsidR="008A305D" w:rsidRPr="00D92F6B" w:rsidRDefault="008A305D" w:rsidP="008A305D">
      <w:pPr>
        <w:rPr>
          <w:color w:val="000000"/>
          <w:sz w:val="22"/>
          <w:szCs w:val="22"/>
        </w:rPr>
      </w:pPr>
    </w:p>
    <w:p w14:paraId="3F21EBB2" w14:textId="77777777" w:rsidR="008A305D" w:rsidRPr="00D92F6B" w:rsidRDefault="008A305D" w:rsidP="008A305D">
      <w:pPr>
        <w:rPr>
          <w:rFonts w:eastAsia="Calibri"/>
          <w:color w:val="000000"/>
          <w:sz w:val="22"/>
          <w:szCs w:val="22"/>
        </w:rPr>
      </w:pPr>
      <w:r w:rsidRPr="00D92F6B">
        <w:rPr>
          <w:sz w:val="22"/>
          <w:szCs w:val="22"/>
        </w:rPr>
        <w:t xml:space="preserve">Rekomenduojama </w:t>
      </w:r>
      <w:r w:rsidRPr="00D92F6B">
        <w:rPr>
          <w:color w:val="000000"/>
          <w:sz w:val="22"/>
          <w:szCs w:val="22"/>
        </w:rPr>
        <w:t xml:space="preserve">imatinibo dozė </w:t>
      </w:r>
      <w:r w:rsidRPr="00D92F6B">
        <w:rPr>
          <w:sz w:val="22"/>
          <w:szCs w:val="22"/>
        </w:rPr>
        <w:t xml:space="preserve">adjuvantiniam suaugusiųjų, kuriems atlikta </w:t>
      </w:r>
      <w:r>
        <w:rPr>
          <w:color w:val="000000"/>
          <w:sz w:val="22"/>
          <w:szCs w:val="22"/>
        </w:rPr>
        <w:t>GIST</w:t>
      </w:r>
      <w:r w:rsidRPr="00D92F6B">
        <w:rPr>
          <w:color w:val="000000"/>
          <w:sz w:val="22"/>
          <w:szCs w:val="22"/>
        </w:rPr>
        <w:t xml:space="preserve"> rezekcija, gydymui yra 400 mg per parą. Optimali gydymo trukmė kol kas nenustatyta. Klinikinių tyrimų duomenimis gydymo trukmė šiai indikacijai truko 36 mėnesius (žr. 5.1 skyrių).</w:t>
      </w:r>
    </w:p>
    <w:p w14:paraId="135BF025" w14:textId="77777777" w:rsidR="008A305D" w:rsidRPr="00D92F6B" w:rsidRDefault="008A305D" w:rsidP="008A305D">
      <w:pPr>
        <w:autoSpaceDE w:val="0"/>
        <w:autoSpaceDN w:val="0"/>
        <w:adjustRightInd w:val="0"/>
        <w:rPr>
          <w:rFonts w:eastAsia="Calibri"/>
          <w:color w:val="000000"/>
          <w:sz w:val="22"/>
          <w:szCs w:val="22"/>
        </w:rPr>
      </w:pPr>
    </w:p>
    <w:p w14:paraId="4918852C" w14:textId="77777777" w:rsidR="008A305D" w:rsidRPr="00D92F6B" w:rsidRDefault="008A305D" w:rsidP="008A305D">
      <w:pPr>
        <w:autoSpaceDE w:val="0"/>
        <w:autoSpaceDN w:val="0"/>
        <w:adjustRightInd w:val="0"/>
        <w:rPr>
          <w:rFonts w:eastAsia="Calibri"/>
          <w:i/>
          <w:color w:val="000000"/>
          <w:sz w:val="22"/>
          <w:szCs w:val="22"/>
          <w:u w:val="single"/>
        </w:rPr>
      </w:pPr>
      <w:r w:rsidRPr="00D92F6B">
        <w:rPr>
          <w:rFonts w:eastAsia="Calibri"/>
          <w:i/>
          <w:color w:val="000000"/>
          <w:sz w:val="22"/>
          <w:szCs w:val="22"/>
          <w:u w:val="single"/>
        </w:rPr>
        <w:t xml:space="preserve">Dozavimas, kai yra DFSP </w:t>
      </w:r>
    </w:p>
    <w:p w14:paraId="4CB9B8A2" w14:textId="77777777" w:rsidR="008A305D" w:rsidRPr="00D92F6B" w:rsidRDefault="008A305D" w:rsidP="008A305D">
      <w:pPr>
        <w:rPr>
          <w:sz w:val="22"/>
          <w:szCs w:val="22"/>
        </w:rPr>
      </w:pPr>
      <w:r w:rsidRPr="00D92F6B">
        <w:rPr>
          <w:rFonts w:eastAsia="Calibri"/>
          <w:color w:val="000000"/>
          <w:sz w:val="22"/>
          <w:szCs w:val="22"/>
        </w:rPr>
        <w:t>DFSP sergantiems suaugusiesiems pacientams rekomenduojama imatinibo dozė yra 800 mg per parą.</w:t>
      </w:r>
    </w:p>
    <w:p w14:paraId="0BECFBEA" w14:textId="77777777" w:rsidR="008A305D" w:rsidRPr="00D92F6B" w:rsidRDefault="008A305D" w:rsidP="008A305D">
      <w:pPr>
        <w:rPr>
          <w:sz w:val="22"/>
          <w:szCs w:val="22"/>
          <w:u w:val="single"/>
        </w:rPr>
      </w:pPr>
    </w:p>
    <w:p w14:paraId="1D890A6A" w14:textId="77777777" w:rsidR="008A305D" w:rsidRPr="00D92F6B" w:rsidRDefault="008A305D" w:rsidP="008A305D">
      <w:pPr>
        <w:rPr>
          <w:i/>
          <w:sz w:val="22"/>
          <w:szCs w:val="22"/>
          <w:u w:val="single"/>
        </w:rPr>
      </w:pPr>
      <w:r w:rsidRPr="00D92F6B">
        <w:rPr>
          <w:i/>
          <w:sz w:val="22"/>
          <w:szCs w:val="22"/>
          <w:u w:val="single"/>
        </w:rPr>
        <w:t xml:space="preserve">Dozės korekcija dėl nepageidaujamo poveikio </w:t>
      </w:r>
    </w:p>
    <w:p w14:paraId="2D614625" w14:textId="77777777" w:rsidR="008A305D" w:rsidRPr="00D92F6B" w:rsidRDefault="008A305D" w:rsidP="008A305D">
      <w:pPr>
        <w:rPr>
          <w:sz w:val="22"/>
          <w:szCs w:val="22"/>
        </w:rPr>
      </w:pPr>
      <w:r w:rsidRPr="00D92F6B">
        <w:rPr>
          <w:i/>
          <w:iCs/>
          <w:sz w:val="22"/>
          <w:szCs w:val="22"/>
        </w:rPr>
        <w:t xml:space="preserve">Nehematologinės nepageidaujamos reakcijos </w:t>
      </w:r>
    </w:p>
    <w:p w14:paraId="07CCD7C8" w14:textId="77777777" w:rsidR="008A305D" w:rsidRPr="00D92F6B" w:rsidRDefault="008A305D" w:rsidP="008A305D">
      <w:pPr>
        <w:rPr>
          <w:sz w:val="22"/>
          <w:szCs w:val="22"/>
        </w:rPr>
      </w:pPr>
      <w:r w:rsidRPr="00D92F6B">
        <w:rPr>
          <w:sz w:val="22"/>
          <w:szCs w:val="22"/>
        </w:rPr>
        <w:t xml:space="preserve">Jeigu vartojant imatinibo atsiranda sunkių nehematologinių nepageidaujamų reakcijų, gydymą būtina nutraukti tol, kol šie reiškiniai išnyksta. Vėliau, jei reikia, gydymą galima atnaujinti atsižvelgiant į pradinį nepageidaujamų reiškinių sunkumą. </w:t>
      </w:r>
    </w:p>
    <w:p w14:paraId="587EBB11" w14:textId="77777777" w:rsidR="008A305D" w:rsidRPr="00D92F6B" w:rsidRDefault="008A305D" w:rsidP="008A305D">
      <w:pPr>
        <w:rPr>
          <w:sz w:val="22"/>
          <w:szCs w:val="22"/>
        </w:rPr>
      </w:pPr>
    </w:p>
    <w:p w14:paraId="10DB69D9" w14:textId="77777777" w:rsidR="008A305D" w:rsidRPr="00D92F6B" w:rsidRDefault="008A305D" w:rsidP="008A305D">
      <w:pPr>
        <w:rPr>
          <w:sz w:val="22"/>
          <w:szCs w:val="22"/>
        </w:rPr>
      </w:pPr>
      <w:r w:rsidRPr="00D92F6B">
        <w:rPr>
          <w:sz w:val="22"/>
          <w:szCs w:val="22"/>
        </w:rPr>
        <w:t>Jei bilirubino koncentracija &gt; 3 kartus yra didesnė už nustatytą viršutinę normos ribą (NVNR) ar kepenų transaminazių aktyvumas &gt; 5 kartus didesnis už NVNR, imatinibo nevartoti, kol bilirubino koncentracija sumažėja &lt; 1,5 karto už NVNR ir transaminazių aktyvumas &lt; 2,5 karto už NVNR. Gydymą galima tęsti sumažinta imatinibo paros doze. Suaugusiesiems dozę reikia sumažinti nuo 400 mg iki 300 mg arba nuo 600 mg iki 400 mg arba nuo 800 mg iki 600 mg, o vaikams ir paaugliams nuo 340 mg/m</w:t>
      </w:r>
      <w:r w:rsidRPr="00D92F6B">
        <w:rPr>
          <w:sz w:val="22"/>
          <w:szCs w:val="22"/>
          <w:vertAlign w:val="superscript"/>
        </w:rPr>
        <w:t>2</w:t>
      </w:r>
      <w:r w:rsidRPr="00D92F6B">
        <w:rPr>
          <w:sz w:val="22"/>
          <w:szCs w:val="22"/>
        </w:rPr>
        <w:t xml:space="preserve"> per parą iki 260 mg/m</w:t>
      </w:r>
      <w:r w:rsidRPr="00D92F6B">
        <w:rPr>
          <w:sz w:val="22"/>
          <w:szCs w:val="22"/>
          <w:vertAlign w:val="superscript"/>
        </w:rPr>
        <w:t>2</w:t>
      </w:r>
      <w:r w:rsidRPr="00D92F6B">
        <w:rPr>
          <w:sz w:val="22"/>
          <w:szCs w:val="22"/>
        </w:rPr>
        <w:t xml:space="preserve"> per parą. </w:t>
      </w:r>
    </w:p>
    <w:p w14:paraId="4C78682C" w14:textId="77777777" w:rsidR="008A305D" w:rsidRPr="00D92F6B" w:rsidRDefault="008A305D" w:rsidP="008A305D">
      <w:pPr>
        <w:rPr>
          <w:sz w:val="22"/>
          <w:szCs w:val="22"/>
        </w:rPr>
      </w:pPr>
    </w:p>
    <w:p w14:paraId="42413E9E" w14:textId="77777777" w:rsidR="008A305D" w:rsidRPr="00D92F6B" w:rsidRDefault="008A305D" w:rsidP="008A305D">
      <w:pPr>
        <w:rPr>
          <w:sz w:val="22"/>
          <w:szCs w:val="22"/>
        </w:rPr>
      </w:pPr>
      <w:r w:rsidRPr="00D92F6B">
        <w:rPr>
          <w:i/>
          <w:iCs/>
          <w:sz w:val="22"/>
          <w:szCs w:val="22"/>
        </w:rPr>
        <w:t xml:space="preserve">Hematologinės nepageidaujamos reakcijos </w:t>
      </w:r>
    </w:p>
    <w:p w14:paraId="5C0C1D0C" w14:textId="77777777" w:rsidR="008A305D" w:rsidRPr="00D92F6B" w:rsidRDefault="008A305D" w:rsidP="008A305D">
      <w:pPr>
        <w:rPr>
          <w:sz w:val="22"/>
          <w:szCs w:val="22"/>
        </w:rPr>
      </w:pPr>
      <w:r w:rsidRPr="00D92F6B">
        <w:rPr>
          <w:sz w:val="22"/>
          <w:szCs w:val="22"/>
        </w:rPr>
        <w:lastRenderedPageBreak/>
        <w:t xml:space="preserve">Dozės mažinimo ir gydymo pertraukimo rekomendacijos, išryškėjus sunkiai neutropenijai ar trombocitopenijai, nurodytos lentelėje žemiau. </w:t>
      </w:r>
    </w:p>
    <w:p w14:paraId="57C3338B" w14:textId="77777777" w:rsidR="008A305D" w:rsidRPr="00D92F6B" w:rsidRDefault="008A305D" w:rsidP="008A305D">
      <w:pPr>
        <w:rPr>
          <w:sz w:val="22"/>
          <w:szCs w:val="22"/>
        </w:rPr>
      </w:pPr>
    </w:p>
    <w:p w14:paraId="769D41B2" w14:textId="77777777" w:rsidR="008A305D" w:rsidRPr="00D92F6B" w:rsidRDefault="008A305D" w:rsidP="008A305D">
      <w:pPr>
        <w:rPr>
          <w:sz w:val="22"/>
          <w:szCs w:val="22"/>
        </w:rPr>
      </w:pPr>
      <w:r w:rsidRPr="00D92F6B">
        <w:rPr>
          <w:sz w:val="22"/>
          <w:szCs w:val="22"/>
        </w:rPr>
        <w:t>Dozės korekcija, kai yra neutropenija ir trombocitopenija:</w:t>
      </w:r>
    </w:p>
    <w:p w14:paraId="09EE4094" w14:textId="77777777" w:rsidR="008A305D" w:rsidRPr="00D92F6B" w:rsidRDefault="008A305D" w:rsidP="008A305D">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2578"/>
        <w:gridCol w:w="4258"/>
      </w:tblGrid>
      <w:tr w:rsidR="008A305D" w:rsidRPr="00D92F6B" w14:paraId="4FC4BC4E" w14:textId="77777777" w:rsidTr="00412F88">
        <w:tc>
          <w:tcPr>
            <w:tcW w:w="2605" w:type="dxa"/>
          </w:tcPr>
          <w:p w14:paraId="14302B6F" w14:textId="77777777" w:rsidR="008A305D" w:rsidRPr="00D92F6B" w:rsidRDefault="008A305D" w:rsidP="00412F88">
            <w:pPr>
              <w:pStyle w:val="Default"/>
              <w:rPr>
                <w:rFonts w:ascii="Times New Roman" w:hAnsi="Times New Roman" w:cs="Times New Roman"/>
                <w:sz w:val="22"/>
                <w:szCs w:val="22"/>
                <w:lang w:val="lt-LT"/>
              </w:rPr>
            </w:pPr>
            <w:r w:rsidRPr="00D92F6B">
              <w:rPr>
                <w:rFonts w:ascii="Times New Roman" w:hAnsi="Times New Roman" w:cs="Times New Roman"/>
                <w:sz w:val="22"/>
                <w:szCs w:val="22"/>
                <w:lang w:val="lt-LT"/>
              </w:rPr>
              <w:t xml:space="preserve">HES/LEL (pradinė dozė – 100 mg) </w:t>
            </w:r>
          </w:p>
        </w:tc>
        <w:tc>
          <w:tcPr>
            <w:tcW w:w="2606" w:type="dxa"/>
          </w:tcPr>
          <w:p w14:paraId="16FF079C" w14:textId="77777777" w:rsidR="008A305D" w:rsidRPr="00D92F6B" w:rsidRDefault="008A305D" w:rsidP="00412F88">
            <w:pPr>
              <w:pStyle w:val="Default"/>
              <w:rPr>
                <w:rFonts w:ascii="Times New Roman" w:hAnsi="Times New Roman" w:cs="Times New Roman"/>
                <w:sz w:val="22"/>
                <w:szCs w:val="22"/>
                <w:lang w:val="lt-LT"/>
              </w:rPr>
            </w:pPr>
            <w:r w:rsidRPr="00D92F6B">
              <w:rPr>
                <w:rFonts w:ascii="Times New Roman" w:hAnsi="Times New Roman" w:cs="Times New Roman"/>
                <w:sz w:val="22"/>
                <w:szCs w:val="22"/>
                <w:lang w:val="lt-LT"/>
              </w:rPr>
              <w:t>ANS &lt; 1,0 x 10</w:t>
            </w:r>
            <w:r w:rsidRPr="00D92F6B">
              <w:rPr>
                <w:rFonts w:ascii="Times New Roman" w:hAnsi="Times New Roman" w:cs="Times New Roman"/>
                <w:sz w:val="22"/>
                <w:szCs w:val="22"/>
                <w:vertAlign w:val="superscript"/>
                <w:lang w:val="lt-LT"/>
              </w:rPr>
              <w:t>9</w:t>
            </w:r>
            <w:r w:rsidRPr="00D92F6B">
              <w:rPr>
                <w:rFonts w:ascii="Times New Roman" w:hAnsi="Times New Roman" w:cs="Times New Roman"/>
                <w:sz w:val="22"/>
                <w:szCs w:val="22"/>
                <w:lang w:val="lt-LT"/>
              </w:rPr>
              <w:t xml:space="preserve">/l </w:t>
            </w:r>
          </w:p>
          <w:p w14:paraId="50D3ADAF" w14:textId="77777777" w:rsidR="008A305D" w:rsidRPr="00D92F6B" w:rsidRDefault="008A305D" w:rsidP="00412F88">
            <w:pPr>
              <w:autoSpaceDE w:val="0"/>
              <w:autoSpaceDN w:val="0"/>
              <w:adjustRightInd w:val="0"/>
              <w:rPr>
                <w:sz w:val="22"/>
                <w:szCs w:val="22"/>
              </w:rPr>
            </w:pPr>
            <w:r w:rsidRPr="00D92F6B">
              <w:rPr>
                <w:sz w:val="22"/>
                <w:szCs w:val="22"/>
              </w:rPr>
              <w:t xml:space="preserve">ir (ar) </w:t>
            </w:r>
          </w:p>
          <w:p w14:paraId="63BAED63" w14:textId="77777777" w:rsidR="008A305D" w:rsidRPr="00D92F6B" w:rsidRDefault="008A305D" w:rsidP="00412F88">
            <w:pPr>
              <w:autoSpaceDE w:val="0"/>
              <w:autoSpaceDN w:val="0"/>
              <w:adjustRightInd w:val="0"/>
              <w:rPr>
                <w:sz w:val="22"/>
                <w:szCs w:val="22"/>
              </w:rPr>
            </w:pPr>
            <w:r w:rsidRPr="00D92F6B">
              <w:rPr>
                <w:sz w:val="22"/>
                <w:szCs w:val="22"/>
              </w:rPr>
              <w:t>trombocitų &lt; 50 x 10</w:t>
            </w:r>
            <w:r w:rsidRPr="00D92F6B">
              <w:rPr>
                <w:sz w:val="22"/>
                <w:szCs w:val="22"/>
                <w:vertAlign w:val="superscript"/>
              </w:rPr>
              <w:t>9</w:t>
            </w:r>
            <w:r w:rsidRPr="00D92F6B">
              <w:rPr>
                <w:sz w:val="22"/>
                <w:szCs w:val="22"/>
              </w:rPr>
              <w:t xml:space="preserve">/l </w:t>
            </w:r>
          </w:p>
        </w:tc>
        <w:tc>
          <w:tcPr>
            <w:tcW w:w="4335" w:type="dxa"/>
          </w:tcPr>
          <w:p w14:paraId="1531CE80" w14:textId="77777777" w:rsidR="008A305D" w:rsidRPr="00D92F6B" w:rsidRDefault="008A305D" w:rsidP="00412F88">
            <w:pPr>
              <w:pStyle w:val="Default"/>
              <w:ind w:left="601" w:hanging="601"/>
              <w:rPr>
                <w:rFonts w:ascii="Times New Roman" w:hAnsi="Times New Roman" w:cs="Times New Roman"/>
                <w:sz w:val="22"/>
                <w:szCs w:val="22"/>
                <w:lang w:val="lt-LT"/>
              </w:rPr>
            </w:pPr>
            <w:r w:rsidRPr="00D92F6B">
              <w:rPr>
                <w:sz w:val="22"/>
                <w:szCs w:val="22"/>
                <w:lang w:val="lt-LT"/>
              </w:rPr>
              <w:t>1</w:t>
            </w:r>
            <w:r w:rsidRPr="00D92F6B">
              <w:rPr>
                <w:rFonts w:ascii="Times New Roman" w:hAnsi="Times New Roman" w:cs="Times New Roman"/>
                <w:sz w:val="22"/>
                <w:szCs w:val="22"/>
                <w:lang w:val="lt-LT"/>
              </w:rPr>
              <w:t>.</w:t>
            </w:r>
            <w:r w:rsidRPr="00D92F6B">
              <w:rPr>
                <w:sz w:val="22"/>
                <w:szCs w:val="22"/>
                <w:lang w:val="lt-LT"/>
              </w:rPr>
              <w:tab/>
            </w:r>
            <w:r w:rsidRPr="00D92F6B">
              <w:rPr>
                <w:rFonts w:ascii="Times New Roman" w:hAnsi="Times New Roman" w:cs="Times New Roman"/>
                <w:sz w:val="22"/>
                <w:szCs w:val="22"/>
                <w:lang w:val="lt-LT"/>
              </w:rPr>
              <w:t xml:space="preserve">Imatinibo vartojimą nutraukti, kol ANS bus </w:t>
            </w:r>
            <w:r w:rsidRPr="00D92F6B">
              <w:rPr>
                <w:sz w:val="22"/>
                <w:szCs w:val="22"/>
                <w:lang w:val="lt-LT"/>
              </w:rPr>
              <w:t>≥ </w:t>
            </w:r>
            <w:r w:rsidRPr="00D92F6B">
              <w:rPr>
                <w:rFonts w:ascii="Times New Roman" w:hAnsi="Times New Roman" w:cs="Times New Roman"/>
                <w:sz w:val="22"/>
                <w:szCs w:val="22"/>
                <w:lang w:val="lt-LT"/>
              </w:rPr>
              <w:t>1,5 x 10</w:t>
            </w:r>
            <w:r w:rsidRPr="00D92F6B">
              <w:rPr>
                <w:rFonts w:ascii="Times New Roman" w:hAnsi="Times New Roman" w:cs="Times New Roman"/>
                <w:sz w:val="22"/>
                <w:szCs w:val="22"/>
                <w:vertAlign w:val="superscript"/>
                <w:lang w:val="lt-LT"/>
              </w:rPr>
              <w:t>9</w:t>
            </w:r>
            <w:r w:rsidRPr="00D92F6B">
              <w:rPr>
                <w:rFonts w:ascii="Times New Roman" w:hAnsi="Times New Roman" w:cs="Times New Roman"/>
                <w:sz w:val="22"/>
                <w:szCs w:val="22"/>
                <w:lang w:val="lt-LT"/>
              </w:rPr>
              <w:t xml:space="preserve">/l ir trombocitų </w:t>
            </w:r>
            <w:r w:rsidRPr="00D92F6B">
              <w:rPr>
                <w:sz w:val="22"/>
                <w:szCs w:val="22"/>
                <w:lang w:val="lt-LT"/>
              </w:rPr>
              <w:t>≥ </w:t>
            </w:r>
            <w:r w:rsidRPr="00D92F6B">
              <w:rPr>
                <w:rFonts w:ascii="Times New Roman" w:hAnsi="Times New Roman" w:cs="Times New Roman"/>
                <w:sz w:val="22"/>
                <w:szCs w:val="22"/>
                <w:lang w:val="lt-LT"/>
              </w:rPr>
              <w:t>75 x 10</w:t>
            </w:r>
            <w:r w:rsidRPr="00D92F6B">
              <w:rPr>
                <w:rFonts w:ascii="Times New Roman" w:hAnsi="Times New Roman" w:cs="Times New Roman"/>
                <w:sz w:val="22"/>
                <w:szCs w:val="22"/>
                <w:vertAlign w:val="superscript"/>
                <w:lang w:val="lt-LT"/>
              </w:rPr>
              <w:t>9</w:t>
            </w:r>
            <w:r w:rsidRPr="00D92F6B">
              <w:rPr>
                <w:rFonts w:ascii="Times New Roman" w:hAnsi="Times New Roman" w:cs="Times New Roman"/>
                <w:sz w:val="22"/>
                <w:szCs w:val="22"/>
                <w:lang w:val="lt-LT"/>
              </w:rPr>
              <w:t xml:space="preserve">/l. </w:t>
            </w:r>
          </w:p>
          <w:p w14:paraId="32CBCEAE" w14:textId="77777777" w:rsidR="008A305D" w:rsidRPr="00D92F6B" w:rsidRDefault="008A305D" w:rsidP="00412F88">
            <w:pPr>
              <w:autoSpaceDE w:val="0"/>
              <w:autoSpaceDN w:val="0"/>
              <w:adjustRightInd w:val="0"/>
              <w:ind w:left="601" w:hanging="601"/>
              <w:rPr>
                <w:sz w:val="22"/>
                <w:szCs w:val="22"/>
              </w:rPr>
            </w:pPr>
            <w:r w:rsidRPr="00D92F6B">
              <w:rPr>
                <w:sz w:val="22"/>
                <w:szCs w:val="22"/>
              </w:rPr>
              <w:t>2.</w:t>
            </w:r>
            <w:r w:rsidRPr="00D92F6B">
              <w:rPr>
                <w:sz w:val="22"/>
                <w:szCs w:val="22"/>
              </w:rPr>
              <w:tab/>
              <w:t xml:space="preserve">Gydymą imatinibu atnaujinti anksčiau vartota doze (t.y. ta, kuri buvo vartota prieš pasireiškiant stipriai nepageidaujamai reakcijai). </w:t>
            </w:r>
          </w:p>
        </w:tc>
      </w:tr>
      <w:tr w:rsidR="008A305D" w:rsidRPr="00D92F6B" w14:paraId="6A0A673C" w14:textId="77777777" w:rsidTr="00412F88">
        <w:tc>
          <w:tcPr>
            <w:tcW w:w="2605" w:type="dxa"/>
          </w:tcPr>
          <w:p w14:paraId="4978E709" w14:textId="77777777" w:rsidR="008A305D" w:rsidRPr="00D92F6B" w:rsidRDefault="008A305D" w:rsidP="00412F88">
            <w:pPr>
              <w:pStyle w:val="Default"/>
              <w:rPr>
                <w:rFonts w:ascii="Times New Roman" w:hAnsi="Times New Roman" w:cs="Times New Roman"/>
                <w:sz w:val="22"/>
                <w:szCs w:val="22"/>
                <w:lang w:val="lt-LT"/>
              </w:rPr>
            </w:pPr>
            <w:r w:rsidRPr="00D92F6B">
              <w:rPr>
                <w:rFonts w:ascii="Times New Roman" w:hAnsi="Times New Roman" w:cs="Times New Roman"/>
                <w:sz w:val="22"/>
                <w:szCs w:val="22"/>
                <w:lang w:val="lt-LT"/>
              </w:rPr>
              <w:t xml:space="preserve">Lėtinė MDS/ MPL fazė (pradinė dozė – 400 mg) </w:t>
            </w:r>
          </w:p>
          <w:p w14:paraId="3E4410EC" w14:textId="77777777" w:rsidR="008A305D" w:rsidRPr="00D92F6B" w:rsidRDefault="008A305D" w:rsidP="00412F88">
            <w:pPr>
              <w:autoSpaceDE w:val="0"/>
              <w:autoSpaceDN w:val="0"/>
              <w:adjustRightInd w:val="0"/>
              <w:rPr>
                <w:sz w:val="22"/>
                <w:szCs w:val="22"/>
              </w:rPr>
            </w:pPr>
            <w:r w:rsidRPr="00D92F6B">
              <w:rPr>
                <w:sz w:val="22"/>
                <w:szCs w:val="22"/>
              </w:rPr>
              <w:t xml:space="preserve">HES/LEL (400 mg dozė) </w:t>
            </w:r>
          </w:p>
        </w:tc>
        <w:tc>
          <w:tcPr>
            <w:tcW w:w="2606" w:type="dxa"/>
          </w:tcPr>
          <w:p w14:paraId="544A009B" w14:textId="77777777" w:rsidR="008A305D" w:rsidRPr="00D92F6B" w:rsidRDefault="008A305D" w:rsidP="00412F88">
            <w:pPr>
              <w:pStyle w:val="Default"/>
              <w:rPr>
                <w:rFonts w:ascii="Times New Roman" w:hAnsi="Times New Roman" w:cs="Times New Roman"/>
                <w:sz w:val="22"/>
                <w:szCs w:val="22"/>
                <w:lang w:val="lt-LT"/>
              </w:rPr>
            </w:pPr>
            <w:r w:rsidRPr="00D92F6B">
              <w:rPr>
                <w:rFonts w:ascii="Times New Roman" w:hAnsi="Times New Roman" w:cs="Times New Roman"/>
                <w:sz w:val="22"/>
                <w:szCs w:val="22"/>
                <w:lang w:val="lt-LT"/>
              </w:rPr>
              <w:t>ANS &lt; 1,0 x 10</w:t>
            </w:r>
            <w:r w:rsidRPr="00D92F6B">
              <w:rPr>
                <w:rFonts w:ascii="Times New Roman" w:hAnsi="Times New Roman" w:cs="Times New Roman"/>
                <w:sz w:val="22"/>
                <w:szCs w:val="22"/>
                <w:vertAlign w:val="superscript"/>
                <w:lang w:val="lt-LT"/>
              </w:rPr>
              <w:t>9</w:t>
            </w:r>
            <w:r w:rsidRPr="00D92F6B">
              <w:rPr>
                <w:rFonts w:ascii="Times New Roman" w:hAnsi="Times New Roman" w:cs="Times New Roman"/>
                <w:sz w:val="22"/>
                <w:szCs w:val="22"/>
                <w:lang w:val="lt-LT"/>
              </w:rPr>
              <w:t xml:space="preserve">/l </w:t>
            </w:r>
          </w:p>
          <w:p w14:paraId="3606101A" w14:textId="77777777" w:rsidR="008A305D" w:rsidRPr="00D92F6B" w:rsidRDefault="008A305D" w:rsidP="00412F88">
            <w:pPr>
              <w:pStyle w:val="Default"/>
              <w:rPr>
                <w:rFonts w:ascii="Times New Roman" w:hAnsi="Times New Roman" w:cs="Times New Roman"/>
                <w:sz w:val="22"/>
                <w:szCs w:val="22"/>
                <w:lang w:val="lt-LT"/>
              </w:rPr>
            </w:pPr>
            <w:r w:rsidRPr="00D92F6B">
              <w:rPr>
                <w:rFonts w:ascii="Times New Roman" w:hAnsi="Times New Roman" w:cs="Times New Roman"/>
                <w:sz w:val="22"/>
                <w:szCs w:val="22"/>
                <w:lang w:val="lt-LT"/>
              </w:rPr>
              <w:t xml:space="preserve">ir (ar) </w:t>
            </w:r>
          </w:p>
          <w:p w14:paraId="21A48E76" w14:textId="77777777" w:rsidR="008A305D" w:rsidRPr="00D92F6B" w:rsidRDefault="008A305D" w:rsidP="00412F88">
            <w:pPr>
              <w:autoSpaceDE w:val="0"/>
              <w:autoSpaceDN w:val="0"/>
              <w:adjustRightInd w:val="0"/>
              <w:rPr>
                <w:sz w:val="22"/>
                <w:szCs w:val="22"/>
              </w:rPr>
            </w:pPr>
            <w:r w:rsidRPr="00D92F6B">
              <w:rPr>
                <w:sz w:val="22"/>
                <w:szCs w:val="22"/>
              </w:rPr>
              <w:t>trombocitų &lt; 50 x 10</w:t>
            </w:r>
            <w:r w:rsidRPr="00D92F6B">
              <w:rPr>
                <w:sz w:val="22"/>
                <w:szCs w:val="22"/>
                <w:vertAlign w:val="superscript"/>
              </w:rPr>
              <w:t>9</w:t>
            </w:r>
            <w:r w:rsidRPr="00D92F6B">
              <w:rPr>
                <w:sz w:val="22"/>
                <w:szCs w:val="22"/>
              </w:rPr>
              <w:t xml:space="preserve">/l </w:t>
            </w:r>
          </w:p>
        </w:tc>
        <w:tc>
          <w:tcPr>
            <w:tcW w:w="4335" w:type="dxa"/>
          </w:tcPr>
          <w:p w14:paraId="40FA169D" w14:textId="77777777" w:rsidR="008A305D" w:rsidRPr="00D92F6B" w:rsidRDefault="008A305D" w:rsidP="00412F88">
            <w:pPr>
              <w:pStyle w:val="Default"/>
              <w:ind w:left="601" w:hanging="601"/>
              <w:rPr>
                <w:rFonts w:ascii="Times New Roman" w:hAnsi="Times New Roman" w:cs="Times New Roman"/>
                <w:sz w:val="22"/>
                <w:szCs w:val="22"/>
                <w:lang w:val="lt-LT"/>
              </w:rPr>
            </w:pPr>
            <w:r w:rsidRPr="00D92F6B">
              <w:rPr>
                <w:rFonts w:ascii="Times New Roman" w:hAnsi="Times New Roman" w:cs="Times New Roman"/>
                <w:sz w:val="22"/>
                <w:szCs w:val="22"/>
                <w:lang w:val="lt-LT"/>
              </w:rPr>
              <w:t>1.</w:t>
            </w:r>
            <w:r w:rsidRPr="00D92F6B">
              <w:rPr>
                <w:sz w:val="22"/>
                <w:szCs w:val="22"/>
                <w:lang w:val="lt-LT"/>
              </w:rPr>
              <w:tab/>
            </w:r>
            <w:r w:rsidRPr="00D92F6B">
              <w:rPr>
                <w:rFonts w:ascii="Times New Roman" w:hAnsi="Times New Roman" w:cs="Times New Roman"/>
                <w:sz w:val="22"/>
                <w:szCs w:val="22"/>
                <w:lang w:val="lt-LT"/>
              </w:rPr>
              <w:t xml:space="preserve">Imatinibo vartojimą nutraukti, kol </w:t>
            </w:r>
            <w:bookmarkStart w:id="0" w:name="OLE_LINK1"/>
            <w:bookmarkStart w:id="1" w:name="OLE_LINK2"/>
            <w:r w:rsidRPr="00D92F6B">
              <w:rPr>
                <w:rFonts w:ascii="Times New Roman" w:hAnsi="Times New Roman" w:cs="Times New Roman"/>
                <w:sz w:val="22"/>
                <w:szCs w:val="22"/>
                <w:lang w:val="lt-LT"/>
              </w:rPr>
              <w:t>ANS bus ≥ 1,5 x 10</w:t>
            </w:r>
            <w:r w:rsidRPr="00D92F6B">
              <w:rPr>
                <w:rFonts w:ascii="Times New Roman" w:hAnsi="Times New Roman" w:cs="Times New Roman"/>
                <w:sz w:val="22"/>
                <w:szCs w:val="22"/>
                <w:vertAlign w:val="superscript"/>
                <w:lang w:val="lt-LT"/>
              </w:rPr>
              <w:t>9</w:t>
            </w:r>
            <w:r w:rsidRPr="00D92F6B">
              <w:rPr>
                <w:rFonts w:ascii="Times New Roman" w:hAnsi="Times New Roman" w:cs="Times New Roman"/>
                <w:sz w:val="22"/>
                <w:szCs w:val="22"/>
                <w:lang w:val="lt-LT"/>
              </w:rPr>
              <w:t xml:space="preserve">/l ir trombocitų </w:t>
            </w:r>
            <w:r w:rsidRPr="00D92F6B">
              <w:rPr>
                <w:sz w:val="22"/>
                <w:szCs w:val="22"/>
                <w:lang w:val="lt-LT"/>
              </w:rPr>
              <w:t>≥ </w:t>
            </w:r>
            <w:r w:rsidRPr="00D92F6B">
              <w:rPr>
                <w:rFonts w:ascii="Times New Roman" w:hAnsi="Times New Roman" w:cs="Times New Roman"/>
                <w:sz w:val="22"/>
                <w:szCs w:val="22"/>
                <w:lang w:val="lt-LT"/>
              </w:rPr>
              <w:t>75 x 10</w:t>
            </w:r>
            <w:r w:rsidRPr="00D92F6B">
              <w:rPr>
                <w:rFonts w:ascii="Times New Roman" w:hAnsi="Times New Roman" w:cs="Times New Roman"/>
                <w:sz w:val="22"/>
                <w:szCs w:val="22"/>
                <w:vertAlign w:val="superscript"/>
                <w:lang w:val="lt-LT"/>
              </w:rPr>
              <w:t>9</w:t>
            </w:r>
            <w:r w:rsidRPr="00D92F6B">
              <w:rPr>
                <w:rFonts w:ascii="Times New Roman" w:hAnsi="Times New Roman" w:cs="Times New Roman"/>
                <w:sz w:val="22"/>
                <w:szCs w:val="22"/>
                <w:lang w:val="lt-LT"/>
              </w:rPr>
              <w:t xml:space="preserve">/l. </w:t>
            </w:r>
          </w:p>
          <w:bookmarkEnd w:id="0"/>
          <w:bookmarkEnd w:id="1"/>
          <w:p w14:paraId="55426564" w14:textId="77777777" w:rsidR="008A305D" w:rsidRPr="00D92F6B" w:rsidRDefault="008A305D" w:rsidP="00412F88">
            <w:pPr>
              <w:pStyle w:val="Default"/>
              <w:ind w:left="601" w:hanging="601"/>
              <w:rPr>
                <w:rFonts w:ascii="Times New Roman" w:hAnsi="Times New Roman" w:cs="Times New Roman"/>
                <w:sz w:val="22"/>
                <w:szCs w:val="22"/>
                <w:lang w:val="lt-LT"/>
              </w:rPr>
            </w:pPr>
            <w:r w:rsidRPr="00D92F6B">
              <w:rPr>
                <w:rFonts w:ascii="Times New Roman" w:hAnsi="Times New Roman" w:cs="Times New Roman"/>
                <w:sz w:val="22"/>
                <w:szCs w:val="22"/>
                <w:lang w:val="lt-LT"/>
              </w:rPr>
              <w:t>2.</w:t>
            </w:r>
            <w:r w:rsidRPr="00D92F6B">
              <w:rPr>
                <w:sz w:val="22"/>
                <w:szCs w:val="22"/>
                <w:lang w:val="lt-LT"/>
              </w:rPr>
              <w:tab/>
            </w:r>
            <w:r w:rsidRPr="00D92F6B">
              <w:rPr>
                <w:rFonts w:ascii="Times New Roman" w:hAnsi="Times New Roman" w:cs="Times New Roman"/>
                <w:sz w:val="22"/>
                <w:szCs w:val="22"/>
                <w:lang w:val="lt-LT"/>
              </w:rPr>
              <w:t xml:space="preserve">Gydymą imatinibu atnaujinti anksčiau vartota doze (t.y. ta, kuri buvo vartota prieš pasireiškiant stipriai nepageidaujamai reakcijai). </w:t>
            </w:r>
          </w:p>
          <w:p w14:paraId="6F389DCB" w14:textId="77777777" w:rsidR="008A305D" w:rsidRPr="00D92F6B" w:rsidRDefault="008A305D" w:rsidP="00412F88">
            <w:pPr>
              <w:autoSpaceDE w:val="0"/>
              <w:autoSpaceDN w:val="0"/>
              <w:adjustRightInd w:val="0"/>
              <w:ind w:left="601" w:hanging="601"/>
              <w:rPr>
                <w:sz w:val="22"/>
                <w:szCs w:val="22"/>
              </w:rPr>
            </w:pPr>
            <w:r w:rsidRPr="00D92F6B">
              <w:rPr>
                <w:sz w:val="22"/>
                <w:szCs w:val="22"/>
              </w:rPr>
              <w:t>3.</w:t>
            </w:r>
            <w:r w:rsidRPr="00D92F6B">
              <w:rPr>
                <w:sz w:val="22"/>
                <w:szCs w:val="22"/>
              </w:rPr>
              <w:tab/>
              <w:t>Kartotinai sumažėjus ANS &lt; 1,0 x 10</w:t>
            </w:r>
            <w:r w:rsidRPr="00D92F6B">
              <w:rPr>
                <w:sz w:val="22"/>
                <w:szCs w:val="22"/>
                <w:vertAlign w:val="superscript"/>
              </w:rPr>
              <w:t>9</w:t>
            </w:r>
            <w:r w:rsidRPr="00D92F6B">
              <w:rPr>
                <w:sz w:val="22"/>
                <w:szCs w:val="22"/>
              </w:rPr>
              <w:t>/l ir trombocitų &lt; 50 x 10</w:t>
            </w:r>
            <w:r w:rsidRPr="00D92F6B">
              <w:rPr>
                <w:sz w:val="22"/>
                <w:szCs w:val="22"/>
                <w:vertAlign w:val="superscript"/>
              </w:rPr>
              <w:t>9</w:t>
            </w:r>
            <w:r w:rsidRPr="00D92F6B">
              <w:rPr>
                <w:sz w:val="22"/>
                <w:szCs w:val="22"/>
              </w:rPr>
              <w:t xml:space="preserve">/l, kartoti nuo 1-ojo punkto ir gydymą imatinibu atnaujinti sumažinta 300 mg doze. </w:t>
            </w:r>
          </w:p>
        </w:tc>
      </w:tr>
      <w:tr w:rsidR="008A305D" w:rsidRPr="00D92F6B" w14:paraId="5E8DFD1A" w14:textId="77777777" w:rsidTr="00412F88">
        <w:tc>
          <w:tcPr>
            <w:tcW w:w="2605" w:type="dxa"/>
          </w:tcPr>
          <w:p w14:paraId="2C27579E" w14:textId="77777777" w:rsidR="008A305D" w:rsidRPr="0045031A" w:rsidRDefault="008A305D" w:rsidP="00412F88">
            <w:pPr>
              <w:autoSpaceDE w:val="0"/>
              <w:autoSpaceDN w:val="0"/>
              <w:adjustRightInd w:val="0"/>
              <w:rPr>
                <w:sz w:val="22"/>
                <w:szCs w:val="22"/>
              </w:rPr>
            </w:pPr>
            <w:r w:rsidRPr="00D92F6B">
              <w:rPr>
                <w:sz w:val="22"/>
                <w:szCs w:val="22"/>
              </w:rPr>
              <w:t>Vaikų lėtinė LML fazė (340 mg/m</w:t>
            </w:r>
            <w:r w:rsidRPr="00D92F6B">
              <w:rPr>
                <w:sz w:val="22"/>
                <w:szCs w:val="22"/>
                <w:vertAlign w:val="superscript"/>
              </w:rPr>
              <w:t xml:space="preserve">2 </w:t>
            </w:r>
            <w:r w:rsidRPr="00D92F6B">
              <w:rPr>
                <w:sz w:val="22"/>
                <w:szCs w:val="22"/>
              </w:rPr>
              <w:t>dozė)</w:t>
            </w:r>
          </w:p>
        </w:tc>
        <w:tc>
          <w:tcPr>
            <w:tcW w:w="2606" w:type="dxa"/>
          </w:tcPr>
          <w:p w14:paraId="7C5914AC" w14:textId="77777777" w:rsidR="008A305D" w:rsidRPr="0045031A" w:rsidRDefault="008A305D" w:rsidP="00412F88">
            <w:pPr>
              <w:autoSpaceDE w:val="0"/>
              <w:autoSpaceDN w:val="0"/>
              <w:adjustRightInd w:val="0"/>
              <w:rPr>
                <w:sz w:val="22"/>
                <w:szCs w:val="22"/>
              </w:rPr>
            </w:pPr>
            <w:r w:rsidRPr="00D92F6B">
              <w:rPr>
                <w:sz w:val="22"/>
                <w:szCs w:val="22"/>
              </w:rPr>
              <w:t>ANS &lt; 1.0 x 10</w:t>
            </w:r>
            <w:r w:rsidRPr="00D92F6B">
              <w:rPr>
                <w:sz w:val="22"/>
                <w:szCs w:val="22"/>
                <w:vertAlign w:val="superscript"/>
              </w:rPr>
              <w:t>9</w:t>
            </w:r>
            <w:r w:rsidRPr="00D92F6B">
              <w:rPr>
                <w:sz w:val="22"/>
                <w:szCs w:val="22"/>
              </w:rPr>
              <w:t>/l ir (ar) trombocitų &lt; 50 x 10</w:t>
            </w:r>
            <w:r w:rsidRPr="00D92F6B">
              <w:rPr>
                <w:sz w:val="22"/>
                <w:szCs w:val="22"/>
                <w:vertAlign w:val="superscript"/>
              </w:rPr>
              <w:t>9</w:t>
            </w:r>
            <w:r w:rsidRPr="00D92F6B">
              <w:rPr>
                <w:sz w:val="22"/>
                <w:szCs w:val="22"/>
              </w:rPr>
              <w:t>/l</w:t>
            </w:r>
          </w:p>
        </w:tc>
        <w:tc>
          <w:tcPr>
            <w:tcW w:w="4335" w:type="dxa"/>
          </w:tcPr>
          <w:p w14:paraId="007B073F" w14:textId="77777777" w:rsidR="008A305D" w:rsidRPr="0045031A" w:rsidRDefault="008A305D" w:rsidP="00412F88">
            <w:pPr>
              <w:autoSpaceDE w:val="0"/>
              <w:autoSpaceDN w:val="0"/>
              <w:adjustRightInd w:val="0"/>
              <w:ind w:left="567" w:hanging="567"/>
              <w:rPr>
                <w:sz w:val="22"/>
                <w:szCs w:val="22"/>
              </w:rPr>
            </w:pPr>
            <w:r w:rsidRPr="00D92F6B">
              <w:rPr>
                <w:sz w:val="22"/>
                <w:szCs w:val="22"/>
              </w:rPr>
              <w:t>1.</w:t>
            </w:r>
            <w:r w:rsidRPr="00D92F6B">
              <w:rPr>
                <w:sz w:val="22"/>
                <w:szCs w:val="22"/>
              </w:rPr>
              <w:tab/>
              <w:t>Imatinibo vartojimą nutraukti kol ANS bus ≥ 1.5 x 10</w:t>
            </w:r>
            <w:r w:rsidRPr="00D92F6B">
              <w:rPr>
                <w:sz w:val="22"/>
                <w:szCs w:val="22"/>
                <w:vertAlign w:val="superscript"/>
              </w:rPr>
              <w:t>9</w:t>
            </w:r>
            <w:r w:rsidRPr="00D92F6B">
              <w:rPr>
                <w:sz w:val="22"/>
                <w:szCs w:val="22"/>
              </w:rPr>
              <w:t>/l ir trombocitų ≥ 75 x 10</w:t>
            </w:r>
            <w:r w:rsidRPr="00D92F6B">
              <w:rPr>
                <w:sz w:val="22"/>
                <w:szCs w:val="22"/>
                <w:vertAlign w:val="superscript"/>
              </w:rPr>
              <w:t>9</w:t>
            </w:r>
            <w:r w:rsidRPr="00D92F6B">
              <w:rPr>
                <w:sz w:val="22"/>
                <w:szCs w:val="22"/>
              </w:rPr>
              <w:t>/l.</w:t>
            </w:r>
          </w:p>
          <w:p w14:paraId="0AD199A3" w14:textId="77777777" w:rsidR="008A305D" w:rsidRPr="0045031A" w:rsidRDefault="008A305D" w:rsidP="00412F88">
            <w:pPr>
              <w:autoSpaceDE w:val="0"/>
              <w:autoSpaceDN w:val="0"/>
              <w:adjustRightInd w:val="0"/>
              <w:ind w:left="567" w:hanging="567"/>
              <w:rPr>
                <w:sz w:val="22"/>
                <w:szCs w:val="22"/>
              </w:rPr>
            </w:pPr>
            <w:r w:rsidRPr="00D92F6B">
              <w:rPr>
                <w:sz w:val="22"/>
                <w:szCs w:val="22"/>
              </w:rPr>
              <w:t>2.</w:t>
            </w:r>
            <w:r w:rsidRPr="00D92F6B">
              <w:rPr>
                <w:sz w:val="22"/>
                <w:szCs w:val="22"/>
              </w:rPr>
              <w:tab/>
              <w:t>Gydymą atnaujinti anksčiau vartota doze (t.y. ta, kuri buvo vartota prieš pasireiškiant stipriai nepageidaujamai reakcijai).</w:t>
            </w:r>
          </w:p>
          <w:p w14:paraId="25FFB9F7" w14:textId="77777777" w:rsidR="008A305D" w:rsidRPr="0045031A" w:rsidRDefault="008A305D" w:rsidP="00412F88">
            <w:pPr>
              <w:autoSpaceDE w:val="0"/>
              <w:autoSpaceDN w:val="0"/>
              <w:adjustRightInd w:val="0"/>
              <w:ind w:left="567" w:hanging="567"/>
              <w:rPr>
                <w:sz w:val="22"/>
                <w:szCs w:val="22"/>
              </w:rPr>
            </w:pPr>
            <w:r w:rsidRPr="00D92F6B">
              <w:rPr>
                <w:sz w:val="22"/>
                <w:szCs w:val="22"/>
              </w:rPr>
              <w:t>3.</w:t>
            </w:r>
            <w:r w:rsidRPr="00D92F6B">
              <w:rPr>
                <w:sz w:val="22"/>
                <w:szCs w:val="22"/>
              </w:rPr>
              <w:tab/>
              <w:t>Kartotinai sumažėjus ANS &lt; 1.0 x 10</w:t>
            </w:r>
            <w:r w:rsidRPr="00D92F6B">
              <w:rPr>
                <w:sz w:val="22"/>
                <w:szCs w:val="22"/>
                <w:vertAlign w:val="superscript"/>
              </w:rPr>
              <w:t>9</w:t>
            </w:r>
            <w:r w:rsidRPr="00D92F6B">
              <w:rPr>
                <w:sz w:val="22"/>
                <w:szCs w:val="22"/>
              </w:rPr>
              <w:t>/l ir/ar trombocitų &lt; 50 x 10</w:t>
            </w:r>
            <w:r w:rsidRPr="00D92F6B">
              <w:rPr>
                <w:sz w:val="22"/>
                <w:szCs w:val="22"/>
                <w:vertAlign w:val="superscript"/>
              </w:rPr>
              <w:t>9</w:t>
            </w:r>
            <w:r w:rsidRPr="00D92F6B">
              <w:rPr>
                <w:sz w:val="22"/>
                <w:szCs w:val="22"/>
              </w:rPr>
              <w:t>/l, kartoti nuo 1 punkto ir gydymą imatinibu atnaujinti sumažinta 260 mg/m</w:t>
            </w:r>
            <w:r w:rsidRPr="00D92F6B">
              <w:rPr>
                <w:sz w:val="22"/>
                <w:szCs w:val="22"/>
                <w:vertAlign w:val="superscript"/>
              </w:rPr>
              <w:t xml:space="preserve">2 </w:t>
            </w:r>
            <w:r w:rsidRPr="00D92F6B">
              <w:rPr>
                <w:sz w:val="22"/>
                <w:szCs w:val="22"/>
              </w:rPr>
              <w:t>doze.</w:t>
            </w:r>
          </w:p>
        </w:tc>
      </w:tr>
      <w:tr w:rsidR="008A305D" w:rsidRPr="00D92F6B" w14:paraId="017ADC5F" w14:textId="77777777" w:rsidTr="00412F88">
        <w:tc>
          <w:tcPr>
            <w:tcW w:w="2605" w:type="dxa"/>
          </w:tcPr>
          <w:p w14:paraId="0833B1C4" w14:textId="77777777" w:rsidR="008A305D" w:rsidRPr="0045031A" w:rsidRDefault="008A305D" w:rsidP="00412F88">
            <w:pPr>
              <w:autoSpaceDE w:val="0"/>
              <w:autoSpaceDN w:val="0"/>
              <w:adjustRightInd w:val="0"/>
              <w:rPr>
                <w:sz w:val="22"/>
                <w:szCs w:val="22"/>
              </w:rPr>
            </w:pPr>
            <w:r w:rsidRPr="00D92F6B">
              <w:rPr>
                <w:sz w:val="22"/>
                <w:szCs w:val="22"/>
              </w:rPr>
              <w:t>LML blastinė krizė ir Ph+ŪLL (pradinė dozė 600 mg)</w:t>
            </w:r>
          </w:p>
        </w:tc>
        <w:tc>
          <w:tcPr>
            <w:tcW w:w="2606" w:type="dxa"/>
          </w:tcPr>
          <w:p w14:paraId="423769DF" w14:textId="77777777" w:rsidR="008A305D" w:rsidRPr="0045031A" w:rsidRDefault="008A305D" w:rsidP="00412F88">
            <w:pPr>
              <w:autoSpaceDE w:val="0"/>
              <w:autoSpaceDN w:val="0"/>
              <w:adjustRightInd w:val="0"/>
              <w:rPr>
                <w:sz w:val="22"/>
                <w:szCs w:val="22"/>
              </w:rPr>
            </w:pPr>
            <w:r w:rsidRPr="00D92F6B">
              <w:rPr>
                <w:sz w:val="22"/>
                <w:szCs w:val="22"/>
                <w:vertAlign w:val="superscript"/>
              </w:rPr>
              <w:t>a</w:t>
            </w:r>
            <w:r w:rsidRPr="00D92F6B">
              <w:rPr>
                <w:sz w:val="22"/>
                <w:szCs w:val="22"/>
              </w:rPr>
              <w:t>ANS &lt; 0.5 x 10</w:t>
            </w:r>
            <w:r w:rsidRPr="00D92F6B">
              <w:rPr>
                <w:sz w:val="22"/>
                <w:szCs w:val="22"/>
                <w:vertAlign w:val="superscript"/>
              </w:rPr>
              <w:t>9</w:t>
            </w:r>
            <w:r w:rsidRPr="00D92F6B">
              <w:rPr>
                <w:sz w:val="22"/>
                <w:szCs w:val="22"/>
              </w:rPr>
              <w:t>/l ir (ar) trombocitų &lt; 10 x 10</w:t>
            </w:r>
            <w:r w:rsidRPr="00D92F6B">
              <w:rPr>
                <w:sz w:val="22"/>
                <w:szCs w:val="22"/>
                <w:vertAlign w:val="superscript"/>
              </w:rPr>
              <w:t>9</w:t>
            </w:r>
            <w:r w:rsidRPr="00D92F6B">
              <w:rPr>
                <w:sz w:val="22"/>
                <w:szCs w:val="22"/>
              </w:rPr>
              <w:t>/l</w:t>
            </w:r>
          </w:p>
        </w:tc>
        <w:tc>
          <w:tcPr>
            <w:tcW w:w="4335" w:type="dxa"/>
          </w:tcPr>
          <w:p w14:paraId="62E5564B" w14:textId="77777777" w:rsidR="008A305D" w:rsidRPr="0045031A" w:rsidRDefault="008A305D" w:rsidP="00412F88">
            <w:pPr>
              <w:autoSpaceDE w:val="0"/>
              <w:autoSpaceDN w:val="0"/>
              <w:adjustRightInd w:val="0"/>
              <w:ind w:left="567" w:hanging="567"/>
              <w:rPr>
                <w:sz w:val="22"/>
                <w:szCs w:val="22"/>
              </w:rPr>
            </w:pPr>
            <w:r w:rsidRPr="00D92F6B">
              <w:rPr>
                <w:sz w:val="22"/>
                <w:szCs w:val="22"/>
              </w:rPr>
              <w:t>1.</w:t>
            </w:r>
            <w:r w:rsidRPr="00D92F6B">
              <w:rPr>
                <w:sz w:val="22"/>
                <w:szCs w:val="22"/>
              </w:rPr>
              <w:tab/>
              <w:t>Ištirti, ar citopenija nesusijusi su leukemija (kaulų čiulpų aspiratas ar biopsija).</w:t>
            </w:r>
          </w:p>
          <w:p w14:paraId="132C63A0" w14:textId="77777777" w:rsidR="008A305D" w:rsidRPr="0045031A" w:rsidRDefault="008A305D" w:rsidP="00412F88">
            <w:pPr>
              <w:autoSpaceDE w:val="0"/>
              <w:autoSpaceDN w:val="0"/>
              <w:adjustRightInd w:val="0"/>
              <w:ind w:left="567" w:hanging="567"/>
              <w:rPr>
                <w:sz w:val="22"/>
                <w:szCs w:val="22"/>
              </w:rPr>
            </w:pPr>
            <w:r w:rsidRPr="00D92F6B">
              <w:rPr>
                <w:sz w:val="22"/>
                <w:szCs w:val="22"/>
              </w:rPr>
              <w:t>2.</w:t>
            </w:r>
            <w:r w:rsidRPr="00D92F6B">
              <w:rPr>
                <w:sz w:val="22"/>
                <w:szCs w:val="22"/>
              </w:rPr>
              <w:tab/>
              <w:t>Jei citopenija nesusijusi su leukemija, imatinibo dozę sumažinti iki 400 mg.</w:t>
            </w:r>
          </w:p>
          <w:p w14:paraId="28F6A594" w14:textId="77777777" w:rsidR="008A305D" w:rsidRPr="0045031A" w:rsidRDefault="008A305D" w:rsidP="00412F88">
            <w:pPr>
              <w:autoSpaceDE w:val="0"/>
              <w:autoSpaceDN w:val="0"/>
              <w:adjustRightInd w:val="0"/>
              <w:ind w:left="567" w:hanging="567"/>
              <w:rPr>
                <w:sz w:val="22"/>
                <w:szCs w:val="22"/>
              </w:rPr>
            </w:pPr>
            <w:r w:rsidRPr="00D92F6B">
              <w:rPr>
                <w:sz w:val="22"/>
                <w:szCs w:val="22"/>
              </w:rPr>
              <w:t>3.</w:t>
            </w:r>
            <w:r w:rsidRPr="00D92F6B">
              <w:rPr>
                <w:sz w:val="22"/>
                <w:szCs w:val="22"/>
              </w:rPr>
              <w:tab/>
              <w:t>Jei citopenija trunka 2 savaites, dozę dar sumažinti iki 300 mg.</w:t>
            </w:r>
          </w:p>
          <w:p w14:paraId="193AD7F0" w14:textId="77777777" w:rsidR="008A305D" w:rsidRPr="0045031A" w:rsidRDefault="008A305D" w:rsidP="00412F88">
            <w:pPr>
              <w:autoSpaceDE w:val="0"/>
              <w:autoSpaceDN w:val="0"/>
              <w:adjustRightInd w:val="0"/>
              <w:ind w:left="567" w:hanging="567"/>
              <w:rPr>
                <w:sz w:val="22"/>
                <w:szCs w:val="22"/>
              </w:rPr>
            </w:pPr>
            <w:r w:rsidRPr="00D92F6B">
              <w:rPr>
                <w:sz w:val="22"/>
                <w:szCs w:val="22"/>
              </w:rPr>
              <w:t>4.</w:t>
            </w:r>
            <w:r w:rsidRPr="00D92F6B">
              <w:rPr>
                <w:sz w:val="22"/>
                <w:szCs w:val="22"/>
              </w:rPr>
              <w:tab/>
              <w:t>Jei citopenija trunka 4 savaites ir yra nesusijusi su leukemija, imatinibo nevartoti tol, kol ANS bus ≥ 1 x 10</w:t>
            </w:r>
            <w:r w:rsidRPr="00D92F6B">
              <w:rPr>
                <w:sz w:val="22"/>
                <w:szCs w:val="22"/>
                <w:vertAlign w:val="superscript"/>
              </w:rPr>
              <w:t>9</w:t>
            </w:r>
            <w:r w:rsidRPr="00D92F6B">
              <w:rPr>
                <w:sz w:val="22"/>
                <w:szCs w:val="22"/>
              </w:rPr>
              <w:t>/l ir trombocitų ≥ 20 x 10</w:t>
            </w:r>
            <w:r w:rsidRPr="00D92F6B">
              <w:rPr>
                <w:sz w:val="22"/>
                <w:szCs w:val="22"/>
                <w:vertAlign w:val="superscript"/>
              </w:rPr>
              <w:t>9</w:t>
            </w:r>
            <w:r w:rsidRPr="00D92F6B">
              <w:rPr>
                <w:sz w:val="22"/>
                <w:szCs w:val="22"/>
              </w:rPr>
              <w:t>/l, paskui gydymą atnaujinti 300 mg doze.</w:t>
            </w:r>
          </w:p>
        </w:tc>
      </w:tr>
      <w:tr w:rsidR="008A305D" w:rsidRPr="00D92F6B" w14:paraId="38B03D83" w14:textId="77777777" w:rsidTr="00412F88">
        <w:tc>
          <w:tcPr>
            <w:tcW w:w="2605" w:type="dxa"/>
          </w:tcPr>
          <w:p w14:paraId="6164D53E" w14:textId="77777777" w:rsidR="008A305D" w:rsidRPr="0045031A" w:rsidRDefault="008A305D" w:rsidP="00412F88">
            <w:pPr>
              <w:autoSpaceDE w:val="0"/>
              <w:autoSpaceDN w:val="0"/>
              <w:adjustRightInd w:val="0"/>
              <w:rPr>
                <w:sz w:val="22"/>
                <w:szCs w:val="22"/>
                <w:lang w:eastAsia="is-IS"/>
              </w:rPr>
            </w:pPr>
            <w:r w:rsidRPr="00D92F6B">
              <w:rPr>
                <w:sz w:val="22"/>
                <w:szCs w:val="22"/>
                <w:lang w:eastAsia="is-IS"/>
              </w:rPr>
              <w:t xml:space="preserve">Pediatrinė </w:t>
            </w:r>
            <w:r w:rsidRPr="00D92F6B">
              <w:rPr>
                <w:sz w:val="22"/>
                <w:szCs w:val="22"/>
              </w:rPr>
              <w:t xml:space="preserve">LML akceleracijos fazė ir blastinė krizė (pradinė dozė </w:t>
            </w:r>
            <w:r w:rsidRPr="00D92F6B">
              <w:rPr>
                <w:sz w:val="22"/>
                <w:szCs w:val="22"/>
                <w:lang w:eastAsia="is-IS"/>
              </w:rPr>
              <w:t>340 mg/m</w:t>
            </w:r>
            <w:r w:rsidRPr="00D92F6B">
              <w:rPr>
                <w:sz w:val="22"/>
                <w:szCs w:val="22"/>
                <w:vertAlign w:val="superscript"/>
                <w:lang w:eastAsia="is-IS"/>
              </w:rPr>
              <w:t>2</w:t>
            </w:r>
            <w:r w:rsidRPr="00D92F6B">
              <w:rPr>
                <w:sz w:val="22"/>
                <w:szCs w:val="22"/>
                <w:lang w:eastAsia="is-IS"/>
              </w:rPr>
              <w:t>)</w:t>
            </w:r>
          </w:p>
        </w:tc>
        <w:tc>
          <w:tcPr>
            <w:tcW w:w="2606" w:type="dxa"/>
          </w:tcPr>
          <w:p w14:paraId="74559638" w14:textId="77777777" w:rsidR="008A305D" w:rsidRPr="0045031A" w:rsidRDefault="008A305D" w:rsidP="00412F88">
            <w:pPr>
              <w:autoSpaceDE w:val="0"/>
              <w:autoSpaceDN w:val="0"/>
              <w:adjustRightInd w:val="0"/>
              <w:rPr>
                <w:sz w:val="22"/>
                <w:szCs w:val="22"/>
                <w:lang w:eastAsia="is-IS"/>
              </w:rPr>
            </w:pPr>
            <w:r w:rsidRPr="00D92F6B">
              <w:rPr>
                <w:sz w:val="22"/>
                <w:szCs w:val="22"/>
                <w:vertAlign w:val="superscript"/>
                <w:lang w:eastAsia="is-IS"/>
              </w:rPr>
              <w:t>a</w:t>
            </w:r>
            <w:r w:rsidRPr="00D92F6B">
              <w:rPr>
                <w:sz w:val="22"/>
                <w:szCs w:val="22"/>
                <w:lang w:eastAsia="is-IS"/>
              </w:rPr>
              <w:t>ANS &lt; 0.5 x 10</w:t>
            </w:r>
            <w:r w:rsidRPr="00D92F6B">
              <w:rPr>
                <w:sz w:val="22"/>
                <w:szCs w:val="22"/>
                <w:vertAlign w:val="superscript"/>
                <w:lang w:eastAsia="is-IS"/>
              </w:rPr>
              <w:t>9</w:t>
            </w:r>
            <w:r w:rsidRPr="00D92F6B">
              <w:rPr>
                <w:sz w:val="22"/>
                <w:szCs w:val="22"/>
                <w:lang w:eastAsia="is-IS"/>
              </w:rPr>
              <w:t>/l ir (ar) trombocitų &lt; 10 x 10</w:t>
            </w:r>
            <w:r w:rsidRPr="00D92F6B">
              <w:rPr>
                <w:sz w:val="22"/>
                <w:szCs w:val="22"/>
                <w:vertAlign w:val="superscript"/>
                <w:lang w:eastAsia="is-IS"/>
              </w:rPr>
              <w:t>9</w:t>
            </w:r>
            <w:r w:rsidRPr="00D92F6B">
              <w:rPr>
                <w:sz w:val="22"/>
                <w:szCs w:val="22"/>
                <w:lang w:eastAsia="is-IS"/>
              </w:rPr>
              <w:t>/l</w:t>
            </w:r>
          </w:p>
        </w:tc>
        <w:tc>
          <w:tcPr>
            <w:tcW w:w="4335" w:type="dxa"/>
          </w:tcPr>
          <w:p w14:paraId="1270E0D3" w14:textId="77777777" w:rsidR="008A305D" w:rsidRPr="0045031A" w:rsidRDefault="008A305D" w:rsidP="00412F88">
            <w:pPr>
              <w:autoSpaceDE w:val="0"/>
              <w:autoSpaceDN w:val="0"/>
              <w:adjustRightInd w:val="0"/>
              <w:ind w:left="567" w:hanging="567"/>
              <w:rPr>
                <w:sz w:val="22"/>
                <w:szCs w:val="22"/>
                <w:lang w:eastAsia="is-IS"/>
              </w:rPr>
            </w:pPr>
            <w:r w:rsidRPr="00D92F6B">
              <w:rPr>
                <w:sz w:val="22"/>
                <w:szCs w:val="22"/>
                <w:lang w:eastAsia="is-IS"/>
              </w:rPr>
              <w:t>1.</w:t>
            </w:r>
            <w:r w:rsidRPr="00D92F6B">
              <w:rPr>
                <w:sz w:val="22"/>
                <w:szCs w:val="22"/>
                <w:lang w:eastAsia="is-IS"/>
              </w:rPr>
              <w:tab/>
            </w:r>
            <w:r w:rsidRPr="00D92F6B">
              <w:rPr>
                <w:sz w:val="22"/>
                <w:szCs w:val="22"/>
              </w:rPr>
              <w:t>Ištirti, ar citopenija nesusijusi su leukemija (kaulų čiulpų aspiratas ar biopsija).</w:t>
            </w:r>
          </w:p>
          <w:p w14:paraId="0F6DC982" w14:textId="77777777" w:rsidR="008A305D" w:rsidRPr="0045031A" w:rsidRDefault="008A305D" w:rsidP="00412F88">
            <w:pPr>
              <w:autoSpaceDE w:val="0"/>
              <w:autoSpaceDN w:val="0"/>
              <w:adjustRightInd w:val="0"/>
              <w:ind w:left="567" w:hanging="567"/>
              <w:rPr>
                <w:sz w:val="22"/>
                <w:szCs w:val="22"/>
                <w:lang w:eastAsia="is-IS"/>
              </w:rPr>
            </w:pPr>
            <w:r w:rsidRPr="00D92F6B">
              <w:rPr>
                <w:sz w:val="22"/>
                <w:szCs w:val="22"/>
                <w:lang w:eastAsia="is-IS"/>
              </w:rPr>
              <w:t>2.</w:t>
            </w:r>
            <w:r w:rsidRPr="00D92F6B">
              <w:rPr>
                <w:sz w:val="22"/>
                <w:szCs w:val="22"/>
                <w:lang w:eastAsia="is-IS"/>
              </w:rPr>
              <w:tab/>
            </w:r>
            <w:r w:rsidRPr="00D92F6B">
              <w:rPr>
                <w:sz w:val="22"/>
                <w:szCs w:val="22"/>
              </w:rPr>
              <w:t xml:space="preserve">Jei citopenija nesusijusi su leukemija, imatinibo dozę sumažinti iki </w:t>
            </w:r>
            <w:r w:rsidRPr="00D92F6B">
              <w:rPr>
                <w:sz w:val="22"/>
                <w:szCs w:val="22"/>
                <w:lang w:eastAsia="is-IS"/>
              </w:rPr>
              <w:t>260 mg/m</w:t>
            </w:r>
            <w:r w:rsidRPr="00D92F6B">
              <w:rPr>
                <w:sz w:val="22"/>
                <w:szCs w:val="22"/>
                <w:vertAlign w:val="superscript"/>
                <w:lang w:eastAsia="is-IS"/>
              </w:rPr>
              <w:t>2</w:t>
            </w:r>
            <w:r w:rsidRPr="00D92F6B">
              <w:rPr>
                <w:sz w:val="22"/>
                <w:szCs w:val="22"/>
                <w:lang w:eastAsia="is-IS"/>
              </w:rPr>
              <w:t>.</w:t>
            </w:r>
          </w:p>
          <w:p w14:paraId="01D84551" w14:textId="77777777" w:rsidR="008A305D" w:rsidRPr="0045031A" w:rsidRDefault="008A305D" w:rsidP="00412F88">
            <w:pPr>
              <w:autoSpaceDE w:val="0"/>
              <w:autoSpaceDN w:val="0"/>
              <w:adjustRightInd w:val="0"/>
              <w:ind w:left="567" w:hanging="567"/>
              <w:rPr>
                <w:sz w:val="22"/>
                <w:szCs w:val="22"/>
                <w:lang w:eastAsia="is-IS"/>
              </w:rPr>
            </w:pPr>
            <w:r w:rsidRPr="00D92F6B">
              <w:rPr>
                <w:sz w:val="22"/>
                <w:szCs w:val="22"/>
                <w:lang w:eastAsia="is-IS"/>
              </w:rPr>
              <w:t>3.</w:t>
            </w:r>
            <w:r w:rsidRPr="00D92F6B">
              <w:rPr>
                <w:sz w:val="22"/>
                <w:szCs w:val="22"/>
                <w:lang w:eastAsia="is-IS"/>
              </w:rPr>
              <w:tab/>
            </w:r>
            <w:r w:rsidRPr="00D92F6B">
              <w:rPr>
                <w:sz w:val="22"/>
                <w:szCs w:val="22"/>
              </w:rPr>
              <w:t xml:space="preserve">Jei citopenija trunka 2 savaites, dozę dar sumažinti iki </w:t>
            </w:r>
            <w:r w:rsidRPr="00D92F6B">
              <w:rPr>
                <w:sz w:val="22"/>
                <w:szCs w:val="22"/>
                <w:lang w:eastAsia="is-IS"/>
              </w:rPr>
              <w:t>200 mg/m</w:t>
            </w:r>
            <w:r w:rsidRPr="00D92F6B">
              <w:rPr>
                <w:sz w:val="22"/>
                <w:szCs w:val="22"/>
                <w:vertAlign w:val="superscript"/>
                <w:lang w:eastAsia="is-IS"/>
              </w:rPr>
              <w:t>2</w:t>
            </w:r>
            <w:r w:rsidRPr="00D92F6B">
              <w:rPr>
                <w:sz w:val="22"/>
                <w:szCs w:val="22"/>
                <w:lang w:eastAsia="is-IS"/>
              </w:rPr>
              <w:t>.</w:t>
            </w:r>
          </w:p>
          <w:p w14:paraId="60E7D3AB" w14:textId="77777777" w:rsidR="008A305D" w:rsidRPr="0045031A" w:rsidRDefault="008A305D" w:rsidP="00412F88">
            <w:pPr>
              <w:autoSpaceDE w:val="0"/>
              <w:autoSpaceDN w:val="0"/>
              <w:adjustRightInd w:val="0"/>
              <w:ind w:left="567" w:hanging="567"/>
              <w:rPr>
                <w:sz w:val="22"/>
                <w:szCs w:val="22"/>
                <w:lang w:eastAsia="is-IS"/>
              </w:rPr>
            </w:pPr>
            <w:r w:rsidRPr="00D92F6B">
              <w:rPr>
                <w:sz w:val="22"/>
                <w:szCs w:val="22"/>
                <w:lang w:eastAsia="is-IS"/>
              </w:rPr>
              <w:t>4.</w:t>
            </w:r>
            <w:r w:rsidRPr="00D92F6B">
              <w:rPr>
                <w:sz w:val="22"/>
                <w:szCs w:val="22"/>
                <w:lang w:eastAsia="is-IS"/>
              </w:rPr>
              <w:tab/>
            </w:r>
            <w:r w:rsidRPr="00D92F6B">
              <w:rPr>
                <w:sz w:val="22"/>
                <w:szCs w:val="22"/>
              </w:rPr>
              <w:t>Jei citopenija trunka 4 savaites ir yra nesusijusi su leukemija, imatinibo nevartoti tol, kol ANS bus </w:t>
            </w:r>
            <w:r w:rsidRPr="00D92F6B">
              <w:rPr>
                <w:sz w:val="22"/>
                <w:szCs w:val="22"/>
                <w:lang w:eastAsia="is-IS"/>
              </w:rPr>
              <w:t xml:space="preserve"> ≥ 1 x 10</w:t>
            </w:r>
            <w:r w:rsidRPr="00D92F6B">
              <w:rPr>
                <w:sz w:val="22"/>
                <w:szCs w:val="22"/>
                <w:vertAlign w:val="superscript"/>
                <w:lang w:eastAsia="is-IS"/>
              </w:rPr>
              <w:t>9</w:t>
            </w:r>
            <w:r w:rsidRPr="00D92F6B">
              <w:rPr>
                <w:sz w:val="22"/>
                <w:szCs w:val="22"/>
                <w:lang w:eastAsia="is-IS"/>
              </w:rPr>
              <w:t>/l ir trombocitų ≥ 20 x 10</w:t>
            </w:r>
            <w:r w:rsidRPr="00D92F6B">
              <w:rPr>
                <w:sz w:val="22"/>
                <w:szCs w:val="22"/>
                <w:vertAlign w:val="superscript"/>
                <w:lang w:eastAsia="is-IS"/>
              </w:rPr>
              <w:t>9</w:t>
            </w:r>
            <w:r w:rsidRPr="00D92F6B">
              <w:rPr>
                <w:sz w:val="22"/>
                <w:szCs w:val="22"/>
                <w:lang w:eastAsia="is-IS"/>
              </w:rPr>
              <w:t>/l, paskui gydymą atnaujinti 200 mg/m</w:t>
            </w:r>
            <w:r w:rsidRPr="00D92F6B">
              <w:rPr>
                <w:sz w:val="22"/>
                <w:szCs w:val="22"/>
                <w:vertAlign w:val="superscript"/>
                <w:lang w:eastAsia="is-IS"/>
              </w:rPr>
              <w:t>2</w:t>
            </w:r>
            <w:r w:rsidRPr="00D92F6B">
              <w:rPr>
                <w:sz w:val="22"/>
                <w:szCs w:val="22"/>
                <w:lang w:eastAsia="is-IS"/>
              </w:rPr>
              <w:t>.</w:t>
            </w:r>
          </w:p>
        </w:tc>
      </w:tr>
      <w:tr w:rsidR="008A305D" w:rsidRPr="00D92F6B" w14:paraId="6E4961DB" w14:textId="77777777" w:rsidTr="00412F88">
        <w:tc>
          <w:tcPr>
            <w:tcW w:w="2605" w:type="dxa"/>
          </w:tcPr>
          <w:p w14:paraId="5C3494C4" w14:textId="77777777" w:rsidR="008A305D" w:rsidRPr="00D92F6B" w:rsidRDefault="008A305D" w:rsidP="00412F88">
            <w:pPr>
              <w:pStyle w:val="Default"/>
              <w:rPr>
                <w:rFonts w:ascii="Times New Roman" w:hAnsi="Times New Roman" w:cs="Times New Roman"/>
                <w:sz w:val="22"/>
                <w:szCs w:val="22"/>
                <w:lang w:val="lt-LT"/>
              </w:rPr>
            </w:pPr>
            <w:r w:rsidRPr="00D92F6B">
              <w:rPr>
                <w:rFonts w:ascii="Times New Roman" w:hAnsi="Times New Roman" w:cs="Times New Roman"/>
                <w:sz w:val="22"/>
                <w:szCs w:val="22"/>
                <w:lang w:val="lt-LT"/>
              </w:rPr>
              <w:t xml:space="preserve">DFSP </w:t>
            </w:r>
          </w:p>
          <w:p w14:paraId="683C1CA9" w14:textId="77777777" w:rsidR="008A305D" w:rsidRPr="00D92F6B" w:rsidRDefault="008A305D" w:rsidP="00412F88">
            <w:pPr>
              <w:autoSpaceDE w:val="0"/>
              <w:autoSpaceDN w:val="0"/>
              <w:adjustRightInd w:val="0"/>
              <w:rPr>
                <w:sz w:val="22"/>
                <w:szCs w:val="22"/>
                <w:lang w:eastAsia="is-IS"/>
              </w:rPr>
            </w:pPr>
            <w:r w:rsidRPr="00D92F6B">
              <w:rPr>
                <w:sz w:val="22"/>
                <w:szCs w:val="22"/>
              </w:rPr>
              <w:t xml:space="preserve">(kai dozė – 800 mg) </w:t>
            </w:r>
          </w:p>
        </w:tc>
        <w:tc>
          <w:tcPr>
            <w:tcW w:w="2606" w:type="dxa"/>
          </w:tcPr>
          <w:p w14:paraId="65246A17" w14:textId="77777777" w:rsidR="008A305D" w:rsidRPr="00D92F6B" w:rsidRDefault="008A305D" w:rsidP="00412F88">
            <w:pPr>
              <w:pStyle w:val="Default"/>
              <w:rPr>
                <w:rFonts w:ascii="Times New Roman" w:hAnsi="Times New Roman" w:cs="Times New Roman"/>
                <w:sz w:val="22"/>
                <w:szCs w:val="22"/>
                <w:lang w:val="lt-LT"/>
              </w:rPr>
            </w:pPr>
            <w:r w:rsidRPr="00D92F6B">
              <w:rPr>
                <w:rFonts w:ascii="Times New Roman" w:hAnsi="Times New Roman" w:cs="Times New Roman"/>
                <w:sz w:val="22"/>
                <w:szCs w:val="22"/>
                <w:lang w:val="lt-LT"/>
              </w:rPr>
              <w:t>ANS &lt; 1,0 x 10</w:t>
            </w:r>
            <w:r w:rsidRPr="00D92F6B">
              <w:rPr>
                <w:rFonts w:ascii="Times New Roman" w:hAnsi="Times New Roman" w:cs="Times New Roman"/>
                <w:sz w:val="22"/>
                <w:szCs w:val="22"/>
                <w:vertAlign w:val="superscript"/>
                <w:lang w:val="lt-LT"/>
              </w:rPr>
              <w:t>9</w:t>
            </w:r>
            <w:r w:rsidRPr="00D92F6B">
              <w:rPr>
                <w:rFonts w:ascii="Times New Roman" w:hAnsi="Times New Roman" w:cs="Times New Roman"/>
                <w:sz w:val="22"/>
                <w:szCs w:val="22"/>
                <w:lang w:val="lt-LT"/>
              </w:rPr>
              <w:t xml:space="preserve">/l </w:t>
            </w:r>
          </w:p>
          <w:p w14:paraId="4106E75F" w14:textId="77777777" w:rsidR="008A305D" w:rsidRPr="00D92F6B" w:rsidRDefault="008A305D" w:rsidP="00412F88">
            <w:pPr>
              <w:pStyle w:val="Default"/>
              <w:rPr>
                <w:rFonts w:ascii="Times New Roman" w:hAnsi="Times New Roman" w:cs="Times New Roman"/>
                <w:sz w:val="22"/>
                <w:szCs w:val="22"/>
                <w:lang w:val="lt-LT"/>
              </w:rPr>
            </w:pPr>
            <w:r w:rsidRPr="00D92F6B">
              <w:rPr>
                <w:rFonts w:ascii="Times New Roman" w:hAnsi="Times New Roman" w:cs="Times New Roman"/>
                <w:sz w:val="22"/>
                <w:szCs w:val="22"/>
                <w:lang w:val="lt-LT"/>
              </w:rPr>
              <w:t xml:space="preserve">ir (ar) </w:t>
            </w:r>
          </w:p>
          <w:p w14:paraId="40E6FA62" w14:textId="77777777" w:rsidR="008A305D" w:rsidRPr="00D92F6B" w:rsidRDefault="008A305D" w:rsidP="00412F88">
            <w:pPr>
              <w:autoSpaceDE w:val="0"/>
              <w:autoSpaceDN w:val="0"/>
              <w:adjustRightInd w:val="0"/>
              <w:rPr>
                <w:sz w:val="22"/>
                <w:szCs w:val="22"/>
                <w:vertAlign w:val="superscript"/>
                <w:lang w:eastAsia="is-IS"/>
              </w:rPr>
            </w:pPr>
            <w:r w:rsidRPr="00D92F6B">
              <w:rPr>
                <w:sz w:val="22"/>
                <w:szCs w:val="22"/>
              </w:rPr>
              <w:t>trombocitų &lt; 50 x 10</w:t>
            </w:r>
            <w:r w:rsidRPr="00D92F6B">
              <w:rPr>
                <w:sz w:val="22"/>
                <w:szCs w:val="22"/>
                <w:vertAlign w:val="superscript"/>
              </w:rPr>
              <w:t>9</w:t>
            </w:r>
            <w:r w:rsidRPr="00D92F6B">
              <w:rPr>
                <w:sz w:val="22"/>
                <w:szCs w:val="22"/>
              </w:rPr>
              <w:t xml:space="preserve">/l </w:t>
            </w:r>
          </w:p>
        </w:tc>
        <w:tc>
          <w:tcPr>
            <w:tcW w:w="4335" w:type="dxa"/>
          </w:tcPr>
          <w:p w14:paraId="78205764" w14:textId="77777777" w:rsidR="008A305D" w:rsidRPr="00D92F6B" w:rsidRDefault="008A305D" w:rsidP="00412F88">
            <w:pPr>
              <w:pStyle w:val="Default"/>
              <w:ind w:left="601" w:hanging="601"/>
              <w:rPr>
                <w:rFonts w:ascii="Times New Roman" w:hAnsi="Times New Roman" w:cs="Times New Roman"/>
                <w:sz w:val="22"/>
                <w:szCs w:val="22"/>
                <w:lang w:val="lt-LT"/>
              </w:rPr>
            </w:pPr>
            <w:r w:rsidRPr="00D92F6B">
              <w:rPr>
                <w:rFonts w:ascii="Times New Roman" w:hAnsi="Times New Roman" w:cs="Times New Roman"/>
                <w:sz w:val="22"/>
                <w:szCs w:val="22"/>
                <w:lang w:val="lt-LT"/>
              </w:rPr>
              <w:t>1.</w:t>
            </w:r>
            <w:r w:rsidRPr="00D92F6B">
              <w:rPr>
                <w:sz w:val="22"/>
                <w:szCs w:val="22"/>
                <w:lang w:val="lt-LT"/>
              </w:rPr>
              <w:tab/>
            </w:r>
            <w:r w:rsidRPr="00D92F6B">
              <w:rPr>
                <w:rFonts w:ascii="Times New Roman" w:hAnsi="Times New Roman" w:cs="Times New Roman"/>
                <w:sz w:val="22"/>
                <w:szCs w:val="22"/>
                <w:lang w:val="lt-LT"/>
              </w:rPr>
              <w:t>Imatinibo vartojimą nutraukti, kol ANS bus ≥ 1,5 x 10</w:t>
            </w:r>
            <w:r w:rsidRPr="00D92F6B">
              <w:rPr>
                <w:rFonts w:ascii="Times New Roman" w:hAnsi="Times New Roman" w:cs="Times New Roman"/>
                <w:sz w:val="22"/>
                <w:szCs w:val="22"/>
                <w:vertAlign w:val="superscript"/>
                <w:lang w:val="lt-LT"/>
              </w:rPr>
              <w:t>9</w:t>
            </w:r>
            <w:r w:rsidRPr="00D92F6B">
              <w:rPr>
                <w:rFonts w:ascii="Times New Roman" w:hAnsi="Times New Roman" w:cs="Times New Roman"/>
                <w:sz w:val="22"/>
                <w:szCs w:val="22"/>
                <w:lang w:val="lt-LT"/>
              </w:rPr>
              <w:t xml:space="preserve">/l ir trombocitų </w:t>
            </w:r>
            <w:r w:rsidRPr="00D92F6B">
              <w:rPr>
                <w:sz w:val="22"/>
                <w:szCs w:val="22"/>
                <w:lang w:val="lt-LT"/>
              </w:rPr>
              <w:t>≥ </w:t>
            </w:r>
            <w:r w:rsidRPr="00D92F6B">
              <w:rPr>
                <w:rFonts w:ascii="Times New Roman" w:hAnsi="Times New Roman" w:cs="Times New Roman"/>
                <w:sz w:val="22"/>
                <w:szCs w:val="22"/>
                <w:lang w:val="lt-LT"/>
              </w:rPr>
              <w:t>75 x 10</w:t>
            </w:r>
            <w:r w:rsidRPr="00D92F6B">
              <w:rPr>
                <w:rFonts w:ascii="Times New Roman" w:hAnsi="Times New Roman" w:cs="Times New Roman"/>
                <w:sz w:val="22"/>
                <w:szCs w:val="22"/>
                <w:vertAlign w:val="superscript"/>
                <w:lang w:val="lt-LT"/>
              </w:rPr>
              <w:t>9</w:t>
            </w:r>
            <w:r w:rsidRPr="00D92F6B">
              <w:rPr>
                <w:rFonts w:ascii="Times New Roman" w:hAnsi="Times New Roman" w:cs="Times New Roman"/>
                <w:sz w:val="22"/>
                <w:szCs w:val="22"/>
                <w:lang w:val="lt-LT"/>
              </w:rPr>
              <w:t xml:space="preserve">/l. </w:t>
            </w:r>
          </w:p>
          <w:p w14:paraId="0BC596B6" w14:textId="77777777" w:rsidR="008A305D" w:rsidRPr="00D92F6B" w:rsidRDefault="008A305D" w:rsidP="00412F88">
            <w:pPr>
              <w:pStyle w:val="Default"/>
              <w:ind w:left="601" w:hanging="709"/>
              <w:rPr>
                <w:rFonts w:ascii="Times New Roman" w:hAnsi="Times New Roman" w:cs="Times New Roman"/>
                <w:sz w:val="22"/>
                <w:szCs w:val="22"/>
                <w:lang w:val="lt-LT"/>
              </w:rPr>
            </w:pPr>
            <w:r w:rsidRPr="00D92F6B">
              <w:rPr>
                <w:rFonts w:ascii="Times New Roman" w:hAnsi="Times New Roman" w:cs="Times New Roman"/>
                <w:sz w:val="22"/>
                <w:szCs w:val="22"/>
                <w:lang w:val="lt-LT"/>
              </w:rPr>
              <w:t xml:space="preserve">2. </w:t>
            </w:r>
            <w:r w:rsidRPr="00D92F6B">
              <w:rPr>
                <w:sz w:val="22"/>
                <w:szCs w:val="22"/>
                <w:lang w:val="lt-LT"/>
              </w:rPr>
              <w:tab/>
            </w:r>
            <w:r w:rsidRPr="00D92F6B">
              <w:rPr>
                <w:rFonts w:ascii="Times New Roman" w:hAnsi="Times New Roman" w:cs="Times New Roman"/>
                <w:sz w:val="22"/>
                <w:szCs w:val="22"/>
                <w:lang w:val="lt-LT"/>
              </w:rPr>
              <w:t xml:space="preserve">Gydymą imatinibu atnaujinti 600 mg doze. </w:t>
            </w:r>
          </w:p>
          <w:p w14:paraId="36336F80" w14:textId="77777777" w:rsidR="008A305D" w:rsidRPr="00D92F6B" w:rsidRDefault="008A305D" w:rsidP="00412F88">
            <w:pPr>
              <w:autoSpaceDE w:val="0"/>
              <w:autoSpaceDN w:val="0"/>
              <w:adjustRightInd w:val="0"/>
              <w:ind w:left="601" w:hanging="709"/>
              <w:rPr>
                <w:sz w:val="22"/>
                <w:szCs w:val="22"/>
                <w:lang w:eastAsia="is-IS"/>
              </w:rPr>
            </w:pPr>
            <w:r w:rsidRPr="00D92F6B">
              <w:rPr>
                <w:sz w:val="22"/>
                <w:szCs w:val="22"/>
              </w:rPr>
              <w:t xml:space="preserve">3. </w:t>
            </w:r>
            <w:r w:rsidRPr="00D92F6B">
              <w:rPr>
                <w:sz w:val="22"/>
                <w:szCs w:val="22"/>
              </w:rPr>
              <w:tab/>
              <w:t>Kartotinai sumažėjus ANS &lt; 1,0 x 10</w:t>
            </w:r>
            <w:r w:rsidRPr="00D92F6B">
              <w:rPr>
                <w:sz w:val="22"/>
                <w:szCs w:val="22"/>
                <w:vertAlign w:val="superscript"/>
              </w:rPr>
              <w:t>9</w:t>
            </w:r>
            <w:r w:rsidRPr="00D92F6B">
              <w:rPr>
                <w:sz w:val="22"/>
                <w:szCs w:val="22"/>
              </w:rPr>
              <w:t xml:space="preserve">/l ir (ar) trombocitų </w:t>
            </w:r>
            <w:r w:rsidRPr="00D92F6B">
              <w:rPr>
                <w:sz w:val="22"/>
                <w:szCs w:val="22"/>
              </w:rPr>
              <w:lastRenderedPageBreak/>
              <w:t>&lt; 50 x 10</w:t>
            </w:r>
            <w:r w:rsidRPr="00D92F6B">
              <w:rPr>
                <w:sz w:val="22"/>
                <w:szCs w:val="22"/>
                <w:vertAlign w:val="superscript"/>
              </w:rPr>
              <w:t>9</w:t>
            </w:r>
            <w:r w:rsidRPr="00D92F6B">
              <w:rPr>
                <w:sz w:val="22"/>
                <w:szCs w:val="22"/>
              </w:rPr>
              <w:t xml:space="preserve">/l, kartoti nuo 1-ojo punkto ir gydymą imatinibu atnaujinti sumažinta 400 mg doze. </w:t>
            </w:r>
          </w:p>
        </w:tc>
      </w:tr>
      <w:tr w:rsidR="008A305D" w:rsidRPr="00D92F6B" w14:paraId="489F1DCF" w14:textId="77777777" w:rsidTr="00412F88">
        <w:tc>
          <w:tcPr>
            <w:tcW w:w="9546" w:type="dxa"/>
            <w:gridSpan w:val="3"/>
          </w:tcPr>
          <w:p w14:paraId="103BFF07" w14:textId="77777777" w:rsidR="008A305D" w:rsidRPr="0045031A" w:rsidRDefault="008A305D" w:rsidP="00412F88">
            <w:pPr>
              <w:keepNext/>
              <w:autoSpaceDE w:val="0"/>
              <w:autoSpaceDN w:val="0"/>
              <w:adjustRightInd w:val="0"/>
              <w:rPr>
                <w:sz w:val="22"/>
                <w:szCs w:val="22"/>
                <w:lang w:eastAsia="is-IS"/>
              </w:rPr>
            </w:pPr>
            <w:r w:rsidRPr="00D92F6B">
              <w:rPr>
                <w:sz w:val="22"/>
                <w:szCs w:val="22"/>
                <w:lang w:eastAsia="is-IS"/>
              </w:rPr>
              <w:lastRenderedPageBreak/>
              <w:t>ANS = absoliutus neutrofilų skaičius</w:t>
            </w:r>
          </w:p>
          <w:p w14:paraId="68B37BBE" w14:textId="77777777" w:rsidR="008A305D" w:rsidRPr="0045031A" w:rsidRDefault="008A305D" w:rsidP="00412F88">
            <w:pPr>
              <w:keepNext/>
              <w:autoSpaceDE w:val="0"/>
              <w:autoSpaceDN w:val="0"/>
              <w:adjustRightInd w:val="0"/>
              <w:rPr>
                <w:sz w:val="22"/>
                <w:szCs w:val="22"/>
                <w:lang w:eastAsia="is-IS"/>
              </w:rPr>
            </w:pPr>
            <w:r w:rsidRPr="00D92F6B">
              <w:rPr>
                <w:sz w:val="22"/>
                <w:szCs w:val="22"/>
                <w:vertAlign w:val="superscript"/>
                <w:lang w:eastAsia="is-IS"/>
              </w:rPr>
              <w:t>a</w:t>
            </w:r>
            <w:r w:rsidRPr="00D92F6B">
              <w:rPr>
                <w:sz w:val="22"/>
                <w:szCs w:val="22"/>
                <w:lang w:eastAsia="is-IS"/>
              </w:rPr>
              <w:t xml:space="preserve"> atsiranda mažiausiai po 1 gydymo mėnesio</w:t>
            </w:r>
          </w:p>
        </w:tc>
      </w:tr>
    </w:tbl>
    <w:p w14:paraId="1B477CB9" w14:textId="77777777" w:rsidR="008A305D" w:rsidRPr="00D92F6B" w:rsidRDefault="008A305D" w:rsidP="008A305D">
      <w:pPr>
        <w:autoSpaceDE w:val="0"/>
        <w:autoSpaceDN w:val="0"/>
        <w:adjustRightInd w:val="0"/>
        <w:rPr>
          <w:sz w:val="22"/>
          <w:szCs w:val="22"/>
        </w:rPr>
      </w:pPr>
    </w:p>
    <w:p w14:paraId="2088759D" w14:textId="77777777" w:rsidR="008A305D" w:rsidRPr="00D92F6B" w:rsidRDefault="008A305D" w:rsidP="008A305D">
      <w:pPr>
        <w:rPr>
          <w:i/>
          <w:sz w:val="22"/>
          <w:szCs w:val="22"/>
          <w:u w:val="single"/>
        </w:rPr>
      </w:pPr>
      <w:r w:rsidRPr="00D92F6B">
        <w:rPr>
          <w:i/>
          <w:sz w:val="22"/>
          <w:szCs w:val="22"/>
          <w:u w:val="single"/>
        </w:rPr>
        <w:t xml:space="preserve">Specialios populiacijos </w:t>
      </w:r>
    </w:p>
    <w:p w14:paraId="2E14C88D" w14:textId="77777777" w:rsidR="008A305D" w:rsidRPr="00D92F6B" w:rsidRDefault="008A305D" w:rsidP="008A305D">
      <w:pPr>
        <w:rPr>
          <w:sz w:val="22"/>
          <w:szCs w:val="22"/>
          <w:u w:val="single"/>
        </w:rPr>
      </w:pPr>
    </w:p>
    <w:p w14:paraId="6E5E8BC2" w14:textId="77777777" w:rsidR="008A305D" w:rsidRPr="00D92F6B" w:rsidRDefault="008A305D" w:rsidP="008A305D">
      <w:pPr>
        <w:rPr>
          <w:sz w:val="22"/>
          <w:szCs w:val="22"/>
        </w:rPr>
      </w:pPr>
      <w:r w:rsidRPr="00D92F6B">
        <w:rPr>
          <w:i/>
          <w:iCs/>
          <w:sz w:val="22"/>
          <w:szCs w:val="22"/>
        </w:rPr>
        <w:t xml:space="preserve">Vaikams. </w:t>
      </w:r>
      <w:r w:rsidRPr="00D92F6B">
        <w:rPr>
          <w:sz w:val="22"/>
          <w:szCs w:val="22"/>
        </w:rPr>
        <w:t>Vartojimo vaikams, jaunesniems kaip 2 metų, patirties nėra (žr. 5.1 skyrių). Vartojimo patirtis vaikams ir paaugliams, sergantiems Ph+ŪLL, ribota, o sergantiems MDS/MPL, DFSP ir HES/LEL - labai ribota.</w:t>
      </w:r>
    </w:p>
    <w:p w14:paraId="3C2476B5" w14:textId="77777777" w:rsidR="008A305D" w:rsidRPr="00D92F6B" w:rsidRDefault="008A305D" w:rsidP="008A305D">
      <w:pPr>
        <w:rPr>
          <w:sz w:val="22"/>
          <w:szCs w:val="22"/>
        </w:rPr>
      </w:pPr>
    </w:p>
    <w:p w14:paraId="5DEAC083" w14:textId="77777777" w:rsidR="008A305D" w:rsidRPr="00D92F6B" w:rsidRDefault="008A305D" w:rsidP="008A305D">
      <w:pPr>
        <w:rPr>
          <w:sz w:val="22"/>
          <w:szCs w:val="22"/>
        </w:rPr>
      </w:pPr>
      <w:r w:rsidRPr="00D92F6B">
        <w:rPr>
          <w:sz w:val="22"/>
          <w:szCs w:val="22"/>
        </w:rPr>
        <w:t>Klinikinių tyrimų metu imatinibo saugumas ir veiksmingumas jaunesniems kaip 18 metų vaikams ir paaugliams, sergantiems MDS/MPL, DFSP ir HES/LEL, neištirti. Turimi literatūros duomenys pateikiami 5.1 skyriuje, tačiau dozavimo rekomendacijų pateikti negalima.</w:t>
      </w:r>
    </w:p>
    <w:p w14:paraId="11E85BBA" w14:textId="77777777" w:rsidR="008A305D" w:rsidRPr="00D92F6B" w:rsidRDefault="008A305D" w:rsidP="008A305D">
      <w:pPr>
        <w:rPr>
          <w:sz w:val="22"/>
          <w:szCs w:val="22"/>
        </w:rPr>
      </w:pPr>
    </w:p>
    <w:p w14:paraId="1A13A4E5" w14:textId="77777777" w:rsidR="008A305D" w:rsidRPr="00D92F6B" w:rsidRDefault="008A305D" w:rsidP="008A305D">
      <w:pPr>
        <w:rPr>
          <w:sz w:val="22"/>
          <w:szCs w:val="22"/>
        </w:rPr>
      </w:pPr>
      <w:r w:rsidRPr="00D92F6B">
        <w:rPr>
          <w:i/>
          <w:iCs/>
          <w:sz w:val="22"/>
          <w:szCs w:val="22"/>
        </w:rPr>
        <w:t xml:space="preserve">Kepenų nepakankamumas. </w:t>
      </w:r>
      <w:r w:rsidRPr="00D92F6B">
        <w:rPr>
          <w:sz w:val="22"/>
          <w:szCs w:val="22"/>
        </w:rPr>
        <w:t>Daugiausia imatinibo metabolizuojama kepenyse. Pacientams, kuriems yra nedidelis, vidutinis ar didelis kepenų funkcijos sutrikimas, skirti mažiausią rekomenduojamą 400 mg paros dozę. Dozę galima mažinti, jeigu netoleruojama (žr. 4.4, 4.8 ir 5.2 skyrius).</w:t>
      </w:r>
    </w:p>
    <w:p w14:paraId="7EA9B31D" w14:textId="77777777" w:rsidR="008A305D" w:rsidRPr="00D92F6B" w:rsidRDefault="008A305D" w:rsidP="008A305D">
      <w:pPr>
        <w:rPr>
          <w:sz w:val="22"/>
          <w:szCs w:val="22"/>
        </w:rPr>
      </w:pPr>
    </w:p>
    <w:p w14:paraId="4F495C24" w14:textId="77777777" w:rsidR="008A305D" w:rsidRPr="00D92F6B" w:rsidRDefault="008A305D" w:rsidP="008A305D">
      <w:pPr>
        <w:autoSpaceDE w:val="0"/>
        <w:autoSpaceDN w:val="0"/>
        <w:adjustRightInd w:val="0"/>
        <w:rPr>
          <w:sz w:val="22"/>
          <w:szCs w:val="22"/>
          <w:lang w:eastAsia="is-IS"/>
        </w:rPr>
      </w:pPr>
      <w:r w:rsidRPr="00D92F6B">
        <w:rPr>
          <w:sz w:val="22"/>
          <w:szCs w:val="22"/>
          <w:lang w:eastAsia="is-IS"/>
        </w:rPr>
        <w:t>Kepenų funkcijos sutrikimų klasifikacija:</w:t>
      </w:r>
    </w:p>
    <w:p w14:paraId="4C60AD9D" w14:textId="77777777" w:rsidR="008A305D" w:rsidRPr="00D92F6B" w:rsidRDefault="008A305D" w:rsidP="008A305D">
      <w:pPr>
        <w:autoSpaceDE w:val="0"/>
        <w:autoSpaceDN w:val="0"/>
        <w:adjustRightInd w:val="0"/>
        <w:rPr>
          <w:sz w:val="22"/>
          <w:szCs w:val="22"/>
          <w:lang w:eastAsia="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5243"/>
      </w:tblGrid>
      <w:tr w:rsidR="008A305D" w:rsidRPr="00D92F6B" w14:paraId="3404717E" w14:textId="77777777" w:rsidTr="00412F88">
        <w:tc>
          <w:tcPr>
            <w:tcW w:w="4219" w:type="dxa"/>
          </w:tcPr>
          <w:p w14:paraId="33F14663" w14:textId="77777777" w:rsidR="008A305D" w:rsidRPr="0045031A" w:rsidRDefault="008A305D" w:rsidP="00412F88">
            <w:pPr>
              <w:autoSpaceDE w:val="0"/>
              <w:autoSpaceDN w:val="0"/>
              <w:adjustRightInd w:val="0"/>
              <w:rPr>
                <w:sz w:val="22"/>
                <w:szCs w:val="22"/>
                <w:lang w:eastAsia="is-IS"/>
              </w:rPr>
            </w:pPr>
            <w:r w:rsidRPr="00D92F6B">
              <w:rPr>
                <w:sz w:val="22"/>
                <w:szCs w:val="22"/>
                <w:lang w:eastAsia="is-IS"/>
              </w:rPr>
              <w:t>Kepenų funkcijos sutrikimas</w:t>
            </w:r>
          </w:p>
        </w:tc>
        <w:tc>
          <w:tcPr>
            <w:tcW w:w="5327" w:type="dxa"/>
          </w:tcPr>
          <w:p w14:paraId="4A262273" w14:textId="77777777" w:rsidR="008A305D" w:rsidRPr="0045031A" w:rsidRDefault="008A305D" w:rsidP="00412F88">
            <w:pPr>
              <w:autoSpaceDE w:val="0"/>
              <w:autoSpaceDN w:val="0"/>
              <w:adjustRightInd w:val="0"/>
              <w:rPr>
                <w:sz w:val="22"/>
                <w:szCs w:val="22"/>
                <w:lang w:eastAsia="is-IS"/>
              </w:rPr>
            </w:pPr>
            <w:r w:rsidRPr="00D92F6B">
              <w:rPr>
                <w:sz w:val="22"/>
                <w:szCs w:val="22"/>
                <w:lang w:eastAsia="is-IS"/>
              </w:rPr>
              <w:t>Kepenų funkcijos tyrimai</w:t>
            </w:r>
          </w:p>
        </w:tc>
      </w:tr>
      <w:tr w:rsidR="008A305D" w:rsidRPr="00D92F6B" w14:paraId="195108EB" w14:textId="77777777" w:rsidTr="00412F88">
        <w:tc>
          <w:tcPr>
            <w:tcW w:w="4219" w:type="dxa"/>
          </w:tcPr>
          <w:p w14:paraId="2982AED7" w14:textId="77777777" w:rsidR="008A305D" w:rsidRPr="0045031A" w:rsidRDefault="008A305D" w:rsidP="00412F88">
            <w:pPr>
              <w:autoSpaceDE w:val="0"/>
              <w:autoSpaceDN w:val="0"/>
              <w:adjustRightInd w:val="0"/>
              <w:rPr>
                <w:sz w:val="22"/>
                <w:szCs w:val="22"/>
                <w:lang w:eastAsia="is-IS"/>
              </w:rPr>
            </w:pPr>
            <w:r w:rsidRPr="00D92F6B">
              <w:rPr>
                <w:sz w:val="22"/>
                <w:szCs w:val="22"/>
                <w:lang w:eastAsia="is-IS"/>
              </w:rPr>
              <w:t>Nedidelis</w:t>
            </w:r>
          </w:p>
        </w:tc>
        <w:tc>
          <w:tcPr>
            <w:tcW w:w="5327" w:type="dxa"/>
          </w:tcPr>
          <w:p w14:paraId="157A2D33" w14:textId="77777777" w:rsidR="008A305D" w:rsidRPr="0045031A" w:rsidRDefault="008A305D" w:rsidP="00412F88">
            <w:pPr>
              <w:autoSpaceDE w:val="0"/>
              <w:autoSpaceDN w:val="0"/>
              <w:adjustRightInd w:val="0"/>
              <w:rPr>
                <w:sz w:val="22"/>
                <w:szCs w:val="22"/>
                <w:lang w:eastAsia="is-IS"/>
              </w:rPr>
            </w:pPr>
            <w:r w:rsidRPr="00D92F6B">
              <w:rPr>
                <w:sz w:val="22"/>
                <w:szCs w:val="22"/>
                <w:lang w:eastAsia="is-IS"/>
              </w:rPr>
              <w:t>Bendras bilirubinas: = 1.5 VNR</w:t>
            </w:r>
          </w:p>
          <w:p w14:paraId="0B24AEC2" w14:textId="77777777" w:rsidR="008A305D" w:rsidRPr="0045031A" w:rsidRDefault="008A305D" w:rsidP="00412F88">
            <w:pPr>
              <w:autoSpaceDE w:val="0"/>
              <w:autoSpaceDN w:val="0"/>
              <w:adjustRightInd w:val="0"/>
              <w:rPr>
                <w:sz w:val="22"/>
                <w:szCs w:val="22"/>
                <w:lang w:eastAsia="is-IS"/>
              </w:rPr>
            </w:pPr>
            <w:r w:rsidRPr="00D92F6B">
              <w:rPr>
                <w:sz w:val="22"/>
                <w:szCs w:val="22"/>
                <w:lang w:eastAsia="is-IS"/>
              </w:rPr>
              <w:t>AST: &gt;VNR (gali būti nenormali ar &lt;VNR jei bendras bilirubinas &gt;VNR)</w:t>
            </w:r>
          </w:p>
        </w:tc>
      </w:tr>
      <w:tr w:rsidR="008A305D" w:rsidRPr="00D92F6B" w14:paraId="3402B7BD" w14:textId="77777777" w:rsidTr="00412F88">
        <w:tc>
          <w:tcPr>
            <w:tcW w:w="4219" w:type="dxa"/>
          </w:tcPr>
          <w:p w14:paraId="54CFDAF0" w14:textId="77777777" w:rsidR="008A305D" w:rsidRPr="0045031A" w:rsidRDefault="008A305D" w:rsidP="00412F88">
            <w:pPr>
              <w:autoSpaceDE w:val="0"/>
              <w:autoSpaceDN w:val="0"/>
              <w:adjustRightInd w:val="0"/>
              <w:rPr>
                <w:sz w:val="22"/>
                <w:szCs w:val="22"/>
                <w:lang w:eastAsia="is-IS"/>
              </w:rPr>
            </w:pPr>
            <w:r w:rsidRPr="00D92F6B">
              <w:rPr>
                <w:sz w:val="22"/>
                <w:szCs w:val="22"/>
                <w:lang w:eastAsia="is-IS"/>
              </w:rPr>
              <w:t>Vidutinis</w:t>
            </w:r>
          </w:p>
        </w:tc>
        <w:tc>
          <w:tcPr>
            <w:tcW w:w="5327" w:type="dxa"/>
          </w:tcPr>
          <w:p w14:paraId="450F1289" w14:textId="77777777" w:rsidR="008A305D" w:rsidRPr="0045031A" w:rsidRDefault="008A305D" w:rsidP="00412F88">
            <w:pPr>
              <w:autoSpaceDE w:val="0"/>
              <w:autoSpaceDN w:val="0"/>
              <w:adjustRightInd w:val="0"/>
              <w:rPr>
                <w:sz w:val="22"/>
                <w:szCs w:val="22"/>
                <w:lang w:eastAsia="is-IS"/>
              </w:rPr>
            </w:pPr>
            <w:r w:rsidRPr="00D92F6B">
              <w:rPr>
                <w:sz w:val="22"/>
                <w:szCs w:val="22"/>
                <w:lang w:eastAsia="is-IS"/>
              </w:rPr>
              <w:t>Bendras bilirubinas: &gt;1.5</w:t>
            </w:r>
            <w:r w:rsidRPr="00D92F6B">
              <w:rPr>
                <w:sz w:val="22"/>
                <w:szCs w:val="22"/>
                <w:lang w:eastAsia="is-IS"/>
              </w:rPr>
              <w:noBreakHyphen/>
              <w:t>3.0 VNR</w:t>
            </w:r>
          </w:p>
          <w:p w14:paraId="6E46FA71" w14:textId="77777777" w:rsidR="008A305D" w:rsidRPr="0045031A" w:rsidRDefault="008A305D" w:rsidP="00412F88">
            <w:pPr>
              <w:autoSpaceDE w:val="0"/>
              <w:autoSpaceDN w:val="0"/>
              <w:adjustRightInd w:val="0"/>
              <w:rPr>
                <w:sz w:val="22"/>
                <w:szCs w:val="22"/>
                <w:lang w:eastAsia="is-IS"/>
              </w:rPr>
            </w:pPr>
            <w:r w:rsidRPr="00D92F6B">
              <w:rPr>
                <w:sz w:val="22"/>
                <w:szCs w:val="22"/>
                <w:lang w:eastAsia="is-IS"/>
              </w:rPr>
              <w:t>AST: bet kokia</w:t>
            </w:r>
          </w:p>
        </w:tc>
      </w:tr>
      <w:tr w:rsidR="008A305D" w:rsidRPr="00D92F6B" w14:paraId="492A63FA" w14:textId="77777777" w:rsidTr="00412F88">
        <w:tc>
          <w:tcPr>
            <w:tcW w:w="4219" w:type="dxa"/>
          </w:tcPr>
          <w:p w14:paraId="674F9CB5" w14:textId="77777777" w:rsidR="008A305D" w:rsidRPr="0045031A" w:rsidRDefault="008A305D" w:rsidP="00412F88">
            <w:pPr>
              <w:autoSpaceDE w:val="0"/>
              <w:autoSpaceDN w:val="0"/>
              <w:adjustRightInd w:val="0"/>
              <w:rPr>
                <w:sz w:val="22"/>
                <w:szCs w:val="22"/>
                <w:lang w:eastAsia="is-IS"/>
              </w:rPr>
            </w:pPr>
            <w:r w:rsidRPr="00D92F6B">
              <w:rPr>
                <w:sz w:val="22"/>
                <w:szCs w:val="22"/>
                <w:lang w:eastAsia="is-IS"/>
              </w:rPr>
              <w:t>Sunkus</w:t>
            </w:r>
          </w:p>
        </w:tc>
        <w:tc>
          <w:tcPr>
            <w:tcW w:w="5327" w:type="dxa"/>
          </w:tcPr>
          <w:p w14:paraId="743BBDCB" w14:textId="77777777" w:rsidR="008A305D" w:rsidRPr="0045031A" w:rsidRDefault="008A305D" w:rsidP="00412F88">
            <w:pPr>
              <w:autoSpaceDE w:val="0"/>
              <w:autoSpaceDN w:val="0"/>
              <w:adjustRightInd w:val="0"/>
              <w:rPr>
                <w:sz w:val="22"/>
                <w:szCs w:val="22"/>
                <w:lang w:eastAsia="is-IS"/>
              </w:rPr>
            </w:pPr>
            <w:r w:rsidRPr="00D92F6B">
              <w:rPr>
                <w:sz w:val="22"/>
                <w:szCs w:val="22"/>
                <w:lang w:eastAsia="is-IS"/>
              </w:rPr>
              <w:t>Bendras bilirubinas: &gt;3</w:t>
            </w:r>
            <w:r w:rsidRPr="00D92F6B">
              <w:rPr>
                <w:sz w:val="22"/>
                <w:szCs w:val="22"/>
                <w:lang w:eastAsia="is-IS"/>
              </w:rPr>
              <w:noBreakHyphen/>
              <w:t>10 VNR</w:t>
            </w:r>
          </w:p>
          <w:p w14:paraId="32ED001F" w14:textId="77777777" w:rsidR="008A305D" w:rsidRPr="0045031A" w:rsidRDefault="008A305D" w:rsidP="00412F88">
            <w:pPr>
              <w:autoSpaceDE w:val="0"/>
              <w:autoSpaceDN w:val="0"/>
              <w:adjustRightInd w:val="0"/>
              <w:rPr>
                <w:sz w:val="22"/>
                <w:szCs w:val="22"/>
                <w:lang w:eastAsia="is-IS"/>
              </w:rPr>
            </w:pPr>
            <w:r w:rsidRPr="00D92F6B">
              <w:rPr>
                <w:sz w:val="22"/>
                <w:szCs w:val="22"/>
                <w:lang w:eastAsia="is-IS"/>
              </w:rPr>
              <w:t>AST: bet kokia</w:t>
            </w:r>
          </w:p>
        </w:tc>
      </w:tr>
    </w:tbl>
    <w:p w14:paraId="7A4A48EE" w14:textId="77777777" w:rsidR="008A305D" w:rsidRPr="00D92F6B" w:rsidRDefault="008A305D" w:rsidP="008A305D">
      <w:pPr>
        <w:autoSpaceDE w:val="0"/>
        <w:autoSpaceDN w:val="0"/>
        <w:adjustRightInd w:val="0"/>
        <w:rPr>
          <w:sz w:val="22"/>
          <w:szCs w:val="22"/>
          <w:lang w:eastAsia="is-IS"/>
        </w:rPr>
      </w:pPr>
      <w:r w:rsidRPr="00D92F6B">
        <w:rPr>
          <w:sz w:val="22"/>
          <w:szCs w:val="22"/>
          <w:lang w:eastAsia="is-IS"/>
        </w:rPr>
        <w:t>VNR = viršutinė normos riba institucijoje</w:t>
      </w:r>
    </w:p>
    <w:p w14:paraId="0EDCCDDF" w14:textId="77777777" w:rsidR="008A305D" w:rsidRPr="00D92F6B" w:rsidRDefault="008A305D" w:rsidP="008A305D">
      <w:pPr>
        <w:rPr>
          <w:sz w:val="22"/>
          <w:szCs w:val="22"/>
          <w:lang w:eastAsia="is-IS"/>
        </w:rPr>
      </w:pPr>
      <w:r w:rsidRPr="00D92F6B">
        <w:rPr>
          <w:sz w:val="22"/>
          <w:szCs w:val="22"/>
          <w:lang w:eastAsia="is-IS"/>
        </w:rPr>
        <w:t>AST = aspartataminotransferazė</w:t>
      </w:r>
    </w:p>
    <w:p w14:paraId="47D29DC8" w14:textId="77777777" w:rsidR="008A305D" w:rsidRPr="00D92F6B" w:rsidRDefault="008A305D" w:rsidP="008A305D">
      <w:pPr>
        <w:rPr>
          <w:sz w:val="22"/>
          <w:szCs w:val="22"/>
          <w:lang w:eastAsia="is-IS"/>
        </w:rPr>
      </w:pPr>
    </w:p>
    <w:p w14:paraId="75FBDD37" w14:textId="77777777" w:rsidR="008A305D" w:rsidRPr="00D92F6B" w:rsidRDefault="008A305D" w:rsidP="008A305D">
      <w:pPr>
        <w:rPr>
          <w:rFonts w:eastAsia="Calibri"/>
          <w:sz w:val="22"/>
          <w:szCs w:val="22"/>
        </w:rPr>
      </w:pPr>
      <w:r w:rsidRPr="00D92F6B">
        <w:rPr>
          <w:rFonts w:eastAsia="Calibri"/>
          <w:i/>
          <w:iCs/>
          <w:sz w:val="22"/>
          <w:szCs w:val="22"/>
        </w:rPr>
        <w:t>Inkstų nepakankamumas</w:t>
      </w:r>
      <w:r w:rsidRPr="00D92F6B">
        <w:rPr>
          <w:rFonts w:eastAsia="Calibri"/>
          <w:i/>
          <w:iCs/>
          <w:sz w:val="22"/>
          <w:szCs w:val="22"/>
          <w:u w:val="single"/>
        </w:rPr>
        <w:t>.</w:t>
      </w:r>
      <w:r w:rsidRPr="00D92F6B">
        <w:rPr>
          <w:rFonts w:eastAsia="Calibri"/>
          <w:i/>
          <w:iCs/>
          <w:sz w:val="22"/>
          <w:szCs w:val="22"/>
        </w:rPr>
        <w:t xml:space="preserve"> </w:t>
      </w:r>
      <w:r w:rsidRPr="00D92F6B">
        <w:rPr>
          <w:rFonts w:eastAsia="Calibri"/>
          <w:sz w:val="22"/>
          <w:szCs w:val="22"/>
        </w:rPr>
        <w:t xml:space="preserve">Pacientams su inkstų funkcijos sutrikimu ar dializuojamiems pacientams iš pradžių turi būti skiriama mažiausia rekomenduojama 400 mg paros dozė. Tačiau rekomenduojama imtis atsargumo priemonių. Netoleruojamą dozę galima mažinti, jei dozė yra neveiksminga – didinti (žr. 4.4 ir 5.2 skyrius). </w:t>
      </w:r>
    </w:p>
    <w:p w14:paraId="5A6285D5" w14:textId="77777777" w:rsidR="008A305D" w:rsidRPr="00D92F6B" w:rsidRDefault="008A305D" w:rsidP="008A305D">
      <w:pPr>
        <w:rPr>
          <w:rFonts w:eastAsia="Calibri"/>
          <w:sz w:val="22"/>
          <w:szCs w:val="22"/>
        </w:rPr>
      </w:pPr>
    </w:p>
    <w:p w14:paraId="10B52A27" w14:textId="77777777" w:rsidR="008A305D" w:rsidRPr="00D92F6B" w:rsidRDefault="008A305D" w:rsidP="008A305D">
      <w:pPr>
        <w:rPr>
          <w:rFonts w:eastAsia="Calibri"/>
          <w:sz w:val="22"/>
          <w:szCs w:val="22"/>
        </w:rPr>
      </w:pPr>
      <w:r w:rsidRPr="00D92F6B">
        <w:rPr>
          <w:rFonts w:eastAsia="Calibri"/>
          <w:i/>
          <w:iCs/>
          <w:sz w:val="22"/>
          <w:szCs w:val="22"/>
        </w:rPr>
        <w:t xml:space="preserve">Senyvi žmonės. </w:t>
      </w:r>
      <w:r w:rsidRPr="00D92F6B">
        <w:rPr>
          <w:rFonts w:eastAsia="Calibri"/>
          <w:sz w:val="22"/>
          <w:szCs w:val="22"/>
        </w:rPr>
        <w:t xml:space="preserve">Senyvų žmonių imatinibo farmakokinetika nebuvo specialiai tirta. Klinikinių tyrimų, kuriuose dalyvavo daugiau kaip 20 % 65 metų ir vyresnių pacientų, metu reikšmingų, su amžiumi susijusių farmakokinetikos pokyčių nestebėta. Senyviems asmenims specifinis dozavimas nerekomenduojamas. </w:t>
      </w:r>
    </w:p>
    <w:p w14:paraId="111ED19E" w14:textId="77777777" w:rsidR="008A305D" w:rsidRPr="00D92F6B" w:rsidRDefault="008A305D" w:rsidP="008A305D">
      <w:pPr>
        <w:rPr>
          <w:rFonts w:eastAsia="Calibri"/>
          <w:sz w:val="22"/>
          <w:szCs w:val="22"/>
        </w:rPr>
      </w:pPr>
    </w:p>
    <w:p w14:paraId="665C5DC2" w14:textId="77777777" w:rsidR="008A305D" w:rsidRPr="00D92F6B" w:rsidRDefault="008A305D" w:rsidP="008A305D">
      <w:pPr>
        <w:rPr>
          <w:rFonts w:eastAsia="Calibri"/>
          <w:sz w:val="22"/>
          <w:szCs w:val="22"/>
          <w:u w:val="single"/>
        </w:rPr>
      </w:pPr>
      <w:r w:rsidRPr="00D92F6B">
        <w:rPr>
          <w:rFonts w:eastAsia="Calibri"/>
          <w:sz w:val="22"/>
          <w:szCs w:val="22"/>
          <w:u w:val="single"/>
        </w:rPr>
        <w:t>Vartojimo metodas</w:t>
      </w:r>
    </w:p>
    <w:p w14:paraId="0085C0A2" w14:textId="77777777" w:rsidR="008A305D" w:rsidRPr="00D92F6B" w:rsidRDefault="008A305D" w:rsidP="008A305D">
      <w:pPr>
        <w:rPr>
          <w:rFonts w:eastAsia="Calibri"/>
          <w:sz w:val="22"/>
          <w:szCs w:val="22"/>
          <w:u w:val="single"/>
        </w:rPr>
      </w:pPr>
    </w:p>
    <w:p w14:paraId="263BC292" w14:textId="77777777" w:rsidR="008A305D" w:rsidRPr="00D92F6B" w:rsidRDefault="008A305D" w:rsidP="008A305D">
      <w:pPr>
        <w:rPr>
          <w:sz w:val="22"/>
          <w:szCs w:val="22"/>
        </w:rPr>
      </w:pPr>
      <w:r w:rsidRPr="00D92F6B">
        <w:rPr>
          <w:sz w:val="22"/>
          <w:szCs w:val="22"/>
        </w:rPr>
        <w:t xml:space="preserve">Paskirta dozė geriama valgant ir užgeriant didele stikline vandens, kad būtų sumažinta virškinimo trakto dirginimo rizika. </w:t>
      </w:r>
      <w:r w:rsidRPr="00D92F6B">
        <w:rPr>
          <w:sz w:val="22"/>
          <w:szCs w:val="22"/>
        </w:rPr>
        <w:lastRenderedPageBreak/>
        <w:t xml:space="preserve">400 mg ar 600 mg dozę vartoti vieną kartą per parą, tuo tarpu 800 mg paros dozę reikia vartoti po 400 mg du kartus per parą, ryte ir vakare. </w:t>
      </w:r>
    </w:p>
    <w:p w14:paraId="5DA42BF6" w14:textId="77777777" w:rsidR="008A305D" w:rsidRPr="00D92F6B" w:rsidRDefault="008A305D" w:rsidP="008A305D">
      <w:pPr>
        <w:rPr>
          <w:sz w:val="22"/>
          <w:szCs w:val="22"/>
        </w:rPr>
      </w:pPr>
    </w:p>
    <w:p w14:paraId="7E37684C" w14:textId="77777777" w:rsidR="008A305D" w:rsidRPr="00D92F6B" w:rsidRDefault="008A305D" w:rsidP="008A305D">
      <w:pPr>
        <w:rPr>
          <w:sz w:val="22"/>
          <w:szCs w:val="22"/>
        </w:rPr>
      </w:pPr>
      <w:r w:rsidRPr="00D92F6B">
        <w:rPr>
          <w:sz w:val="22"/>
          <w:szCs w:val="22"/>
        </w:rPr>
        <w:t>Pacientams, kurie negali nuryti plėvele dengtos tabletės, ją galima ištirpinti stiklinėje negazuoto vandens ar obuolių sulčių. Reikiamą tablečių kiekį reikia įdėti į pakankamą gėrimo kiekį (apytikriai 50 ml 100 mg tabletei, 100 ml 200 mg tabletei, 150 ml 300 mg tabletei ir 200 ml 400 mg tabletei) ir šaukštu pamaišyti. Suspensiją reikia išgerti nedelsiant, kai tik suirs tabletė (-s).</w:t>
      </w:r>
    </w:p>
    <w:p w14:paraId="2EA931BB" w14:textId="77777777" w:rsidR="008A305D" w:rsidRPr="00D92F6B" w:rsidRDefault="008A305D" w:rsidP="008A305D">
      <w:pPr>
        <w:rPr>
          <w:rFonts w:eastAsia="Calibri"/>
          <w:sz w:val="22"/>
          <w:szCs w:val="22"/>
        </w:rPr>
      </w:pPr>
    </w:p>
    <w:p w14:paraId="2BE5B205" w14:textId="77777777" w:rsidR="008A305D" w:rsidRPr="00D92F6B" w:rsidRDefault="008A305D" w:rsidP="008A305D">
      <w:pPr>
        <w:pStyle w:val="Sraopastraipa"/>
        <w:keepNext/>
        <w:numPr>
          <w:ilvl w:val="1"/>
          <w:numId w:val="5"/>
        </w:numPr>
        <w:ind w:left="567" w:hanging="567"/>
        <w:rPr>
          <w:rFonts w:eastAsia="Calibri"/>
          <w:b/>
          <w:bCs/>
          <w:sz w:val="22"/>
          <w:szCs w:val="22"/>
        </w:rPr>
      </w:pPr>
      <w:r w:rsidRPr="00D92F6B">
        <w:rPr>
          <w:rFonts w:eastAsia="Calibri"/>
          <w:b/>
          <w:bCs/>
          <w:sz w:val="22"/>
          <w:szCs w:val="22"/>
        </w:rPr>
        <w:t xml:space="preserve">Kontraindikacijos </w:t>
      </w:r>
    </w:p>
    <w:p w14:paraId="25EB308D" w14:textId="77777777" w:rsidR="008A305D" w:rsidRPr="00D92F6B" w:rsidRDefault="008A305D" w:rsidP="008A305D">
      <w:pPr>
        <w:rPr>
          <w:rFonts w:eastAsia="Calibri"/>
          <w:sz w:val="22"/>
          <w:szCs w:val="22"/>
        </w:rPr>
      </w:pPr>
    </w:p>
    <w:p w14:paraId="4AB256AE" w14:textId="77777777" w:rsidR="008A305D" w:rsidRPr="00D92F6B" w:rsidRDefault="008A305D" w:rsidP="008A305D">
      <w:pPr>
        <w:rPr>
          <w:rFonts w:eastAsia="Calibri"/>
          <w:sz w:val="22"/>
          <w:szCs w:val="22"/>
        </w:rPr>
      </w:pPr>
      <w:r w:rsidRPr="00D92F6B">
        <w:rPr>
          <w:rFonts w:eastAsia="Calibri"/>
          <w:sz w:val="22"/>
          <w:szCs w:val="22"/>
        </w:rPr>
        <w:t xml:space="preserve">Padidėjęs jautrumas veikliajai arba bet kuriai 6.1 skyriuje nurodytai pagalbinei medžiagai. </w:t>
      </w:r>
    </w:p>
    <w:p w14:paraId="36B439A9" w14:textId="77777777" w:rsidR="008A305D" w:rsidRPr="00D92F6B" w:rsidRDefault="008A305D" w:rsidP="008A305D">
      <w:pPr>
        <w:rPr>
          <w:rFonts w:eastAsia="Calibri"/>
          <w:sz w:val="22"/>
          <w:szCs w:val="22"/>
        </w:rPr>
      </w:pPr>
    </w:p>
    <w:p w14:paraId="3B14EA2D" w14:textId="77777777" w:rsidR="008A305D" w:rsidRPr="00D92F6B" w:rsidRDefault="008A305D" w:rsidP="008A305D">
      <w:pPr>
        <w:pStyle w:val="Sraopastraipa"/>
        <w:keepNext/>
        <w:numPr>
          <w:ilvl w:val="1"/>
          <w:numId w:val="5"/>
        </w:numPr>
        <w:ind w:left="567" w:hanging="567"/>
        <w:rPr>
          <w:rFonts w:eastAsia="Calibri"/>
          <w:b/>
          <w:sz w:val="22"/>
          <w:szCs w:val="22"/>
        </w:rPr>
      </w:pPr>
      <w:r w:rsidRPr="00D92F6B">
        <w:rPr>
          <w:rFonts w:eastAsia="Calibri"/>
          <w:b/>
          <w:bCs/>
          <w:sz w:val="22"/>
          <w:szCs w:val="22"/>
        </w:rPr>
        <w:t xml:space="preserve">Specialūs įspėjimai ir atsargumo priemonės </w:t>
      </w:r>
    </w:p>
    <w:p w14:paraId="2C689BC3" w14:textId="77777777" w:rsidR="008A305D" w:rsidRPr="00D92F6B" w:rsidRDefault="008A305D" w:rsidP="008A305D">
      <w:pPr>
        <w:keepNext/>
        <w:rPr>
          <w:rFonts w:eastAsia="Calibri"/>
          <w:b/>
          <w:sz w:val="22"/>
          <w:szCs w:val="22"/>
        </w:rPr>
      </w:pPr>
    </w:p>
    <w:p w14:paraId="442C5265" w14:textId="77777777" w:rsidR="008A305D" w:rsidRPr="00D92F6B" w:rsidRDefault="008A305D" w:rsidP="008A305D">
      <w:pPr>
        <w:rPr>
          <w:rFonts w:eastAsia="Calibri"/>
          <w:sz w:val="22"/>
          <w:szCs w:val="22"/>
        </w:rPr>
      </w:pPr>
      <w:r w:rsidRPr="00D92F6B">
        <w:rPr>
          <w:rFonts w:eastAsia="Calibri"/>
          <w:sz w:val="22"/>
          <w:szCs w:val="22"/>
        </w:rPr>
        <w:t xml:space="preserve">Kai imatinibo vartojama kartu su kitais vaistiniais preparatais, yra vaistų sąveikos galimybė. Būtina laikytis atsargumo priemonių, kai imatinibo vartojama su proteazės inhibitoriais, priešgrybeliniais azolo junginiais, tam tikrais makrolidais (žr. 4.5 skyrių). CYP3A4 substratais, kurių yra siaura terapinė platuma (pvz., ciklosporinu, pimozidu, takrolimuzu, sirolimuzu, ergotaminu, diergotaminu, fentaniliu, alfentaniliu, terfenadinu, bortezomibu, docetakseliu, kvinidinu) ar varfarinu ir kitais kumarino dariniais (žr. 4.5 skyrių). </w:t>
      </w:r>
    </w:p>
    <w:p w14:paraId="7361BC43" w14:textId="77777777" w:rsidR="008A305D" w:rsidRPr="00D92F6B" w:rsidRDefault="008A305D" w:rsidP="008A305D">
      <w:pPr>
        <w:rPr>
          <w:rFonts w:eastAsia="Calibri"/>
          <w:sz w:val="22"/>
          <w:szCs w:val="22"/>
        </w:rPr>
      </w:pPr>
    </w:p>
    <w:p w14:paraId="078052CD" w14:textId="77777777" w:rsidR="008A305D" w:rsidRPr="00D92F6B" w:rsidRDefault="008A305D" w:rsidP="008A305D">
      <w:pPr>
        <w:rPr>
          <w:rFonts w:eastAsia="Calibri"/>
          <w:sz w:val="22"/>
          <w:szCs w:val="22"/>
        </w:rPr>
      </w:pPr>
      <w:r w:rsidRPr="00D92F6B">
        <w:rPr>
          <w:rFonts w:eastAsia="Calibri"/>
          <w:sz w:val="22"/>
          <w:szCs w:val="22"/>
        </w:rPr>
        <w:t xml:space="preserve">Imatinibą vartojant kartu su medicininiais produktais, indukuojančiais CYP3A4 (pvz., deksametazonu, fenitoinu, karbamazepinu, rifampicinu, fenobarbitaliu ar </w:t>
      </w:r>
      <w:r w:rsidRPr="00D92F6B">
        <w:rPr>
          <w:rFonts w:eastAsia="Calibri"/>
          <w:i/>
          <w:iCs/>
          <w:sz w:val="22"/>
          <w:szCs w:val="22"/>
        </w:rPr>
        <w:t>Hypericum perforatum</w:t>
      </w:r>
      <w:r w:rsidRPr="00D92F6B">
        <w:rPr>
          <w:rFonts w:eastAsia="Calibri"/>
          <w:sz w:val="22"/>
          <w:szCs w:val="22"/>
        </w:rPr>
        <w:t xml:space="preserve">, t.y. jonažole), gali reikšmingai sumažėti imatinibo ekspozicija ir padidėti nesėkmingo gydymo tikimybė. Todėl reikia vengti imatinibą vartoti kartu su stipriais CYP3A4 induktoriais (žr. 4.5 skyrių). </w:t>
      </w:r>
    </w:p>
    <w:p w14:paraId="60F52AB5" w14:textId="77777777" w:rsidR="008A305D" w:rsidRPr="00D92F6B" w:rsidRDefault="008A305D" w:rsidP="008A305D">
      <w:pPr>
        <w:rPr>
          <w:rFonts w:eastAsia="Calibri"/>
          <w:sz w:val="22"/>
          <w:szCs w:val="22"/>
        </w:rPr>
      </w:pPr>
    </w:p>
    <w:p w14:paraId="38745059" w14:textId="77777777" w:rsidR="008A305D" w:rsidRPr="00D92F6B" w:rsidRDefault="008A305D" w:rsidP="008A305D">
      <w:pPr>
        <w:keepNext/>
        <w:rPr>
          <w:rFonts w:eastAsia="Calibri"/>
          <w:sz w:val="22"/>
          <w:szCs w:val="22"/>
          <w:u w:val="single"/>
        </w:rPr>
      </w:pPr>
      <w:r w:rsidRPr="00D92F6B">
        <w:rPr>
          <w:rFonts w:eastAsia="Calibri"/>
          <w:sz w:val="22"/>
          <w:szCs w:val="22"/>
          <w:u w:val="single"/>
        </w:rPr>
        <w:t xml:space="preserve">Hipotiroidizmas </w:t>
      </w:r>
    </w:p>
    <w:p w14:paraId="613B4411" w14:textId="77777777" w:rsidR="008A305D" w:rsidRPr="00D92F6B" w:rsidRDefault="008A305D" w:rsidP="008A305D">
      <w:pPr>
        <w:rPr>
          <w:rFonts w:eastAsia="Calibri"/>
          <w:sz w:val="22"/>
          <w:szCs w:val="22"/>
        </w:rPr>
      </w:pPr>
      <w:r w:rsidRPr="00D92F6B">
        <w:rPr>
          <w:rFonts w:eastAsia="Calibri"/>
          <w:sz w:val="22"/>
          <w:szCs w:val="22"/>
        </w:rPr>
        <w:t>Pastebėta klinikinių hipotireozės atvejų pacientams, kuriems pašalinta skydliaukė ir kuriems gydymo imatinibu metu buvo taikomas pakeičiamasis gydymas levotiroksinu (žr. 4.5 skyrių). Būtina stebėti tokių pacientų skydliaukės veiklą skatinančio hormono (TSH) koncentraciją.</w:t>
      </w:r>
    </w:p>
    <w:p w14:paraId="39AF22EF" w14:textId="77777777" w:rsidR="008A305D" w:rsidRPr="00D92F6B" w:rsidRDefault="008A305D" w:rsidP="008A305D">
      <w:pPr>
        <w:rPr>
          <w:rFonts w:eastAsia="Calibri"/>
          <w:sz w:val="22"/>
          <w:szCs w:val="22"/>
        </w:rPr>
      </w:pPr>
    </w:p>
    <w:p w14:paraId="0EDBEDBD" w14:textId="77777777" w:rsidR="008A305D" w:rsidRPr="00D92F6B" w:rsidRDefault="008A305D" w:rsidP="008A305D">
      <w:pPr>
        <w:keepNext/>
        <w:rPr>
          <w:rFonts w:eastAsia="Calibri"/>
          <w:sz w:val="22"/>
          <w:szCs w:val="22"/>
          <w:u w:val="single"/>
        </w:rPr>
      </w:pPr>
      <w:r w:rsidRPr="00D92F6B">
        <w:rPr>
          <w:rFonts w:eastAsia="Calibri"/>
          <w:sz w:val="22"/>
          <w:szCs w:val="22"/>
          <w:u w:val="single"/>
        </w:rPr>
        <w:t xml:space="preserve">Toksinis poveikis kepenims </w:t>
      </w:r>
    </w:p>
    <w:p w14:paraId="263C2701" w14:textId="77777777" w:rsidR="008A305D" w:rsidRPr="00D92F6B" w:rsidRDefault="008A305D" w:rsidP="008A305D">
      <w:pPr>
        <w:rPr>
          <w:rFonts w:eastAsia="Calibri"/>
          <w:sz w:val="22"/>
          <w:szCs w:val="22"/>
        </w:rPr>
      </w:pPr>
      <w:r w:rsidRPr="00D92F6B">
        <w:rPr>
          <w:rFonts w:eastAsia="Calibri"/>
          <w:sz w:val="22"/>
          <w:szCs w:val="22"/>
        </w:rPr>
        <w:t xml:space="preserve">Imatinibo daugiausia metabolizuojamas kepenyse ir tik 13 % jo išsiskiria pro inkstus. Pacientams, kuriems yra kepenų funkcijos sutrikimas (nedidelis, vidutinis ar sunkus) būtina atidžiai stebėti periferinio kraujo vaizdą ir kepenų fermentų aktyvumą (žr. 4.2, 4.8 ir 5.2 skyrius). Reikia pažymėti, kad pacientams, kuriems diagnozuotas </w:t>
      </w:r>
      <w:r>
        <w:rPr>
          <w:rFonts w:eastAsia="Calibri"/>
          <w:sz w:val="22"/>
          <w:szCs w:val="22"/>
        </w:rPr>
        <w:t>GIST</w:t>
      </w:r>
      <w:r w:rsidRPr="00D92F6B">
        <w:rPr>
          <w:rFonts w:eastAsia="Calibri"/>
          <w:sz w:val="22"/>
          <w:szCs w:val="22"/>
        </w:rPr>
        <w:t xml:space="preserve">, gali būti metastazių kepenyse, kurios gali sąlygoti kepenų nepakankamumą. </w:t>
      </w:r>
    </w:p>
    <w:p w14:paraId="6CB125CE" w14:textId="77777777" w:rsidR="008A305D" w:rsidRPr="00D92F6B" w:rsidRDefault="008A305D" w:rsidP="008A305D">
      <w:pPr>
        <w:rPr>
          <w:rFonts w:eastAsia="Calibri"/>
          <w:sz w:val="22"/>
          <w:szCs w:val="22"/>
        </w:rPr>
      </w:pPr>
    </w:p>
    <w:p w14:paraId="630444DF" w14:textId="77777777" w:rsidR="008A305D" w:rsidRPr="00D92F6B" w:rsidRDefault="008A305D" w:rsidP="008A305D">
      <w:pPr>
        <w:rPr>
          <w:rFonts w:eastAsia="Calibri"/>
          <w:sz w:val="22"/>
          <w:szCs w:val="22"/>
        </w:rPr>
      </w:pPr>
      <w:r w:rsidRPr="00D92F6B">
        <w:rPr>
          <w:rFonts w:eastAsia="Calibri"/>
          <w:sz w:val="22"/>
          <w:szCs w:val="22"/>
        </w:rPr>
        <w:lastRenderedPageBreak/>
        <w:t xml:space="preserve">Vartojant imatinibą, kepenų pažeidimo atvejai, tame tarpe kepenų nepakankamumas ir kepenų nekrozė, yra registruoti. Imatinibą skiriant kartu su didelėmis chemoterapinių preparatų dozėmis, nustatytas sunkių kepenų reakcijų padažnėjimas. Imatinibą skiriant kartu su kepenų funkciją galinčiais bloginti chemoterapiniais preparatais, reikia atidžiai stebėti kepenų funkciją (žr. 4.5 ir 4.8 skyrius). </w:t>
      </w:r>
    </w:p>
    <w:p w14:paraId="35D31493" w14:textId="77777777" w:rsidR="008A305D" w:rsidRPr="00D92F6B" w:rsidRDefault="008A305D" w:rsidP="008A305D">
      <w:pPr>
        <w:rPr>
          <w:rFonts w:eastAsia="Calibri"/>
          <w:sz w:val="22"/>
          <w:szCs w:val="22"/>
        </w:rPr>
      </w:pPr>
    </w:p>
    <w:p w14:paraId="7DC92503" w14:textId="77777777" w:rsidR="008A305D" w:rsidRPr="00D92F6B" w:rsidRDefault="008A305D" w:rsidP="008A305D">
      <w:pPr>
        <w:keepNext/>
        <w:rPr>
          <w:rFonts w:eastAsia="Calibri"/>
          <w:sz w:val="22"/>
          <w:szCs w:val="22"/>
          <w:u w:val="single"/>
        </w:rPr>
      </w:pPr>
      <w:r w:rsidRPr="00D92F6B">
        <w:rPr>
          <w:rFonts w:eastAsia="Calibri"/>
          <w:sz w:val="22"/>
          <w:szCs w:val="22"/>
          <w:u w:val="single"/>
        </w:rPr>
        <w:t xml:space="preserve">Skysčių susilaikymas </w:t>
      </w:r>
    </w:p>
    <w:p w14:paraId="289DED96" w14:textId="77777777" w:rsidR="008A305D" w:rsidRPr="00D92F6B" w:rsidRDefault="008A305D" w:rsidP="008A305D">
      <w:pPr>
        <w:rPr>
          <w:rFonts w:eastAsia="Calibri"/>
          <w:sz w:val="22"/>
          <w:szCs w:val="22"/>
        </w:rPr>
      </w:pPr>
      <w:r w:rsidRPr="00D92F6B">
        <w:rPr>
          <w:rFonts w:eastAsia="Calibri"/>
          <w:sz w:val="22"/>
          <w:szCs w:val="22"/>
        </w:rPr>
        <w:t xml:space="preserve">Maždaug 2,5 % imatinibo vartojusių pacientų, sergančių naujai diagnozuota LML, susilaikė daug skysčių organizme (skystis pleuros ertmėje, edema, plaučių edema, ascitas, paviršinė edema). Todėl privalu pacientus reguliariai sverti. Pacientą, kuriam kūno svoris neįtikėtinai greitai didėja, reikia atidžiai ištirti ir prireikus taikyti atitinkamas pagalbos ir gydymo priemones. Klinikinių tyrimų metu šių reiškinių dažniau buvo senyviems ir sergantiems širdies ligomis pacientams. Todėl vaistą atsargiai skirti pacientams, kurių sutrikusi širdies funkcija. </w:t>
      </w:r>
    </w:p>
    <w:p w14:paraId="4DB052F5" w14:textId="77777777" w:rsidR="008A305D" w:rsidRPr="00D92F6B" w:rsidRDefault="008A305D" w:rsidP="008A305D">
      <w:pPr>
        <w:rPr>
          <w:rFonts w:eastAsia="Calibri"/>
          <w:sz w:val="22"/>
          <w:szCs w:val="22"/>
        </w:rPr>
      </w:pPr>
    </w:p>
    <w:p w14:paraId="006B5514" w14:textId="77777777" w:rsidR="008A305D" w:rsidRPr="00D92F6B" w:rsidRDefault="008A305D" w:rsidP="008A305D">
      <w:pPr>
        <w:keepNext/>
        <w:rPr>
          <w:rFonts w:eastAsia="Calibri"/>
          <w:sz w:val="22"/>
          <w:szCs w:val="22"/>
          <w:u w:val="single"/>
        </w:rPr>
      </w:pPr>
      <w:r w:rsidRPr="00D92F6B">
        <w:rPr>
          <w:rFonts w:eastAsia="Calibri"/>
          <w:sz w:val="22"/>
          <w:szCs w:val="22"/>
          <w:u w:val="single"/>
        </w:rPr>
        <w:t xml:space="preserve">Pacientai, sergantys širdies ligomis </w:t>
      </w:r>
    </w:p>
    <w:p w14:paraId="30AB8C1A" w14:textId="77777777" w:rsidR="008A305D" w:rsidRPr="00D92F6B" w:rsidRDefault="008A305D" w:rsidP="008A305D">
      <w:pPr>
        <w:rPr>
          <w:rFonts w:eastAsia="Calibri"/>
          <w:sz w:val="22"/>
          <w:szCs w:val="22"/>
        </w:rPr>
      </w:pPr>
      <w:r w:rsidRPr="00D92F6B">
        <w:rPr>
          <w:rFonts w:eastAsia="Calibri"/>
          <w:sz w:val="22"/>
          <w:szCs w:val="22"/>
        </w:rPr>
        <w:t xml:space="preserve">Pacientai su širdies ligomis, širdies nepakankamumo rizikos faktoriais ar sirgę inkstų nepakankamumu turi būti atidžiai stebimi, o bet kuris pacientas su širdies ar inkstų nepakankamumo požymiais arba simptomais turi būti įvertintas ir gydomas. </w:t>
      </w:r>
    </w:p>
    <w:p w14:paraId="402A7EE3" w14:textId="77777777" w:rsidR="008A305D" w:rsidRPr="00D92F6B" w:rsidRDefault="008A305D" w:rsidP="008A305D">
      <w:pPr>
        <w:rPr>
          <w:rFonts w:eastAsia="Calibri"/>
          <w:sz w:val="22"/>
          <w:szCs w:val="22"/>
        </w:rPr>
      </w:pPr>
    </w:p>
    <w:p w14:paraId="3952ADB5" w14:textId="77777777" w:rsidR="008A305D" w:rsidRPr="00D92F6B" w:rsidRDefault="008A305D" w:rsidP="008A305D">
      <w:pPr>
        <w:rPr>
          <w:rFonts w:eastAsia="Calibri"/>
          <w:sz w:val="22"/>
          <w:szCs w:val="22"/>
        </w:rPr>
      </w:pPr>
      <w:r w:rsidRPr="00D92F6B">
        <w:rPr>
          <w:rFonts w:eastAsia="Calibri"/>
          <w:sz w:val="22"/>
          <w:szCs w:val="22"/>
        </w:rPr>
        <w:t xml:space="preserve">Hipereozinofiliniu sindromu (HES) sergantiems pacientams su slapta HES ląstelių infiltracija miokarde, registruoti pavieniai kardiogeninio šoko ar kairiojo skilvelio disfunkcijos atvejai.Būklė gerėjo gydant sisteminio veikimo steroidiniais hormonais, palaikant kraujotaką ir laikinai nutraukiant imatinibo vartojimą. Kadangi nedažnai buvo pranešama apie nepageidaujamus poveikius širdžiai, vartojant imatinibą, prieš pradedant gydyti imatinibu pacientus, sergančius HES/LEL, turi būti atidžiai įvertintas gydymo imatinibu naudos ir rizikos santykis. </w:t>
      </w:r>
    </w:p>
    <w:p w14:paraId="33DED5D1" w14:textId="77777777" w:rsidR="008A305D" w:rsidRPr="00D92F6B" w:rsidRDefault="008A305D" w:rsidP="008A305D">
      <w:pPr>
        <w:rPr>
          <w:rFonts w:eastAsia="Calibri"/>
          <w:sz w:val="22"/>
          <w:szCs w:val="22"/>
        </w:rPr>
      </w:pPr>
    </w:p>
    <w:p w14:paraId="06BD7D55" w14:textId="77777777" w:rsidR="008A305D" w:rsidRPr="00D92F6B" w:rsidRDefault="008A305D" w:rsidP="008A305D">
      <w:pPr>
        <w:rPr>
          <w:rFonts w:eastAsia="Calibri"/>
          <w:sz w:val="22"/>
          <w:szCs w:val="22"/>
        </w:rPr>
      </w:pPr>
      <w:r w:rsidRPr="00D92F6B">
        <w:rPr>
          <w:rFonts w:eastAsia="Calibri"/>
          <w:sz w:val="22"/>
          <w:szCs w:val="22"/>
        </w:rPr>
        <w:t xml:space="preserve">Sergant mielodisplazinėmis ar mieloproliferacinėmis ligomis su PDGFR genų pakitimais gali būti padidėjęs eozinofilų kiekis. Prieš skiriant imatinibą pacientams, sergantiems HES ar LEL ir pacientams, sergantiems MDS/MDL, kuriems yra padidėjęs eozinofilų kiekis, reikalinga kardiologo konsultacija, taip pat reikia atlikti echokardiogramą ir nustatyti troponino koncentraciją serume. Jei bent vieno šių tyrimų rezultatai neatitinka normos, pirmąsias vieną ar dvi gydymo savaites, stebint kardiologui, kartu su imatinibu profilaktiškai galima skirti sisteminio veikimo steroidų (1-2 mg/kg dozę). </w:t>
      </w:r>
    </w:p>
    <w:p w14:paraId="2E7DE784" w14:textId="77777777" w:rsidR="008A305D" w:rsidRPr="00D92F6B" w:rsidRDefault="008A305D" w:rsidP="008A305D">
      <w:pPr>
        <w:rPr>
          <w:rFonts w:eastAsia="Calibri"/>
          <w:sz w:val="22"/>
          <w:szCs w:val="22"/>
        </w:rPr>
      </w:pPr>
    </w:p>
    <w:p w14:paraId="2F27914A" w14:textId="77777777" w:rsidR="008A305D" w:rsidRPr="00D92F6B" w:rsidRDefault="008A305D" w:rsidP="008A305D">
      <w:pPr>
        <w:keepNext/>
        <w:rPr>
          <w:rFonts w:eastAsia="Calibri"/>
          <w:sz w:val="22"/>
          <w:szCs w:val="22"/>
          <w:u w:val="single"/>
        </w:rPr>
      </w:pPr>
      <w:r w:rsidRPr="00D92F6B">
        <w:rPr>
          <w:rFonts w:eastAsia="Calibri"/>
          <w:sz w:val="22"/>
          <w:szCs w:val="22"/>
          <w:u w:val="single"/>
        </w:rPr>
        <w:t xml:space="preserve">Kraujavimas iš virškinimo trakto </w:t>
      </w:r>
    </w:p>
    <w:p w14:paraId="1BFD91A9" w14:textId="77777777" w:rsidR="008A305D" w:rsidRPr="00D92F6B" w:rsidRDefault="008A305D" w:rsidP="008A305D">
      <w:pPr>
        <w:rPr>
          <w:rFonts w:eastAsia="Calibri"/>
          <w:sz w:val="22"/>
          <w:szCs w:val="22"/>
        </w:rPr>
      </w:pPr>
      <w:r w:rsidRPr="00D92F6B">
        <w:rPr>
          <w:rFonts w:eastAsia="Calibri"/>
          <w:sz w:val="22"/>
          <w:szCs w:val="22"/>
        </w:rPr>
        <w:t xml:space="preserve">Atlikto klinikinio tyrimo duomenimis, jame dalyvavusiems pacientams, kuriems buvo nerezekuotinas ir (ar) metastazavęs </w:t>
      </w:r>
      <w:r>
        <w:rPr>
          <w:rFonts w:eastAsia="Calibri"/>
          <w:sz w:val="22"/>
          <w:szCs w:val="22"/>
        </w:rPr>
        <w:lastRenderedPageBreak/>
        <w:t>GIST</w:t>
      </w:r>
      <w:r w:rsidRPr="00D92F6B">
        <w:rPr>
          <w:rFonts w:eastAsia="Calibri"/>
          <w:sz w:val="22"/>
          <w:szCs w:val="22"/>
        </w:rPr>
        <w:t xml:space="preserve">, pasitaikė ir virškinimo trakto bei vidunavikinių kraujavimų (žr. 4.8 skyrių). Turimi duomenys neatskleidė predisponuojančių veiksnių (pvz., naviko dydžio, naviko lokalizacijos, krešėjimo sutrikimų), dėl kurių padidėtų pacientų, sergančių </w:t>
      </w:r>
      <w:r>
        <w:rPr>
          <w:rFonts w:eastAsia="Calibri"/>
          <w:sz w:val="22"/>
          <w:szCs w:val="22"/>
        </w:rPr>
        <w:t>GIST</w:t>
      </w:r>
      <w:r w:rsidRPr="00D92F6B">
        <w:rPr>
          <w:rFonts w:eastAsia="Calibri"/>
          <w:sz w:val="22"/>
          <w:szCs w:val="22"/>
        </w:rPr>
        <w:t xml:space="preserve">, bet kokio kraujavimo rizika. Padidėjęs kraujagyslinis tinklas bei polinkis į kraujavimą iš dalies yra prigimtiniai ir būdingi klinikinei </w:t>
      </w:r>
      <w:r>
        <w:rPr>
          <w:rFonts w:eastAsia="Calibri"/>
          <w:sz w:val="22"/>
          <w:szCs w:val="22"/>
        </w:rPr>
        <w:t>GIST</w:t>
      </w:r>
      <w:r w:rsidRPr="00D92F6B">
        <w:rPr>
          <w:rFonts w:eastAsia="Calibri"/>
          <w:sz w:val="22"/>
          <w:szCs w:val="22"/>
        </w:rPr>
        <w:t xml:space="preserve"> eigai, todėl visiems pacientams būtina taikyti įprastines priemones ir procedūras kraujavimui stebėti ir gydyti. </w:t>
      </w:r>
    </w:p>
    <w:p w14:paraId="69C9C8B3" w14:textId="77777777" w:rsidR="008A305D" w:rsidRPr="00D92F6B" w:rsidRDefault="008A305D" w:rsidP="008A305D">
      <w:pPr>
        <w:rPr>
          <w:rFonts w:eastAsia="Calibri"/>
          <w:sz w:val="22"/>
          <w:szCs w:val="22"/>
          <w:u w:val="single"/>
        </w:rPr>
      </w:pPr>
    </w:p>
    <w:p w14:paraId="7D255FBA" w14:textId="77777777" w:rsidR="008A305D" w:rsidRPr="00D92F6B" w:rsidRDefault="008A305D" w:rsidP="008A305D">
      <w:pPr>
        <w:rPr>
          <w:rFonts w:eastAsia="Calibri"/>
          <w:sz w:val="22"/>
          <w:szCs w:val="22"/>
        </w:rPr>
      </w:pPr>
      <w:r w:rsidRPr="00D92F6B">
        <w:rPr>
          <w:rFonts w:eastAsia="Calibri"/>
          <w:sz w:val="22"/>
          <w:szCs w:val="22"/>
        </w:rPr>
        <w:t>Be to, vaistiniam preparatui patekus į rinką, buvo gauta pranešimų apie prievarčio kraujagyslių išsiplėtimą (</w:t>
      </w:r>
      <w:r w:rsidRPr="00D92F6B">
        <w:rPr>
          <w:rFonts w:eastAsia="Calibri"/>
          <w:i/>
          <w:sz w:val="22"/>
          <w:szCs w:val="22"/>
        </w:rPr>
        <w:t>angl.</w:t>
      </w:r>
      <w:r w:rsidRPr="00D92F6B">
        <w:rPr>
          <w:rFonts w:eastAsia="Calibri"/>
          <w:sz w:val="22"/>
          <w:szCs w:val="22"/>
        </w:rPr>
        <w:t xml:space="preserve"> </w:t>
      </w:r>
      <w:r w:rsidRPr="0045031A">
        <w:rPr>
          <w:rFonts w:eastAsia="Calibri"/>
          <w:i/>
          <w:sz w:val="22"/>
          <w:szCs w:val="22"/>
        </w:rPr>
        <w:t>Gastric antral vascular ectasia</w:t>
      </w:r>
      <w:r w:rsidRPr="00D92F6B">
        <w:rPr>
          <w:rFonts w:eastAsia="Calibri"/>
          <w:sz w:val="22"/>
          <w:szCs w:val="22"/>
        </w:rPr>
        <w:t xml:space="preserve">, GAVE) </w:t>
      </w:r>
      <w:r w:rsidRPr="00D92F6B">
        <w:rPr>
          <w:rFonts w:eastAsia="Calibri"/>
          <w:sz w:val="22"/>
          <w:szCs w:val="22"/>
        </w:rPr>
        <w:sym w:font="Symbol" w:char="F02D"/>
      </w:r>
      <w:r w:rsidRPr="00D92F6B">
        <w:rPr>
          <w:rFonts w:eastAsia="Calibri"/>
          <w:sz w:val="22"/>
          <w:szCs w:val="22"/>
        </w:rPr>
        <w:t xml:space="preserve"> retą kraujavimo iš virškinimo priežastį </w:t>
      </w:r>
      <w:r w:rsidRPr="00D92F6B">
        <w:rPr>
          <w:rFonts w:eastAsia="Calibri"/>
          <w:sz w:val="22"/>
          <w:szCs w:val="22"/>
        </w:rPr>
        <w:sym w:font="Symbol" w:char="F02D"/>
      </w:r>
      <w:r w:rsidRPr="00D92F6B">
        <w:rPr>
          <w:rFonts w:eastAsia="Calibri"/>
          <w:sz w:val="22"/>
          <w:szCs w:val="22"/>
        </w:rPr>
        <w:t xml:space="preserve"> pacientams, sergantiems LML, ŪLL ir kitomis ligomis (žr. 4.8 skyrių). Jei reikia, turi būti apsvarstytas gydymo imatinibu nutraukimas.</w:t>
      </w:r>
    </w:p>
    <w:p w14:paraId="1DD66792" w14:textId="77777777" w:rsidR="008A305D" w:rsidRPr="00D92F6B" w:rsidRDefault="008A305D" w:rsidP="008A305D">
      <w:pPr>
        <w:rPr>
          <w:rFonts w:eastAsia="Calibri"/>
          <w:sz w:val="22"/>
          <w:szCs w:val="22"/>
          <w:u w:val="single"/>
        </w:rPr>
      </w:pPr>
    </w:p>
    <w:p w14:paraId="45500F66" w14:textId="77777777" w:rsidR="008A305D" w:rsidRPr="00D92F6B" w:rsidRDefault="008A305D" w:rsidP="008A305D">
      <w:pPr>
        <w:keepNext/>
        <w:rPr>
          <w:rFonts w:eastAsia="Calibri"/>
          <w:sz w:val="22"/>
          <w:szCs w:val="22"/>
          <w:u w:val="single"/>
        </w:rPr>
      </w:pPr>
      <w:r w:rsidRPr="00D92F6B">
        <w:rPr>
          <w:rFonts w:eastAsia="Calibri"/>
          <w:sz w:val="22"/>
          <w:szCs w:val="22"/>
          <w:u w:val="single"/>
        </w:rPr>
        <w:t xml:space="preserve">Auglio irimo sindromas </w:t>
      </w:r>
    </w:p>
    <w:p w14:paraId="2B6BA136" w14:textId="77777777" w:rsidR="008A305D" w:rsidRPr="00D92F6B" w:rsidRDefault="008A305D" w:rsidP="008A305D">
      <w:pPr>
        <w:rPr>
          <w:rFonts w:eastAsia="Calibri"/>
          <w:sz w:val="22"/>
          <w:szCs w:val="22"/>
        </w:rPr>
      </w:pPr>
      <w:r w:rsidRPr="00D92F6B">
        <w:rPr>
          <w:rFonts w:eastAsia="Calibri"/>
          <w:sz w:val="22"/>
          <w:szCs w:val="22"/>
        </w:rPr>
        <w:t>Dėl galimų auglio irimo sindromo (AIS) atvejų, pradedant vartoti imatinibą, pirmiausia rekomenduojamas kliniškai reikšmingos dehidracijos lygio atstatymas ir didelio šlapimo rūgšties kiekio gydymas (žr. 4.8 skyrių).</w:t>
      </w:r>
    </w:p>
    <w:p w14:paraId="5B145055" w14:textId="77777777" w:rsidR="008A305D" w:rsidRDefault="008A305D" w:rsidP="008A305D">
      <w:pPr>
        <w:rPr>
          <w:rFonts w:eastAsia="Calibri"/>
          <w:sz w:val="22"/>
          <w:szCs w:val="22"/>
        </w:rPr>
      </w:pPr>
    </w:p>
    <w:p w14:paraId="355AC42A" w14:textId="77777777" w:rsidR="00741016" w:rsidRPr="00741016" w:rsidRDefault="00741016" w:rsidP="00741016">
      <w:pPr>
        <w:rPr>
          <w:rFonts w:eastAsia="Calibri"/>
          <w:sz w:val="22"/>
          <w:szCs w:val="22"/>
          <w:u w:val="single"/>
        </w:rPr>
      </w:pPr>
      <w:r w:rsidRPr="00741016">
        <w:rPr>
          <w:rFonts w:eastAsia="Calibri"/>
          <w:sz w:val="22"/>
          <w:szCs w:val="22"/>
          <w:u w:val="single"/>
        </w:rPr>
        <w:t>Hepatito B reaktyvacija</w:t>
      </w:r>
    </w:p>
    <w:p w14:paraId="76245FB0" w14:textId="77777777" w:rsidR="00741016" w:rsidRPr="00741016" w:rsidRDefault="00741016" w:rsidP="00741016">
      <w:pPr>
        <w:rPr>
          <w:rFonts w:eastAsia="Calibri"/>
          <w:sz w:val="22"/>
          <w:szCs w:val="22"/>
        </w:rPr>
      </w:pPr>
      <w:r w:rsidRPr="00741016">
        <w:rPr>
          <w:rFonts w:eastAsia="Calibri"/>
          <w:sz w:val="22"/>
          <w:szCs w:val="22"/>
        </w:rPr>
        <w:t>Hepatito B reaktyvacijos atvejų nustatyta pacientams, kurie yra ilgalaikiai šio viruso nešiotojai, po to, kai šie pacientai pavartojo BCR-ABL tirozinkinazės inhibitorių. Kai kuriais atvejais tai sukėlė ūminį kepenų nepakankamumą arba žaibinį hepatitą, dėl kurio pacientui teko persodinti kepenis arba pacientas mirė.</w:t>
      </w:r>
    </w:p>
    <w:p w14:paraId="6C77DA5F" w14:textId="77777777" w:rsidR="00741016" w:rsidRDefault="00741016" w:rsidP="00741016">
      <w:pPr>
        <w:rPr>
          <w:rFonts w:eastAsia="Calibri"/>
          <w:sz w:val="22"/>
          <w:szCs w:val="22"/>
        </w:rPr>
      </w:pPr>
      <w:r w:rsidRPr="00741016">
        <w:rPr>
          <w:rFonts w:eastAsia="Calibri"/>
          <w:sz w:val="22"/>
          <w:szCs w:val="22"/>
        </w:rPr>
        <w:t xml:space="preserve">Prieš pradedant gydymą </w:t>
      </w:r>
      <w:r>
        <w:rPr>
          <w:rFonts w:eastAsia="Calibri"/>
          <w:sz w:val="22"/>
          <w:szCs w:val="22"/>
        </w:rPr>
        <w:t>Imatinib Actavis Group</w:t>
      </w:r>
      <w:r w:rsidRPr="00741016">
        <w:rPr>
          <w:rFonts w:eastAsia="Calibri"/>
          <w:sz w:val="22"/>
          <w:szCs w:val="22"/>
        </w:rPr>
        <w:t>, reikia ištirti, ar pacientas neužsikrėtęs HBV. Prieš pradedant gydyti pacientus, kuriems nustatytas serologiškai teigiamas hepatitas B (įskaitant aktyvia</w:t>
      </w:r>
      <w:r>
        <w:rPr>
          <w:rFonts w:eastAsia="Calibri"/>
          <w:sz w:val="22"/>
          <w:szCs w:val="22"/>
        </w:rPr>
        <w:t xml:space="preserve"> </w:t>
      </w:r>
      <w:r w:rsidRPr="00741016">
        <w:rPr>
          <w:rFonts w:eastAsia="Calibri"/>
          <w:sz w:val="22"/>
          <w:szCs w:val="22"/>
        </w:rPr>
        <w:t xml:space="preserve">liga sergančius pacientus), ir dėl pacientų, kuriems gydymo laikotarpiu nustatyta HBV infekcija, reikia pasitarti su kepenų ligų ekspertais ir hepatitą B gydančiais gydytojais specialistais. Terapijos laikotarpiu ir kelis mėnesius po terapijos pabaigos reikia atidžiai stebėti, ar HBV nešiotojams, kuriems būtinas gydymas </w:t>
      </w:r>
      <w:r>
        <w:rPr>
          <w:rFonts w:eastAsia="Calibri"/>
          <w:sz w:val="22"/>
          <w:szCs w:val="22"/>
        </w:rPr>
        <w:t>Imatinib Actavis Group</w:t>
      </w:r>
      <w:r w:rsidRPr="00741016">
        <w:rPr>
          <w:rFonts w:eastAsia="Calibri"/>
          <w:sz w:val="22"/>
          <w:szCs w:val="22"/>
        </w:rPr>
        <w:t>, nepasireiškia aktyvios HBV infekcijos požymiai ir simptomai (žr. 4.8 skyrių).</w:t>
      </w:r>
    </w:p>
    <w:p w14:paraId="4D015CE1" w14:textId="77777777" w:rsidR="00412F88" w:rsidRPr="00D92F6B" w:rsidRDefault="00412F88" w:rsidP="008A305D">
      <w:pPr>
        <w:rPr>
          <w:rFonts w:eastAsia="Calibri"/>
          <w:sz w:val="22"/>
          <w:szCs w:val="22"/>
        </w:rPr>
      </w:pPr>
    </w:p>
    <w:p w14:paraId="48551302" w14:textId="77777777" w:rsidR="008A305D" w:rsidRPr="00D92F6B" w:rsidRDefault="008A305D" w:rsidP="008A305D">
      <w:pPr>
        <w:keepNext/>
        <w:rPr>
          <w:rFonts w:eastAsia="Calibri"/>
          <w:sz w:val="22"/>
          <w:szCs w:val="22"/>
          <w:u w:val="single"/>
        </w:rPr>
      </w:pPr>
      <w:r w:rsidRPr="00D92F6B">
        <w:rPr>
          <w:rFonts w:eastAsia="Calibri"/>
          <w:sz w:val="22"/>
          <w:szCs w:val="22"/>
          <w:u w:val="single"/>
        </w:rPr>
        <w:t xml:space="preserve">Laboratoriniai tyrimai </w:t>
      </w:r>
    </w:p>
    <w:p w14:paraId="02C70374" w14:textId="77777777" w:rsidR="008A305D" w:rsidRPr="00D92F6B" w:rsidRDefault="008A305D" w:rsidP="008A305D">
      <w:pPr>
        <w:rPr>
          <w:rFonts w:eastAsia="Calibri"/>
          <w:sz w:val="22"/>
          <w:szCs w:val="22"/>
        </w:rPr>
      </w:pPr>
      <w:r w:rsidRPr="00D92F6B">
        <w:rPr>
          <w:rFonts w:eastAsia="Calibri"/>
          <w:sz w:val="22"/>
          <w:szCs w:val="22"/>
        </w:rPr>
        <w:t xml:space="preserve">Gydant imatinibu, reikia reguliariai atlikti išsamų kraujo tyrimą. Kai yra LML, gydymas imatinibu yra susijęs su neutropenija ir trombocitopenija. Tačiau šios citopenijos gali priklausyti nuo gydomos ligos stadijos ir dažniau būna pacientams, kuriems yra LML akceleracijos fazė ar blastinė krizė, negu tiems, kuriems yra lėtinė LML fazė. Gydymas imatinibu gali būti pertrauktas arba gali būti sumažinta vaisto dozė kaip rekomenduojama 4.2 skyriuje. </w:t>
      </w:r>
    </w:p>
    <w:p w14:paraId="27DC36CF" w14:textId="77777777" w:rsidR="008A305D" w:rsidRPr="00D92F6B" w:rsidRDefault="008A305D" w:rsidP="008A305D">
      <w:pPr>
        <w:rPr>
          <w:rFonts w:eastAsia="Calibri"/>
          <w:sz w:val="22"/>
          <w:szCs w:val="22"/>
        </w:rPr>
      </w:pPr>
    </w:p>
    <w:p w14:paraId="462F697C" w14:textId="77777777" w:rsidR="008A305D" w:rsidRPr="00D92F6B" w:rsidRDefault="008A305D" w:rsidP="008A305D">
      <w:pPr>
        <w:rPr>
          <w:rFonts w:eastAsia="Calibri"/>
          <w:sz w:val="22"/>
          <w:szCs w:val="22"/>
        </w:rPr>
      </w:pPr>
      <w:r w:rsidRPr="00D92F6B">
        <w:rPr>
          <w:rFonts w:eastAsia="Calibri"/>
          <w:sz w:val="22"/>
          <w:szCs w:val="22"/>
        </w:rPr>
        <w:lastRenderedPageBreak/>
        <w:t xml:space="preserve">Būtina reguliariai tirti imatinibo vartojančių pacientų kepenų funkciją (transaminazių, šarminės fosfatazės aktyvumą, bilirubino koncentraciją). </w:t>
      </w:r>
    </w:p>
    <w:p w14:paraId="23EE9310" w14:textId="77777777" w:rsidR="008A305D" w:rsidRPr="00D92F6B" w:rsidRDefault="008A305D" w:rsidP="008A305D">
      <w:pPr>
        <w:rPr>
          <w:rFonts w:eastAsia="Calibri"/>
          <w:sz w:val="22"/>
          <w:szCs w:val="22"/>
        </w:rPr>
      </w:pPr>
    </w:p>
    <w:p w14:paraId="128C9E90" w14:textId="77777777" w:rsidR="008A305D" w:rsidRPr="00D92F6B" w:rsidRDefault="008A305D" w:rsidP="008A305D">
      <w:pPr>
        <w:rPr>
          <w:rFonts w:eastAsia="Calibri"/>
          <w:sz w:val="22"/>
          <w:szCs w:val="22"/>
        </w:rPr>
      </w:pPr>
      <w:r w:rsidRPr="00D92F6B">
        <w:rPr>
          <w:rFonts w:eastAsia="Calibri"/>
          <w:sz w:val="22"/>
          <w:szCs w:val="22"/>
        </w:rPr>
        <w:t xml:space="preserve">Atrodo, kad pacientų, kurių inkstų funkcija susilpnėjusi, imatinibo ekspozicija plazmoje yra didesnė nei pacientų, kurių inkstų funkcija normali. Tikriausiai tai lemia imatinibą surišančio baltymo alfarūgščiojo glikoproteino (AGP) kiekis plazmoje, kuris yra didesnis pacientams, kurių inkstų funkcija sutrikusi. Pacientams, sergantiems inkstų funkcijos nepakankamumu, turi būti skiriama mažiausia pradinė dozė. Pacientams su inkstų funkcijos nepakankamumu iš pradžių turi būti skiriama mažiausia dozė. Pacientus su sunkiu inkstų funkcijos nepakankamumu  reikia gydyti ypač atsargiai. Dozė gali būti mažinama, jei blogai toleruojama (žr. 4.2 ir 5.2 skyrius). </w:t>
      </w:r>
    </w:p>
    <w:p w14:paraId="37ABB44F" w14:textId="77777777" w:rsidR="008A305D" w:rsidRPr="00D92F6B" w:rsidRDefault="008A305D" w:rsidP="008A305D">
      <w:pPr>
        <w:rPr>
          <w:rFonts w:eastAsia="Calibri"/>
          <w:sz w:val="22"/>
          <w:szCs w:val="22"/>
        </w:rPr>
      </w:pPr>
    </w:p>
    <w:p w14:paraId="513104CD" w14:textId="77777777" w:rsidR="008A305D" w:rsidRPr="00D92F6B" w:rsidRDefault="008A305D" w:rsidP="008A305D">
      <w:pPr>
        <w:rPr>
          <w:rFonts w:eastAsia="Calibri"/>
          <w:sz w:val="22"/>
          <w:szCs w:val="22"/>
        </w:rPr>
      </w:pPr>
      <w:r w:rsidRPr="00D92F6B">
        <w:rPr>
          <w:rFonts w:eastAsia="Calibri"/>
          <w:sz w:val="22"/>
          <w:szCs w:val="22"/>
        </w:rPr>
        <w:t>Ilgalaikis gydymas imatinibu gali būti susijęs su kliniškai reikšmingai pablogėjusia inkstų funkcija. Prieš pradedant gydymą imatinibu, inkstų funkcija turi būti įvertinta ir atidžiai stebima gydymo metu, ypač tų pacientų, kuriems yra rizikos veiksnių dėl inkstų funkcijos sutrikimo. Jei nustatytas inkstų funkcijos sutrikimas, turi būti skiriamas reikiamas gydymas laikantis standartinių gydymo rekomendacijų.</w:t>
      </w:r>
    </w:p>
    <w:p w14:paraId="60921EF6" w14:textId="77777777" w:rsidR="008A305D" w:rsidRPr="00D92F6B" w:rsidRDefault="008A305D" w:rsidP="008A305D">
      <w:pPr>
        <w:rPr>
          <w:rFonts w:eastAsia="Calibri"/>
          <w:sz w:val="22"/>
          <w:szCs w:val="22"/>
        </w:rPr>
      </w:pPr>
    </w:p>
    <w:p w14:paraId="60BAB22F" w14:textId="77777777" w:rsidR="008A305D" w:rsidRPr="00D92F6B" w:rsidRDefault="008A305D" w:rsidP="008A305D">
      <w:pPr>
        <w:keepNext/>
        <w:rPr>
          <w:rFonts w:eastAsia="Calibri"/>
          <w:sz w:val="22"/>
          <w:szCs w:val="22"/>
          <w:u w:val="single"/>
        </w:rPr>
      </w:pPr>
      <w:r w:rsidRPr="00D92F6B">
        <w:rPr>
          <w:rFonts w:eastAsia="Calibri"/>
          <w:sz w:val="22"/>
          <w:szCs w:val="22"/>
          <w:u w:val="single"/>
        </w:rPr>
        <w:t xml:space="preserve">Vaikų populiacija </w:t>
      </w:r>
    </w:p>
    <w:p w14:paraId="7552A7B6" w14:textId="77777777" w:rsidR="008A305D" w:rsidRPr="00D92F6B" w:rsidRDefault="008A305D" w:rsidP="008A305D">
      <w:pPr>
        <w:rPr>
          <w:rFonts w:eastAsia="Calibri"/>
          <w:sz w:val="22"/>
          <w:szCs w:val="22"/>
        </w:rPr>
      </w:pPr>
      <w:r w:rsidRPr="00D92F6B">
        <w:rPr>
          <w:rFonts w:eastAsia="Calibri"/>
          <w:sz w:val="22"/>
          <w:szCs w:val="22"/>
        </w:rPr>
        <w:t xml:space="preserve">Gauta pranešimų apie mažiems ir vyresniems vaikams, vartojusiems imatinibą, augimo sulėtėjimą. Ilgalaikis poveikis vaikų augimui, ilgai gydant imatinibu, nežinomas. Todėl rekomenduojama atidžiai stebėti vaikų augimą gydant imatinibu (žr. 4.8 skyrių). </w:t>
      </w:r>
    </w:p>
    <w:p w14:paraId="7EF8EDDF" w14:textId="77777777" w:rsidR="008A305D" w:rsidRPr="00D92F6B" w:rsidRDefault="008A305D" w:rsidP="008A305D">
      <w:pPr>
        <w:rPr>
          <w:rFonts w:eastAsia="Calibri"/>
          <w:sz w:val="22"/>
          <w:szCs w:val="22"/>
        </w:rPr>
      </w:pPr>
    </w:p>
    <w:p w14:paraId="2ECA6E7C" w14:textId="77777777" w:rsidR="008A305D" w:rsidRPr="00D92F6B" w:rsidRDefault="008A305D" w:rsidP="008A305D">
      <w:pPr>
        <w:rPr>
          <w:rFonts w:eastAsia="Calibri"/>
          <w:sz w:val="22"/>
          <w:szCs w:val="22"/>
          <w:u w:val="single"/>
        </w:rPr>
      </w:pPr>
      <w:r w:rsidRPr="00D92F6B">
        <w:rPr>
          <w:rFonts w:eastAsia="Calibri"/>
          <w:sz w:val="22"/>
          <w:szCs w:val="22"/>
          <w:u w:val="single"/>
        </w:rPr>
        <w:t>Imatinib Actavis Group sudėtyje yra laktozės.</w:t>
      </w:r>
    </w:p>
    <w:p w14:paraId="26FD693C" w14:textId="77777777" w:rsidR="008A305D" w:rsidRPr="00D92F6B" w:rsidRDefault="008A305D" w:rsidP="008A305D">
      <w:pPr>
        <w:rPr>
          <w:rFonts w:eastAsia="Calibri"/>
          <w:sz w:val="22"/>
          <w:szCs w:val="22"/>
        </w:rPr>
      </w:pPr>
      <w:r w:rsidRPr="00D92F6B">
        <w:rPr>
          <w:rFonts w:eastAsia="Calibri"/>
          <w:sz w:val="22"/>
          <w:szCs w:val="22"/>
        </w:rPr>
        <w:t xml:space="preserve">Imatinib Actavis Group negalima skirti pacientams su retais paveldimais galaktozės toleravimo sutrikimais, </w:t>
      </w:r>
      <w:r w:rsidRPr="00D92F6B">
        <w:rPr>
          <w:rFonts w:eastAsia="Calibri"/>
          <w:i/>
          <w:sz w:val="22"/>
          <w:szCs w:val="22"/>
        </w:rPr>
        <w:t xml:space="preserve">Lapp </w:t>
      </w:r>
      <w:r w:rsidRPr="0045031A">
        <w:rPr>
          <w:rFonts w:eastAsia="Calibri"/>
          <w:sz w:val="22"/>
          <w:szCs w:val="22"/>
        </w:rPr>
        <w:t>laktazės</w:t>
      </w:r>
      <w:r w:rsidRPr="00D92F6B">
        <w:rPr>
          <w:rFonts w:eastAsia="Calibri"/>
          <w:sz w:val="22"/>
          <w:szCs w:val="22"/>
        </w:rPr>
        <w:t xml:space="preserve"> trūkumu ar gliukozės-galaktozės malabsorbcija.</w:t>
      </w:r>
    </w:p>
    <w:p w14:paraId="62BAE2A2" w14:textId="77777777" w:rsidR="008A305D" w:rsidRPr="00D92F6B" w:rsidRDefault="008A305D" w:rsidP="008A305D">
      <w:pPr>
        <w:rPr>
          <w:rFonts w:eastAsia="Calibri"/>
          <w:sz w:val="22"/>
          <w:szCs w:val="22"/>
        </w:rPr>
      </w:pPr>
    </w:p>
    <w:p w14:paraId="369557C3" w14:textId="77777777" w:rsidR="008A305D" w:rsidRPr="00D92F6B" w:rsidRDefault="008A305D" w:rsidP="008A305D">
      <w:pPr>
        <w:pStyle w:val="Sraopastraipa"/>
        <w:keepNext/>
        <w:numPr>
          <w:ilvl w:val="1"/>
          <w:numId w:val="5"/>
        </w:numPr>
        <w:ind w:left="567" w:hanging="567"/>
        <w:rPr>
          <w:rFonts w:eastAsia="Calibri"/>
          <w:b/>
          <w:bCs/>
          <w:sz w:val="22"/>
          <w:szCs w:val="22"/>
        </w:rPr>
      </w:pPr>
      <w:r w:rsidRPr="00D92F6B">
        <w:rPr>
          <w:rFonts w:eastAsia="Calibri"/>
          <w:b/>
          <w:bCs/>
          <w:sz w:val="22"/>
          <w:szCs w:val="22"/>
        </w:rPr>
        <w:t xml:space="preserve">Sąveika su kitais vaistiniais preparatais ir kitokia sąveika </w:t>
      </w:r>
    </w:p>
    <w:p w14:paraId="1A54B7CC" w14:textId="77777777" w:rsidR="008A305D" w:rsidRPr="00D92F6B" w:rsidRDefault="008A305D" w:rsidP="008A305D">
      <w:pPr>
        <w:rPr>
          <w:rFonts w:eastAsia="Calibri"/>
          <w:sz w:val="22"/>
          <w:szCs w:val="22"/>
        </w:rPr>
      </w:pPr>
    </w:p>
    <w:p w14:paraId="3F1BCC6D" w14:textId="77777777" w:rsidR="008A305D" w:rsidRPr="00D92F6B" w:rsidRDefault="008A305D" w:rsidP="008A305D">
      <w:pPr>
        <w:rPr>
          <w:rFonts w:eastAsia="Calibri"/>
          <w:sz w:val="22"/>
          <w:szCs w:val="22"/>
          <w:u w:val="single"/>
        </w:rPr>
      </w:pPr>
      <w:r w:rsidRPr="00D92F6B">
        <w:rPr>
          <w:rFonts w:eastAsia="Calibri"/>
          <w:sz w:val="22"/>
          <w:szCs w:val="22"/>
          <w:u w:val="single"/>
        </w:rPr>
        <w:t xml:space="preserve">Veikliosios medžiagos, kurios gali </w:t>
      </w:r>
      <w:r w:rsidRPr="00D92F6B">
        <w:rPr>
          <w:rFonts w:eastAsia="Calibri"/>
          <w:b/>
          <w:bCs/>
          <w:sz w:val="22"/>
          <w:szCs w:val="22"/>
          <w:u w:val="single"/>
        </w:rPr>
        <w:t xml:space="preserve">didinti </w:t>
      </w:r>
      <w:r w:rsidRPr="00D92F6B">
        <w:rPr>
          <w:rFonts w:eastAsia="Calibri"/>
          <w:sz w:val="22"/>
          <w:szCs w:val="22"/>
          <w:u w:val="single"/>
        </w:rPr>
        <w:t xml:space="preserve">imatinibo koncentraciją plazmoje: </w:t>
      </w:r>
    </w:p>
    <w:p w14:paraId="287E37BB" w14:textId="77777777" w:rsidR="008A305D" w:rsidRPr="00D92F6B" w:rsidRDefault="008A305D" w:rsidP="008A305D">
      <w:pPr>
        <w:rPr>
          <w:rFonts w:eastAsia="Calibri"/>
          <w:sz w:val="22"/>
          <w:szCs w:val="22"/>
        </w:rPr>
      </w:pPr>
      <w:r w:rsidRPr="00D92F6B">
        <w:rPr>
          <w:rFonts w:eastAsia="Calibri"/>
          <w:sz w:val="22"/>
          <w:szCs w:val="22"/>
        </w:rPr>
        <w:t>Medžiagos, kurios slopina citochromo P450 izofermento CYP3A4 aktyvumą (pvz., proteazės inhibitoriai kaip indinaviras, lopinaviras/ritonaviras, ritonaviras, sakvinaviras, telapreviras, nelfinaviras, bocepreviras; priešgrybeliniai azolo preparatai kaip ketokonazolas, itrakonazolas, posakonazolas, vorikonazolas; tam tikri makrolidai kaip eritromicinas, klaritromicinas ir telitromicinas), gali slopinti imatinibo metabolizmą ir padidinti jo koncentraciją. Nustatyta reikšmingai padidėjusi imatinibo ekspozicija (vidutinė imatinibo C</w:t>
      </w:r>
      <w:r w:rsidRPr="00D92F6B">
        <w:rPr>
          <w:rFonts w:eastAsia="Calibri"/>
          <w:sz w:val="22"/>
          <w:szCs w:val="22"/>
          <w:vertAlign w:val="subscript"/>
        </w:rPr>
        <w:t>max</w:t>
      </w:r>
      <w:r w:rsidRPr="00D92F6B">
        <w:rPr>
          <w:rFonts w:eastAsia="Calibri"/>
          <w:sz w:val="22"/>
          <w:szCs w:val="22"/>
        </w:rPr>
        <w:t xml:space="preserve"> ir AUC padidėjo atitinkamai 26 % ir 40 %) sveikiems savanoriams, kurie </w:t>
      </w:r>
      <w:r w:rsidRPr="00D92F6B">
        <w:rPr>
          <w:rFonts w:eastAsia="Calibri"/>
          <w:sz w:val="22"/>
          <w:szCs w:val="22"/>
        </w:rPr>
        <w:lastRenderedPageBreak/>
        <w:t xml:space="preserve">kartu vartojo vienkartinę ketokonazolio (CYP3A4 inhibitoriaus) dozę. Būtina laikytis atsargumo priemonių, kai imatinibo skiriama kartu su CYP3A4 šeimos inhibitoriais. </w:t>
      </w:r>
    </w:p>
    <w:p w14:paraId="0D2CDB60" w14:textId="77777777" w:rsidR="008A305D" w:rsidRPr="00D92F6B" w:rsidRDefault="008A305D" w:rsidP="008A305D">
      <w:pPr>
        <w:rPr>
          <w:rFonts w:eastAsia="Calibri"/>
          <w:sz w:val="22"/>
          <w:szCs w:val="22"/>
        </w:rPr>
      </w:pPr>
    </w:p>
    <w:p w14:paraId="0CE8AE92" w14:textId="77777777" w:rsidR="008A305D" w:rsidRPr="00D92F6B" w:rsidRDefault="008A305D" w:rsidP="008A305D">
      <w:pPr>
        <w:rPr>
          <w:rFonts w:eastAsia="Calibri"/>
          <w:sz w:val="22"/>
          <w:szCs w:val="22"/>
          <w:u w:val="single"/>
        </w:rPr>
      </w:pPr>
      <w:r w:rsidRPr="00D92F6B">
        <w:rPr>
          <w:rFonts w:eastAsia="Calibri"/>
          <w:sz w:val="22"/>
          <w:szCs w:val="22"/>
          <w:u w:val="single"/>
        </w:rPr>
        <w:t xml:space="preserve">Veikliosios medžiagos, kurios gali </w:t>
      </w:r>
      <w:r w:rsidRPr="00D92F6B">
        <w:rPr>
          <w:rFonts w:eastAsia="Calibri"/>
          <w:b/>
          <w:bCs/>
          <w:sz w:val="22"/>
          <w:szCs w:val="22"/>
          <w:u w:val="single"/>
        </w:rPr>
        <w:t xml:space="preserve">mažinti </w:t>
      </w:r>
      <w:r w:rsidRPr="00D92F6B">
        <w:rPr>
          <w:rFonts w:eastAsia="Calibri"/>
          <w:sz w:val="22"/>
          <w:szCs w:val="22"/>
          <w:u w:val="single"/>
        </w:rPr>
        <w:t xml:space="preserve">imatinibo koncentraciją plazmoje: </w:t>
      </w:r>
    </w:p>
    <w:p w14:paraId="557DCF76" w14:textId="77777777" w:rsidR="008A305D" w:rsidRPr="00D92F6B" w:rsidRDefault="008A305D" w:rsidP="008A305D">
      <w:pPr>
        <w:rPr>
          <w:rFonts w:eastAsia="Calibri"/>
          <w:sz w:val="22"/>
          <w:szCs w:val="22"/>
        </w:rPr>
      </w:pPr>
      <w:r w:rsidRPr="00D92F6B">
        <w:rPr>
          <w:rFonts w:eastAsia="Calibri"/>
          <w:sz w:val="22"/>
          <w:szCs w:val="22"/>
        </w:rPr>
        <w:t xml:space="preserve">Medžiagos, kurios indukuoja CYP3A4 aktyvumą (pvz., deksametazonas, fenitoinas, karbamazepinas, rifampicinas, fenobarbitalis, fosfenitoinas, primidonas ar </w:t>
      </w:r>
      <w:r w:rsidRPr="00D92F6B">
        <w:rPr>
          <w:rFonts w:eastAsia="Calibri"/>
          <w:i/>
          <w:iCs/>
          <w:sz w:val="22"/>
          <w:szCs w:val="22"/>
        </w:rPr>
        <w:t>Hypericum perforatum</w:t>
      </w:r>
      <w:r w:rsidRPr="00D92F6B">
        <w:rPr>
          <w:rFonts w:eastAsia="Calibri"/>
          <w:sz w:val="22"/>
          <w:szCs w:val="22"/>
        </w:rPr>
        <w:t>, t.y. jonažolė), gali reikšmingai sumažinti imatinibo ekspoziciją ir padidinti nesėkmingo gydymo tikimybę. Po iš pradžių skirto gydymo daugkartinėmis rifampicino 600 mg dozėmis, suvartojus vienkartinę 400 mg imatinibo dozę, imatinibo C</w:t>
      </w:r>
      <w:r w:rsidRPr="00D92F6B">
        <w:rPr>
          <w:rFonts w:eastAsia="Calibri"/>
          <w:sz w:val="22"/>
          <w:szCs w:val="22"/>
          <w:vertAlign w:val="subscript"/>
        </w:rPr>
        <w:t>max</w:t>
      </w:r>
      <w:r w:rsidRPr="00D92F6B">
        <w:rPr>
          <w:rFonts w:eastAsia="Calibri"/>
          <w:sz w:val="22"/>
          <w:szCs w:val="22"/>
        </w:rPr>
        <w:t xml:space="preserve"> ir AUC</w:t>
      </w:r>
      <w:r w:rsidRPr="00D92F6B">
        <w:rPr>
          <w:rFonts w:eastAsia="Calibri"/>
          <w:sz w:val="22"/>
          <w:szCs w:val="22"/>
          <w:vertAlign w:val="subscript"/>
        </w:rPr>
        <w:t>(0-∞)</w:t>
      </w:r>
      <w:r w:rsidRPr="00D92F6B">
        <w:rPr>
          <w:rFonts w:eastAsia="Calibri"/>
          <w:sz w:val="22"/>
          <w:szCs w:val="22"/>
        </w:rPr>
        <w:t xml:space="preserve"> sumažėjo atitinkamai 54 % ir 74 % lyginant su atitinkamais duomenimis be rifampicino vartojimo. Panašūs rezultatai pastebėti imatinibo skyrus piktybinėmis gliomomis sergantiems pacientams, vartojusiems fermentus indukuojančius vaistinius preparatus nuo epilepsijos (FIVNE), pavyzdžiui, karbamazepiną, oksakarbazepiną ir fenitoiną. Lyginant su FIVNE nevartojusiais pacientais, vartojant FIVNE, plotas po imatinibo koncentracijos plazmoje kreive AUC sumažėjo 73 %. Reikia vengti imatinibą vartoti kartu su rifampicinu ar kitais stipriais CYP3A4 induktoriais.</w:t>
      </w:r>
    </w:p>
    <w:p w14:paraId="568CB317" w14:textId="77777777" w:rsidR="008A305D" w:rsidRPr="00D92F6B" w:rsidRDefault="008A305D" w:rsidP="008A305D">
      <w:pPr>
        <w:rPr>
          <w:rFonts w:eastAsia="Calibri"/>
          <w:sz w:val="22"/>
          <w:szCs w:val="22"/>
        </w:rPr>
      </w:pPr>
    </w:p>
    <w:p w14:paraId="6EBF4F4C" w14:textId="77777777" w:rsidR="008A305D" w:rsidRPr="00D92F6B" w:rsidRDefault="008A305D" w:rsidP="008A305D">
      <w:pPr>
        <w:keepNext/>
        <w:rPr>
          <w:rFonts w:eastAsia="Calibri"/>
          <w:sz w:val="22"/>
          <w:szCs w:val="22"/>
          <w:u w:val="single"/>
        </w:rPr>
      </w:pPr>
      <w:r w:rsidRPr="00D92F6B">
        <w:rPr>
          <w:rFonts w:eastAsia="Calibri"/>
          <w:sz w:val="22"/>
          <w:szCs w:val="22"/>
          <w:u w:val="single"/>
        </w:rPr>
        <w:t xml:space="preserve">Veikliosios medžiagos, kurių koncentraciją plazmoje gali keisti imatinibas </w:t>
      </w:r>
    </w:p>
    <w:p w14:paraId="3C51FD90" w14:textId="77777777" w:rsidR="008A305D" w:rsidRPr="00D92F6B" w:rsidRDefault="008A305D" w:rsidP="008A305D">
      <w:pPr>
        <w:rPr>
          <w:rFonts w:eastAsia="Calibri"/>
          <w:sz w:val="22"/>
          <w:szCs w:val="22"/>
        </w:rPr>
      </w:pPr>
      <w:r w:rsidRPr="00D92F6B">
        <w:rPr>
          <w:rFonts w:eastAsia="Calibri"/>
          <w:sz w:val="22"/>
          <w:szCs w:val="22"/>
        </w:rPr>
        <w:t>Imatinibas padidina simvastatino (CYP3A4 substrato) C</w:t>
      </w:r>
      <w:r w:rsidRPr="00D92F6B">
        <w:rPr>
          <w:rFonts w:eastAsia="Calibri"/>
          <w:sz w:val="22"/>
          <w:szCs w:val="22"/>
          <w:vertAlign w:val="subscript"/>
        </w:rPr>
        <w:t>max</w:t>
      </w:r>
      <w:r w:rsidRPr="00D92F6B">
        <w:rPr>
          <w:rFonts w:eastAsia="Calibri"/>
          <w:sz w:val="22"/>
          <w:szCs w:val="22"/>
        </w:rPr>
        <w:t xml:space="preserve"> ir AUC atitinkamai 2 kartus ir 3,5 karto. Tai rodo, kad imatinibas slopina CYP3A4. Todėl būtina laikytis atsargumo priemonių, kai imatinibo vartojama kartu su CYP3A4 substratais, kurių yra siaura terapinė platuma (pvz., ciklosporinu, pimozidu, takrolimuzu, sirolimuzu, ergotaminu, diergotaminu, fentaniliu, alfentaniliu, terfenadinu, bortezomibu, docetakseliu ir kvinidinu). Imatinibas gali padidinti kitų CYP3A4 metabolizuojamų vaistų (pvz., triazolo grupės benzodiazepinų, dihidropiridino grupės kalcio kanalų blokatorių, tam tikrų HMG-KoA reduktazės inhibitorių, t.y. statinų, ir kt.) koncentraciją plazmoje. </w:t>
      </w:r>
    </w:p>
    <w:p w14:paraId="307946D2" w14:textId="77777777" w:rsidR="008A305D" w:rsidRPr="00D92F6B" w:rsidRDefault="008A305D" w:rsidP="008A305D">
      <w:pPr>
        <w:rPr>
          <w:rFonts w:eastAsia="Calibri"/>
          <w:sz w:val="22"/>
          <w:szCs w:val="22"/>
        </w:rPr>
      </w:pPr>
    </w:p>
    <w:p w14:paraId="379EA109" w14:textId="77777777" w:rsidR="008A305D" w:rsidRPr="00D92F6B" w:rsidRDefault="008A305D" w:rsidP="008A305D">
      <w:pPr>
        <w:rPr>
          <w:rFonts w:eastAsia="Calibri"/>
          <w:sz w:val="22"/>
          <w:szCs w:val="22"/>
        </w:rPr>
      </w:pPr>
      <w:r w:rsidRPr="00D92F6B">
        <w:rPr>
          <w:rFonts w:eastAsia="Calibri"/>
          <w:sz w:val="22"/>
          <w:szCs w:val="22"/>
        </w:rPr>
        <w:t xml:space="preserve">Dėl žinomos padidėjusios kraujavimo rizikos, pacientams, kuriuos reikia gydyti antikoaguliantais, vietoj kumarino darinių, tokių kaip varfarinas, reikia skirti mažos molekulinės masės ar standartinio heparino. </w:t>
      </w:r>
    </w:p>
    <w:p w14:paraId="5B949954" w14:textId="77777777" w:rsidR="008A305D" w:rsidRPr="00D92F6B" w:rsidRDefault="008A305D" w:rsidP="008A305D">
      <w:pPr>
        <w:rPr>
          <w:rFonts w:eastAsia="Calibri"/>
          <w:sz w:val="22"/>
          <w:szCs w:val="22"/>
        </w:rPr>
      </w:pPr>
    </w:p>
    <w:p w14:paraId="6ECB1B28" w14:textId="77777777" w:rsidR="008A305D" w:rsidRPr="00D92F6B" w:rsidRDefault="008A305D" w:rsidP="008A305D">
      <w:pPr>
        <w:rPr>
          <w:rFonts w:eastAsia="Calibri"/>
          <w:sz w:val="22"/>
          <w:szCs w:val="22"/>
        </w:rPr>
      </w:pPr>
      <w:r w:rsidRPr="00D92F6B">
        <w:rPr>
          <w:rFonts w:eastAsia="Calibri"/>
          <w:i/>
          <w:iCs/>
          <w:sz w:val="22"/>
          <w:szCs w:val="22"/>
        </w:rPr>
        <w:t xml:space="preserve">In vitro </w:t>
      </w:r>
      <w:r w:rsidRPr="00D92F6B">
        <w:rPr>
          <w:rFonts w:eastAsia="Calibri"/>
          <w:sz w:val="22"/>
          <w:szCs w:val="22"/>
        </w:rPr>
        <w:t>imatinibas slopina citochromo P450 izofermento CYP2D6 aktyvumą, kai jo koncentracija yra panaši į tą, kuri veikia CYP3A4 aktyvumą. Imatinibas, vartojant 400 mg dozę du kartus per parą, slopina metaprololio metabolizmą CYP2D6 fermentų sistemoje, kai metaprololio C</w:t>
      </w:r>
      <w:r w:rsidRPr="00D92F6B">
        <w:rPr>
          <w:rFonts w:eastAsia="Calibri"/>
          <w:sz w:val="22"/>
          <w:szCs w:val="22"/>
          <w:vertAlign w:val="subscript"/>
        </w:rPr>
        <w:t xml:space="preserve">max </w:t>
      </w:r>
      <w:r w:rsidRPr="00D92F6B">
        <w:rPr>
          <w:rFonts w:eastAsia="Calibri"/>
          <w:sz w:val="22"/>
          <w:szCs w:val="22"/>
        </w:rPr>
        <w:t xml:space="preserve">ir AUC padidėjo maždaug 23 % (90 % PI [1,16-1,30]). Kai imatinibas yra vartojamas kartu su CYP2D6 substratais, dozės koreguoti nereikėtų, tačiau būtina laikytis atsargumo priemonių, kai skiriami siauro terapinio intervalo CYP2D6 substratai, tokie kaip </w:t>
      </w:r>
      <w:r w:rsidRPr="00D92F6B">
        <w:rPr>
          <w:rFonts w:eastAsia="Calibri"/>
          <w:sz w:val="22"/>
          <w:szCs w:val="22"/>
        </w:rPr>
        <w:lastRenderedPageBreak/>
        <w:t xml:space="preserve">metoprololis. Metoprololiu gydomus pacientus reikia atidžiai stebėti. </w:t>
      </w:r>
    </w:p>
    <w:p w14:paraId="00DDC01A" w14:textId="77777777" w:rsidR="008A305D" w:rsidRPr="00D92F6B" w:rsidRDefault="008A305D" w:rsidP="008A305D">
      <w:pPr>
        <w:rPr>
          <w:rFonts w:eastAsia="Calibri"/>
          <w:sz w:val="22"/>
          <w:szCs w:val="22"/>
        </w:rPr>
      </w:pPr>
    </w:p>
    <w:p w14:paraId="561F4E94" w14:textId="77777777" w:rsidR="008A305D" w:rsidRPr="00D92F6B" w:rsidRDefault="008A305D" w:rsidP="008A305D">
      <w:pPr>
        <w:rPr>
          <w:rFonts w:eastAsia="Calibri"/>
          <w:sz w:val="22"/>
          <w:szCs w:val="22"/>
        </w:rPr>
      </w:pPr>
      <w:r w:rsidRPr="00D92F6B">
        <w:rPr>
          <w:rFonts w:eastAsia="Calibri"/>
          <w:i/>
          <w:iCs/>
          <w:sz w:val="22"/>
          <w:szCs w:val="22"/>
        </w:rPr>
        <w:t xml:space="preserve">In vitro </w:t>
      </w:r>
      <w:r w:rsidRPr="00D92F6B">
        <w:rPr>
          <w:rFonts w:eastAsia="Calibri"/>
          <w:sz w:val="22"/>
          <w:szCs w:val="22"/>
        </w:rPr>
        <w:t>imatinibas slopina paracetamolio O</w:t>
      </w:r>
      <w:r w:rsidRPr="00D92F6B">
        <w:rPr>
          <w:rFonts w:eastAsia="Calibri"/>
          <w:sz w:val="22"/>
          <w:szCs w:val="22"/>
        </w:rPr>
        <w:noBreakHyphen/>
        <w:t>gliukuroninimą, kai Ki vertė yra 58,5 mikromol/l. Po 400 mg imatinibo ir 1000 mg paracetamolio vartojimo</w:t>
      </w:r>
      <w:r w:rsidRPr="00D92F6B" w:rsidDel="00F30EAC">
        <w:rPr>
          <w:rFonts w:eastAsia="Calibri"/>
          <w:sz w:val="22"/>
          <w:szCs w:val="22"/>
        </w:rPr>
        <w:t xml:space="preserve"> </w:t>
      </w:r>
      <w:r w:rsidRPr="00D92F6B">
        <w:rPr>
          <w:rFonts w:eastAsia="Calibri"/>
          <w:i/>
          <w:iCs/>
          <w:sz w:val="22"/>
          <w:szCs w:val="22"/>
        </w:rPr>
        <w:t xml:space="preserve">in vivo </w:t>
      </w:r>
      <w:r w:rsidRPr="00D92F6B">
        <w:rPr>
          <w:rFonts w:eastAsia="Calibri"/>
          <w:sz w:val="22"/>
          <w:szCs w:val="22"/>
        </w:rPr>
        <w:t xml:space="preserve">tokio slopinimo nenustatyta. Dėl didesnių imatinibo ir paracetamolio dozių vartojimo tyrimų neatlikta. </w:t>
      </w:r>
    </w:p>
    <w:p w14:paraId="0A167942" w14:textId="77777777" w:rsidR="008A305D" w:rsidRPr="00D92F6B" w:rsidRDefault="008A305D" w:rsidP="008A305D">
      <w:pPr>
        <w:rPr>
          <w:rFonts w:eastAsia="Calibri"/>
          <w:sz w:val="22"/>
          <w:szCs w:val="22"/>
        </w:rPr>
      </w:pPr>
    </w:p>
    <w:p w14:paraId="1B3690BA" w14:textId="77777777" w:rsidR="008A305D" w:rsidRPr="00D92F6B" w:rsidRDefault="008A305D" w:rsidP="008A305D">
      <w:pPr>
        <w:rPr>
          <w:rFonts w:eastAsia="Calibri"/>
          <w:sz w:val="22"/>
          <w:szCs w:val="22"/>
        </w:rPr>
      </w:pPr>
      <w:r w:rsidRPr="00D92F6B">
        <w:rPr>
          <w:rFonts w:eastAsia="Calibri"/>
          <w:sz w:val="22"/>
          <w:szCs w:val="22"/>
        </w:rPr>
        <w:t xml:space="preserve">Todėl reikia atsargiai vartoti dideles imatinibo dozes kartu su paracetamoliu. </w:t>
      </w:r>
    </w:p>
    <w:p w14:paraId="175AE872" w14:textId="77777777" w:rsidR="008A305D" w:rsidRPr="00D92F6B" w:rsidRDefault="008A305D" w:rsidP="008A305D">
      <w:pPr>
        <w:rPr>
          <w:rFonts w:eastAsia="Calibri"/>
          <w:sz w:val="22"/>
          <w:szCs w:val="22"/>
        </w:rPr>
      </w:pPr>
    </w:p>
    <w:p w14:paraId="15940BB9" w14:textId="77777777" w:rsidR="008A305D" w:rsidRPr="00D92F6B" w:rsidRDefault="008A305D" w:rsidP="008A305D">
      <w:pPr>
        <w:rPr>
          <w:rFonts w:eastAsia="Calibri"/>
          <w:sz w:val="22"/>
          <w:szCs w:val="22"/>
        </w:rPr>
      </w:pPr>
      <w:r w:rsidRPr="00D92F6B">
        <w:rPr>
          <w:rFonts w:eastAsia="Calibri"/>
          <w:sz w:val="22"/>
          <w:szCs w:val="22"/>
        </w:rPr>
        <w:t xml:space="preserve">Pacientams, gydomiems levotiroksinu po skydliaukės pašalinimo ir kartu skiriant imatinibo, gali sumažėti levotiroksino kiekis plazmoje (žr. 4.4 skyrių), todėl rekomenduojamos atsargumo priemonės. Vis dėlto stebėtos sąveikos mechanizmas iki šiol nežinomas. </w:t>
      </w:r>
    </w:p>
    <w:p w14:paraId="6B92756C" w14:textId="77777777" w:rsidR="008A305D" w:rsidRPr="00D92F6B" w:rsidRDefault="008A305D" w:rsidP="008A305D">
      <w:pPr>
        <w:rPr>
          <w:rFonts w:eastAsia="Calibri"/>
          <w:sz w:val="22"/>
          <w:szCs w:val="22"/>
        </w:rPr>
      </w:pPr>
    </w:p>
    <w:p w14:paraId="6CAF996E" w14:textId="77777777" w:rsidR="008A305D" w:rsidRPr="00D92F6B" w:rsidRDefault="008A305D" w:rsidP="008A305D">
      <w:pPr>
        <w:rPr>
          <w:rFonts w:eastAsia="Calibri"/>
          <w:sz w:val="22"/>
          <w:szCs w:val="22"/>
        </w:rPr>
      </w:pPr>
      <w:r w:rsidRPr="00D92F6B">
        <w:rPr>
          <w:rFonts w:eastAsia="Calibri"/>
          <w:sz w:val="22"/>
          <w:szCs w:val="22"/>
        </w:rPr>
        <w:t xml:space="preserve">Yra klinikinės patirties kartu vartojant imatinibą ir chemoterapiją pacientų, sergančiųjų Ph+ ŪLL, tarpe (žr. 5.1 skyrių), bet vaisto-vaisto sąveikos tarp imatinibo ir chemoterapijos kontrolės nėra gerai aprašytos. Imatinibo sukeliamų nepageidaujamų reiškinių, pvz., hepatotoksiškumo, kaulų čiulpų supresijos arba kitų, gali daugėti ir pranešta, kad kartu vartojant L-asparaginazės, gali padidėti hepatotoksiškumas (žr. 4.8 skyrių). Todėl, kartu su imatinibu vartojant kitų vaistų, reikia specialių atsargumo priemonių. </w:t>
      </w:r>
    </w:p>
    <w:p w14:paraId="279E1210" w14:textId="77777777" w:rsidR="008A305D" w:rsidRPr="00D92F6B" w:rsidRDefault="008A305D" w:rsidP="008A305D">
      <w:pPr>
        <w:rPr>
          <w:rFonts w:eastAsia="Calibri"/>
          <w:sz w:val="22"/>
          <w:szCs w:val="22"/>
        </w:rPr>
      </w:pPr>
    </w:p>
    <w:p w14:paraId="7627C873" w14:textId="77777777" w:rsidR="008A305D" w:rsidRPr="00D92F6B" w:rsidRDefault="008A305D" w:rsidP="008A305D">
      <w:pPr>
        <w:pStyle w:val="Sraopastraipa"/>
        <w:numPr>
          <w:ilvl w:val="1"/>
          <w:numId w:val="5"/>
        </w:numPr>
        <w:ind w:left="567" w:hanging="567"/>
        <w:rPr>
          <w:rFonts w:eastAsia="Calibri"/>
          <w:b/>
          <w:sz w:val="22"/>
          <w:szCs w:val="22"/>
        </w:rPr>
      </w:pPr>
      <w:r w:rsidRPr="00D92F6B">
        <w:rPr>
          <w:rFonts w:eastAsia="Calibri"/>
          <w:b/>
          <w:sz w:val="22"/>
          <w:szCs w:val="22"/>
        </w:rPr>
        <w:t xml:space="preserve">Vaisingumas, nėštumo ir žindymo laikotarpis </w:t>
      </w:r>
    </w:p>
    <w:p w14:paraId="6F41DF68" w14:textId="77777777" w:rsidR="008A305D" w:rsidRPr="00D92F6B" w:rsidRDefault="008A305D" w:rsidP="008A305D">
      <w:pPr>
        <w:rPr>
          <w:rFonts w:eastAsia="Calibri"/>
          <w:sz w:val="22"/>
          <w:szCs w:val="22"/>
        </w:rPr>
      </w:pPr>
    </w:p>
    <w:p w14:paraId="4D248DBE" w14:textId="77777777" w:rsidR="008A305D" w:rsidRPr="00D92F6B" w:rsidRDefault="008A305D" w:rsidP="008A305D">
      <w:pPr>
        <w:autoSpaceDE w:val="0"/>
        <w:autoSpaceDN w:val="0"/>
        <w:adjustRightInd w:val="0"/>
        <w:rPr>
          <w:rFonts w:eastAsia="Calibri"/>
          <w:color w:val="000000"/>
          <w:sz w:val="22"/>
          <w:szCs w:val="22"/>
          <w:u w:val="single"/>
        </w:rPr>
      </w:pPr>
      <w:r w:rsidRPr="00D92F6B">
        <w:rPr>
          <w:rFonts w:eastAsia="Calibri"/>
          <w:color w:val="000000"/>
          <w:sz w:val="22"/>
          <w:szCs w:val="22"/>
          <w:u w:val="single"/>
        </w:rPr>
        <w:t xml:space="preserve">Vaisingo amžiaus moterys </w:t>
      </w:r>
    </w:p>
    <w:p w14:paraId="0E5EA0B2" w14:textId="77777777" w:rsidR="008A305D" w:rsidRPr="00D92F6B" w:rsidRDefault="008A305D" w:rsidP="008A305D">
      <w:pPr>
        <w:rPr>
          <w:rFonts w:eastAsia="Calibri"/>
          <w:sz w:val="22"/>
          <w:szCs w:val="22"/>
        </w:rPr>
      </w:pPr>
      <w:r w:rsidRPr="00D92F6B">
        <w:rPr>
          <w:rFonts w:eastAsia="Calibri"/>
          <w:color w:val="000000"/>
          <w:sz w:val="22"/>
          <w:szCs w:val="22"/>
        </w:rPr>
        <w:t>Vaisingo amžiaus moterims reikia patarti, kad gydymo metu jos turi naudoti veiksmingą kontracepcijos metodą.</w:t>
      </w:r>
    </w:p>
    <w:p w14:paraId="5F478B01" w14:textId="77777777" w:rsidR="008A305D" w:rsidRPr="00D92F6B" w:rsidRDefault="008A305D" w:rsidP="008A305D">
      <w:pPr>
        <w:rPr>
          <w:rFonts w:eastAsia="Calibri"/>
          <w:sz w:val="22"/>
          <w:szCs w:val="22"/>
        </w:rPr>
      </w:pPr>
    </w:p>
    <w:p w14:paraId="56AC83FF" w14:textId="77777777" w:rsidR="008A305D" w:rsidRPr="00D92F6B" w:rsidRDefault="008A305D" w:rsidP="008A305D">
      <w:pPr>
        <w:rPr>
          <w:rFonts w:eastAsia="Calibri"/>
          <w:sz w:val="22"/>
          <w:szCs w:val="22"/>
          <w:u w:val="single"/>
        </w:rPr>
      </w:pPr>
      <w:r w:rsidRPr="00D92F6B">
        <w:rPr>
          <w:rFonts w:eastAsia="Calibri"/>
          <w:sz w:val="22"/>
          <w:szCs w:val="22"/>
          <w:u w:val="single"/>
        </w:rPr>
        <w:t xml:space="preserve">Nėštumas </w:t>
      </w:r>
    </w:p>
    <w:p w14:paraId="3350B749" w14:textId="77777777" w:rsidR="008A305D" w:rsidRPr="00D92F6B" w:rsidRDefault="008A305D" w:rsidP="008A305D">
      <w:pPr>
        <w:rPr>
          <w:rFonts w:eastAsia="Calibri"/>
          <w:sz w:val="22"/>
          <w:szCs w:val="22"/>
        </w:rPr>
      </w:pPr>
      <w:r w:rsidRPr="00D92F6B">
        <w:rPr>
          <w:rFonts w:eastAsia="Calibri"/>
          <w:sz w:val="22"/>
          <w:szCs w:val="22"/>
        </w:rPr>
        <w:t xml:space="preserve">Duomenų apie imatinibo vartojimą nėštumo metu nepakanka. Tačiau su gyvūnais atlikti tyrimai parodė toksinį poveikį reprodukcijai (žr. 5.3 skyrių), todėl galimas pavojus vaisiui nežinomas. Imatinibo nėštumo metu vartoti negalima, išskyrus neabejotinai būtinus atvejus. Nėščiąją, kuriai skiriama vaisto, reikia informuoti apie galimą riziką vaisiui. </w:t>
      </w:r>
    </w:p>
    <w:p w14:paraId="3A9449B4" w14:textId="77777777" w:rsidR="008A305D" w:rsidRPr="00D92F6B" w:rsidRDefault="008A305D" w:rsidP="008A305D">
      <w:pPr>
        <w:rPr>
          <w:sz w:val="22"/>
          <w:szCs w:val="22"/>
        </w:rPr>
      </w:pPr>
    </w:p>
    <w:p w14:paraId="65DC6497" w14:textId="77777777" w:rsidR="008A305D" w:rsidRPr="00D92F6B" w:rsidRDefault="008A305D" w:rsidP="008A305D">
      <w:pPr>
        <w:rPr>
          <w:rFonts w:eastAsia="Calibri"/>
          <w:sz w:val="22"/>
          <w:szCs w:val="22"/>
          <w:u w:val="single"/>
        </w:rPr>
      </w:pPr>
      <w:r w:rsidRPr="00D92F6B">
        <w:rPr>
          <w:rFonts w:eastAsia="Calibri"/>
          <w:sz w:val="22"/>
          <w:szCs w:val="22"/>
          <w:u w:val="single"/>
        </w:rPr>
        <w:t xml:space="preserve">Žindymas </w:t>
      </w:r>
    </w:p>
    <w:p w14:paraId="530BEBC4" w14:textId="77777777" w:rsidR="008A305D" w:rsidRPr="00D92F6B" w:rsidRDefault="008A305D" w:rsidP="008A305D">
      <w:pPr>
        <w:rPr>
          <w:rFonts w:eastAsia="Calibri"/>
          <w:sz w:val="22"/>
          <w:szCs w:val="22"/>
        </w:rPr>
      </w:pPr>
      <w:r w:rsidRPr="00D92F6B">
        <w:rPr>
          <w:rFonts w:eastAsia="Calibri"/>
          <w:sz w:val="22"/>
          <w:szCs w:val="22"/>
        </w:rPr>
        <w:t xml:space="preserve">Yra mažai duomenų apie imatinibo išsiskyrimą į motinos pieną. Abi žindančių moterų studijos parodė, kad tiek imatinibo, tiek jo aktyvaus metabolito gali išsiskirti į žindyvės pieną. Nustatyta, kad imatinibo ir jo metabolito koncentracijų piene ir kraujo plazmoje santykis, vienai pacientei tenka, atitinkamai, 0,5 ir 0,9; tai rodo, kad į pieną daugiau išsiskiria vaisto metabolito. Atsižvelgiant į suminę imatinibo ir jo metabolito koncentraciją bei didžiausią kūdikio suvartojamą pieno kiekį per parą, tikėtina, kad bendroji ekspozicija galėtų būti nedidelė (~10 % terapinės dozės). Tačiau, kadangi nedidelės </w:t>
      </w:r>
      <w:r w:rsidRPr="00D92F6B">
        <w:rPr>
          <w:rFonts w:eastAsia="Calibri"/>
          <w:sz w:val="22"/>
          <w:szCs w:val="22"/>
        </w:rPr>
        <w:lastRenderedPageBreak/>
        <w:t xml:space="preserve">imatinibo dozės poveikis kūdikiui nežinomas, imatinibo vartojančioms moterims žindyti negalima. </w:t>
      </w:r>
    </w:p>
    <w:p w14:paraId="0B60A229" w14:textId="77777777" w:rsidR="008A305D" w:rsidRPr="00D92F6B" w:rsidRDefault="008A305D" w:rsidP="008A305D">
      <w:pPr>
        <w:rPr>
          <w:rFonts w:eastAsia="Calibri"/>
          <w:sz w:val="22"/>
          <w:szCs w:val="22"/>
        </w:rPr>
      </w:pPr>
    </w:p>
    <w:p w14:paraId="1539BE36" w14:textId="77777777" w:rsidR="008A305D" w:rsidRPr="00D92F6B" w:rsidRDefault="008A305D" w:rsidP="008A305D">
      <w:pPr>
        <w:rPr>
          <w:rFonts w:eastAsia="Calibri"/>
          <w:sz w:val="22"/>
          <w:szCs w:val="22"/>
          <w:u w:val="single"/>
        </w:rPr>
      </w:pPr>
      <w:r w:rsidRPr="00D92F6B">
        <w:rPr>
          <w:rFonts w:eastAsia="Calibri"/>
          <w:sz w:val="22"/>
          <w:szCs w:val="22"/>
          <w:u w:val="single"/>
        </w:rPr>
        <w:t xml:space="preserve">Vaisingumas </w:t>
      </w:r>
    </w:p>
    <w:p w14:paraId="6342E3C0" w14:textId="77777777" w:rsidR="008A305D" w:rsidRPr="00D92F6B" w:rsidRDefault="008A305D" w:rsidP="008A305D">
      <w:pPr>
        <w:rPr>
          <w:rFonts w:eastAsia="Calibri"/>
          <w:sz w:val="22"/>
          <w:szCs w:val="22"/>
        </w:rPr>
      </w:pPr>
      <w:r w:rsidRPr="00D92F6B">
        <w:rPr>
          <w:rFonts w:eastAsia="Calibri"/>
          <w:sz w:val="22"/>
          <w:szCs w:val="22"/>
        </w:rPr>
        <w:t xml:space="preserve">Ikiklinikinių tyrimų metu, žiurkių patinų ir patelių vaisingumas nepakito (žr. 5.3 skyrių). Nebuvo atlikta tyrimų, imatinibo skiriant pacientams, taigi vaisto poveikis vaisingumui ir gametogenezei nebuvo ištirtas. Dėl gydymo imatinibu poveikio vaisingumui, pacientams reikia pasitarti su gydytoju. </w:t>
      </w:r>
    </w:p>
    <w:p w14:paraId="18281731" w14:textId="77777777" w:rsidR="008A305D" w:rsidRPr="00D92F6B" w:rsidRDefault="008A305D" w:rsidP="008A305D">
      <w:pPr>
        <w:rPr>
          <w:rFonts w:eastAsia="Calibri"/>
          <w:sz w:val="22"/>
          <w:szCs w:val="22"/>
        </w:rPr>
      </w:pPr>
    </w:p>
    <w:p w14:paraId="550E6F7E" w14:textId="77777777" w:rsidR="008A305D" w:rsidRPr="00D92F6B" w:rsidRDefault="008A305D" w:rsidP="008A305D">
      <w:pPr>
        <w:pStyle w:val="Sraopastraipa"/>
        <w:keepNext/>
        <w:numPr>
          <w:ilvl w:val="1"/>
          <w:numId w:val="5"/>
        </w:numPr>
        <w:ind w:left="567" w:hanging="567"/>
        <w:rPr>
          <w:rFonts w:eastAsia="Calibri"/>
          <w:b/>
          <w:sz w:val="22"/>
          <w:szCs w:val="22"/>
        </w:rPr>
      </w:pPr>
      <w:r w:rsidRPr="00D92F6B">
        <w:rPr>
          <w:rFonts w:eastAsia="Calibri"/>
          <w:b/>
          <w:bCs/>
          <w:sz w:val="22"/>
          <w:szCs w:val="22"/>
        </w:rPr>
        <w:t xml:space="preserve">Poveikis gebėjimui vairuoti ir valdyti mechanizmus </w:t>
      </w:r>
    </w:p>
    <w:p w14:paraId="25D8138F" w14:textId="77777777" w:rsidR="008A305D" w:rsidRPr="00D92F6B" w:rsidRDefault="008A305D" w:rsidP="008A305D">
      <w:pPr>
        <w:rPr>
          <w:rFonts w:eastAsia="Calibri"/>
          <w:b/>
          <w:sz w:val="22"/>
          <w:szCs w:val="22"/>
        </w:rPr>
      </w:pPr>
    </w:p>
    <w:p w14:paraId="6D73262B" w14:textId="77777777" w:rsidR="008A305D" w:rsidRPr="00D92F6B" w:rsidRDefault="008A305D" w:rsidP="008A305D">
      <w:pPr>
        <w:rPr>
          <w:rFonts w:eastAsia="Calibri"/>
          <w:sz w:val="22"/>
          <w:szCs w:val="22"/>
        </w:rPr>
      </w:pPr>
      <w:r w:rsidRPr="00D92F6B">
        <w:rPr>
          <w:rFonts w:eastAsia="Calibri"/>
          <w:sz w:val="22"/>
          <w:szCs w:val="22"/>
        </w:rPr>
        <w:t xml:space="preserve">Pacientams reikia nurodyti, kad vartojant imatinibą gali būti nepageidaujamų reiškinių, pvz., svaigulys, neryškus matymas ar mieguistumas. Todėl vairuojant ar valdant mechanizmus būtina laikytis atsargumo priemonių. </w:t>
      </w:r>
    </w:p>
    <w:p w14:paraId="758C3BED" w14:textId="77777777" w:rsidR="008A305D" w:rsidRPr="00D92F6B" w:rsidRDefault="008A305D" w:rsidP="008A305D">
      <w:pPr>
        <w:rPr>
          <w:rFonts w:eastAsia="Calibri"/>
          <w:sz w:val="22"/>
          <w:szCs w:val="22"/>
        </w:rPr>
      </w:pPr>
    </w:p>
    <w:p w14:paraId="1FE3DA20" w14:textId="77777777" w:rsidR="008A305D" w:rsidRPr="00D92F6B" w:rsidRDefault="008A305D" w:rsidP="008A305D">
      <w:pPr>
        <w:pStyle w:val="Sraopastraipa"/>
        <w:keepNext/>
        <w:numPr>
          <w:ilvl w:val="1"/>
          <w:numId w:val="5"/>
        </w:numPr>
        <w:ind w:left="567" w:hanging="567"/>
        <w:rPr>
          <w:rFonts w:eastAsia="Calibri"/>
          <w:b/>
          <w:sz w:val="22"/>
          <w:szCs w:val="22"/>
        </w:rPr>
      </w:pPr>
      <w:r w:rsidRPr="00D92F6B">
        <w:rPr>
          <w:rFonts w:eastAsia="Calibri"/>
          <w:b/>
          <w:bCs/>
          <w:sz w:val="22"/>
          <w:szCs w:val="22"/>
        </w:rPr>
        <w:t xml:space="preserve">Nepageidaujamas poveikis </w:t>
      </w:r>
    </w:p>
    <w:p w14:paraId="0333CE2D" w14:textId="77777777" w:rsidR="008A305D" w:rsidRPr="00D92F6B" w:rsidRDefault="008A305D" w:rsidP="008A305D">
      <w:pPr>
        <w:keepNext/>
        <w:rPr>
          <w:rFonts w:eastAsia="Calibri"/>
          <w:sz w:val="22"/>
          <w:szCs w:val="22"/>
        </w:rPr>
      </w:pPr>
    </w:p>
    <w:p w14:paraId="757951F0" w14:textId="77777777" w:rsidR="008A305D" w:rsidRPr="00D92F6B" w:rsidRDefault="008A305D" w:rsidP="008A305D">
      <w:pPr>
        <w:keepNext/>
        <w:rPr>
          <w:rFonts w:eastAsia="Calibri"/>
          <w:sz w:val="22"/>
          <w:szCs w:val="22"/>
          <w:u w:val="single"/>
        </w:rPr>
      </w:pPr>
      <w:r w:rsidRPr="00D92F6B">
        <w:rPr>
          <w:rFonts w:eastAsia="Calibri"/>
          <w:sz w:val="22"/>
          <w:szCs w:val="22"/>
          <w:u w:val="single"/>
        </w:rPr>
        <w:t>Saugumo duomenų santrauka</w:t>
      </w:r>
    </w:p>
    <w:p w14:paraId="4A4949DE" w14:textId="77777777" w:rsidR="008A305D" w:rsidRPr="00D92F6B" w:rsidRDefault="008A305D" w:rsidP="008A305D">
      <w:pPr>
        <w:rPr>
          <w:rFonts w:eastAsia="Calibri"/>
          <w:sz w:val="22"/>
          <w:szCs w:val="22"/>
        </w:rPr>
      </w:pPr>
      <w:r w:rsidRPr="00D92F6B">
        <w:rPr>
          <w:rFonts w:eastAsia="Calibri"/>
          <w:sz w:val="22"/>
          <w:szCs w:val="22"/>
        </w:rPr>
        <w:t xml:space="preserve">Pacientams, sergantiems piktybiniais navikais, gali būti kitų sveikatos būklių, dėl kurių sunkiau nustatyti nepageidaujamų reiškinių priežastis dėl įvairių simptomų, susijusių su esančia liga, jos progresavimu ir dėl kitų kartu vartojamų vaistinių preparatų. </w:t>
      </w:r>
    </w:p>
    <w:p w14:paraId="78A3A6C8" w14:textId="77777777" w:rsidR="008A305D" w:rsidRPr="00D92F6B" w:rsidRDefault="008A305D" w:rsidP="008A305D">
      <w:pPr>
        <w:rPr>
          <w:rFonts w:eastAsia="Calibri"/>
          <w:sz w:val="22"/>
          <w:szCs w:val="22"/>
        </w:rPr>
      </w:pPr>
    </w:p>
    <w:p w14:paraId="39423E64" w14:textId="77777777" w:rsidR="008A305D" w:rsidRPr="00D92F6B" w:rsidRDefault="008A305D" w:rsidP="008A305D">
      <w:pPr>
        <w:rPr>
          <w:rFonts w:eastAsia="Calibri"/>
          <w:sz w:val="22"/>
          <w:szCs w:val="22"/>
        </w:rPr>
      </w:pPr>
      <w:r w:rsidRPr="00D92F6B">
        <w:rPr>
          <w:rFonts w:eastAsia="Calibri"/>
          <w:sz w:val="22"/>
          <w:szCs w:val="22"/>
        </w:rPr>
        <w:t xml:space="preserve">Klinikinių LML tyrimų metu dėl nepageidaujamų su vaistu susijusių reakcijų vaisto vartojimą teko nutraukti 2,4 % pacientų, kuriems buvo naujai diagnozuota liga, 4 % pacientų, kuriems buvo vėlyvoji lėtinė ligos fazė po nesėkmingo gydymo interferonu, 4 % – kuriems buvo akceleracijos fazė po nesėkmingo gydymo interferonu ir 5 % – kuriems buvo blastinė krizė po nesėkmingo gydymo interferonu. </w:t>
      </w:r>
      <w:r>
        <w:rPr>
          <w:rFonts w:eastAsia="Calibri"/>
          <w:sz w:val="22"/>
          <w:szCs w:val="22"/>
        </w:rPr>
        <w:t>GIST</w:t>
      </w:r>
      <w:r w:rsidRPr="00D92F6B">
        <w:rPr>
          <w:rFonts w:eastAsia="Calibri"/>
          <w:sz w:val="22"/>
          <w:szCs w:val="22"/>
        </w:rPr>
        <w:t xml:space="preserve"> tyrimų metu dėl vaisto sukeltų nepageidaujamų reakcijų vaistą teko nutraukti 4 % pacientų. </w:t>
      </w:r>
    </w:p>
    <w:p w14:paraId="3D606635" w14:textId="77777777" w:rsidR="008A305D" w:rsidRPr="00D92F6B" w:rsidRDefault="008A305D" w:rsidP="008A305D">
      <w:pPr>
        <w:rPr>
          <w:rFonts w:eastAsia="Calibri"/>
          <w:sz w:val="22"/>
          <w:szCs w:val="22"/>
        </w:rPr>
      </w:pPr>
    </w:p>
    <w:p w14:paraId="363DDDF7" w14:textId="77777777" w:rsidR="008A305D" w:rsidRPr="00D92F6B" w:rsidRDefault="008A305D" w:rsidP="008A305D">
      <w:pPr>
        <w:rPr>
          <w:rFonts w:eastAsia="Calibri"/>
          <w:sz w:val="22"/>
          <w:szCs w:val="22"/>
        </w:rPr>
      </w:pPr>
      <w:r w:rsidRPr="00D92F6B">
        <w:rPr>
          <w:rFonts w:eastAsia="Calibri"/>
          <w:sz w:val="22"/>
          <w:szCs w:val="22"/>
        </w:rPr>
        <w:t xml:space="preserve">Visomis minėtomis ligomis sergantiems pacientams nepageidaujamos reakcijos buvo panašios, išskyrus dvi išimtis. Sergant LML, dažniau stebėta mielosupresija, galinti priklausyti nuo esančios ligos. Klinikinio tyrimo duomenimis, iš jame dalyvavusių pacientų, kuriems buvo nerezekuotinas ir (ar) metastazavęs </w:t>
      </w:r>
      <w:r>
        <w:rPr>
          <w:rFonts w:eastAsia="Calibri"/>
          <w:sz w:val="22"/>
          <w:szCs w:val="22"/>
        </w:rPr>
        <w:t>GIST</w:t>
      </w:r>
      <w:r w:rsidRPr="00D92F6B">
        <w:rPr>
          <w:rFonts w:eastAsia="Calibri"/>
          <w:sz w:val="22"/>
          <w:szCs w:val="22"/>
        </w:rPr>
        <w:t xml:space="preserve">, </w:t>
      </w:r>
      <w:r w:rsidRPr="0045031A">
        <w:rPr>
          <w:sz w:val="22"/>
          <w:szCs w:val="22"/>
        </w:rPr>
        <w:t>7 </w:t>
      </w:r>
      <w:r w:rsidRPr="00D92F6B">
        <w:rPr>
          <w:rFonts w:eastAsia="Calibri"/>
          <w:sz w:val="22"/>
          <w:szCs w:val="22"/>
        </w:rPr>
        <w:t xml:space="preserve">(5 %) pacientams buvo CTC ¾ laipsnio kraujavimas iš virškinimo trakto (3 pacientams), vidunavikinis kraujavimas (3 pacientams) ar abu požymiai (1 pacientui). Virškinimo trakte gali kraujuoti iš naviko (žr. 4.4 skyrių). Retkarčiais kraujavimas iš virškinimo trakto ar naviko gali būti mirtinas. Dažniausi </w:t>
      </w:r>
      <w:r w:rsidRPr="0045031A">
        <w:rPr>
          <w:sz w:val="22"/>
          <w:szCs w:val="22"/>
        </w:rPr>
        <w:t xml:space="preserve">(≥ 10%) </w:t>
      </w:r>
      <w:r w:rsidRPr="00D92F6B">
        <w:rPr>
          <w:rFonts w:eastAsia="Calibri"/>
          <w:sz w:val="22"/>
          <w:szCs w:val="22"/>
        </w:rPr>
        <w:t xml:space="preserve">su vaistu susiję nepageidaujami reiškiniai abiem ligomis sergantiems pacientams buvo nestiprus pykinimas, vėmimas, viduriavimas, pilvo skausmas, nuovargis, mialgija, raumenų mėšlungis ir bėrimas. Visų tyrimų metu dažnai stebėta paviršinių edemų, dažniausiai – apie akis </w:t>
      </w:r>
      <w:r w:rsidRPr="00D92F6B">
        <w:rPr>
          <w:rFonts w:eastAsia="Calibri"/>
          <w:sz w:val="22"/>
          <w:szCs w:val="22"/>
        </w:rPr>
        <w:lastRenderedPageBreak/>
        <w:t xml:space="preserve">ar kojų. Tačiau retai šios edemos būna sunkios, jas galima koreguoti diuretikais, kitomis pagalbinėmis priemonėmis ar sumažinus imatinibo dozę. </w:t>
      </w:r>
    </w:p>
    <w:p w14:paraId="7E7916FB" w14:textId="77777777" w:rsidR="008A305D" w:rsidRPr="00D92F6B" w:rsidRDefault="008A305D" w:rsidP="008A305D">
      <w:pPr>
        <w:rPr>
          <w:rFonts w:eastAsia="Calibri"/>
          <w:sz w:val="22"/>
          <w:szCs w:val="22"/>
        </w:rPr>
      </w:pPr>
    </w:p>
    <w:p w14:paraId="06739B9D" w14:textId="77777777" w:rsidR="008A305D" w:rsidRPr="00D92F6B" w:rsidRDefault="008A305D" w:rsidP="008A305D">
      <w:pPr>
        <w:rPr>
          <w:rFonts w:eastAsia="Calibri"/>
          <w:sz w:val="22"/>
          <w:szCs w:val="22"/>
        </w:rPr>
      </w:pPr>
      <w:r w:rsidRPr="00D92F6B">
        <w:rPr>
          <w:rFonts w:eastAsia="Calibri"/>
          <w:sz w:val="22"/>
          <w:szCs w:val="22"/>
        </w:rPr>
        <w:t xml:space="preserve">Ph+ ŪLL sergantiems pacientams, vartojusiems imatinibą kartu su didelėmis chemoterapinių preparatų dozėmis, stebėtas laikinas toksinis poveikis kepenims, pasireiškęs transaminazių aktyvumo padidėjimu ir hiperbilirubinemija. </w:t>
      </w:r>
    </w:p>
    <w:p w14:paraId="1C259640" w14:textId="77777777" w:rsidR="008A305D" w:rsidRPr="00D92F6B" w:rsidRDefault="008A305D" w:rsidP="008A305D">
      <w:pPr>
        <w:rPr>
          <w:rFonts w:eastAsia="Calibri"/>
          <w:sz w:val="22"/>
          <w:szCs w:val="22"/>
        </w:rPr>
      </w:pPr>
    </w:p>
    <w:p w14:paraId="6901E246" w14:textId="77777777" w:rsidR="008A305D" w:rsidRPr="00D92F6B" w:rsidRDefault="008A305D" w:rsidP="008A305D">
      <w:pPr>
        <w:rPr>
          <w:rFonts w:eastAsia="Calibri"/>
          <w:sz w:val="22"/>
          <w:szCs w:val="22"/>
        </w:rPr>
      </w:pPr>
      <w:r w:rsidRPr="00D92F6B">
        <w:rPr>
          <w:rFonts w:eastAsia="Calibri"/>
          <w:sz w:val="22"/>
          <w:szCs w:val="22"/>
        </w:rPr>
        <w:t>Įvairios nepageidaujamos reakcijos, pvz., skystis pleuros ertmėje, ascitas, plaučių edema ar greitai didėjantis kūno svoris su paviršine edema ar be jos, gali būti bendrai vadinamos “skysčių susilaikymu”. Šias reakcijas galima gydyti laikinai nutraukiant imatinibo vartojimą ir diuretikais, ir kitomis tinkamomis pagalbos priemonėmis. Tačiau kai kurie šių reiškinių gali būti sunkūs ir grėsti gyvybei. Keli pacientai, kuriems buvo blastinė krizė, mirė. Jų ligos istorija buvo sudėtinė: skystis pleuros ertmėje, stazinis širdies nepakankamumas ir inkstų nepakankamumas. Vaikų klinikinių tyrimų metu ypatingų saugumo reiškinių nenustatyta.</w:t>
      </w:r>
    </w:p>
    <w:p w14:paraId="08528D25" w14:textId="77777777" w:rsidR="008A305D" w:rsidRPr="00D92F6B" w:rsidRDefault="008A305D" w:rsidP="008A305D">
      <w:pPr>
        <w:rPr>
          <w:rFonts w:eastAsia="Calibri"/>
          <w:sz w:val="22"/>
          <w:szCs w:val="22"/>
        </w:rPr>
      </w:pPr>
    </w:p>
    <w:p w14:paraId="61FD85A1" w14:textId="77777777" w:rsidR="008A305D" w:rsidRPr="00D92F6B" w:rsidRDefault="008A305D" w:rsidP="008A305D">
      <w:pPr>
        <w:keepNext/>
        <w:autoSpaceDE w:val="0"/>
        <w:autoSpaceDN w:val="0"/>
        <w:adjustRightInd w:val="0"/>
        <w:rPr>
          <w:rFonts w:eastAsia="Calibri"/>
          <w:color w:val="000000"/>
          <w:sz w:val="22"/>
          <w:szCs w:val="22"/>
          <w:u w:val="single"/>
        </w:rPr>
      </w:pPr>
      <w:r w:rsidRPr="00D92F6B">
        <w:rPr>
          <w:rFonts w:eastAsia="Calibri"/>
          <w:bCs/>
          <w:color w:val="000000"/>
          <w:sz w:val="22"/>
          <w:szCs w:val="22"/>
          <w:u w:val="single"/>
        </w:rPr>
        <w:t xml:space="preserve">Nepageidaujamos reakcijos </w:t>
      </w:r>
    </w:p>
    <w:p w14:paraId="55FC4C60"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Nepageidaujamos reakcijos, pasireiškusios dažniau negu pavieniais atvejais, išvardytos žemiau pagal organų sistemas ir dažnį. Nepageidaujamų reiškinių dažnis nurodomas naudojant tokius dažnių apibūdinimus: labai dažni (≥1/10), dažni (nuo ≥1/100 iki &lt;1/10), nedažni (nuo ≥1/1 000 iki &lt;1/100), reti (nuo ≥1/10 000 iki &lt;1/1 000), labai reti (&lt;1/10 000), dažnis nežinomas (negali būti įvertintas pagal turimus duomenis). </w:t>
      </w:r>
    </w:p>
    <w:p w14:paraId="4B0AE560" w14:textId="77777777" w:rsidR="008A305D" w:rsidRPr="00D92F6B" w:rsidRDefault="008A305D" w:rsidP="008A305D">
      <w:pPr>
        <w:autoSpaceDE w:val="0"/>
        <w:autoSpaceDN w:val="0"/>
        <w:adjustRightInd w:val="0"/>
        <w:rPr>
          <w:rFonts w:eastAsia="Calibri"/>
          <w:color w:val="000000"/>
          <w:sz w:val="22"/>
          <w:szCs w:val="22"/>
        </w:rPr>
      </w:pPr>
    </w:p>
    <w:p w14:paraId="7C0E804B"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1 lentelėje išvardintos nepageidaujamos reakcijos ir jų pasireiškimo dažnumas nurodyti, remiantis pagrindinių registracijos tyrimų duomenimis. </w:t>
      </w:r>
    </w:p>
    <w:p w14:paraId="535CB714" w14:textId="77777777" w:rsidR="008A305D" w:rsidRPr="00D92F6B" w:rsidRDefault="008A305D" w:rsidP="008A305D">
      <w:pPr>
        <w:autoSpaceDE w:val="0"/>
        <w:autoSpaceDN w:val="0"/>
        <w:adjustRightInd w:val="0"/>
        <w:rPr>
          <w:rFonts w:eastAsia="Calibri"/>
          <w:color w:val="000000"/>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2376"/>
        <w:gridCol w:w="6656"/>
        <w:gridCol w:w="39"/>
      </w:tblGrid>
      <w:tr w:rsidR="008A305D" w:rsidRPr="00D92F6B" w14:paraId="5C71259C" w14:textId="77777777" w:rsidTr="00412F88">
        <w:trPr>
          <w:gridAfter w:val="1"/>
          <w:wAfter w:w="39" w:type="dxa"/>
          <w:trHeight w:val="98"/>
        </w:trPr>
        <w:tc>
          <w:tcPr>
            <w:tcW w:w="9032" w:type="dxa"/>
            <w:gridSpan w:val="2"/>
            <w:tcBorders>
              <w:bottom w:val="single" w:sz="4" w:space="0" w:color="auto"/>
            </w:tcBorders>
          </w:tcPr>
          <w:p w14:paraId="26E86172" w14:textId="77777777" w:rsidR="008A305D" w:rsidRPr="0045031A" w:rsidRDefault="008A305D" w:rsidP="00412F88">
            <w:pPr>
              <w:keepNext/>
              <w:autoSpaceDE w:val="0"/>
              <w:autoSpaceDN w:val="0"/>
              <w:adjustRightInd w:val="0"/>
              <w:rPr>
                <w:rFonts w:eastAsia="Calibri"/>
                <w:b/>
                <w:bCs/>
                <w:color w:val="000000"/>
                <w:sz w:val="22"/>
                <w:szCs w:val="22"/>
              </w:rPr>
            </w:pPr>
            <w:r w:rsidRPr="00D92F6B">
              <w:rPr>
                <w:rFonts w:eastAsia="Calibri"/>
                <w:b/>
                <w:bCs/>
                <w:color w:val="000000"/>
                <w:sz w:val="22"/>
                <w:szCs w:val="22"/>
              </w:rPr>
              <w:t>1 lentelė</w:t>
            </w:r>
            <w:r w:rsidRPr="00D92F6B">
              <w:rPr>
                <w:rFonts w:eastAsia="Calibri"/>
                <w:b/>
                <w:bCs/>
                <w:color w:val="000000"/>
                <w:sz w:val="22"/>
                <w:szCs w:val="22"/>
              </w:rPr>
              <w:tab/>
              <w:t xml:space="preserve">Nepageidaujamų reakcijų santrauka </w:t>
            </w:r>
          </w:p>
          <w:p w14:paraId="3BEF0A76" w14:textId="77777777" w:rsidR="008A305D" w:rsidRPr="0045031A" w:rsidRDefault="008A305D" w:rsidP="00412F88">
            <w:pPr>
              <w:keepNext/>
              <w:autoSpaceDE w:val="0"/>
              <w:autoSpaceDN w:val="0"/>
              <w:adjustRightInd w:val="0"/>
              <w:rPr>
                <w:rFonts w:eastAsia="Calibri"/>
                <w:b/>
                <w:bCs/>
                <w:color w:val="000000"/>
                <w:sz w:val="22"/>
                <w:szCs w:val="22"/>
              </w:rPr>
            </w:pPr>
          </w:p>
        </w:tc>
      </w:tr>
      <w:tr w:rsidR="008A305D" w:rsidRPr="00D92F6B" w14:paraId="128D956D" w14:textId="77777777" w:rsidTr="00412F88">
        <w:trPr>
          <w:gridAfter w:val="1"/>
          <w:wAfter w:w="39" w:type="dxa"/>
          <w:trHeight w:val="98"/>
        </w:trPr>
        <w:tc>
          <w:tcPr>
            <w:tcW w:w="9032" w:type="dxa"/>
            <w:gridSpan w:val="2"/>
            <w:tcBorders>
              <w:top w:val="single" w:sz="4" w:space="0" w:color="auto"/>
              <w:left w:val="single" w:sz="4" w:space="0" w:color="auto"/>
              <w:bottom w:val="single" w:sz="4" w:space="0" w:color="auto"/>
              <w:right w:val="single" w:sz="4" w:space="0" w:color="auto"/>
            </w:tcBorders>
          </w:tcPr>
          <w:p w14:paraId="7BBCBC37"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b/>
                <w:bCs/>
                <w:color w:val="000000"/>
                <w:sz w:val="22"/>
                <w:szCs w:val="22"/>
              </w:rPr>
              <w:t xml:space="preserve">Infekcijos ir infestacijos </w:t>
            </w:r>
          </w:p>
        </w:tc>
      </w:tr>
      <w:tr w:rsidR="008A305D" w:rsidRPr="00D92F6B" w14:paraId="3CA00ED3" w14:textId="77777777" w:rsidTr="00412F88">
        <w:trPr>
          <w:gridAfter w:val="1"/>
          <w:wAfter w:w="39" w:type="dxa"/>
          <w:trHeight w:val="382"/>
        </w:trPr>
        <w:tc>
          <w:tcPr>
            <w:tcW w:w="2376" w:type="dxa"/>
            <w:tcBorders>
              <w:top w:val="single" w:sz="4" w:space="0" w:color="auto"/>
              <w:left w:val="single" w:sz="4" w:space="0" w:color="auto"/>
              <w:bottom w:val="single" w:sz="4" w:space="0" w:color="auto"/>
              <w:right w:val="single" w:sz="4" w:space="0" w:color="auto"/>
            </w:tcBorders>
          </w:tcPr>
          <w:p w14:paraId="5CAA2B6C"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Nedažnos</w:t>
            </w:r>
          </w:p>
        </w:tc>
        <w:tc>
          <w:tcPr>
            <w:tcW w:w="6656" w:type="dxa"/>
            <w:tcBorders>
              <w:top w:val="single" w:sz="4" w:space="0" w:color="auto"/>
              <w:left w:val="single" w:sz="4" w:space="0" w:color="auto"/>
              <w:bottom w:val="single" w:sz="4" w:space="0" w:color="auto"/>
              <w:right w:val="single" w:sz="4" w:space="0" w:color="auto"/>
            </w:tcBorders>
          </w:tcPr>
          <w:p w14:paraId="0750AA40"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Herpes zoster</w:t>
            </w:r>
            <w:r w:rsidRPr="00D92F6B">
              <w:rPr>
                <w:rFonts w:eastAsia="Calibri"/>
                <w:color w:val="000000"/>
                <w:sz w:val="22"/>
                <w:szCs w:val="22"/>
              </w:rPr>
              <w:t xml:space="preserve">, </w:t>
            </w:r>
            <w:r w:rsidRPr="00D92F6B">
              <w:rPr>
                <w:rFonts w:eastAsia="Calibri"/>
                <w:i/>
                <w:iCs/>
                <w:color w:val="000000"/>
                <w:sz w:val="22"/>
                <w:szCs w:val="22"/>
              </w:rPr>
              <w:t>herpes simplex</w:t>
            </w:r>
            <w:r w:rsidRPr="00D92F6B">
              <w:rPr>
                <w:rFonts w:eastAsia="Calibri"/>
                <w:color w:val="000000"/>
                <w:sz w:val="22"/>
                <w:szCs w:val="22"/>
              </w:rPr>
              <w:t>, nosiaryklės uždegimas, pneumonija</w:t>
            </w:r>
            <w:r w:rsidRPr="0045031A">
              <w:rPr>
                <w:rFonts w:eastAsia="Calibri"/>
                <w:color w:val="000000"/>
                <w:sz w:val="22"/>
                <w:szCs w:val="22"/>
                <w:vertAlign w:val="superscript"/>
              </w:rPr>
              <w:t>1</w:t>
            </w:r>
            <w:r w:rsidRPr="00D92F6B">
              <w:rPr>
                <w:rFonts w:eastAsia="Calibri"/>
                <w:color w:val="000000"/>
                <w:sz w:val="22"/>
                <w:szCs w:val="22"/>
              </w:rPr>
              <w:t xml:space="preserve">, sinusitas, puriojo ląstelyno uždegimas, viršutinių kvėpavimo takų infekcija, gripas, šlapimo takų infekcija, gastroenteritas, sepsis </w:t>
            </w:r>
          </w:p>
        </w:tc>
      </w:tr>
      <w:tr w:rsidR="008A305D" w:rsidRPr="00D92F6B" w14:paraId="20E590EA" w14:textId="77777777" w:rsidTr="0012495D">
        <w:trPr>
          <w:gridAfter w:val="1"/>
          <w:wAfter w:w="39" w:type="dxa"/>
          <w:trHeight w:val="428"/>
        </w:trPr>
        <w:tc>
          <w:tcPr>
            <w:tcW w:w="2376" w:type="dxa"/>
            <w:tcBorders>
              <w:top w:val="single" w:sz="4" w:space="0" w:color="auto"/>
              <w:left w:val="single" w:sz="4" w:space="0" w:color="auto"/>
              <w:bottom w:val="single" w:sz="4" w:space="0" w:color="auto"/>
              <w:right w:val="single" w:sz="4" w:space="0" w:color="auto"/>
            </w:tcBorders>
          </w:tcPr>
          <w:p w14:paraId="6365899F"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Retos</w:t>
            </w:r>
          </w:p>
        </w:tc>
        <w:tc>
          <w:tcPr>
            <w:tcW w:w="6656" w:type="dxa"/>
            <w:tcBorders>
              <w:top w:val="single" w:sz="4" w:space="0" w:color="auto"/>
              <w:left w:val="single" w:sz="4" w:space="0" w:color="auto"/>
              <w:bottom w:val="single" w:sz="4" w:space="0" w:color="auto"/>
              <w:right w:val="single" w:sz="4" w:space="0" w:color="auto"/>
            </w:tcBorders>
          </w:tcPr>
          <w:p w14:paraId="495D71DA"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Grybelinė infekcija </w:t>
            </w:r>
          </w:p>
        </w:tc>
      </w:tr>
      <w:tr w:rsidR="00741016" w:rsidRPr="00D92F6B" w14:paraId="6CB26ABB" w14:textId="77777777" w:rsidTr="00412F88">
        <w:trPr>
          <w:gridAfter w:val="1"/>
          <w:wAfter w:w="39" w:type="dxa"/>
          <w:trHeight w:val="100"/>
        </w:trPr>
        <w:tc>
          <w:tcPr>
            <w:tcW w:w="2376" w:type="dxa"/>
            <w:tcBorders>
              <w:top w:val="single" w:sz="4" w:space="0" w:color="auto"/>
              <w:left w:val="single" w:sz="4" w:space="0" w:color="auto"/>
              <w:bottom w:val="single" w:sz="4" w:space="0" w:color="auto"/>
              <w:right w:val="single" w:sz="4" w:space="0" w:color="auto"/>
            </w:tcBorders>
          </w:tcPr>
          <w:p w14:paraId="21F516E2" w14:textId="77777777" w:rsidR="00741016" w:rsidRPr="00D92F6B" w:rsidRDefault="00741016" w:rsidP="00412F88">
            <w:pPr>
              <w:autoSpaceDE w:val="0"/>
              <w:autoSpaceDN w:val="0"/>
              <w:adjustRightInd w:val="0"/>
              <w:rPr>
                <w:rFonts w:eastAsia="Calibri"/>
                <w:i/>
                <w:iCs/>
                <w:color w:val="000000"/>
                <w:sz w:val="22"/>
                <w:szCs w:val="22"/>
              </w:rPr>
            </w:pPr>
            <w:r>
              <w:rPr>
                <w:rFonts w:eastAsia="Calibri"/>
                <w:i/>
                <w:iCs/>
                <w:color w:val="000000"/>
                <w:sz w:val="22"/>
                <w:szCs w:val="22"/>
              </w:rPr>
              <w:t>Dažnis nežinomas</w:t>
            </w:r>
          </w:p>
        </w:tc>
        <w:tc>
          <w:tcPr>
            <w:tcW w:w="6656" w:type="dxa"/>
            <w:tcBorders>
              <w:top w:val="single" w:sz="4" w:space="0" w:color="auto"/>
              <w:left w:val="single" w:sz="4" w:space="0" w:color="auto"/>
              <w:bottom w:val="single" w:sz="4" w:space="0" w:color="auto"/>
              <w:right w:val="single" w:sz="4" w:space="0" w:color="auto"/>
            </w:tcBorders>
          </w:tcPr>
          <w:p w14:paraId="527BA694" w14:textId="77777777" w:rsidR="00741016" w:rsidRPr="00D92F6B" w:rsidRDefault="00741016" w:rsidP="00412F88">
            <w:pPr>
              <w:autoSpaceDE w:val="0"/>
              <w:autoSpaceDN w:val="0"/>
              <w:adjustRightInd w:val="0"/>
              <w:rPr>
                <w:rFonts w:eastAsia="Calibri"/>
                <w:color w:val="000000"/>
                <w:sz w:val="22"/>
                <w:szCs w:val="22"/>
              </w:rPr>
            </w:pPr>
            <w:r>
              <w:rPr>
                <w:rFonts w:eastAsia="Calibri"/>
                <w:color w:val="000000"/>
                <w:sz w:val="22"/>
                <w:szCs w:val="22"/>
              </w:rPr>
              <w:t>Hepatito B reaktyvacija</w:t>
            </w:r>
            <w:r w:rsidRPr="009E05E3">
              <w:rPr>
                <w:rFonts w:eastAsia="Calibri"/>
                <w:color w:val="000000"/>
                <w:sz w:val="22"/>
                <w:szCs w:val="22"/>
                <w:vertAlign w:val="superscript"/>
              </w:rPr>
              <w:t>11</w:t>
            </w:r>
          </w:p>
        </w:tc>
      </w:tr>
      <w:tr w:rsidR="008A305D" w:rsidRPr="00D92F6B" w14:paraId="3642D7BE" w14:textId="77777777" w:rsidTr="00412F88">
        <w:trPr>
          <w:gridAfter w:val="1"/>
          <w:wAfter w:w="39" w:type="dxa"/>
          <w:trHeight w:val="98"/>
        </w:trPr>
        <w:tc>
          <w:tcPr>
            <w:tcW w:w="9032" w:type="dxa"/>
            <w:gridSpan w:val="2"/>
            <w:tcBorders>
              <w:top w:val="single" w:sz="4" w:space="0" w:color="auto"/>
              <w:left w:val="single" w:sz="4" w:space="0" w:color="auto"/>
              <w:bottom w:val="single" w:sz="4" w:space="0" w:color="auto"/>
              <w:right w:val="single" w:sz="4" w:space="0" w:color="auto"/>
            </w:tcBorders>
          </w:tcPr>
          <w:p w14:paraId="13B58883"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b/>
                <w:bCs/>
                <w:color w:val="000000"/>
                <w:sz w:val="22"/>
                <w:szCs w:val="22"/>
              </w:rPr>
              <w:t xml:space="preserve">Gerybiniai, piktybiniai ir nepatikslinti navikai (tarp jų cistos ir polipai) </w:t>
            </w:r>
          </w:p>
        </w:tc>
      </w:tr>
      <w:tr w:rsidR="008A305D" w:rsidRPr="00D92F6B" w14:paraId="4052BD1E" w14:textId="77777777" w:rsidTr="00412F88">
        <w:trPr>
          <w:gridAfter w:val="1"/>
          <w:wAfter w:w="39" w:type="dxa"/>
          <w:trHeight w:val="100"/>
        </w:trPr>
        <w:tc>
          <w:tcPr>
            <w:tcW w:w="2376" w:type="dxa"/>
            <w:tcBorders>
              <w:top w:val="single" w:sz="4" w:space="0" w:color="auto"/>
              <w:left w:val="single" w:sz="4" w:space="0" w:color="auto"/>
              <w:bottom w:val="single" w:sz="4" w:space="0" w:color="auto"/>
              <w:right w:val="single" w:sz="4" w:space="0" w:color="auto"/>
            </w:tcBorders>
          </w:tcPr>
          <w:p w14:paraId="3D5B58CF"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Retos</w:t>
            </w:r>
          </w:p>
        </w:tc>
        <w:tc>
          <w:tcPr>
            <w:tcW w:w="6656" w:type="dxa"/>
            <w:tcBorders>
              <w:top w:val="single" w:sz="4" w:space="0" w:color="auto"/>
              <w:left w:val="single" w:sz="4" w:space="0" w:color="auto"/>
              <w:bottom w:val="single" w:sz="4" w:space="0" w:color="auto"/>
              <w:right w:val="single" w:sz="4" w:space="0" w:color="auto"/>
            </w:tcBorders>
          </w:tcPr>
          <w:p w14:paraId="746ACD4B"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Auglio irimo sindromas </w:t>
            </w:r>
          </w:p>
        </w:tc>
      </w:tr>
      <w:tr w:rsidR="008A305D" w:rsidRPr="00D92F6B" w14:paraId="20A585E5" w14:textId="77777777" w:rsidTr="00412F88">
        <w:trPr>
          <w:gridAfter w:val="1"/>
          <w:wAfter w:w="39" w:type="dxa"/>
          <w:trHeight w:val="100"/>
        </w:trPr>
        <w:tc>
          <w:tcPr>
            <w:tcW w:w="2376" w:type="dxa"/>
            <w:tcBorders>
              <w:top w:val="single" w:sz="4" w:space="0" w:color="auto"/>
              <w:left w:val="single" w:sz="4" w:space="0" w:color="auto"/>
              <w:bottom w:val="single" w:sz="4" w:space="0" w:color="auto"/>
              <w:right w:val="single" w:sz="4" w:space="0" w:color="auto"/>
            </w:tcBorders>
          </w:tcPr>
          <w:p w14:paraId="412DFFF0" w14:textId="77777777" w:rsidR="008A305D" w:rsidRPr="00D92F6B" w:rsidRDefault="008A305D" w:rsidP="00412F88">
            <w:pPr>
              <w:autoSpaceDE w:val="0"/>
              <w:autoSpaceDN w:val="0"/>
              <w:adjustRightInd w:val="0"/>
              <w:rPr>
                <w:rFonts w:eastAsia="Calibri"/>
                <w:i/>
                <w:iCs/>
                <w:color w:val="000000"/>
                <w:sz w:val="22"/>
                <w:szCs w:val="22"/>
              </w:rPr>
            </w:pPr>
            <w:r w:rsidRPr="00D92F6B">
              <w:rPr>
                <w:rFonts w:eastAsia="Calibri"/>
                <w:i/>
                <w:iCs/>
                <w:color w:val="000000"/>
                <w:sz w:val="22"/>
                <w:szCs w:val="22"/>
              </w:rPr>
              <w:t>Dažnis nežinomas</w:t>
            </w:r>
          </w:p>
        </w:tc>
        <w:tc>
          <w:tcPr>
            <w:tcW w:w="6656" w:type="dxa"/>
            <w:tcBorders>
              <w:top w:val="single" w:sz="4" w:space="0" w:color="auto"/>
              <w:left w:val="single" w:sz="4" w:space="0" w:color="auto"/>
              <w:bottom w:val="single" w:sz="4" w:space="0" w:color="auto"/>
              <w:right w:val="single" w:sz="4" w:space="0" w:color="auto"/>
            </w:tcBorders>
          </w:tcPr>
          <w:p w14:paraId="1CC08470" w14:textId="77777777" w:rsidR="008A305D" w:rsidRPr="00D92F6B"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Naviko kraujosruva/naviko nekrozė*</w:t>
            </w:r>
          </w:p>
        </w:tc>
      </w:tr>
      <w:tr w:rsidR="008A305D" w:rsidRPr="00D92F6B" w14:paraId="08A29425" w14:textId="77777777" w:rsidTr="00412F88">
        <w:trPr>
          <w:gridAfter w:val="1"/>
          <w:wAfter w:w="39" w:type="dxa"/>
          <w:trHeight w:val="100"/>
        </w:trPr>
        <w:tc>
          <w:tcPr>
            <w:tcW w:w="9032" w:type="dxa"/>
            <w:gridSpan w:val="2"/>
            <w:tcBorders>
              <w:top w:val="single" w:sz="4" w:space="0" w:color="auto"/>
              <w:left w:val="single" w:sz="4" w:space="0" w:color="auto"/>
              <w:bottom w:val="single" w:sz="4" w:space="0" w:color="auto"/>
              <w:right w:val="single" w:sz="4" w:space="0" w:color="auto"/>
            </w:tcBorders>
          </w:tcPr>
          <w:p w14:paraId="090E676E" w14:textId="77777777" w:rsidR="008A305D" w:rsidRPr="00D92F6B" w:rsidRDefault="008A305D" w:rsidP="00412F88">
            <w:pPr>
              <w:autoSpaceDE w:val="0"/>
              <w:autoSpaceDN w:val="0"/>
              <w:adjustRightInd w:val="0"/>
              <w:rPr>
                <w:rFonts w:eastAsia="Calibri"/>
                <w:b/>
                <w:color w:val="000000"/>
                <w:sz w:val="22"/>
                <w:szCs w:val="22"/>
              </w:rPr>
            </w:pPr>
            <w:r w:rsidRPr="00D92F6B">
              <w:rPr>
                <w:rFonts w:eastAsia="Calibri"/>
                <w:b/>
                <w:color w:val="000000"/>
                <w:sz w:val="22"/>
                <w:szCs w:val="22"/>
              </w:rPr>
              <w:t>Imuninės sistemos sutrikimai</w:t>
            </w:r>
          </w:p>
        </w:tc>
      </w:tr>
      <w:tr w:rsidR="008A305D" w:rsidRPr="00D92F6B" w14:paraId="7F476EC0" w14:textId="77777777" w:rsidTr="00412F88">
        <w:trPr>
          <w:gridAfter w:val="1"/>
          <w:wAfter w:w="39" w:type="dxa"/>
          <w:trHeight w:val="100"/>
        </w:trPr>
        <w:tc>
          <w:tcPr>
            <w:tcW w:w="2376" w:type="dxa"/>
            <w:tcBorders>
              <w:top w:val="single" w:sz="4" w:space="0" w:color="auto"/>
              <w:left w:val="single" w:sz="4" w:space="0" w:color="auto"/>
              <w:bottom w:val="single" w:sz="4" w:space="0" w:color="auto"/>
              <w:right w:val="single" w:sz="4" w:space="0" w:color="auto"/>
            </w:tcBorders>
          </w:tcPr>
          <w:p w14:paraId="601A1739" w14:textId="77777777" w:rsidR="008A305D" w:rsidRPr="00D92F6B" w:rsidRDefault="008A305D" w:rsidP="00412F88">
            <w:pPr>
              <w:autoSpaceDE w:val="0"/>
              <w:autoSpaceDN w:val="0"/>
              <w:adjustRightInd w:val="0"/>
              <w:rPr>
                <w:rFonts w:eastAsia="Calibri"/>
                <w:i/>
                <w:iCs/>
                <w:color w:val="000000"/>
                <w:sz w:val="22"/>
                <w:szCs w:val="22"/>
              </w:rPr>
            </w:pPr>
            <w:r w:rsidRPr="00D92F6B">
              <w:rPr>
                <w:rFonts w:eastAsia="Calibri"/>
                <w:i/>
                <w:iCs/>
                <w:color w:val="000000"/>
                <w:sz w:val="22"/>
                <w:szCs w:val="22"/>
              </w:rPr>
              <w:t>Dažnis nežinomas</w:t>
            </w:r>
          </w:p>
        </w:tc>
        <w:tc>
          <w:tcPr>
            <w:tcW w:w="6656" w:type="dxa"/>
            <w:tcBorders>
              <w:top w:val="single" w:sz="4" w:space="0" w:color="auto"/>
              <w:left w:val="single" w:sz="4" w:space="0" w:color="auto"/>
              <w:bottom w:val="single" w:sz="4" w:space="0" w:color="auto"/>
              <w:right w:val="single" w:sz="4" w:space="0" w:color="auto"/>
            </w:tcBorders>
          </w:tcPr>
          <w:p w14:paraId="63F9BFFE" w14:textId="77777777" w:rsidR="008A305D" w:rsidRPr="00D92F6B"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Anafilaksinis šokas*</w:t>
            </w:r>
          </w:p>
        </w:tc>
      </w:tr>
      <w:tr w:rsidR="008A305D" w:rsidRPr="00D92F6B" w14:paraId="6BE13AA0" w14:textId="77777777" w:rsidTr="00412F88">
        <w:trPr>
          <w:gridAfter w:val="1"/>
          <w:wAfter w:w="39" w:type="dxa"/>
          <w:trHeight w:val="98"/>
        </w:trPr>
        <w:tc>
          <w:tcPr>
            <w:tcW w:w="9032" w:type="dxa"/>
            <w:gridSpan w:val="2"/>
            <w:tcBorders>
              <w:top w:val="single" w:sz="4" w:space="0" w:color="auto"/>
              <w:left w:val="single" w:sz="4" w:space="0" w:color="auto"/>
              <w:bottom w:val="single" w:sz="4" w:space="0" w:color="auto"/>
              <w:right w:val="single" w:sz="4" w:space="0" w:color="auto"/>
            </w:tcBorders>
          </w:tcPr>
          <w:p w14:paraId="7270C923"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b/>
                <w:bCs/>
                <w:color w:val="000000"/>
                <w:sz w:val="22"/>
                <w:szCs w:val="22"/>
              </w:rPr>
              <w:t xml:space="preserve">Kraujo ir limfinės sistemos sutrikimai </w:t>
            </w:r>
          </w:p>
        </w:tc>
      </w:tr>
      <w:tr w:rsidR="008A305D" w:rsidRPr="00D92F6B" w14:paraId="42A697CF" w14:textId="77777777" w:rsidTr="00412F88">
        <w:trPr>
          <w:gridAfter w:val="1"/>
          <w:wAfter w:w="39" w:type="dxa"/>
          <w:trHeight w:val="100"/>
        </w:trPr>
        <w:tc>
          <w:tcPr>
            <w:tcW w:w="2376" w:type="dxa"/>
            <w:tcBorders>
              <w:top w:val="single" w:sz="4" w:space="0" w:color="auto"/>
              <w:left w:val="single" w:sz="4" w:space="0" w:color="auto"/>
              <w:bottom w:val="single" w:sz="4" w:space="0" w:color="auto"/>
              <w:right w:val="single" w:sz="4" w:space="0" w:color="auto"/>
            </w:tcBorders>
          </w:tcPr>
          <w:p w14:paraId="3A92F028"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Labai dažnos</w:t>
            </w:r>
          </w:p>
        </w:tc>
        <w:tc>
          <w:tcPr>
            <w:tcW w:w="6656" w:type="dxa"/>
            <w:tcBorders>
              <w:top w:val="single" w:sz="4" w:space="0" w:color="auto"/>
              <w:left w:val="single" w:sz="4" w:space="0" w:color="auto"/>
              <w:bottom w:val="single" w:sz="4" w:space="0" w:color="auto"/>
              <w:right w:val="single" w:sz="4" w:space="0" w:color="auto"/>
            </w:tcBorders>
          </w:tcPr>
          <w:p w14:paraId="3213F4E4"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Neutropenija, trombocitopenija, anemija </w:t>
            </w:r>
          </w:p>
        </w:tc>
      </w:tr>
      <w:tr w:rsidR="008A305D" w:rsidRPr="00D92F6B" w14:paraId="7A12A150" w14:textId="77777777" w:rsidTr="00412F88">
        <w:trPr>
          <w:gridAfter w:val="1"/>
          <w:wAfter w:w="39" w:type="dxa"/>
          <w:trHeight w:val="100"/>
        </w:trPr>
        <w:tc>
          <w:tcPr>
            <w:tcW w:w="2376" w:type="dxa"/>
            <w:tcBorders>
              <w:top w:val="single" w:sz="4" w:space="0" w:color="auto"/>
              <w:left w:val="single" w:sz="4" w:space="0" w:color="auto"/>
              <w:bottom w:val="single" w:sz="4" w:space="0" w:color="auto"/>
              <w:right w:val="single" w:sz="4" w:space="0" w:color="auto"/>
            </w:tcBorders>
          </w:tcPr>
          <w:p w14:paraId="0C1AB6E5"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Dažnos</w:t>
            </w:r>
          </w:p>
        </w:tc>
        <w:tc>
          <w:tcPr>
            <w:tcW w:w="6656" w:type="dxa"/>
            <w:tcBorders>
              <w:top w:val="single" w:sz="4" w:space="0" w:color="auto"/>
              <w:left w:val="single" w:sz="4" w:space="0" w:color="auto"/>
              <w:bottom w:val="single" w:sz="4" w:space="0" w:color="auto"/>
              <w:right w:val="single" w:sz="4" w:space="0" w:color="auto"/>
            </w:tcBorders>
          </w:tcPr>
          <w:p w14:paraId="77E728BC"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Pancitopenija, febrili neutropenija </w:t>
            </w:r>
          </w:p>
        </w:tc>
      </w:tr>
      <w:tr w:rsidR="008A305D" w:rsidRPr="00D92F6B" w14:paraId="3D07D7F4" w14:textId="77777777" w:rsidTr="00412F88">
        <w:trPr>
          <w:gridAfter w:val="1"/>
          <w:wAfter w:w="39" w:type="dxa"/>
          <w:trHeight w:val="230"/>
        </w:trPr>
        <w:tc>
          <w:tcPr>
            <w:tcW w:w="2376" w:type="dxa"/>
            <w:tcBorders>
              <w:top w:val="single" w:sz="4" w:space="0" w:color="auto"/>
              <w:left w:val="single" w:sz="4" w:space="0" w:color="auto"/>
              <w:bottom w:val="single" w:sz="4" w:space="0" w:color="auto"/>
              <w:right w:val="single" w:sz="4" w:space="0" w:color="auto"/>
            </w:tcBorders>
          </w:tcPr>
          <w:p w14:paraId="37C3855B"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Nedažnos</w:t>
            </w:r>
          </w:p>
        </w:tc>
        <w:tc>
          <w:tcPr>
            <w:tcW w:w="6656" w:type="dxa"/>
            <w:tcBorders>
              <w:top w:val="single" w:sz="4" w:space="0" w:color="auto"/>
              <w:left w:val="single" w:sz="4" w:space="0" w:color="auto"/>
              <w:bottom w:val="single" w:sz="4" w:space="0" w:color="auto"/>
              <w:right w:val="single" w:sz="4" w:space="0" w:color="auto"/>
            </w:tcBorders>
          </w:tcPr>
          <w:p w14:paraId="62DFC14F"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Trombocitopenija, limfocitopenija, kaulų čiulpų slopinimas, eozinofilija, limfadenopatija </w:t>
            </w:r>
          </w:p>
        </w:tc>
      </w:tr>
      <w:tr w:rsidR="008A305D" w:rsidRPr="00D92F6B" w14:paraId="4B159B7B" w14:textId="77777777" w:rsidTr="00412F88">
        <w:trPr>
          <w:gridAfter w:val="1"/>
          <w:wAfter w:w="39" w:type="dxa"/>
          <w:trHeight w:val="100"/>
        </w:trPr>
        <w:tc>
          <w:tcPr>
            <w:tcW w:w="2376" w:type="dxa"/>
            <w:tcBorders>
              <w:top w:val="single" w:sz="4" w:space="0" w:color="auto"/>
              <w:left w:val="single" w:sz="4" w:space="0" w:color="auto"/>
              <w:bottom w:val="single" w:sz="4" w:space="0" w:color="auto"/>
              <w:right w:val="single" w:sz="4" w:space="0" w:color="auto"/>
            </w:tcBorders>
          </w:tcPr>
          <w:p w14:paraId="70F486D3"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Retos</w:t>
            </w:r>
          </w:p>
        </w:tc>
        <w:tc>
          <w:tcPr>
            <w:tcW w:w="6656" w:type="dxa"/>
            <w:tcBorders>
              <w:top w:val="single" w:sz="4" w:space="0" w:color="auto"/>
              <w:left w:val="single" w:sz="4" w:space="0" w:color="auto"/>
              <w:bottom w:val="single" w:sz="4" w:space="0" w:color="auto"/>
              <w:right w:val="single" w:sz="4" w:space="0" w:color="auto"/>
            </w:tcBorders>
          </w:tcPr>
          <w:p w14:paraId="6FE54F06"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Hemolizinė anemija </w:t>
            </w:r>
          </w:p>
        </w:tc>
      </w:tr>
      <w:tr w:rsidR="008A305D" w:rsidRPr="00D92F6B" w14:paraId="25DBC9A1" w14:textId="77777777" w:rsidTr="00412F88">
        <w:trPr>
          <w:gridAfter w:val="1"/>
          <w:wAfter w:w="39" w:type="dxa"/>
          <w:trHeight w:val="98"/>
        </w:trPr>
        <w:tc>
          <w:tcPr>
            <w:tcW w:w="9032" w:type="dxa"/>
            <w:gridSpan w:val="2"/>
            <w:tcBorders>
              <w:top w:val="single" w:sz="4" w:space="0" w:color="auto"/>
              <w:left w:val="single" w:sz="4" w:space="0" w:color="auto"/>
              <w:bottom w:val="single" w:sz="4" w:space="0" w:color="auto"/>
              <w:right w:val="single" w:sz="4" w:space="0" w:color="auto"/>
            </w:tcBorders>
          </w:tcPr>
          <w:p w14:paraId="16FA92BB"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b/>
                <w:bCs/>
                <w:color w:val="000000"/>
                <w:sz w:val="22"/>
                <w:szCs w:val="22"/>
              </w:rPr>
              <w:t xml:space="preserve">Metabolizmo ir mitybos sutrikimai </w:t>
            </w:r>
          </w:p>
        </w:tc>
      </w:tr>
      <w:tr w:rsidR="008A305D" w:rsidRPr="00D92F6B" w14:paraId="516B157B" w14:textId="77777777" w:rsidTr="00412F88">
        <w:trPr>
          <w:gridAfter w:val="1"/>
          <w:wAfter w:w="39" w:type="dxa"/>
          <w:trHeight w:val="100"/>
        </w:trPr>
        <w:tc>
          <w:tcPr>
            <w:tcW w:w="2376" w:type="dxa"/>
            <w:tcBorders>
              <w:top w:val="single" w:sz="4" w:space="0" w:color="auto"/>
              <w:left w:val="single" w:sz="4" w:space="0" w:color="auto"/>
              <w:bottom w:val="single" w:sz="4" w:space="0" w:color="auto"/>
              <w:right w:val="single" w:sz="4" w:space="0" w:color="auto"/>
            </w:tcBorders>
          </w:tcPr>
          <w:p w14:paraId="7BD2FA14"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Dažnos</w:t>
            </w:r>
          </w:p>
        </w:tc>
        <w:tc>
          <w:tcPr>
            <w:tcW w:w="6656" w:type="dxa"/>
            <w:tcBorders>
              <w:top w:val="single" w:sz="4" w:space="0" w:color="auto"/>
              <w:left w:val="single" w:sz="4" w:space="0" w:color="auto"/>
              <w:bottom w:val="single" w:sz="4" w:space="0" w:color="auto"/>
              <w:right w:val="single" w:sz="4" w:space="0" w:color="auto"/>
            </w:tcBorders>
          </w:tcPr>
          <w:p w14:paraId="67D0D43D"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Anoreksija </w:t>
            </w:r>
          </w:p>
        </w:tc>
      </w:tr>
      <w:tr w:rsidR="008A305D" w:rsidRPr="00D92F6B" w14:paraId="0655BA53" w14:textId="77777777" w:rsidTr="00412F88">
        <w:trPr>
          <w:gridAfter w:val="1"/>
          <w:wAfter w:w="39" w:type="dxa"/>
          <w:trHeight w:val="360"/>
        </w:trPr>
        <w:tc>
          <w:tcPr>
            <w:tcW w:w="2376" w:type="dxa"/>
            <w:tcBorders>
              <w:top w:val="single" w:sz="4" w:space="0" w:color="auto"/>
              <w:left w:val="single" w:sz="4" w:space="0" w:color="auto"/>
              <w:bottom w:val="single" w:sz="4" w:space="0" w:color="auto"/>
              <w:right w:val="single" w:sz="4" w:space="0" w:color="auto"/>
            </w:tcBorders>
          </w:tcPr>
          <w:p w14:paraId="1423EA0D"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Nedažnos</w:t>
            </w:r>
          </w:p>
        </w:tc>
        <w:tc>
          <w:tcPr>
            <w:tcW w:w="6656" w:type="dxa"/>
            <w:tcBorders>
              <w:top w:val="single" w:sz="4" w:space="0" w:color="auto"/>
              <w:left w:val="single" w:sz="4" w:space="0" w:color="auto"/>
              <w:bottom w:val="single" w:sz="4" w:space="0" w:color="auto"/>
              <w:right w:val="single" w:sz="4" w:space="0" w:color="auto"/>
            </w:tcBorders>
          </w:tcPr>
          <w:p w14:paraId="40D6AA72"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Hipokalemija, padidėjęs apetitas, hipofosfatemija, sumažėjęs apetitas, dehidracija, podagra, hiperurikemija, hiperkalcemija, hiperglikemija, hiponatremija </w:t>
            </w:r>
          </w:p>
        </w:tc>
      </w:tr>
      <w:tr w:rsidR="008A305D" w:rsidRPr="00D92F6B" w14:paraId="1BF96268" w14:textId="77777777" w:rsidTr="00412F88">
        <w:trPr>
          <w:gridAfter w:val="1"/>
          <w:wAfter w:w="39" w:type="dxa"/>
          <w:trHeight w:val="100"/>
        </w:trPr>
        <w:tc>
          <w:tcPr>
            <w:tcW w:w="2376" w:type="dxa"/>
            <w:tcBorders>
              <w:top w:val="single" w:sz="4" w:space="0" w:color="auto"/>
              <w:left w:val="single" w:sz="4" w:space="0" w:color="auto"/>
              <w:bottom w:val="single" w:sz="4" w:space="0" w:color="auto"/>
              <w:right w:val="single" w:sz="4" w:space="0" w:color="auto"/>
            </w:tcBorders>
          </w:tcPr>
          <w:p w14:paraId="21D9ACA4"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Retos</w:t>
            </w:r>
          </w:p>
        </w:tc>
        <w:tc>
          <w:tcPr>
            <w:tcW w:w="6656" w:type="dxa"/>
            <w:tcBorders>
              <w:top w:val="single" w:sz="4" w:space="0" w:color="auto"/>
              <w:left w:val="single" w:sz="4" w:space="0" w:color="auto"/>
              <w:bottom w:val="single" w:sz="4" w:space="0" w:color="auto"/>
              <w:right w:val="single" w:sz="4" w:space="0" w:color="auto"/>
            </w:tcBorders>
          </w:tcPr>
          <w:p w14:paraId="36C0C2AE"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Hiperkalemija, hipomagnemija </w:t>
            </w:r>
          </w:p>
        </w:tc>
      </w:tr>
      <w:tr w:rsidR="008A305D" w:rsidRPr="00D92F6B" w14:paraId="5C6069DC" w14:textId="77777777" w:rsidTr="00412F88">
        <w:trPr>
          <w:gridAfter w:val="1"/>
          <w:wAfter w:w="39" w:type="dxa"/>
          <w:trHeight w:val="98"/>
        </w:trPr>
        <w:tc>
          <w:tcPr>
            <w:tcW w:w="9032" w:type="dxa"/>
            <w:gridSpan w:val="2"/>
            <w:tcBorders>
              <w:top w:val="single" w:sz="4" w:space="0" w:color="auto"/>
              <w:left w:val="single" w:sz="4" w:space="0" w:color="auto"/>
              <w:bottom w:val="single" w:sz="4" w:space="0" w:color="auto"/>
              <w:right w:val="single" w:sz="4" w:space="0" w:color="auto"/>
            </w:tcBorders>
          </w:tcPr>
          <w:p w14:paraId="4940F76A"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b/>
                <w:bCs/>
                <w:color w:val="000000"/>
                <w:sz w:val="22"/>
                <w:szCs w:val="22"/>
              </w:rPr>
              <w:lastRenderedPageBreak/>
              <w:t xml:space="preserve">Psichikos sutrikimai </w:t>
            </w:r>
          </w:p>
        </w:tc>
      </w:tr>
      <w:tr w:rsidR="008A305D" w:rsidRPr="00D92F6B" w14:paraId="39FFB3EB" w14:textId="77777777" w:rsidTr="00412F88">
        <w:trPr>
          <w:gridAfter w:val="1"/>
          <w:wAfter w:w="39" w:type="dxa"/>
          <w:trHeight w:val="100"/>
        </w:trPr>
        <w:tc>
          <w:tcPr>
            <w:tcW w:w="2376" w:type="dxa"/>
            <w:tcBorders>
              <w:top w:val="single" w:sz="4" w:space="0" w:color="auto"/>
              <w:left w:val="single" w:sz="4" w:space="0" w:color="auto"/>
              <w:bottom w:val="single" w:sz="4" w:space="0" w:color="auto"/>
              <w:right w:val="single" w:sz="4" w:space="0" w:color="auto"/>
            </w:tcBorders>
          </w:tcPr>
          <w:p w14:paraId="79C9FA48"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Dažnos</w:t>
            </w:r>
          </w:p>
        </w:tc>
        <w:tc>
          <w:tcPr>
            <w:tcW w:w="6656" w:type="dxa"/>
            <w:tcBorders>
              <w:top w:val="single" w:sz="4" w:space="0" w:color="auto"/>
              <w:left w:val="single" w:sz="4" w:space="0" w:color="auto"/>
              <w:bottom w:val="single" w:sz="4" w:space="0" w:color="auto"/>
              <w:right w:val="single" w:sz="4" w:space="0" w:color="auto"/>
            </w:tcBorders>
          </w:tcPr>
          <w:p w14:paraId="5493826F"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Nemiga </w:t>
            </w:r>
          </w:p>
        </w:tc>
      </w:tr>
      <w:tr w:rsidR="008A305D" w:rsidRPr="00D92F6B" w14:paraId="78293456" w14:textId="77777777" w:rsidTr="00412F88">
        <w:trPr>
          <w:gridAfter w:val="1"/>
          <w:wAfter w:w="39" w:type="dxa"/>
          <w:trHeight w:val="100"/>
        </w:trPr>
        <w:tc>
          <w:tcPr>
            <w:tcW w:w="2376" w:type="dxa"/>
            <w:tcBorders>
              <w:top w:val="single" w:sz="4" w:space="0" w:color="auto"/>
              <w:left w:val="single" w:sz="4" w:space="0" w:color="auto"/>
              <w:bottom w:val="single" w:sz="4" w:space="0" w:color="auto"/>
              <w:right w:val="single" w:sz="4" w:space="0" w:color="auto"/>
            </w:tcBorders>
          </w:tcPr>
          <w:p w14:paraId="21A5FED0"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Nedažnos</w:t>
            </w:r>
          </w:p>
        </w:tc>
        <w:tc>
          <w:tcPr>
            <w:tcW w:w="6656" w:type="dxa"/>
            <w:tcBorders>
              <w:top w:val="single" w:sz="4" w:space="0" w:color="auto"/>
              <w:left w:val="single" w:sz="4" w:space="0" w:color="auto"/>
              <w:bottom w:val="single" w:sz="4" w:space="0" w:color="auto"/>
              <w:right w:val="single" w:sz="4" w:space="0" w:color="auto"/>
            </w:tcBorders>
          </w:tcPr>
          <w:p w14:paraId="782D2D21"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Depresija, sumažėjęs lytinis potraukis, nerimas </w:t>
            </w:r>
          </w:p>
        </w:tc>
      </w:tr>
      <w:tr w:rsidR="008A305D" w:rsidRPr="00D92F6B" w14:paraId="49344D95" w14:textId="77777777" w:rsidTr="00412F88">
        <w:trPr>
          <w:gridAfter w:val="1"/>
          <w:wAfter w:w="39" w:type="dxa"/>
          <w:trHeight w:val="100"/>
        </w:trPr>
        <w:tc>
          <w:tcPr>
            <w:tcW w:w="2376" w:type="dxa"/>
            <w:tcBorders>
              <w:top w:val="single" w:sz="4" w:space="0" w:color="auto"/>
              <w:left w:val="single" w:sz="4" w:space="0" w:color="auto"/>
              <w:bottom w:val="single" w:sz="4" w:space="0" w:color="auto"/>
              <w:right w:val="single" w:sz="4" w:space="0" w:color="auto"/>
            </w:tcBorders>
          </w:tcPr>
          <w:p w14:paraId="5FC9AFEA"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Retos</w:t>
            </w:r>
          </w:p>
        </w:tc>
        <w:tc>
          <w:tcPr>
            <w:tcW w:w="6656" w:type="dxa"/>
            <w:tcBorders>
              <w:top w:val="single" w:sz="4" w:space="0" w:color="auto"/>
              <w:left w:val="single" w:sz="4" w:space="0" w:color="auto"/>
              <w:bottom w:val="single" w:sz="4" w:space="0" w:color="auto"/>
              <w:right w:val="single" w:sz="4" w:space="0" w:color="auto"/>
            </w:tcBorders>
          </w:tcPr>
          <w:p w14:paraId="576E9AC5"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Sumišimo būklė </w:t>
            </w:r>
          </w:p>
        </w:tc>
      </w:tr>
      <w:tr w:rsidR="008A305D" w:rsidRPr="00D92F6B" w14:paraId="3C93271B" w14:textId="77777777" w:rsidTr="00412F88">
        <w:trPr>
          <w:gridAfter w:val="1"/>
          <w:wAfter w:w="39" w:type="dxa"/>
          <w:trHeight w:val="98"/>
        </w:trPr>
        <w:tc>
          <w:tcPr>
            <w:tcW w:w="9032" w:type="dxa"/>
            <w:gridSpan w:val="2"/>
            <w:tcBorders>
              <w:top w:val="single" w:sz="4" w:space="0" w:color="auto"/>
              <w:left w:val="single" w:sz="4" w:space="0" w:color="auto"/>
              <w:bottom w:val="single" w:sz="4" w:space="0" w:color="auto"/>
              <w:right w:val="single" w:sz="4" w:space="0" w:color="auto"/>
            </w:tcBorders>
          </w:tcPr>
          <w:p w14:paraId="76913B0C"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b/>
                <w:bCs/>
                <w:color w:val="000000"/>
                <w:sz w:val="22"/>
                <w:szCs w:val="22"/>
              </w:rPr>
              <w:t xml:space="preserve">Nervų sistemos sutrikimai </w:t>
            </w:r>
          </w:p>
        </w:tc>
      </w:tr>
      <w:tr w:rsidR="008A305D" w:rsidRPr="00D92F6B" w14:paraId="5EE45E0E" w14:textId="77777777" w:rsidTr="00412F88">
        <w:trPr>
          <w:gridAfter w:val="1"/>
          <w:wAfter w:w="39" w:type="dxa"/>
          <w:trHeight w:val="122"/>
        </w:trPr>
        <w:tc>
          <w:tcPr>
            <w:tcW w:w="2376" w:type="dxa"/>
            <w:tcBorders>
              <w:top w:val="single" w:sz="4" w:space="0" w:color="auto"/>
              <w:left w:val="single" w:sz="4" w:space="0" w:color="auto"/>
              <w:bottom w:val="single" w:sz="4" w:space="0" w:color="auto"/>
              <w:right w:val="single" w:sz="4" w:space="0" w:color="auto"/>
            </w:tcBorders>
          </w:tcPr>
          <w:p w14:paraId="7450184A"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Labai dažnos</w:t>
            </w:r>
          </w:p>
        </w:tc>
        <w:tc>
          <w:tcPr>
            <w:tcW w:w="6656" w:type="dxa"/>
            <w:tcBorders>
              <w:top w:val="single" w:sz="4" w:space="0" w:color="auto"/>
              <w:left w:val="single" w:sz="4" w:space="0" w:color="auto"/>
              <w:bottom w:val="single" w:sz="4" w:space="0" w:color="auto"/>
              <w:right w:val="single" w:sz="4" w:space="0" w:color="auto"/>
            </w:tcBorders>
          </w:tcPr>
          <w:p w14:paraId="3FC0B4C9"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Galvos skausmas</w:t>
            </w:r>
            <w:r w:rsidRPr="00D92F6B">
              <w:rPr>
                <w:rFonts w:eastAsia="Calibri"/>
                <w:color w:val="000000"/>
                <w:sz w:val="22"/>
                <w:szCs w:val="22"/>
                <w:vertAlign w:val="superscript"/>
              </w:rPr>
              <w:t>2</w:t>
            </w:r>
            <w:r w:rsidRPr="00D92F6B">
              <w:rPr>
                <w:rFonts w:eastAsia="Calibri"/>
                <w:color w:val="000000"/>
                <w:sz w:val="22"/>
                <w:szCs w:val="22"/>
              </w:rPr>
              <w:t xml:space="preserve"> </w:t>
            </w:r>
          </w:p>
        </w:tc>
      </w:tr>
      <w:tr w:rsidR="008A305D" w:rsidRPr="00D92F6B" w14:paraId="2747EF38" w14:textId="77777777" w:rsidTr="00412F88">
        <w:trPr>
          <w:gridAfter w:val="1"/>
          <w:wAfter w:w="39" w:type="dxa"/>
          <w:trHeight w:val="100"/>
        </w:trPr>
        <w:tc>
          <w:tcPr>
            <w:tcW w:w="2376" w:type="dxa"/>
            <w:tcBorders>
              <w:top w:val="single" w:sz="4" w:space="0" w:color="auto"/>
              <w:left w:val="single" w:sz="4" w:space="0" w:color="auto"/>
              <w:bottom w:val="single" w:sz="4" w:space="0" w:color="auto"/>
              <w:right w:val="single" w:sz="4" w:space="0" w:color="auto"/>
            </w:tcBorders>
          </w:tcPr>
          <w:p w14:paraId="79F93385"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Dažnos</w:t>
            </w:r>
          </w:p>
        </w:tc>
        <w:tc>
          <w:tcPr>
            <w:tcW w:w="6656" w:type="dxa"/>
            <w:tcBorders>
              <w:top w:val="single" w:sz="4" w:space="0" w:color="auto"/>
              <w:left w:val="single" w:sz="4" w:space="0" w:color="auto"/>
              <w:bottom w:val="single" w:sz="4" w:space="0" w:color="auto"/>
              <w:right w:val="single" w:sz="4" w:space="0" w:color="auto"/>
            </w:tcBorders>
          </w:tcPr>
          <w:p w14:paraId="683A7FDB"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Svaigulys, parestezija, sutrikęs skonio jutimas, hipestezija </w:t>
            </w:r>
          </w:p>
        </w:tc>
      </w:tr>
      <w:tr w:rsidR="008A305D" w:rsidRPr="00D92F6B" w14:paraId="3E772C68" w14:textId="77777777" w:rsidTr="00412F88">
        <w:trPr>
          <w:gridAfter w:val="1"/>
          <w:wAfter w:w="39" w:type="dxa"/>
          <w:trHeight w:val="230"/>
        </w:trPr>
        <w:tc>
          <w:tcPr>
            <w:tcW w:w="2376" w:type="dxa"/>
            <w:tcBorders>
              <w:top w:val="single" w:sz="4" w:space="0" w:color="auto"/>
              <w:left w:val="single" w:sz="4" w:space="0" w:color="auto"/>
              <w:bottom w:val="single" w:sz="4" w:space="0" w:color="auto"/>
              <w:right w:val="single" w:sz="4" w:space="0" w:color="auto"/>
            </w:tcBorders>
          </w:tcPr>
          <w:p w14:paraId="0DB0F816"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Nedažnos</w:t>
            </w:r>
          </w:p>
        </w:tc>
        <w:tc>
          <w:tcPr>
            <w:tcW w:w="6656" w:type="dxa"/>
            <w:tcBorders>
              <w:top w:val="single" w:sz="4" w:space="0" w:color="auto"/>
              <w:left w:val="single" w:sz="4" w:space="0" w:color="auto"/>
              <w:bottom w:val="single" w:sz="4" w:space="0" w:color="auto"/>
              <w:right w:val="single" w:sz="4" w:space="0" w:color="auto"/>
            </w:tcBorders>
          </w:tcPr>
          <w:p w14:paraId="592A1512"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Migrena, mieguistumas, apalpimas, periferinė neuropatija, atminties sutrikimai, išialgija, neramių kojų sindromas, tremoras, smegenų kraujosruvos </w:t>
            </w:r>
          </w:p>
        </w:tc>
      </w:tr>
      <w:tr w:rsidR="008A305D" w:rsidRPr="00D92F6B" w14:paraId="7207D3DB" w14:textId="77777777" w:rsidTr="00412F88">
        <w:trPr>
          <w:gridAfter w:val="1"/>
          <w:wAfter w:w="39" w:type="dxa"/>
          <w:trHeight w:val="100"/>
        </w:trPr>
        <w:tc>
          <w:tcPr>
            <w:tcW w:w="2376" w:type="dxa"/>
            <w:tcBorders>
              <w:top w:val="single" w:sz="4" w:space="0" w:color="auto"/>
              <w:left w:val="single" w:sz="4" w:space="0" w:color="auto"/>
              <w:bottom w:val="single" w:sz="4" w:space="0" w:color="auto"/>
              <w:right w:val="single" w:sz="4" w:space="0" w:color="auto"/>
            </w:tcBorders>
          </w:tcPr>
          <w:p w14:paraId="7CEF5597"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Retos</w:t>
            </w:r>
          </w:p>
        </w:tc>
        <w:tc>
          <w:tcPr>
            <w:tcW w:w="6656" w:type="dxa"/>
            <w:tcBorders>
              <w:top w:val="single" w:sz="4" w:space="0" w:color="auto"/>
              <w:left w:val="single" w:sz="4" w:space="0" w:color="auto"/>
              <w:bottom w:val="single" w:sz="4" w:space="0" w:color="auto"/>
              <w:right w:val="single" w:sz="4" w:space="0" w:color="auto"/>
            </w:tcBorders>
          </w:tcPr>
          <w:p w14:paraId="04B36A76"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Padidėjęs intrakranijinis spaudimas, traukuliai, regos nervo uždegimas </w:t>
            </w:r>
          </w:p>
        </w:tc>
      </w:tr>
      <w:tr w:rsidR="008A305D" w:rsidRPr="00D92F6B" w14:paraId="39AC84B6" w14:textId="77777777" w:rsidTr="00412F88">
        <w:trPr>
          <w:gridAfter w:val="1"/>
          <w:wAfter w:w="39" w:type="dxa"/>
          <w:trHeight w:val="100"/>
        </w:trPr>
        <w:tc>
          <w:tcPr>
            <w:tcW w:w="2376" w:type="dxa"/>
            <w:tcBorders>
              <w:top w:val="single" w:sz="4" w:space="0" w:color="auto"/>
              <w:left w:val="single" w:sz="4" w:space="0" w:color="auto"/>
              <w:bottom w:val="single" w:sz="4" w:space="0" w:color="auto"/>
              <w:right w:val="single" w:sz="4" w:space="0" w:color="auto"/>
            </w:tcBorders>
          </w:tcPr>
          <w:p w14:paraId="31577218" w14:textId="77777777" w:rsidR="008A305D" w:rsidRPr="00D92F6B" w:rsidRDefault="008A305D" w:rsidP="00412F88">
            <w:pPr>
              <w:autoSpaceDE w:val="0"/>
              <w:autoSpaceDN w:val="0"/>
              <w:adjustRightInd w:val="0"/>
              <w:rPr>
                <w:rFonts w:eastAsia="Calibri"/>
                <w:i/>
                <w:iCs/>
                <w:color w:val="000000"/>
                <w:sz w:val="22"/>
                <w:szCs w:val="22"/>
              </w:rPr>
            </w:pPr>
            <w:r w:rsidRPr="00D92F6B">
              <w:rPr>
                <w:rFonts w:eastAsia="Calibri"/>
                <w:i/>
                <w:iCs/>
                <w:color w:val="000000"/>
                <w:sz w:val="22"/>
                <w:szCs w:val="22"/>
              </w:rPr>
              <w:t>Dažnis nežinomas</w:t>
            </w:r>
          </w:p>
        </w:tc>
        <w:tc>
          <w:tcPr>
            <w:tcW w:w="6656" w:type="dxa"/>
            <w:tcBorders>
              <w:top w:val="single" w:sz="4" w:space="0" w:color="auto"/>
              <w:left w:val="single" w:sz="4" w:space="0" w:color="auto"/>
              <w:bottom w:val="single" w:sz="4" w:space="0" w:color="auto"/>
              <w:right w:val="single" w:sz="4" w:space="0" w:color="auto"/>
            </w:tcBorders>
          </w:tcPr>
          <w:p w14:paraId="02C0CE07" w14:textId="77777777" w:rsidR="008A305D" w:rsidRPr="00D92F6B"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Smegenų edema*</w:t>
            </w:r>
          </w:p>
        </w:tc>
      </w:tr>
      <w:tr w:rsidR="008A305D" w:rsidRPr="00D92F6B" w14:paraId="0E499210" w14:textId="77777777" w:rsidTr="00412F88">
        <w:trPr>
          <w:gridAfter w:val="1"/>
          <w:wAfter w:w="39" w:type="dxa"/>
          <w:trHeight w:val="98"/>
        </w:trPr>
        <w:tc>
          <w:tcPr>
            <w:tcW w:w="9032" w:type="dxa"/>
            <w:gridSpan w:val="2"/>
            <w:tcBorders>
              <w:top w:val="single" w:sz="4" w:space="0" w:color="auto"/>
              <w:left w:val="single" w:sz="4" w:space="0" w:color="auto"/>
              <w:bottom w:val="single" w:sz="4" w:space="0" w:color="auto"/>
              <w:right w:val="single" w:sz="4" w:space="0" w:color="auto"/>
            </w:tcBorders>
          </w:tcPr>
          <w:p w14:paraId="2A6C0D5E"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b/>
                <w:bCs/>
                <w:color w:val="000000"/>
                <w:sz w:val="22"/>
                <w:szCs w:val="22"/>
              </w:rPr>
              <w:t xml:space="preserve">Akių sutrikimai </w:t>
            </w:r>
          </w:p>
        </w:tc>
      </w:tr>
      <w:tr w:rsidR="008A305D" w:rsidRPr="00D92F6B" w14:paraId="5CF2527E" w14:textId="77777777" w:rsidTr="00412F88">
        <w:trPr>
          <w:gridAfter w:val="1"/>
          <w:wAfter w:w="39" w:type="dxa"/>
          <w:trHeight w:val="230"/>
        </w:trPr>
        <w:tc>
          <w:tcPr>
            <w:tcW w:w="2376" w:type="dxa"/>
            <w:tcBorders>
              <w:top w:val="single" w:sz="4" w:space="0" w:color="auto"/>
              <w:left w:val="single" w:sz="4" w:space="0" w:color="auto"/>
              <w:bottom w:val="single" w:sz="4" w:space="0" w:color="auto"/>
              <w:right w:val="single" w:sz="4" w:space="0" w:color="auto"/>
            </w:tcBorders>
          </w:tcPr>
          <w:p w14:paraId="37752B28"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Dažnos</w:t>
            </w:r>
          </w:p>
        </w:tc>
        <w:tc>
          <w:tcPr>
            <w:tcW w:w="6656" w:type="dxa"/>
            <w:tcBorders>
              <w:top w:val="single" w:sz="4" w:space="0" w:color="auto"/>
              <w:left w:val="single" w:sz="4" w:space="0" w:color="auto"/>
              <w:bottom w:val="single" w:sz="4" w:space="0" w:color="auto"/>
              <w:right w:val="single" w:sz="4" w:space="0" w:color="auto"/>
            </w:tcBorders>
          </w:tcPr>
          <w:p w14:paraId="250571FA"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Akių vokų edema, padidėjęs ašarojimas, junginės kraujosruvos, konjunktyvitas, akių sausmė, neryškus matymas </w:t>
            </w:r>
          </w:p>
        </w:tc>
      </w:tr>
      <w:tr w:rsidR="008A305D" w:rsidRPr="00D92F6B" w14:paraId="32F569B1" w14:textId="77777777" w:rsidTr="00412F88">
        <w:trPr>
          <w:gridAfter w:val="1"/>
          <w:wAfter w:w="39" w:type="dxa"/>
          <w:trHeight w:val="230"/>
        </w:trPr>
        <w:tc>
          <w:tcPr>
            <w:tcW w:w="2376" w:type="dxa"/>
            <w:tcBorders>
              <w:top w:val="single" w:sz="4" w:space="0" w:color="auto"/>
              <w:left w:val="single" w:sz="4" w:space="0" w:color="auto"/>
              <w:bottom w:val="single" w:sz="4" w:space="0" w:color="auto"/>
              <w:right w:val="single" w:sz="4" w:space="0" w:color="auto"/>
            </w:tcBorders>
          </w:tcPr>
          <w:p w14:paraId="5753A156"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Nedažnos</w:t>
            </w:r>
          </w:p>
        </w:tc>
        <w:tc>
          <w:tcPr>
            <w:tcW w:w="6656" w:type="dxa"/>
            <w:tcBorders>
              <w:top w:val="single" w:sz="4" w:space="0" w:color="auto"/>
              <w:left w:val="single" w:sz="4" w:space="0" w:color="auto"/>
              <w:bottom w:val="single" w:sz="4" w:space="0" w:color="auto"/>
              <w:right w:val="single" w:sz="4" w:space="0" w:color="auto"/>
            </w:tcBorders>
          </w:tcPr>
          <w:p w14:paraId="3E6139DB"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Akių dirginimas, akių skausmas, akiduobės edema, odenos kraujosruvos, tinklainės kraujosruvos, blefaritas, geltonosios dėmės edema </w:t>
            </w:r>
          </w:p>
        </w:tc>
      </w:tr>
      <w:tr w:rsidR="008A305D" w:rsidRPr="00D92F6B" w14:paraId="5D50A6BC" w14:textId="77777777" w:rsidTr="00412F88">
        <w:trPr>
          <w:gridAfter w:val="1"/>
          <w:wAfter w:w="39" w:type="dxa"/>
          <w:trHeight w:val="100"/>
        </w:trPr>
        <w:tc>
          <w:tcPr>
            <w:tcW w:w="2376" w:type="dxa"/>
            <w:tcBorders>
              <w:top w:val="single" w:sz="4" w:space="0" w:color="auto"/>
              <w:left w:val="single" w:sz="4" w:space="0" w:color="auto"/>
              <w:bottom w:val="single" w:sz="4" w:space="0" w:color="auto"/>
              <w:right w:val="single" w:sz="4" w:space="0" w:color="auto"/>
            </w:tcBorders>
          </w:tcPr>
          <w:p w14:paraId="0BE46AB2"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Retos</w:t>
            </w:r>
          </w:p>
        </w:tc>
        <w:tc>
          <w:tcPr>
            <w:tcW w:w="6656" w:type="dxa"/>
            <w:tcBorders>
              <w:top w:val="single" w:sz="4" w:space="0" w:color="auto"/>
              <w:left w:val="single" w:sz="4" w:space="0" w:color="auto"/>
              <w:bottom w:val="single" w:sz="4" w:space="0" w:color="auto"/>
              <w:right w:val="single" w:sz="4" w:space="0" w:color="auto"/>
            </w:tcBorders>
          </w:tcPr>
          <w:p w14:paraId="54DDD567"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Katarakta, glaukoma, regos nervo disko edema </w:t>
            </w:r>
          </w:p>
        </w:tc>
      </w:tr>
      <w:tr w:rsidR="008A305D" w:rsidRPr="00D92F6B" w14:paraId="7F27655B" w14:textId="77777777" w:rsidTr="00412F88">
        <w:trPr>
          <w:gridAfter w:val="1"/>
          <w:wAfter w:w="39" w:type="dxa"/>
          <w:trHeight w:val="100"/>
        </w:trPr>
        <w:tc>
          <w:tcPr>
            <w:tcW w:w="2376" w:type="dxa"/>
            <w:tcBorders>
              <w:top w:val="single" w:sz="4" w:space="0" w:color="auto"/>
              <w:left w:val="single" w:sz="4" w:space="0" w:color="auto"/>
              <w:bottom w:val="single" w:sz="4" w:space="0" w:color="auto"/>
              <w:right w:val="single" w:sz="4" w:space="0" w:color="auto"/>
            </w:tcBorders>
          </w:tcPr>
          <w:p w14:paraId="7A195DB9" w14:textId="77777777" w:rsidR="008A305D" w:rsidRPr="00D92F6B" w:rsidRDefault="008A305D" w:rsidP="00412F88">
            <w:pPr>
              <w:autoSpaceDE w:val="0"/>
              <w:autoSpaceDN w:val="0"/>
              <w:adjustRightInd w:val="0"/>
              <w:rPr>
                <w:rFonts w:eastAsia="Calibri"/>
                <w:i/>
                <w:iCs/>
                <w:color w:val="000000"/>
                <w:sz w:val="22"/>
                <w:szCs w:val="22"/>
              </w:rPr>
            </w:pPr>
            <w:r w:rsidRPr="00D92F6B">
              <w:rPr>
                <w:rFonts w:eastAsia="Calibri"/>
                <w:i/>
                <w:iCs/>
                <w:color w:val="000000"/>
                <w:sz w:val="22"/>
                <w:szCs w:val="22"/>
              </w:rPr>
              <w:t>Dažnis nežinomas</w:t>
            </w:r>
          </w:p>
        </w:tc>
        <w:tc>
          <w:tcPr>
            <w:tcW w:w="6656" w:type="dxa"/>
            <w:tcBorders>
              <w:top w:val="single" w:sz="4" w:space="0" w:color="auto"/>
              <w:left w:val="single" w:sz="4" w:space="0" w:color="auto"/>
              <w:bottom w:val="single" w:sz="4" w:space="0" w:color="auto"/>
              <w:right w:val="single" w:sz="4" w:space="0" w:color="auto"/>
            </w:tcBorders>
          </w:tcPr>
          <w:p w14:paraId="3A2D83D5" w14:textId="77777777" w:rsidR="008A305D" w:rsidRPr="00D92F6B"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Stiklakūnio kraujosruva*</w:t>
            </w:r>
          </w:p>
        </w:tc>
      </w:tr>
      <w:tr w:rsidR="008A305D" w:rsidRPr="00D92F6B" w14:paraId="2E27C381" w14:textId="77777777" w:rsidTr="00412F88">
        <w:trPr>
          <w:gridAfter w:val="1"/>
          <w:wAfter w:w="39" w:type="dxa"/>
          <w:trHeight w:val="98"/>
        </w:trPr>
        <w:tc>
          <w:tcPr>
            <w:tcW w:w="9032" w:type="dxa"/>
            <w:gridSpan w:val="2"/>
            <w:tcBorders>
              <w:top w:val="single" w:sz="4" w:space="0" w:color="auto"/>
              <w:left w:val="single" w:sz="4" w:space="0" w:color="auto"/>
              <w:bottom w:val="single" w:sz="4" w:space="0" w:color="auto"/>
              <w:right w:val="single" w:sz="4" w:space="0" w:color="auto"/>
            </w:tcBorders>
          </w:tcPr>
          <w:p w14:paraId="2568523D"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b/>
                <w:bCs/>
                <w:color w:val="000000"/>
                <w:sz w:val="22"/>
                <w:szCs w:val="22"/>
              </w:rPr>
              <w:t xml:space="preserve">Ausų ir labirintų sutrikimai </w:t>
            </w:r>
          </w:p>
        </w:tc>
      </w:tr>
      <w:tr w:rsidR="008A305D" w:rsidRPr="00D92F6B" w14:paraId="6351576F" w14:textId="77777777" w:rsidTr="00412F88">
        <w:trPr>
          <w:gridAfter w:val="1"/>
          <w:wAfter w:w="39" w:type="dxa"/>
          <w:trHeight w:val="100"/>
        </w:trPr>
        <w:tc>
          <w:tcPr>
            <w:tcW w:w="2376" w:type="dxa"/>
            <w:tcBorders>
              <w:top w:val="single" w:sz="4" w:space="0" w:color="auto"/>
              <w:left w:val="single" w:sz="4" w:space="0" w:color="auto"/>
              <w:bottom w:val="single" w:sz="4" w:space="0" w:color="auto"/>
              <w:right w:val="single" w:sz="4" w:space="0" w:color="auto"/>
            </w:tcBorders>
          </w:tcPr>
          <w:p w14:paraId="4684016E"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 xml:space="preserve">Nedažnos </w:t>
            </w:r>
          </w:p>
        </w:tc>
        <w:tc>
          <w:tcPr>
            <w:tcW w:w="6656" w:type="dxa"/>
            <w:tcBorders>
              <w:top w:val="single" w:sz="4" w:space="0" w:color="auto"/>
              <w:left w:val="single" w:sz="4" w:space="0" w:color="auto"/>
              <w:bottom w:val="single" w:sz="4" w:space="0" w:color="auto"/>
              <w:right w:val="single" w:sz="4" w:space="0" w:color="auto"/>
            </w:tcBorders>
          </w:tcPr>
          <w:p w14:paraId="5137C36F"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Svaigimas (</w:t>
            </w:r>
            <w:r w:rsidRPr="0045031A">
              <w:rPr>
                <w:rFonts w:eastAsia="Calibri"/>
                <w:i/>
                <w:color w:val="000000"/>
                <w:sz w:val="22"/>
                <w:szCs w:val="22"/>
              </w:rPr>
              <w:t>vertigo</w:t>
            </w:r>
            <w:r w:rsidRPr="00D92F6B">
              <w:rPr>
                <w:rFonts w:eastAsia="Calibri"/>
                <w:color w:val="000000"/>
                <w:sz w:val="22"/>
                <w:szCs w:val="22"/>
              </w:rPr>
              <w:t>), ūžęsys (</w:t>
            </w:r>
            <w:r w:rsidRPr="00D92F6B">
              <w:rPr>
                <w:rFonts w:eastAsia="Calibri"/>
                <w:i/>
                <w:color w:val="000000"/>
                <w:sz w:val="22"/>
                <w:szCs w:val="22"/>
              </w:rPr>
              <w:t>tinnitus</w:t>
            </w:r>
            <w:r w:rsidRPr="00D92F6B">
              <w:rPr>
                <w:rFonts w:eastAsia="Calibri"/>
                <w:color w:val="000000"/>
                <w:sz w:val="22"/>
                <w:szCs w:val="22"/>
              </w:rPr>
              <w:t xml:space="preserve">), apkurtimas </w:t>
            </w:r>
          </w:p>
        </w:tc>
      </w:tr>
      <w:tr w:rsidR="008A305D" w:rsidRPr="00D92F6B" w14:paraId="47186E9E" w14:textId="77777777" w:rsidTr="00412F88">
        <w:trPr>
          <w:gridAfter w:val="1"/>
          <w:wAfter w:w="39" w:type="dxa"/>
          <w:trHeight w:val="98"/>
        </w:trPr>
        <w:tc>
          <w:tcPr>
            <w:tcW w:w="9032" w:type="dxa"/>
            <w:gridSpan w:val="2"/>
            <w:tcBorders>
              <w:top w:val="single" w:sz="4" w:space="0" w:color="auto"/>
              <w:left w:val="single" w:sz="4" w:space="0" w:color="auto"/>
              <w:bottom w:val="single" w:sz="4" w:space="0" w:color="auto"/>
              <w:right w:val="single" w:sz="4" w:space="0" w:color="auto"/>
            </w:tcBorders>
          </w:tcPr>
          <w:p w14:paraId="42941C8F"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b/>
                <w:bCs/>
                <w:color w:val="000000"/>
                <w:sz w:val="22"/>
                <w:szCs w:val="22"/>
              </w:rPr>
              <w:t xml:space="preserve">Širdies sutrikimai </w:t>
            </w:r>
          </w:p>
        </w:tc>
      </w:tr>
      <w:tr w:rsidR="008A305D" w:rsidRPr="00D92F6B" w14:paraId="5809B08E" w14:textId="77777777" w:rsidTr="00412F88">
        <w:trPr>
          <w:gridAfter w:val="1"/>
          <w:wAfter w:w="39" w:type="dxa"/>
          <w:trHeight w:val="230"/>
        </w:trPr>
        <w:tc>
          <w:tcPr>
            <w:tcW w:w="2376" w:type="dxa"/>
            <w:tcBorders>
              <w:top w:val="single" w:sz="4" w:space="0" w:color="auto"/>
              <w:left w:val="single" w:sz="4" w:space="0" w:color="auto"/>
              <w:bottom w:val="single" w:sz="4" w:space="0" w:color="auto"/>
              <w:right w:val="single" w:sz="4" w:space="0" w:color="auto"/>
            </w:tcBorders>
          </w:tcPr>
          <w:p w14:paraId="0F5886FB"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Nedažnos</w:t>
            </w:r>
          </w:p>
        </w:tc>
        <w:tc>
          <w:tcPr>
            <w:tcW w:w="6656" w:type="dxa"/>
            <w:tcBorders>
              <w:top w:val="single" w:sz="4" w:space="0" w:color="auto"/>
              <w:left w:val="single" w:sz="4" w:space="0" w:color="auto"/>
              <w:bottom w:val="single" w:sz="4" w:space="0" w:color="auto"/>
              <w:right w:val="single" w:sz="4" w:space="0" w:color="auto"/>
            </w:tcBorders>
          </w:tcPr>
          <w:p w14:paraId="523F0E05"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Stiprus ir greitas širdies plakimas, tachikardija, stazinis širdies nepakankamumas</w:t>
            </w:r>
            <w:r w:rsidRPr="00D92F6B">
              <w:rPr>
                <w:rFonts w:eastAsia="Calibri"/>
                <w:color w:val="000000"/>
                <w:sz w:val="22"/>
                <w:szCs w:val="22"/>
                <w:vertAlign w:val="superscript"/>
              </w:rPr>
              <w:t>3</w:t>
            </w:r>
            <w:r w:rsidRPr="00D92F6B">
              <w:rPr>
                <w:rFonts w:eastAsia="Calibri"/>
                <w:color w:val="000000"/>
                <w:sz w:val="22"/>
                <w:szCs w:val="22"/>
              </w:rPr>
              <w:t xml:space="preserve">, plaučių edema </w:t>
            </w:r>
          </w:p>
        </w:tc>
      </w:tr>
      <w:tr w:rsidR="008A305D" w:rsidRPr="00D92F6B" w14:paraId="6EA4AC50" w14:textId="77777777" w:rsidTr="00412F88">
        <w:trPr>
          <w:gridAfter w:val="1"/>
          <w:wAfter w:w="39" w:type="dxa"/>
          <w:trHeight w:val="230"/>
        </w:trPr>
        <w:tc>
          <w:tcPr>
            <w:tcW w:w="2376" w:type="dxa"/>
            <w:tcBorders>
              <w:top w:val="single" w:sz="4" w:space="0" w:color="auto"/>
              <w:left w:val="single" w:sz="4" w:space="0" w:color="auto"/>
              <w:bottom w:val="single" w:sz="4" w:space="0" w:color="auto"/>
              <w:right w:val="single" w:sz="4" w:space="0" w:color="auto"/>
            </w:tcBorders>
          </w:tcPr>
          <w:p w14:paraId="06C71028"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Retos</w:t>
            </w:r>
          </w:p>
        </w:tc>
        <w:tc>
          <w:tcPr>
            <w:tcW w:w="6656" w:type="dxa"/>
            <w:tcBorders>
              <w:top w:val="single" w:sz="4" w:space="0" w:color="auto"/>
              <w:left w:val="single" w:sz="4" w:space="0" w:color="auto"/>
              <w:bottom w:val="single" w:sz="4" w:space="0" w:color="auto"/>
              <w:right w:val="single" w:sz="4" w:space="0" w:color="auto"/>
            </w:tcBorders>
          </w:tcPr>
          <w:p w14:paraId="1DC37678"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Aritmija, prieširdžių virpėjimas, širdies sustojimas, miokardo infarktas, krūtinės angina, skystis perikarde </w:t>
            </w:r>
          </w:p>
        </w:tc>
      </w:tr>
      <w:tr w:rsidR="008A305D" w:rsidRPr="00D92F6B" w14:paraId="0AC19161" w14:textId="77777777" w:rsidTr="00412F88">
        <w:trPr>
          <w:gridAfter w:val="1"/>
          <w:wAfter w:w="39" w:type="dxa"/>
          <w:trHeight w:val="230"/>
        </w:trPr>
        <w:tc>
          <w:tcPr>
            <w:tcW w:w="2376" w:type="dxa"/>
            <w:tcBorders>
              <w:top w:val="single" w:sz="4" w:space="0" w:color="auto"/>
              <w:left w:val="single" w:sz="4" w:space="0" w:color="auto"/>
              <w:bottom w:val="single" w:sz="4" w:space="0" w:color="auto"/>
              <w:right w:val="single" w:sz="4" w:space="0" w:color="auto"/>
            </w:tcBorders>
          </w:tcPr>
          <w:p w14:paraId="3E736748" w14:textId="77777777" w:rsidR="008A305D" w:rsidRPr="00D92F6B" w:rsidRDefault="008A305D" w:rsidP="00412F88">
            <w:pPr>
              <w:autoSpaceDE w:val="0"/>
              <w:autoSpaceDN w:val="0"/>
              <w:adjustRightInd w:val="0"/>
              <w:rPr>
                <w:rFonts w:eastAsia="Calibri"/>
                <w:i/>
                <w:iCs/>
                <w:color w:val="000000"/>
                <w:sz w:val="22"/>
                <w:szCs w:val="22"/>
              </w:rPr>
            </w:pPr>
            <w:r w:rsidRPr="00D92F6B">
              <w:rPr>
                <w:rFonts w:eastAsia="Calibri"/>
                <w:i/>
                <w:iCs/>
                <w:color w:val="000000"/>
                <w:sz w:val="22"/>
                <w:szCs w:val="22"/>
              </w:rPr>
              <w:t>Dažnis nežinomas</w:t>
            </w:r>
          </w:p>
        </w:tc>
        <w:tc>
          <w:tcPr>
            <w:tcW w:w="6656" w:type="dxa"/>
            <w:tcBorders>
              <w:top w:val="single" w:sz="4" w:space="0" w:color="auto"/>
              <w:left w:val="single" w:sz="4" w:space="0" w:color="auto"/>
              <w:bottom w:val="single" w:sz="4" w:space="0" w:color="auto"/>
              <w:right w:val="single" w:sz="4" w:space="0" w:color="auto"/>
            </w:tcBorders>
          </w:tcPr>
          <w:p w14:paraId="6C4E167C" w14:textId="77777777" w:rsidR="008A305D" w:rsidRPr="00D92F6B"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Perikarditas*, širdies tamponada*</w:t>
            </w:r>
          </w:p>
        </w:tc>
      </w:tr>
      <w:tr w:rsidR="008A305D" w:rsidRPr="00D92F6B" w14:paraId="096712DC" w14:textId="77777777" w:rsidTr="00412F88">
        <w:trPr>
          <w:gridAfter w:val="1"/>
          <w:wAfter w:w="39" w:type="dxa"/>
          <w:trHeight w:val="121"/>
        </w:trPr>
        <w:tc>
          <w:tcPr>
            <w:tcW w:w="9032" w:type="dxa"/>
            <w:gridSpan w:val="2"/>
            <w:tcBorders>
              <w:top w:val="single" w:sz="4" w:space="0" w:color="auto"/>
              <w:left w:val="single" w:sz="4" w:space="0" w:color="auto"/>
              <w:bottom w:val="single" w:sz="4" w:space="0" w:color="auto"/>
              <w:right w:val="single" w:sz="4" w:space="0" w:color="auto"/>
            </w:tcBorders>
          </w:tcPr>
          <w:p w14:paraId="3EF2F328"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b/>
                <w:bCs/>
                <w:color w:val="000000"/>
                <w:sz w:val="22"/>
                <w:szCs w:val="22"/>
              </w:rPr>
              <w:t xml:space="preserve">Kraujagyslių sutrikimai </w:t>
            </w:r>
          </w:p>
        </w:tc>
      </w:tr>
      <w:tr w:rsidR="008A305D" w:rsidRPr="00D92F6B" w14:paraId="3E37BE98" w14:textId="77777777" w:rsidTr="00412F88">
        <w:trPr>
          <w:gridAfter w:val="1"/>
          <w:wAfter w:w="39" w:type="dxa"/>
          <w:trHeight w:val="100"/>
        </w:trPr>
        <w:tc>
          <w:tcPr>
            <w:tcW w:w="2376" w:type="dxa"/>
            <w:tcBorders>
              <w:top w:val="single" w:sz="4" w:space="0" w:color="auto"/>
              <w:left w:val="single" w:sz="4" w:space="0" w:color="auto"/>
              <w:bottom w:val="single" w:sz="4" w:space="0" w:color="auto"/>
              <w:right w:val="single" w:sz="4" w:space="0" w:color="auto"/>
            </w:tcBorders>
          </w:tcPr>
          <w:p w14:paraId="524B46C8"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 xml:space="preserve">Dažnos </w:t>
            </w:r>
          </w:p>
        </w:tc>
        <w:tc>
          <w:tcPr>
            <w:tcW w:w="6656" w:type="dxa"/>
            <w:tcBorders>
              <w:top w:val="single" w:sz="4" w:space="0" w:color="auto"/>
              <w:left w:val="single" w:sz="4" w:space="0" w:color="auto"/>
              <w:bottom w:val="single" w:sz="4" w:space="0" w:color="auto"/>
              <w:right w:val="single" w:sz="4" w:space="0" w:color="auto"/>
            </w:tcBorders>
          </w:tcPr>
          <w:p w14:paraId="2CE73DB9"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Raudonis, hemoragija </w:t>
            </w:r>
          </w:p>
        </w:tc>
      </w:tr>
      <w:tr w:rsidR="008A305D" w:rsidRPr="00D92F6B" w14:paraId="1633EECE" w14:textId="77777777" w:rsidTr="00412F88">
        <w:trPr>
          <w:gridAfter w:val="1"/>
          <w:wAfter w:w="39" w:type="dxa"/>
          <w:trHeight w:val="231"/>
        </w:trPr>
        <w:tc>
          <w:tcPr>
            <w:tcW w:w="2376" w:type="dxa"/>
            <w:tcBorders>
              <w:top w:val="single" w:sz="4" w:space="0" w:color="auto"/>
              <w:left w:val="single" w:sz="4" w:space="0" w:color="auto"/>
              <w:bottom w:val="single" w:sz="4" w:space="0" w:color="auto"/>
              <w:right w:val="single" w:sz="4" w:space="0" w:color="auto"/>
            </w:tcBorders>
          </w:tcPr>
          <w:p w14:paraId="7B97A5A1"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 xml:space="preserve">Nedažnos </w:t>
            </w:r>
          </w:p>
        </w:tc>
        <w:tc>
          <w:tcPr>
            <w:tcW w:w="6656" w:type="dxa"/>
            <w:tcBorders>
              <w:top w:val="single" w:sz="4" w:space="0" w:color="auto"/>
              <w:left w:val="single" w:sz="4" w:space="0" w:color="auto"/>
              <w:bottom w:val="single" w:sz="4" w:space="0" w:color="auto"/>
              <w:right w:val="single" w:sz="4" w:space="0" w:color="auto"/>
            </w:tcBorders>
          </w:tcPr>
          <w:p w14:paraId="03BA1E95"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Hipertenzija, hematoma, subdurinė hematoma, periferinis šalimas, hipotenzija, Reino fenomenas </w:t>
            </w:r>
          </w:p>
        </w:tc>
      </w:tr>
      <w:tr w:rsidR="008A305D" w:rsidRPr="00D92F6B" w14:paraId="2657FAE0" w14:textId="77777777" w:rsidTr="00412F88">
        <w:trPr>
          <w:gridAfter w:val="1"/>
          <w:wAfter w:w="39" w:type="dxa"/>
          <w:trHeight w:val="231"/>
        </w:trPr>
        <w:tc>
          <w:tcPr>
            <w:tcW w:w="2376" w:type="dxa"/>
            <w:tcBorders>
              <w:top w:val="single" w:sz="4" w:space="0" w:color="auto"/>
              <w:left w:val="single" w:sz="4" w:space="0" w:color="auto"/>
              <w:bottom w:val="single" w:sz="4" w:space="0" w:color="auto"/>
              <w:right w:val="single" w:sz="4" w:space="0" w:color="auto"/>
            </w:tcBorders>
          </w:tcPr>
          <w:p w14:paraId="615D22E9" w14:textId="77777777" w:rsidR="008A305D" w:rsidRPr="00D92F6B" w:rsidRDefault="008A305D" w:rsidP="00412F88">
            <w:pPr>
              <w:autoSpaceDE w:val="0"/>
              <w:autoSpaceDN w:val="0"/>
              <w:adjustRightInd w:val="0"/>
              <w:rPr>
                <w:rFonts w:eastAsia="Calibri"/>
                <w:i/>
                <w:iCs/>
                <w:color w:val="000000"/>
                <w:sz w:val="22"/>
                <w:szCs w:val="22"/>
              </w:rPr>
            </w:pPr>
            <w:r w:rsidRPr="00D92F6B">
              <w:rPr>
                <w:rFonts w:eastAsia="Calibri"/>
                <w:i/>
                <w:iCs/>
                <w:color w:val="000000"/>
                <w:sz w:val="22"/>
                <w:szCs w:val="22"/>
              </w:rPr>
              <w:t>Dažnis nežinomas</w:t>
            </w:r>
          </w:p>
        </w:tc>
        <w:tc>
          <w:tcPr>
            <w:tcW w:w="6656" w:type="dxa"/>
            <w:tcBorders>
              <w:top w:val="single" w:sz="4" w:space="0" w:color="auto"/>
              <w:left w:val="single" w:sz="4" w:space="0" w:color="auto"/>
              <w:bottom w:val="single" w:sz="4" w:space="0" w:color="auto"/>
              <w:right w:val="single" w:sz="4" w:space="0" w:color="auto"/>
            </w:tcBorders>
          </w:tcPr>
          <w:p w14:paraId="4D1128D3" w14:textId="77777777" w:rsidR="008A305D" w:rsidRPr="00D92F6B"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Trombozė/embolija*</w:t>
            </w:r>
          </w:p>
        </w:tc>
      </w:tr>
      <w:tr w:rsidR="008A305D" w:rsidRPr="00D92F6B" w14:paraId="6EAAF000" w14:textId="77777777" w:rsidTr="00412F88">
        <w:trPr>
          <w:gridAfter w:val="1"/>
          <w:wAfter w:w="39" w:type="dxa"/>
          <w:trHeight w:val="98"/>
        </w:trPr>
        <w:tc>
          <w:tcPr>
            <w:tcW w:w="9032" w:type="dxa"/>
            <w:gridSpan w:val="2"/>
            <w:tcBorders>
              <w:top w:val="single" w:sz="4" w:space="0" w:color="auto"/>
              <w:left w:val="single" w:sz="4" w:space="0" w:color="auto"/>
              <w:bottom w:val="single" w:sz="4" w:space="0" w:color="auto"/>
              <w:right w:val="single" w:sz="4" w:space="0" w:color="auto"/>
            </w:tcBorders>
          </w:tcPr>
          <w:p w14:paraId="18401D26"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b/>
                <w:bCs/>
                <w:color w:val="000000"/>
                <w:sz w:val="22"/>
                <w:szCs w:val="22"/>
              </w:rPr>
              <w:t xml:space="preserve">Kvėpavimo sistemos, krūtinės ląstos ir tarpuplaučio sutrikimai </w:t>
            </w:r>
          </w:p>
        </w:tc>
      </w:tr>
      <w:tr w:rsidR="008A305D" w:rsidRPr="00D92F6B" w14:paraId="1AE2378B" w14:textId="77777777" w:rsidTr="00412F88">
        <w:trPr>
          <w:gridAfter w:val="1"/>
          <w:wAfter w:w="39" w:type="dxa"/>
          <w:trHeight w:val="100"/>
        </w:trPr>
        <w:tc>
          <w:tcPr>
            <w:tcW w:w="2376" w:type="dxa"/>
            <w:tcBorders>
              <w:top w:val="single" w:sz="4" w:space="0" w:color="auto"/>
              <w:left w:val="single" w:sz="4" w:space="0" w:color="auto"/>
              <w:bottom w:val="single" w:sz="4" w:space="0" w:color="auto"/>
              <w:right w:val="single" w:sz="4" w:space="0" w:color="auto"/>
            </w:tcBorders>
          </w:tcPr>
          <w:p w14:paraId="2EC62EDB"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 xml:space="preserve">Dažnos </w:t>
            </w:r>
          </w:p>
        </w:tc>
        <w:tc>
          <w:tcPr>
            <w:tcW w:w="6656" w:type="dxa"/>
            <w:tcBorders>
              <w:top w:val="single" w:sz="4" w:space="0" w:color="auto"/>
              <w:left w:val="single" w:sz="4" w:space="0" w:color="auto"/>
              <w:bottom w:val="single" w:sz="4" w:space="0" w:color="auto"/>
              <w:right w:val="single" w:sz="4" w:space="0" w:color="auto"/>
            </w:tcBorders>
          </w:tcPr>
          <w:p w14:paraId="04004EF8"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Dusulys, kraujavimas iš nosies, kosulys </w:t>
            </w:r>
          </w:p>
        </w:tc>
      </w:tr>
      <w:tr w:rsidR="008A305D" w:rsidRPr="00D92F6B" w14:paraId="1D04E833" w14:textId="77777777" w:rsidTr="00412F88">
        <w:trPr>
          <w:gridAfter w:val="1"/>
          <w:wAfter w:w="39" w:type="dxa"/>
          <w:trHeight w:val="122"/>
        </w:trPr>
        <w:tc>
          <w:tcPr>
            <w:tcW w:w="2376" w:type="dxa"/>
            <w:tcBorders>
              <w:top w:val="single" w:sz="4" w:space="0" w:color="auto"/>
              <w:left w:val="single" w:sz="4" w:space="0" w:color="auto"/>
              <w:bottom w:val="single" w:sz="4" w:space="0" w:color="auto"/>
              <w:right w:val="single" w:sz="4" w:space="0" w:color="auto"/>
            </w:tcBorders>
          </w:tcPr>
          <w:p w14:paraId="737992DB"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 xml:space="preserve">Nedažnos </w:t>
            </w:r>
          </w:p>
        </w:tc>
        <w:tc>
          <w:tcPr>
            <w:tcW w:w="6656" w:type="dxa"/>
            <w:tcBorders>
              <w:top w:val="single" w:sz="4" w:space="0" w:color="auto"/>
              <w:left w:val="single" w:sz="4" w:space="0" w:color="auto"/>
              <w:bottom w:val="single" w:sz="4" w:space="0" w:color="auto"/>
              <w:right w:val="single" w:sz="4" w:space="0" w:color="auto"/>
            </w:tcBorders>
          </w:tcPr>
          <w:p w14:paraId="1A03C0B7"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Skystis pleuros ertmėje</w:t>
            </w:r>
            <w:r w:rsidRPr="00D92F6B">
              <w:rPr>
                <w:rFonts w:eastAsia="Calibri"/>
                <w:color w:val="000000"/>
                <w:sz w:val="22"/>
                <w:szCs w:val="22"/>
                <w:vertAlign w:val="superscript"/>
              </w:rPr>
              <w:t>5</w:t>
            </w:r>
            <w:r w:rsidRPr="00D92F6B">
              <w:rPr>
                <w:rFonts w:eastAsia="Calibri"/>
                <w:color w:val="000000"/>
                <w:sz w:val="22"/>
                <w:szCs w:val="22"/>
              </w:rPr>
              <w:t xml:space="preserve">, ryklės ir gerklų skausmas, faringitas </w:t>
            </w:r>
          </w:p>
        </w:tc>
      </w:tr>
      <w:tr w:rsidR="008A305D" w:rsidRPr="00D92F6B" w14:paraId="33F679B1" w14:textId="77777777" w:rsidTr="00412F88">
        <w:trPr>
          <w:gridAfter w:val="1"/>
          <w:wAfter w:w="39" w:type="dxa"/>
          <w:trHeight w:val="230"/>
        </w:trPr>
        <w:tc>
          <w:tcPr>
            <w:tcW w:w="2376" w:type="dxa"/>
            <w:tcBorders>
              <w:top w:val="single" w:sz="4" w:space="0" w:color="auto"/>
              <w:left w:val="single" w:sz="4" w:space="0" w:color="auto"/>
              <w:bottom w:val="single" w:sz="4" w:space="0" w:color="auto"/>
              <w:right w:val="single" w:sz="4" w:space="0" w:color="auto"/>
            </w:tcBorders>
          </w:tcPr>
          <w:p w14:paraId="604CBD73"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 xml:space="preserve">Retos </w:t>
            </w:r>
          </w:p>
        </w:tc>
        <w:tc>
          <w:tcPr>
            <w:tcW w:w="6656" w:type="dxa"/>
            <w:tcBorders>
              <w:top w:val="single" w:sz="4" w:space="0" w:color="auto"/>
              <w:left w:val="single" w:sz="4" w:space="0" w:color="auto"/>
              <w:bottom w:val="single" w:sz="4" w:space="0" w:color="auto"/>
              <w:right w:val="single" w:sz="4" w:space="0" w:color="auto"/>
            </w:tcBorders>
          </w:tcPr>
          <w:p w14:paraId="7B0CC535"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Pleuritinis skausmas, plaučių fibrozė, plaučių hipertenzija, kraujavimas iš plaučių </w:t>
            </w:r>
          </w:p>
        </w:tc>
      </w:tr>
      <w:tr w:rsidR="008A305D" w:rsidRPr="00D92F6B" w14:paraId="70778829" w14:textId="77777777" w:rsidTr="00412F88">
        <w:trPr>
          <w:gridAfter w:val="1"/>
          <w:wAfter w:w="39" w:type="dxa"/>
          <w:trHeight w:val="230"/>
        </w:trPr>
        <w:tc>
          <w:tcPr>
            <w:tcW w:w="2376" w:type="dxa"/>
            <w:tcBorders>
              <w:top w:val="single" w:sz="4" w:space="0" w:color="auto"/>
              <w:left w:val="single" w:sz="4" w:space="0" w:color="auto"/>
              <w:bottom w:val="single" w:sz="4" w:space="0" w:color="auto"/>
              <w:right w:val="single" w:sz="4" w:space="0" w:color="auto"/>
            </w:tcBorders>
          </w:tcPr>
          <w:p w14:paraId="11A7434F" w14:textId="77777777" w:rsidR="008A305D" w:rsidRPr="00D92F6B" w:rsidRDefault="008A305D" w:rsidP="00412F88">
            <w:pPr>
              <w:autoSpaceDE w:val="0"/>
              <w:autoSpaceDN w:val="0"/>
              <w:adjustRightInd w:val="0"/>
              <w:rPr>
                <w:rFonts w:eastAsia="Calibri"/>
                <w:i/>
                <w:iCs/>
                <w:color w:val="000000"/>
                <w:sz w:val="22"/>
                <w:szCs w:val="22"/>
              </w:rPr>
            </w:pPr>
            <w:r w:rsidRPr="00D92F6B">
              <w:rPr>
                <w:rFonts w:eastAsia="Calibri"/>
                <w:i/>
                <w:iCs/>
                <w:color w:val="000000"/>
                <w:sz w:val="22"/>
                <w:szCs w:val="22"/>
              </w:rPr>
              <w:t>Dažnis nežinomas</w:t>
            </w:r>
          </w:p>
        </w:tc>
        <w:tc>
          <w:tcPr>
            <w:tcW w:w="6656" w:type="dxa"/>
            <w:tcBorders>
              <w:top w:val="single" w:sz="4" w:space="0" w:color="auto"/>
              <w:left w:val="single" w:sz="4" w:space="0" w:color="auto"/>
              <w:bottom w:val="single" w:sz="4" w:space="0" w:color="auto"/>
              <w:right w:val="single" w:sz="4" w:space="0" w:color="auto"/>
            </w:tcBorders>
          </w:tcPr>
          <w:p w14:paraId="58CDF687" w14:textId="77777777" w:rsidR="008A305D" w:rsidRPr="00D92F6B"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Ūminis kvėpavimo nepakankamumas</w:t>
            </w:r>
            <w:r w:rsidRPr="00D92F6B">
              <w:rPr>
                <w:rFonts w:eastAsia="Calibri"/>
                <w:color w:val="000000"/>
                <w:sz w:val="22"/>
                <w:szCs w:val="22"/>
                <w:vertAlign w:val="superscript"/>
              </w:rPr>
              <w:t>10</w:t>
            </w:r>
            <w:r w:rsidRPr="00D92F6B">
              <w:rPr>
                <w:rFonts w:eastAsia="Calibri"/>
                <w:color w:val="000000"/>
                <w:sz w:val="22"/>
                <w:szCs w:val="22"/>
              </w:rPr>
              <w:t>*, intersticinė plaučių liga*</w:t>
            </w:r>
          </w:p>
        </w:tc>
      </w:tr>
      <w:tr w:rsidR="008A305D" w:rsidRPr="00D92F6B" w14:paraId="4A2A1344" w14:textId="77777777" w:rsidTr="00412F88">
        <w:trPr>
          <w:gridAfter w:val="1"/>
          <w:wAfter w:w="39" w:type="dxa"/>
          <w:trHeight w:val="98"/>
        </w:trPr>
        <w:tc>
          <w:tcPr>
            <w:tcW w:w="9032" w:type="dxa"/>
            <w:gridSpan w:val="2"/>
            <w:tcBorders>
              <w:top w:val="single" w:sz="4" w:space="0" w:color="auto"/>
              <w:left w:val="single" w:sz="4" w:space="0" w:color="auto"/>
              <w:bottom w:val="single" w:sz="4" w:space="0" w:color="auto"/>
              <w:right w:val="single" w:sz="4" w:space="0" w:color="auto"/>
            </w:tcBorders>
          </w:tcPr>
          <w:p w14:paraId="34AF750C"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b/>
                <w:bCs/>
                <w:color w:val="000000"/>
                <w:sz w:val="22"/>
                <w:szCs w:val="22"/>
              </w:rPr>
              <w:t xml:space="preserve">Virškinimo trakto sutrikimai </w:t>
            </w:r>
          </w:p>
        </w:tc>
      </w:tr>
      <w:tr w:rsidR="008A305D" w:rsidRPr="00D92F6B" w14:paraId="7D5D81A8" w14:textId="77777777" w:rsidTr="00412F88">
        <w:trPr>
          <w:gridAfter w:val="1"/>
          <w:wAfter w:w="39" w:type="dxa"/>
          <w:trHeight w:val="122"/>
        </w:trPr>
        <w:tc>
          <w:tcPr>
            <w:tcW w:w="2376" w:type="dxa"/>
            <w:tcBorders>
              <w:top w:val="single" w:sz="4" w:space="0" w:color="auto"/>
              <w:left w:val="single" w:sz="4" w:space="0" w:color="auto"/>
              <w:bottom w:val="single" w:sz="4" w:space="0" w:color="auto"/>
              <w:right w:val="single" w:sz="4" w:space="0" w:color="auto"/>
            </w:tcBorders>
          </w:tcPr>
          <w:p w14:paraId="4B320399"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Labai dažnos</w:t>
            </w:r>
          </w:p>
        </w:tc>
        <w:tc>
          <w:tcPr>
            <w:tcW w:w="6656" w:type="dxa"/>
            <w:tcBorders>
              <w:top w:val="single" w:sz="4" w:space="0" w:color="auto"/>
              <w:left w:val="single" w:sz="4" w:space="0" w:color="auto"/>
              <w:bottom w:val="single" w:sz="4" w:space="0" w:color="auto"/>
              <w:right w:val="single" w:sz="4" w:space="0" w:color="auto"/>
            </w:tcBorders>
          </w:tcPr>
          <w:p w14:paraId="58C0F400"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Pykinimas, viduriavimas, vėmimas, dispepsija, pilvo skausmas</w:t>
            </w:r>
            <w:r w:rsidRPr="00D92F6B">
              <w:rPr>
                <w:rFonts w:eastAsia="Calibri"/>
                <w:color w:val="000000"/>
                <w:sz w:val="22"/>
                <w:szCs w:val="22"/>
                <w:vertAlign w:val="superscript"/>
              </w:rPr>
              <w:t xml:space="preserve">6 </w:t>
            </w:r>
          </w:p>
        </w:tc>
      </w:tr>
      <w:tr w:rsidR="008A305D" w:rsidRPr="00D92F6B" w14:paraId="47BC8303" w14:textId="77777777" w:rsidTr="00412F88">
        <w:trPr>
          <w:gridAfter w:val="1"/>
          <w:wAfter w:w="39" w:type="dxa"/>
          <w:trHeight w:val="230"/>
        </w:trPr>
        <w:tc>
          <w:tcPr>
            <w:tcW w:w="2376" w:type="dxa"/>
            <w:tcBorders>
              <w:top w:val="single" w:sz="4" w:space="0" w:color="auto"/>
              <w:left w:val="single" w:sz="4" w:space="0" w:color="auto"/>
              <w:bottom w:val="single" w:sz="4" w:space="0" w:color="auto"/>
              <w:right w:val="single" w:sz="4" w:space="0" w:color="auto"/>
            </w:tcBorders>
          </w:tcPr>
          <w:p w14:paraId="07440C2F"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 xml:space="preserve">Dažnos </w:t>
            </w:r>
          </w:p>
        </w:tc>
        <w:tc>
          <w:tcPr>
            <w:tcW w:w="6656" w:type="dxa"/>
            <w:tcBorders>
              <w:top w:val="single" w:sz="4" w:space="0" w:color="auto"/>
              <w:left w:val="single" w:sz="4" w:space="0" w:color="auto"/>
              <w:bottom w:val="single" w:sz="4" w:space="0" w:color="auto"/>
              <w:right w:val="single" w:sz="4" w:space="0" w:color="auto"/>
            </w:tcBorders>
          </w:tcPr>
          <w:p w14:paraId="58942E2E"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Dujų susikaupimas žarnyne, pilvo pūtimas, gastroezofaginis refliuksas, vidurių užkietėjimas, burnos džiūvimas, gastritas </w:t>
            </w:r>
          </w:p>
        </w:tc>
      </w:tr>
      <w:tr w:rsidR="008A305D" w:rsidRPr="00D92F6B" w14:paraId="20A9217D" w14:textId="77777777" w:rsidTr="00412F88">
        <w:trPr>
          <w:gridAfter w:val="1"/>
          <w:wAfter w:w="39" w:type="dxa"/>
          <w:trHeight w:val="382"/>
        </w:trPr>
        <w:tc>
          <w:tcPr>
            <w:tcW w:w="2376" w:type="dxa"/>
            <w:tcBorders>
              <w:top w:val="single" w:sz="4" w:space="0" w:color="auto"/>
              <w:left w:val="single" w:sz="4" w:space="0" w:color="auto"/>
              <w:bottom w:val="single" w:sz="4" w:space="0" w:color="auto"/>
              <w:right w:val="single" w:sz="4" w:space="0" w:color="auto"/>
            </w:tcBorders>
          </w:tcPr>
          <w:p w14:paraId="25FADDF0"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 xml:space="preserve">Nedažnos </w:t>
            </w:r>
          </w:p>
        </w:tc>
        <w:tc>
          <w:tcPr>
            <w:tcW w:w="6656" w:type="dxa"/>
            <w:tcBorders>
              <w:top w:val="single" w:sz="4" w:space="0" w:color="auto"/>
              <w:left w:val="single" w:sz="4" w:space="0" w:color="auto"/>
              <w:bottom w:val="single" w:sz="4" w:space="0" w:color="auto"/>
              <w:right w:val="single" w:sz="4" w:space="0" w:color="auto"/>
            </w:tcBorders>
          </w:tcPr>
          <w:p w14:paraId="2420FD7B"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Stomatitas, burnos išopėjimas, kraujavimas iš virškinimo trakto</w:t>
            </w:r>
            <w:r w:rsidRPr="00D92F6B">
              <w:rPr>
                <w:rFonts w:eastAsia="Calibri"/>
                <w:color w:val="000000"/>
                <w:sz w:val="22"/>
                <w:szCs w:val="22"/>
                <w:vertAlign w:val="superscript"/>
              </w:rPr>
              <w:t>7</w:t>
            </w:r>
            <w:r w:rsidRPr="00D92F6B">
              <w:rPr>
                <w:rFonts w:eastAsia="Calibri"/>
                <w:color w:val="000000"/>
                <w:sz w:val="22"/>
                <w:szCs w:val="22"/>
              </w:rPr>
              <w:t xml:space="preserve">, raugulys, melena, ezofagitas, ascitas, skrandžio opa, hematemezė, lūpos uždegimas, disfagija, pankreatitas </w:t>
            </w:r>
          </w:p>
        </w:tc>
      </w:tr>
      <w:tr w:rsidR="008A305D" w:rsidRPr="00D92F6B" w14:paraId="7FD2D7D2" w14:textId="77777777" w:rsidTr="00412F88">
        <w:trPr>
          <w:gridAfter w:val="1"/>
          <w:wAfter w:w="39" w:type="dxa"/>
          <w:trHeight w:val="100"/>
        </w:trPr>
        <w:tc>
          <w:tcPr>
            <w:tcW w:w="2376" w:type="dxa"/>
            <w:tcBorders>
              <w:top w:val="single" w:sz="4" w:space="0" w:color="auto"/>
              <w:left w:val="single" w:sz="4" w:space="0" w:color="auto"/>
              <w:bottom w:val="single" w:sz="4" w:space="0" w:color="auto"/>
              <w:right w:val="single" w:sz="4" w:space="0" w:color="auto"/>
            </w:tcBorders>
          </w:tcPr>
          <w:p w14:paraId="13768F08"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 xml:space="preserve">Retos </w:t>
            </w:r>
          </w:p>
        </w:tc>
        <w:tc>
          <w:tcPr>
            <w:tcW w:w="6656" w:type="dxa"/>
            <w:tcBorders>
              <w:top w:val="single" w:sz="4" w:space="0" w:color="auto"/>
              <w:left w:val="single" w:sz="4" w:space="0" w:color="auto"/>
              <w:bottom w:val="single" w:sz="4" w:space="0" w:color="auto"/>
              <w:right w:val="single" w:sz="4" w:space="0" w:color="auto"/>
            </w:tcBorders>
          </w:tcPr>
          <w:p w14:paraId="4659D87C"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Kolitas, žarnų nepraeinamumas, uždegiminė žarnų liga </w:t>
            </w:r>
          </w:p>
        </w:tc>
      </w:tr>
      <w:tr w:rsidR="008A305D" w:rsidRPr="00D92F6B" w14:paraId="73DDFD25" w14:textId="77777777" w:rsidTr="00412F88">
        <w:trPr>
          <w:gridAfter w:val="1"/>
          <w:wAfter w:w="39" w:type="dxa"/>
          <w:trHeight w:val="100"/>
        </w:trPr>
        <w:tc>
          <w:tcPr>
            <w:tcW w:w="2376" w:type="dxa"/>
            <w:tcBorders>
              <w:top w:val="single" w:sz="4" w:space="0" w:color="auto"/>
              <w:left w:val="single" w:sz="4" w:space="0" w:color="auto"/>
              <w:bottom w:val="single" w:sz="4" w:space="0" w:color="auto"/>
              <w:right w:val="single" w:sz="4" w:space="0" w:color="auto"/>
            </w:tcBorders>
          </w:tcPr>
          <w:p w14:paraId="56AE9E21" w14:textId="77777777" w:rsidR="008A305D" w:rsidRPr="00D92F6B" w:rsidRDefault="008A305D" w:rsidP="00412F88">
            <w:pPr>
              <w:autoSpaceDE w:val="0"/>
              <w:autoSpaceDN w:val="0"/>
              <w:adjustRightInd w:val="0"/>
              <w:rPr>
                <w:rFonts w:eastAsia="Calibri"/>
                <w:i/>
                <w:iCs/>
                <w:color w:val="000000"/>
                <w:sz w:val="22"/>
                <w:szCs w:val="22"/>
              </w:rPr>
            </w:pPr>
            <w:r w:rsidRPr="00D92F6B">
              <w:rPr>
                <w:rFonts w:eastAsia="Calibri"/>
                <w:i/>
                <w:iCs/>
                <w:color w:val="000000"/>
                <w:sz w:val="22"/>
                <w:szCs w:val="22"/>
              </w:rPr>
              <w:t>Dažnis nežinomas</w:t>
            </w:r>
          </w:p>
        </w:tc>
        <w:tc>
          <w:tcPr>
            <w:tcW w:w="6656" w:type="dxa"/>
            <w:tcBorders>
              <w:top w:val="single" w:sz="4" w:space="0" w:color="auto"/>
              <w:left w:val="single" w:sz="4" w:space="0" w:color="auto"/>
              <w:bottom w:val="single" w:sz="4" w:space="0" w:color="auto"/>
              <w:right w:val="single" w:sz="4" w:space="0" w:color="auto"/>
            </w:tcBorders>
          </w:tcPr>
          <w:p w14:paraId="03F54829" w14:textId="77777777" w:rsidR="008A305D" w:rsidRPr="00D92F6B"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Žarnų nepraeinamumas/žarnų obstrukcija*, virškinimo trakto perforacija*, divertikulitas*, prievarčio kraujagyslių išsiplėtimas (GAVE)*</w:t>
            </w:r>
          </w:p>
        </w:tc>
      </w:tr>
      <w:tr w:rsidR="008A305D" w:rsidRPr="00D92F6B" w14:paraId="5176313D" w14:textId="77777777" w:rsidTr="00412F88">
        <w:trPr>
          <w:gridAfter w:val="1"/>
          <w:wAfter w:w="39" w:type="dxa"/>
          <w:trHeight w:val="98"/>
        </w:trPr>
        <w:tc>
          <w:tcPr>
            <w:tcW w:w="9032" w:type="dxa"/>
            <w:gridSpan w:val="2"/>
            <w:tcBorders>
              <w:top w:val="single" w:sz="4" w:space="0" w:color="auto"/>
              <w:left w:val="single" w:sz="4" w:space="0" w:color="auto"/>
              <w:bottom w:val="single" w:sz="4" w:space="0" w:color="auto"/>
              <w:right w:val="single" w:sz="4" w:space="0" w:color="auto"/>
            </w:tcBorders>
          </w:tcPr>
          <w:p w14:paraId="264573BF"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b/>
                <w:bCs/>
                <w:color w:val="000000"/>
                <w:sz w:val="22"/>
                <w:szCs w:val="22"/>
              </w:rPr>
              <w:t xml:space="preserve">Kepenų, tulžies pūslės ir latakų sutrikimai </w:t>
            </w:r>
          </w:p>
        </w:tc>
      </w:tr>
      <w:tr w:rsidR="008A305D" w:rsidRPr="00D92F6B" w14:paraId="63D9242E" w14:textId="77777777" w:rsidTr="00412F88">
        <w:trPr>
          <w:gridAfter w:val="1"/>
          <w:wAfter w:w="39" w:type="dxa"/>
          <w:trHeight w:val="100"/>
        </w:trPr>
        <w:tc>
          <w:tcPr>
            <w:tcW w:w="2376" w:type="dxa"/>
            <w:tcBorders>
              <w:top w:val="single" w:sz="4" w:space="0" w:color="auto"/>
              <w:left w:val="single" w:sz="4" w:space="0" w:color="auto"/>
              <w:bottom w:val="single" w:sz="4" w:space="0" w:color="auto"/>
              <w:right w:val="single" w:sz="4" w:space="0" w:color="auto"/>
            </w:tcBorders>
          </w:tcPr>
          <w:p w14:paraId="3E4BDC9C"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 xml:space="preserve">Dažnos </w:t>
            </w:r>
          </w:p>
        </w:tc>
        <w:tc>
          <w:tcPr>
            <w:tcW w:w="6656" w:type="dxa"/>
            <w:tcBorders>
              <w:top w:val="single" w:sz="4" w:space="0" w:color="auto"/>
              <w:left w:val="single" w:sz="4" w:space="0" w:color="auto"/>
              <w:bottom w:val="single" w:sz="4" w:space="0" w:color="auto"/>
              <w:right w:val="single" w:sz="4" w:space="0" w:color="auto"/>
            </w:tcBorders>
          </w:tcPr>
          <w:p w14:paraId="7F5B1247"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Padidėjęs kepenų fermentų aktyvumas</w:t>
            </w:r>
          </w:p>
        </w:tc>
      </w:tr>
      <w:tr w:rsidR="008A305D" w:rsidRPr="00D92F6B" w14:paraId="227A4F05" w14:textId="77777777" w:rsidTr="00412F88">
        <w:trPr>
          <w:gridAfter w:val="1"/>
          <w:wAfter w:w="39" w:type="dxa"/>
          <w:trHeight w:val="100"/>
        </w:trPr>
        <w:tc>
          <w:tcPr>
            <w:tcW w:w="2376" w:type="dxa"/>
            <w:tcBorders>
              <w:top w:val="single" w:sz="4" w:space="0" w:color="auto"/>
              <w:left w:val="single" w:sz="4" w:space="0" w:color="auto"/>
              <w:bottom w:val="single" w:sz="4" w:space="0" w:color="auto"/>
              <w:right w:val="single" w:sz="4" w:space="0" w:color="auto"/>
            </w:tcBorders>
          </w:tcPr>
          <w:p w14:paraId="1C4DD241"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 xml:space="preserve">Nedažnos </w:t>
            </w:r>
          </w:p>
        </w:tc>
        <w:tc>
          <w:tcPr>
            <w:tcW w:w="6656" w:type="dxa"/>
            <w:tcBorders>
              <w:top w:val="single" w:sz="4" w:space="0" w:color="auto"/>
              <w:left w:val="single" w:sz="4" w:space="0" w:color="auto"/>
              <w:bottom w:val="single" w:sz="4" w:space="0" w:color="auto"/>
              <w:right w:val="single" w:sz="4" w:space="0" w:color="auto"/>
            </w:tcBorders>
          </w:tcPr>
          <w:p w14:paraId="7087BD69"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Hiperbilirubinemija, hepatitas, gelta </w:t>
            </w:r>
          </w:p>
        </w:tc>
      </w:tr>
      <w:tr w:rsidR="008A305D" w:rsidRPr="00D92F6B" w14:paraId="6D8ACBCD" w14:textId="77777777" w:rsidTr="00412F88">
        <w:trPr>
          <w:gridAfter w:val="1"/>
          <w:wAfter w:w="39" w:type="dxa"/>
          <w:trHeight w:val="122"/>
        </w:trPr>
        <w:tc>
          <w:tcPr>
            <w:tcW w:w="2376" w:type="dxa"/>
            <w:tcBorders>
              <w:top w:val="single" w:sz="4" w:space="0" w:color="auto"/>
              <w:left w:val="single" w:sz="4" w:space="0" w:color="auto"/>
              <w:bottom w:val="single" w:sz="4" w:space="0" w:color="auto"/>
              <w:right w:val="single" w:sz="4" w:space="0" w:color="auto"/>
            </w:tcBorders>
          </w:tcPr>
          <w:p w14:paraId="49363F9E"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 xml:space="preserve">Retos </w:t>
            </w:r>
          </w:p>
        </w:tc>
        <w:tc>
          <w:tcPr>
            <w:tcW w:w="6656" w:type="dxa"/>
            <w:tcBorders>
              <w:top w:val="single" w:sz="4" w:space="0" w:color="auto"/>
              <w:left w:val="single" w:sz="4" w:space="0" w:color="auto"/>
              <w:bottom w:val="single" w:sz="4" w:space="0" w:color="auto"/>
              <w:right w:val="single" w:sz="4" w:space="0" w:color="auto"/>
            </w:tcBorders>
          </w:tcPr>
          <w:p w14:paraId="41337135"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Kepenų nepakankamumas</w:t>
            </w:r>
            <w:r w:rsidRPr="00D92F6B">
              <w:rPr>
                <w:rFonts w:eastAsia="Calibri"/>
                <w:color w:val="000000"/>
                <w:sz w:val="22"/>
                <w:szCs w:val="22"/>
                <w:vertAlign w:val="superscript"/>
              </w:rPr>
              <w:t>8</w:t>
            </w:r>
            <w:r w:rsidRPr="00D92F6B">
              <w:rPr>
                <w:rFonts w:eastAsia="Calibri"/>
                <w:color w:val="000000"/>
                <w:sz w:val="22"/>
                <w:szCs w:val="22"/>
              </w:rPr>
              <w:t xml:space="preserve">, kepenų nekrozė </w:t>
            </w:r>
          </w:p>
        </w:tc>
      </w:tr>
      <w:tr w:rsidR="008A305D" w:rsidRPr="00D92F6B" w14:paraId="662E19A6" w14:textId="77777777" w:rsidTr="00412F88">
        <w:trPr>
          <w:gridAfter w:val="1"/>
          <w:wAfter w:w="39" w:type="dxa"/>
          <w:trHeight w:val="98"/>
        </w:trPr>
        <w:tc>
          <w:tcPr>
            <w:tcW w:w="9032" w:type="dxa"/>
            <w:gridSpan w:val="2"/>
            <w:tcBorders>
              <w:top w:val="single" w:sz="4" w:space="0" w:color="auto"/>
              <w:left w:val="single" w:sz="4" w:space="0" w:color="auto"/>
              <w:bottom w:val="single" w:sz="4" w:space="0" w:color="auto"/>
              <w:right w:val="single" w:sz="4" w:space="0" w:color="auto"/>
            </w:tcBorders>
          </w:tcPr>
          <w:p w14:paraId="00B9779B"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b/>
                <w:bCs/>
                <w:color w:val="000000"/>
                <w:sz w:val="22"/>
                <w:szCs w:val="22"/>
              </w:rPr>
              <w:t xml:space="preserve">Odos ir poodinio audinio sutrikimai </w:t>
            </w:r>
          </w:p>
        </w:tc>
      </w:tr>
      <w:tr w:rsidR="008A305D" w:rsidRPr="00D92F6B" w14:paraId="561C92C7" w14:textId="77777777" w:rsidTr="00412F88">
        <w:trPr>
          <w:gridAfter w:val="1"/>
          <w:wAfter w:w="39" w:type="dxa"/>
          <w:trHeight w:val="100"/>
        </w:trPr>
        <w:tc>
          <w:tcPr>
            <w:tcW w:w="2376" w:type="dxa"/>
            <w:tcBorders>
              <w:top w:val="single" w:sz="4" w:space="0" w:color="auto"/>
              <w:left w:val="single" w:sz="4" w:space="0" w:color="auto"/>
              <w:bottom w:val="single" w:sz="4" w:space="0" w:color="auto"/>
              <w:right w:val="single" w:sz="4" w:space="0" w:color="auto"/>
            </w:tcBorders>
          </w:tcPr>
          <w:p w14:paraId="119AD2D2"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 xml:space="preserve">Labai dažnos </w:t>
            </w:r>
          </w:p>
        </w:tc>
        <w:tc>
          <w:tcPr>
            <w:tcW w:w="6656" w:type="dxa"/>
            <w:tcBorders>
              <w:top w:val="single" w:sz="4" w:space="0" w:color="auto"/>
              <w:left w:val="single" w:sz="4" w:space="0" w:color="auto"/>
              <w:bottom w:val="single" w:sz="4" w:space="0" w:color="auto"/>
              <w:right w:val="single" w:sz="4" w:space="0" w:color="auto"/>
            </w:tcBorders>
          </w:tcPr>
          <w:p w14:paraId="7B96753D"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Edema apie akis, dermatitas/egzema/bėrimas </w:t>
            </w:r>
          </w:p>
        </w:tc>
      </w:tr>
      <w:tr w:rsidR="008A305D" w:rsidRPr="00D92F6B" w14:paraId="49ECD605" w14:textId="77777777" w:rsidTr="00412F88">
        <w:trPr>
          <w:gridAfter w:val="1"/>
          <w:wAfter w:w="39" w:type="dxa"/>
          <w:trHeight w:val="230"/>
        </w:trPr>
        <w:tc>
          <w:tcPr>
            <w:tcW w:w="2376" w:type="dxa"/>
            <w:tcBorders>
              <w:top w:val="single" w:sz="4" w:space="0" w:color="auto"/>
              <w:left w:val="single" w:sz="4" w:space="0" w:color="auto"/>
              <w:bottom w:val="single" w:sz="4" w:space="0" w:color="auto"/>
              <w:right w:val="single" w:sz="4" w:space="0" w:color="auto"/>
            </w:tcBorders>
          </w:tcPr>
          <w:p w14:paraId="2137D29B"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 xml:space="preserve">Dažnos </w:t>
            </w:r>
          </w:p>
        </w:tc>
        <w:tc>
          <w:tcPr>
            <w:tcW w:w="6656" w:type="dxa"/>
            <w:tcBorders>
              <w:top w:val="single" w:sz="4" w:space="0" w:color="auto"/>
              <w:left w:val="single" w:sz="4" w:space="0" w:color="auto"/>
              <w:bottom w:val="single" w:sz="4" w:space="0" w:color="auto"/>
              <w:right w:val="single" w:sz="4" w:space="0" w:color="auto"/>
            </w:tcBorders>
          </w:tcPr>
          <w:p w14:paraId="759756E0"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Niežėjimas, veido edema, sausa oda, eritema, alopecija, naktinis prakaitavimas, fotosensibilizacijos reakcija </w:t>
            </w:r>
          </w:p>
        </w:tc>
      </w:tr>
      <w:tr w:rsidR="008A305D" w:rsidRPr="00D92F6B" w14:paraId="5ADE44D1" w14:textId="77777777" w:rsidTr="00412F88">
        <w:trPr>
          <w:gridAfter w:val="1"/>
          <w:wAfter w:w="39" w:type="dxa"/>
          <w:trHeight w:val="490"/>
        </w:trPr>
        <w:tc>
          <w:tcPr>
            <w:tcW w:w="2376" w:type="dxa"/>
            <w:tcBorders>
              <w:top w:val="single" w:sz="4" w:space="0" w:color="auto"/>
              <w:left w:val="single" w:sz="4" w:space="0" w:color="auto"/>
              <w:bottom w:val="single" w:sz="4" w:space="0" w:color="auto"/>
              <w:right w:val="single" w:sz="4" w:space="0" w:color="auto"/>
            </w:tcBorders>
          </w:tcPr>
          <w:p w14:paraId="1DDB6765"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 xml:space="preserve">Nedažnos </w:t>
            </w:r>
          </w:p>
        </w:tc>
        <w:tc>
          <w:tcPr>
            <w:tcW w:w="6656" w:type="dxa"/>
            <w:tcBorders>
              <w:top w:val="single" w:sz="4" w:space="0" w:color="auto"/>
              <w:left w:val="single" w:sz="4" w:space="0" w:color="auto"/>
              <w:bottom w:val="single" w:sz="4" w:space="0" w:color="auto"/>
              <w:right w:val="single" w:sz="4" w:space="0" w:color="auto"/>
            </w:tcBorders>
          </w:tcPr>
          <w:p w14:paraId="051A3E8C"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Pustulinis bėrimas, sumušimas, padidėjęs prakaitavimas, dilgėlinė, ekchimozė, padidėjęs polinkis į mėlynes, sumažėjęs plaukuotumas, odos hipopigmentacija, eksfoliacinis dermatitas, nagų lūžinėjimas, folikulitas, petechijos, psoriazė, purpura, odos hiperpigmentacija, pūslinis bėrimas </w:t>
            </w:r>
          </w:p>
        </w:tc>
      </w:tr>
      <w:tr w:rsidR="008A305D" w:rsidRPr="00D92F6B" w14:paraId="35DE5DE4" w14:textId="77777777" w:rsidTr="00412F88">
        <w:trPr>
          <w:gridAfter w:val="1"/>
          <w:wAfter w:w="39" w:type="dxa"/>
          <w:trHeight w:val="490"/>
        </w:trPr>
        <w:tc>
          <w:tcPr>
            <w:tcW w:w="2376" w:type="dxa"/>
            <w:tcBorders>
              <w:top w:val="single" w:sz="4" w:space="0" w:color="auto"/>
              <w:left w:val="single" w:sz="4" w:space="0" w:color="auto"/>
              <w:bottom w:val="single" w:sz="4" w:space="0" w:color="auto"/>
              <w:right w:val="single" w:sz="4" w:space="0" w:color="auto"/>
            </w:tcBorders>
          </w:tcPr>
          <w:p w14:paraId="1C02FC77"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 xml:space="preserve">Retos </w:t>
            </w:r>
          </w:p>
        </w:tc>
        <w:tc>
          <w:tcPr>
            <w:tcW w:w="6656" w:type="dxa"/>
            <w:tcBorders>
              <w:top w:val="single" w:sz="4" w:space="0" w:color="auto"/>
              <w:left w:val="single" w:sz="4" w:space="0" w:color="auto"/>
              <w:bottom w:val="single" w:sz="4" w:space="0" w:color="auto"/>
              <w:right w:val="single" w:sz="4" w:space="0" w:color="auto"/>
            </w:tcBorders>
          </w:tcPr>
          <w:p w14:paraId="399C2258"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Ūminė febrilinė neutrofilinė dermatozė (</w:t>
            </w:r>
            <w:r w:rsidRPr="00D92F6B">
              <w:rPr>
                <w:rFonts w:eastAsia="Calibri"/>
                <w:i/>
                <w:color w:val="000000"/>
                <w:sz w:val="22"/>
                <w:szCs w:val="22"/>
              </w:rPr>
              <w:t xml:space="preserve">Sweet </w:t>
            </w:r>
            <w:r w:rsidRPr="00D92F6B">
              <w:rPr>
                <w:rFonts w:eastAsia="Calibri"/>
                <w:color w:val="000000"/>
                <w:sz w:val="22"/>
                <w:szCs w:val="22"/>
              </w:rPr>
              <w:t xml:space="preserve">sindromas), nagų spalvos pakitimas, angioneurozinė edema, pūslelinis bėrimas, daugiaformė eritema, leukocitoklastinis vaskulitas, </w:t>
            </w:r>
            <w:r w:rsidRPr="00D92F6B">
              <w:rPr>
                <w:rFonts w:eastAsia="Calibri"/>
                <w:i/>
                <w:color w:val="000000"/>
                <w:sz w:val="22"/>
                <w:szCs w:val="22"/>
              </w:rPr>
              <w:t>Stevens-Johnson</w:t>
            </w:r>
            <w:r w:rsidRPr="00D92F6B">
              <w:rPr>
                <w:rFonts w:eastAsia="Calibri"/>
                <w:color w:val="000000"/>
                <w:sz w:val="22"/>
                <w:szCs w:val="22"/>
              </w:rPr>
              <w:t xml:space="preserve"> sindromas, ūminė generalizuota egzanteminė pustuliozė (ŪGEP) </w:t>
            </w:r>
          </w:p>
        </w:tc>
      </w:tr>
      <w:tr w:rsidR="008A305D" w:rsidRPr="00D92F6B" w14:paraId="148F26A1" w14:textId="77777777" w:rsidTr="00412F88">
        <w:trPr>
          <w:gridAfter w:val="1"/>
          <w:wAfter w:w="39" w:type="dxa"/>
          <w:trHeight w:val="490"/>
        </w:trPr>
        <w:tc>
          <w:tcPr>
            <w:tcW w:w="2376" w:type="dxa"/>
            <w:tcBorders>
              <w:top w:val="single" w:sz="4" w:space="0" w:color="auto"/>
              <w:left w:val="single" w:sz="4" w:space="0" w:color="auto"/>
              <w:bottom w:val="single" w:sz="4" w:space="0" w:color="auto"/>
              <w:right w:val="single" w:sz="4" w:space="0" w:color="auto"/>
            </w:tcBorders>
          </w:tcPr>
          <w:p w14:paraId="2EC4B817" w14:textId="77777777" w:rsidR="008A305D" w:rsidRPr="00D92F6B" w:rsidRDefault="008A305D" w:rsidP="00412F88">
            <w:pPr>
              <w:autoSpaceDE w:val="0"/>
              <w:autoSpaceDN w:val="0"/>
              <w:adjustRightInd w:val="0"/>
              <w:rPr>
                <w:rFonts w:eastAsia="Calibri"/>
                <w:i/>
                <w:iCs/>
                <w:color w:val="000000"/>
                <w:sz w:val="22"/>
                <w:szCs w:val="22"/>
              </w:rPr>
            </w:pPr>
            <w:r w:rsidRPr="00D92F6B">
              <w:rPr>
                <w:rFonts w:eastAsia="Calibri"/>
                <w:i/>
                <w:iCs/>
                <w:color w:val="000000"/>
                <w:sz w:val="22"/>
                <w:szCs w:val="22"/>
              </w:rPr>
              <w:t>Dažnis nežinomas</w:t>
            </w:r>
          </w:p>
        </w:tc>
        <w:tc>
          <w:tcPr>
            <w:tcW w:w="6656" w:type="dxa"/>
            <w:tcBorders>
              <w:top w:val="single" w:sz="4" w:space="0" w:color="auto"/>
              <w:left w:val="single" w:sz="4" w:space="0" w:color="auto"/>
              <w:bottom w:val="single" w:sz="4" w:space="0" w:color="auto"/>
              <w:right w:val="single" w:sz="4" w:space="0" w:color="auto"/>
            </w:tcBorders>
          </w:tcPr>
          <w:p w14:paraId="4BD7100A" w14:textId="77777777" w:rsidR="008A305D" w:rsidRPr="00D92F6B"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Delnų ir padų eritrodizestezijos sindromas*, lichenoidinė keratozė*, plokščioji kerpligė*, toksinė epidermio nekrolizė*, medikamentinis išbėrimas su eozinofilija ir sisteminiais simptomais </w:t>
            </w:r>
            <w:r w:rsidRPr="00D92F6B">
              <w:rPr>
                <w:rFonts w:eastAsia="Calibri"/>
                <w:i/>
                <w:color w:val="000000"/>
                <w:sz w:val="22"/>
                <w:szCs w:val="22"/>
              </w:rPr>
              <w:t>(</w:t>
            </w:r>
            <w:r w:rsidRPr="0045031A">
              <w:rPr>
                <w:rFonts w:eastAsia="Calibri"/>
                <w:color w:val="000000"/>
                <w:sz w:val="22"/>
                <w:szCs w:val="22"/>
              </w:rPr>
              <w:t>DRESS</w:t>
            </w:r>
            <w:r w:rsidRPr="00D92F6B">
              <w:rPr>
                <w:rFonts w:eastAsia="Calibri"/>
                <w:i/>
                <w:color w:val="000000"/>
                <w:sz w:val="22"/>
                <w:szCs w:val="22"/>
              </w:rPr>
              <w:t>)</w:t>
            </w:r>
            <w:r w:rsidRPr="00D92F6B">
              <w:rPr>
                <w:rFonts w:eastAsia="Calibri"/>
                <w:color w:val="000000"/>
                <w:sz w:val="22"/>
                <w:szCs w:val="22"/>
              </w:rPr>
              <w:t>*</w:t>
            </w:r>
          </w:p>
        </w:tc>
      </w:tr>
      <w:tr w:rsidR="008A305D" w:rsidRPr="00D92F6B" w14:paraId="1BADBA09" w14:textId="77777777" w:rsidTr="00412F88">
        <w:trPr>
          <w:trHeight w:val="98"/>
        </w:trPr>
        <w:tc>
          <w:tcPr>
            <w:tcW w:w="9071" w:type="dxa"/>
            <w:gridSpan w:val="3"/>
            <w:tcBorders>
              <w:top w:val="single" w:sz="4" w:space="0" w:color="auto"/>
              <w:left w:val="single" w:sz="4" w:space="0" w:color="auto"/>
              <w:bottom w:val="single" w:sz="4" w:space="0" w:color="auto"/>
              <w:right w:val="single" w:sz="4" w:space="0" w:color="auto"/>
            </w:tcBorders>
          </w:tcPr>
          <w:p w14:paraId="52C99D8B"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b/>
                <w:bCs/>
                <w:color w:val="000000"/>
                <w:sz w:val="22"/>
                <w:szCs w:val="22"/>
              </w:rPr>
              <w:t xml:space="preserve">Skeleto, raumenų ir jungiamojo audinio sutrikimai </w:t>
            </w:r>
          </w:p>
        </w:tc>
      </w:tr>
      <w:tr w:rsidR="008A305D" w:rsidRPr="00D92F6B" w14:paraId="326A47A8" w14:textId="77777777" w:rsidTr="00412F88">
        <w:trPr>
          <w:trHeight w:val="230"/>
        </w:trPr>
        <w:tc>
          <w:tcPr>
            <w:tcW w:w="2376" w:type="dxa"/>
            <w:tcBorders>
              <w:top w:val="single" w:sz="4" w:space="0" w:color="auto"/>
              <w:left w:val="single" w:sz="4" w:space="0" w:color="auto"/>
              <w:bottom w:val="single" w:sz="4" w:space="0" w:color="auto"/>
              <w:right w:val="single" w:sz="4" w:space="0" w:color="auto"/>
            </w:tcBorders>
          </w:tcPr>
          <w:p w14:paraId="72C6AB41"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lastRenderedPageBreak/>
              <w:t xml:space="preserve">Labai dažnos </w:t>
            </w:r>
          </w:p>
        </w:tc>
        <w:tc>
          <w:tcPr>
            <w:tcW w:w="6695" w:type="dxa"/>
            <w:gridSpan w:val="2"/>
            <w:tcBorders>
              <w:top w:val="single" w:sz="4" w:space="0" w:color="auto"/>
              <w:left w:val="single" w:sz="4" w:space="0" w:color="auto"/>
              <w:bottom w:val="single" w:sz="4" w:space="0" w:color="auto"/>
              <w:right w:val="single" w:sz="4" w:space="0" w:color="auto"/>
            </w:tcBorders>
          </w:tcPr>
          <w:p w14:paraId="4AA4E176"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Raumenų spazmas ir mėšlungis, skeleto ir raumenų skausmas, taip pat mialgija, artralgija, kaulų skausmas</w:t>
            </w:r>
            <w:r w:rsidRPr="00D92F6B">
              <w:rPr>
                <w:rFonts w:eastAsia="Calibri"/>
                <w:color w:val="000000"/>
                <w:sz w:val="22"/>
                <w:szCs w:val="22"/>
                <w:vertAlign w:val="superscript"/>
              </w:rPr>
              <w:t xml:space="preserve">9 </w:t>
            </w:r>
          </w:p>
        </w:tc>
      </w:tr>
      <w:tr w:rsidR="008A305D" w:rsidRPr="00D92F6B" w14:paraId="1EA52569" w14:textId="77777777" w:rsidTr="00412F88">
        <w:trPr>
          <w:trHeight w:val="100"/>
        </w:trPr>
        <w:tc>
          <w:tcPr>
            <w:tcW w:w="2376" w:type="dxa"/>
            <w:tcBorders>
              <w:top w:val="single" w:sz="4" w:space="0" w:color="auto"/>
              <w:left w:val="single" w:sz="4" w:space="0" w:color="auto"/>
              <w:bottom w:val="single" w:sz="4" w:space="0" w:color="auto"/>
              <w:right w:val="single" w:sz="4" w:space="0" w:color="auto"/>
            </w:tcBorders>
          </w:tcPr>
          <w:p w14:paraId="324BBF10"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 xml:space="preserve">Dažnos </w:t>
            </w:r>
          </w:p>
        </w:tc>
        <w:tc>
          <w:tcPr>
            <w:tcW w:w="6695" w:type="dxa"/>
            <w:gridSpan w:val="2"/>
            <w:tcBorders>
              <w:top w:val="single" w:sz="4" w:space="0" w:color="auto"/>
              <w:left w:val="single" w:sz="4" w:space="0" w:color="auto"/>
              <w:bottom w:val="single" w:sz="4" w:space="0" w:color="auto"/>
              <w:right w:val="single" w:sz="4" w:space="0" w:color="auto"/>
            </w:tcBorders>
          </w:tcPr>
          <w:p w14:paraId="1EEDAA26"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Sąnarių tinimas </w:t>
            </w:r>
          </w:p>
        </w:tc>
      </w:tr>
      <w:tr w:rsidR="008A305D" w:rsidRPr="00D92F6B" w14:paraId="63FB6AEF" w14:textId="77777777" w:rsidTr="00412F88">
        <w:trPr>
          <w:trHeight w:val="100"/>
        </w:trPr>
        <w:tc>
          <w:tcPr>
            <w:tcW w:w="2376" w:type="dxa"/>
            <w:tcBorders>
              <w:top w:val="single" w:sz="4" w:space="0" w:color="auto"/>
              <w:left w:val="single" w:sz="4" w:space="0" w:color="auto"/>
              <w:bottom w:val="single" w:sz="4" w:space="0" w:color="auto"/>
              <w:right w:val="single" w:sz="4" w:space="0" w:color="auto"/>
            </w:tcBorders>
          </w:tcPr>
          <w:p w14:paraId="4098EA10"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 xml:space="preserve">Nedažnos </w:t>
            </w:r>
          </w:p>
        </w:tc>
        <w:tc>
          <w:tcPr>
            <w:tcW w:w="6695" w:type="dxa"/>
            <w:gridSpan w:val="2"/>
            <w:tcBorders>
              <w:top w:val="single" w:sz="4" w:space="0" w:color="auto"/>
              <w:left w:val="single" w:sz="4" w:space="0" w:color="auto"/>
              <w:bottom w:val="single" w:sz="4" w:space="0" w:color="auto"/>
              <w:right w:val="single" w:sz="4" w:space="0" w:color="auto"/>
            </w:tcBorders>
          </w:tcPr>
          <w:p w14:paraId="45583523"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Sąnarių ir raumenų sąstingis </w:t>
            </w:r>
          </w:p>
        </w:tc>
      </w:tr>
      <w:tr w:rsidR="008A305D" w:rsidRPr="00D92F6B" w14:paraId="1D3F9A6B" w14:textId="77777777" w:rsidTr="00412F88">
        <w:trPr>
          <w:trHeight w:val="100"/>
        </w:trPr>
        <w:tc>
          <w:tcPr>
            <w:tcW w:w="2376" w:type="dxa"/>
            <w:tcBorders>
              <w:top w:val="single" w:sz="4" w:space="0" w:color="auto"/>
              <w:left w:val="single" w:sz="4" w:space="0" w:color="auto"/>
              <w:bottom w:val="single" w:sz="4" w:space="0" w:color="auto"/>
              <w:right w:val="single" w:sz="4" w:space="0" w:color="auto"/>
            </w:tcBorders>
          </w:tcPr>
          <w:p w14:paraId="3F425041"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 xml:space="preserve">Retos </w:t>
            </w:r>
          </w:p>
        </w:tc>
        <w:tc>
          <w:tcPr>
            <w:tcW w:w="6695" w:type="dxa"/>
            <w:gridSpan w:val="2"/>
            <w:tcBorders>
              <w:top w:val="single" w:sz="4" w:space="0" w:color="auto"/>
              <w:left w:val="single" w:sz="4" w:space="0" w:color="auto"/>
              <w:bottom w:val="single" w:sz="4" w:space="0" w:color="auto"/>
              <w:right w:val="single" w:sz="4" w:space="0" w:color="auto"/>
            </w:tcBorders>
          </w:tcPr>
          <w:p w14:paraId="6E0DA9FF"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Raumenų silpnumas, artritas, rabdomiolizė ar miopatija </w:t>
            </w:r>
          </w:p>
        </w:tc>
      </w:tr>
      <w:tr w:rsidR="008A305D" w:rsidRPr="00D92F6B" w14:paraId="61B64AF2" w14:textId="77777777" w:rsidTr="00412F88">
        <w:trPr>
          <w:trHeight w:val="100"/>
        </w:trPr>
        <w:tc>
          <w:tcPr>
            <w:tcW w:w="2376" w:type="dxa"/>
            <w:tcBorders>
              <w:top w:val="single" w:sz="4" w:space="0" w:color="auto"/>
              <w:left w:val="single" w:sz="4" w:space="0" w:color="auto"/>
              <w:bottom w:val="single" w:sz="4" w:space="0" w:color="auto"/>
              <w:right w:val="single" w:sz="4" w:space="0" w:color="auto"/>
            </w:tcBorders>
          </w:tcPr>
          <w:p w14:paraId="2C13BB3C" w14:textId="77777777" w:rsidR="008A305D" w:rsidRPr="00D92F6B" w:rsidRDefault="008A305D" w:rsidP="00412F88">
            <w:pPr>
              <w:autoSpaceDE w:val="0"/>
              <w:autoSpaceDN w:val="0"/>
              <w:adjustRightInd w:val="0"/>
              <w:rPr>
                <w:rFonts w:eastAsia="Calibri"/>
                <w:i/>
                <w:iCs/>
                <w:color w:val="000000"/>
                <w:sz w:val="22"/>
                <w:szCs w:val="22"/>
              </w:rPr>
            </w:pPr>
            <w:r w:rsidRPr="00D92F6B">
              <w:rPr>
                <w:rFonts w:eastAsia="Calibri"/>
                <w:i/>
                <w:iCs/>
                <w:color w:val="000000"/>
                <w:sz w:val="22"/>
                <w:szCs w:val="22"/>
              </w:rPr>
              <w:t>Dažnis nežinomas</w:t>
            </w:r>
          </w:p>
        </w:tc>
        <w:tc>
          <w:tcPr>
            <w:tcW w:w="6695" w:type="dxa"/>
            <w:gridSpan w:val="2"/>
            <w:tcBorders>
              <w:top w:val="single" w:sz="4" w:space="0" w:color="auto"/>
              <w:left w:val="single" w:sz="4" w:space="0" w:color="auto"/>
              <w:bottom w:val="single" w:sz="4" w:space="0" w:color="auto"/>
              <w:right w:val="single" w:sz="4" w:space="0" w:color="auto"/>
            </w:tcBorders>
          </w:tcPr>
          <w:p w14:paraId="0C02C7C3" w14:textId="77777777" w:rsidR="008A305D" w:rsidRPr="00D92F6B"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Nevaskulinė nekrozė/šlaunikaulio galvutės nekrozė*, v</w:t>
            </w:r>
            <w:r w:rsidRPr="00D92F6B">
              <w:rPr>
                <w:rFonts w:eastAsia="Calibri"/>
                <w:bCs/>
                <w:color w:val="000000"/>
                <w:sz w:val="22"/>
                <w:szCs w:val="22"/>
              </w:rPr>
              <w:t>aikų augimo sulėtėjimas</w:t>
            </w:r>
            <w:r w:rsidRPr="00D92F6B">
              <w:rPr>
                <w:rFonts w:eastAsia="Calibri"/>
                <w:color w:val="000000"/>
                <w:sz w:val="22"/>
                <w:szCs w:val="22"/>
              </w:rPr>
              <w:t>*</w:t>
            </w:r>
          </w:p>
        </w:tc>
      </w:tr>
      <w:tr w:rsidR="008A305D" w:rsidRPr="00D92F6B" w14:paraId="4B3C27D3" w14:textId="77777777" w:rsidTr="00412F88">
        <w:trPr>
          <w:trHeight w:val="98"/>
        </w:trPr>
        <w:tc>
          <w:tcPr>
            <w:tcW w:w="9071" w:type="dxa"/>
            <w:gridSpan w:val="3"/>
            <w:tcBorders>
              <w:top w:val="single" w:sz="4" w:space="0" w:color="auto"/>
              <w:left w:val="single" w:sz="4" w:space="0" w:color="auto"/>
              <w:bottom w:val="single" w:sz="4" w:space="0" w:color="auto"/>
              <w:right w:val="single" w:sz="4" w:space="0" w:color="auto"/>
            </w:tcBorders>
          </w:tcPr>
          <w:p w14:paraId="29660E37"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b/>
                <w:bCs/>
                <w:color w:val="000000"/>
                <w:sz w:val="22"/>
                <w:szCs w:val="22"/>
              </w:rPr>
              <w:t xml:space="preserve">Inkstų ir šlapimo takų sutrikimai </w:t>
            </w:r>
          </w:p>
        </w:tc>
      </w:tr>
      <w:tr w:rsidR="008A305D" w:rsidRPr="00D92F6B" w14:paraId="6663207A" w14:textId="77777777" w:rsidTr="00412F88">
        <w:trPr>
          <w:trHeight w:val="230"/>
        </w:trPr>
        <w:tc>
          <w:tcPr>
            <w:tcW w:w="2376" w:type="dxa"/>
            <w:tcBorders>
              <w:top w:val="single" w:sz="4" w:space="0" w:color="auto"/>
              <w:left w:val="single" w:sz="4" w:space="0" w:color="auto"/>
              <w:bottom w:val="single" w:sz="4" w:space="0" w:color="auto"/>
              <w:right w:val="single" w:sz="4" w:space="0" w:color="auto"/>
            </w:tcBorders>
          </w:tcPr>
          <w:p w14:paraId="5DD0AD4E"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 xml:space="preserve">Nedažnos </w:t>
            </w:r>
          </w:p>
        </w:tc>
        <w:tc>
          <w:tcPr>
            <w:tcW w:w="6695" w:type="dxa"/>
            <w:gridSpan w:val="2"/>
            <w:tcBorders>
              <w:top w:val="single" w:sz="4" w:space="0" w:color="auto"/>
              <w:left w:val="single" w:sz="4" w:space="0" w:color="auto"/>
              <w:bottom w:val="single" w:sz="4" w:space="0" w:color="auto"/>
              <w:right w:val="single" w:sz="4" w:space="0" w:color="auto"/>
            </w:tcBorders>
          </w:tcPr>
          <w:p w14:paraId="29957981"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Inkstų skausmas, hematurija, ūminis inkstų nepakankamumas, padažnėjęs šlapinimasis </w:t>
            </w:r>
          </w:p>
        </w:tc>
      </w:tr>
      <w:tr w:rsidR="008A305D" w:rsidRPr="00D92F6B" w14:paraId="198C1566" w14:textId="77777777" w:rsidTr="00412F88">
        <w:trPr>
          <w:trHeight w:val="230"/>
        </w:trPr>
        <w:tc>
          <w:tcPr>
            <w:tcW w:w="2376" w:type="dxa"/>
            <w:tcBorders>
              <w:top w:val="single" w:sz="4" w:space="0" w:color="auto"/>
              <w:left w:val="single" w:sz="4" w:space="0" w:color="auto"/>
              <w:bottom w:val="single" w:sz="4" w:space="0" w:color="auto"/>
              <w:right w:val="single" w:sz="4" w:space="0" w:color="auto"/>
            </w:tcBorders>
          </w:tcPr>
          <w:p w14:paraId="03E1E7A1" w14:textId="77777777" w:rsidR="008A305D" w:rsidRPr="00D92F6B" w:rsidRDefault="008A305D" w:rsidP="00412F88">
            <w:pPr>
              <w:autoSpaceDE w:val="0"/>
              <w:autoSpaceDN w:val="0"/>
              <w:adjustRightInd w:val="0"/>
              <w:rPr>
                <w:rFonts w:eastAsia="Calibri"/>
                <w:i/>
                <w:iCs/>
                <w:color w:val="000000"/>
                <w:sz w:val="22"/>
                <w:szCs w:val="22"/>
              </w:rPr>
            </w:pPr>
            <w:r w:rsidRPr="00D92F6B">
              <w:rPr>
                <w:rFonts w:eastAsia="Calibri"/>
                <w:i/>
                <w:iCs/>
                <w:color w:val="000000"/>
                <w:sz w:val="22"/>
                <w:szCs w:val="22"/>
              </w:rPr>
              <w:t>Dažnis nežinomas</w:t>
            </w:r>
          </w:p>
        </w:tc>
        <w:tc>
          <w:tcPr>
            <w:tcW w:w="6695" w:type="dxa"/>
            <w:gridSpan w:val="2"/>
            <w:tcBorders>
              <w:top w:val="single" w:sz="4" w:space="0" w:color="auto"/>
              <w:left w:val="single" w:sz="4" w:space="0" w:color="auto"/>
              <w:bottom w:val="single" w:sz="4" w:space="0" w:color="auto"/>
              <w:right w:val="single" w:sz="4" w:space="0" w:color="auto"/>
            </w:tcBorders>
          </w:tcPr>
          <w:p w14:paraId="0C7FAFE8" w14:textId="77777777" w:rsidR="008A305D" w:rsidRPr="00D92F6B"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Lėtinis inkstų nepakankamumas</w:t>
            </w:r>
          </w:p>
        </w:tc>
      </w:tr>
      <w:tr w:rsidR="008A305D" w:rsidRPr="00D92F6B" w14:paraId="4486F5AB" w14:textId="77777777" w:rsidTr="00412F88">
        <w:trPr>
          <w:trHeight w:val="98"/>
        </w:trPr>
        <w:tc>
          <w:tcPr>
            <w:tcW w:w="9071" w:type="dxa"/>
            <w:gridSpan w:val="3"/>
            <w:tcBorders>
              <w:top w:val="single" w:sz="4" w:space="0" w:color="auto"/>
              <w:left w:val="single" w:sz="4" w:space="0" w:color="auto"/>
              <w:bottom w:val="single" w:sz="4" w:space="0" w:color="auto"/>
              <w:right w:val="single" w:sz="4" w:space="0" w:color="auto"/>
            </w:tcBorders>
          </w:tcPr>
          <w:p w14:paraId="2E1DB3C9"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b/>
                <w:bCs/>
                <w:color w:val="000000"/>
                <w:sz w:val="22"/>
                <w:szCs w:val="22"/>
              </w:rPr>
              <w:t xml:space="preserve">Lytinės sistemos ir krūties sutrikimai </w:t>
            </w:r>
          </w:p>
        </w:tc>
      </w:tr>
      <w:tr w:rsidR="008A305D" w:rsidRPr="00D92F6B" w14:paraId="167D7F53" w14:textId="77777777" w:rsidTr="00412F88">
        <w:trPr>
          <w:trHeight w:val="361"/>
        </w:trPr>
        <w:tc>
          <w:tcPr>
            <w:tcW w:w="2376" w:type="dxa"/>
            <w:tcBorders>
              <w:top w:val="single" w:sz="4" w:space="0" w:color="auto"/>
              <w:left w:val="single" w:sz="4" w:space="0" w:color="auto"/>
              <w:bottom w:val="single" w:sz="4" w:space="0" w:color="auto"/>
              <w:right w:val="single" w:sz="4" w:space="0" w:color="auto"/>
            </w:tcBorders>
          </w:tcPr>
          <w:p w14:paraId="088B7E30"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 xml:space="preserve">Nedažnos </w:t>
            </w:r>
          </w:p>
        </w:tc>
        <w:tc>
          <w:tcPr>
            <w:tcW w:w="6695" w:type="dxa"/>
            <w:gridSpan w:val="2"/>
            <w:tcBorders>
              <w:top w:val="single" w:sz="4" w:space="0" w:color="auto"/>
              <w:left w:val="single" w:sz="4" w:space="0" w:color="auto"/>
              <w:bottom w:val="single" w:sz="4" w:space="0" w:color="auto"/>
              <w:right w:val="single" w:sz="4" w:space="0" w:color="auto"/>
            </w:tcBorders>
          </w:tcPr>
          <w:p w14:paraId="6A749B7A"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Ginekomastija, erekcijos sutrikimas, menoragija, menstruacijų ciklo sutrikimas, lytinė disfunkcija, spenelio skausmas, krūtų padidėjimas, kapšelio edema </w:t>
            </w:r>
          </w:p>
        </w:tc>
      </w:tr>
      <w:tr w:rsidR="008A305D" w:rsidRPr="00D92F6B" w14:paraId="672AAFB9" w14:textId="77777777" w:rsidTr="00412F88">
        <w:trPr>
          <w:trHeight w:val="100"/>
        </w:trPr>
        <w:tc>
          <w:tcPr>
            <w:tcW w:w="2376" w:type="dxa"/>
            <w:tcBorders>
              <w:top w:val="single" w:sz="4" w:space="0" w:color="auto"/>
              <w:left w:val="single" w:sz="4" w:space="0" w:color="auto"/>
              <w:bottom w:val="single" w:sz="4" w:space="0" w:color="auto"/>
              <w:right w:val="single" w:sz="4" w:space="0" w:color="auto"/>
            </w:tcBorders>
          </w:tcPr>
          <w:p w14:paraId="678A4B1F"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 xml:space="preserve">Retos </w:t>
            </w:r>
          </w:p>
        </w:tc>
        <w:tc>
          <w:tcPr>
            <w:tcW w:w="6695" w:type="dxa"/>
            <w:gridSpan w:val="2"/>
            <w:tcBorders>
              <w:top w:val="single" w:sz="4" w:space="0" w:color="auto"/>
              <w:left w:val="single" w:sz="4" w:space="0" w:color="auto"/>
              <w:bottom w:val="single" w:sz="4" w:space="0" w:color="auto"/>
              <w:right w:val="single" w:sz="4" w:space="0" w:color="auto"/>
            </w:tcBorders>
          </w:tcPr>
          <w:p w14:paraId="3F70D867"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Geltonkūnio hemoragija ar hemoraginė kiaušidžių cista </w:t>
            </w:r>
          </w:p>
        </w:tc>
      </w:tr>
      <w:tr w:rsidR="008A305D" w:rsidRPr="00D92F6B" w14:paraId="14F53948" w14:textId="77777777" w:rsidTr="00412F88">
        <w:trPr>
          <w:trHeight w:val="98"/>
        </w:trPr>
        <w:tc>
          <w:tcPr>
            <w:tcW w:w="9071" w:type="dxa"/>
            <w:gridSpan w:val="3"/>
            <w:tcBorders>
              <w:top w:val="single" w:sz="4" w:space="0" w:color="auto"/>
              <w:left w:val="single" w:sz="4" w:space="0" w:color="auto"/>
              <w:bottom w:val="single" w:sz="4" w:space="0" w:color="auto"/>
              <w:right w:val="single" w:sz="4" w:space="0" w:color="auto"/>
            </w:tcBorders>
          </w:tcPr>
          <w:p w14:paraId="6BA430E9"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b/>
                <w:bCs/>
                <w:color w:val="000000"/>
                <w:sz w:val="22"/>
                <w:szCs w:val="22"/>
              </w:rPr>
              <w:t xml:space="preserve">Bendrieji sutrikimai ir vartojimo vietos pažeidimai </w:t>
            </w:r>
          </w:p>
        </w:tc>
      </w:tr>
      <w:tr w:rsidR="008A305D" w:rsidRPr="00D92F6B" w14:paraId="238698E4" w14:textId="77777777" w:rsidTr="00412F88">
        <w:trPr>
          <w:trHeight w:val="100"/>
        </w:trPr>
        <w:tc>
          <w:tcPr>
            <w:tcW w:w="2376" w:type="dxa"/>
            <w:tcBorders>
              <w:top w:val="single" w:sz="4" w:space="0" w:color="auto"/>
              <w:left w:val="single" w:sz="4" w:space="0" w:color="auto"/>
              <w:bottom w:val="single" w:sz="4" w:space="0" w:color="auto"/>
              <w:right w:val="single" w:sz="4" w:space="0" w:color="auto"/>
            </w:tcBorders>
          </w:tcPr>
          <w:p w14:paraId="1EA34285"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 xml:space="preserve">Labai dažnos </w:t>
            </w:r>
          </w:p>
        </w:tc>
        <w:tc>
          <w:tcPr>
            <w:tcW w:w="6695" w:type="dxa"/>
            <w:gridSpan w:val="2"/>
            <w:tcBorders>
              <w:top w:val="single" w:sz="4" w:space="0" w:color="auto"/>
              <w:left w:val="single" w:sz="4" w:space="0" w:color="auto"/>
              <w:bottom w:val="single" w:sz="4" w:space="0" w:color="auto"/>
              <w:right w:val="single" w:sz="4" w:space="0" w:color="auto"/>
            </w:tcBorders>
          </w:tcPr>
          <w:p w14:paraId="783BA71A"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Skysčių susilaikymas ir edema, nuovargis </w:t>
            </w:r>
          </w:p>
        </w:tc>
      </w:tr>
      <w:tr w:rsidR="008A305D" w:rsidRPr="00D92F6B" w14:paraId="02B29F0B" w14:textId="77777777" w:rsidTr="00412F88">
        <w:trPr>
          <w:trHeight w:val="100"/>
        </w:trPr>
        <w:tc>
          <w:tcPr>
            <w:tcW w:w="2376" w:type="dxa"/>
            <w:tcBorders>
              <w:top w:val="single" w:sz="4" w:space="0" w:color="auto"/>
              <w:left w:val="single" w:sz="4" w:space="0" w:color="auto"/>
              <w:bottom w:val="single" w:sz="4" w:space="0" w:color="auto"/>
              <w:right w:val="single" w:sz="4" w:space="0" w:color="auto"/>
            </w:tcBorders>
          </w:tcPr>
          <w:p w14:paraId="7DA433D2"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 xml:space="preserve">Dažnos </w:t>
            </w:r>
          </w:p>
        </w:tc>
        <w:tc>
          <w:tcPr>
            <w:tcW w:w="6695" w:type="dxa"/>
            <w:gridSpan w:val="2"/>
            <w:tcBorders>
              <w:top w:val="single" w:sz="4" w:space="0" w:color="auto"/>
              <w:left w:val="single" w:sz="4" w:space="0" w:color="auto"/>
              <w:bottom w:val="single" w:sz="4" w:space="0" w:color="auto"/>
              <w:right w:val="single" w:sz="4" w:space="0" w:color="auto"/>
            </w:tcBorders>
          </w:tcPr>
          <w:p w14:paraId="1F650D0E"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Silpnumas, karščiavimas, odos vandenė, šaltkrėtis, sąstingis </w:t>
            </w:r>
          </w:p>
        </w:tc>
      </w:tr>
      <w:tr w:rsidR="008A305D" w:rsidRPr="00D92F6B" w14:paraId="130CF35C" w14:textId="77777777" w:rsidTr="00412F88">
        <w:trPr>
          <w:trHeight w:val="100"/>
        </w:trPr>
        <w:tc>
          <w:tcPr>
            <w:tcW w:w="2376" w:type="dxa"/>
            <w:tcBorders>
              <w:top w:val="single" w:sz="4" w:space="0" w:color="auto"/>
              <w:left w:val="single" w:sz="4" w:space="0" w:color="auto"/>
              <w:bottom w:val="single" w:sz="4" w:space="0" w:color="auto"/>
              <w:right w:val="single" w:sz="4" w:space="0" w:color="auto"/>
            </w:tcBorders>
          </w:tcPr>
          <w:p w14:paraId="198C0B04"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 xml:space="preserve">Nedažnos </w:t>
            </w:r>
          </w:p>
        </w:tc>
        <w:tc>
          <w:tcPr>
            <w:tcW w:w="6695" w:type="dxa"/>
            <w:gridSpan w:val="2"/>
            <w:tcBorders>
              <w:top w:val="single" w:sz="4" w:space="0" w:color="auto"/>
              <w:left w:val="single" w:sz="4" w:space="0" w:color="auto"/>
              <w:bottom w:val="single" w:sz="4" w:space="0" w:color="auto"/>
              <w:right w:val="single" w:sz="4" w:space="0" w:color="auto"/>
            </w:tcBorders>
          </w:tcPr>
          <w:p w14:paraId="2C8F5DC4"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Skausmas krūtinėje, bloga savijauta </w:t>
            </w:r>
          </w:p>
        </w:tc>
      </w:tr>
      <w:tr w:rsidR="008A305D" w:rsidRPr="00D92F6B" w14:paraId="34D933F1" w14:textId="77777777" w:rsidTr="00412F88">
        <w:trPr>
          <w:trHeight w:val="98"/>
        </w:trPr>
        <w:tc>
          <w:tcPr>
            <w:tcW w:w="9071" w:type="dxa"/>
            <w:gridSpan w:val="3"/>
            <w:tcBorders>
              <w:top w:val="single" w:sz="4" w:space="0" w:color="auto"/>
              <w:left w:val="single" w:sz="4" w:space="0" w:color="auto"/>
              <w:bottom w:val="single" w:sz="4" w:space="0" w:color="auto"/>
              <w:right w:val="single" w:sz="4" w:space="0" w:color="auto"/>
            </w:tcBorders>
          </w:tcPr>
          <w:p w14:paraId="72E0CB03"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b/>
                <w:bCs/>
                <w:color w:val="000000"/>
                <w:sz w:val="22"/>
                <w:szCs w:val="22"/>
              </w:rPr>
              <w:t xml:space="preserve">Tyrimai </w:t>
            </w:r>
          </w:p>
        </w:tc>
      </w:tr>
      <w:tr w:rsidR="008A305D" w:rsidRPr="00D92F6B" w14:paraId="3C5C1D6B" w14:textId="77777777" w:rsidTr="00412F88">
        <w:trPr>
          <w:trHeight w:val="100"/>
        </w:trPr>
        <w:tc>
          <w:tcPr>
            <w:tcW w:w="2376" w:type="dxa"/>
            <w:tcBorders>
              <w:top w:val="single" w:sz="4" w:space="0" w:color="auto"/>
              <w:left w:val="single" w:sz="4" w:space="0" w:color="auto"/>
              <w:bottom w:val="single" w:sz="4" w:space="0" w:color="auto"/>
              <w:right w:val="single" w:sz="4" w:space="0" w:color="auto"/>
            </w:tcBorders>
          </w:tcPr>
          <w:p w14:paraId="0BAA7627"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 xml:space="preserve">Labai dažnos </w:t>
            </w:r>
          </w:p>
        </w:tc>
        <w:tc>
          <w:tcPr>
            <w:tcW w:w="6695" w:type="dxa"/>
            <w:gridSpan w:val="2"/>
            <w:tcBorders>
              <w:top w:val="single" w:sz="4" w:space="0" w:color="auto"/>
              <w:left w:val="single" w:sz="4" w:space="0" w:color="auto"/>
              <w:bottom w:val="single" w:sz="4" w:space="0" w:color="auto"/>
              <w:right w:val="single" w:sz="4" w:space="0" w:color="auto"/>
            </w:tcBorders>
          </w:tcPr>
          <w:p w14:paraId="2583623A"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Padidėjęs kūno svoris </w:t>
            </w:r>
          </w:p>
        </w:tc>
      </w:tr>
      <w:tr w:rsidR="008A305D" w:rsidRPr="00D92F6B" w14:paraId="0F0BA7E1" w14:textId="77777777" w:rsidTr="00412F88">
        <w:trPr>
          <w:trHeight w:val="100"/>
        </w:trPr>
        <w:tc>
          <w:tcPr>
            <w:tcW w:w="2376" w:type="dxa"/>
            <w:tcBorders>
              <w:top w:val="single" w:sz="4" w:space="0" w:color="auto"/>
              <w:left w:val="single" w:sz="4" w:space="0" w:color="auto"/>
              <w:bottom w:val="single" w:sz="4" w:space="0" w:color="auto"/>
              <w:right w:val="single" w:sz="4" w:space="0" w:color="auto"/>
            </w:tcBorders>
          </w:tcPr>
          <w:p w14:paraId="34E15D40"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Dažnos</w:t>
            </w:r>
          </w:p>
        </w:tc>
        <w:tc>
          <w:tcPr>
            <w:tcW w:w="6695" w:type="dxa"/>
            <w:gridSpan w:val="2"/>
            <w:tcBorders>
              <w:top w:val="single" w:sz="4" w:space="0" w:color="auto"/>
              <w:left w:val="single" w:sz="4" w:space="0" w:color="auto"/>
              <w:bottom w:val="single" w:sz="4" w:space="0" w:color="auto"/>
              <w:right w:val="single" w:sz="4" w:space="0" w:color="auto"/>
            </w:tcBorders>
          </w:tcPr>
          <w:p w14:paraId="44C32FC0"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Sumažėjęs kūno svoris </w:t>
            </w:r>
          </w:p>
        </w:tc>
      </w:tr>
      <w:tr w:rsidR="008A305D" w:rsidRPr="00D92F6B" w14:paraId="33C1E38E" w14:textId="77777777" w:rsidTr="00412F88">
        <w:trPr>
          <w:trHeight w:val="360"/>
        </w:trPr>
        <w:tc>
          <w:tcPr>
            <w:tcW w:w="2376" w:type="dxa"/>
            <w:tcBorders>
              <w:top w:val="single" w:sz="4" w:space="0" w:color="auto"/>
              <w:left w:val="single" w:sz="4" w:space="0" w:color="auto"/>
              <w:bottom w:val="single" w:sz="4" w:space="0" w:color="auto"/>
              <w:right w:val="single" w:sz="4" w:space="0" w:color="auto"/>
            </w:tcBorders>
          </w:tcPr>
          <w:p w14:paraId="4D340F05"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 xml:space="preserve">Nedažnos </w:t>
            </w:r>
          </w:p>
        </w:tc>
        <w:tc>
          <w:tcPr>
            <w:tcW w:w="6695" w:type="dxa"/>
            <w:gridSpan w:val="2"/>
            <w:tcBorders>
              <w:top w:val="single" w:sz="4" w:space="0" w:color="auto"/>
              <w:left w:val="single" w:sz="4" w:space="0" w:color="auto"/>
              <w:bottom w:val="single" w:sz="4" w:space="0" w:color="auto"/>
              <w:right w:val="single" w:sz="4" w:space="0" w:color="auto"/>
            </w:tcBorders>
          </w:tcPr>
          <w:p w14:paraId="61311A11"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Padidėjusi kreatinino koncentracija kraujyje, padidėjęs kreatinfosfokinazės aktyvumas kraujyje, padidėjęs laktatdehidrogenazės aktyvumas kraujyje, padidėjęs šarminės fosfatazės aktyvumas kraujyje </w:t>
            </w:r>
          </w:p>
        </w:tc>
      </w:tr>
      <w:tr w:rsidR="008A305D" w:rsidRPr="00D92F6B" w14:paraId="00EDD2E9" w14:textId="77777777" w:rsidTr="00412F88">
        <w:trPr>
          <w:trHeight w:val="100"/>
        </w:trPr>
        <w:tc>
          <w:tcPr>
            <w:tcW w:w="2376" w:type="dxa"/>
            <w:tcBorders>
              <w:top w:val="single" w:sz="4" w:space="0" w:color="auto"/>
              <w:left w:val="single" w:sz="4" w:space="0" w:color="auto"/>
              <w:bottom w:val="single" w:sz="4" w:space="0" w:color="auto"/>
              <w:right w:val="single" w:sz="4" w:space="0" w:color="auto"/>
            </w:tcBorders>
          </w:tcPr>
          <w:p w14:paraId="30438F36"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i/>
                <w:iCs/>
                <w:color w:val="000000"/>
                <w:sz w:val="22"/>
                <w:szCs w:val="22"/>
              </w:rPr>
              <w:t xml:space="preserve">Retos </w:t>
            </w:r>
          </w:p>
        </w:tc>
        <w:tc>
          <w:tcPr>
            <w:tcW w:w="6695" w:type="dxa"/>
            <w:gridSpan w:val="2"/>
            <w:tcBorders>
              <w:top w:val="single" w:sz="4" w:space="0" w:color="auto"/>
              <w:left w:val="single" w:sz="4" w:space="0" w:color="auto"/>
              <w:bottom w:val="single" w:sz="4" w:space="0" w:color="auto"/>
              <w:right w:val="single" w:sz="4" w:space="0" w:color="auto"/>
            </w:tcBorders>
          </w:tcPr>
          <w:p w14:paraId="2AD9CF2E" w14:textId="77777777" w:rsidR="008A305D" w:rsidRPr="0045031A" w:rsidRDefault="008A305D" w:rsidP="00412F88">
            <w:pPr>
              <w:autoSpaceDE w:val="0"/>
              <w:autoSpaceDN w:val="0"/>
              <w:adjustRightInd w:val="0"/>
              <w:rPr>
                <w:rFonts w:eastAsia="Calibri"/>
                <w:color w:val="000000"/>
                <w:sz w:val="22"/>
                <w:szCs w:val="22"/>
              </w:rPr>
            </w:pPr>
            <w:r w:rsidRPr="00D92F6B">
              <w:rPr>
                <w:rFonts w:eastAsia="Calibri"/>
                <w:color w:val="000000"/>
                <w:sz w:val="22"/>
                <w:szCs w:val="22"/>
              </w:rPr>
              <w:t xml:space="preserve">Padidėjęs amilazės aktyvumas kraujyje </w:t>
            </w:r>
          </w:p>
        </w:tc>
      </w:tr>
    </w:tbl>
    <w:p w14:paraId="3EC0D4CA" w14:textId="77777777" w:rsidR="008A305D" w:rsidRPr="00D92F6B" w:rsidRDefault="008A305D" w:rsidP="008A305D">
      <w:pPr>
        <w:rPr>
          <w:sz w:val="22"/>
          <w:szCs w:val="22"/>
        </w:rPr>
      </w:pPr>
    </w:p>
    <w:p w14:paraId="06B0204E" w14:textId="77777777" w:rsidR="008A305D" w:rsidRPr="00D92F6B" w:rsidRDefault="008A305D" w:rsidP="008A305D">
      <w:pPr>
        <w:ind w:left="720" w:hanging="720"/>
        <w:rPr>
          <w:sz w:val="22"/>
          <w:szCs w:val="22"/>
        </w:rPr>
      </w:pPr>
      <w:r w:rsidRPr="00D92F6B">
        <w:rPr>
          <w:sz w:val="22"/>
          <w:szCs w:val="22"/>
        </w:rPr>
        <w:t>*</w:t>
      </w:r>
      <w:r w:rsidRPr="00D92F6B">
        <w:rPr>
          <w:sz w:val="22"/>
          <w:szCs w:val="22"/>
        </w:rPr>
        <w:tab/>
        <w:t>Šių reakcijų tipai daugiausiai registruoti po imatinibo pateikimo į rinką. Tai nepageidaujamos reakcijos, apie kurias pranešta spontaniniuose pranešimuose, taip pat sunkūs nepageidaujami reiškiniai, stebėti tebevykstančių tyrimų, išplėstinių gydymo programų, klinikinių farmakologinių tyrimų ir bandomųjų nepatvirtintų indikacijų tyrimų metu. Kadangi šios reakcijos registruotos neaiškaus dydžio populiacijoje, ne visuomet galima patikimai įvertinti jų dažnumą arba nustatyti priežastinį ryšį su imatinibo ekspozicija.</w:t>
      </w:r>
    </w:p>
    <w:p w14:paraId="2DD403E3" w14:textId="77777777" w:rsidR="008A305D" w:rsidRPr="00D92F6B" w:rsidRDefault="008A305D" w:rsidP="008A305D">
      <w:pPr>
        <w:autoSpaceDE w:val="0"/>
        <w:autoSpaceDN w:val="0"/>
        <w:adjustRightInd w:val="0"/>
        <w:ind w:left="720" w:hanging="720"/>
        <w:rPr>
          <w:rFonts w:eastAsia="Calibri"/>
          <w:color w:val="000000"/>
          <w:sz w:val="22"/>
          <w:szCs w:val="22"/>
        </w:rPr>
      </w:pPr>
      <w:r w:rsidRPr="00D92F6B">
        <w:rPr>
          <w:rFonts w:eastAsia="Calibri"/>
          <w:color w:val="000000"/>
          <w:sz w:val="22"/>
          <w:szCs w:val="22"/>
        </w:rPr>
        <w:t>1</w:t>
      </w:r>
      <w:r w:rsidRPr="00D92F6B">
        <w:rPr>
          <w:rFonts w:eastAsia="Calibri"/>
          <w:color w:val="000000"/>
          <w:sz w:val="22"/>
          <w:szCs w:val="22"/>
        </w:rPr>
        <w:tab/>
        <w:t xml:space="preserve">Pneumonija dažniausiai registruota pacientams, kuriems buvo transformuota LML, ir pacientams, kuriems buvo </w:t>
      </w:r>
      <w:r>
        <w:rPr>
          <w:rFonts w:eastAsia="Calibri"/>
          <w:color w:val="000000"/>
          <w:sz w:val="22"/>
          <w:szCs w:val="22"/>
        </w:rPr>
        <w:t>GIST</w:t>
      </w:r>
      <w:r w:rsidRPr="00D92F6B">
        <w:rPr>
          <w:rFonts w:eastAsia="Calibri"/>
          <w:color w:val="000000"/>
          <w:sz w:val="22"/>
          <w:szCs w:val="22"/>
        </w:rPr>
        <w:t xml:space="preserve">. </w:t>
      </w:r>
    </w:p>
    <w:p w14:paraId="39A5F41B"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2</w:t>
      </w:r>
      <w:r w:rsidRPr="00D92F6B">
        <w:rPr>
          <w:rFonts w:eastAsia="Calibri"/>
          <w:color w:val="000000"/>
          <w:sz w:val="22"/>
          <w:szCs w:val="22"/>
        </w:rPr>
        <w:tab/>
        <w:t xml:space="preserve">Galvos skausmas dažniausiai pasireiškė pacientams, kuriems buvo </w:t>
      </w:r>
      <w:r>
        <w:rPr>
          <w:rFonts w:eastAsia="Calibri"/>
          <w:color w:val="000000"/>
          <w:sz w:val="22"/>
          <w:szCs w:val="22"/>
        </w:rPr>
        <w:t>GIST</w:t>
      </w:r>
      <w:r w:rsidRPr="00D92F6B">
        <w:rPr>
          <w:rFonts w:eastAsia="Calibri"/>
          <w:color w:val="000000"/>
          <w:sz w:val="22"/>
          <w:szCs w:val="22"/>
        </w:rPr>
        <w:t xml:space="preserve">. </w:t>
      </w:r>
    </w:p>
    <w:p w14:paraId="2E928514" w14:textId="77777777" w:rsidR="008A305D" w:rsidRPr="00D92F6B" w:rsidRDefault="008A305D" w:rsidP="008A305D">
      <w:pPr>
        <w:autoSpaceDE w:val="0"/>
        <w:autoSpaceDN w:val="0"/>
        <w:adjustRightInd w:val="0"/>
        <w:ind w:left="720" w:hanging="720"/>
        <w:rPr>
          <w:rFonts w:eastAsia="Calibri"/>
          <w:color w:val="000000"/>
          <w:sz w:val="22"/>
          <w:szCs w:val="22"/>
        </w:rPr>
      </w:pPr>
      <w:r w:rsidRPr="00D92F6B">
        <w:rPr>
          <w:rFonts w:eastAsia="Calibri"/>
          <w:color w:val="000000"/>
          <w:sz w:val="22"/>
          <w:szCs w:val="22"/>
        </w:rPr>
        <w:t>3</w:t>
      </w:r>
      <w:r w:rsidRPr="00D92F6B">
        <w:rPr>
          <w:rFonts w:eastAsia="Calibri"/>
          <w:color w:val="000000"/>
          <w:sz w:val="22"/>
          <w:szCs w:val="22"/>
        </w:rPr>
        <w:tab/>
        <w:t xml:space="preserve">Vertinant pagal pacientų metus </w:t>
      </w:r>
      <w:r w:rsidRPr="00D92F6B">
        <w:rPr>
          <w:rFonts w:eastAsia="Calibri"/>
          <w:i/>
          <w:iCs/>
          <w:color w:val="000000"/>
          <w:sz w:val="22"/>
          <w:szCs w:val="22"/>
        </w:rPr>
        <w:t>(angl. Patient-years</w:t>
      </w:r>
      <w:r w:rsidRPr="00D92F6B">
        <w:rPr>
          <w:rFonts w:eastAsia="Calibri"/>
          <w:color w:val="000000"/>
          <w:sz w:val="22"/>
          <w:szCs w:val="22"/>
        </w:rPr>
        <w:t xml:space="preserve">), kardiologiniai reiškiniai, įskaitant stazinį širdies nepakankamumą, dažniau stebėti pacientams, kuriems buvo transformuota LML, nei pacientams, sergantiems lėtine LML. </w:t>
      </w:r>
    </w:p>
    <w:p w14:paraId="46081EDE" w14:textId="77777777" w:rsidR="008A305D" w:rsidRPr="00D92F6B" w:rsidRDefault="008A305D" w:rsidP="008A305D">
      <w:pPr>
        <w:autoSpaceDE w:val="0"/>
        <w:autoSpaceDN w:val="0"/>
        <w:adjustRightInd w:val="0"/>
        <w:ind w:left="720" w:hanging="720"/>
        <w:rPr>
          <w:rFonts w:eastAsia="Calibri"/>
          <w:color w:val="000000"/>
          <w:sz w:val="22"/>
          <w:szCs w:val="22"/>
        </w:rPr>
      </w:pPr>
      <w:r w:rsidRPr="00D92F6B">
        <w:rPr>
          <w:rFonts w:eastAsia="Calibri"/>
          <w:color w:val="000000"/>
          <w:sz w:val="22"/>
          <w:szCs w:val="22"/>
        </w:rPr>
        <w:t>4</w:t>
      </w:r>
      <w:r w:rsidRPr="00D92F6B">
        <w:rPr>
          <w:rFonts w:eastAsia="Calibri"/>
          <w:color w:val="000000"/>
          <w:sz w:val="22"/>
          <w:szCs w:val="22"/>
        </w:rPr>
        <w:tab/>
        <w:t xml:space="preserve">Raudonis dažniausiai pasireiškė pacientams, kuriems buvo </w:t>
      </w:r>
      <w:r>
        <w:rPr>
          <w:rFonts w:eastAsia="Calibri"/>
          <w:color w:val="000000"/>
          <w:sz w:val="22"/>
          <w:szCs w:val="22"/>
        </w:rPr>
        <w:t>GIST</w:t>
      </w:r>
      <w:r w:rsidRPr="00D92F6B">
        <w:rPr>
          <w:rFonts w:eastAsia="Calibri"/>
          <w:color w:val="000000"/>
          <w:sz w:val="22"/>
          <w:szCs w:val="22"/>
        </w:rPr>
        <w:t xml:space="preserve">, o kraujavimas (hematoma, hemoragija) pacientams, kuriems buvo </w:t>
      </w:r>
      <w:r>
        <w:rPr>
          <w:rFonts w:eastAsia="Calibri"/>
          <w:color w:val="000000"/>
          <w:sz w:val="22"/>
          <w:szCs w:val="22"/>
        </w:rPr>
        <w:t>GIST</w:t>
      </w:r>
      <w:r w:rsidRPr="00D92F6B">
        <w:rPr>
          <w:rFonts w:eastAsia="Calibri"/>
          <w:color w:val="000000"/>
          <w:sz w:val="22"/>
          <w:szCs w:val="22"/>
        </w:rPr>
        <w:t xml:space="preserve">, ir pacientams, kuriems buvo transformuota LML (LML-AF ir LML-BK). </w:t>
      </w:r>
    </w:p>
    <w:p w14:paraId="4094F2E1" w14:textId="77777777" w:rsidR="008A305D" w:rsidRPr="00D92F6B" w:rsidRDefault="008A305D" w:rsidP="008A305D">
      <w:pPr>
        <w:autoSpaceDE w:val="0"/>
        <w:autoSpaceDN w:val="0"/>
        <w:adjustRightInd w:val="0"/>
        <w:ind w:left="720" w:hanging="720"/>
        <w:rPr>
          <w:rFonts w:eastAsia="Calibri"/>
          <w:color w:val="000000"/>
          <w:sz w:val="22"/>
          <w:szCs w:val="22"/>
        </w:rPr>
      </w:pPr>
      <w:r w:rsidRPr="00D92F6B">
        <w:rPr>
          <w:rFonts w:eastAsia="Calibri"/>
          <w:color w:val="000000"/>
          <w:sz w:val="22"/>
          <w:szCs w:val="22"/>
        </w:rPr>
        <w:t>5</w:t>
      </w:r>
      <w:r w:rsidRPr="00D92F6B">
        <w:rPr>
          <w:rFonts w:eastAsia="Calibri"/>
          <w:color w:val="000000"/>
          <w:sz w:val="22"/>
          <w:szCs w:val="22"/>
        </w:rPr>
        <w:tab/>
        <w:t xml:space="preserve">Skystis pleuros ertmėje dažniau registruotas pacientams, kuriems buvo </w:t>
      </w:r>
      <w:r>
        <w:rPr>
          <w:rFonts w:eastAsia="Calibri"/>
          <w:color w:val="000000"/>
          <w:sz w:val="22"/>
          <w:szCs w:val="22"/>
        </w:rPr>
        <w:t>GIST</w:t>
      </w:r>
      <w:r w:rsidRPr="00D92F6B">
        <w:rPr>
          <w:rFonts w:eastAsia="Calibri"/>
          <w:color w:val="000000"/>
          <w:sz w:val="22"/>
          <w:szCs w:val="22"/>
        </w:rPr>
        <w:t xml:space="preserve">, ir pacientams, kuriems buvo transformuota LML (LML-AF ir LML-BK), nei pacientams, sergantiems lėtine LML. </w:t>
      </w:r>
    </w:p>
    <w:p w14:paraId="2D367F7A" w14:textId="77777777" w:rsidR="008A305D" w:rsidRPr="00D92F6B" w:rsidRDefault="008A305D" w:rsidP="008A305D">
      <w:pPr>
        <w:autoSpaceDE w:val="0"/>
        <w:autoSpaceDN w:val="0"/>
        <w:adjustRightInd w:val="0"/>
        <w:ind w:left="720" w:hanging="720"/>
        <w:rPr>
          <w:rFonts w:eastAsia="Calibri"/>
          <w:color w:val="000000"/>
          <w:sz w:val="22"/>
          <w:szCs w:val="22"/>
        </w:rPr>
      </w:pPr>
      <w:r w:rsidRPr="00D92F6B">
        <w:rPr>
          <w:rFonts w:eastAsia="Calibri"/>
          <w:color w:val="000000"/>
          <w:sz w:val="22"/>
          <w:szCs w:val="22"/>
        </w:rPr>
        <w:t>6+7</w:t>
      </w:r>
      <w:r w:rsidRPr="00D92F6B">
        <w:rPr>
          <w:rFonts w:eastAsia="Calibri"/>
          <w:color w:val="000000"/>
          <w:sz w:val="22"/>
          <w:szCs w:val="22"/>
        </w:rPr>
        <w:tab/>
        <w:t xml:space="preserve">Pilvo skausmas ir kraujavimas iš virškinimo trakto dažniausiai stebėtas pacientams, kuriems buvo </w:t>
      </w:r>
      <w:r>
        <w:rPr>
          <w:rFonts w:eastAsia="Calibri"/>
          <w:color w:val="000000"/>
          <w:sz w:val="22"/>
          <w:szCs w:val="22"/>
        </w:rPr>
        <w:t>GIST</w:t>
      </w:r>
      <w:r w:rsidRPr="00D92F6B">
        <w:rPr>
          <w:rFonts w:eastAsia="Calibri"/>
          <w:color w:val="000000"/>
          <w:sz w:val="22"/>
          <w:szCs w:val="22"/>
        </w:rPr>
        <w:t xml:space="preserve">. </w:t>
      </w:r>
    </w:p>
    <w:p w14:paraId="1EC527B7"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lastRenderedPageBreak/>
        <w:t>8</w:t>
      </w:r>
      <w:r w:rsidRPr="00D92F6B">
        <w:rPr>
          <w:rFonts w:eastAsia="Calibri"/>
          <w:color w:val="000000"/>
          <w:sz w:val="22"/>
          <w:szCs w:val="22"/>
        </w:rPr>
        <w:tab/>
        <w:t xml:space="preserve">Registruoti keli mirtini kepenų nepakankamumo ir kepenų nekrozės atvejai. </w:t>
      </w:r>
    </w:p>
    <w:p w14:paraId="0C915A65" w14:textId="77777777" w:rsidR="008A305D" w:rsidRPr="00D92F6B" w:rsidRDefault="008A305D" w:rsidP="008A305D">
      <w:pPr>
        <w:autoSpaceDE w:val="0"/>
        <w:autoSpaceDN w:val="0"/>
        <w:adjustRightInd w:val="0"/>
        <w:ind w:left="720" w:hanging="720"/>
        <w:rPr>
          <w:rFonts w:eastAsia="Calibri"/>
          <w:color w:val="000000"/>
          <w:sz w:val="22"/>
          <w:szCs w:val="22"/>
        </w:rPr>
      </w:pPr>
      <w:r w:rsidRPr="00D92F6B">
        <w:rPr>
          <w:rFonts w:eastAsia="Calibri"/>
          <w:color w:val="000000"/>
          <w:sz w:val="22"/>
          <w:szCs w:val="22"/>
        </w:rPr>
        <w:t>9</w:t>
      </w:r>
      <w:r w:rsidRPr="00D92F6B">
        <w:rPr>
          <w:rFonts w:eastAsia="Calibri"/>
          <w:color w:val="000000"/>
          <w:sz w:val="22"/>
          <w:szCs w:val="22"/>
        </w:rPr>
        <w:tab/>
        <w:t xml:space="preserve">Skeleto ir raumenų skausmas bei susiję reiškiniai dažniau stebėti pacientams, sergantiems LML, nei pacientams, kuriems buvo </w:t>
      </w:r>
      <w:r>
        <w:rPr>
          <w:rFonts w:eastAsia="Calibri"/>
          <w:color w:val="000000"/>
          <w:sz w:val="22"/>
          <w:szCs w:val="22"/>
        </w:rPr>
        <w:t>GIST</w:t>
      </w:r>
      <w:r w:rsidRPr="00D92F6B">
        <w:rPr>
          <w:rFonts w:eastAsia="Calibri"/>
          <w:color w:val="000000"/>
          <w:sz w:val="22"/>
          <w:szCs w:val="22"/>
        </w:rPr>
        <w:t xml:space="preserve">. </w:t>
      </w:r>
    </w:p>
    <w:p w14:paraId="3F459009" w14:textId="77777777" w:rsidR="008A305D" w:rsidRDefault="008A305D" w:rsidP="008A305D">
      <w:pPr>
        <w:autoSpaceDE w:val="0"/>
        <w:autoSpaceDN w:val="0"/>
        <w:adjustRightInd w:val="0"/>
        <w:ind w:left="720" w:hanging="720"/>
        <w:rPr>
          <w:rFonts w:eastAsia="Calibri"/>
          <w:color w:val="000000"/>
          <w:sz w:val="22"/>
          <w:szCs w:val="22"/>
        </w:rPr>
      </w:pPr>
      <w:r w:rsidRPr="00D92F6B">
        <w:rPr>
          <w:rFonts w:eastAsia="Calibri"/>
          <w:color w:val="000000"/>
          <w:sz w:val="22"/>
          <w:szCs w:val="22"/>
        </w:rPr>
        <w:t>10</w:t>
      </w:r>
      <w:r w:rsidRPr="00D92F6B">
        <w:rPr>
          <w:rFonts w:eastAsia="Calibri"/>
          <w:color w:val="000000"/>
          <w:sz w:val="22"/>
          <w:szCs w:val="22"/>
        </w:rPr>
        <w:tab/>
        <w:t>Buvo praneštas apie mirties atvejus pacientams, kuriems yra progresavusi liga, sunkių infekcijų, sunki neutropenija ir kitų sunkių gretutinių ligų.</w:t>
      </w:r>
    </w:p>
    <w:p w14:paraId="6AB37DB6" w14:textId="77777777" w:rsidR="00741016" w:rsidRPr="00D92F6B" w:rsidRDefault="00741016" w:rsidP="008A305D">
      <w:pPr>
        <w:autoSpaceDE w:val="0"/>
        <w:autoSpaceDN w:val="0"/>
        <w:adjustRightInd w:val="0"/>
        <w:ind w:left="720" w:hanging="720"/>
        <w:rPr>
          <w:rFonts w:eastAsia="Calibri"/>
          <w:color w:val="000000"/>
          <w:sz w:val="22"/>
          <w:szCs w:val="22"/>
        </w:rPr>
      </w:pPr>
      <w:r>
        <w:rPr>
          <w:rFonts w:eastAsia="Calibri"/>
          <w:color w:val="000000"/>
          <w:sz w:val="22"/>
          <w:szCs w:val="22"/>
        </w:rPr>
        <w:t>11</w:t>
      </w:r>
      <w:r>
        <w:rPr>
          <w:rFonts w:eastAsia="Calibri"/>
          <w:color w:val="000000"/>
          <w:sz w:val="22"/>
          <w:szCs w:val="22"/>
        </w:rPr>
        <w:tab/>
      </w:r>
      <w:r w:rsidRPr="00741016">
        <w:rPr>
          <w:rFonts w:eastAsia="Calibri"/>
          <w:color w:val="000000"/>
          <w:sz w:val="22"/>
          <w:szCs w:val="22"/>
        </w:rPr>
        <w:t>Pranešta kad hepatito B reaktyvacijos atvejai buvo susiję su BCR-ABL tirozinkinazės inhibitorių (TKI) vartojimu. Kai kuriais atvejais tai sukėlė ūminį kepenų nepakankamumą arba žaibinį hepatitą, dėl kurio pacientui teko persodinti kepenis arba pacientas mirė (žr. 4.4 skyrių).</w:t>
      </w:r>
    </w:p>
    <w:p w14:paraId="02EAA429" w14:textId="77777777" w:rsidR="008A305D" w:rsidRPr="00D92F6B" w:rsidRDefault="008A305D" w:rsidP="008A305D">
      <w:pPr>
        <w:rPr>
          <w:sz w:val="22"/>
          <w:szCs w:val="22"/>
        </w:rPr>
      </w:pPr>
    </w:p>
    <w:p w14:paraId="7EA861BA" w14:textId="77777777" w:rsidR="008A305D" w:rsidRPr="00D92F6B" w:rsidRDefault="008A305D" w:rsidP="008A305D">
      <w:pPr>
        <w:autoSpaceDE w:val="0"/>
        <w:autoSpaceDN w:val="0"/>
        <w:adjustRightInd w:val="0"/>
        <w:rPr>
          <w:rFonts w:eastAsia="Calibri"/>
          <w:i/>
          <w:color w:val="000000"/>
          <w:sz w:val="22"/>
          <w:szCs w:val="22"/>
          <w:u w:val="single"/>
        </w:rPr>
      </w:pPr>
      <w:r w:rsidRPr="00D92F6B">
        <w:rPr>
          <w:rFonts w:eastAsia="Calibri"/>
          <w:i/>
          <w:color w:val="000000"/>
          <w:sz w:val="22"/>
          <w:szCs w:val="22"/>
          <w:u w:val="single"/>
        </w:rPr>
        <w:t xml:space="preserve">Pakitę laboratoriniai testai </w:t>
      </w:r>
    </w:p>
    <w:p w14:paraId="1CBA1C8D" w14:textId="77777777" w:rsidR="008A305D" w:rsidRPr="00D92F6B" w:rsidRDefault="008A305D" w:rsidP="008A305D">
      <w:pPr>
        <w:autoSpaceDE w:val="0"/>
        <w:autoSpaceDN w:val="0"/>
        <w:adjustRightInd w:val="0"/>
        <w:rPr>
          <w:rFonts w:eastAsia="Calibri"/>
          <w:i/>
          <w:iCs/>
          <w:color w:val="000000"/>
          <w:sz w:val="22"/>
          <w:szCs w:val="22"/>
        </w:rPr>
      </w:pPr>
    </w:p>
    <w:p w14:paraId="2AE620EB"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i/>
          <w:iCs/>
          <w:color w:val="000000"/>
          <w:sz w:val="22"/>
          <w:szCs w:val="22"/>
        </w:rPr>
        <w:t xml:space="preserve">Hematologija </w:t>
      </w:r>
    </w:p>
    <w:p w14:paraId="5989AD16"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Visų tyrimų metu LML sergantiems pacientams stebėta citopenija, ypač neutropenija ir trombocitopenija, dažniau vartojant dideles </w:t>
      </w:r>
      <w:r w:rsidRPr="0045031A">
        <w:rPr>
          <w:sz w:val="22"/>
          <w:szCs w:val="22"/>
        </w:rPr>
        <w:t xml:space="preserve">≥ 750 mg </w:t>
      </w:r>
      <w:r w:rsidRPr="00D92F6B">
        <w:rPr>
          <w:rFonts w:eastAsia="Calibri"/>
          <w:color w:val="000000"/>
          <w:sz w:val="22"/>
          <w:szCs w:val="22"/>
        </w:rPr>
        <w:t>dozes (I fazės tyrimas). Tačiau citopenijos aiškiai priklauso nuo ligos stadijos, III-IV laipsnio neutropenija (ANS &lt; 1,0 x 10</w:t>
      </w:r>
      <w:r w:rsidRPr="00D92F6B">
        <w:rPr>
          <w:rFonts w:eastAsia="Calibri"/>
          <w:color w:val="000000"/>
          <w:sz w:val="22"/>
          <w:szCs w:val="22"/>
          <w:vertAlign w:val="superscript"/>
        </w:rPr>
        <w:t>9</w:t>
      </w:r>
      <w:r w:rsidRPr="00D92F6B">
        <w:rPr>
          <w:rFonts w:eastAsia="Calibri"/>
          <w:color w:val="000000"/>
          <w:sz w:val="22"/>
          <w:szCs w:val="22"/>
        </w:rPr>
        <w:t>/l) ir trombocitopenija (trombocitų &lt; 50 x 10</w:t>
      </w:r>
      <w:r w:rsidRPr="00D92F6B">
        <w:rPr>
          <w:rFonts w:eastAsia="Calibri"/>
          <w:color w:val="000000"/>
          <w:sz w:val="22"/>
          <w:szCs w:val="22"/>
          <w:vertAlign w:val="superscript"/>
        </w:rPr>
        <w:t>9</w:t>
      </w:r>
      <w:r w:rsidRPr="00D92F6B">
        <w:rPr>
          <w:rFonts w:eastAsia="Calibri"/>
          <w:color w:val="000000"/>
          <w:sz w:val="22"/>
          <w:szCs w:val="22"/>
        </w:rPr>
        <w:t>/l) buvo 4–6 kartus dažniau nustatyta pacientams, kuriems buvo blastinė krizė ar akceleracijos fazė (neutropenija ir trombocitopenija atitinkamai 59–64 % ir 44–63 %), lyginant su pacientais, kuriems buvo naujai diagnozuota lėtinė LML fazė (16,7 % neutropenija ir 8,9 % trombocitopenija). Naujai diagnozuotos lėtinės LML fazės metu IV</w:t>
      </w:r>
      <w:r w:rsidRPr="0045031A">
        <w:rPr>
          <w:rFonts w:eastAsia="Calibri"/>
          <w:sz w:val="22"/>
          <w:szCs w:val="22"/>
        </w:rPr>
        <w:t> </w:t>
      </w:r>
      <w:r w:rsidRPr="00D92F6B">
        <w:rPr>
          <w:rFonts w:eastAsia="Calibri"/>
          <w:color w:val="000000"/>
          <w:sz w:val="22"/>
          <w:szCs w:val="22"/>
        </w:rPr>
        <w:t>laipsnio neutropenija (ANS &lt; 0,5 x 10</w:t>
      </w:r>
      <w:r w:rsidRPr="00D92F6B">
        <w:rPr>
          <w:rFonts w:eastAsia="Calibri"/>
          <w:color w:val="000000"/>
          <w:sz w:val="22"/>
          <w:szCs w:val="22"/>
          <w:vertAlign w:val="superscript"/>
        </w:rPr>
        <w:t>9</w:t>
      </w:r>
      <w:r w:rsidRPr="00D92F6B">
        <w:rPr>
          <w:rFonts w:eastAsia="Calibri"/>
          <w:color w:val="000000"/>
          <w:sz w:val="22"/>
          <w:szCs w:val="22"/>
        </w:rPr>
        <w:t>/l) ir trombocitopenija (trombocitų &lt; 50 x 10</w:t>
      </w:r>
      <w:r w:rsidRPr="00D92F6B">
        <w:rPr>
          <w:rFonts w:eastAsia="Calibri"/>
          <w:color w:val="000000"/>
          <w:sz w:val="22"/>
          <w:szCs w:val="22"/>
          <w:vertAlign w:val="superscript"/>
        </w:rPr>
        <w:t>9</w:t>
      </w:r>
      <w:r w:rsidRPr="00D92F6B">
        <w:rPr>
          <w:rFonts w:eastAsia="Calibri"/>
          <w:color w:val="000000"/>
          <w:sz w:val="22"/>
          <w:szCs w:val="22"/>
        </w:rPr>
        <w:t xml:space="preserve">/l) stebėta atitinkamai 3,6  % ir &lt; 1 % pacientų. Vidurinė neutropenijos ir trombocitopenijos epizodų trukmė paprastai yra atitinkamai 2–3 savaitės ir 3–4 savaitės. Šiuos reiškinius dažniausiai galima kontroliuoti sumažinus imatinibo dozę ar laikinai jį nutraukus, tačiau retai tenka gydymą visiškai nutraukti. Vaikų, sergančių LML, tarpe dažniausiai stebėtas nepageidaujamas poveikis buvo III-IV laipsnio citopenijos, įskaitant neutropeniją, trombocitopeniją ir anemiją. Paprastai jos pasireiškė per pirmus gydymo mėnesius. </w:t>
      </w:r>
    </w:p>
    <w:p w14:paraId="11C21D68" w14:textId="77777777" w:rsidR="008A305D" w:rsidRPr="00D92F6B" w:rsidRDefault="008A305D" w:rsidP="008A305D">
      <w:pPr>
        <w:autoSpaceDE w:val="0"/>
        <w:autoSpaceDN w:val="0"/>
        <w:adjustRightInd w:val="0"/>
        <w:rPr>
          <w:rFonts w:eastAsia="Calibri"/>
          <w:color w:val="000000"/>
          <w:sz w:val="22"/>
          <w:szCs w:val="22"/>
        </w:rPr>
      </w:pPr>
    </w:p>
    <w:p w14:paraId="5EEECE49" w14:textId="77777777" w:rsidR="008A305D" w:rsidRPr="00D92F6B" w:rsidRDefault="008A305D" w:rsidP="008A305D">
      <w:pPr>
        <w:rPr>
          <w:rFonts w:eastAsia="Calibri"/>
          <w:color w:val="000000"/>
          <w:sz w:val="22"/>
          <w:szCs w:val="22"/>
        </w:rPr>
      </w:pPr>
      <w:r w:rsidRPr="00D92F6B">
        <w:rPr>
          <w:rFonts w:eastAsia="Calibri"/>
          <w:color w:val="000000"/>
          <w:sz w:val="22"/>
          <w:szCs w:val="22"/>
        </w:rPr>
        <w:t xml:space="preserve">Atlikto klinikinio tyrimo duomenimis, jame dalyvavusiems pacientams, kuriems buvo nerezekuotinas ir (ar) metastazavęs </w:t>
      </w:r>
      <w:r>
        <w:rPr>
          <w:rFonts w:eastAsia="Calibri"/>
          <w:color w:val="000000"/>
          <w:sz w:val="22"/>
          <w:szCs w:val="22"/>
        </w:rPr>
        <w:t>GIST</w:t>
      </w:r>
      <w:r w:rsidRPr="00D92F6B">
        <w:rPr>
          <w:rFonts w:eastAsia="Calibri"/>
          <w:color w:val="000000"/>
          <w:sz w:val="22"/>
          <w:szCs w:val="22"/>
        </w:rPr>
        <w:t>, III–IV laipsnio anemija pasitaikė atitinkamai 5,4 % ir 0,7 %. Ji gali būti susijusi su virškinimo trakto ir vidunavikiniu kraujavimu, bent jau kai kuriems pacientams. III–IV laipsnio neutropenija stebėta atitinkamai 7,5 % ir 2,7 % pacientų, o III laipsnio trombocitopenija – 0,7 % pacientų. Nė vienam pacientui nepasireiškė IV laipsnio trombocitopenija. Leukocitų (baltųjų kraujo kūnelių, BKK) ir neutrofilų daugiausia sumažėjo per pirmąsias šešias gydymo savaites, paskui jų kiekis santykinai nekito.</w:t>
      </w:r>
    </w:p>
    <w:p w14:paraId="0A6CA682" w14:textId="77777777" w:rsidR="008A305D" w:rsidRPr="00D92F6B" w:rsidRDefault="008A305D" w:rsidP="008A305D">
      <w:pPr>
        <w:rPr>
          <w:rFonts w:eastAsia="Calibri"/>
          <w:color w:val="000000"/>
          <w:sz w:val="22"/>
          <w:szCs w:val="22"/>
        </w:rPr>
      </w:pPr>
    </w:p>
    <w:p w14:paraId="053C707E"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i/>
          <w:iCs/>
          <w:color w:val="000000"/>
          <w:sz w:val="22"/>
          <w:szCs w:val="22"/>
        </w:rPr>
        <w:lastRenderedPageBreak/>
        <w:t xml:space="preserve">Biochemija </w:t>
      </w:r>
    </w:p>
    <w:p w14:paraId="7AB44C24"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LML sergantiems pacientams stebėtas labai padidėjęs transaminazių (&lt; 5 %) aktyvumas ar bilirubino (&lt; 1 %) koncentracija, kurie paprastai sumažėdavo sumažinus dozę ar laikinai nutraukus gydymą (šių epizodų trukmės mediana buvo maždaug viena savaitė). Dėl pakitusių kepenų funkcijos laboratorinių rodiklių gydymą visiškai reikėjo nutraukti mažiau kaip 1 % LML sirgusių pacientų. 6,8 % </w:t>
      </w:r>
      <w:r>
        <w:rPr>
          <w:rFonts w:eastAsia="Calibri"/>
          <w:color w:val="000000"/>
          <w:sz w:val="22"/>
          <w:szCs w:val="22"/>
        </w:rPr>
        <w:t>GIST</w:t>
      </w:r>
      <w:r w:rsidRPr="00D92F6B">
        <w:rPr>
          <w:rFonts w:eastAsia="Calibri"/>
          <w:color w:val="000000"/>
          <w:sz w:val="22"/>
          <w:szCs w:val="22"/>
        </w:rPr>
        <w:t xml:space="preserve"> sergančių pacientų (tyrimas B2222) buvo stebėtas 3 ar 4 laipsnio ALT (alanino aminotransferazių) aktyvumo padidėjimas ir 4,8 % - 3 ar 4 laipsnio AST (aspartataminotransferazių) aktyvumo padidėjimas. Bilirubino koncentracija didėjo mažiau kaip 3 %. </w:t>
      </w:r>
    </w:p>
    <w:p w14:paraId="71D9EE05" w14:textId="77777777" w:rsidR="008A305D" w:rsidRPr="00D92F6B" w:rsidRDefault="008A305D" w:rsidP="008A305D">
      <w:pPr>
        <w:autoSpaceDE w:val="0"/>
        <w:autoSpaceDN w:val="0"/>
        <w:adjustRightInd w:val="0"/>
        <w:rPr>
          <w:rFonts w:eastAsia="Calibri"/>
          <w:color w:val="000000"/>
          <w:sz w:val="22"/>
          <w:szCs w:val="22"/>
        </w:rPr>
      </w:pPr>
    </w:p>
    <w:p w14:paraId="508D3A10"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Pasitaikė citolizinio bei cholestazinio hepatito ir kepenų nepakankamumo atvejų, kai kurie iš jų baigėsi mirtimi (vienam pacientui, vartojusiam didelę paracetamolio dozę). </w:t>
      </w:r>
    </w:p>
    <w:p w14:paraId="54F96894" w14:textId="77777777" w:rsidR="008A305D" w:rsidRPr="0045031A" w:rsidRDefault="008A305D" w:rsidP="008A305D">
      <w:pPr>
        <w:autoSpaceDE w:val="0"/>
        <w:autoSpaceDN w:val="0"/>
        <w:adjustRightInd w:val="0"/>
        <w:rPr>
          <w:sz w:val="22"/>
          <w:szCs w:val="22"/>
          <w:u w:val="single"/>
        </w:rPr>
      </w:pPr>
    </w:p>
    <w:p w14:paraId="7F2DDDC3" w14:textId="77777777" w:rsidR="008A305D" w:rsidRPr="00D92F6B" w:rsidRDefault="008A305D" w:rsidP="008A305D">
      <w:pPr>
        <w:autoSpaceDE w:val="0"/>
        <w:autoSpaceDN w:val="0"/>
        <w:adjustRightInd w:val="0"/>
        <w:rPr>
          <w:sz w:val="22"/>
          <w:szCs w:val="22"/>
          <w:u w:val="single"/>
        </w:rPr>
      </w:pPr>
      <w:r w:rsidRPr="00D92F6B">
        <w:rPr>
          <w:sz w:val="22"/>
          <w:szCs w:val="22"/>
          <w:u w:val="single"/>
        </w:rPr>
        <w:t>Pranešimas apie įtariamas nepageidaujamas reakcijas</w:t>
      </w:r>
    </w:p>
    <w:p w14:paraId="1DA1868A" w14:textId="77777777" w:rsidR="008A305D" w:rsidRPr="00D92F6B" w:rsidRDefault="008A305D" w:rsidP="008A305D">
      <w:pPr>
        <w:autoSpaceDE w:val="0"/>
        <w:autoSpaceDN w:val="0"/>
        <w:adjustRightInd w:val="0"/>
        <w:rPr>
          <w:sz w:val="22"/>
          <w:szCs w:val="22"/>
        </w:rPr>
      </w:pPr>
      <w:r w:rsidRPr="00D92F6B">
        <w:rPr>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D92F6B">
          <w:rPr>
            <w:rStyle w:val="Hipersaitas"/>
            <w:sz w:val="22"/>
            <w:szCs w:val="22"/>
          </w:rPr>
          <w:t>www.vvkt.lt</w:t>
        </w:r>
      </w:hyperlink>
      <w:r w:rsidRPr="00D92F6B">
        <w:rPr>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D92F6B">
          <w:rPr>
            <w:rStyle w:val="Hipersaitas"/>
            <w:sz w:val="22"/>
            <w:szCs w:val="22"/>
          </w:rPr>
          <w:t>NepageidaujamaR@vvkt.lt</w:t>
        </w:r>
      </w:hyperlink>
      <w:r w:rsidRPr="00D92F6B">
        <w:rPr>
          <w:sz w:val="22"/>
          <w:szCs w:val="22"/>
        </w:rPr>
        <w:t>), per interneto svetainę (adresu http://www.vvkt.lt).</w:t>
      </w:r>
    </w:p>
    <w:p w14:paraId="58B329FB" w14:textId="77777777" w:rsidR="008A305D" w:rsidRPr="00D92F6B" w:rsidRDefault="008A305D" w:rsidP="008A305D">
      <w:pPr>
        <w:autoSpaceDE w:val="0"/>
        <w:autoSpaceDN w:val="0"/>
        <w:adjustRightInd w:val="0"/>
        <w:rPr>
          <w:rFonts w:eastAsia="Calibri"/>
          <w:color w:val="000000"/>
          <w:sz w:val="22"/>
          <w:szCs w:val="22"/>
        </w:rPr>
      </w:pPr>
    </w:p>
    <w:p w14:paraId="6C5E77D2" w14:textId="77777777" w:rsidR="008A305D" w:rsidRPr="00D92F6B" w:rsidRDefault="008A305D" w:rsidP="008A305D">
      <w:pPr>
        <w:pStyle w:val="Sraopastraipa"/>
        <w:keepNext/>
        <w:numPr>
          <w:ilvl w:val="1"/>
          <w:numId w:val="5"/>
        </w:numPr>
        <w:autoSpaceDE w:val="0"/>
        <w:autoSpaceDN w:val="0"/>
        <w:adjustRightInd w:val="0"/>
        <w:ind w:left="567" w:hanging="567"/>
        <w:rPr>
          <w:rFonts w:eastAsia="Calibri"/>
          <w:b/>
          <w:color w:val="000000"/>
          <w:sz w:val="22"/>
          <w:szCs w:val="22"/>
        </w:rPr>
      </w:pPr>
      <w:r w:rsidRPr="00D92F6B">
        <w:rPr>
          <w:rFonts w:eastAsia="Calibri"/>
          <w:b/>
          <w:bCs/>
          <w:color w:val="000000"/>
          <w:sz w:val="22"/>
          <w:szCs w:val="22"/>
        </w:rPr>
        <w:t xml:space="preserve">Perdozavimas </w:t>
      </w:r>
    </w:p>
    <w:p w14:paraId="7F2793DE" w14:textId="77777777" w:rsidR="008A305D" w:rsidRPr="00D92F6B" w:rsidRDefault="008A305D" w:rsidP="008A305D">
      <w:pPr>
        <w:autoSpaceDE w:val="0"/>
        <w:autoSpaceDN w:val="0"/>
        <w:adjustRightInd w:val="0"/>
        <w:rPr>
          <w:rFonts w:eastAsia="Calibri"/>
          <w:b/>
          <w:color w:val="000000"/>
          <w:sz w:val="22"/>
          <w:szCs w:val="22"/>
        </w:rPr>
      </w:pPr>
    </w:p>
    <w:p w14:paraId="2C60B119"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Didesnės dozės nei rekomenduojama terapinė dozė vartojimo patirties yra nedaug. Pavienių pranešimų metu ir literatūros šaltiniuose registruoti pavieniai imatinibo perdozavimo atvejai. Perdozavusį vaisto pacientą reikia stebėti ir taikyti atitinkamas simptominio gydymo priemones. Paprastai praneštais atvejais pacientų būklė “pagerėjo” arba jie “pasveiko”. Perdozavus skirtingų vaisto dozių, pranešta apie pasireiškusius toliau išvardytus reiškinius. </w:t>
      </w:r>
    </w:p>
    <w:p w14:paraId="1476D2E4" w14:textId="77777777" w:rsidR="008A305D" w:rsidRPr="00D92F6B" w:rsidRDefault="008A305D" w:rsidP="008A305D">
      <w:pPr>
        <w:autoSpaceDE w:val="0"/>
        <w:autoSpaceDN w:val="0"/>
        <w:adjustRightInd w:val="0"/>
        <w:rPr>
          <w:rFonts w:eastAsia="Calibri"/>
          <w:color w:val="000000"/>
          <w:sz w:val="22"/>
          <w:szCs w:val="22"/>
        </w:rPr>
      </w:pPr>
    </w:p>
    <w:p w14:paraId="2D854142" w14:textId="77777777" w:rsidR="008A305D" w:rsidRPr="00D92F6B" w:rsidRDefault="008A305D" w:rsidP="008A305D">
      <w:pPr>
        <w:autoSpaceDE w:val="0"/>
        <w:autoSpaceDN w:val="0"/>
        <w:adjustRightInd w:val="0"/>
        <w:rPr>
          <w:rFonts w:eastAsia="Calibri"/>
          <w:color w:val="000000"/>
          <w:sz w:val="22"/>
          <w:szCs w:val="22"/>
          <w:u w:val="single"/>
        </w:rPr>
      </w:pPr>
      <w:r w:rsidRPr="00D92F6B">
        <w:rPr>
          <w:rFonts w:eastAsia="Calibri"/>
          <w:iCs/>
          <w:color w:val="000000"/>
          <w:sz w:val="22"/>
          <w:szCs w:val="22"/>
          <w:u w:val="single"/>
        </w:rPr>
        <w:t xml:space="preserve">Suaugusiųjų populiacija </w:t>
      </w:r>
    </w:p>
    <w:p w14:paraId="6C253EF1"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Išgėrus 1200-1600 mg dozę (vartojimo trukmė buvo nuo 1 iki 10 dienų), pasireiškė pykinimas, vėmimas, viduriavimas, bėrimas, eritema, edema, patinimas, nuovargis, raumenų spazmai, trombocitopenija, pancitopenija, pilvo skausmas, galvos skausmas, sumažėjęs apetitas. </w:t>
      </w:r>
    </w:p>
    <w:p w14:paraId="6BEC85B4"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Išgėrus 1800-3200 mg dozę (daugiausia po 3200 mg per parą 6 dienas), pasireiškė silpnumas, raumenų skausmas, padidėjęs kreatinfosfokinazės aktyvumas, padidėjusi bilirubino koncentracija, virškinimo trakto skausmas. </w:t>
      </w:r>
    </w:p>
    <w:p w14:paraId="6BD248A4"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lastRenderedPageBreak/>
        <w:t xml:space="preserve">Išgėrus 6400 mg (vienkartinę dozę): literatūros šaltiniuose pranešta apie vieną tokį atvejį, kai vienam pacientui pasireiškė pykinimas, vėmimas, pilvo skausmas, karščiavimas, veido patinimas, sumažėjęs neutrofilų skaičius kraujyje, padidėjęs transaminazių aktyvumas. </w:t>
      </w:r>
    </w:p>
    <w:p w14:paraId="7D39BE53"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Išgėrus 8-10 g (vienkartinę dozę), pranešta apie pasireiškusį vėmimą ir virškinimo trakto skausmą. </w:t>
      </w:r>
    </w:p>
    <w:p w14:paraId="2B477502" w14:textId="77777777" w:rsidR="008A305D" w:rsidRPr="00D92F6B" w:rsidRDefault="008A305D" w:rsidP="008A305D">
      <w:pPr>
        <w:autoSpaceDE w:val="0"/>
        <w:autoSpaceDN w:val="0"/>
        <w:adjustRightInd w:val="0"/>
        <w:rPr>
          <w:rFonts w:eastAsia="Calibri"/>
          <w:color w:val="000000"/>
          <w:sz w:val="22"/>
          <w:szCs w:val="22"/>
        </w:rPr>
      </w:pPr>
    </w:p>
    <w:p w14:paraId="6F609521" w14:textId="77777777" w:rsidR="008A305D" w:rsidRPr="00D92F6B" w:rsidRDefault="008A305D" w:rsidP="008A305D">
      <w:pPr>
        <w:autoSpaceDE w:val="0"/>
        <w:autoSpaceDN w:val="0"/>
        <w:adjustRightInd w:val="0"/>
        <w:rPr>
          <w:rFonts w:eastAsia="Calibri"/>
          <w:color w:val="000000"/>
          <w:sz w:val="22"/>
          <w:szCs w:val="22"/>
          <w:u w:val="single"/>
        </w:rPr>
      </w:pPr>
      <w:r w:rsidRPr="00D92F6B">
        <w:rPr>
          <w:rFonts w:eastAsia="Calibri"/>
          <w:iCs/>
          <w:color w:val="000000"/>
          <w:sz w:val="22"/>
          <w:szCs w:val="22"/>
          <w:u w:val="single"/>
        </w:rPr>
        <w:t xml:space="preserve">Vaikų populiacija </w:t>
      </w:r>
    </w:p>
    <w:p w14:paraId="67461729"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Vienam 3 metų berniukui, kuris išgėrė vienkartinę 400 mg dozę, pasireiškė vėmimas, viduriavimas ir anoreksija, o kitam 3 metų berniukui, kuris išgėrė vienkartinę 980 mg dozę, sumažėjo leukocitų skaičius kraujyje ir pasireiškė viduriavimas. </w:t>
      </w:r>
    </w:p>
    <w:p w14:paraId="06F3699F" w14:textId="77777777" w:rsidR="008A305D" w:rsidRPr="00D92F6B" w:rsidRDefault="008A305D" w:rsidP="008A305D">
      <w:pPr>
        <w:autoSpaceDE w:val="0"/>
        <w:autoSpaceDN w:val="0"/>
        <w:adjustRightInd w:val="0"/>
        <w:rPr>
          <w:rFonts w:eastAsia="Calibri"/>
          <w:color w:val="000000"/>
          <w:sz w:val="22"/>
          <w:szCs w:val="22"/>
        </w:rPr>
      </w:pPr>
    </w:p>
    <w:p w14:paraId="4327B78D"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Pacientą, perdozavusį vaisto, reikia stebėti ir taikyti atitinkamas pagalbinio gydymo priemones. </w:t>
      </w:r>
    </w:p>
    <w:p w14:paraId="65B97E4D" w14:textId="77777777" w:rsidR="008A305D" w:rsidRPr="00D92F6B" w:rsidRDefault="008A305D" w:rsidP="008A305D">
      <w:pPr>
        <w:autoSpaceDE w:val="0"/>
        <w:autoSpaceDN w:val="0"/>
        <w:adjustRightInd w:val="0"/>
        <w:rPr>
          <w:rFonts w:eastAsia="Calibri"/>
          <w:color w:val="000000"/>
          <w:sz w:val="22"/>
          <w:szCs w:val="22"/>
        </w:rPr>
      </w:pPr>
    </w:p>
    <w:p w14:paraId="182F4743" w14:textId="77777777" w:rsidR="008A305D" w:rsidRPr="00D92F6B" w:rsidRDefault="008A305D" w:rsidP="008A305D">
      <w:pPr>
        <w:autoSpaceDE w:val="0"/>
        <w:autoSpaceDN w:val="0"/>
        <w:adjustRightInd w:val="0"/>
        <w:rPr>
          <w:rFonts w:eastAsia="Calibri"/>
          <w:color w:val="000000"/>
          <w:sz w:val="22"/>
          <w:szCs w:val="22"/>
        </w:rPr>
      </w:pPr>
    </w:p>
    <w:p w14:paraId="68CD8F68" w14:textId="77777777" w:rsidR="008A305D" w:rsidRPr="00D92F6B" w:rsidRDefault="008A305D" w:rsidP="008A305D">
      <w:pPr>
        <w:pStyle w:val="Sraopastraipa"/>
        <w:keepNext/>
        <w:numPr>
          <w:ilvl w:val="0"/>
          <w:numId w:val="5"/>
        </w:numPr>
        <w:autoSpaceDE w:val="0"/>
        <w:autoSpaceDN w:val="0"/>
        <w:adjustRightInd w:val="0"/>
        <w:ind w:left="567" w:hanging="567"/>
        <w:rPr>
          <w:rFonts w:eastAsia="Calibri"/>
          <w:b/>
          <w:color w:val="000000"/>
          <w:sz w:val="22"/>
          <w:szCs w:val="22"/>
        </w:rPr>
      </w:pPr>
      <w:r w:rsidRPr="00D92F6B">
        <w:rPr>
          <w:rFonts w:eastAsia="Calibri"/>
          <w:b/>
          <w:bCs/>
          <w:color w:val="000000"/>
          <w:sz w:val="22"/>
          <w:szCs w:val="22"/>
        </w:rPr>
        <w:t xml:space="preserve">FARMAKOLOGINĖS SAVYBĖS </w:t>
      </w:r>
    </w:p>
    <w:p w14:paraId="31038038" w14:textId="77777777" w:rsidR="008A305D" w:rsidRPr="00D92F6B" w:rsidRDefault="008A305D" w:rsidP="008A305D">
      <w:pPr>
        <w:keepNext/>
        <w:autoSpaceDE w:val="0"/>
        <w:autoSpaceDN w:val="0"/>
        <w:adjustRightInd w:val="0"/>
        <w:rPr>
          <w:rFonts w:eastAsia="Calibri"/>
          <w:b/>
          <w:color w:val="000000"/>
          <w:sz w:val="22"/>
          <w:szCs w:val="22"/>
        </w:rPr>
      </w:pPr>
    </w:p>
    <w:p w14:paraId="6E5AAC59" w14:textId="77777777" w:rsidR="008A305D" w:rsidRPr="00D92F6B" w:rsidRDefault="008A305D" w:rsidP="008A305D">
      <w:pPr>
        <w:pStyle w:val="Sraopastraipa"/>
        <w:keepNext/>
        <w:numPr>
          <w:ilvl w:val="1"/>
          <w:numId w:val="5"/>
        </w:numPr>
        <w:autoSpaceDE w:val="0"/>
        <w:autoSpaceDN w:val="0"/>
        <w:adjustRightInd w:val="0"/>
        <w:ind w:left="567" w:hanging="567"/>
        <w:rPr>
          <w:rFonts w:eastAsia="Calibri"/>
          <w:b/>
          <w:color w:val="000000"/>
          <w:sz w:val="22"/>
          <w:szCs w:val="22"/>
        </w:rPr>
      </w:pPr>
      <w:r w:rsidRPr="00D92F6B">
        <w:rPr>
          <w:rFonts w:eastAsia="Calibri"/>
          <w:b/>
          <w:bCs/>
          <w:color w:val="000000"/>
          <w:sz w:val="22"/>
          <w:szCs w:val="22"/>
        </w:rPr>
        <w:t xml:space="preserve">Farmakodinaminės savybės </w:t>
      </w:r>
    </w:p>
    <w:p w14:paraId="2792C187" w14:textId="77777777" w:rsidR="008A305D" w:rsidRPr="00D92F6B" w:rsidRDefault="008A305D" w:rsidP="008A305D">
      <w:pPr>
        <w:autoSpaceDE w:val="0"/>
        <w:autoSpaceDN w:val="0"/>
        <w:adjustRightInd w:val="0"/>
        <w:rPr>
          <w:rFonts w:eastAsia="Calibri"/>
          <w:color w:val="000000"/>
          <w:sz w:val="22"/>
          <w:szCs w:val="22"/>
        </w:rPr>
      </w:pPr>
    </w:p>
    <w:p w14:paraId="441720CC"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Farmakoterapinė grupė - antinavikiniai vaistai, proteinkinazės inhibitorius, ATC kodas – L01XE01. </w:t>
      </w:r>
    </w:p>
    <w:p w14:paraId="46521A42" w14:textId="77777777" w:rsidR="008A305D" w:rsidRPr="00D92F6B" w:rsidRDefault="008A305D" w:rsidP="008A305D">
      <w:pPr>
        <w:autoSpaceDE w:val="0"/>
        <w:autoSpaceDN w:val="0"/>
        <w:adjustRightInd w:val="0"/>
        <w:rPr>
          <w:rFonts w:eastAsia="Calibri"/>
          <w:color w:val="000000"/>
          <w:sz w:val="22"/>
          <w:szCs w:val="22"/>
        </w:rPr>
      </w:pPr>
    </w:p>
    <w:p w14:paraId="56C6423F" w14:textId="77777777" w:rsidR="008A305D" w:rsidRPr="00D92F6B" w:rsidRDefault="008A305D" w:rsidP="008A305D">
      <w:pPr>
        <w:autoSpaceDE w:val="0"/>
        <w:autoSpaceDN w:val="0"/>
        <w:adjustRightInd w:val="0"/>
        <w:rPr>
          <w:rFonts w:eastAsia="Calibri"/>
          <w:color w:val="000000"/>
          <w:sz w:val="22"/>
          <w:szCs w:val="22"/>
          <w:u w:val="single"/>
        </w:rPr>
      </w:pPr>
      <w:r w:rsidRPr="00D92F6B">
        <w:rPr>
          <w:rFonts w:eastAsia="Calibri"/>
          <w:color w:val="000000"/>
          <w:sz w:val="22"/>
          <w:szCs w:val="22"/>
          <w:u w:val="single"/>
        </w:rPr>
        <w:t xml:space="preserve">Veikimo mechanizmas </w:t>
      </w:r>
    </w:p>
    <w:p w14:paraId="0EE856C9" w14:textId="77777777" w:rsidR="008A305D" w:rsidRPr="00D92F6B" w:rsidRDefault="008A305D" w:rsidP="008A305D">
      <w:pPr>
        <w:rPr>
          <w:rFonts w:eastAsia="Calibri"/>
          <w:color w:val="000000"/>
          <w:sz w:val="22"/>
          <w:szCs w:val="22"/>
        </w:rPr>
      </w:pPr>
      <w:r w:rsidRPr="00D92F6B">
        <w:rPr>
          <w:rFonts w:eastAsia="Calibri"/>
          <w:color w:val="000000"/>
          <w:sz w:val="22"/>
          <w:szCs w:val="22"/>
        </w:rPr>
        <w:t xml:space="preserve">Imatinibas yra nedidelė baltymo tirozino kinazės inhibitoriaus molekulė, kuri stipriai slopina Bcr-Abl tirozino kinazės (TK) aktyvumą, taip pat keleto TK receptorių aktyvumą: Kit, c-Kit proto-onkogeną koduojančio kamieninių ląstelių faktoriaus (angl. </w:t>
      </w:r>
      <w:r w:rsidRPr="00D92F6B">
        <w:rPr>
          <w:rFonts w:eastAsia="Calibri"/>
          <w:i/>
          <w:iCs/>
          <w:color w:val="000000"/>
          <w:sz w:val="22"/>
          <w:szCs w:val="22"/>
        </w:rPr>
        <w:t xml:space="preserve">Stem cell factor, </w:t>
      </w:r>
      <w:r w:rsidRPr="0045031A">
        <w:rPr>
          <w:rFonts w:eastAsia="Calibri"/>
          <w:iCs/>
          <w:color w:val="000000"/>
          <w:sz w:val="22"/>
          <w:szCs w:val="22"/>
        </w:rPr>
        <w:t>SCF</w:t>
      </w:r>
      <w:r w:rsidRPr="00D92F6B">
        <w:rPr>
          <w:rFonts w:eastAsia="Calibri"/>
          <w:color w:val="000000"/>
          <w:sz w:val="22"/>
          <w:szCs w:val="22"/>
        </w:rPr>
        <w:t xml:space="preserve">) receptorių, diskoidino domeno receptorius (DDR1 ir DDR2), kolonijas stimuliuojančio faktoriaus receptorių (angl. </w:t>
      </w:r>
      <w:r w:rsidRPr="00D92F6B">
        <w:rPr>
          <w:rFonts w:eastAsia="Calibri"/>
          <w:i/>
          <w:iCs/>
          <w:color w:val="000000"/>
          <w:sz w:val="22"/>
          <w:szCs w:val="22"/>
        </w:rPr>
        <w:t xml:space="preserve">Colony stimulating factor receptor, </w:t>
      </w:r>
      <w:r w:rsidRPr="0045031A">
        <w:rPr>
          <w:rFonts w:eastAsia="Calibri"/>
          <w:iCs/>
          <w:color w:val="000000"/>
          <w:sz w:val="22"/>
          <w:szCs w:val="22"/>
        </w:rPr>
        <w:t>CSF-1R</w:t>
      </w:r>
      <w:r w:rsidRPr="00D92F6B">
        <w:rPr>
          <w:rFonts w:eastAsia="Calibri"/>
          <w:color w:val="000000"/>
          <w:sz w:val="22"/>
          <w:szCs w:val="22"/>
        </w:rPr>
        <w:t xml:space="preserve">) bei trombocituose esančius augimo faktoriaus receptorius alfa ir beta (angl. </w:t>
      </w:r>
      <w:r w:rsidRPr="00D92F6B">
        <w:rPr>
          <w:rFonts w:eastAsia="Calibri"/>
          <w:i/>
          <w:iCs/>
          <w:color w:val="000000"/>
          <w:sz w:val="22"/>
          <w:szCs w:val="22"/>
        </w:rPr>
        <w:t xml:space="preserve">Platelet-derived growth factor receptors, </w:t>
      </w:r>
      <w:r w:rsidRPr="0045031A">
        <w:rPr>
          <w:rFonts w:eastAsia="Calibri"/>
          <w:iCs/>
          <w:color w:val="000000"/>
          <w:sz w:val="22"/>
          <w:szCs w:val="22"/>
        </w:rPr>
        <w:t>PDGFR-alpha, PDGFR-beta</w:t>
      </w:r>
      <w:r w:rsidRPr="00D92F6B">
        <w:rPr>
          <w:rFonts w:eastAsia="Calibri"/>
          <w:color w:val="000000"/>
          <w:sz w:val="22"/>
          <w:szCs w:val="22"/>
        </w:rPr>
        <w:t>). Imatinibas taip pat gali slopinti ląstelių procesus, kuriuos skatina šių receptorių kinazių aktyvinimas.</w:t>
      </w:r>
    </w:p>
    <w:p w14:paraId="02562614" w14:textId="77777777" w:rsidR="008A305D" w:rsidRPr="00D92F6B" w:rsidRDefault="008A305D" w:rsidP="008A305D">
      <w:pPr>
        <w:rPr>
          <w:rFonts w:eastAsia="Calibri"/>
          <w:color w:val="000000"/>
          <w:sz w:val="22"/>
          <w:szCs w:val="22"/>
        </w:rPr>
      </w:pPr>
    </w:p>
    <w:p w14:paraId="3DFF8490" w14:textId="77777777" w:rsidR="008A305D" w:rsidRPr="00D92F6B" w:rsidRDefault="008A305D" w:rsidP="008A305D">
      <w:pPr>
        <w:rPr>
          <w:rFonts w:eastAsia="Calibri"/>
          <w:sz w:val="22"/>
          <w:szCs w:val="22"/>
          <w:u w:val="single"/>
        </w:rPr>
      </w:pPr>
      <w:r w:rsidRPr="00D92F6B">
        <w:rPr>
          <w:rFonts w:eastAsia="Calibri"/>
          <w:sz w:val="22"/>
          <w:szCs w:val="22"/>
          <w:u w:val="single"/>
        </w:rPr>
        <w:t xml:space="preserve">Farmakodinaminis poveikis </w:t>
      </w:r>
    </w:p>
    <w:p w14:paraId="0E8D641B" w14:textId="77777777" w:rsidR="008A305D" w:rsidRPr="00D92F6B" w:rsidRDefault="008A305D" w:rsidP="008A305D">
      <w:pPr>
        <w:rPr>
          <w:rFonts w:eastAsia="Calibri"/>
          <w:sz w:val="22"/>
          <w:szCs w:val="22"/>
        </w:rPr>
      </w:pPr>
      <w:r w:rsidRPr="00D92F6B">
        <w:rPr>
          <w:rFonts w:eastAsia="Calibri"/>
          <w:sz w:val="22"/>
          <w:szCs w:val="22"/>
        </w:rPr>
        <w:t xml:space="preserve">Imatinibas yra proteintirozinkinazės inhibitorius, kuris </w:t>
      </w:r>
      <w:r w:rsidRPr="00D92F6B">
        <w:rPr>
          <w:rFonts w:eastAsia="Calibri"/>
          <w:i/>
          <w:iCs/>
          <w:sz w:val="22"/>
          <w:szCs w:val="22"/>
        </w:rPr>
        <w:t>in vitro</w:t>
      </w:r>
      <w:r w:rsidRPr="00D92F6B">
        <w:rPr>
          <w:rFonts w:eastAsia="Calibri"/>
          <w:sz w:val="22"/>
          <w:szCs w:val="22"/>
        </w:rPr>
        <w:t xml:space="preserve">, ląstelės lygmenyje ir </w:t>
      </w:r>
      <w:r w:rsidRPr="00D92F6B">
        <w:rPr>
          <w:rFonts w:eastAsia="Calibri"/>
          <w:i/>
          <w:iCs/>
          <w:sz w:val="22"/>
          <w:szCs w:val="22"/>
        </w:rPr>
        <w:t xml:space="preserve">in vivo </w:t>
      </w:r>
      <w:r w:rsidRPr="00D92F6B">
        <w:rPr>
          <w:rFonts w:eastAsia="Calibri"/>
          <w:sz w:val="22"/>
          <w:szCs w:val="22"/>
        </w:rPr>
        <w:t xml:space="preserve">stipriai slopina Bcr-Abl tirozinkinazę. Junginys selektyviai slopina proliferaciją ir indukuoja apoptozę Bcr-Abl teigiamose ląstelių eilėse, taip pat šviežiose leukeminėse ląstelėse, gautose iš </w:t>
      </w:r>
      <w:r w:rsidRPr="00D92F6B">
        <w:rPr>
          <w:rFonts w:eastAsia="Calibri"/>
          <w:i/>
          <w:iCs/>
          <w:sz w:val="22"/>
          <w:szCs w:val="22"/>
        </w:rPr>
        <w:t xml:space="preserve">Philadelphia </w:t>
      </w:r>
      <w:r w:rsidRPr="00D92F6B">
        <w:rPr>
          <w:rFonts w:eastAsia="Calibri"/>
          <w:sz w:val="22"/>
          <w:szCs w:val="22"/>
        </w:rPr>
        <w:t xml:space="preserve">chromosomai teigiamų LML ir ūmine limfoblastine leukemija (ŪLL) sergančių pacientų. </w:t>
      </w:r>
    </w:p>
    <w:p w14:paraId="6146177B" w14:textId="77777777" w:rsidR="008A305D" w:rsidRPr="00D92F6B" w:rsidRDefault="008A305D" w:rsidP="008A305D">
      <w:pPr>
        <w:rPr>
          <w:rFonts w:eastAsia="Calibri"/>
          <w:sz w:val="22"/>
          <w:szCs w:val="22"/>
        </w:rPr>
      </w:pPr>
    </w:p>
    <w:p w14:paraId="58FFA1F3" w14:textId="77777777" w:rsidR="008A305D" w:rsidRPr="00D92F6B" w:rsidRDefault="008A305D" w:rsidP="008A305D">
      <w:pPr>
        <w:rPr>
          <w:rFonts w:eastAsia="Calibri"/>
          <w:sz w:val="22"/>
          <w:szCs w:val="22"/>
        </w:rPr>
      </w:pPr>
      <w:r w:rsidRPr="00D92F6B">
        <w:rPr>
          <w:rFonts w:eastAsia="Calibri"/>
          <w:i/>
          <w:iCs/>
          <w:sz w:val="22"/>
          <w:szCs w:val="22"/>
        </w:rPr>
        <w:t xml:space="preserve">In vivo </w:t>
      </w:r>
      <w:r w:rsidRPr="00D92F6B">
        <w:rPr>
          <w:rFonts w:eastAsia="Calibri"/>
          <w:sz w:val="22"/>
          <w:szCs w:val="22"/>
        </w:rPr>
        <w:t xml:space="preserve">gyvūnų modelyje su Bcr-Abl teigiamomis naviko ląstelėmis junginiui (monoterapijoje) būdingas antinavikinis aktyvumas. </w:t>
      </w:r>
    </w:p>
    <w:p w14:paraId="61F4C011" w14:textId="77777777" w:rsidR="008A305D" w:rsidRPr="00D92F6B" w:rsidRDefault="008A305D" w:rsidP="008A305D">
      <w:pPr>
        <w:rPr>
          <w:sz w:val="22"/>
          <w:szCs w:val="22"/>
        </w:rPr>
      </w:pPr>
    </w:p>
    <w:p w14:paraId="05792F62" w14:textId="77777777" w:rsidR="008A305D" w:rsidRPr="00D92F6B" w:rsidRDefault="008A305D" w:rsidP="008A305D">
      <w:pPr>
        <w:rPr>
          <w:color w:val="000000"/>
          <w:sz w:val="22"/>
          <w:szCs w:val="22"/>
        </w:rPr>
      </w:pPr>
      <w:r w:rsidRPr="00D92F6B">
        <w:rPr>
          <w:color w:val="000000"/>
          <w:sz w:val="22"/>
          <w:szCs w:val="22"/>
        </w:rPr>
        <w:lastRenderedPageBreak/>
        <w:t xml:space="preserve">Imatinibas taip pat yra trombocitų kilmės augimo faktoriaus (ang. </w:t>
      </w:r>
      <w:r w:rsidRPr="00D92F6B">
        <w:rPr>
          <w:i/>
          <w:color w:val="000000"/>
          <w:sz w:val="22"/>
          <w:szCs w:val="22"/>
        </w:rPr>
        <w:t>Platelet-derived growth factor</w:t>
      </w:r>
      <w:r w:rsidRPr="00D92F6B">
        <w:rPr>
          <w:color w:val="000000"/>
          <w:sz w:val="22"/>
          <w:szCs w:val="22"/>
        </w:rPr>
        <w:t xml:space="preserve">, PDGF) tirozinkinazių receptorių, PDGF-R, kamieninių ląstelių faktoriaus (ang. </w:t>
      </w:r>
      <w:r w:rsidRPr="00D92F6B">
        <w:rPr>
          <w:i/>
          <w:color w:val="000000"/>
          <w:sz w:val="22"/>
          <w:szCs w:val="22"/>
        </w:rPr>
        <w:t>Stem cell factor</w:t>
      </w:r>
      <w:r w:rsidRPr="00D92F6B">
        <w:rPr>
          <w:color w:val="000000"/>
          <w:sz w:val="22"/>
          <w:szCs w:val="22"/>
        </w:rPr>
        <w:t xml:space="preserve">, SCF), c-Kit inhibitorius. Jis slopina PDGF ir SCF medijuojamus ląstelių procesus. </w:t>
      </w:r>
      <w:r w:rsidRPr="00D92F6B">
        <w:rPr>
          <w:i/>
          <w:color w:val="000000"/>
          <w:sz w:val="22"/>
          <w:szCs w:val="22"/>
        </w:rPr>
        <w:t>In vitro</w:t>
      </w:r>
      <w:r w:rsidRPr="00D92F6B">
        <w:rPr>
          <w:color w:val="000000"/>
          <w:sz w:val="22"/>
          <w:szCs w:val="22"/>
        </w:rPr>
        <w:t xml:space="preserve"> imatinibas slopina proliferaciją ir indukuoja virškinimo trakto stromos naviko (</w:t>
      </w:r>
      <w:r>
        <w:rPr>
          <w:color w:val="000000"/>
          <w:sz w:val="22"/>
          <w:szCs w:val="22"/>
        </w:rPr>
        <w:t>GIST</w:t>
      </w:r>
      <w:r w:rsidRPr="00D92F6B">
        <w:rPr>
          <w:color w:val="000000"/>
          <w:sz w:val="22"/>
          <w:szCs w:val="22"/>
        </w:rPr>
        <w:t xml:space="preserve">) ląstelių, kurios ekspresuoja aktyvintą </w:t>
      </w:r>
      <w:r w:rsidRPr="00D92F6B">
        <w:rPr>
          <w:i/>
          <w:color w:val="000000"/>
          <w:sz w:val="22"/>
          <w:szCs w:val="22"/>
        </w:rPr>
        <w:t>kit</w:t>
      </w:r>
      <w:r w:rsidRPr="00D92F6B">
        <w:rPr>
          <w:color w:val="000000"/>
          <w:sz w:val="22"/>
          <w:szCs w:val="22"/>
        </w:rPr>
        <w:t xml:space="preserve"> mutaciją, apoptozę. MDS/MPL, HES/LEL ir DFSP patogenezėje svarbus PDGF receptorių ar Abl baltymo tirozino kinazės aktyvavimas, kurį gali skatinti jungimasis su įvairiais baltymais ar PDGF gamyba. Imatinibas slopina sutrikusio PDGFR ir Abl kinazės aktyvumo sukeltą signalo perdavimą ir ląstelių dauginimąsi.</w:t>
      </w:r>
    </w:p>
    <w:p w14:paraId="151B88F6" w14:textId="77777777" w:rsidR="008A305D" w:rsidRPr="00D92F6B" w:rsidRDefault="008A305D" w:rsidP="008A305D">
      <w:pPr>
        <w:rPr>
          <w:rFonts w:eastAsia="Calibri"/>
          <w:sz w:val="22"/>
          <w:szCs w:val="22"/>
        </w:rPr>
      </w:pPr>
    </w:p>
    <w:p w14:paraId="5C620E59" w14:textId="77777777" w:rsidR="008A305D" w:rsidRPr="00D92F6B" w:rsidRDefault="008A305D" w:rsidP="008A305D">
      <w:pPr>
        <w:rPr>
          <w:rFonts w:eastAsia="Calibri"/>
          <w:sz w:val="22"/>
          <w:szCs w:val="22"/>
          <w:u w:val="single"/>
        </w:rPr>
      </w:pPr>
      <w:r w:rsidRPr="00D92F6B">
        <w:rPr>
          <w:rFonts w:eastAsia="Calibri"/>
          <w:sz w:val="22"/>
          <w:szCs w:val="22"/>
          <w:u w:val="single"/>
        </w:rPr>
        <w:t xml:space="preserve">Klinikiniai lėtinės mieloleukemijos tyrimai </w:t>
      </w:r>
    </w:p>
    <w:p w14:paraId="38CD4306" w14:textId="77777777" w:rsidR="008A305D" w:rsidRPr="00D92F6B" w:rsidRDefault="008A305D" w:rsidP="008A305D">
      <w:pPr>
        <w:rPr>
          <w:rFonts w:eastAsia="Calibri"/>
          <w:sz w:val="22"/>
          <w:szCs w:val="22"/>
        </w:rPr>
      </w:pPr>
      <w:r w:rsidRPr="00D92F6B">
        <w:rPr>
          <w:rFonts w:eastAsia="Calibri"/>
          <w:sz w:val="22"/>
          <w:szCs w:val="22"/>
        </w:rPr>
        <w:t xml:space="preserve">Imatinibo veiksmingumas nustatomas bendra hematologinio ir citogenetinio atsako dalimi ir gyvenimo trukme be ligos progresavimo. Kontroliuotų klinikinių tyrimų, įrodančių klinikinę naudą, t.y., nuo ligos priklausomų požymių išnykimą ar pailgėjusią gyvenimo trukmę, neatlikta. </w:t>
      </w:r>
    </w:p>
    <w:p w14:paraId="35911D17" w14:textId="77777777" w:rsidR="008A305D" w:rsidRPr="00D92F6B" w:rsidRDefault="008A305D" w:rsidP="008A305D">
      <w:pPr>
        <w:rPr>
          <w:rFonts w:eastAsia="Calibri"/>
          <w:sz w:val="22"/>
          <w:szCs w:val="22"/>
        </w:rPr>
      </w:pPr>
    </w:p>
    <w:p w14:paraId="1B15C204" w14:textId="77777777" w:rsidR="008A305D" w:rsidRPr="00D92F6B" w:rsidRDefault="008A305D" w:rsidP="008A305D">
      <w:pPr>
        <w:rPr>
          <w:rFonts w:eastAsia="Calibri"/>
          <w:sz w:val="22"/>
          <w:szCs w:val="22"/>
        </w:rPr>
      </w:pPr>
      <w:r w:rsidRPr="00D92F6B">
        <w:rPr>
          <w:rFonts w:eastAsia="Calibri"/>
          <w:sz w:val="22"/>
          <w:szCs w:val="22"/>
        </w:rPr>
        <w:t xml:space="preserve">Atliktas vienas didelis tarptautinis, atviras, nekontroliuojamas II fazės tyrimas pacientams, kuriems buvo </w:t>
      </w:r>
      <w:r w:rsidRPr="00D92F6B">
        <w:rPr>
          <w:rFonts w:eastAsia="Calibri"/>
          <w:i/>
          <w:iCs/>
          <w:sz w:val="22"/>
          <w:szCs w:val="22"/>
        </w:rPr>
        <w:t xml:space="preserve">Philadelphia </w:t>
      </w:r>
      <w:r w:rsidRPr="00D92F6B">
        <w:rPr>
          <w:rFonts w:eastAsia="Calibri"/>
          <w:sz w:val="22"/>
          <w:szCs w:val="22"/>
        </w:rPr>
        <w:t xml:space="preserve">chromosomai teigiamos (Ph+) LML progresavusi, blastinė ligos fazė. Be to, vaikai ir paaugliai buvo gydomi dviejų I fazės tyrimų ir vieno II fazės tyrimo metu. </w:t>
      </w:r>
    </w:p>
    <w:p w14:paraId="2CC0D1F2" w14:textId="77777777" w:rsidR="008A305D" w:rsidRPr="00D92F6B" w:rsidRDefault="008A305D" w:rsidP="008A305D">
      <w:pPr>
        <w:rPr>
          <w:rFonts w:eastAsia="Calibri"/>
          <w:sz w:val="22"/>
          <w:szCs w:val="22"/>
        </w:rPr>
      </w:pPr>
    </w:p>
    <w:p w14:paraId="7C42F71E" w14:textId="77777777" w:rsidR="008A305D" w:rsidRPr="00D92F6B" w:rsidRDefault="008A305D" w:rsidP="008A305D">
      <w:pPr>
        <w:rPr>
          <w:rFonts w:eastAsia="Calibri"/>
          <w:sz w:val="22"/>
          <w:szCs w:val="22"/>
        </w:rPr>
      </w:pPr>
      <w:r w:rsidRPr="00D92F6B">
        <w:rPr>
          <w:rFonts w:eastAsia="Calibri"/>
          <w:sz w:val="22"/>
          <w:szCs w:val="22"/>
        </w:rPr>
        <w:t xml:space="preserve">38 % visuose tyrimuose dalyvavusių pacientų buvo </w:t>
      </w:r>
      <w:r w:rsidRPr="0045031A">
        <w:rPr>
          <w:sz w:val="22"/>
          <w:szCs w:val="22"/>
        </w:rPr>
        <w:t>≥ 60 </w:t>
      </w:r>
      <w:r w:rsidRPr="00D92F6B">
        <w:rPr>
          <w:rFonts w:eastAsia="Calibri"/>
          <w:sz w:val="22"/>
          <w:szCs w:val="22"/>
        </w:rPr>
        <w:t xml:space="preserve">metų ir 12 % – </w:t>
      </w:r>
      <w:r w:rsidRPr="0045031A">
        <w:rPr>
          <w:sz w:val="22"/>
          <w:szCs w:val="22"/>
        </w:rPr>
        <w:t>≥ 70 </w:t>
      </w:r>
      <w:r w:rsidRPr="00D92F6B">
        <w:rPr>
          <w:rFonts w:eastAsia="Calibri"/>
          <w:sz w:val="22"/>
          <w:szCs w:val="22"/>
        </w:rPr>
        <w:t xml:space="preserve">metų. </w:t>
      </w:r>
    </w:p>
    <w:p w14:paraId="300F41AB" w14:textId="77777777" w:rsidR="008A305D" w:rsidRPr="00D92F6B" w:rsidRDefault="008A305D" w:rsidP="008A305D">
      <w:pPr>
        <w:autoSpaceDE w:val="0"/>
        <w:autoSpaceDN w:val="0"/>
        <w:adjustRightInd w:val="0"/>
        <w:rPr>
          <w:rFonts w:eastAsia="Calibri"/>
          <w:color w:val="000000"/>
          <w:sz w:val="22"/>
          <w:szCs w:val="22"/>
        </w:rPr>
      </w:pPr>
    </w:p>
    <w:p w14:paraId="54571C0E" w14:textId="77777777" w:rsidR="008A305D" w:rsidRPr="00D92F6B" w:rsidRDefault="008A305D" w:rsidP="008A305D">
      <w:pPr>
        <w:autoSpaceDE w:val="0"/>
        <w:autoSpaceDN w:val="0"/>
        <w:adjustRightInd w:val="0"/>
        <w:rPr>
          <w:rFonts w:eastAsia="Calibri"/>
          <w:sz w:val="22"/>
          <w:szCs w:val="22"/>
        </w:rPr>
      </w:pPr>
      <w:r w:rsidRPr="00D92F6B">
        <w:rPr>
          <w:rFonts w:eastAsia="Calibri"/>
          <w:i/>
          <w:iCs/>
          <w:sz w:val="22"/>
          <w:szCs w:val="22"/>
        </w:rPr>
        <w:t>Mieloblastinė krizė</w:t>
      </w:r>
      <w:r w:rsidRPr="00D92F6B">
        <w:rPr>
          <w:rFonts w:eastAsia="Calibri"/>
          <w:sz w:val="22"/>
          <w:szCs w:val="22"/>
        </w:rPr>
        <w:t xml:space="preserve">. Tyrime dalyvavo 260 pacientų, kuriems buvo mieloblastinė krizė. 95 (37 %) pacientai anksčiau gavo chemoterapiją dėl akceleracijos fazės ar blastinės krizės (“anksčiau gydyti pacientai”) ir 165 (63 %) negydyti (“negydyti pacientai”). Pirmieji 37 pacientai pradėti gydyti 400 mg doze. Paskui protokolas buvo papildytas, kad galima būtų skirti didesnę dozę, taigi kiti 223 pacientai buvo pradėti gydyti 600 mg doze. </w:t>
      </w:r>
    </w:p>
    <w:p w14:paraId="2CDC243F" w14:textId="77777777" w:rsidR="008A305D" w:rsidRPr="00D92F6B" w:rsidRDefault="008A305D" w:rsidP="008A305D">
      <w:pPr>
        <w:autoSpaceDE w:val="0"/>
        <w:autoSpaceDN w:val="0"/>
        <w:adjustRightInd w:val="0"/>
        <w:rPr>
          <w:rFonts w:eastAsia="Calibri"/>
          <w:sz w:val="22"/>
          <w:szCs w:val="22"/>
        </w:rPr>
      </w:pPr>
    </w:p>
    <w:p w14:paraId="14675297" w14:textId="77777777" w:rsidR="008A305D" w:rsidRPr="00D92F6B" w:rsidRDefault="008A305D" w:rsidP="008A305D">
      <w:pPr>
        <w:autoSpaceDE w:val="0"/>
        <w:autoSpaceDN w:val="0"/>
        <w:adjustRightInd w:val="0"/>
        <w:rPr>
          <w:rFonts w:eastAsia="Calibri"/>
          <w:sz w:val="22"/>
          <w:szCs w:val="22"/>
        </w:rPr>
      </w:pPr>
      <w:r w:rsidRPr="00D92F6B">
        <w:rPr>
          <w:rFonts w:eastAsia="Calibri"/>
          <w:sz w:val="22"/>
          <w:szCs w:val="22"/>
        </w:rPr>
        <w:t>Svarbiausias veiksmingumo kintamasis buvo hematologinio atsako, apibūdinamo visišku hematologiniu atsaku, išnykusia leukemija (t. y., išnykusiais blastais iš</w:t>
      </w:r>
      <w:r w:rsidRPr="0045031A">
        <w:rPr>
          <w:sz w:val="22"/>
          <w:szCs w:val="22"/>
        </w:rPr>
        <w:t xml:space="preserve"> kaulų čiulpų ir kraujo, bet nevisiškai atsigavusiam periferiniam kraujui kaip esant visiškam atsakui), </w:t>
      </w:r>
      <w:r w:rsidRPr="00D92F6B">
        <w:rPr>
          <w:rFonts w:eastAsia="Calibri"/>
          <w:sz w:val="22"/>
          <w:szCs w:val="22"/>
        </w:rPr>
        <w:t xml:space="preserve">ar grįžimu į lėtinę LML fazę, vertinant pagal tuos pačius kriterijus kaip ir akceleracijos fazės tyrimo metu, dažnis. Šio tyrimo metu hematologinis atsakas gautas 31 % pacientų (36 % – anksčiau negydytiems ir 22 % – anksčiau gydytiems) (žr. 2 lentelę). Atsako dažnis taip pat buvo didesnis pacientams, gydytiems 600 mg doze (33 %), lyginant su gydytais 400 mg doze (16 %, p=0,0220). Nustatyta vidutinė anksčiau negydytų ir anksčiau gydytų pacientų išgyvenamumo trukmė buvo atitinkamai 7,7 mėn. ir 4,7 mėn. </w:t>
      </w:r>
    </w:p>
    <w:p w14:paraId="5AD82C31" w14:textId="77777777" w:rsidR="008A305D" w:rsidRPr="00D92F6B" w:rsidRDefault="008A305D" w:rsidP="008A305D">
      <w:pPr>
        <w:autoSpaceDE w:val="0"/>
        <w:autoSpaceDN w:val="0"/>
        <w:adjustRightInd w:val="0"/>
        <w:rPr>
          <w:rFonts w:eastAsia="Calibri"/>
          <w:sz w:val="22"/>
          <w:szCs w:val="22"/>
        </w:rPr>
      </w:pPr>
    </w:p>
    <w:p w14:paraId="32243CA0" w14:textId="77777777" w:rsidR="008A305D" w:rsidRPr="00D92F6B" w:rsidRDefault="008A305D" w:rsidP="008A305D">
      <w:pPr>
        <w:rPr>
          <w:rFonts w:eastAsia="Calibri"/>
          <w:sz w:val="22"/>
          <w:szCs w:val="22"/>
        </w:rPr>
      </w:pPr>
      <w:r w:rsidRPr="00D92F6B">
        <w:rPr>
          <w:rFonts w:eastAsia="Calibri"/>
          <w:i/>
          <w:iCs/>
          <w:sz w:val="22"/>
          <w:szCs w:val="22"/>
        </w:rPr>
        <w:lastRenderedPageBreak/>
        <w:t>Limfoblastinė krizė</w:t>
      </w:r>
      <w:r w:rsidRPr="00D92F6B">
        <w:rPr>
          <w:rFonts w:eastAsia="Calibri"/>
          <w:sz w:val="22"/>
          <w:szCs w:val="22"/>
        </w:rPr>
        <w:t>. Nedaug (n=10) pacientų buvo įtraukta į I fazės tyrimą. Hematologinio atsako dažnis buvo 70 %, jo trukmė – 2–3 mėnesiai.</w:t>
      </w:r>
    </w:p>
    <w:p w14:paraId="3336A463" w14:textId="77777777" w:rsidR="008A305D" w:rsidRPr="00D92F6B" w:rsidRDefault="008A305D" w:rsidP="008A305D">
      <w:pPr>
        <w:rPr>
          <w:rFonts w:eastAsia="Calibri"/>
          <w:sz w:val="22"/>
          <w:szCs w:val="22"/>
        </w:rPr>
      </w:pPr>
    </w:p>
    <w:p w14:paraId="524D30C5" w14:textId="77777777" w:rsidR="008A305D" w:rsidRPr="00D92F6B" w:rsidRDefault="008A305D" w:rsidP="008A305D">
      <w:pPr>
        <w:autoSpaceDE w:val="0"/>
        <w:autoSpaceDN w:val="0"/>
        <w:adjustRightInd w:val="0"/>
        <w:rPr>
          <w:b/>
          <w:bCs/>
          <w:sz w:val="22"/>
          <w:szCs w:val="22"/>
        </w:rPr>
      </w:pPr>
      <w:r w:rsidRPr="00D92F6B">
        <w:rPr>
          <w:b/>
          <w:bCs/>
          <w:sz w:val="22"/>
          <w:szCs w:val="22"/>
        </w:rPr>
        <w:t>2 lentelė</w:t>
      </w:r>
      <w:r w:rsidRPr="00D92F6B">
        <w:rPr>
          <w:b/>
          <w:bCs/>
          <w:sz w:val="22"/>
          <w:szCs w:val="22"/>
        </w:rPr>
        <w:tab/>
        <w:t>LML tyrimų suaugusiųjų tarpe atsakas</w:t>
      </w:r>
    </w:p>
    <w:p w14:paraId="7654E85B" w14:textId="77777777" w:rsidR="008A305D" w:rsidRPr="00D92F6B" w:rsidRDefault="008A305D" w:rsidP="008A305D">
      <w:pPr>
        <w:autoSpaceDE w:val="0"/>
        <w:autoSpaceDN w:val="0"/>
        <w:adjustRightInd w:val="0"/>
        <w:rPr>
          <w:sz w:val="22"/>
          <w:szCs w:val="22"/>
        </w:rPr>
      </w:pP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103"/>
        <w:gridCol w:w="83"/>
      </w:tblGrid>
      <w:tr w:rsidR="008A305D" w:rsidRPr="00D92F6B" w14:paraId="64469434" w14:textId="77777777" w:rsidTr="00412F88">
        <w:trPr>
          <w:gridAfter w:val="1"/>
          <w:wAfter w:w="83" w:type="dxa"/>
        </w:trPr>
        <w:tc>
          <w:tcPr>
            <w:tcW w:w="4361" w:type="dxa"/>
          </w:tcPr>
          <w:p w14:paraId="3262CF64" w14:textId="77777777" w:rsidR="008A305D" w:rsidRPr="0045031A" w:rsidRDefault="008A305D" w:rsidP="00412F88">
            <w:pPr>
              <w:autoSpaceDE w:val="0"/>
              <w:autoSpaceDN w:val="0"/>
              <w:adjustRightInd w:val="0"/>
              <w:rPr>
                <w:sz w:val="22"/>
                <w:szCs w:val="22"/>
              </w:rPr>
            </w:pPr>
          </w:p>
        </w:tc>
        <w:tc>
          <w:tcPr>
            <w:tcW w:w="5103" w:type="dxa"/>
          </w:tcPr>
          <w:p w14:paraId="13BAEB33" w14:textId="77777777" w:rsidR="008A305D" w:rsidRPr="0045031A" w:rsidRDefault="008A305D" w:rsidP="00412F88">
            <w:pPr>
              <w:autoSpaceDE w:val="0"/>
              <w:autoSpaceDN w:val="0"/>
              <w:adjustRightInd w:val="0"/>
              <w:jc w:val="center"/>
              <w:rPr>
                <w:sz w:val="22"/>
                <w:szCs w:val="22"/>
              </w:rPr>
            </w:pPr>
            <w:r w:rsidRPr="00D92F6B">
              <w:rPr>
                <w:sz w:val="22"/>
                <w:szCs w:val="22"/>
              </w:rPr>
              <w:t>Tyrimas 0102</w:t>
            </w:r>
          </w:p>
          <w:p w14:paraId="04DDBC07" w14:textId="77777777" w:rsidR="008A305D" w:rsidRPr="0045031A" w:rsidRDefault="008A305D" w:rsidP="00412F88">
            <w:pPr>
              <w:autoSpaceDE w:val="0"/>
              <w:autoSpaceDN w:val="0"/>
              <w:adjustRightInd w:val="0"/>
              <w:jc w:val="center"/>
              <w:rPr>
                <w:sz w:val="22"/>
                <w:szCs w:val="22"/>
              </w:rPr>
            </w:pPr>
            <w:r w:rsidRPr="00D92F6B">
              <w:rPr>
                <w:sz w:val="22"/>
                <w:szCs w:val="22"/>
              </w:rPr>
              <w:t>38 mėnesių duomenys</w:t>
            </w:r>
          </w:p>
          <w:p w14:paraId="49830A5F" w14:textId="77777777" w:rsidR="008A305D" w:rsidRPr="0045031A" w:rsidRDefault="008A305D" w:rsidP="00412F88">
            <w:pPr>
              <w:autoSpaceDE w:val="0"/>
              <w:autoSpaceDN w:val="0"/>
              <w:adjustRightInd w:val="0"/>
              <w:jc w:val="center"/>
              <w:rPr>
                <w:sz w:val="22"/>
                <w:szCs w:val="22"/>
              </w:rPr>
            </w:pPr>
            <w:r w:rsidRPr="00D92F6B">
              <w:rPr>
                <w:sz w:val="22"/>
                <w:szCs w:val="22"/>
              </w:rPr>
              <w:t>Mieloblastinė krizė</w:t>
            </w:r>
          </w:p>
          <w:p w14:paraId="4331B055" w14:textId="77777777" w:rsidR="008A305D" w:rsidRPr="0045031A" w:rsidRDefault="008A305D" w:rsidP="00412F88">
            <w:pPr>
              <w:autoSpaceDE w:val="0"/>
              <w:autoSpaceDN w:val="0"/>
              <w:adjustRightInd w:val="0"/>
              <w:jc w:val="center"/>
              <w:rPr>
                <w:sz w:val="22"/>
                <w:szCs w:val="22"/>
              </w:rPr>
            </w:pPr>
            <w:r w:rsidRPr="00D92F6B">
              <w:rPr>
                <w:sz w:val="22"/>
                <w:szCs w:val="22"/>
              </w:rPr>
              <w:t>(n=260)</w:t>
            </w:r>
          </w:p>
        </w:tc>
      </w:tr>
      <w:tr w:rsidR="008A305D" w:rsidRPr="00D92F6B" w14:paraId="601E01B1" w14:textId="77777777" w:rsidTr="00412F88">
        <w:trPr>
          <w:gridAfter w:val="1"/>
          <w:wAfter w:w="83" w:type="dxa"/>
        </w:trPr>
        <w:tc>
          <w:tcPr>
            <w:tcW w:w="4361" w:type="dxa"/>
          </w:tcPr>
          <w:p w14:paraId="02B07B3E" w14:textId="77777777" w:rsidR="008A305D" w:rsidRPr="0045031A" w:rsidRDefault="008A305D" w:rsidP="00412F88">
            <w:pPr>
              <w:autoSpaceDE w:val="0"/>
              <w:autoSpaceDN w:val="0"/>
              <w:adjustRightInd w:val="0"/>
              <w:rPr>
                <w:sz w:val="22"/>
                <w:szCs w:val="22"/>
              </w:rPr>
            </w:pPr>
          </w:p>
        </w:tc>
        <w:tc>
          <w:tcPr>
            <w:tcW w:w="5103" w:type="dxa"/>
          </w:tcPr>
          <w:p w14:paraId="47749FA9" w14:textId="77777777" w:rsidR="008A305D" w:rsidRPr="00D92F6B" w:rsidRDefault="008A305D" w:rsidP="00412F88">
            <w:pPr>
              <w:autoSpaceDE w:val="0"/>
              <w:autoSpaceDN w:val="0"/>
              <w:adjustRightInd w:val="0"/>
              <w:jc w:val="center"/>
              <w:rPr>
                <w:sz w:val="22"/>
                <w:szCs w:val="22"/>
              </w:rPr>
            </w:pPr>
            <w:r w:rsidRPr="00D92F6B">
              <w:rPr>
                <w:sz w:val="22"/>
                <w:szCs w:val="22"/>
              </w:rPr>
              <w:t>% pacientų (PI</w:t>
            </w:r>
            <w:r w:rsidRPr="00D92F6B">
              <w:rPr>
                <w:sz w:val="22"/>
                <w:szCs w:val="22"/>
                <w:vertAlign w:val="subscript"/>
              </w:rPr>
              <w:t>95%</w:t>
            </w:r>
            <w:r w:rsidRPr="00D92F6B">
              <w:rPr>
                <w:sz w:val="22"/>
                <w:szCs w:val="22"/>
              </w:rPr>
              <w:t>)</w:t>
            </w:r>
          </w:p>
        </w:tc>
      </w:tr>
      <w:tr w:rsidR="008A305D" w:rsidRPr="00D92F6B" w14:paraId="5D061EC8" w14:textId="77777777" w:rsidTr="00412F88">
        <w:trPr>
          <w:gridAfter w:val="1"/>
          <w:wAfter w:w="83" w:type="dxa"/>
        </w:trPr>
        <w:tc>
          <w:tcPr>
            <w:tcW w:w="4361" w:type="dxa"/>
          </w:tcPr>
          <w:p w14:paraId="7A33D856" w14:textId="77777777" w:rsidR="008A305D" w:rsidRPr="0045031A" w:rsidRDefault="008A305D" w:rsidP="00412F88">
            <w:pPr>
              <w:autoSpaceDE w:val="0"/>
              <w:autoSpaceDN w:val="0"/>
              <w:adjustRightInd w:val="0"/>
              <w:rPr>
                <w:sz w:val="22"/>
                <w:szCs w:val="22"/>
              </w:rPr>
            </w:pPr>
            <w:r w:rsidRPr="00D92F6B">
              <w:rPr>
                <w:sz w:val="22"/>
                <w:szCs w:val="22"/>
              </w:rPr>
              <w:t>Hematologinis atsakas</w:t>
            </w:r>
            <w:r w:rsidRPr="00D92F6B">
              <w:rPr>
                <w:sz w:val="22"/>
                <w:szCs w:val="22"/>
                <w:vertAlign w:val="superscript"/>
              </w:rPr>
              <w:t>1</w:t>
            </w:r>
          </w:p>
          <w:p w14:paraId="31FF50CE" w14:textId="77777777" w:rsidR="008A305D" w:rsidRPr="00D92F6B" w:rsidRDefault="008A305D" w:rsidP="00412F88">
            <w:pPr>
              <w:autoSpaceDE w:val="0"/>
              <w:autoSpaceDN w:val="0"/>
              <w:adjustRightInd w:val="0"/>
              <w:ind w:left="567" w:hanging="567"/>
              <w:rPr>
                <w:sz w:val="22"/>
                <w:szCs w:val="22"/>
              </w:rPr>
            </w:pPr>
            <w:r w:rsidRPr="00D92F6B">
              <w:rPr>
                <w:sz w:val="22"/>
                <w:szCs w:val="22"/>
              </w:rPr>
              <w:tab/>
              <w:t>Visiškas hematologinis atsakas (VHA)</w:t>
            </w:r>
          </w:p>
          <w:p w14:paraId="2ACBC887" w14:textId="77777777" w:rsidR="008A305D" w:rsidRPr="0045031A" w:rsidRDefault="008A305D" w:rsidP="00412F88">
            <w:pPr>
              <w:autoSpaceDE w:val="0"/>
              <w:autoSpaceDN w:val="0"/>
              <w:adjustRightInd w:val="0"/>
              <w:ind w:left="567" w:hanging="567"/>
              <w:rPr>
                <w:sz w:val="22"/>
                <w:szCs w:val="22"/>
              </w:rPr>
            </w:pPr>
          </w:p>
          <w:p w14:paraId="66D8A6C7" w14:textId="77777777" w:rsidR="008A305D" w:rsidRPr="00D92F6B" w:rsidRDefault="008A305D" w:rsidP="00412F88">
            <w:pPr>
              <w:autoSpaceDE w:val="0"/>
              <w:autoSpaceDN w:val="0"/>
              <w:adjustRightInd w:val="0"/>
              <w:ind w:left="567" w:hanging="567"/>
              <w:rPr>
                <w:sz w:val="22"/>
                <w:szCs w:val="22"/>
              </w:rPr>
            </w:pPr>
            <w:r w:rsidRPr="00D92F6B">
              <w:rPr>
                <w:sz w:val="22"/>
                <w:szCs w:val="22"/>
              </w:rPr>
              <w:tab/>
              <w:t>Išnykusi leukemija (NEL)</w:t>
            </w:r>
          </w:p>
          <w:p w14:paraId="208301ED" w14:textId="77777777" w:rsidR="008A305D" w:rsidRPr="0045031A" w:rsidRDefault="008A305D" w:rsidP="00412F88">
            <w:pPr>
              <w:autoSpaceDE w:val="0"/>
              <w:autoSpaceDN w:val="0"/>
              <w:adjustRightInd w:val="0"/>
              <w:ind w:left="567" w:hanging="567"/>
              <w:rPr>
                <w:sz w:val="22"/>
                <w:szCs w:val="22"/>
              </w:rPr>
            </w:pPr>
          </w:p>
          <w:p w14:paraId="5CEDAE92" w14:textId="77777777" w:rsidR="008A305D" w:rsidRPr="0045031A" w:rsidRDefault="008A305D" w:rsidP="00412F88">
            <w:pPr>
              <w:autoSpaceDE w:val="0"/>
              <w:autoSpaceDN w:val="0"/>
              <w:adjustRightInd w:val="0"/>
              <w:ind w:left="567" w:hanging="567"/>
              <w:rPr>
                <w:sz w:val="22"/>
                <w:szCs w:val="22"/>
              </w:rPr>
            </w:pPr>
            <w:r w:rsidRPr="00D92F6B">
              <w:rPr>
                <w:sz w:val="22"/>
                <w:szCs w:val="22"/>
              </w:rPr>
              <w:tab/>
              <w:t>Grįžimas į lėtinę fazę (GLF)</w:t>
            </w:r>
          </w:p>
        </w:tc>
        <w:tc>
          <w:tcPr>
            <w:tcW w:w="5103" w:type="dxa"/>
          </w:tcPr>
          <w:p w14:paraId="254F1033" w14:textId="77777777" w:rsidR="008A305D" w:rsidRPr="0045031A" w:rsidRDefault="008A305D" w:rsidP="00412F88">
            <w:pPr>
              <w:autoSpaceDE w:val="0"/>
              <w:autoSpaceDN w:val="0"/>
              <w:adjustRightInd w:val="0"/>
              <w:jc w:val="center"/>
              <w:rPr>
                <w:sz w:val="22"/>
                <w:szCs w:val="22"/>
              </w:rPr>
            </w:pPr>
            <w:r w:rsidRPr="00D92F6B">
              <w:rPr>
                <w:sz w:val="22"/>
                <w:szCs w:val="22"/>
              </w:rPr>
              <w:t>31 %(25,2–36,8)</w:t>
            </w:r>
          </w:p>
          <w:p w14:paraId="652D435A" w14:textId="77777777" w:rsidR="008A305D" w:rsidRPr="0045031A" w:rsidRDefault="008A305D" w:rsidP="00412F88">
            <w:pPr>
              <w:autoSpaceDE w:val="0"/>
              <w:autoSpaceDN w:val="0"/>
              <w:adjustRightInd w:val="0"/>
              <w:jc w:val="center"/>
              <w:rPr>
                <w:sz w:val="22"/>
                <w:szCs w:val="22"/>
              </w:rPr>
            </w:pPr>
            <w:r w:rsidRPr="00D92F6B">
              <w:rPr>
                <w:sz w:val="22"/>
                <w:szCs w:val="22"/>
              </w:rPr>
              <w:t>8 %</w:t>
            </w:r>
          </w:p>
          <w:p w14:paraId="147DB0D6" w14:textId="77777777" w:rsidR="008A305D" w:rsidRPr="0045031A" w:rsidRDefault="008A305D" w:rsidP="00412F88">
            <w:pPr>
              <w:autoSpaceDE w:val="0"/>
              <w:autoSpaceDN w:val="0"/>
              <w:adjustRightInd w:val="0"/>
              <w:jc w:val="center"/>
              <w:rPr>
                <w:sz w:val="22"/>
                <w:szCs w:val="22"/>
              </w:rPr>
            </w:pPr>
          </w:p>
          <w:p w14:paraId="34F5ACC1" w14:textId="77777777" w:rsidR="008A305D" w:rsidRPr="0045031A" w:rsidRDefault="008A305D" w:rsidP="00412F88">
            <w:pPr>
              <w:autoSpaceDE w:val="0"/>
              <w:autoSpaceDN w:val="0"/>
              <w:adjustRightInd w:val="0"/>
              <w:jc w:val="center"/>
              <w:rPr>
                <w:sz w:val="22"/>
                <w:szCs w:val="22"/>
              </w:rPr>
            </w:pPr>
            <w:r w:rsidRPr="00D92F6B">
              <w:rPr>
                <w:sz w:val="22"/>
                <w:szCs w:val="22"/>
              </w:rPr>
              <w:t>5 %</w:t>
            </w:r>
          </w:p>
          <w:p w14:paraId="4FF125A1" w14:textId="77777777" w:rsidR="008A305D" w:rsidRPr="0045031A" w:rsidRDefault="008A305D" w:rsidP="00412F88">
            <w:pPr>
              <w:autoSpaceDE w:val="0"/>
              <w:autoSpaceDN w:val="0"/>
              <w:adjustRightInd w:val="0"/>
              <w:jc w:val="center"/>
              <w:rPr>
                <w:sz w:val="22"/>
                <w:szCs w:val="22"/>
              </w:rPr>
            </w:pPr>
          </w:p>
          <w:p w14:paraId="713D7032" w14:textId="77777777" w:rsidR="008A305D" w:rsidRPr="0045031A" w:rsidRDefault="008A305D" w:rsidP="00412F88">
            <w:pPr>
              <w:autoSpaceDE w:val="0"/>
              <w:autoSpaceDN w:val="0"/>
              <w:adjustRightInd w:val="0"/>
              <w:jc w:val="center"/>
              <w:rPr>
                <w:sz w:val="22"/>
                <w:szCs w:val="22"/>
              </w:rPr>
            </w:pPr>
            <w:r w:rsidRPr="00D92F6B">
              <w:rPr>
                <w:sz w:val="22"/>
                <w:szCs w:val="22"/>
              </w:rPr>
              <w:t>18 %</w:t>
            </w:r>
          </w:p>
        </w:tc>
      </w:tr>
      <w:tr w:rsidR="008A305D" w:rsidRPr="00D92F6B" w14:paraId="7147DBB0" w14:textId="77777777" w:rsidTr="00412F88">
        <w:trPr>
          <w:gridAfter w:val="1"/>
          <w:wAfter w:w="83" w:type="dxa"/>
        </w:trPr>
        <w:tc>
          <w:tcPr>
            <w:tcW w:w="4361" w:type="dxa"/>
          </w:tcPr>
          <w:p w14:paraId="4ED7B8CB" w14:textId="77777777" w:rsidR="008A305D" w:rsidRPr="0045031A" w:rsidRDefault="008A305D" w:rsidP="00412F88">
            <w:pPr>
              <w:autoSpaceDE w:val="0"/>
              <w:autoSpaceDN w:val="0"/>
              <w:adjustRightInd w:val="0"/>
              <w:rPr>
                <w:sz w:val="22"/>
                <w:szCs w:val="22"/>
              </w:rPr>
            </w:pPr>
            <w:r w:rsidRPr="00D92F6B">
              <w:rPr>
                <w:sz w:val="22"/>
                <w:szCs w:val="22"/>
              </w:rPr>
              <w:t>Didysis citogeninis atsakas</w:t>
            </w:r>
            <w:r w:rsidRPr="00D92F6B">
              <w:rPr>
                <w:sz w:val="22"/>
                <w:szCs w:val="22"/>
                <w:vertAlign w:val="superscript"/>
              </w:rPr>
              <w:t>2</w:t>
            </w:r>
          </w:p>
          <w:p w14:paraId="44D9314B" w14:textId="77777777" w:rsidR="008A305D" w:rsidRPr="0045031A" w:rsidRDefault="008A305D" w:rsidP="00412F88">
            <w:pPr>
              <w:autoSpaceDE w:val="0"/>
              <w:autoSpaceDN w:val="0"/>
              <w:adjustRightInd w:val="0"/>
              <w:rPr>
                <w:sz w:val="22"/>
                <w:szCs w:val="22"/>
              </w:rPr>
            </w:pPr>
            <w:r w:rsidRPr="00D92F6B">
              <w:rPr>
                <w:sz w:val="22"/>
                <w:szCs w:val="22"/>
              </w:rPr>
              <w:tab/>
              <w:t>Visiškas</w:t>
            </w:r>
          </w:p>
          <w:p w14:paraId="5B44D326" w14:textId="77777777" w:rsidR="008A305D" w:rsidRPr="0045031A" w:rsidRDefault="008A305D" w:rsidP="00412F88">
            <w:pPr>
              <w:autoSpaceDE w:val="0"/>
              <w:autoSpaceDN w:val="0"/>
              <w:adjustRightInd w:val="0"/>
              <w:rPr>
                <w:sz w:val="22"/>
                <w:szCs w:val="22"/>
              </w:rPr>
            </w:pPr>
            <w:r w:rsidRPr="00D92F6B">
              <w:rPr>
                <w:sz w:val="22"/>
                <w:szCs w:val="22"/>
              </w:rPr>
              <w:tab/>
              <w:t>(Patvirtintas</w:t>
            </w:r>
            <w:r w:rsidRPr="00D92F6B">
              <w:rPr>
                <w:sz w:val="22"/>
                <w:szCs w:val="22"/>
                <w:vertAlign w:val="superscript"/>
              </w:rPr>
              <w:t>3</w:t>
            </w:r>
            <w:r w:rsidRPr="00D92F6B">
              <w:rPr>
                <w:sz w:val="22"/>
                <w:szCs w:val="22"/>
              </w:rPr>
              <w:t>) [95% CI]</w:t>
            </w:r>
          </w:p>
          <w:p w14:paraId="7A654EE3" w14:textId="77777777" w:rsidR="008A305D" w:rsidRPr="0045031A" w:rsidRDefault="008A305D" w:rsidP="00412F88">
            <w:pPr>
              <w:autoSpaceDE w:val="0"/>
              <w:autoSpaceDN w:val="0"/>
              <w:adjustRightInd w:val="0"/>
              <w:rPr>
                <w:sz w:val="22"/>
                <w:szCs w:val="22"/>
              </w:rPr>
            </w:pPr>
            <w:r w:rsidRPr="00D92F6B">
              <w:rPr>
                <w:sz w:val="22"/>
                <w:szCs w:val="22"/>
              </w:rPr>
              <w:tab/>
              <w:t>Dalinis</w:t>
            </w:r>
          </w:p>
        </w:tc>
        <w:tc>
          <w:tcPr>
            <w:tcW w:w="5103" w:type="dxa"/>
          </w:tcPr>
          <w:p w14:paraId="1B9064DC" w14:textId="77777777" w:rsidR="008A305D" w:rsidRPr="0045031A" w:rsidRDefault="008A305D" w:rsidP="00412F88">
            <w:pPr>
              <w:autoSpaceDE w:val="0"/>
              <w:autoSpaceDN w:val="0"/>
              <w:adjustRightInd w:val="0"/>
              <w:jc w:val="center"/>
              <w:rPr>
                <w:sz w:val="22"/>
                <w:szCs w:val="22"/>
              </w:rPr>
            </w:pPr>
            <w:r w:rsidRPr="00D92F6B">
              <w:rPr>
                <w:sz w:val="22"/>
                <w:szCs w:val="22"/>
              </w:rPr>
              <w:t>15 % (11,2–20,4)</w:t>
            </w:r>
          </w:p>
          <w:p w14:paraId="0D7A1248" w14:textId="77777777" w:rsidR="008A305D" w:rsidRPr="0045031A" w:rsidRDefault="008A305D" w:rsidP="00412F88">
            <w:pPr>
              <w:autoSpaceDE w:val="0"/>
              <w:autoSpaceDN w:val="0"/>
              <w:adjustRightInd w:val="0"/>
              <w:jc w:val="center"/>
              <w:rPr>
                <w:sz w:val="22"/>
                <w:szCs w:val="22"/>
              </w:rPr>
            </w:pPr>
            <w:r w:rsidRPr="00D92F6B">
              <w:rPr>
                <w:sz w:val="22"/>
                <w:szCs w:val="22"/>
              </w:rPr>
              <w:t>7%</w:t>
            </w:r>
          </w:p>
          <w:p w14:paraId="1F1C1D24" w14:textId="77777777" w:rsidR="008A305D" w:rsidRPr="0045031A" w:rsidRDefault="008A305D" w:rsidP="00412F88">
            <w:pPr>
              <w:autoSpaceDE w:val="0"/>
              <w:autoSpaceDN w:val="0"/>
              <w:adjustRightInd w:val="0"/>
              <w:jc w:val="center"/>
              <w:rPr>
                <w:sz w:val="22"/>
                <w:szCs w:val="22"/>
              </w:rPr>
            </w:pPr>
            <w:r w:rsidRPr="00D92F6B">
              <w:rPr>
                <w:sz w:val="22"/>
                <w:szCs w:val="22"/>
              </w:rPr>
              <w:t>(2 %) [0,6–4,4]</w:t>
            </w:r>
          </w:p>
          <w:p w14:paraId="14969E69" w14:textId="77777777" w:rsidR="008A305D" w:rsidRPr="0045031A" w:rsidRDefault="008A305D" w:rsidP="00412F88">
            <w:pPr>
              <w:autoSpaceDE w:val="0"/>
              <w:autoSpaceDN w:val="0"/>
              <w:adjustRightInd w:val="0"/>
              <w:jc w:val="center"/>
              <w:rPr>
                <w:sz w:val="22"/>
                <w:szCs w:val="22"/>
              </w:rPr>
            </w:pPr>
            <w:r w:rsidRPr="00D92F6B">
              <w:rPr>
                <w:sz w:val="22"/>
                <w:szCs w:val="22"/>
              </w:rPr>
              <w:t>8 %</w:t>
            </w:r>
          </w:p>
        </w:tc>
      </w:tr>
      <w:tr w:rsidR="008A305D" w:rsidRPr="00D92F6B" w14:paraId="539469A3" w14:textId="77777777" w:rsidTr="00412F88">
        <w:tc>
          <w:tcPr>
            <w:tcW w:w="9547" w:type="dxa"/>
            <w:gridSpan w:val="3"/>
          </w:tcPr>
          <w:p w14:paraId="6CC3DBF5" w14:textId="77777777" w:rsidR="008A305D" w:rsidRPr="0045031A" w:rsidRDefault="008A305D" w:rsidP="00412F88">
            <w:pPr>
              <w:autoSpaceDE w:val="0"/>
              <w:autoSpaceDN w:val="0"/>
              <w:adjustRightInd w:val="0"/>
              <w:rPr>
                <w:sz w:val="22"/>
                <w:szCs w:val="22"/>
              </w:rPr>
            </w:pPr>
            <w:r w:rsidRPr="00D92F6B">
              <w:rPr>
                <w:b/>
                <w:bCs/>
                <w:sz w:val="22"/>
                <w:szCs w:val="22"/>
                <w:vertAlign w:val="superscript"/>
              </w:rPr>
              <w:t>1</w:t>
            </w:r>
            <w:r w:rsidRPr="00D92F6B">
              <w:rPr>
                <w:b/>
                <w:bCs/>
                <w:sz w:val="22"/>
                <w:szCs w:val="22"/>
              </w:rPr>
              <w:t xml:space="preserve"> Hematologinio atsako kriterijai (visi atsakai turi būti patvirtinti po </w:t>
            </w:r>
            <w:r w:rsidRPr="0045031A">
              <w:rPr>
                <w:sz w:val="22"/>
                <w:szCs w:val="22"/>
              </w:rPr>
              <w:t>≥</w:t>
            </w:r>
            <w:r w:rsidRPr="00D92F6B">
              <w:rPr>
                <w:sz w:val="22"/>
                <w:szCs w:val="22"/>
              </w:rPr>
              <w:t> </w:t>
            </w:r>
            <w:r w:rsidRPr="00D92F6B">
              <w:rPr>
                <w:b/>
                <w:bCs/>
                <w:sz w:val="22"/>
                <w:szCs w:val="22"/>
              </w:rPr>
              <w:t xml:space="preserve">4 savaičių): </w:t>
            </w:r>
          </w:p>
          <w:p w14:paraId="30DA2AEF" w14:textId="77777777" w:rsidR="008A305D" w:rsidRPr="00D92F6B" w:rsidRDefault="008A305D" w:rsidP="00412F88">
            <w:pPr>
              <w:pStyle w:val="Default"/>
              <w:rPr>
                <w:rFonts w:ascii="Times New Roman" w:hAnsi="Times New Roman" w:cs="Times New Roman"/>
                <w:sz w:val="22"/>
                <w:szCs w:val="22"/>
                <w:lang w:val="lt-LT"/>
              </w:rPr>
            </w:pPr>
            <w:r w:rsidRPr="00D92F6B">
              <w:rPr>
                <w:rFonts w:ascii="Times New Roman" w:hAnsi="Times New Roman" w:cs="Times New Roman"/>
                <w:sz w:val="22"/>
                <w:szCs w:val="22"/>
                <w:lang w:val="lt-LT"/>
              </w:rPr>
              <w:t>VHA: Tyrime 0102 [</w:t>
            </w:r>
            <w:r w:rsidRPr="00D92F6B">
              <w:rPr>
                <w:rFonts w:ascii="Times New Roman" w:hAnsi="Times New Roman"/>
                <w:sz w:val="22"/>
                <w:szCs w:val="22"/>
                <w:lang w:val="lt-LT"/>
              </w:rPr>
              <w:t>ANS ≥ 1.5 x 10</w:t>
            </w:r>
            <w:r w:rsidRPr="00D92F6B">
              <w:rPr>
                <w:rFonts w:ascii="Times New Roman" w:hAnsi="Times New Roman"/>
                <w:sz w:val="22"/>
                <w:szCs w:val="22"/>
                <w:vertAlign w:val="superscript"/>
                <w:lang w:val="lt-LT"/>
              </w:rPr>
              <w:t>9</w:t>
            </w:r>
            <w:r w:rsidRPr="00D92F6B">
              <w:rPr>
                <w:rFonts w:ascii="Times New Roman" w:hAnsi="Times New Roman" w:cs="Times New Roman"/>
                <w:sz w:val="22"/>
                <w:szCs w:val="22"/>
                <w:lang w:val="lt-LT"/>
              </w:rPr>
              <w:t xml:space="preserve">/l, trombocitų </w:t>
            </w:r>
            <w:r w:rsidRPr="00D92F6B">
              <w:rPr>
                <w:rFonts w:ascii="Times New Roman" w:hAnsi="Times New Roman"/>
                <w:sz w:val="22"/>
                <w:szCs w:val="22"/>
                <w:lang w:val="lt-LT"/>
              </w:rPr>
              <w:t>≥ 100 x 10</w:t>
            </w:r>
            <w:r w:rsidRPr="00D92F6B">
              <w:rPr>
                <w:rFonts w:ascii="Times New Roman" w:hAnsi="Times New Roman"/>
                <w:sz w:val="22"/>
                <w:szCs w:val="22"/>
                <w:vertAlign w:val="superscript"/>
                <w:lang w:val="lt-LT"/>
              </w:rPr>
              <w:t>9</w:t>
            </w:r>
            <w:r w:rsidRPr="00D92F6B">
              <w:rPr>
                <w:rFonts w:ascii="Times New Roman" w:hAnsi="Times New Roman" w:cs="Times New Roman"/>
                <w:sz w:val="22"/>
                <w:szCs w:val="22"/>
                <w:lang w:val="lt-LT"/>
              </w:rPr>
              <w:t xml:space="preserve">/l, nėra blastų kraujyje, blastų &lt; 5 % kaulų čiulpuose, nėra ekstramedulinės ligos] </w:t>
            </w:r>
          </w:p>
          <w:p w14:paraId="3CADE013" w14:textId="77777777" w:rsidR="008A305D" w:rsidRPr="00D92F6B" w:rsidRDefault="008A305D" w:rsidP="00412F88">
            <w:pPr>
              <w:pStyle w:val="Default"/>
              <w:rPr>
                <w:rFonts w:ascii="Times New Roman" w:hAnsi="Times New Roman" w:cs="Times New Roman"/>
                <w:sz w:val="22"/>
                <w:szCs w:val="22"/>
                <w:lang w:val="lt-LT"/>
              </w:rPr>
            </w:pPr>
            <w:r w:rsidRPr="00D92F6B">
              <w:rPr>
                <w:rFonts w:ascii="Times New Roman" w:hAnsi="Times New Roman" w:cs="Times New Roman"/>
                <w:sz w:val="22"/>
                <w:szCs w:val="22"/>
                <w:lang w:val="lt-LT"/>
              </w:rPr>
              <w:t xml:space="preserve">NEL Tokie pat kriterijai kaip VHA bet </w:t>
            </w:r>
            <w:r w:rsidRPr="00D92F6B">
              <w:rPr>
                <w:rFonts w:ascii="Times New Roman" w:hAnsi="Times New Roman"/>
                <w:sz w:val="22"/>
                <w:szCs w:val="22"/>
                <w:lang w:val="lt-LT"/>
              </w:rPr>
              <w:t>ANS ≥ 1 x 10</w:t>
            </w:r>
            <w:r w:rsidRPr="00D92F6B">
              <w:rPr>
                <w:rFonts w:ascii="Times New Roman" w:hAnsi="Times New Roman"/>
                <w:sz w:val="22"/>
                <w:szCs w:val="22"/>
                <w:vertAlign w:val="superscript"/>
                <w:lang w:val="lt-LT"/>
              </w:rPr>
              <w:t>9</w:t>
            </w:r>
            <w:r w:rsidRPr="00D92F6B">
              <w:rPr>
                <w:rFonts w:ascii="Times New Roman" w:hAnsi="Times New Roman" w:cs="Times New Roman"/>
                <w:sz w:val="22"/>
                <w:szCs w:val="22"/>
                <w:lang w:val="lt-LT"/>
              </w:rPr>
              <w:t xml:space="preserve">/l ir trombocitų </w:t>
            </w:r>
            <w:r w:rsidRPr="00D92F6B">
              <w:rPr>
                <w:rFonts w:ascii="Times New Roman" w:hAnsi="Times New Roman"/>
                <w:sz w:val="22"/>
                <w:szCs w:val="22"/>
                <w:lang w:val="lt-LT"/>
              </w:rPr>
              <w:t>≥ 20 x 10</w:t>
            </w:r>
            <w:r w:rsidRPr="00D92F6B">
              <w:rPr>
                <w:rFonts w:ascii="Times New Roman" w:hAnsi="Times New Roman"/>
                <w:sz w:val="22"/>
                <w:szCs w:val="22"/>
                <w:vertAlign w:val="superscript"/>
                <w:lang w:val="lt-LT"/>
              </w:rPr>
              <w:t>9</w:t>
            </w:r>
            <w:r w:rsidRPr="00D92F6B">
              <w:rPr>
                <w:rFonts w:ascii="Times New Roman" w:hAnsi="Times New Roman" w:cs="Times New Roman"/>
                <w:sz w:val="22"/>
                <w:szCs w:val="22"/>
                <w:lang w:val="lt-LT"/>
              </w:rPr>
              <w:t xml:space="preserve">/l (tik 0102 ir 0109) </w:t>
            </w:r>
          </w:p>
          <w:p w14:paraId="757A1D27" w14:textId="77777777" w:rsidR="008A305D" w:rsidRPr="00D92F6B" w:rsidRDefault="008A305D" w:rsidP="00412F88">
            <w:pPr>
              <w:pStyle w:val="Default"/>
              <w:rPr>
                <w:rFonts w:ascii="Times New Roman" w:hAnsi="Times New Roman" w:cs="Times New Roman"/>
                <w:sz w:val="22"/>
                <w:szCs w:val="22"/>
                <w:lang w:val="lt-LT"/>
              </w:rPr>
            </w:pPr>
            <w:r w:rsidRPr="00D92F6B">
              <w:rPr>
                <w:rFonts w:ascii="Times New Roman" w:hAnsi="Times New Roman" w:cs="Times New Roman"/>
                <w:sz w:val="22"/>
                <w:szCs w:val="22"/>
                <w:lang w:val="lt-LT"/>
              </w:rPr>
              <w:t xml:space="preserve">GLF &lt; 15 % blastų KČ ir PK, &lt; 30 % blastų+promielocitų KČ ir PK, &lt; 20 % bazofilų PK, nėra kitos, išskyrus blužnies ir kepenų, ekstramedulinės ligos (tik 0102 ir 0109). </w:t>
            </w:r>
          </w:p>
          <w:p w14:paraId="68BD62B8" w14:textId="77777777" w:rsidR="008A305D" w:rsidRPr="00D92F6B" w:rsidRDefault="008A305D" w:rsidP="00412F88">
            <w:pPr>
              <w:pStyle w:val="Default"/>
              <w:rPr>
                <w:rFonts w:ascii="Times New Roman" w:hAnsi="Times New Roman" w:cs="Times New Roman"/>
                <w:sz w:val="22"/>
                <w:szCs w:val="22"/>
                <w:lang w:val="lt-LT"/>
              </w:rPr>
            </w:pPr>
            <w:r w:rsidRPr="00D92F6B">
              <w:rPr>
                <w:rFonts w:ascii="Times New Roman" w:hAnsi="Times New Roman" w:cs="Times New Roman"/>
                <w:sz w:val="22"/>
                <w:szCs w:val="22"/>
                <w:lang w:val="lt-LT"/>
              </w:rPr>
              <w:t xml:space="preserve">KČ = kaulų čiulpai, PK = periferinis kraujas </w:t>
            </w:r>
          </w:p>
          <w:p w14:paraId="448108EE" w14:textId="77777777" w:rsidR="008A305D" w:rsidRPr="00D92F6B" w:rsidRDefault="008A305D" w:rsidP="00412F88">
            <w:pPr>
              <w:pStyle w:val="Default"/>
              <w:rPr>
                <w:rFonts w:ascii="Times New Roman" w:hAnsi="Times New Roman" w:cs="Times New Roman"/>
                <w:sz w:val="22"/>
                <w:szCs w:val="22"/>
                <w:lang w:val="lt-LT"/>
              </w:rPr>
            </w:pPr>
            <w:r w:rsidRPr="00D92F6B">
              <w:rPr>
                <w:rFonts w:ascii="Times New Roman" w:hAnsi="Times New Roman" w:cs="Times New Roman"/>
                <w:b/>
                <w:bCs/>
                <w:sz w:val="22"/>
                <w:szCs w:val="22"/>
                <w:vertAlign w:val="superscript"/>
                <w:lang w:val="lt-LT"/>
              </w:rPr>
              <w:t>2</w:t>
            </w:r>
            <w:r w:rsidRPr="00D92F6B">
              <w:rPr>
                <w:rFonts w:ascii="Times New Roman" w:hAnsi="Times New Roman" w:cs="Times New Roman"/>
                <w:b/>
                <w:bCs/>
                <w:sz w:val="22"/>
                <w:szCs w:val="22"/>
                <w:lang w:val="lt-LT"/>
              </w:rPr>
              <w:t xml:space="preserve"> Citogenetinio atsako kriterijai: </w:t>
            </w:r>
          </w:p>
          <w:p w14:paraId="2540755E" w14:textId="77777777" w:rsidR="008A305D" w:rsidRPr="00D92F6B" w:rsidRDefault="008A305D" w:rsidP="00412F88">
            <w:pPr>
              <w:pStyle w:val="Default"/>
              <w:rPr>
                <w:rFonts w:ascii="Times New Roman" w:hAnsi="Times New Roman" w:cs="Times New Roman"/>
                <w:sz w:val="22"/>
                <w:szCs w:val="22"/>
                <w:lang w:val="lt-LT"/>
              </w:rPr>
            </w:pPr>
            <w:r w:rsidRPr="00D92F6B">
              <w:rPr>
                <w:rFonts w:ascii="Times New Roman" w:hAnsi="Times New Roman" w:cs="Times New Roman"/>
                <w:sz w:val="22"/>
                <w:szCs w:val="22"/>
                <w:lang w:val="lt-LT"/>
              </w:rPr>
              <w:t xml:space="preserve">Didįjį atsaką sudaro visiškas ir dalinis atsakas: visiškas (0 % Ph+ metafazių), dalinis (1–35 %) </w:t>
            </w:r>
          </w:p>
          <w:p w14:paraId="34E367FF" w14:textId="77777777" w:rsidR="008A305D" w:rsidRPr="0045031A" w:rsidRDefault="008A305D" w:rsidP="00412F88">
            <w:pPr>
              <w:autoSpaceDE w:val="0"/>
              <w:autoSpaceDN w:val="0"/>
              <w:adjustRightInd w:val="0"/>
              <w:rPr>
                <w:sz w:val="22"/>
                <w:szCs w:val="22"/>
              </w:rPr>
            </w:pPr>
            <w:r w:rsidRPr="00D92F6B">
              <w:rPr>
                <w:sz w:val="22"/>
                <w:szCs w:val="22"/>
                <w:vertAlign w:val="superscript"/>
              </w:rPr>
              <w:t>3</w:t>
            </w:r>
            <w:r w:rsidRPr="00D92F6B">
              <w:rPr>
                <w:sz w:val="22"/>
                <w:szCs w:val="22"/>
              </w:rPr>
              <w:t xml:space="preserve"> Visiškas citogenetinis atsakas patvirtinamas antrą kartą citogenetiškai vertinant kaulų čiulpus praėjus mažiausiai vienam mėnesiui po pirminio kaulų čiulpų tyrimo. </w:t>
            </w:r>
          </w:p>
          <w:p w14:paraId="13197B1B" w14:textId="77777777" w:rsidR="008A305D" w:rsidRPr="0045031A" w:rsidRDefault="008A305D" w:rsidP="00412F88">
            <w:pPr>
              <w:autoSpaceDE w:val="0"/>
              <w:autoSpaceDN w:val="0"/>
              <w:adjustRightInd w:val="0"/>
              <w:rPr>
                <w:sz w:val="22"/>
                <w:szCs w:val="22"/>
              </w:rPr>
            </w:pPr>
          </w:p>
        </w:tc>
      </w:tr>
    </w:tbl>
    <w:p w14:paraId="7FA58035" w14:textId="77777777" w:rsidR="008A305D" w:rsidRPr="00D92F6B" w:rsidRDefault="008A305D" w:rsidP="008A305D">
      <w:pPr>
        <w:rPr>
          <w:sz w:val="22"/>
          <w:szCs w:val="22"/>
        </w:rPr>
      </w:pPr>
    </w:p>
    <w:p w14:paraId="0B3463F9"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i/>
          <w:iCs/>
          <w:color w:val="000000"/>
          <w:sz w:val="22"/>
          <w:szCs w:val="22"/>
        </w:rPr>
        <w:t>Vaikai ir paaugliai</w:t>
      </w:r>
      <w:r w:rsidRPr="00D92F6B">
        <w:rPr>
          <w:rFonts w:eastAsia="Calibri"/>
          <w:color w:val="000000"/>
          <w:sz w:val="22"/>
          <w:szCs w:val="22"/>
        </w:rPr>
        <w:t>. Iš viso 26 jaunesni kaip 18 metų vaikai, kuriems buvo lėtinė LML fazė (n=11) ar LML blastinė krizė, ar Ph+ ūminė leukemija (n=15), buvo įtraukti į dozės didinimo I fazės tyrimą. Tai buvo intensyviai gydyti vaikai: 46 % buvo transplantuoti kaulų čiulpai, 73 % – buvo gavę kelių vaistų chemoterapiją. Pacientams buvo skirta imatinibo po 260 mg/m</w:t>
      </w:r>
      <w:r w:rsidRPr="00D92F6B">
        <w:rPr>
          <w:rFonts w:eastAsia="Calibri"/>
          <w:color w:val="000000"/>
          <w:sz w:val="22"/>
          <w:szCs w:val="22"/>
          <w:vertAlign w:val="superscript"/>
        </w:rPr>
        <w:t>2</w:t>
      </w:r>
      <w:r w:rsidRPr="00D92F6B">
        <w:rPr>
          <w:rFonts w:eastAsia="Calibri"/>
          <w:color w:val="000000"/>
          <w:sz w:val="22"/>
          <w:szCs w:val="22"/>
        </w:rPr>
        <w:t xml:space="preserve"> per parą (n=5), 340 mg/m</w:t>
      </w:r>
      <w:r w:rsidRPr="00D92F6B">
        <w:rPr>
          <w:rFonts w:eastAsia="Calibri"/>
          <w:color w:val="000000"/>
          <w:sz w:val="22"/>
          <w:szCs w:val="22"/>
          <w:vertAlign w:val="superscript"/>
        </w:rPr>
        <w:t>2</w:t>
      </w:r>
      <w:r w:rsidRPr="0045031A">
        <w:rPr>
          <w:rFonts w:eastAsia="Calibri"/>
          <w:color w:val="000000"/>
          <w:sz w:val="22"/>
          <w:szCs w:val="22"/>
        </w:rPr>
        <w:t xml:space="preserve"> </w:t>
      </w:r>
      <w:r w:rsidRPr="00D92F6B">
        <w:rPr>
          <w:rFonts w:eastAsia="Calibri"/>
          <w:color w:val="000000"/>
          <w:sz w:val="22"/>
          <w:szCs w:val="22"/>
        </w:rPr>
        <w:t>per parą (n=9), 440 mg/m</w:t>
      </w:r>
      <w:r w:rsidRPr="00D92F6B">
        <w:rPr>
          <w:rFonts w:eastAsia="Calibri"/>
          <w:color w:val="000000"/>
          <w:sz w:val="22"/>
          <w:szCs w:val="22"/>
          <w:vertAlign w:val="superscript"/>
        </w:rPr>
        <w:t xml:space="preserve">2 </w:t>
      </w:r>
      <w:r w:rsidRPr="00D92F6B">
        <w:rPr>
          <w:rFonts w:eastAsia="Calibri"/>
          <w:color w:val="000000"/>
          <w:sz w:val="22"/>
          <w:szCs w:val="22"/>
        </w:rPr>
        <w:t>per parą (n=7), 570 mg/m</w:t>
      </w:r>
      <w:r w:rsidRPr="00D92F6B">
        <w:rPr>
          <w:rFonts w:eastAsia="Calibri"/>
          <w:color w:val="000000"/>
          <w:sz w:val="22"/>
          <w:szCs w:val="22"/>
          <w:vertAlign w:val="superscript"/>
        </w:rPr>
        <w:t>2</w:t>
      </w:r>
      <w:r w:rsidRPr="0045031A">
        <w:rPr>
          <w:rFonts w:eastAsia="Calibri"/>
          <w:color w:val="000000"/>
          <w:sz w:val="22"/>
          <w:szCs w:val="22"/>
        </w:rPr>
        <w:t xml:space="preserve"> </w:t>
      </w:r>
      <w:r w:rsidRPr="00D92F6B">
        <w:rPr>
          <w:rFonts w:eastAsia="Calibri"/>
          <w:color w:val="000000"/>
          <w:sz w:val="22"/>
          <w:szCs w:val="22"/>
        </w:rPr>
        <w:t xml:space="preserve">per parą (n=5). Iš 9 pacientų, kuriems buvo lėtinė LML fazė ir prieinami citogenetiniai rodikliai, 4 (44 %) ir 3 (33 %) buvo gautas atitinkamai visiškas ir dalinis citogenetinis atsakas, MCyR dažnis – 77 %. </w:t>
      </w:r>
    </w:p>
    <w:p w14:paraId="73EBFE87" w14:textId="77777777" w:rsidR="008A305D" w:rsidRPr="00D92F6B" w:rsidRDefault="008A305D" w:rsidP="008A305D">
      <w:pPr>
        <w:autoSpaceDE w:val="0"/>
        <w:autoSpaceDN w:val="0"/>
        <w:adjustRightInd w:val="0"/>
        <w:rPr>
          <w:rFonts w:eastAsia="Calibri"/>
          <w:color w:val="000000"/>
          <w:sz w:val="22"/>
          <w:szCs w:val="22"/>
        </w:rPr>
      </w:pPr>
    </w:p>
    <w:p w14:paraId="3F906E4A"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II fazės atvirame, daugiacentriame, vienos grupės tyrime dalyvavo 51 vaikas, sergantis naujai diagnozuota ir negydyta lėtinės fazės LML. Pacientai buvo gydomi imatinibu 340 mg/m</w:t>
      </w:r>
      <w:r w:rsidRPr="00D92F6B">
        <w:rPr>
          <w:rFonts w:eastAsia="Calibri"/>
          <w:color w:val="000000"/>
          <w:sz w:val="22"/>
          <w:szCs w:val="22"/>
          <w:vertAlign w:val="superscript"/>
        </w:rPr>
        <w:t xml:space="preserve">2 </w:t>
      </w:r>
      <w:r w:rsidRPr="00D92F6B">
        <w:rPr>
          <w:rFonts w:eastAsia="Calibri"/>
          <w:color w:val="000000"/>
          <w:sz w:val="22"/>
          <w:szCs w:val="22"/>
        </w:rPr>
        <w:t xml:space="preserve">doze be pertraukų, nes nebuvo dozės ribojančio nepageidaujamo poveikio. Gydymas imatinibu sukėlė greitą atsaką vaikų, sergančių naujai diagnozuota LML su 78 % VHA, tarpe po 8 gydymo savaičių. Aukštas VHA lygis yra susijęs su išsivysčiusiu 65 % visišku citogenetiniu atsaku (CCyR), kuris lygintinas su duomenimis suaugusiųjų tarpe. Be to, buvo stebimas 16 % dalinis citogenetinis atsakas (PCyR), kai MCyR dažnis – 81 %. Daugumai pacientų, pasiekusių CCyR, tarp 3 ir 10 mėnesių išsivystė CCyR su atsako trukmės mediana, remiantis Kaplan-Meier 5,6 mėnesių išgyvenamumo rodikliu. </w:t>
      </w:r>
    </w:p>
    <w:p w14:paraId="22E3E048" w14:textId="77777777" w:rsidR="008A305D" w:rsidRPr="00D92F6B" w:rsidRDefault="008A305D" w:rsidP="008A305D">
      <w:pPr>
        <w:autoSpaceDE w:val="0"/>
        <w:autoSpaceDN w:val="0"/>
        <w:adjustRightInd w:val="0"/>
        <w:rPr>
          <w:rFonts w:eastAsia="Calibri"/>
          <w:color w:val="000000"/>
          <w:sz w:val="22"/>
          <w:szCs w:val="22"/>
        </w:rPr>
      </w:pPr>
    </w:p>
    <w:p w14:paraId="1B1FE401" w14:textId="77777777" w:rsidR="008A305D" w:rsidRPr="00D92F6B" w:rsidRDefault="008A305D" w:rsidP="008A305D">
      <w:pPr>
        <w:pStyle w:val="Default"/>
        <w:rPr>
          <w:rFonts w:ascii="Times New Roman" w:hAnsi="Times New Roman" w:cs="Times New Roman"/>
          <w:sz w:val="22"/>
          <w:szCs w:val="22"/>
          <w:lang w:val="lt-LT"/>
        </w:rPr>
      </w:pPr>
      <w:r w:rsidRPr="00D92F6B">
        <w:rPr>
          <w:rFonts w:ascii="Times New Roman" w:hAnsi="Times New Roman" w:cs="Times New Roman"/>
          <w:sz w:val="22"/>
          <w:szCs w:val="22"/>
          <w:lang w:val="lt-LT"/>
        </w:rPr>
        <w:lastRenderedPageBreak/>
        <w:t xml:space="preserve">Europos vaistų agentūra atleido nuo įsipareigojimo pateikti imatinibo tyrimų su visais vaikų populiacijos pogrupiais duomenis, sergantiesiems </w:t>
      </w:r>
      <w:r w:rsidRPr="00D92F6B">
        <w:rPr>
          <w:rFonts w:ascii="Times New Roman" w:hAnsi="Times New Roman" w:cs="Times New Roman"/>
          <w:i/>
          <w:iCs/>
          <w:sz w:val="22"/>
          <w:szCs w:val="22"/>
          <w:lang w:val="lt-LT"/>
        </w:rPr>
        <w:t xml:space="preserve">Philadelphia </w:t>
      </w:r>
      <w:r w:rsidRPr="00D92F6B">
        <w:rPr>
          <w:rFonts w:ascii="Times New Roman" w:hAnsi="Times New Roman" w:cs="Times New Roman"/>
          <w:sz w:val="22"/>
          <w:szCs w:val="22"/>
          <w:lang w:val="lt-LT"/>
        </w:rPr>
        <w:t xml:space="preserve">chromosomai (bcr-abl translokacija) teigiama lėtine mieloleukemija (vartojimo vaikams informacija pateikiama 4.2 skyriuje). </w:t>
      </w:r>
    </w:p>
    <w:p w14:paraId="317AB688" w14:textId="77777777" w:rsidR="008A305D" w:rsidRPr="00D92F6B" w:rsidRDefault="008A305D" w:rsidP="008A305D">
      <w:pPr>
        <w:autoSpaceDE w:val="0"/>
        <w:autoSpaceDN w:val="0"/>
        <w:adjustRightInd w:val="0"/>
        <w:rPr>
          <w:rFonts w:eastAsia="Calibri"/>
          <w:color w:val="000000"/>
          <w:sz w:val="22"/>
          <w:szCs w:val="22"/>
        </w:rPr>
      </w:pPr>
    </w:p>
    <w:p w14:paraId="4BB953C6" w14:textId="77777777" w:rsidR="008A305D" w:rsidRPr="00D92F6B" w:rsidRDefault="008A305D" w:rsidP="008A305D">
      <w:pPr>
        <w:autoSpaceDE w:val="0"/>
        <w:autoSpaceDN w:val="0"/>
        <w:adjustRightInd w:val="0"/>
        <w:rPr>
          <w:rFonts w:eastAsia="Calibri"/>
          <w:color w:val="000000"/>
          <w:sz w:val="22"/>
          <w:szCs w:val="22"/>
          <w:u w:val="single"/>
        </w:rPr>
      </w:pPr>
      <w:r w:rsidRPr="00D92F6B">
        <w:rPr>
          <w:rFonts w:eastAsia="Calibri"/>
          <w:color w:val="000000"/>
          <w:sz w:val="22"/>
          <w:szCs w:val="22"/>
          <w:u w:val="single"/>
        </w:rPr>
        <w:t xml:space="preserve">Klinikiniai Ph+ ŪLL tyrimai </w:t>
      </w:r>
    </w:p>
    <w:p w14:paraId="1FCFC100"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i/>
          <w:iCs/>
          <w:color w:val="000000"/>
          <w:sz w:val="22"/>
          <w:szCs w:val="22"/>
        </w:rPr>
        <w:t>Pirmą kartą diagnozuota Ph+ ŪLL</w:t>
      </w:r>
      <w:r w:rsidRPr="00D92F6B">
        <w:rPr>
          <w:rFonts w:eastAsia="Calibri"/>
          <w:color w:val="000000"/>
          <w:sz w:val="22"/>
          <w:szCs w:val="22"/>
        </w:rPr>
        <w:t>: Kontroliuojamo (ADE10) tyrimo metu, kuriame imatinibas buvo lygintas su pradine chemoterapija penkiasdešimt penkiems 55 metų ir vyresniems pacientams, kuriems diagnozė nustatyta pirmą kartą, vartojant vieną imatinibą buvo gautas reikšmingai didesnis pilno hematologinio atsako dažnis lyginant su chemoterapiją gavusiaisiais (96,3 % lyginant su 50 %; p=0,0001). Kai pacientams, kuriems nebuvo gautas atsakas ar gautas silpnas atsakas, buvo paskirtas pagalbinis gydymas imatinibu, pilnas hematologinis atsakas buvo gautas 9 pacientams (81,8 %) iš 11. Šis klinikinis efektas buvo susijęs su didesniu bcr-abl transkriptų sumažėjimu po 2 gydymo savaičių imatinibą vartojusių pacientų grupėje (p=0,02) lyginant su chemoterapiją gavusiaisiais. Po pradinio gydymo visi pacientai gavo imatinibą bei papildomą chemoterapiją (žr. 3 lentelę), po 8 savaičių bcr-abl transkriptų kiekis buvo vienodas abiejose grupėse. Kaip ir tikėtasi planuojant tyrimą, skirtumo tarp remisijos trukmės, laiko be ligos ir gyvenimo trukmės nebuvo, nors pacientų, kuriems buvo pasiektas pilnas molekulinis atsakas ir išliko minimali liekamoji liga, buvo geresni ir remisijos trukmės (p=0,01) ir laiko be ligos (p=0,02) rezultatai.</w:t>
      </w:r>
    </w:p>
    <w:p w14:paraId="002BF053" w14:textId="77777777" w:rsidR="008A305D" w:rsidRPr="00D92F6B" w:rsidRDefault="008A305D" w:rsidP="008A305D">
      <w:pPr>
        <w:autoSpaceDE w:val="0"/>
        <w:autoSpaceDN w:val="0"/>
        <w:adjustRightInd w:val="0"/>
        <w:rPr>
          <w:rFonts w:eastAsia="Calibri"/>
          <w:color w:val="000000"/>
          <w:sz w:val="22"/>
          <w:szCs w:val="22"/>
        </w:rPr>
      </w:pPr>
    </w:p>
    <w:p w14:paraId="30AF5308" w14:textId="77777777" w:rsidR="008A305D" w:rsidRPr="00D92F6B" w:rsidRDefault="008A305D" w:rsidP="008A305D">
      <w:pPr>
        <w:autoSpaceDE w:val="0"/>
        <w:autoSpaceDN w:val="0"/>
        <w:adjustRightInd w:val="0"/>
        <w:rPr>
          <w:sz w:val="22"/>
          <w:szCs w:val="22"/>
        </w:rPr>
      </w:pPr>
      <w:r w:rsidRPr="00D92F6B">
        <w:rPr>
          <w:sz w:val="22"/>
          <w:szCs w:val="22"/>
        </w:rPr>
        <w:t>Keturių nekontroliuojamų tyrimų (AAU02, ADE04, AJP01 ir AUS01), kuriuose dalyvavo 211 pacientų, kuriems pirmą kartą diagnozuota Ph+ ŪLL, rezultatai atitinka aukščiau paminėto tyrimo rezultatus. Skiriant imatinibą kartu su pradine chemoterapija (žr. 3 lentelę) pilno hematologinio atsako dažnis buvo 93 % (147 iš 158 pacientų, kuriuos buvo galima vertinti), o didžiojo citogenetinio atsako dažnis buvo 90 % (19 iš 21 paciento, kuriuos buvo galima įvertinti). Pilno molekulinio atsako dažnis buvo 48 % (49 iš 102 pacientų, kuriuos buvo galima vertinti). Laikas be ligos (DSF) ir gyvenimo trukmė (OS) pastoviai viršijo 1 metus ir buvo aukštesni kaip anksčiau nustatyti (DFS p&lt;0,001; OS p&lt;0,0001) dvejuose tyrimuose (AJP01 ir AUS01).</w:t>
      </w:r>
    </w:p>
    <w:p w14:paraId="51111A32" w14:textId="77777777" w:rsidR="008A305D" w:rsidRPr="00D92F6B" w:rsidRDefault="008A305D" w:rsidP="008A305D">
      <w:pPr>
        <w:autoSpaceDE w:val="0"/>
        <w:autoSpaceDN w:val="0"/>
        <w:adjustRightInd w:val="0"/>
        <w:rPr>
          <w:rFonts w:eastAsia="Calibri"/>
          <w:color w:val="000000"/>
          <w:sz w:val="22"/>
          <w:szCs w:val="22"/>
        </w:rPr>
      </w:pPr>
    </w:p>
    <w:p w14:paraId="1826D28C" w14:textId="77777777" w:rsidR="008A305D" w:rsidRPr="00D92F6B" w:rsidRDefault="008A305D" w:rsidP="008A305D">
      <w:pPr>
        <w:keepNext/>
        <w:autoSpaceDE w:val="0"/>
        <w:autoSpaceDN w:val="0"/>
        <w:adjustRightInd w:val="0"/>
        <w:rPr>
          <w:sz w:val="22"/>
          <w:szCs w:val="22"/>
        </w:rPr>
      </w:pPr>
      <w:r w:rsidRPr="00D92F6B">
        <w:rPr>
          <w:b/>
          <w:bCs/>
          <w:sz w:val="22"/>
          <w:szCs w:val="22"/>
        </w:rPr>
        <w:t>3 lentelė</w:t>
      </w:r>
      <w:r w:rsidRPr="00D92F6B">
        <w:rPr>
          <w:b/>
          <w:bCs/>
          <w:sz w:val="22"/>
          <w:szCs w:val="22"/>
        </w:rPr>
        <w:tab/>
        <w:t xml:space="preserve"> Chemoterapijos gydymas, taikomas kartu su imatinibu</w:t>
      </w:r>
    </w:p>
    <w:p w14:paraId="24680B4B" w14:textId="77777777" w:rsidR="008A305D" w:rsidRPr="00D92F6B" w:rsidRDefault="008A305D" w:rsidP="008A305D">
      <w:pPr>
        <w:keepNext/>
        <w:autoSpaceDE w:val="0"/>
        <w:autoSpaceDN w:val="0"/>
        <w:adjustRightInd w:val="0"/>
        <w:rPr>
          <w:sz w:val="22"/>
          <w:szCs w:val="22"/>
        </w:rPr>
      </w:pPr>
    </w:p>
    <w:tbl>
      <w:tblPr>
        <w:tblW w:w="0" w:type="auto"/>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133"/>
        <w:gridCol w:w="6798"/>
      </w:tblGrid>
      <w:tr w:rsidR="008A305D" w:rsidRPr="00D92F6B" w14:paraId="1F8EACBD" w14:textId="77777777" w:rsidTr="00412F88">
        <w:trPr>
          <w:trHeight w:hRule="exact" w:val="329"/>
        </w:trPr>
        <w:tc>
          <w:tcPr>
            <w:tcW w:w="8931" w:type="dxa"/>
            <w:gridSpan w:val="2"/>
            <w:shd w:val="clear" w:color="auto" w:fill="auto"/>
            <w:tcMar>
              <w:top w:w="57" w:type="dxa"/>
              <w:bottom w:w="57" w:type="dxa"/>
            </w:tcMar>
          </w:tcPr>
          <w:p w14:paraId="46860C32" w14:textId="77777777" w:rsidR="008A305D" w:rsidRPr="00D92F6B" w:rsidRDefault="008A305D" w:rsidP="00412F88">
            <w:pPr>
              <w:keepNext/>
              <w:ind w:right="-23"/>
              <w:rPr>
                <w:sz w:val="22"/>
                <w:szCs w:val="22"/>
              </w:rPr>
            </w:pPr>
            <w:r w:rsidRPr="00D92F6B">
              <w:rPr>
                <w:b/>
                <w:bCs/>
                <w:sz w:val="22"/>
                <w:szCs w:val="22"/>
              </w:rPr>
              <w:t>ADE10 tyrimas</w:t>
            </w:r>
          </w:p>
        </w:tc>
      </w:tr>
      <w:tr w:rsidR="008A305D" w:rsidRPr="00D92F6B" w14:paraId="198023F4" w14:textId="77777777" w:rsidTr="00412F88">
        <w:trPr>
          <w:trHeight w:hRule="exact" w:val="567"/>
        </w:trPr>
        <w:tc>
          <w:tcPr>
            <w:tcW w:w="2133" w:type="dxa"/>
            <w:tcBorders>
              <w:right w:val="nil"/>
            </w:tcBorders>
            <w:shd w:val="clear" w:color="auto" w:fill="auto"/>
            <w:tcMar>
              <w:top w:w="57" w:type="dxa"/>
              <w:bottom w:w="57" w:type="dxa"/>
            </w:tcMar>
          </w:tcPr>
          <w:p w14:paraId="3F858895" w14:textId="77777777" w:rsidR="008A305D" w:rsidRPr="00D92F6B" w:rsidRDefault="008A305D" w:rsidP="00412F88">
            <w:pPr>
              <w:ind w:right="-20"/>
              <w:rPr>
                <w:sz w:val="22"/>
                <w:szCs w:val="22"/>
              </w:rPr>
            </w:pPr>
            <w:r w:rsidRPr="00D92F6B">
              <w:rPr>
                <w:sz w:val="22"/>
                <w:szCs w:val="22"/>
              </w:rPr>
              <w:t>Prefazė</w:t>
            </w:r>
          </w:p>
        </w:tc>
        <w:tc>
          <w:tcPr>
            <w:tcW w:w="6798" w:type="dxa"/>
            <w:tcBorders>
              <w:left w:val="nil"/>
            </w:tcBorders>
            <w:shd w:val="clear" w:color="auto" w:fill="auto"/>
            <w:tcMar>
              <w:top w:w="57" w:type="dxa"/>
              <w:bottom w:w="57" w:type="dxa"/>
            </w:tcMar>
          </w:tcPr>
          <w:p w14:paraId="00D57F45" w14:textId="77777777" w:rsidR="008A305D" w:rsidRPr="00D92F6B" w:rsidRDefault="008A305D" w:rsidP="00412F88">
            <w:pPr>
              <w:ind w:right="-20"/>
              <w:rPr>
                <w:sz w:val="22"/>
                <w:szCs w:val="22"/>
              </w:rPr>
            </w:pPr>
            <w:r w:rsidRPr="00D92F6B">
              <w:rPr>
                <w:sz w:val="22"/>
                <w:szCs w:val="22"/>
              </w:rPr>
              <w:t>Gerti DEX 10 mg/m</w:t>
            </w:r>
            <w:r w:rsidRPr="00D92F6B">
              <w:rPr>
                <w:sz w:val="22"/>
                <w:szCs w:val="22"/>
                <w:vertAlign w:val="superscript"/>
              </w:rPr>
              <w:t>2 </w:t>
            </w:r>
            <w:r w:rsidRPr="00D92F6B">
              <w:rPr>
                <w:sz w:val="22"/>
                <w:szCs w:val="22"/>
              </w:rPr>
              <w:t>, 1-5 dienas; CP 200 mg/m</w:t>
            </w:r>
            <w:r w:rsidRPr="00D92F6B">
              <w:rPr>
                <w:sz w:val="22"/>
                <w:szCs w:val="22"/>
                <w:vertAlign w:val="superscript"/>
              </w:rPr>
              <w:t>2</w:t>
            </w:r>
            <w:r w:rsidRPr="00D92F6B">
              <w:rPr>
                <w:sz w:val="22"/>
                <w:szCs w:val="22"/>
              </w:rPr>
              <w:t xml:space="preserve"> i.v., 3, 4, 5 dieną; MTX 12 mg intratekaliai, 1 dieną.</w:t>
            </w:r>
          </w:p>
        </w:tc>
      </w:tr>
      <w:tr w:rsidR="008A305D" w:rsidRPr="00D92F6B" w14:paraId="6264D98C" w14:textId="77777777" w:rsidTr="00412F88">
        <w:trPr>
          <w:trHeight w:hRule="exact" w:val="1049"/>
        </w:trPr>
        <w:tc>
          <w:tcPr>
            <w:tcW w:w="2133" w:type="dxa"/>
            <w:tcBorders>
              <w:right w:val="nil"/>
            </w:tcBorders>
            <w:shd w:val="clear" w:color="auto" w:fill="auto"/>
            <w:tcMar>
              <w:top w:w="57" w:type="dxa"/>
              <w:bottom w:w="57" w:type="dxa"/>
            </w:tcMar>
          </w:tcPr>
          <w:p w14:paraId="63F00FB9" w14:textId="77777777" w:rsidR="008A305D" w:rsidRPr="00D92F6B" w:rsidRDefault="008A305D" w:rsidP="00412F88">
            <w:pPr>
              <w:ind w:right="-20"/>
              <w:rPr>
                <w:sz w:val="22"/>
                <w:szCs w:val="22"/>
              </w:rPr>
            </w:pPr>
            <w:r w:rsidRPr="00D92F6B">
              <w:rPr>
                <w:sz w:val="22"/>
                <w:szCs w:val="22"/>
              </w:rPr>
              <w:t>Remisijos sukėlimas</w:t>
            </w:r>
          </w:p>
        </w:tc>
        <w:tc>
          <w:tcPr>
            <w:tcW w:w="6798" w:type="dxa"/>
            <w:tcBorders>
              <w:left w:val="nil"/>
            </w:tcBorders>
            <w:shd w:val="clear" w:color="auto" w:fill="auto"/>
            <w:tcMar>
              <w:top w:w="57" w:type="dxa"/>
              <w:bottom w:w="57" w:type="dxa"/>
            </w:tcMar>
          </w:tcPr>
          <w:p w14:paraId="0B980783" w14:textId="77777777" w:rsidR="008A305D" w:rsidRPr="00D92F6B" w:rsidRDefault="008A305D" w:rsidP="00412F88">
            <w:pPr>
              <w:ind w:right="-20"/>
              <w:rPr>
                <w:sz w:val="22"/>
                <w:szCs w:val="22"/>
              </w:rPr>
            </w:pPr>
            <w:r w:rsidRPr="00D92F6B">
              <w:rPr>
                <w:sz w:val="22"/>
                <w:szCs w:val="22"/>
              </w:rPr>
              <w:t>Gerti DEX 10 mg/m</w:t>
            </w:r>
            <w:r w:rsidRPr="00D92F6B">
              <w:rPr>
                <w:sz w:val="22"/>
                <w:szCs w:val="22"/>
                <w:vertAlign w:val="superscript"/>
              </w:rPr>
              <w:t>2 </w:t>
            </w:r>
            <w:r w:rsidRPr="00D92F6B">
              <w:rPr>
                <w:sz w:val="22"/>
                <w:szCs w:val="22"/>
              </w:rPr>
              <w:t>, 6-7 dieną, 13-16 dieną; VCR 1 mg i.v., 7, 14 dieną; IDA 8 mg/m</w:t>
            </w:r>
            <w:r w:rsidRPr="00D92F6B">
              <w:rPr>
                <w:sz w:val="22"/>
                <w:szCs w:val="22"/>
                <w:vertAlign w:val="superscript"/>
              </w:rPr>
              <w:t>2 </w:t>
            </w:r>
            <w:r w:rsidRPr="00D92F6B">
              <w:rPr>
                <w:sz w:val="22"/>
                <w:szCs w:val="22"/>
              </w:rPr>
              <w:t>i.v. (0.5 valandos), 7 8, 14, 15 dieną; CP 500 mg/m</w:t>
            </w:r>
            <w:r w:rsidRPr="00D92F6B">
              <w:rPr>
                <w:sz w:val="22"/>
                <w:szCs w:val="22"/>
                <w:vertAlign w:val="superscript"/>
              </w:rPr>
              <w:t>2 </w:t>
            </w:r>
            <w:r w:rsidRPr="00D92F6B">
              <w:rPr>
                <w:sz w:val="22"/>
                <w:szCs w:val="22"/>
              </w:rPr>
              <w:t>i.v. (1 valanda) 1 dieną; Ara- C 60 mg/m</w:t>
            </w:r>
            <w:r w:rsidRPr="00D92F6B">
              <w:rPr>
                <w:sz w:val="22"/>
                <w:szCs w:val="22"/>
                <w:vertAlign w:val="superscript"/>
              </w:rPr>
              <w:t>2 </w:t>
            </w:r>
            <w:r w:rsidRPr="00D92F6B">
              <w:rPr>
                <w:sz w:val="22"/>
                <w:szCs w:val="22"/>
              </w:rPr>
              <w:t>i.v., 22-25, 29-32 dienas.</w:t>
            </w:r>
          </w:p>
        </w:tc>
      </w:tr>
      <w:tr w:rsidR="008A305D" w:rsidRPr="00D92F6B" w14:paraId="6C46A24A" w14:textId="77777777" w:rsidTr="00412F88">
        <w:trPr>
          <w:trHeight w:hRule="exact" w:val="567"/>
        </w:trPr>
        <w:tc>
          <w:tcPr>
            <w:tcW w:w="2133" w:type="dxa"/>
            <w:tcBorders>
              <w:right w:val="nil"/>
            </w:tcBorders>
            <w:shd w:val="clear" w:color="auto" w:fill="auto"/>
            <w:tcMar>
              <w:top w:w="57" w:type="dxa"/>
              <w:bottom w:w="57" w:type="dxa"/>
            </w:tcMar>
          </w:tcPr>
          <w:p w14:paraId="51FAA919" w14:textId="77777777" w:rsidR="008A305D" w:rsidRPr="00D92F6B" w:rsidRDefault="008A305D" w:rsidP="00412F88">
            <w:pPr>
              <w:rPr>
                <w:sz w:val="22"/>
                <w:szCs w:val="22"/>
              </w:rPr>
            </w:pPr>
            <w:r w:rsidRPr="00D92F6B">
              <w:rPr>
                <w:sz w:val="22"/>
                <w:szCs w:val="22"/>
              </w:rPr>
              <w:lastRenderedPageBreak/>
              <w:t>Konsoliduojantis gydymas I, III, V</w:t>
            </w:r>
          </w:p>
        </w:tc>
        <w:tc>
          <w:tcPr>
            <w:tcW w:w="6798" w:type="dxa"/>
            <w:tcBorders>
              <w:left w:val="nil"/>
            </w:tcBorders>
            <w:shd w:val="clear" w:color="auto" w:fill="auto"/>
            <w:tcMar>
              <w:top w:w="57" w:type="dxa"/>
              <w:bottom w:w="57" w:type="dxa"/>
            </w:tcMar>
          </w:tcPr>
          <w:p w14:paraId="18360ABD" w14:textId="77777777" w:rsidR="008A305D" w:rsidRPr="00D92F6B" w:rsidRDefault="008A305D" w:rsidP="00412F88">
            <w:pPr>
              <w:ind w:right="-20"/>
              <w:rPr>
                <w:sz w:val="22"/>
                <w:szCs w:val="22"/>
              </w:rPr>
            </w:pPr>
            <w:r w:rsidRPr="00D92F6B">
              <w:rPr>
                <w:sz w:val="22"/>
                <w:szCs w:val="22"/>
              </w:rPr>
              <w:t>MTX 500 mg/m</w:t>
            </w:r>
            <w:r w:rsidRPr="00D92F6B">
              <w:rPr>
                <w:sz w:val="22"/>
                <w:szCs w:val="22"/>
                <w:vertAlign w:val="superscript"/>
              </w:rPr>
              <w:t>2 </w:t>
            </w:r>
            <w:r w:rsidRPr="00D92F6B">
              <w:rPr>
                <w:sz w:val="22"/>
                <w:szCs w:val="22"/>
              </w:rPr>
              <w:t>i.v. (24 valandos), 1, 15 dieną; gerti 6-MP 25 mg/m</w:t>
            </w:r>
            <w:r w:rsidRPr="00D92F6B">
              <w:rPr>
                <w:sz w:val="22"/>
                <w:szCs w:val="22"/>
                <w:vertAlign w:val="superscript"/>
              </w:rPr>
              <w:t>2 </w:t>
            </w:r>
            <w:r w:rsidRPr="00D92F6B">
              <w:rPr>
                <w:sz w:val="22"/>
                <w:szCs w:val="22"/>
              </w:rPr>
              <w:t>, 1-20 dieną</w:t>
            </w:r>
          </w:p>
        </w:tc>
      </w:tr>
      <w:tr w:rsidR="008A305D" w:rsidRPr="00D92F6B" w14:paraId="5E826C8B" w14:textId="77777777" w:rsidTr="00412F88">
        <w:trPr>
          <w:trHeight w:hRule="exact" w:val="567"/>
        </w:trPr>
        <w:tc>
          <w:tcPr>
            <w:tcW w:w="2133" w:type="dxa"/>
            <w:tcBorders>
              <w:right w:val="nil"/>
            </w:tcBorders>
            <w:shd w:val="clear" w:color="auto" w:fill="auto"/>
            <w:tcMar>
              <w:top w:w="57" w:type="dxa"/>
              <w:bottom w:w="57" w:type="dxa"/>
            </w:tcMar>
          </w:tcPr>
          <w:p w14:paraId="6CCCE279" w14:textId="77777777" w:rsidR="008A305D" w:rsidRPr="00D92F6B" w:rsidRDefault="008A305D" w:rsidP="00412F88">
            <w:pPr>
              <w:rPr>
                <w:sz w:val="22"/>
                <w:szCs w:val="22"/>
              </w:rPr>
            </w:pPr>
            <w:r w:rsidRPr="00D92F6B">
              <w:rPr>
                <w:sz w:val="22"/>
                <w:szCs w:val="22"/>
              </w:rPr>
              <w:t>Konsoliduojantis gydymas II, IV</w:t>
            </w:r>
          </w:p>
        </w:tc>
        <w:tc>
          <w:tcPr>
            <w:tcW w:w="6798" w:type="dxa"/>
            <w:tcBorders>
              <w:left w:val="nil"/>
            </w:tcBorders>
            <w:shd w:val="clear" w:color="auto" w:fill="auto"/>
            <w:tcMar>
              <w:top w:w="57" w:type="dxa"/>
              <w:bottom w:w="57" w:type="dxa"/>
            </w:tcMar>
          </w:tcPr>
          <w:p w14:paraId="0B1923E3" w14:textId="77777777" w:rsidR="008A305D" w:rsidRPr="00D92F6B" w:rsidRDefault="008A305D" w:rsidP="00412F88">
            <w:pPr>
              <w:ind w:right="-20"/>
              <w:rPr>
                <w:sz w:val="22"/>
                <w:szCs w:val="22"/>
              </w:rPr>
            </w:pPr>
            <w:r w:rsidRPr="00D92F6B">
              <w:rPr>
                <w:sz w:val="22"/>
                <w:szCs w:val="22"/>
              </w:rPr>
              <w:t>Ara-C 75 mg/m</w:t>
            </w:r>
            <w:r w:rsidRPr="00D92F6B">
              <w:rPr>
                <w:sz w:val="22"/>
                <w:szCs w:val="22"/>
                <w:vertAlign w:val="superscript"/>
              </w:rPr>
              <w:t>2 </w:t>
            </w:r>
            <w:r w:rsidRPr="00D92F6B">
              <w:rPr>
                <w:sz w:val="22"/>
                <w:szCs w:val="22"/>
              </w:rPr>
              <w:t>i.v. (1 valanda), 1-5dienas; VM26 60 mg/m</w:t>
            </w:r>
            <w:r w:rsidRPr="00D92F6B">
              <w:rPr>
                <w:sz w:val="22"/>
                <w:szCs w:val="22"/>
                <w:vertAlign w:val="superscript"/>
              </w:rPr>
              <w:t>2 </w:t>
            </w:r>
            <w:r w:rsidRPr="00D92F6B">
              <w:rPr>
                <w:sz w:val="22"/>
                <w:szCs w:val="22"/>
              </w:rPr>
              <w:t>i.v. (1 valanda), 1-5 dienas.</w:t>
            </w:r>
          </w:p>
        </w:tc>
      </w:tr>
      <w:tr w:rsidR="008A305D" w:rsidRPr="00D92F6B" w14:paraId="08275899" w14:textId="77777777" w:rsidTr="00412F88">
        <w:trPr>
          <w:trHeight w:hRule="exact" w:val="329"/>
        </w:trPr>
        <w:tc>
          <w:tcPr>
            <w:tcW w:w="8931" w:type="dxa"/>
            <w:gridSpan w:val="2"/>
            <w:shd w:val="clear" w:color="auto" w:fill="auto"/>
            <w:tcMar>
              <w:top w:w="57" w:type="dxa"/>
              <w:bottom w:w="57" w:type="dxa"/>
            </w:tcMar>
          </w:tcPr>
          <w:p w14:paraId="4C8AE95C" w14:textId="77777777" w:rsidR="008A305D" w:rsidRPr="00D92F6B" w:rsidRDefault="008A305D" w:rsidP="00412F88">
            <w:pPr>
              <w:keepNext/>
              <w:ind w:right="-23"/>
              <w:rPr>
                <w:sz w:val="22"/>
                <w:szCs w:val="22"/>
              </w:rPr>
            </w:pPr>
            <w:r w:rsidRPr="00D92F6B">
              <w:rPr>
                <w:b/>
                <w:bCs/>
                <w:sz w:val="22"/>
                <w:szCs w:val="22"/>
              </w:rPr>
              <w:t>AAU02 tyrimas</w:t>
            </w:r>
          </w:p>
        </w:tc>
      </w:tr>
      <w:tr w:rsidR="008A305D" w:rsidRPr="00D92F6B" w14:paraId="319B491D" w14:textId="77777777" w:rsidTr="00412F88">
        <w:trPr>
          <w:trHeight w:hRule="exact" w:val="1704"/>
        </w:trPr>
        <w:tc>
          <w:tcPr>
            <w:tcW w:w="2133" w:type="dxa"/>
            <w:tcBorders>
              <w:right w:val="nil"/>
            </w:tcBorders>
            <w:shd w:val="clear" w:color="auto" w:fill="auto"/>
            <w:tcMar>
              <w:top w:w="57" w:type="dxa"/>
              <w:bottom w:w="57" w:type="dxa"/>
            </w:tcMar>
          </w:tcPr>
          <w:p w14:paraId="687EA7D1" w14:textId="77777777" w:rsidR="008A305D" w:rsidRPr="00D92F6B" w:rsidRDefault="008A305D" w:rsidP="00412F88">
            <w:pPr>
              <w:ind w:right="66"/>
              <w:rPr>
                <w:sz w:val="22"/>
                <w:szCs w:val="22"/>
              </w:rPr>
            </w:pPr>
            <w:r w:rsidRPr="00D92F6B">
              <w:rPr>
                <w:sz w:val="22"/>
                <w:szCs w:val="22"/>
              </w:rPr>
              <w:t>Pradinis gydymas (</w:t>
            </w:r>
            <w:r w:rsidRPr="00D92F6B">
              <w:rPr>
                <w:i/>
                <w:sz w:val="22"/>
                <w:szCs w:val="22"/>
              </w:rPr>
              <w:t xml:space="preserve">de novo </w:t>
            </w:r>
            <w:r w:rsidRPr="00D92F6B">
              <w:rPr>
                <w:sz w:val="22"/>
                <w:szCs w:val="22"/>
              </w:rPr>
              <w:t>Ph+ ALL)</w:t>
            </w:r>
          </w:p>
        </w:tc>
        <w:tc>
          <w:tcPr>
            <w:tcW w:w="6798" w:type="dxa"/>
            <w:tcBorders>
              <w:left w:val="nil"/>
            </w:tcBorders>
            <w:shd w:val="clear" w:color="auto" w:fill="auto"/>
            <w:tcMar>
              <w:top w:w="57" w:type="dxa"/>
              <w:bottom w:w="57" w:type="dxa"/>
            </w:tcMar>
          </w:tcPr>
          <w:p w14:paraId="5DF8ECA4" w14:textId="77777777" w:rsidR="008A305D" w:rsidRPr="00D92F6B" w:rsidRDefault="008A305D" w:rsidP="00412F88">
            <w:pPr>
              <w:ind w:right="173"/>
              <w:rPr>
                <w:sz w:val="22"/>
                <w:szCs w:val="22"/>
              </w:rPr>
            </w:pPr>
            <w:r w:rsidRPr="00D92F6B">
              <w:rPr>
                <w:sz w:val="22"/>
                <w:szCs w:val="22"/>
              </w:rPr>
              <w:t>Daunorubicinas 30 mg/m</w:t>
            </w:r>
            <w:r w:rsidRPr="00D92F6B">
              <w:rPr>
                <w:sz w:val="22"/>
                <w:szCs w:val="22"/>
                <w:vertAlign w:val="superscript"/>
              </w:rPr>
              <w:t>2 </w:t>
            </w:r>
            <w:r w:rsidRPr="00D92F6B">
              <w:rPr>
                <w:sz w:val="22"/>
                <w:szCs w:val="22"/>
              </w:rPr>
              <w:t>i.v., 1-3 dienas, 15-16 dienas; VCR 2 mg bendra dozė i.v., 1, 8, 15, 22 dieną; CP 750 mg/m</w:t>
            </w:r>
            <w:r w:rsidRPr="00D92F6B">
              <w:rPr>
                <w:sz w:val="22"/>
                <w:szCs w:val="22"/>
                <w:vertAlign w:val="superscript"/>
              </w:rPr>
              <w:t>2 </w:t>
            </w:r>
            <w:r w:rsidRPr="00D92F6B">
              <w:rPr>
                <w:sz w:val="22"/>
                <w:szCs w:val="22"/>
              </w:rPr>
              <w:t>i.v., 1, 8 dieną; gerti prednizoloną 60 mg/m</w:t>
            </w:r>
            <w:r w:rsidRPr="00D92F6B">
              <w:rPr>
                <w:sz w:val="22"/>
                <w:szCs w:val="22"/>
                <w:vertAlign w:val="superscript"/>
              </w:rPr>
              <w:t>2 </w:t>
            </w:r>
            <w:r w:rsidRPr="00D92F6B">
              <w:rPr>
                <w:sz w:val="22"/>
                <w:szCs w:val="22"/>
              </w:rPr>
              <w:t>, 1-7, 15-21 dienas; gerti IDA 9 mg/m</w:t>
            </w:r>
            <w:r w:rsidRPr="00D92F6B">
              <w:rPr>
                <w:sz w:val="22"/>
                <w:szCs w:val="22"/>
                <w:vertAlign w:val="superscript"/>
              </w:rPr>
              <w:t>2 </w:t>
            </w:r>
            <w:r w:rsidRPr="00D92F6B">
              <w:rPr>
                <w:sz w:val="22"/>
                <w:szCs w:val="22"/>
              </w:rPr>
              <w:t>, 1</w:t>
            </w:r>
            <w:r w:rsidRPr="00D92F6B">
              <w:rPr>
                <w:sz w:val="22"/>
                <w:szCs w:val="22"/>
              </w:rPr>
              <w:noBreakHyphen/>
              <w:t>28 dienas; MTX 15 mg intratekaliai, 1, 8, 15, 22 dieną; Ara-C 40 mg intratekaliai, 1, 8, 15, 22 dieną; metilprednizolonas 40 mg intratekaliai 1, 8, 15, 22 dieną.</w:t>
            </w:r>
          </w:p>
        </w:tc>
      </w:tr>
      <w:tr w:rsidR="008A305D" w:rsidRPr="00D92F6B" w14:paraId="20DA2876" w14:textId="77777777" w:rsidTr="00412F88">
        <w:trPr>
          <w:trHeight w:hRule="exact" w:val="943"/>
        </w:trPr>
        <w:tc>
          <w:tcPr>
            <w:tcW w:w="2133" w:type="dxa"/>
            <w:tcBorders>
              <w:right w:val="nil"/>
            </w:tcBorders>
            <w:shd w:val="clear" w:color="auto" w:fill="auto"/>
            <w:tcMar>
              <w:top w:w="57" w:type="dxa"/>
              <w:bottom w:w="57" w:type="dxa"/>
            </w:tcMar>
          </w:tcPr>
          <w:p w14:paraId="2D50A8D7" w14:textId="77777777" w:rsidR="008A305D" w:rsidRPr="00D92F6B" w:rsidRDefault="008A305D" w:rsidP="00412F88">
            <w:pPr>
              <w:ind w:right="-68"/>
              <w:rPr>
                <w:sz w:val="22"/>
                <w:szCs w:val="22"/>
              </w:rPr>
            </w:pPr>
            <w:r w:rsidRPr="00D92F6B">
              <w:rPr>
                <w:sz w:val="22"/>
                <w:szCs w:val="22"/>
              </w:rPr>
              <w:t>Konsoliduojantis gydymas (</w:t>
            </w:r>
            <w:r w:rsidRPr="00D92F6B">
              <w:rPr>
                <w:i/>
                <w:sz w:val="22"/>
                <w:szCs w:val="22"/>
              </w:rPr>
              <w:t xml:space="preserve">de novo </w:t>
            </w:r>
            <w:r w:rsidRPr="00D92F6B">
              <w:rPr>
                <w:sz w:val="22"/>
                <w:szCs w:val="22"/>
              </w:rPr>
              <w:t>Ph+ ALL)</w:t>
            </w:r>
          </w:p>
        </w:tc>
        <w:tc>
          <w:tcPr>
            <w:tcW w:w="6798" w:type="dxa"/>
            <w:tcBorders>
              <w:left w:val="nil"/>
            </w:tcBorders>
            <w:shd w:val="clear" w:color="auto" w:fill="auto"/>
            <w:tcMar>
              <w:top w:w="57" w:type="dxa"/>
              <w:bottom w:w="57" w:type="dxa"/>
            </w:tcMar>
          </w:tcPr>
          <w:p w14:paraId="0A6A08A4" w14:textId="77777777" w:rsidR="008A305D" w:rsidRPr="00D92F6B" w:rsidRDefault="008A305D" w:rsidP="00412F88">
            <w:pPr>
              <w:ind w:right="227"/>
              <w:rPr>
                <w:sz w:val="22"/>
                <w:szCs w:val="22"/>
              </w:rPr>
            </w:pPr>
            <w:r w:rsidRPr="00D92F6B">
              <w:rPr>
                <w:sz w:val="22"/>
                <w:szCs w:val="22"/>
              </w:rPr>
              <w:t>Ara-C 1,000 mg/m</w:t>
            </w:r>
            <w:r w:rsidRPr="00D92F6B">
              <w:rPr>
                <w:sz w:val="22"/>
                <w:szCs w:val="22"/>
                <w:vertAlign w:val="superscript"/>
              </w:rPr>
              <w:t>2 </w:t>
            </w:r>
            <w:r w:rsidRPr="00D92F6B">
              <w:rPr>
                <w:sz w:val="22"/>
                <w:szCs w:val="22"/>
              </w:rPr>
              <w:t>/12 h i.v. (3 valandos), 1-4 dienas; mitoksantronas 10 mg/m</w:t>
            </w:r>
            <w:r w:rsidRPr="00D92F6B">
              <w:rPr>
                <w:sz w:val="22"/>
                <w:szCs w:val="22"/>
                <w:vertAlign w:val="superscript"/>
              </w:rPr>
              <w:t>2 </w:t>
            </w:r>
            <w:r w:rsidRPr="00D92F6B">
              <w:rPr>
                <w:sz w:val="22"/>
                <w:szCs w:val="22"/>
              </w:rPr>
              <w:t>i.v. 3-5 dienas; MTX 15 mg intratekaliai, 1 dieną; metilprednizolonas 40 mg intratekaliai, 1 dieną.</w:t>
            </w:r>
          </w:p>
        </w:tc>
      </w:tr>
      <w:tr w:rsidR="008A305D" w:rsidRPr="00D92F6B" w14:paraId="2F1E6E7D" w14:textId="77777777" w:rsidTr="00412F88">
        <w:trPr>
          <w:trHeight w:hRule="exact" w:val="329"/>
        </w:trPr>
        <w:tc>
          <w:tcPr>
            <w:tcW w:w="8931" w:type="dxa"/>
            <w:gridSpan w:val="2"/>
            <w:tcBorders>
              <w:bottom w:val="single" w:sz="4" w:space="0" w:color="auto"/>
            </w:tcBorders>
            <w:shd w:val="clear" w:color="auto" w:fill="auto"/>
            <w:tcMar>
              <w:top w:w="57" w:type="dxa"/>
              <w:bottom w:w="57" w:type="dxa"/>
            </w:tcMar>
          </w:tcPr>
          <w:p w14:paraId="6C4F0923" w14:textId="77777777" w:rsidR="008A305D" w:rsidRPr="00D92F6B" w:rsidRDefault="008A305D" w:rsidP="00412F88">
            <w:pPr>
              <w:keepNext/>
              <w:ind w:right="-23"/>
              <w:rPr>
                <w:sz w:val="22"/>
                <w:szCs w:val="22"/>
              </w:rPr>
            </w:pPr>
            <w:r w:rsidRPr="00D92F6B">
              <w:rPr>
                <w:b/>
                <w:bCs/>
                <w:sz w:val="22"/>
                <w:szCs w:val="22"/>
              </w:rPr>
              <w:t>SADE04 tyrimas</w:t>
            </w:r>
          </w:p>
        </w:tc>
      </w:tr>
      <w:tr w:rsidR="008A305D" w:rsidRPr="00D92F6B" w14:paraId="168B3718" w14:textId="77777777" w:rsidTr="00412F88">
        <w:trPr>
          <w:trHeight w:hRule="exact" w:val="567"/>
        </w:trPr>
        <w:tc>
          <w:tcPr>
            <w:tcW w:w="2133" w:type="dxa"/>
            <w:tcBorders>
              <w:right w:val="nil"/>
            </w:tcBorders>
            <w:shd w:val="clear" w:color="auto" w:fill="auto"/>
            <w:tcMar>
              <w:top w:w="57" w:type="dxa"/>
              <w:bottom w:w="57" w:type="dxa"/>
            </w:tcMar>
          </w:tcPr>
          <w:p w14:paraId="3D81851B" w14:textId="77777777" w:rsidR="008A305D" w:rsidRPr="00D92F6B" w:rsidRDefault="008A305D" w:rsidP="00412F88">
            <w:pPr>
              <w:ind w:right="-20"/>
              <w:rPr>
                <w:sz w:val="22"/>
                <w:szCs w:val="22"/>
              </w:rPr>
            </w:pPr>
            <w:r w:rsidRPr="00D92F6B">
              <w:rPr>
                <w:sz w:val="22"/>
                <w:szCs w:val="22"/>
              </w:rPr>
              <w:t>Prefazė</w:t>
            </w:r>
          </w:p>
        </w:tc>
        <w:tc>
          <w:tcPr>
            <w:tcW w:w="6798" w:type="dxa"/>
            <w:tcBorders>
              <w:left w:val="nil"/>
            </w:tcBorders>
            <w:shd w:val="clear" w:color="auto" w:fill="auto"/>
            <w:tcMar>
              <w:top w:w="57" w:type="dxa"/>
              <w:bottom w:w="57" w:type="dxa"/>
            </w:tcMar>
          </w:tcPr>
          <w:p w14:paraId="2CDC3287" w14:textId="77777777" w:rsidR="008A305D" w:rsidRPr="00D92F6B" w:rsidRDefault="008A305D" w:rsidP="00412F88">
            <w:pPr>
              <w:ind w:right="124"/>
              <w:rPr>
                <w:sz w:val="22"/>
                <w:szCs w:val="22"/>
              </w:rPr>
            </w:pPr>
            <w:r w:rsidRPr="00D92F6B">
              <w:rPr>
                <w:sz w:val="22"/>
                <w:szCs w:val="22"/>
              </w:rPr>
              <w:t>Gerti DEX 10 mg/m</w:t>
            </w:r>
            <w:r w:rsidRPr="00D92F6B">
              <w:rPr>
                <w:sz w:val="22"/>
                <w:szCs w:val="22"/>
                <w:vertAlign w:val="superscript"/>
              </w:rPr>
              <w:t>2 </w:t>
            </w:r>
            <w:r w:rsidRPr="00D92F6B">
              <w:rPr>
                <w:sz w:val="22"/>
                <w:szCs w:val="22"/>
              </w:rPr>
              <w:t>, 1-5 dienas; CP 200 mg/m</w:t>
            </w:r>
            <w:r w:rsidRPr="00D92F6B">
              <w:rPr>
                <w:sz w:val="22"/>
                <w:szCs w:val="22"/>
                <w:vertAlign w:val="superscript"/>
              </w:rPr>
              <w:t>2 </w:t>
            </w:r>
            <w:r w:rsidRPr="00D92F6B">
              <w:rPr>
                <w:sz w:val="22"/>
                <w:szCs w:val="22"/>
              </w:rPr>
              <w:t>i.v., 3-5 dienas; MTX 15 mg intratekaliai, 1 dieną.</w:t>
            </w:r>
          </w:p>
        </w:tc>
      </w:tr>
      <w:tr w:rsidR="008A305D" w:rsidRPr="00D92F6B" w14:paraId="254B7101" w14:textId="77777777" w:rsidTr="00412F88">
        <w:trPr>
          <w:trHeight w:hRule="exact" w:val="624"/>
        </w:trPr>
        <w:tc>
          <w:tcPr>
            <w:tcW w:w="2133" w:type="dxa"/>
            <w:tcBorders>
              <w:right w:val="nil"/>
            </w:tcBorders>
            <w:shd w:val="clear" w:color="auto" w:fill="auto"/>
            <w:tcMar>
              <w:top w:w="57" w:type="dxa"/>
              <w:bottom w:w="57" w:type="dxa"/>
            </w:tcMar>
          </w:tcPr>
          <w:p w14:paraId="75CD4338" w14:textId="77777777" w:rsidR="008A305D" w:rsidRPr="00D92F6B" w:rsidRDefault="008A305D" w:rsidP="00412F88">
            <w:pPr>
              <w:ind w:right="-20"/>
              <w:rPr>
                <w:sz w:val="22"/>
                <w:szCs w:val="22"/>
              </w:rPr>
            </w:pPr>
            <w:r w:rsidRPr="00D92F6B">
              <w:rPr>
                <w:sz w:val="22"/>
                <w:szCs w:val="22"/>
              </w:rPr>
              <w:t>Pradinis gydymas I</w:t>
            </w:r>
          </w:p>
        </w:tc>
        <w:tc>
          <w:tcPr>
            <w:tcW w:w="6798" w:type="dxa"/>
            <w:tcBorders>
              <w:left w:val="nil"/>
            </w:tcBorders>
            <w:shd w:val="clear" w:color="auto" w:fill="auto"/>
            <w:tcMar>
              <w:top w:w="57" w:type="dxa"/>
              <w:bottom w:w="57" w:type="dxa"/>
            </w:tcMar>
          </w:tcPr>
          <w:p w14:paraId="5E98C1B0" w14:textId="77777777" w:rsidR="008A305D" w:rsidRPr="00D92F6B" w:rsidRDefault="008A305D" w:rsidP="00412F88">
            <w:pPr>
              <w:ind w:right="-20"/>
              <w:rPr>
                <w:sz w:val="22"/>
                <w:szCs w:val="22"/>
              </w:rPr>
            </w:pPr>
            <w:r w:rsidRPr="00D92F6B">
              <w:rPr>
                <w:sz w:val="22"/>
                <w:szCs w:val="22"/>
              </w:rPr>
              <w:t>Gerti DEX 10 mg/m</w:t>
            </w:r>
            <w:r w:rsidRPr="00D92F6B">
              <w:rPr>
                <w:sz w:val="22"/>
                <w:szCs w:val="22"/>
                <w:vertAlign w:val="superscript"/>
              </w:rPr>
              <w:t>2 </w:t>
            </w:r>
            <w:r w:rsidRPr="00D92F6B">
              <w:rPr>
                <w:sz w:val="22"/>
                <w:szCs w:val="22"/>
              </w:rPr>
              <w:t>, 1-5 dienas; VCR 2 mg i.v., 6, 13, 20 dienas; daunorubicinas 45 mg/m</w:t>
            </w:r>
            <w:r w:rsidRPr="00D92F6B">
              <w:rPr>
                <w:sz w:val="22"/>
                <w:szCs w:val="22"/>
                <w:vertAlign w:val="superscript"/>
              </w:rPr>
              <w:t>2 </w:t>
            </w:r>
            <w:r w:rsidRPr="00D92F6B">
              <w:rPr>
                <w:sz w:val="22"/>
                <w:szCs w:val="22"/>
              </w:rPr>
              <w:t>i.v., 6-7, 13-14 dieną</w:t>
            </w:r>
          </w:p>
        </w:tc>
      </w:tr>
      <w:tr w:rsidR="008A305D" w:rsidRPr="00D92F6B" w14:paraId="48CC0C74" w14:textId="77777777" w:rsidTr="00412F88">
        <w:trPr>
          <w:trHeight w:hRule="exact" w:val="567"/>
        </w:trPr>
        <w:tc>
          <w:tcPr>
            <w:tcW w:w="2133" w:type="dxa"/>
            <w:tcBorders>
              <w:right w:val="nil"/>
            </w:tcBorders>
            <w:shd w:val="clear" w:color="auto" w:fill="auto"/>
            <w:tcMar>
              <w:top w:w="57" w:type="dxa"/>
              <w:bottom w:w="57" w:type="dxa"/>
            </w:tcMar>
          </w:tcPr>
          <w:p w14:paraId="5A3AF4B3" w14:textId="77777777" w:rsidR="008A305D" w:rsidRPr="00D92F6B" w:rsidRDefault="008A305D" w:rsidP="00412F88">
            <w:pPr>
              <w:ind w:right="-20"/>
              <w:rPr>
                <w:sz w:val="22"/>
                <w:szCs w:val="22"/>
              </w:rPr>
            </w:pPr>
            <w:r w:rsidRPr="00D92F6B">
              <w:rPr>
                <w:sz w:val="22"/>
                <w:szCs w:val="22"/>
              </w:rPr>
              <w:t>Pradinis gydymas II</w:t>
            </w:r>
          </w:p>
        </w:tc>
        <w:tc>
          <w:tcPr>
            <w:tcW w:w="6798" w:type="dxa"/>
            <w:tcBorders>
              <w:left w:val="nil"/>
            </w:tcBorders>
            <w:shd w:val="clear" w:color="auto" w:fill="auto"/>
            <w:tcMar>
              <w:top w:w="57" w:type="dxa"/>
              <w:bottom w:w="57" w:type="dxa"/>
            </w:tcMar>
          </w:tcPr>
          <w:p w14:paraId="22CA5FDB" w14:textId="77777777" w:rsidR="008A305D" w:rsidRPr="00D92F6B" w:rsidRDefault="008A305D" w:rsidP="00412F88">
            <w:pPr>
              <w:ind w:right="-20"/>
              <w:rPr>
                <w:sz w:val="22"/>
                <w:szCs w:val="22"/>
              </w:rPr>
            </w:pPr>
            <w:r w:rsidRPr="00D92F6B">
              <w:rPr>
                <w:sz w:val="22"/>
                <w:szCs w:val="22"/>
              </w:rPr>
              <w:t>CP 1 g/m</w:t>
            </w:r>
            <w:r w:rsidRPr="00D92F6B">
              <w:rPr>
                <w:sz w:val="22"/>
                <w:szCs w:val="22"/>
                <w:vertAlign w:val="superscript"/>
              </w:rPr>
              <w:t>2 </w:t>
            </w:r>
            <w:r w:rsidRPr="00D92F6B">
              <w:rPr>
                <w:sz w:val="22"/>
                <w:szCs w:val="22"/>
              </w:rPr>
              <w:t>i.v. (1 valanda), 26, 46 dieną; Ara-C 75 mg/m</w:t>
            </w:r>
            <w:r w:rsidRPr="00D92F6B">
              <w:rPr>
                <w:sz w:val="22"/>
                <w:szCs w:val="22"/>
                <w:vertAlign w:val="superscript"/>
              </w:rPr>
              <w:t>2 </w:t>
            </w:r>
            <w:r w:rsidRPr="00D92F6B">
              <w:rPr>
                <w:sz w:val="22"/>
                <w:szCs w:val="22"/>
              </w:rPr>
              <w:t>i.v. (1 valanda), 28-31, 35-38, 42-45 dienas; gerti 6-MP 60 mg/m</w:t>
            </w:r>
            <w:r w:rsidRPr="00D92F6B">
              <w:rPr>
                <w:sz w:val="22"/>
                <w:szCs w:val="22"/>
                <w:vertAlign w:val="superscript"/>
              </w:rPr>
              <w:t>2 </w:t>
            </w:r>
            <w:r w:rsidRPr="00D92F6B">
              <w:rPr>
                <w:sz w:val="22"/>
                <w:szCs w:val="22"/>
              </w:rPr>
              <w:t>, 26-46 dienas</w:t>
            </w:r>
          </w:p>
        </w:tc>
      </w:tr>
      <w:tr w:rsidR="008A305D" w:rsidRPr="00D92F6B" w14:paraId="7671E7BC" w14:textId="77777777" w:rsidTr="00412F88">
        <w:trPr>
          <w:trHeight w:hRule="exact" w:val="850"/>
        </w:trPr>
        <w:tc>
          <w:tcPr>
            <w:tcW w:w="2133" w:type="dxa"/>
            <w:tcBorders>
              <w:right w:val="nil"/>
            </w:tcBorders>
            <w:shd w:val="clear" w:color="auto" w:fill="auto"/>
            <w:tcMar>
              <w:top w:w="57" w:type="dxa"/>
              <w:bottom w:w="57" w:type="dxa"/>
            </w:tcMar>
          </w:tcPr>
          <w:p w14:paraId="5706AB4F" w14:textId="77777777" w:rsidR="008A305D" w:rsidRPr="00D92F6B" w:rsidRDefault="008A305D" w:rsidP="00412F88">
            <w:pPr>
              <w:rPr>
                <w:sz w:val="22"/>
                <w:szCs w:val="22"/>
              </w:rPr>
            </w:pPr>
            <w:r w:rsidRPr="00D92F6B">
              <w:rPr>
                <w:sz w:val="22"/>
                <w:szCs w:val="22"/>
              </w:rPr>
              <w:t>Konsoliduojantis gydymas</w:t>
            </w:r>
          </w:p>
        </w:tc>
        <w:tc>
          <w:tcPr>
            <w:tcW w:w="6798" w:type="dxa"/>
            <w:tcBorders>
              <w:left w:val="nil"/>
            </w:tcBorders>
            <w:shd w:val="clear" w:color="auto" w:fill="auto"/>
            <w:tcMar>
              <w:top w:w="57" w:type="dxa"/>
              <w:bottom w:w="57" w:type="dxa"/>
            </w:tcMar>
          </w:tcPr>
          <w:p w14:paraId="35E6E87E" w14:textId="77777777" w:rsidR="008A305D" w:rsidRPr="00D92F6B" w:rsidRDefault="008A305D" w:rsidP="00412F88">
            <w:pPr>
              <w:ind w:right="-20"/>
              <w:rPr>
                <w:sz w:val="22"/>
                <w:szCs w:val="22"/>
              </w:rPr>
            </w:pPr>
            <w:r w:rsidRPr="00D92F6B">
              <w:rPr>
                <w:sz w:val="22"/>
                <w:szCs w:val="22"/>
              </w:rPr>
              <w:t>Gerti DEX 10 mg/m</w:t>
            </w:r>
            <w:r w:rsidRPr="00D92F6B">
              <w:rPr>
                <w:sz w:val="22"/>
                <w:szCs w:val="22"/>
                <w:vertAlign w:val="superscript"/>
              </w:rPr>
              <w:t>2 </w:t>
            </w:r>
            <w:r w:rsidRPr="00D92F6B">
              <w:rPr>
                <w:sz w:val="22"/>
                <w:szCs w:val="22"/>
              </w:rPr>
              <w:t>, 1-5 dienas; vindezinas 3 mg/m</w:t>
            </w:r>
            <w:r w:rsidRPr="00D92F6B">
              <w:rPr>
                <w:sz w:val="22"/>
                <w:szCs w:val="22"/>
                <w:vertAlign w:val="superscript"/>
              </w:rPr>
              <w:t>2 </w:t>
            </w:r>
            <w:r w:rsidRPr="00D92F6B">
              <w:rPr>
                <w:sz w:val="22"/>
                <w:szCs w:val="22"/>
              </w:rPr>
              <w:t>i.v., 1 dieną; MTX 1.5 g/m</w:t>
            </w:r>
            <w:r w:rsidRPr="00D92F6B">
              <w:rPr>
                <w:sz w:val="22"/>
                <w:szCs w:val="22"/>
                <w:vertAlign w:val="superscript"/>
              </w:rPr>
              <w:t>2 </w:t>
            </w:r>
            <w:r w:rsidRPr="00D92F6B">
              <w:rPr>
                <w:sz w:val="22"/>
                <w:szCs w:val="22"/>
              </w:rPr>
              <w:t>i.v. (24 valandos), 1 diena; etopozidas 250 mg/m</w:t>
            </w:r>
            <w:r w:rsidRPr="00D92F6B">
              <w:rPr>
                <w:sz w:val="22"/>
                <w:szCs w:val="22"/>
                <w:vertAlign w:val="superscript"/>
              </w:rPr>
              <w:t>2 </w:t>
            </w:r>
            <w:r w:rsidRPr="00D92F6B">
              <w:rPr>
                <w:sz w:val="22"/>
                <w:szCs w:val="22"/>
              </w:rPr>
              <w:t>i.v. (1 valanda) 4-5 diena; Ara- C 2x 2 g/m</w:t>
            </w:r>
            <w:r w:rsidRPr="00D92F6B">
              <w:rPr>
                <w:sz w:val="22"/>
                <w:szCs w:val="22"/>
                <w:vertAlign w:val="superscript"/>
              </w:rPr>
              <w:t>2 </w:t>
            </w:r>
            <w:r w:rsidRPr="00D92F6B">
              <w:rPr>
                <w:sz w:val="22"/>
                <w:szCs w:val="22"/>
              </w:rPr>
              <w:t>i.v. (3 valandos, 12 valandų), 5 dieną.</w:t>
            </w:r>
          </w:p>
        </w:tc>
      </w:tr>
      <w:tr w:rsidR="008A305D" w:rsidRPr="00D92F6B" w14:paraId="06D56CD2" w14:textId="77777777" w:rsidTr="00412F88">
        <w:trPr>
          <w:trHeight w:hRule="exact" w:val="329"/>
        </w:trPr>
        <w:tc>
          <w:tcPr>
            <w:tcW w:w="8931" w:type="dxa"/>
            <w:gridSpan w:val="2"/>
            <w:shd w:val="clear" w:color="auto" w:fill="auto"/>
            <w:tcMar>
              <w:top w:w="57" w:type="dxa"/>
              <w:bottom w:w="57" w:type="dxa"/>
            </w:tcMar>
          </w:tcPr>
          <w:p w14:paraId="0AD41FD2" w14:textId="77777777" w:rsidR="008A305D" w:rsidRPr="00D92F6B" w:rsidRDefault="008A305D" w:rsidP="00412F88">
            <w:pPr>
              <w:keepNext/>
              <w:ind w:right="-23"/>
              <w:rPr>
                <w:sz w:val="22"/>
                <w:szCs w:val="22"/>
              </w:rPr>
            </w:pPr>
            <w:r w:rsidRPr="00D92F6B">
              <w:rPr>
                <w:b/>
                <w:bCs/>
                <w:sz w:val="22"/>
                <w:szCs w:val="22"/>
              </w:rPr>
              <w:t>AJP01 tyrimas</w:t>
            </w:r>
          </w:p>
        </w:tc>
      </w:tr>
      <w:tr w:rsidR="008A305D" w:rsidRPr="00D92F6B" w14:paraId="5CAD6028" w14:textId="77777777" w:rsidTr="00412F88">
        <w:trPr>
          <w:trHeight w:hRule="exact" w:val="1009"/>
        </w:trPr>
        <w:tc>
          <w:tcPr>
            <w:tcW w:w="2133" w:type="dxa"/>
            <w:tcBorders>
              <w:right w:val="nil"/>
            </w:tcBorders>
            <w:shd w:val="clear" w:color="auto" w:fill="auto"/>
            <w:tcMar>
              <w:top w:w="57" w:type="dxa"/>
              <w:bottom w:w="57" w:type="dxa"/>
            </w:tcMar>
          </w:tcPr>
          <w:p w14:paraId="44BC6A3D" w14:textId="77777777" w:rsidR="008A305D" w:rsidRPr="00D92F6B" w:rsidRDefault="008A305D" w:rsidP="00412F88">
            <w:pPr>
              <w:ind w:right="-20"/>
              <w:rPr>
                <w:sz w:val="22"/>
                <w:szCs w:val="22"/>
              </w:rPr>
            </w:pPr>
            <w:r w:rsidRPr="00D92F6B">
              <w:rPr>
                <w:sz w:val="22"/>
                <w:szCs w:val="22"/>
              </w:rPr>
              <w:t>Pradinis gydymas</w:t>
            </w:r>
          </w:p>
        </w:tc>
        <w:tc>
          <w:tcPr>
            <w:tcW w:w="6798" w:type="dxa"/>
            <w:tcBorders>
              <w:left w:val="nil"/>
            </w:tcBorders>
            <w:shd w:val="clear" w:color="auto" w:fill="auto"/>
            <w:tcMar>
              <w:top w:w="57" w:type="dxa"/>
              <w:bottom w:w="57" w:type="dxa"/>
            </w:tcMar>
          </w:tcPr>
          <w:p w14:paraId="0B44779C" w14:textId="77777777" w:rsidR="008A305D" w:rsidRPr="00D92F6B" w:rsidRDefault="008A305D" w:rsidP="00412F88">
            <w:pPr>
              <w:ind w:right="160"/>
              <w:jc w:val="both"/>
              <w:rPr>
                <w:sz w:val="22"/>
                <w:szCs w:val="22"/>
              </w:rPr>
            </w:pPr>
            <w:r w:rsidRPr="00D92F6B">
              <w:rPr>
                <w:sz w:val="22"/>
                <w:szCs w:val="22"/>
              </w:rPr>
              <w:t>CP 1.2 g/m</w:t>
            </w:r>
            <w:r w:rsidRPr="00D92F6B">
              <w:rPr>
                <w:sz w:val="22"/>
                <w:szCs w:val="22"/>
                <w:vertAlign w:val="superscript"/>
              </w:rPr>
              <w:t>2 </w:t>
            </w:r>
            <w:r w:rsidRPr="00D92F6B">
              <w:rPr>
                <w:sz w:val="22"/>
                <w:szCs w:val="22"/>
              </w:rPr>
              <w:t>i.v. (3 valandos), 1 dieną; daunorubicinas 60 mg/m</w:t>
            </w:r>
            <w:r w:rsidRPr="00D92F6B">
              <w:rPr>
                <w:sz w:val="22"/>
                <w:szCs w:val="22"/>
                <w:vertAlign w:val="superscript"/>
              </w:rPr>
              <w:t>2 </w:t>
            </w:r>
            <w:r w:rsidRPr="00D92F6B">
              <w:rPr>
                <w:sz w:val="22"/>
                <w:szCs w:val="22"/>
              </w:rPr>
              <w:t>i.v. (1 valanda), 1-3 dienos; vinkristinas 1,3 mg/m</w:t>
            </w:r>
            <w:r w:rsidRPr="00D92F6B">
              <w:rPr>
                <w:sz w:val="22"/>
                <w:szCs w:val="22"/>
                <w:vertAlign w:val="superscript"/>
              </w:rPr>
              <w:t>2 </w:t>
            </w:r>
            <w:r w:rsidRPr="00D92F6B">
              <w:rPr>
                <w:sz w:val="22"/>
                <w:szCs w:val="22"/>
              </w:rPr>
              <w:t>i.v., 1, 8, 15, 21 dieną; gerti prednizoloną 60 mg/m</w:t>
            </w:r>
            <w:r w:rsidRPr="00D92F6B">
              <w:rPr>
                <w:sz w:val="22"/>
                <w:szCs w:val="22"/>
                <w:vertAlign w:val="superscript"/>
              </w:rPr>
              <w:t>2</w:t>
            </w:r>
            <w:r w:rsidRPr="00D92F6B">
              <w:rPr>
                <w:sz w:val="22"/>
                <w:szCs w:val="22"/>
              </w:rPr>
              <w:t>/per parą.</w:t>
            </w:r>
          </w:p>
        </w:tc>
      </w:tr>
      <w:tr w:rsidR="008A305D" w:rsidRPr="00D92F6B" w14:paraId="7C62955F" w14:textId="77777777" w:rsidTr="00412F88">
        <w:trPr>
          <w:trHeight w:hRule="exact" w:val="850"/>
        </w:trPr>
        <w:tc>
          <w:tcPr>
            <w:tcW w:w="2133" w:type="dxa"/>
            <w:tcBorders>
              <w:right w:val="nil"/>
            </w:tcBorders>
            <w:shd w:val="clear" w:color="auto" w:fill="auto"/>
            <w:tcMar>
              <w:top w:w="57" w:type="dxa"/>
              <w:bottom w:w="57" w:type="dxa"/>
            </w:tcMar>
          </w:tcPr>
          <w:p w14:paraId="024EB920" w14:textId="77777777" w:rsidR="008A305D" w:rsidRPr="00D92F6B" w:rsidRDefault="008A305D" w:rsidP="00412F88">
            <w:pPr>
              <w:rPr>
                <w:sz w:val="22"/>
                <w:szCs w:val="22"/>
              </w:rPr>
            </w:pPr>
            <w:r w:rsidRPr="00D92F6B">
              <w:rPr>
                <w:sz w:val="22"/>
                <w:szCs w:val="22"/>
              </w:rPr>
              <w:t>Konsoliduojantis gydymas</w:t>
            </w:r>
          </w:p>
        </w:tc>
        <w:tc>
          <w:tcPr>
            <w:tcW w:w="6798" w:type="dxa"/>
            <w:tcBorders>
              <w:left w:val="nil"/>
            </w:tcBorders>
            <w:shd w:val="clear" w:color="auto" w:fill="auto"/>
            <w:tcMar>
              <w:top w:w="57" w:type="dxa"/>
              <w:bottom w:w="57" w:type="dxa"/>
            </w:tcMar>
          </w:tcPr>
          <w:p w14:paraId="2120A4E4" w14:textId="77777777" w:rsidR="008A305D" w:rsidRPr="00D92F6B" w:rsidRDefault="008A305D" w:rsidP="00412F88">
            <w:pPr>
              <w:ind w:right="-20"/>
              <w:rPr>
                <w:sz w:val="22"/>
                <w:szCs w:val="22"/>
              </w:rPr>
            </w:pPr>
            <w:r w:rsidRPr="00D92F6B">
              <w:rPr>
                <w:sz w:val="22"/>
                <w:szCs w:val="22"/>
              </w:rPr>
              <w:t>Pakaitinis chemoterapijos kursas: aukštos dozės chemoterapija su MTX 1 g/m</w:t>
            </w:r>
            <w:r w:rsidRPr="00D92F6B">
              <w:rPr>
                <w:sz w:val="22"/>
                <w:szCs w:val="22"/>
                <w:vertAlign w:val="superscript"/>
              </w:rPr>
              <w:t>2 </w:t>
            </w:r>
            <w:r w:rsidRPr="00D92F6B">
              <w:rPr>
                <w:sz w:val="22"/>
                <w:szCs w:val="22"/>
              </w:rPr>
              <w:t>i.v. (24  valandos), 1 dieną, ir Ara-C 2 g/m</w:t>
            </w:r>
            <w:r w:rsidRPr="00D92F6B">
              <w:rPr>
                <w:sz w:val="22"/>
                <w:szCs w:val="22"/>
                <w:vertAlign w:val="superscript"/>
              </w:rPr>
              <w:t>2 </w:t>
            </w:r>
            <w:r w:rsidRPr="00D92F6B">
              <w:rPr>
                <w:sz w:val="22"/>
                <w:szCs w:val="22"/>
              </w:rPr>
              <w:t>i.v. (12 valandų), 2</w:t>
            </w:r>
            <w:r w:rsidRPr="00D92F6B">
              <w:rPr>
                <w:sz w:val="22"/>
                <w:szCs w:val="22"/>
              </w:rPr>
              <w:noBreakHyphen/>
              <w:t>3 dieną, 4 kursus</w:t>
            </w:r>
          </w:p>
        </w:tc>
      </w:tr>
      <w:tr w:rsidR="008A305D" w:rsidRPr="00D92F6B" w14:paraId="51A6E266" w14:textId="77777777" w:rsidTr="00412F88">
        <w:trPr>
          <w:trHeight w:hRule="exact" w:val="634"/>
        </w:trPr>
        <w:tc>
          <w:tcPr>
            <w:tcW w:w="2133" w:type="dxa"/>
            <w:tcBorders>
              <w:right w:val="nil"/>
            </w:tcBorders>
            <w:shd w:val="clear" w:color="auto" w:fill="auto"/>
            <w:tcMar>
              <w:top w:w="57" w:type="dxa"/>
              <w:bottom w:w="57" w:type="dxa"/>
            </w:tcMar>
          </w:tcPr>
          <w:p w14:paraId="6D09467C" w14:textId="77777777" w:rsidR="008A305D" w:rsidRPr="00D92F6B" w:rsidRDefault="008A305D" w:rsidP="00412F88">
            <w:pPr>
              <w:ind w:right="-20"/>
              <w:rPr>
                <w:sz w:val="22"/>
                <w:szCs w:val="22"/>
              </w:rPr>
            </w:pPr>
            <w:r w:rsidRPr="00D92F6B">
              <w:rPr>
                <w:sz w:val="22"/>
                <w:szCs w:val="22"/>
              </w:rPr>
              <w:t>Palaikomasis gydymas</w:t>
            </w:r>
          </w:p>
        </w:tc>
        <w:tc>
          <w:tcPr>
            <w:tcW w:w="6798" w:type="dxa"/>
            <w:tcBorders>
              <w:left w:val="nil"/>
            </w:tcBorders>
            <w:shd w:val="clear" w:color="auto" w:fill="auto"/>
            <w:tcMar>
              <w:top w:w="57" w:type="dxa"/>
              <w:bottom w:w="57" w:type="dxa"/>
            </w:tcMar>
          </w:tcPr>
          <w:p w14:paraId="17E1EF52" w14:textId="77777777" w:rsidR="008A305D" w:rsidRPr="00D92F6B" w:rsidRDefault="008A305D" w:rsidP="00412F88">
            <w:pPr>
              <w:ind w:right="-20"/>
              <w:rPr>
                <w:sz w:val="22"/>
                <w:szCs w:val="22"/>
              </w:rPr>
            </w:pPr>
            <w:r w:rsidRPr="00D92F6B">
              <w:rPr>
                <w:sz w:val="22"/>
                <w:szCs w:val="22"/>
              </w:rPr>
              <w:t>VCR 1,3 g/m</w:t>
            </w:r>
            <w:r w:rsidRPr="00D92F6B">
              <w:rPr>
                <w:sz w:val="22"/>
                <w:szCs w:val="22"/>
                <w:vertAlign w:val="superscript"/>
              </w:rPr>
              <w:t>2 </w:t>
            </w:r>
            <w:r w:rsidRPr="00D92F6B">
              <w:rPr>
                <w:sz w:val="22"/>
                <w:szCs w:val="22"/>
              </w:rPr>
              <w:t>i.v., 1 dieną; gerti prednizoloną 60 mg/m</w:t>
            </w:r>
            <w:r w:rsidRPr="00D92F6B">
              <w:rPr>
                <w:sz w:val="22"/>
                <w:szCs w:val="22"/>
                <w:vertAlign w:val="superscript"/>
              </w:rPr>
              <w:t>2 </w:t>
            </w:r>
            <w:r w:rsidRPr="00D92F6B">
              <w:rPr>
                <w:sz w:val="22"/>
                <w:szCs w:val="22"/>
              </w:rPr>
              <w:t>, 1</w:t>
            </w:r>
            <w:r w:rsidRPr="00D92F6B">
              <w:rPr>
                <w:sz w:val="22"/>
                <w:szCs w:val="22"/>
              </w:rPr>
              <w:noBreakHyphen/>
              <w:t>5 dienas.</w:t>
            </w:r>
          </w:p>
        </w:tc>
      </w:tr>
      <w:tr w:rsidR="008A305D" w:rsidRPr="00D92F6B" w14:paraId="0EDC5FCF" w14:textId="77777777" w:rsidTr="00412F88">
        <w:trPr>
          <w:trHeight w:hRule="exact" w:val="340"/>
        </w:trPr>
        <w:tc>
          <w:tcPr>
            <w:tcW w:w="8931" w:type="dxa"/>
            <w:gridSpan w:val="2"/>
            <w:shd w:val="clear" w:color="auto" w:fill="auto"/>
            <w:tcMar>
              <w:top w:w="57" w:type="dxa"/>
              <w:bottom w:w="57" w:type="dxa"/>
            </w:tcMar>
          </w:tcPr>
          <w:p w14:paraId="0A483315" w14:textId="77777777" w:rsidR="008A305D" w:rsidRPr="00D92F6B" w:rsidRDefault="008A305D" w:rsidP="00412F88">
            <w:pPr>
              <w:keepNext/>
              <w:ind w:right="-23"/>
              <w:rPr>
                <w:sz w:val="22"/>
                <w:szCs w:val="22"/>
              </w:rPr>
            </w:pPr>
            <w:r w:rsidRPr="00D92F6B">
              <w:rPr>
                <w:b/>
                <w:bCs/>
                <w:sz w:val="22"/>
                <w:szCs w:val="22"/>
              </w:rPr>
              <w:t>AUS01 tyrimas</w:t>
            </w:r>
          </w:p>
        </w:tc>
      </w:tr>
      <w:tr w:rsidR="008A305D" w:rsidRPr="00D92F6B" w14:paraId="389FF351" w14:textId="77777777" w:rsidTr="00412F88">
        <w:trPr>
          <w:trHeight w:hRule="exact" w:val="1529"/>
        </w:trPr>
        <w:tc>
          <w:tcPr>
            <w:tcW w:w="2133" w:type="dxa"/>
            <w:tcBorders>
              <w:right w:val="nil"/>
            </w:tcBorders>
            <w:shd w:val="clear" w:color="auto" w:fill="auto"/>
            <w:tcMar>
              <w:top w:w="57" w:type="dxa"/>
              <w:bottom w:w="57" w:type="dxa"/>
            </w:tcMar>
          </w:tcPr>
          <w:p w14:paraId="37543E00" w14:textId="77777777" w:rsidR="008A305D" w:rsidRPr="00D92F6B" w:rsidRDefault="008A305D" w:rsidP="00412F88">
            <w:pPr>
              <w:ind w:right="-20"/>
              <w:rPr>
                <w:sz w:val="22"/>
                <w:szCs w:val="22"/>
              </w:rPr>
            </w:pPr>
            <w:r w:rsidRPr="00D92F6B">
              <w:rPr>
                <w:sz w:val="22"/>
                <w:szCs w:val="22"/>
              </w:rPr>
              <w:t>Pradinis-konsoliduojantis gydymas</w:t>
            </w:r>
          </w:p>
        </w:tc>
        <w:tc>
          <w:tcPr>
            <w:tcW w:w="6798" w:type="dxa"/>
            <w:tcBorders>
              <w:left w:val="nil"/>
            </w:tcBorders>
            <w:shd w:val="clear" w:color="auto" w:fill="auto"/>
            <w:tcMar>
              <w:top w:w="57" w:type="dxa"/>
              <w:bottom w:w="57" w:type="dxa"/>
            </w:tcMar>
          </w:tcPr>
          <w:p w14:paraId="35DB4983" w14:textId="77777777" w:rsidR="008A305D" w:rsidRPr="00D92F6B" w:rsidRDefault="008A305D" w:rsidP="00412F88">
            <w:pPr>
              <w:ind w:left="49" w:hanging="49"/>
              <w:rPr>
                <w:sz w:val="22"/>
                <w:szCs w:val="22"/>
              </w:rPr>
            </w:pPr>
            <w:r w:rsidRPr="00D92F6B">
              <w:rPr>
                <w:sz w:val="22"/>
                <w:szCs w:val="22"/>
              </w:rPr>
              <w:t>Hiper-CVAD gydymas: CP 300 mg/m</w:t>
            </w:r>
            <w:r w:rsidRPr="00D92F6B">
              <w:rPr>
                <w:sz w:val="22"/>
                <w:szCs w:val="22"/>
                <w:vertAlign w:val="superscript"/>
              </w:rPr>
              <w:t>2 </w:t>
            </w:r>
            <w:r w:rsidRPr="00D92F6B">
              <w:rPr>
                <w:sz w:val="22"/>
                <w:szCs w:val="22"/>
              </w:rPr>
              <w:t>i.v. (3 valandos 12 valandų), 1</w:t>
            </w:r>
            <w:r w:rsidRPr="00D92F6B">
              <w:rPr>
                <w:sz w:val="22"/>
                <w:szCs w:val="22"/>
              </w:rPr>
              <w:noBreakHyphen/>
              <w:t>3 dienas; vinkristinas 2 mg i.v., 4, 11 dieną; doksorubicinas 50 mg/m</w:t>
            </w:r>
            <w:r w:rsidRPr="00D92F6B">
              <w:rPr>
                <w:sz w:val="22"/>
                <w:szCs w:val="22"/>
                <w:vertAlign w:val="superscript"/>
              </w:rPr>
              <w:t>2 </w:t>
            </w:r>
            <w:r w:rsidRPr="00D92F6B">
              <w:rPr>
                <w:sz w:val="22"/>
                <w:szCs w:val="22"/>
              </w:rPr>
              <w:t>i.v. (24 valandos), 4 dieną; DEX 40 mg/per parą 1-4 dienas ir 11-14 dienas, keičiamas MTX 1 g/m</w:t>
            </w:r>
            <w:r w:rsidRPr="00D92F6B">
              <w:rPr>
                <w:sz w:val="22"/>
                <w:szCs w:val="22"/>
                <w:vertAlign w:val="superscript"/>
              </w:rPr>
              <w:t>2</w:t>
            </w:r>
            <w:r w:rsidRPr="00D92F6B">
              <w:rPr>
                <w:sz w:val="22"/>
                <w:szCs w:val="22"/>
              </w:rPr>
              <w:t xml:space="preserve"> i.v. (24 valandos), 1 diena, Ara-C 1 g/m</w:t>
            </w:r>
            <w:r w:rsidRPr="00D92F6B">
              <w:rPr>
                <w:sz w:val="22"/>
                <w:szCs w:val="22"/>
                <w:vertAlign w:val="superscript"/>
              </w:rPr>
              <w:t>2</w:t>
            </w:r>
            <w:r w:rsidRPr="00D92F6B">
              <w:rPr>
                <w:sz w:val="22"/>
                <w:szCs w:val="22"/>
              </w:rPr>
              <w:t xml:space="preserve"> i.v. (2 valandos, 12 valandų), 2-3 dieną (iš viso 8 kursai).</w:t>
            </w:r>
          </w:p>
        </w:tc>
      </w:tr>
      <w:tr w:rsidR="008A305D" w:rsidRPr="00D92F6B" w14:paraId="33225A44" w14:textId="77777777" w:rsidTr="00412F88">
        <w:trPr>
          <w:trHeight w:hRule="exact" w:val="624"/>
        </w:trPr>
        <w:tc>
          <w:tcPr>
            <w:tcW w:w="2133" w:type="dxa"/>
            <w:tcBorders>
              <w:right w:val="nil"/>
            </w:tcBorders>
            <w:shd w:val="clear" w:color="auto" w:fill="auto"/>
            <w:tcMar>
              <w:top w:w="57" w:type="dxa"/>
              <w:bottom w:w="57" w:type="dxa"/>
            </w:tcMar>
          </w:tcPr>
          <w:p w14:paraId="6B464443" w14:textId="77777777" w:rsidR="008A305D" w:rsidRPr="00D92F6B" w:rsidRDefault="008A305D" w:rsidP="00412F88">
            <w:pPr>
              <w:ind w:right="-20"/>
              <w:rPr>
                <w:sz w:val="22"/>
                <w:szCs w:val="22"/>
              </w:rPr>
            </w:pPr>
            <w:r w:rsidRPr="00D92F6B">
              <w:rPr>
                <w:sz w:val="22"/>
                <w:szCs w:val="22"/>
              </w:rPr>
              <w:t>Palaikomasis gydymas</w:t>
            </w:r>
          </w:p>
        </w:tc>
        <w:tc>
          <w:tcPr>
            <w:tcW w:w="6798" w:type="dxa"/>
            <w:tcBorders>
              <w:left w:val="nil"/>
            </w:tcBorders>
            <w:shd w:val="clear" w:color="auto" w:fill="auto"/>
            <w:tcMar>
              <w:top w:w="57" w:type="dxa"/>
              <w:bottom w:w="57" w:type="dxa"/>
            </w:tcMar>
          </w:tcPr>
          <w:p w14:paraId="01B5B661" w14:textId="77777777" w:rsidR="008A305D" w:rsidRPr="00D92F6B" w:rsidRDefault="008A305D" w:rsidP="00412F88">
            <w:pPr>
              <w:ind w:right="-20"/>
              <w:rPr>
                <w:sz w:val="22"/>
                <w:szCs w:val="22"/>
              </w:rPr>
            </w:pPr>
            <w:r w:rsidRPr="00D92F6B">
              <w:rPr>
                <w:sz w:val="22"/>
                <w:szCs w:val="22"/>
              </w:rPr>
              <w:t>VCR 2 mg i.v. kas mėnesį 13 mėnesių; gerti prednizoloną po 200 mg, 5 dienas per mėnesį 13 mėnesių.</w:t>
            </w:r>
          </w:p>
        </w:tc>
      </w:tr>
      <w:tr w:rsidR="008A305D" w:rsidRPr="00D92F6B" w14:paraId="75359040" w14:textId="77777777" w:rsidTr="00412F88">
        <w:trPr>
          <w:trHeight w:hRule="exact" w:val="340"/>
        </w:trPr>
        <w:tc>
          <w:tcPr>
            <w:tcW w:w="8931" w:type="dxa"/>
            <w:gridSpan w:val="2"/>
            <w:shd w:val="clear" w:color="auto" w:fill="auto"/>
            <w:tcMar>
              <w:top w:w="57" w:type="dxa"/>
              <w:bottom w:w="57" w:type="dxa"/>
            </w:tcMar>
          </w:tcPr>
          <w:p w14:paraId="47EDB0EE" w14:textId="77777777" w:rsidR="008A305D" w:rsidRPr="00D92F6B" w:rsidRDefault="008A305D" w:rsidP="00412F88">
            <w:pPr>
              <w:pStyle w:val="Default"/>
              <w:rPr>
                <w:rFonts w:ascii="Times New Roman" w:hAnsi="Times New Roman" w:cs="Times New Roman"/>
                <w:sz w:val="22"/>
                <w:szCs w:val="22"/>
                <w:lang w:val="lt-LT"/>
              </w:rPr>
            </w:pPr>
            <w:r w:rsidRPr="00D92F6B">
              <w:rPr>
                <w:rFonts w:ascii="Times New Roman" w:hAnsi="Times New Roman" w:cs="Times New Roman"/>
                <w:sz w:val="22"/>
                <w:szCs w:val="22"/>
                <w:lang w:val="lt-LT"/>
              </w:rPr>
              <w:t xml:space="preserve">Visi gydymo režimai taikomi vartojant steroidų CNS ligų profilaktikai. </w:t>
            </w:r>
          </w:p>
          <w:p w14:paraId="04A97D38" w14:textId="77777777" w:rsidR="008A305D" w:rsidRPr="00D92F6B" w:rsidRDefault="008A305D" w:rsidP="00412F88">
            <w:pPr>
              <w:ind w:right="-20"/>
              <w:rPr>
                <w:sz w:val="22"/>
                <w:szCs w:val="22"/>
              </w:rPr>
            </w:pPr>
          </w:p>
        </w:tc>
      </w:tr>
      <w:tr w:rsidR="008A305D" w:rsidRPr="00D92F6B" w14:paraId="195B5979" w14:textId="77777777" w:rsidTr="00412F88">
        <w:trPr>
          <w:trHeight w:hRule="exact" w:val="885"/>
        </w:trPr>
        <w:tc>
          <w:tcPr>
            <w:tcW w:w="8931" w:type="dxa"/>
            <w:gridSpan w:val="2"/>
            <w:shd w:val="clear" w:color="auto" w:fill="auto"/>
            <w:tcMar>
              <w:top w:w="57" w:type="dxa"/>
              <w:bottom w:w="57" w:type="dxa"/>
            </w:tcMar>
          </w:tcPr>
          <w:p w14:paraId="22EBEF52" w14:textId="77777777" w:rsidR="008A305D" w:rsidRPr="00D92F6B" w:rsidRDefault="008A305D" w:rsidP="00412F88">
            <w:pPr>
              <w:pStyle w:val="Default"/>
              <w:rPr>
                <w:rFonts w:ascii="Times New Roman" w:hAnsi="Times New Roman" w:cs="Times New Roman"/>
                <w:sz w:val="22"/>
                <w:szCs w:val="22"/>
                <w:lang w:val="lt-LT"/>
              </w:rPr>
            </w:pPr>
            <w:r w:rsidRPr="00D92F6B">
              <w:rPr>
                <w:rFonts w:ascii="Times New Roman" w:hAnsi="Times New Roman" w:cs="Times New Roman"/>
                <w:sz w:val="22"/>
                <w:szCs w:val="22"/>
                <w:lang w:val="lt-LT"/>
              </w:rPr>
              <w:t xml:space="preserve">Ara-C: citozino arabinozidas; CP: ciklofosfamidas; DEX: deksametazonas; MTX: metotreksatas; 6-MP: 6-merkaptopurinas; VM26: tenipozidas; VCR: vinkristinas; IDA: idarubicinas; i.v.: vartoti į veną. </w:t>
            </w:r>
          </w:p>
          <w:p w14:paraId="5048F13C" w14:textId="77777777" w:rsidR="008A305D" w:rsidRPr="00D92F6B" w:rsidRDefault="008A305D" w:rsidP="00412F88">
            <w:pPr>
              <w:ind w:left="49" w:right="-20" w:hanging="49"/>
              <w:rPr>
                <w:sz w:val="22"/>
                <w:szCs w:val="22"/>
              </w:rPr>
            </w:pPr>
          </w:p>
        </w:tc>
      </w:tr>
    </w:tbl>
    <w:p w14:paraId="60844628" w14:textId="77777777" w:rsidR="008A305D" w:rsidRPr="00D92F6B" w:rsidRDefault="008A305D" w:rsidP="008A305D">
      <w:pPr>
        <w:autoSpaceDE w:val="0"/>
        <w:autoSpaceDN w:val="0"/>
        <w:adjustRightInd w:val="0"/>
        <w:rPr>
          <w:rFonts w:eastAsia="Calibri"/>
          <w:color w:val="000000"/>
          <w:sz w:val="22"/>
          <w:szCs w:val="22"/>
        </w:rPr>
      </w:pPr>
    </w:p>
    <w:p w14:paraId="4D844625" w14:textId="77777777" w:rsidR="008A305D" w:rsidRPr="00D92F6B" w:rsidRDefault="008A305D" w:rsidP="008A305D">
      <w:pPr>
        <w:autoSpaceDE w:val="0"/>
        <w:autoSpaceDN w:val="0"/>
        <w:adjustRightInd w:val="0"/>
        <w:rPr>
          <w:rFonts w:eastAsia="Calibri"/>
          <w:color w:val="000000"/>
          <w:sz w:val="22"/>
          <w:szCs w:val="22"/>
        </w:rPr>
      </w:pPr>
      <w:r w:rsidRPr="00D92F6B">
        <w:rPr>
          <w:i/>
          <w:iCs/>
          <w:sz w:val="22"/>
          <w:szCs w:val="22"/>
        </w:rPr>
        <w:t xml:space="preserve">Recidyvavusi ar refrakterinė Ph+ ŪLL: </w:t>
      </w:r>
      <w:r w:rsidRPr="00D92F6B">
        <w:rPr>
          <w:sz w:val="22"/>
          <w:szCs w:val="22"/>
        </w:rPr>
        <w:t xml:space="preserve">53 pacientams iš 411, kuriuos buvo galima vertinti dėl atsako, sergantiems recidyvuojančia ar refrakterine Ph+ ŪLL, vartojusiems vien tik imatinibą, hematologinio atsako dažnis buvo 30 % (pilno – 9 %), o didžiojo citogenetinio atsako dažnis buvo 23 %. (Reikia pažymėti, kad 353 pacientai iš 411, dalyvavo išplėstinėje gydymo programoje ir nebuvo renkami pirminiai jų atsako duomenys). Laiko iki progresavimo mediana bendrojoje 411  pacientų, kuriems buvo recidyvavusi ar refrakterinė Ph+ ŪLL, populiacijoje buvo nuo 2,6 iki 3,1 mėnesių, o 401 paciento, kuriuos buvo galima įvertinti, gyvenimo trukmės mediana </w:t>
      </w:r>
      <w:r w:rsidRPr="00D92F6B">
        <w:rPr>
          <w:sz w:val="22"/>
          <w:szCs w:val="22"/>
        </w:rPr>
        <w:lastRenderedPageBreak/>
        <w:t>buvo nuo 4,9 iki 9 mėnesių. Duomenys buvo panašūs, kai analizė buvo pakartota įtraukiant tik 55 metų amžiaus ar vyresnius pacientus.</w:t>
      </w:r>
    </w:p>
    <w:p w14:paraId="6683DC92" w14:textId="77777777" w:rsidR="008A305D" w:rsidRPr="00D92F6B" w:rsidRDefault="008A305D" w:rsidP="008A305D">
      <w:pPr>
        <w:autoSpaceDE w:val="0"/>
        <w:autoSpaceDN w:val="0"/>
        <w:adjustRightInd w:val="0"/>
        <w:rPr>
          <w:rFonts w:eastAsia="Calibri"/>
          <w:color w:val="000000"/>
          <w:sz w:val="22"/>
          <w:szCs w:val="22"/>
        </w:rPr>
      </w:pPr>
    </w:p>
    <w:p w14:paraId="6BB1B2CA" w14:textId="77777777" w:rsidR="008A305D" w:rsidRPr="00D92F6B" w:rsidRDefault="008A305D" w:rsidP="008A305D">
      <w:pPr>
        <w:autoSpaceDE w:val="0"/>
        <w:autoSpaceDN w:val="0"/>
        <w:adjustRightInd w:val="0"/>
        <w:rPr>
          <w:rFonts w:eastAsia="Calibri"/>
          <w:color w:val="000000"/>
          <w:sz w:val="22"/>
          <w:szCs w:val="22"/>
          <w:u w:val="single"/>
        </w:rPr>
      </w:pPr>
      <w:r w:rsidRPr="00D92F6B">
        <w:rPr>
          <w:rFonts w:eastAsia="Calibri"/>
          <w:color w:val="000000"/>
          <w:sz w:val="22"/>
          <w:szCs w:val="22"/>
          <w:u w:val="single"/>
        </w:rPr>
        <w:t xml:space="preserve">Klinikiniai MDS ir MPL tyrimai </w:t>
      </w:r>
    </w:p>
    <w:p w14:paraId="1B24E2DA" w14:textId="77777777" w:rsidR="008A305D" w:rsidRPr="00D92F6B" w:rsidRDefault="008A305D" w:rsidP="008A305D">
      <w:pPr>
        <w:autoSpaceDE w:val="0"/>
        <w:autoSpaceDN w:val="0"/>
        <w:adjustRightInd w:val="0"/>
        <w:rPr>
          <w:rFonts w:eastAsia="Calibri"/>
          <w:sz w:val="22"/>
          <w:szCs w:val="22"/>
        </w:rPr>
      </w:pPr>
      <w:r w:rsidRPr="00D92F6B">
        <w:rPr>
          <w:rFonts w:eastAsia="Calibri"/>
          <w:color w:val="000000"/>
          <w:sz w:val="22"/>
          <w:szCs w:val="22"/>
        </w:rPr>
        <w:t>Šių ligų gydymo imatinibu patirtis yra labai ribota ir remiasi hematologinio ir citogenetinio atsako dažniais. Kontroliuotų klinikinių tyrimų, rodančių klinikinį pranašumą arba padidėjusį išgyvenamumą, neatlikta. Viename atvirame, daugiacentriame, II fazės klinikiniame tyrime (tyrimas B2225) buvo tiriamas imatinibo veiksmingumas įvairioms pacientų, sergančių gyvybei pavojingomis ligomis, susijusiomis su Abl, Kit ar PDGFR baltymų tirozinkinazėmis, grupėms. Tyrime dalyvavo 7 pacientai, sergantys MDS/MPL, kurie buvo gydomi imatinibo 400 mg per parą doze. Trys pacientai pasiekė visišką hematologinį atsaką (VHA) ir vienas – dalinį hematologinį atsaką (DHA). Pradinio tyrimo metu trims iš keturių pacientų su nustatytais PDGFR genų pakitimais pasireiškė hematologinis atsakas (2 VHA ir 1 DHA). Šių pacientų amžius svyravo nuo 20 iki 72 metų. Be to, kiti 24 pacientai, sergantys MDS/MPL, buvo aprašyti 13 straipsnių. 21 pacientas buvo gydomas imatinibo 400 mg doze, kiti 3 pacientai gavo mažesnes dozes. Vienuolikai pacientų buvo nustatyti PDGF genų pakitimai, 9 iš jų pasiekė VHA ir 1 DHA. Šių pacientų amžius svyravo nuo 2 iki 79 metų. Remiantis atnaujinta informacija apie 6 iš 11 pacientų nesename straipsnyje, paaiškėjo, jog jiems visiems citogenetinė remisija išliko (trukmė 32</w:t>
      </w:r>
      <w:r w:rsidRPr="00D92F6B">
        <w:rPr>
          <w:rFonts w:eastAsia="Calibri"/>
          <w:color w:val="000000"/>
          <w:sz w:val="22"/>
          <w:szCs w:val="22"/>
        </w:rPr>
        <w:noBreakHyphen/>
        <w:t xml:space="preserve">38 mėnesiai). Tame pačiame straipsnyje aprašomi 12 pacientų, sergančių MDS/MPL su PDGFR genų pakitimais (5 pacientai iš B2225 tyrimo) ilgalaikio stebėjimo duomenys. Šie pacientai gavo imatinibo vidutiniškai 47 mėnesius (ribos 24 dienos – 60 mėnesių). 6 iš šių pacientų </w:t>
      </w:r>
      <w:r w:rsidRPr="00D92F6B">
        <w:rPr>
          <w:rFonts w:eastAsia="Calibri"/>
          <w:sz w:val="22"/>
          <w:szCs w:val="22"/>
        </w:rPr>
        <w:t xml:space="preserve">dabar stebimi ilgiau kaip 4 metus. Vienuolika pacientų pasiekė greitą VHA; dešimčiai visiškai išnyko citogenetiniai pokyčiai ir patikrinus RT-PGR, sumažėjo arba išnyko susijungusių transkriptų. Hematologinis ir citogenetinis atsakai buvo atitinkamai pastovūs vidutiniškai 49 mėnesius (ribos 19-60) ir 47 mėnesius (ribos 16-59). Patvirtinus diagnozę, bendras išgyvenamumas yra 65 mėnesiai (ribos 25-234). Imatinibo paskyrimas pacientams be genetinių translokacijų bendrai pagerėjimo nesukėlė. </w:t>
      </w:r>
    </w:p>
    <w:p w14:paraId="711F7539" w14:textId="77777777" w:rsidR="008A305D" w:rsidRPr="00D92F6B" w:rsidRDefault="008A305D" w:rsidP="008A305D">
      <w:pPr>
        <w:autoSpaceDE w:val="0"/>
        <w:autoSpaceDN w:val="0"/>
        <w:adjustRightInd w:val="0"/>
        <w:rPr>
          <w:rFonts w:eastAsia="Calibri"/>
          <w:sz w:val="22"/>
          <w:szCs w:val="22"/>
        </w:rPr>
      </w:pPr>
    </w:p>
    <w:p w14:paraId="5EE0F61B" w14:textId="77777777" w:rsidR="008A305D" w:rsidRPr="00D92F6B" w:rsidRDefault="008A305D" w:rsidP="008A305D">
      <w:pPr>
        <w:autoSpaceDE w:val="0"/>
        <w:autoSpaceDN w:val="0"/>
        <w:adjustRightInd w:val="0"/>
        <w:rPr>
          <w:rFonts w:eastAsia="Calibri"/>
          <w:sz w:val="22"/>
          <w:szCs w:val="22"/>
        </w:rPr>
      </w:pPr>
      <w:r w:rsidRPr="00D92F6B">
        <w:rPr>
          <w:rFonts w:eastAsia="Calibri"/>
          <w:sz w:val="22"/>
          <w:szCs w:val="22"/>
        </w:rPr>
        <w:t>Kontroliuojamųjų klinikinių tyrimų su MDS ir MPL sergančiais vaikais neatlikta. 4 literatūros šaltiniuose aprašyti 5 pacientai, sirgę su PDGFR genų pakitimais susijusiomis MDS/MPL. Šių pacientų amžius svyravo nuo 3 mėnesių iki 4 metų, jiems buvo skiriama 50 mg per parą imatinibo dozė arba nuo 92,5 mg/m</w:t>
      </w:r>
      <w:r w:rsidRPr="00D92F6B">
        <w:rPr>
          <w:rFonts w:eastAsia="Calibri"/>
          <w:sz w:val="22"/>
          <w:szCs w:val="22"/>
          <w:vertAlign w:val="superscript"/>
        </w:rPr>
        <w:t>2</w:t>
      </w:r>
      <w:r w:rsidRPr="0045031A">
        <w:rPr>
          <w:rFonts w:eastAsia="Calibri"/>
          <w:sz w:val="22"/>
          <w:szCs w:val="22"/>
        </w:rPr>
        <w:t xml:space="preserve"> </w:t>
      </w:r>
      <w:r w:rsidRPr="00D92F6B">
        <w:rPr>
          <w:rFonts w:eastAsia="Calibri"/>
          <w:sz w:val="22"/>
          <w:szCs w:val="22"/>
        </w:rPr>
        <w:t>iki 340 mg/m</w:t>
      </w:r>
      <w:r w:rsidRPr="00D92F6B">
        <w:rPr>
          <w:rFonts w:eastAsia="Calibri"/>
          <w:sz w:val="22"/>
          <w:szCs w:val="22"/>
          <w:vertAlign w:val="superscript"/>
        </w:rPr>
        <w:t>2</w:t>
      </w:r>
      <w:r w:rsidRPr="0045031A">
        <w:rPr>
          <w:rFonts w:eastAsia="Calibri"/>
          <w:sz w:val="22"/>
          <w:szCs w:val="22"/>
        </w:rPr>
        <w:t xml:space="preserve"> </w:t>
      </w:r>
      <w:r w:rsidRPr="00D92F6B">
        <w:rPr>
          <w:rFonts w:eastAsia="Calibri"/>
          <w:sz w:val="22"/>
          <w:szCs w:val="22"/>
        </w:rPr>
        <w:t>kūno paviršiaus ploto per parą dozė. Visiems pacientams pasiektas visiškas hematologinis atsakas, citogenetinis atsakas ir (arba) klinikinis atsakas.</w:t>
      </w:r>
    </w:p>
    <w:p w14:paraId="774E40F2" w14:textId="77777777" w:rsidR="008A305D" w:rsidRPr="00D92F6B" w:rsidRDefault="008A305D" w:rsidP="008A305D">
      <w:pPr>
        <w:autoSpaceDE w:val="0"/>
        <w:autoSpaceDN w:val="0"/>
        <w:adjustRightInd w:val="0"/>
        <w:rPr>
          <w:rFonts w:eastAsia="Calibri"/>
          <w:color w:val="000000"/>
          <w:sz w:val="22"/>
          <w:szCs w:val="22"/>
        </w:rPr>
      </w:pPr>
    </w:p>
    <w:p w14:paraId="101E8DA3" w14:textId="77777777" w:rsidR="008A305D" w:rsidRPr="00D92F6B" w:rsidRDefault="008A305D" w:rsidP="008A305D">
      <w:pPr>
        <w:autoSpaceDE w:val="0"/>
        <w:autoSpaceDN w:val="0"/>
        <w:adjustRightInd w:val="0"/>
        <w:rPr>
          <w:rFonts w:eastAsia="Calibri"/>
          <w:color w:val="000000"/>
          <w:sz w:val="22"/>
          <w:szCs w:val="22"/>
          <w:u w:val="single"/>
        </w:rPr>
      </w:pPr>
      <w:r w:rsidRPr="00D92F6B">
        <w:rPr>
          <w:rFonts w:eastAsia="Calibri"/>
          <w:color w:val="000000"/>
          <w:sz w:val="22"/>
          <w:szCs w:val="22"/>
          <w:u w:val="single"/>
        </w:rPr>
        <w:t xml:space="preserve">Klinikiniai HES/LEL tyrimai </w:t>
      </w:r>
    </w:p>
    <w:p w14:paraId="7F2C5424"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Viename atvirame, daugiacentriame, II fazės klinikiniame tyrime (tyrimas B2225) buvo tiriamas imatinibo veiksmingumas </w:t>
      </w:r>
      <w:r w:rsidRPr="00D92F6B">
        <w:rPr>
          <w:rFonts w:eastAsia="Calibri"/>
          <w:color w:val="000000"/>
          <w:sz w:val="22"/>
          <w:szCs w:val="22"/>
        </w:rPr>
        <w:lastRenderedPageBreak/>
        <w:t>įvairioms pacientų, sergančių gyvybei pavojingomis ligomis, susijusiomis su Abl, Kit ar PDGFR baltymų tirozinkinazėmis, grupėms. Šio tyrimo metu 14 pacientų, sergantys HES/LEL, buvo gydomi imatinibo 100 mg – 1 000 mg dozėmis per parą. Kiti 162 pacientai, sergantys HES/LEL, aprašyti 35 atvejų pranešimuose ir atvejų serijose gavo 75 mg – 800 mg imatinibo per parą. 117 iš bendros 176 pacientų populiacijos buvo nustatyti citogenetiniai pokyčiai. 61 iš 117 šių pacientų nustatyta FIP1L1-PDGFRα lydima kinazė. Be to, keturiems HES sergantiems pacientams buvo nustatyta teigiama FIP1L1-PDGFRα lydima kinazė kituose 3 aprašytuose atvejuose. Visi 65 pacientai su teigiama FIP1L1-PDGFRα lydima kinaze pasiekė pastovų VHA mėnesiams (nuo 1+ iki 44+ mėnesių, tikrinta pranešimo metu). Kaip pranešama naujame straipsnyje, 21 iš šių 65 pacientų taip pat pasiekė pilną molekulinę remisiją vidutiniškai stebint 28 mėnesius (13-67 mėnesius). Šių pacientų amžius svyravo nuo 25 iki 72 metų. Tyrėjų atvejų pranešimuose papildomai buvo pranešta apie simptomų ir kitus organų funkcijų sutrikimų pagerėjimus. Pagerėjimai buvo nustatyti širdies, nervų, odos/poodinio audinio, kvėpavimo/krūtinės/tarpuplaučio, griaučių/raumenų/jungiamojo audinio/kraujagyslių ir virškinimo trakto organų sistemose.</w:t>
      </w:r>
    </w:p>
    <w:p w14:paraId="62A4F68A" w14:textId="77777777" w:rsidR="008A305D" w:rsidRPr="00D92F6B" w:rsidRDefault="008A305D" w:rsidP="008A305D">
      <w:pPr>
        <w:autoSpaceDE w:val="0"/>
        <w:autoSpaceDN w:val="0"/>
        <w:adjustRightInd w:val="0"/>
        <w:rPr>
          <w:rFonts w:eastAsia="Calibri"/>
          <w:color w:val="000000"/>
          <w:sz w:val="22"/>
          <w:szCs w:val="22"/>
        </w:rPr>
      </w:pPr>
    </w:p>
    <w:p w14:paraId="6D9309EF" w14:textId="77777777" w:rsidR="008A305D" w:rsidRPr="00D92F6B" w:rsidRDefault="008A305D" w:rsidP="008A305D">
      <w:pPr>
        <w:autoSpaceDE w:val="0"/>
        <w:autoSpaceDN w:val="0"/>
        <w:adjustRightInd w:val="0"/>
        <w:rPr>
          <w:sz w:val="22"/>
          <w:szCs w:val="22"/>
        </w:rPr>
      </w:pPr>
      <w:r w:rsidRPr="00D92F6B">
        <w:rPr>
          <w:sz w:val="22"/>
          <w:szCs w:val="22"/>
        </w:rPr>
        <w:t>Kontroliuojamųjų klinikinių tyrimų su HES/LEL sergančiais vaikais neatlikta. 3 literatūros šaltiniuose aprašyti 3 pacientai, sirgę su PDGFR genų pakitimais susijusiais HES ir LEL. Šių pacientų amžius svyravo nuo 2 metų iki 16 metų, jiems buvo skiriama 300 mg/m</w:t>
      </w:r>
      <w:r w:rsidRPr="00D92F6B">
        <w:rPr>
          <w:sz w:val="22"/>
          <w:szCs w:val="22"/>
          <w:vertAlign w:val="superscript"/>
        </w:rPr>
        <w:t>2</w:t>
      </w:r>
      <w:r w:rsidRPr="0045031A">
        <w:rPr>
          <w:sz w:val="22"/>
          <w:szCs w:val="22"/>
        </w:rPr>
        <w:t xml:space="preserve"> </w:t>
      </w:r>
      <w:r w:rsidRPr="00D92F6B">
        <w:rPr>
          <w:sz w:val="22"/>
          <w:szCs w:val="22"/>
        </w:rPr>
        <w:t>kūno paviršiaus ploto per parą arba nuo 200 mg iki 400 mg per parą imatinibo dozė. Visiems pacientams pasiektas visiškas hematologinis atsakas, visiškas citogenetinis atsakas ir (arba) visiškas molekulinis atsakas.</w:t>
      </w:r>
    </w:p>
    <w:p w14:paraId="3CF1150E" w14:textId="77777777" w:rsidR="008A305D" w:rsidRPr="00D92F6B" w:rsidRDefault="008A305D" w:rsidP="008A305D">
      <w:pPr>
        <w:rPr>
          <w:color w:val="000000"/>
          <w:sz w:val="22"/>
          <w:szCs w:val="22"/>
          <w:u w:val="single"/>
        </w:rPr>
      </w:pPr>
      <w:r w:rsidRPr="00D92F6B">
        <w:rPr>
          <w:color w:val="000000"/>
          <w:sz w:val="22"/>
          <w:szCs w:val="22"/>
          <w:u w:val="single"/>
        </w:rPr>
        <w:t xml:space="preserve">Klinikiniai pacientų, kuriems buvo nerezekuotinas ir (ar) metastazavęs </w:t>
      </w:r>
      <w:r>
        <w:rPr>
          <w:color w:val="000000"/>
          <w:sz w:val="22"/>
          <w:szCs w:val="22"/>
          <w:u w:val="single"/>
        </w:rPr>
        <w:t>GIST</w:t>
      </w:r>
      <w:r w:rsidRPr="00D92F6B">
        <w:rPr>
          <w:color w:val="000000"/>
          <w:sz w:val="22"/>
          <w:szCs w:val="22"/>
          <w:u w:val="single"/>
        </w:rPr>
        <w:t>, tyrimai</w:t>
      </w:r>
    </w:p>
    <w:p w14:paraId="07C17DE6" w14:textId="77777777" w:rsidR="008A305D" w:rsidRPr="00D92F6B" w:rsidRDefault="008A305D" w:rsidP="008A305D">
      <w:pPr>
        <w:rPr>
          <w:color w:val="000000"/>
          <w:sz w:val="22"/>
          <w:szCs w:val="22"/>
        </w:rPr>
      </w:pPr>
      <w:r w:rsidRPr="00D92F6B">
        <w:rPr>
          <w:color w:val="000000"/>
          <w:sz w:val="22"/>
          <w:szCs w:val="22"/>
        </w:rPr>
        <w:t>Vienas II fazės atviras, randomizuotas, nekontroliuojamas tarptautinis tyrimas buvo atliktas su pacientais, kuriems buvo nerezekuotinas ar metastazavęs piktybinis virškinimo trakto stromos navikas (</w:t>
      </w:r>
      <w:r>
        <w:rPr>
          <w:color w:val="000000"/>
          <w:sz w:val="22"/>
          <w:szCs w:val="22"/>
        </w:rPr>
        <w:t>GIST</w:t>
      </w:r>
      <w:r w:rsidRPr="00D92F6B">
        <w:rPr>
          <w:color w:val="000000"/>
          <w:sz w:val="22"/>
          <w:szCs w:val="22"/>
        </w:rPr>
        <w:t xml:space="preserve">). Šiame tyrime dalyvavo 147 pacientai, kurie buvo atsitiktinai suskirstyti gerti po 400 mg arba po 600 mg vieną kartą per parą iki 36 mėn. Šių pacientų amžius buvo nuo 18 iki 83 metų, jiems buvo nustatyta patologinė Kit+ piktybinio </w:t>
      </w:r>
      <w:r>
        <w:rPr>
          <w:color w:val="000000"/>
          <w:sz w:val="22"/>
          <w:szCs w:val="22"/>
        </w:rPr>
        <w:t>GIST</w:t>
      </w:r>
      <w:r w:rsidRPr="00D92F6B">
        <w:rPr>
          <w:color w:val="000000"/>
          <w:sz w:val="22"/>
          <w:szCs w:val="22"/>
        </w:rPr>
        <w:t>, kuris buvo nerezekuotinas ir (ar) metastazavęs, diagnozė. Rutiniškai buvo atliktas imunohistocheminis tyrimas su Kit antikūnais (A</w:t>
      </w:r>
      <w:r w:rsidRPr="00D92F6B">
        <w:rPr>
          <w:color w:val="000000"/>
          <w:sz w:val="22"/>
          <w:szCs w:val="22"/>
        </w:rPr>
        <w:noBreakHyphen/>
        <w:t>4502, triušių polikloninis antiserumas, 1:100; DAKO Corporation, Carpinteria, CA) pagal avidino</w:t>
      </w:r>
      <w:r w:rsidRPr="00D92F6B">
        <w:rPr>
          <w:color w:val="000000"/>
          <w:sz w:val="22"/>
          <w:szCs w:val="22"/>
        </w:rPr>
        <w:noBreakHyphen/>
        <w:t>biotino</w:t>
      </w:r>
      <w:r w:rsidRPr="00D92F6B">
        <w:rPr>
          <w:color w:val="000000"/>
          <w:sz w:val="22"/>
          <w:szCs w:val="22"/>
        </w:rPr>
        <w:noBreakHyphen/>
        <w:t>peroksidazės komplekso metodo analizę po antigeno sugrąžinimo.</w:t>
      </w:r>
    </w:p>
    <w:p w14:paraId="2507A2CB" w14:textId="77777777" w:rsidR="008A305D" w:rsidRPr="00D92F6B" w:rsidRDefault="008A305D" w:rsidP="008A305D">
      <w:pPr>
        <w:rPr>
          <w:color w:val="000000"/>
          <w:sz w:val="22"/>
          <w:szCs w:val="22"/>
        </w:rPr>
      </w:pPr>
    </w:p>
    <w:p w14:paraId="30FD0F1A" w14:textId="77777777" w:rsidR="008A305D" w:rsidRPr="00D92F6B" w:rsidRDefault="008A305D" w:rsidP="008A305D">
      <w:pPr>
        <w:rPr>
          <w:color w:val="000000"/>
          <w:sz w:val="22"/>
          <w:szCs w:val="22"/>
        </w:rPr>
      </w:pPr>
      <w:r w:rsidRPr="00D92F6B">
        <w:rPr>
          <w:color w:val="000000"/>
          <w:sz w:val="22"/>
          <w:szCs w:val="22"/>
        </w:rPr>
        <w:t xml:space="preserve">Svarbiausias veiksmingumo įrodymas – objektyvus atsako dažnis. Buvo reikalaujama naviką išmatuoti bent vienoje vietoje. Atsakas apibūdintas pagal </w:t>
      </w:r>
      <w:r w:rsidRPr="00D92F6B">
        <w:rPr>
          <w:i/>
          <w:color w:val="000000"/>
          <w:sz w:val="22"/>
          <w:szCs w:val="22"/>
        </w:rPr>
        <w:t xml:space="preserve">Southwestern Oncology Group </w:t>
      </w:r>
      <w:r w:rsidRPr="0045031A">
        <w:rPr>
          <w:color w:val="000000"/>
          <w:sz w:val="22"/>
          <w:szCs w:val="22"/>
        </w:rPr>
        <w:t>(SWOG)</w:t>
      </w:r>
      <w:r w:rsidRPr="00D92F6B">
        <w:rPr>
          <w:color w:val="000000"/>
          <w:sz w:val="22"/>
          <w:szCs w:val="22"/>
        </w:rPr>
        <w:t xml:space="preserve"> kriterijus. Duomenys pateikti 6 lentelėje.</w:t>
      </w:r>
    </w:p>
    <w:p w14:paraId="77392B9D" w14:textId="77777777" w:rsidR="008A305D" w:rsidRPr="00D92F6B" w:rsidRDefault="008A305D" w:rsidP="008A305D">
      <w:pPr>
        <w:autoSpaceDE w:val="0"/>
        <w:autoSpaceDN w:val="0"/>
        <w:adjustRightInd w:val="0"/>
        <w:rPr>
          <w:sz w:val="22"/>
          <w:szCs w:val="22"/>
        </w:rPr>
      </w:pPr>
    </w:p>
    <w:p w14:paraId="674B17B3" w14:textId="77777777" w:rsidR="008A305D" w:rsidRPr="00D92F6B" w:rsidRDefault="008A305D" w:rsidP="008A305D">
      <w:pPr>
        <w:autoSpaceDE w:val="0"/>
        <w:autoSpaceDN w:val="0"/>
        <w:adjustRightInd w:val="0"/>
        <w:rPr>
          <w:b/>
          <w:sz w:val="22"/>
          <w:szCs w:val="22"/>
        </w:rPr>
      </w:pPr>
      <w:r w:rsidRPr="00D92F6B">
        <w:rPr>
          <w:b/>
          <w:sz w:val="22"/>
          <w:szCs w:val="22"/>
        </w:rPr>
        <w:lastRenderedPageBreak/>
        <w:t>4 lentelė</w:t>
      </w:r>
      <w:r w:rsidRPr="00D92F6B">
        <w:rPr>
          <w:b/>
          <w:sz w:val="22"/>
          <w:szCs w:val="22"/>
        </w:rPr>
        <w:tab/>
        <w:t>Geriausias naviko atsakas STIB2222 (</w:t>
      </w:r>
      <w:r>
        <w:rPr>
          <w:b/>
          <w:sz w:val="22"/>
          <w:szCs w:val="22"/>
        </w:rPr>
        <w:t>GIST</w:t>
      </w:r>
      <w:r w:rsidRPr="00D92F6B">
        <w:rPr>
          <w:b/>
          <w:sz w:val="22"/>
          <w:szCs w:val="22"/>
        </w:rPr>
        <w:t>) tyrimo metu</w:t>
      </w:r>
    </w:p>
    <w:p w14:paraId="46D91CFF" w14:textId="77777777" w:rsidR="008A305D" w:rsidRPr="00D92F6B" w:rsidRDefault="008A305D" w:rsidP="008A305D">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8A305D" w:rsidRPr="00D92F6B" w14:paraId="4DEC459A" w14:textId="77777777" w:rsidTr="00412F88">
        <w:trPr>
          <w:trHeight w:val="1181"/>
        </w:trPr>
        <w:tc>
          <w:tcPr>
            <w:tcW w:w="4643" w:type="dxa"/>
            <w:tcBorders>
              <w:left w:val="nil"/>
              <w:bottom w:val="single" w:sz="4" w:space="0" w:color="auto"/>
              <w:right w:val="nil"/>
            </w:tcBorders>
          </w:tcPr>
          <w:p w14:paraId="123A3CDA" w14:textId="77777777" w:rsidR="008A305D" w:rsidRPr="00D92F6B" w:rsidRDefault="008A305D" w:rsidP="00412F88">
            <w:pPr>
              <w:autoSpaceDE w:val="0"/>
              <w:autoSpaceDN w:val="0"/>
              <w:adjustRightInd w:val="0"/>
              <w:rPr>
                <w:sz w:val="22"/>
                <w:szCs w:val="22"/>
              </w:rPr>
            </w:pPr>
          </w:p>
          <w:p w14:paraId="5F3D4558" w14:textId="77777777" w:rsidR="008A305D" w:rsidRPr="00D92F6B" w:rsidRDefault="008A305D" w:rsidP="00412F88">
            <w:pPr>
              <w:autoSpaceDE w:val="0"/>
              <w:autoSpaceDN w:val="0"/>
              <w:adjustRightInd w:val="0"/>
              <w:rPr>
                <w:sz w:val="22"/>
                <w:szCs w:val="22"/>
              </w:rPr>
            </w:pPr>
          </w:p>
          <w:p w14:paraId="4C9A2C1E" w14:textId="77777777" w:rsidR="008A305D" w:rsidRPr="00D92F6B" w:rsidRDefault="008A305D" w:rsidP="00412F88">
            <w:pPr>
              <w:autoSpaceDE w:val="0"/>
              <w:autoSpaceDN w:val="0"/>
              <w:adjustRightInd w:val="0"/>
              <w:rPr>
                <w:sz w:val="22"/>
                <w:szCs w:val="22"/>
              </w:rPr>
            </w:pPr>
          </w:p>
          <w:p w14:paraId="519B4AFF" w14:textId="77777777" w:rsidR="008A305D" w:rsidRPr="00D92F6B" w:rsidRDefault="008A305D" w:rsidP="00412F88">
            <w:pPr>
              <w:autoSpaceDE w:val="0"/>
              <w:autoSpaceDN w:val="0"/>
              <w:adjustRightInd w:val="0"/>
              <w:rPr>
                <w:sz w:val="22"/>
                <w:szCs w:val="22"/>
              </w:rPr>
            </w:pPr>
            <w:r w:rsidRPr="00D92F6B">
              <w:rPr>
                <w:sz w:val="22"/>
                <w:szCs w:val="22"/>
              </w:rPr>
              <w:t>Geriausias atsakas</w:t>
            </w:r>
          </w:p>
        </w:tc>
        <w:tc>
          <w:tcPr>
            <w:tcW w:w="4643" w:type="dxa"/>
            <w:tcBorders>
              <w:left w:val="nil"/>
              <w:bottom w:val="single" w:sz="4" w:space="0" w:color="auto"/>
              <w:right w:val="nil"/>
            </w:tcBorders>
          </w:tcPr>
          <w:p w14:paraId="4D98F925" w14:textId="77777777" w:rsidR="008A305D" w:rsidRPr="00D92F6B" w:rsidRDefault="008A305D" w:rsidP="00412F88">
            <w:pPr>
              <w:autoSpaceDE w:val="0"/>
              <w:autoSpaceDN w:val="0"/>
              <w:adjustRightInd w:val="0"/>
              <w:jc w:val="center"/>
              <w:rPr>
                <w:sz w:val="22"/>
                <w:szCs w:val="22"/>
              </w:rPr>
            </w:pPr>
            <w:r w:rsidRPr="00D92F6B">
              <w:rPr>
                <w:sz w:val="22"/>
                <w:szCs w:val="22"/>
              </w:rPr>
              <w:t>Visos dozės (n=147)</w:t>
            </w:r>
          </w:p>
          <w:p w14:paraId="009AD87D" w14:textId="77777777" w:rsidR="008A305D" w:rsidRPr="00D92F6B" w:rsidRDefault="008A305D" w:rsidP="00412F88">
            <w:pPr>
              <w:autoSpaceDE w:val="0"/>
              <w:autoSpaceDN w:val="0"/>
              <w:adjustRightInd w:val="0"/>
              <w:jc w:val="center"/>
              <w:rPr>
                <w:sz w:val="22"/>
                <w:szCs w:val="22"/>
              </w:rPr>
            </w:pPr>
            <w:r w:rsidRPr="00D92F6B">
              <w:rPr>
                <w:sz w:val="22"/>
                <w:szCs w:val="22"/>
              </w:rPr>
              <w:t>400 mg (n=73)</w:t>
            </w:r>
          </w:p>
          <w:p w14:paraId="4F6FD0EE" w14:textId="77777777" w:rsidR="008A305D" w:rsidRPr="00D92F6B" w:rsidRDefault="008A305D" w:rsidP="00412F88">
            <w:pPr>
              <w:autoSpaceDE w:val="0"/>
              <w:autoSpaceDN w:val="0"/>
              <w:adjustRightInd w:val="0"/>
              <w:jc w:val="center"/>
              <w:rPr>
                <w:sz w:val="22"/>
                <w:szCs w:val="22"/>
              </w:rPr>
            </w:pPr>
            <w:r w:rsidRPr="00D92F6B">
              <w:rPr>
                <w:sz w:val="22"/>
                <w:szCs w:val="22"/>
              </w:rPr>
              <w:t>600 mg (n=74)</w:t>
            </w:r>
          </w:p>
          <w:p w14:paraId="0FAF2A09" w14:textId="77777777" w:rsidR="008A305D" w:rsidRPr="00D92F6B" w:rsidRDefault="008A305D" w:rsidP="00412F88">
            <w:pPr>
              <w:autoSpaceDE w:val="0"/>
              <w:autoSpaceDN w:val="0"/>
              <w:adjustRightInd w:val="0"/>
              <w:jc w:val="center"/>
              <w:rPr>
                <w:sz w:val="22"/>
                <w:szCs w:val="22"/>
              </w:rPr>
            </w:pPr>
            <w:r w:rsidRPr="00D92F6B">
              <w:rPr>
                <w:sz w:val="22"/>
                <w:szCs w:val="22"/>
              </w:rPr>
              <w:t>n (%)</w:t>
            </w:r>
          </w:p>
        </w:tc>
      </w:tr>
      <w:tr w:rsidR="008A305D" w:rsidRPr="00D92F6B" w14:paraId="425EC4AB" w14:textId="77777777" w:rsidTr="00412F88">
        <w:tc>
          <w:tcPr>
            <w:tcW w:w="4643" w:type="dxa"/>
            <w:tcBorders>
              <w:top w:val="nil"/>
              <w:left w:val="nil"/>
              <w:bottom w:val="nil"/>
              <w:right w:val="nil"/>
            </w:tcBorders>
          </w:tcPr>
          <w:p w14:paraId="7C3716D5" w14:textId="77777777" w:rsidR="008A305D" w:rsidRPr="00D92F6B" w:rsidRDefault="008A305D" w:rsidP="00412F88">
            <w:pPr>
              <w:autoSpaceDE w:val="0"/>
              <w:autoSpaceDN w:val="0"/>
              <w:adjustRightInd w:val="0"/>
              <w:rPr>
                <w:sz w:val="22"/>
                <w:szCs w:val="22"/>
              </w:rPr>
            </w:pPr>
            <w:r w:rsidRPr="00D92F6B">
              <w:rPr>
                <w:sz w:val="22"/>
                <w:szCs w:val="22"/>
              </w:rPr>
              <w:t>Visiškas atsakas</w:t>
            </w:r>
          </w:p>
        </w:tc>
        <w:tc>
          <w:tcPr>
            <w:tcW w:w="4643" w:type="dxa"/>
            <w:tcBorders>
              <w:top w:val="nil"/>
              <w:left w:val="nil"/>
              <w:bottom w:val="nil"/>
              <w:right w:val="nil"/>
            </w:tcBorders>
          </w:tcPr>
          <w:p w14:paraId="6873ED2D" w14:textId="77777777" w:rsidR="008A305D" w:rsidRPr="00D92F6B" w:rsidRDefault="008A305D" w:rsidP="00412F88">
            <w:pPr>
              <w:autoSpaceDE w:val="0"/>
              <w:autoSpaceDN w:val="0"/>
              <w:adjustRightInd w:val="0"/>
              <w:jc w:val="center"/>
              <w:rPr>
                <w:sz w:val="22"/>
                <w:szCs w:val="22"/>
              </w:rPr>
            </w:pPr>
            <w:r w:rsidRPr="00D92F6B">
              <w:rPr>
                <w:sz w:val="22"/>
                <w:szCs w:val="22"/>
              </w:rPr>
              <w:t>1 (0,7)</w:t>
            </w:r>
          </w:p>
        </w:tc>
      </w:tr>
      <w:tr w:rsidR="008A305D" w:rsidRPr="00D92F6B" w14:paraId="4085A642" w14:textId="77777777" w:rsidTr="00412F88">
        <w:tc>
          <w:tcPr>
            <w:tcW w:w="4643" w:type="dxa"/>
            <w:tcBorders>
              <w:top w:val="nil"/>
              <w:left w:val="nil"/>
              <w:bottom w:val="nil"/>
              <w:right w:val="nil"/>
            </w:tcBorders>
          </w:tcPr>
          <w:p w14:paraId="48ABAE7C" w14:textId="77777777" w:rsidR="008A305D" w:rsidRPr="00D92F6B" w:rsidRDefault="008A305D" w:rsidP="00412F88">
            <w:pPr>
              <w:autoSpaceDE w:val="0"/>
              <w:autoSpaceDN w:val="0"/>
              <w:adjustRightInd w:val="0"/>
              <w:rPr>
                <w:sz w:val="22"/>
                <w:szCs w:val="22"/>
              </w:rPr>
            </w:pPr>
            <w:r w:rsidRPr="00D92F6B">
              <w:rPr>
                <w:sz w:val="22"/>
                <w:szCs w:val="22"/>
              </w:rPr>
              <w:t>Dalinis atsakas</w:t>
            </w:r>
          </w:p>
        </w:tc>
        <w:tc>
          <w:tcPr>
            <w:tcW w:w="4643" w:type="dxa"/>
            <w:tcBorders>
              <w:top w:val="nil"/>
              <w:left w:val="nil"/>
              <w:bottom w:val="nil"/>
              <w:right w:val="nil"/>
            </w:tcBorders>
          </w:tcPr>
          <w:p w14:paraId="7D51A721" w14:textId="77777777" w:rsidR="008A305D" w:rsidRPr="00D92F6B" w:rsidRDefault="008A305D" w:rsidP="00412F88">
            <w:pPr>
              <w:autoSpaceDE w:val="0"/>
              <w:autoSpaceDN w:val="0"/>
              <w:adjustRightInd w:val="0"/>
              <w:jc w:val="center"/>
              <w:rPr>
                <w:sz w:val="22"/>
                <w:szCs w:val="22"/>
              </w:rPr>
            </w:pPr>
            <w:r w:rsidRPr="00D92F6B">
              <w:rPr>
                <w:sz w:val="22"/>
                <w:szCs w:val="22"/>
              </w:rPr>
              <w:t>98 (66,7)</w:t>
            </w:r>
          </w:p>
        </w:tc>
      </w:tr>
      <w:tr w:rsidR="008A305D" w:rsidRPr="00D92F6B" w14:paraId="660C7E17" w14:textId="77777777" w:rsidTr="00412F88">
        <w:tc>
          <w:tcPr>
            <w:tcW w:w="4643" w:type="dxa"/>
            <w:tcBorders>
              <w:top w:val="nil"/>
              <w:left w:val="nil"/>
              <w:bottom w:val="nil"/>
              <w:right w:val="nil"/>
            </w:tcBorders>
          </w:tcPr>
          <w:p w14:paraId="624802D3" w14:textId="77777777" w:rsidR="008A305D" w:rsidRPr="00D92F6B" w:rsidRDefault="008A305D" w:rsidP="00412F88">
            <w:pPr>
              <w:autoSpaceDE w:val="0"/>
              <w:autoSpaceDN w:val="0"/>
              <w:adjustRightInd w:val="0"/>
              <w:rPr>
                <w:sz w:val="22"/>
                <w:szCs w:val="22"/>
              </w:rPr>
            </w:pPr>
            <w:r w:rsidRPr="00D92F6B">
              <w:rPr>
                <w:sz w:val="22"/>
                <w:szCs w:val="22"/>
              </w:rPr>
              <w:t>Stabili liga</w:t>
            </w:r>
          </w:p>
        </w:tc>
        <w:tc>
          <w:tcPr>
            <w:tcW w:w="4643" w:type="dxa"/>
            <w:tcBorders>
              <w:top w:val="nil"/>
              <w:left w:val="nil"/>
              <w:bottom w:val="nil"/>
              <w:right w:val="nil"/>
            </w:tcBorders>
          </w:tcPr>
          <w:p w14:paraId="7FA1321D" w14:textId="77777777" w:rsidR="008A305D" w:rsidRPr="00D92F6B" w:rsidRDefault="008A305D" w:rsidP="00412F88">
            <w:pPr>
              <w:autoSpaceDE w:val="0"/>
              <w:autoSpaceDN w:val="0"/>
              <w:adjustRightInd w:val="0"/>
              <w:jc w:val="center"/>
              <w:rPr>
                <w:sz w:val="22"/>
                <w:szCs w:val="22"/>
              </w:rPr>
            </w:pPr>
            <w:r w:rsidRPr="00D92F6B">
              <w:rPr>
                <w:sz w:val="22"/>
                <w:szCs w:val="22"/>
              </w:rPr>
              <w:t>23 (15,6)</w:t>
            </w:r>
          </w:p>
        </w:tc>
      </w:tr>
      <w:tr w:rsidR="008A305D" w:rsidRPr="00D92F6B" w14:paraId="5A216E9C" w14:textId="77777777" w:rsidTr="00412F88">
        <w:tc>
          <w:tcPr>
            <w:tcW w:w="4643" w:type="dxa"/>
            <w:tcBorders>
              <w:top w:val="nil"/>
              <w:left w:val="nil"/>
              <w:bottom w:val="nil"/>
              <w:right w:val="nil"/>
            </w:tcBorders>
          </w:tcPr>
          <w:p w14:paraId="084E266E" w14:textId="77777777" w:rsidR="008A305D" w:rsidRPr="00D92F6B" w:rsidRDefault="008A305D" w:rsidP="00412F88">
            <w:pPr>
              <w:autoSpaceDE w:val="0"/>
              <w:autoSpaceDN w:val="0"/>
              <w:adjustRightInd w:val="0"/>
              <w:rPr>
                <w:sz w:val="22"/>
                <w:szCs w:val="22"/>
              </w:rPr>
            </w:pPr>
            <w:r w:rsidRPr="00D92F6B">
              <w:rPr>
                <w:sz w:val="22"/>
                <w:szCs w:val="22"/>
              </w:rPr>
              <w:t>Progresuojanti liga</w:t>
            </w:r>
          </w:p>
        </w:tc>
        <w:tc>
          <w:tcPr>
            <w:tcW w:w="4643" w:type="dxa"/>
            <w:tcBorders>
              <w:top w:val="nil"/>
              <w:left w:val="nil"/>
              <w:bottom w:val="nil"/>
              <w:right w:val="nil"/>
            </w:tcBorders>
          </w:tcPr>
          <w:p w14:paraId="3924F6EB" w14:textId="77777777" w:rsidR="008A305D" w:rsidRPr="00D92F6B" w:rsidRDefault="008A305D" w:rsidP="00412F88">
            <w:pPr>
              <w:autoSpaceDE w:val="0"/>
              <w:autoSpaceDN w:val="0"/>
              <w:adjustRightInd w:val="0"/>
              <w:jc w:val="center"/>
              <w:rPr>
                <w:sz w:val="22"/>
                <w:szCs w:val="22"/>
              </w:rPr>
            </w:pPr>
            <w:r w:rsidRPr="00D92F6B">
              <w:rPr>
                <w:sz w:val="22"/>
                <w:szCs w:val="22"/>
              </w:rPr>
              <w:t>18 (12,2)</w:t>
            </w:r>
          </w:p>
        </w:tc>
      </w:tr>
      <w:tr w:rsidR="008A305D" w:rsidRPr="00D92F6B" w14:paraId="4ED61608" w14:textId="77777777" w:rsidTr="00412F88">
        <w:tc>
          <w:tcPr>
            <w:tcW w:w="4643" w:type="dxa"/>
            <w:tcBorders>
              <w:top w:val="nil"/>
              <w:left w:val="nil"/>
              <w:bottom w:val="nil"/>
              <w:right w:val="nil"/>
            </w:tcBorders>
          </w:tcPr>
          <w:p w14:paraId="4F9D3D53" w14:textId="77777777" w:rsidR="008A305D" w:rsidRPr="00D92F6B" w:rsidRDefault="008A305D" w:rsidP="00412F88">
            <w:pPr>
              <w:autoSpaceDE w:val="0"/>
              <w:autoSpaceDN w:val="0"/>
              <w:adjustRightInd w:val="0"/>
              <w:rPr>
                <w:sz w:val="22"/>
                <w:szCs w:val="22"/>
              </w:rPr>
            </w:pPr>
            <w:r w:rsidRPr="00D92F6B">
              <w:rPr>
                <w:sz w:val="22"/>
                <w:szCs w:val="22"/>
              </w:rPr>
              <w:t>Neįvertinama</w:t>
            </w:r>
          </w:p>
        </w:tc>
        <w:tc>
          <w:tcPr>
            <w:tcW w:w="4643" w:type="dxa"/>
            <w:tcBorders>
              <w:top w:val="nil"/>
              <w:left w:val="nil"/>
              <w:bottom w:val="nil"/>
              <w:right w:val="nil"/>
            </w:tcBorders>
          </w:tcPr>
          <w:p w14:paraId="5E466D25" w14:textId="77777777" w:rsidR="008A305D" w:rsidRPr="00D92F6B" w:rsidRDefault="008A305D" w:rsidP="00412F88">
            <w:pPr>
              <w:autoSpaceDE w:val="0"/>
              <w:autoSpaceDN w:val="0"/>
              <w:adjustRightInd w:val="0"/>
              <w:jc w:val="center"/>
              <w:rPr>
                <w:sz w:val="22"/>
                <w:szCs w:val="22"/>
              </w:rPr>
            </w:pPr>
            <w:r w:rsidRPr="00D92F6B">
              <w:rPr>
                <w:sz w:val="22"/>
                <w:szCs w:val="22"/>
              </w:rPr>
              <w:t>5 (3,4)</w:t>
            </w:r>
          </w:p>
        </w:tc>
      </w:tr>
      <w:tr w:rsidR="008A305D" w:rsidRPr="00D92F6B" w14:paraId="19DAC349" w14:textId="77777777" w:rsidTr="00412F88">
        <w:tc>
          <w:tcPr>
            <w:tcW w:w="4643" w:type="dxa"/>
            <w:tcBorders>
              <w:top w:val="nil"/>
              <w:left w:val="nil"/>
              <w:right w:val="nil"/>
            </w:tcBorders>
          </w:tcPr>
          <w:p w14:paraId="061818D6" w14:textId="77777777" w:rsidR="008A305D" w:rsidRPr="00D92F6B" w:rsidRDefault="008A305D" w:rsidP="00412F88">
            <w:pPr>
              <w:autoSpaceDE w:val="0"/>
              <w:autoSpaceDN w:val="0"/>
              <w:adjustRightInd w:val="0"/>
              <w:rPr>
                <w:sz w:val="22"/>
                <w:szCs w:val="22"/>
              </w:rPr>
            </w:pPr>
            <w:r w:rsidRPr="00D92F6B">
              <w:rPr>
                <w:sz w:val="22"/>
                <w:szCs w:val="22"/>
              </w:rPr>
              <w:t>Nežinoma</w:t>
            </w:r>
          </w:p>
        </w:tc>
        <w:tc>
          <w:tcPr>
            <w:tcW w:w="4643" w:type="dxa"/>
            <w:tcBorders>
              <w:top w:val="nil"/>
              <w:left w:val="nil"/>
              <w:right w:val="nil"/>
            </w:tcBorders>
          </w:tcPr>
          <w:p w14:paraId="657D7ABE" w14:textId="77777777" w:rsidR="008A305D" w:rsidRPr="00D92F6B" w:rsidRDefault="008A305D" w:rsidP="00412F88">
            <w:pPr>
              <w:autoSpaceDE w:val="0"/>
              <w:autoSpaceDN w:val="0"/>
              <w:adjustRightInd w:val="0"/>
              <w:jc w:val="center"/>
              <w:rPr>
                <w:sz w:val="22"/>
                <w:szCs w:val="22"/>
              </w:rPr>
            </w:pPr>
            <w:r w:rsidRPr="00D92F6B">
              <w:rPr>
                <w:sz w:val="22"/>
                <w:szCs w:val="22"/>
              </w:rPr>
              <w:t>2 (1,4)</w:t>
            </w:r>
          </w:p>
        </w:tc>
      </w:tr>
    </w:tbl>
    <w:p w14:paraId="78828F73" w14:textId="77777777" w:rsidR="008A305D" w:rsidRPr="00D92F6B" w:rsidRDefault="008A305D" w:rsidP="008A305D">
      <w:pPr>
        <w:autoSpaceDE w:val="0"/>
        <w:autoSpaceDN w:val="0"/>
        <w:adjustRightInd w:val="0"/>
        <w:rPr>
          <w:sz w:val="22"/>
          <w:szCs w:val="22"/>
        </w:rPr>
      </w:pPr>
    </w:p>
    <w:p w14:paraId="43C61701" w14:textId="77777777" w:rsidR="008A305D" w:rsidRPr="00D92F6B" w:rsidRDefault="008A305D" w:rsidP="008A305D">
      <w:pPr>
        <w:autoSpaceDE w:val="0"/>
        <w:autoSpaceDN w:val="0"/>
        <w:adjustRightInd w:val="0"/>
        <w:rPr>
          <w:sz w:val="22"/>
          <w:szCs w:val="22"/>
        </w:rPr>
      </w:pPr>
      <w:r w:rsidRPr="00D92F6B">
        <w:rPr>
          <w:sz w:val="22"/>
          <w:szCs w:val="22"/>
        </w:rPr>
        <w:t>Dviejų dozių grupių atsako dažnis nesiskyrė. Preliminariais duomenimis, reikšmingam skaičiui pacientų, kurių liga buvo stabili, ilgiau gydant buvo gautas dalinis atsakas (stebėjimo periodo mediana 31 mėnesių). Atsako trukmės mediana buvo 13 savaičių (95 % PI 12–23). Periodo iki gydymo nesėkmės pacientams, kuriems buvo gautas atsakas, mediana buvo 122 savaitės (95 % PI 106–147), o bendroje tyrimo populiacijoje ji buvo 84 savaitės (95 % PI 71–109). Bendrojo išgyvenamumo mediana nebuvo gauta. Kaplan-Meier išgyvenamumo po 36 mėnesių stebėjimo periodo rodiklis buvo 68 %.</w:t>
      </w:r>
    </w:p>
    <w:p w14:paraId="216D4E51" w14:textId="77777777" w:rsidR="008A305D" w:rsidRPr="00D92F6B" w:rsidRDefault="008A305D" w:rsidP="008A305D">
      <w:pPr>
        <w:autoSpaceDE w:val="0"/>
        <w:autoSpaceDN w:val="0"/>
        <w:adjustRightInd w:val="0"/>
        <w:rPr>
          <w:sz w:val="22"/>
          <w:szCs w:val="22"/>
        </w:rPr>
      </w:pPr>
    </w:p>
    <w:p w14:paraId="796241CE" w14:textId="77777777" w:rsidR="008A305D" w:rsidRPr="00D92F6B" w:rsidRDefault="008A305D" w:rsidP="008A305D">
      <w:pPr>
        <w:autoSpaceDE w:val="0"/>
        <w:autoSpaceDN w:val="0"/>
        <w:adjustRightInd w:val="0"/>
        <w:rPr>
          <w:sz w:val="22"/>
          <w:szCs w:val="22"/>
        </w:rPr>
      </w:pPr>
      <w:r w:rsidRPr="00D92F6B">
        <w:rPr>
          <w:sz w:val="22"/>
          <w:szCs w:val="22"/>
        </w:rPr>
        <w:t>Dviejų klinikinių tyrimų metu (tyrimas B2222 ir tarpgrupinis tyrimas S0033) imatinibo paros dozė puvo padidinta iki 800 mg pacientams, kurių liga progresavo vartojant mažesnes 400 mg ar 600 mg paros dozes. Iki 800 mg paros dozė buvo padidinta iš viso 103 pacientams; 6 pacientams buvo gautas dalinis atsakas, 21 pacientui po dozės padidinimo liga stabilizavosi, bendroji klinikinė nauda buvo 26 %. Remiantis turimais saugumo duomenimis, dozės didinimas nuo mažesnių 400 mg ar 600 mg dozių per parą iki 800 mg per parą imatinibo saugumo rodiklių, atrodo nepaveikė.</w:t>
      </w:r>
    </w:p>
    <w:p w14:paraId="49836782" w14:textId="77777777" w:rsidR="008A305D" w:rsidRPr="00D92F6B" w:rsidRDefault="008A305D" w:rsidP="008A305D">
      <w:pPr>
        <w:autoSpaceDE w:val="0"/>
        <w:autoSpaceDN w:val="0"/>
        <w:adjustRightInd w:val="0"/>
        <w:rPr>
          <w:sz w:val="22"/>
          <w:szCs w:val="22"/>
        </w:rPr>
      </w:pPr>
    </w:p>
    <w:p w14:paraId="5126C0D0" w14:textId="77777777" w:rsidR="008A305D" w:rsidRPr="00D92F6B" w:rsidRDefault="008A305D" w:rsidP="008A305D">
      <w:pPr>
        <w:autoSpaceDE w:val="0"/>
        <w:autoSpaceDN w:val="0"/>
        <w:adjustRightInd w:val="0"/>
        <w:rPr>
          <w:sz w:val="22"/>
          <w:szCs w:val="22"/>
          <w:u w:val="single"/>
        </w:rPr>
      </w:pPr>
      <w:r w:rsidRPr="00D92F6B">
        <w:rPr>
          <w:sz w:val="22"/>
          <w:szCs w:val="22"/>
          <w:u w:val="single"/>
        </w:rPr>
        <w:t xml:space="preserve">Klinikiniai adjuvantinio </w:t>
      </w:r>
      <w:r>
        <w:rPr>
          <w:sz w:val="22"/>
          <w:szCs w:val="22"/>
          <w:u w:val="single"/>
        </w:rPr>
        <w:t>GIST</w:t>
      </w:r>
      <w:r w:rsidRPr="00D92F6B">
        <w:rPr>
          <w:sz w:val="22"/>
          <w:szCs w:val="22"/>
          <w:u w:val="single"/>
        </w:rPr>
        <w:t xml:space="preserve"> gydymo tyrimai</w:t>
      </w:r>
    </w:p>
    <w:p w14:paraId="56BFDC8E" w14:textId="77777777" w:rsidR="008A305D" w:rsidRPr="00D92F6B" w:rsidRDefault="008A305D" w:rsidP="008A305D">
      <w:pPr>
        <w:autoSpaceDE w:val="0"/>
        <w:autoSpaceDN w:val="0"/>
        <w:adjustRightInd w:val="0"/>
        <w:rPr>
          <w:sz w:val="22"/>
          <w:szCs w:val="22"/>
        </w:rPr>
      </w:pPr>
      <w:r w:rsidRPr="00D92F6B">
        <w:rPr>
          <w:sz w:val="22"/>
          <w:szCs w:val="22"/>
        </w:rPr>
        <w:t xml:space="preserve">Pagalbiniam </w:t>
      </w:r>
      <w:r>
        <w:rPr>
          <w:sz w:val="22"/>
          <w:szCs w:val="22"/>
        </w:rPr>
        <w:t>GIST</w:t>
      </w:r>
      <w:r w:rsidRPr="00D92F6B">
        <w:rPr>
          <w:sz w:val="22"/>
          <w:szCs w:val="22"/>
        </w:rPr>
        <w:t xml:space="preserve"> gydymui naudojamas imatinibas buvo tirtas daugiacentrio, dvigubai aklo, ilgalaikio gydymo, placebu kontroliuojamo III fazės klinikinio tyrimo (Z9001), kuriame dalyvavo 773 pacientai, metu. Šie pacientai buvo 18–91 metų amžiaus. Į tyrimą buvo įtraukti pacientai, kuriems histologiškai buvo patvirtinta pirminio </w:t>
      </w:r>
      <w:r>
        <w:rPr>
          <w:sz w:val="22"/>
          <w:szCs w:val="22"/>
        </w:rPr>
        <w:t>GIST</w:t>
      </w:r>
      <w:r w:rsidRPr="00D92F6B">
        <w:rPr>
          <w:sz w:val="22"/>
          <w:szCs w:val="22"/>
        </w:rPr>
        <w:t xml:space="preserve"> su imunocheminiu būdu nustatyta Kit baltymo ekspresija diagnozė ir kurių naviko didžiausias matmuo buvo ≥ 3 cm bei kuriems prieš 14</w:t>
      </w:r>
      <w:r w:rsidRPr="00D92F6B">
        <w:rPr>
          <w:sz w:val="22"/>
          <w:szCs w:val="22"/>
        </w:rPr>
        <w:noBreakHyphen/>
        <w:t xml:space="preserve">70 dienų iki įtraukimo į tyrimą buvo atlikta radikali pirminio </w:t>
      </w:r>
      <w:r>
        <w:rPr>
          <w:sz w:val="22"/>
          <w:szCs w:val="22"/>
        </w:rPr>
        <w:t>GIST</w:t>
      </w:r>
      <w:r w:rsidRPr="00D92F6B">
        <w:rPr>
          <w:sz w:val="22"/>
          <w:szCs w:val="22"/>
        </w:rPr>
        <w:t xml:space="preserve"> rezekcija. Po pirminio </w:t>
      </w:r>
      <w:r>
        <w:rPr>
          <w:sz w:val="22"/>
          <w:szCs w:val="22"/>
        </w:rPr>
        <w:t>GIST</w:t>
      </w:r>
      <w:r w:rsidRPr="00D92F6B">
        <w:rPr>
          <w:sz w:val="22"/>
          <w:szCs w:val="22"/>
        </w:rPr>
        <w:t xml:space="preserve"> rezekcijos pacientai atsitiktiniu būdu buvo suskirstyti į dvi gydymo grupes: imatinibo 400 mg per parą arba placebo grupes (gydymas buvo skiriamas vienerius metus).</w:t>
      </w:r>
    </w:p>
    <w:p w14:paraId="197D0A21" w14:textId="77777777" w:rsidR="008A305D" w:rsidRPr="00D92F6B" w:rsidRDefault="008A305D" w:rsidP="008A305D">
      <w:pPr>
        <w:autoSpaceDE w:val="0"/>
        <w:autoSpaceDN w:val="0"/>
        <w:adjustRightInd w:val="0"/>
        <w:rPr>
          <w:sz w:val="22"/>
          <w:szCs w:val="22"/>
        </w:rPr>
      </w:pPr>
      <w:r w:rsidRPr="00D92F6B">
        <w:rPr>
          <w:sz w:val="22"/>
          <w:szCs w:val="22"/>
        </w:rPr>
        <w:t>Pirminė vertinamoji klinikinio tyrimo baigtis buvo išgyvenamumas be ligos recidyvo (angl</w:t>
      </w:r>
      <w:r w:rsidRPr="00D92F6B">
        <w:rPr>
          <w:i/>
          <w:sz w:val="22"/>
          <w:szCs w:val="22"/>
        </w:rPr>
        <w:t xml:space="preserve">. Recurrence-free survival, </w:t>
      </w:r>
      <w:r w:rsidRPr="00D92F6B">
        <w:rPr>
          <w:sz w:val="22"/>
          <w:szCs w:val="22"/>
        </w:rPr>
        <w:t>RFS), nustatomas kaip laikas nuo randomizacijos dienos iki recidyvo pasireiškimo dienos arba mirties dėl bet kokios priežasties.</w:t>
      </w:r>
    </w:p>
    <w:p w14:paraId="6CFA65F5" w14:textId="77777777" w:rsidR="008A305D" w:rsidRPr="00D92F6B" w:rsidRDefault="008A305D" w:rsidP="008A305D">
      <w:pPr>
        <w:autoSpaceDE w:val="0"/>
        <w:autoSpaceDN w:val="0"/>
        <w:adjustRightInd w:val="0"/>
        <w:rPr>
          <w:sz w:val="22"/>
          <w:szCs w:val="22"/>
        </w:rPr>
      </w:pPr>
    </w:p>
    <w:p w14:paraId="5D265D44" w14:textId="77777777" w:rsidR="008A305D" w:rsidRPr="00D92F6B" w:rsidRDefault="008A305D" w:rsidP="008A305D">
      <w:pPr>
        <w:autoSpaceDE w:val="0"/>
        <w:autoSpaceDN w:val="0"/>
        <w:adjustRightInd w:val="0"/>
        <w:rPr>
          <w:sz w:val="22"/>
          <w:szCs w:val="22"/>
        </w:rPr>
      </w:pPr>
      <w:r w:rsidRPr="00D92F6B">
        <w:rPr>
          <w:sz w:val="22"/>
          <w:szCs w:val="22"/>
        </w:rPr>
        <w:lastRenderedPageBreak/>
        <w:t>Imatinibas reikšmingai pailgino RFS rodiklį; 75 % pacientų, kuriems nepasireiškė ligos recidyvas 38 mėnesius, lyginant su 20 mėnesių laikotarpiu placebo grupėje (95 % PI, [30 - nevertintinas]; [14 - nevertintinas], atitinkamai); (rizikos santykis = 0,398 [0,259</w:t>
      </w:r>
      <w:r w:rsidRPr="00D92F6B">
        <w:rPr>
          <w:sz w:val="22"/>
          <w:szCs w:val="22"/>
        </w:rPr>
        <w:noBreakHyphen/>
        <w:t>0,610], p&lt;0,0001). Vertinant po vienerių gydymo metų, bendrojo RFS rodiklis imatinibo grupėje buvo reikšmingai geresnis lyginant su placebo grupe (atitinkamai 97,7 % ir 82,3 %; p&lt;0,0001). Taigi, ligos recidyvo atsiradimo rizika buvo sumažinta apytiksliai 89 %, lyginant su placebu (rizikos santykis = 0,113 [0,049</w:t>
      </w:r>
      <w:r w:rsidRPr="00D92F6B">
        <w:rPr>
          <w:sz w:val="22"/>
          <w:szCs w:val="22"/>
        </w:rPr>
        <w:noBreakHyphen/>
        <w:t>0,264]).</w:t>
      </w:r>
    </w:p>
    <w:p w14:paraId="23D4DDE2" w14:textId="77777777" w:rsidR="008A305D" w:rsidRPr="00D92F6B" w:rsidRDefault="008A305D" w:rsidP="008A305D">
      <w:pPr>
        <w:autoSpaceDE w:val="0"/>
        <w:autoSpaceDN w:val="0"/>
        <w:adjustRightInd w:val="0"/>
        <w:rPr>
          <w:sz w:val="22"/>
          <w:szCs w:val="22"/>
        </w:rPr>
      </w:pPr>
    </w:p>
    <w:p w14:paraId="3850FB52" w14:textId="77777777" w:rsidR="008A305D" w:rsidRPr="00D92F6B" w:rsidRDefault="008A305D" w:rsidP="008A305D">
      <w:pPr>
        <w:autoSpaceDE w:val="0"/>
        <w:autoSpaceDN w:val="0"/>
        <w:adjustRightInd w:val="0"/>
        <w:rPr>
          <w:sz w:val="22"/>
          <w:szCs w:val="22"/>
        </w:rPr>
      </w:pPr>
      <w:r w:rsidRPr="00D92F6B">
        <w:rPr>
          <w:sz w:val="22"/>
          <w:szCs w:val="22"/>
        </w:rPr>
        <w:t xml:space="preserve">Pacientams po pirminio </w:t>
      </w:r>
      <w:r>
        <w:rPr>
          <w:sz w:val="22"/>
          <w:szCs w:val="22"/>
        </w:rPr>
        <w:t>GIST</w:t>
      </w:r>
      <w:r w:rsidRPr="00D92F6B">
        <w:rPr>
          <w:sz w:val="22"/>
          <w:szCs w:val="22"/>
        </w:rPr>
        <w:t xml:space="preserve"> operacinio gydymo ligos recidyvo rizika buvo įvertinta retrospektyviai, remiantis toliau nurodytais prognostiniais veiksniais: naviko dydžiu, mitozės indeksu ir naviko lokalizacija. Mitozės indekso duomenys surinkti 556 pacientams iš 713 atrinktos gydymui (angl. </w:t>
      </w:r>
      <w:r w:rsidRPr="00D92F6B">
        <w:rPr>
          <w:i/>
          <w:sz w:val="22"/>
          <w:szCs w:val="22"/>
        </w:rPr>
        <w:t>Intention-to-treat</w:t>
      </w:r>
      <w:r w:rsidRPr="00D92F6B">
        <w:rPr>
          <w:sz w:val="22"/>
          <w:szCs w:val="22"/>
        </w:rPr>
        <w:t xml:space="preserve">, ITT) populiacijos asmenų. Remiantis Jungtinių valstijų sveikatos nacionalinio instituto (ang. </w:t>
      </w:r>
      <w:r w:rsidRPr="0045031A">
        <w:rPr>
          <w:i/>
          <w:sz w:val="22"/>
          <w:szCs w:val="22"/>
        </w:rPr>
        <w:t>United States National Institutes of Health</w:t>
      </w:r>
      <w:r w:rsidRPr="00D92F6B">
        <w:rPr>
          <w:sz w:val="22"/>
          <w:szCs w:val="22"/>
        </w:rPr>
        <w:t xml:space="preserve">, NIH) ir Ginkluotųjų pajėgų patologijos instituto (ang. </w:t>
      </w:r>
      <w:r w:rsidRPr="0045031A">
        <w:rPr>
          <w:i/>
          <w:sz w:val="22"/>
          <w:szCs w:val="22"/>
        </w:rPr>
        <w:t>Armed Forces Institute of Pathology</w:t>
      </w:r>
      <w:r w:rsidRPr="00D92F6B">
        <w:rPr>
          <w:sz w:val="22"/>
          <w:szCs w:val="22"/>
        </w:rPr>
        <w:t>, AFIP) sudaryta rizikos klasifikacija, pacientų pogrupių analizės rezultatai pateikti 7 lentelėje. Žemos ir labai žemos rizikos grupėje vaistinio preparato naudos nepastebėta. Bendram išgyvenamumui naudos nepastebėta.</w:t>
      </w:r>
    </w:p>
    <w:p w14:paraId="15C658ED" w14:textId="77777777" w:rsidR="008A305D" w:rsidRPr="00D92F6B" w:rsidRDefault="008A305D" w:rsidP="008A305D">
      <w:pPr>
        <w:autoSpaceDE w:val="0"/>
        <w:autoSpaceDN w:val="0"/>
        <w:adjustRightInd w:val="0"/>
        <w:rPr>
          <w:sz w:val="22"/>
          <w:szCs w:val="22"/>
        </w:rPr>
      </w:pPr>
    </w:p>
    <w:p w14:paraId="754E314B" w14:textId="77777777" w:rsidR="008A305D" w:rsidRPr="00D92F6B" w:rsidRDefault="008A305D" w:rsidP="008A305D">
      <w:pPr>
        <w:keepNext/>
        <w:tabs>
          <w:tab w:val="left" w:pos="-720"/>
          <w:tab w:val="left" w:pos="1134"/>
        </w:tabs>
        <w:suppressAutoHyphens/>
        <w:ind w:left="1080" w:hanging="1080"/>
        <w:outlineLvl w:val="5"/>
        <w:rPr>
          <w:rFonts w:eastAsia="MS Mincho"/>
          <w:b/>
          <w:color w:val="000000"/>
          <w:sz w:val="22"/>
          <w:szCs w:val="22"/>
          <w:lang w:eastAsia="ja-JP"/>
        </w:rPr>
      </w:pPr>
      <w:r w:rsidRPr="00D92F6B">
        <w:rPr>
          <w:rFonts w:eastAsia="MS Mincho"/>
          <w:b/>
          <w:color w:val="000000"/>
          <w:sz w:val="22"/>
          <w:szCs w:val="22"/>
          <w:lang w:eastAsia="ja-JP"/>
        </w:rPr>
        <w:t>5 lentelė</w:t>
      </w:r>
      <w:r w:rsidRPr="00D92F6B">
        <w:rPr>
          <w:rFonts w:eastAsia="MS Mincho"/>
          <w:b/>
          <w:color w:val="000000"/>
          <w:sz w:val="22"/>
          <w:szCs w:val="22"/>
          <w:lang w:eastAsia="ja-JP"/>
        </w:rPr>
        <w:tab/>
        <w:t>Z9001 klinikinio tyrimo RFS analizės pagal NIH ir AFIP rizikos klasifikacijas santrauka</w:t>
      </w:r>
    </w:p>
    <w:p w14:paraId="53C60919" w14:textId="77777777" w:rsidR="008A305D" w:rsidRPr="00D92F6B" w:rsidRDefault="008A305D" w:rsidP="008A305D">
      <w:pPr>
        <w:jc w:val="both"/>
        <w:rPr>
          <w:sz w:val="22"/>
          <w:szCs w:val="22"/>
        </w:rPr>
      </w:pPr>
    </w:p>
    <w:tbl>
      <w:tblPr>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417"/>
        <w:gridCol w:w="1177"/>
        <w:gridCol w:w="2083"/>
        <w:gridCol w:w="1732"/>
        <w:gridCol w:w="1414"/>
        <w:gridCol w:w="1372"/>
      </w:tblGrid>
      <w:tr w:rsidR="008A305D" w:rsidRPr="00D92F6B" w14:paraId="59EAE362" w14:textId="77777777" w:rsidTr="00412F88">
        <w:tc>
          <w:tcPr>
            <w:tcW w:w="1188" w:type="dxa"/>
            <w:vMerge w:val="restart"/>
          </w:tcPr>
          <w:p w14:paraId="6F57F1D9" w14:textId="77777777" w:rsidR="008A305D" w:rsidRPr="00D92F6B" w:rsidRDefault="008A305D" w:rsidP="00412F88">
            <w:pPr>
              <w:keepNext/>
              <w:keepLines/>
              <w:tabs>
                <w:tab w:val="left" w:pos="284"/>
                <w:tab w:val="left" w:pos="567"/>
              </w:tabs>
              <w:spacing w:before="120" w:after="20" w:line="260" w:lineRule="exact"/>
              <w:jc w:val="center"/>
              <w:rPr>
                <w:b/>
                <w:sz w:val="22"/>
                <w:szCs w:val="22"/>
              </w:rPr>
            </w:pPr>
            <w:r w:rsidRPr="00D92F6B">
              <w:rPr>
                <w:b/>
                <w:sz w:val="22"/>
                <w:szCs w:val="22"/>
              </w:rPr>
              <w:t>Rizikos kriterijai</w:t>
            </w:r>
          </w:p>
        </w:tc>
        <w:tc>
          <w:tcPr>
            <w:tcW w:w="1417" w:type="dxa"/>
            <w:vMerge w:val="restart"/>
            <w:tcBorders>
              <w:right w:val="single" w:sz="4" w:space="0" w:color="auto"/>
            </w:tcBorders>
          </w:tcPr>
          <w:p w14:paraId="1BE61602" w14:textId="77777777" w:rsidR="008A305D" w:rsidRPr="00D92F6B" w:rsidRDefault="008A305D" w:rsidP="00412F88">
            <w:pPr>
              <w:keepNext/>
              <w:keepLines/>
              <w:tabs>
                <w:tab w:val="left" w:pos="284"/>
                <w:tab w:val="left" w:pos="567"/>
              </w:tabs>
              <w:spacing w:before="120" w:after="20" w:line="260" w:lineRule="exact"/>
              <w:rPr>
                <w:b/>
                <w:sz w:val="22"/>
                <w:szCs w:val="22"/>
              </w:rPr>
            </w:pPr>
            <w:r w:rsidRPr="00D92F6B">
              <w:rPr>
                <w:b/>
                <w:sz w:val="22"/>
                <w:szCs w:val="22"/>
              </w:rPr>
              <w:t xml:space="preserve">Rizikos lygis </w:t>
            </w:r>
          </w:p>
        </w:tc>
        <w:tc>
          <w:tcPr>
            <w:tcW w:w="1177" w:type="dxa"/>
            <w:vMerge w:val="restart"/>
            <w:tcBorders>
              <w:left w:val="single" w:sz="4" w:space="0" w:color="auto"/>
              <w:right w:val="single" w:sz="4" w:space="0" w:color="auto"/>
            </w:tcBorders>
          </w:tcPr>
          <w:p w14:paraId="64E70E16" w14:textId="77777777" w:rsidR="008A305D" w:rsidRPr="00D92F6B" w:rsidRDefault="008A305D" w:rsidP="00412F88">
            <w:pPr>
              <w:keepNext/>
              <w:keepLines/>
              <w:tabs>
                <w:tab w:val="left" w:pos="284"/>
                <w:tab w:val="left" w:pos="567"/>
              </w:tabs>
              <w:spacing w:before="120" w:after="20" w:line="260" w:lineRule="exact"/>
              <w:jc w:val="center"/>
              <w:rPr>
                <w:b/>
                <w:sz w:val="22"/>
                <w:szCs w:val="22"/>
              </w:rPr>
            </w:pPr>
            <w:r w:rsidRPr="00D92F6B">
              <w:rPr>
                <w:b/>
                <w:sz w:val="22"/>
                <w:szCs w:val="22"/>
              </w:rPr>
              <w:t xml:space="preserve">Pacientų skaičius% </w:t>
            </w:r>
          </w:p>
        </w:tc>
        <w:tc>
          <w:tcPr>
            <w:tcW w:w="2083" w:type="dxa"/>
            <w:vMerge w:val="restart"/>
            <w:tcBorders>
              <w:left w:val="single" w:sz="4" w:space="0" w:color="auto"/>
              <w:right w:val="single" w:sz="4" w:space="0" w:color="auto"/>
            </w:tcBorders>
          </w:tcPr>
          <w:p w14:paraId="0F144726" w14:textId="77777777" w:rsidR="008A305D" w:rsidRPr="00D92F6B" w:rsidRDefault="008A305D" w:rsidP="00412F88">
            <w:pPr>
              <w:keepNext/>
              <w:keepLines/>
              <w:tabs>
                <w:tab w:val="left" w:pos="284"/>
                <w:tab w:val="left" w:pos="567"/>
              </w:tabs>
              <w:spacing w:line="260" w:lineRule="exact"/>
              <w:jc w:val="center"/>
              <w:rPr>
                <w:b/>
                <w:sz w:val="22"/>
                <w:szCs w:val="22"/>
              </w:rPr>
            </w:pPr>
            <w:r w:rsidRPr="00D92F6B">
              <w:rPr>
                <w:b/>
                <w:sz w:val="22"/>
                <w:szCs w:val="22"/>
              </w:rPr>
              <w:t>Atvejų skaičius /</w:t>
            </w:r>
          </w:p>
          <w:p w14:paraId="17FA3886" w14:textId="77777777" w:rsidR="008A305D" w:rsidRPr="00D92F6B" w:rsidRDefault="008A305D" w:rsidP="00412F88">
            <w:pPr>
              <w:keepNext/>
              <w:keepLines/>
              <w:tabs>
                <w:tab w:val="left" w:pos="284"/>
                <w:tab w:val="left" w:pos="567"/>
              </w:tabs>
              <w:spacing w:before="120" w:after="20" w:line="260" w:lineRule="exact"/>
              <w:jc w:val="center"/>
              <w:rPr>
                <w:b/>
                <w:sz w:val="22"/>
                <w:szCs w:val="22"/>
              </w:rPr>
            </w:pPr>
            <w:r w:rsidRPr="00D92F6B">
              <w:rPr>
                <w:b/>
                <w:sz w:val="22"/>
                <w:szCs w:val="22"/>
              </w:rPr>
              <w:t>Pacientų skaičius</w:t>
            </w:r>
          </w:p>
        </w:tc>
        <w:tc>
          <w:tcPr>
            <w:tcW w:w="1732" w:type="dxa"/>
            <w:vMerge w:val="restart"/>
            <w:tcBorders>
              <w:left w:val="single" w:sz="4" w:space="0" w:color="auto"/>
              <w:right w:val="single" w:sz="4" w:space="0" w:color="auto"/>
            </w:tcBorders>
          </w:tcPr>
          <w:p w14:paraId="75573D99" w14:textId="77777777" w:rsidR="008A305D" w:rsidRPr="00D92F6B" w:rsidRDefault="008A305D" w:rsidP="00412F88">
            <w:pPr>
              <w:keepNext/>
              <w:keepLines/>
              <w:tabs>
                <w:tab w:val="left" w:pos="284"/>
                <w:tab w:val="left" w:pos="567"/>
              </w:tabs>
              <w:spacing w:before="40" w:after="20" w:line="260" w:lineRule="exact"/>
              <w:jc w:val="center"/>
              <w:rPr>
                <w:b/>
                <w:sz w:val="22"/>
                <w:szCs w:val="22"/>
              </w:rPr>
            </w:pPr>
            <w:r w:rsidRPr="00D92F6B">
              <w:rPr>
                <w:b/>
                <w:sz w:val="22"/>
                <w:szCs w:val="22"/>
              </w:rPr>
              <w:t>Bendrasis rizikos santykis (95 % PI)*</w:t>
            </w:r>
          </w:p>
        </w:tc>
        <w:tc>
          <w:tcPr>
            <w:tcW w:w="2786" w:type="dxa"/>
            <w:gridSpan w:val="2"/>
            <w:tcBorders>
              <w:left w:val="single" w:sz="4" w:space="0" w:color="auto"/>
            </w:tcBorders>
          </w:tcPr>
          <w:p w14:paraId="2EE31D61" w14:textId="77777777" w:rsidR="008A305D" w:rsidRPr="00D92F6B" w:rsidRDefault="008A305D" w:rsidP="00412F88">
            <w:pPr>
              <w:keepNext/>
              <w:keepLines/>
              <w:tabs>
                <w:tab w:val="left" w:pos="284"/>
                <w:tab w:val="left" w:pos="567"/>
              </w:tabs>
              <w:spacing w:before="40" w:after="20" w:line="260" w:lineRule="exact"/>
              <w:jc w:val="center"/>
              <w:rPr>
                <w:b/>
                <w:sz w:val="22"/>
                <w:szCs w:val="22"/>
              </w:rPr>
            </w:pPr>
            <w:r w:rsidRPr="00D92F6B">
              <w:rPr>
                <w:b/>
                <w:sz w:val="22"/>
                <w:szCs w:val="22"/>
              </w:rPr>
              <w:t>RFS dažnis (%)</w:t>
            </w:r>
          </w:p>
        </w:tc>
      </w:tr>
      <w:tr w:rsidR="008A305D" w:rsidRPr="00D92F6B" w14:paraId="26D5FC75" w14:textId="77777777" w:rsidTr="00412F88">
        <w:tc>
          <w:tcPr>
            <w:tcW w:w="1188" w:type="dxa"/>
            <w:vMerge/>
          </w:tcPr>
          <w:p w14:paraId="23221BF1" w14:textId="77777777" w:rsidR="008A305D" w:rsidRPr="00D92F6B" w:rsidRDefault="008A305D" w:rsidP="00412F88">
            <w:pPr>
              <w:keepNext/>
              <w:keepLines/>
              <w:tabs>
                <w:tab w:val="left" w:pos="284"/>
                <w:tab w:val="left" w:pos="567"/>
              </w:tabs>
              <w:spacing w:before="40" w:after="20" w:line="260" w:lineRule="exact"/>
              <w:rPr>
                <w:b/>
                <w:sz w:val="22"/>
                <w:szCs w:val="22"/>
              </w:rPr>
            </w:pPr>
          </w:p>
        </w:tc>
        <w:tc>
          <w:tcPr>
            <w:tcW w:w="1417" w:type="dxa"/>
            <w:vMerge/>
            <w:tcBorders>
              <w:right w:val="single" w:sz="4" w:space="0" w:color="auto"/>
            </w:tcBorders>
          </w:tcPr>
          <w:p w14:paraId="6E96B142" w14:textId="77777777" w:rsidR="008A305D" w:rsidRPr="00D92F6B" w:rsidRDefault="008A305D" w:rsidP="00412F88">
            <w:pPr>
              <w:keepNext/>
              <w:keepLines/>
              <w:tabs>
                <w:tab w:val="left" w:pos="284"/>
                <w:tab w:val="left" w:pos="567"/>
              </w:tabs>
              <w:spacing w:before="40" w:after="20" w:line="260" w:lineRule="exact"/>
              <w:rPr>
                <w:b/>
                <w:sz w:val="22"/>
                <w:szCs w:val="22"/>
              </w:rPr>
            </w:pPr>
          </w:p>
        </w:tc>
        <w:tc>
          <w:tcPr>
            <w:tcW w:w="1177" w:type="dxa"/>
            <w:vMerge/>
            <w:tcBorders>
              <w:left w:val="single" w:sz="4" w:space="0" w:color="auto"/>
              <w:right w:val="single" w:sz="4" w:space="0" w:color="auto"/>
            </w:tcBorders>
          </w:tcPr>
          <w:p w14:paraId="261B2079" w14:textId="77777777" w:rsidR="008A305D" w:rsidRPr="00D92F6B" w:rsidRDefault="008A305D" w:rsidP="00412F88">
            <w:pPr>
              <w:keepNext/>
              <w:keepLines/>
              <w:tabs>
                <w:tab w:val="left" w:pos="284"/>
                <w:tab w:val="left" w:pos="567"/>
              </w:tabs>
              <w:spacing w:before="40" w:after="20" w:line="260" w:lineRule="exact"/>
              <w:jc w:val="center"/>
              <w:rPr>
                <w:b/>
                <w:sz w:val="22"/>
                <w:szCs w:val="22"/>
              </w:rPr>
            </w:pPr>
          </w:p>
        </w:tc>
        <w:tc>
          <w:tcPr>
            <w:tcW w:w="2083" w:type="dxa"/>
            <w:vMerge/>
            <w:tcBorders>
              <w:left w:val="single" w:sz="4" w:space="0" w:color="auto"/>
              <w:right w:val="single" w:sz="4" w:space="0" w:color="auto"/>
            </w:tcBorders>
          </w:tcPr>
          <w:p w14:paraId="79B98038" w14:textId="77777777" w:rsidR="008A305D" w:rsidRPr="00D92F6B" w:rsidRDefault="008A305D" w:rsidP="00412F88">
            <w:pPr>
              <w:keepNext/>
              <w:keepLines/>
              <w:tabs>
                <w:tab w:val="left" w:pos="284"/>
                <w:tab w:val="left" w:pos="567"/>
              </w:tabs>
              <w:spacing w:before="40" w:after="20" w:line="260" w:lineRule="exact"/>
              <w:jc w:val="center"/>
              <w:rPr>
                <w:b/>
                <w:sz w:val="22"/>
                <w:szCs w:val="22"/>
              </w:rPr>
            </w:pPr>
          </w:p>
        </w:tc>
        <w:tc>
          <w:tcPr>
            <w:tcW w:w="1732" w:type="dxa"/>
            <w:vMerge/>
            <w:tcBorders>
              <w:left w:val="single" w:sz="4" w:space="0" w:color="auto"/>
              <w:right w:val="single" w:sz="4" w:space="0" w:color="auto"/>
            </w:tcBorders>
          </w:tcPr>
          <w:p w14:paraId="5C78E25F" w14:textId="77777777" w:rsidR="008A305D" w:rsidRPr="00D92F6B" w:rsidRDefault="008A305D" w:rsidP="00412F88">
            <w:pPr>
              <w:keepNext/>
              <w:keepLines/>
              <w:tabs>
                <w:tab w:val="left" w:pos="284"/>
                <w:tab w:val="left" w:pos="567"/>
              </w:tabs>
              <w:spacing w:before="40" w:after="20" w:line="260" w:lineRule="exact"/>
              <w:rPr>
                <w:b/>
                <w:sz w:val="22"/>
                <w:szCs w:val="22"/>
              </w:rPr>
            </w:pPr>
          </w:p>
        </w:tc>
        <w:tc>
          <w:tcPr>
            <w:tcW w:w="1414" w:type="dxa"/>
            <w:tcBorders>
              <w:left w:val="single" w:sz="4" w:space="0" w:color="auto"/>
              <w:right w:val="single" w:sz="4" w:space="0" w:color="auto"/>
            </w:tcBorders>
          </w:tcPr>
          <w:p w14:paraId="24914449" w14:textId="77777777" w:rsidR="008A305D" w:rsidRPr="00D92F6B" w:rsidRDefault="008A305D" w:rsidP="00412F88">
            <w:pPr>
              <w:keepNext/>
              <w:keepLines/>
              <w:tabs>
                <w:tab w:val="left" w:pos="284"/>
                <w:tab w:val="left" w:pos="567"/>
              </w:tabs>
              <w:spacing w:before="40" w:after="20" w:line="260" w:lineRule="exact"/>
              <w:jc w:val="center"/>
              <w:rPr>
                <w:b/>
                <w:sz w:val="22"/>
                <w:szCs w:val="22"/>
              </w:rPr>
            </w:pPr>
            <w:r w:rsidRPr="00D92F6B">
              <w:rPr>
                <w:b/>
                <w:sz w:val="22"/>
                <w:szCs w:val="22"/>
              </w:rPr>
              <w:t>12 mėn.</w:t>
            </w:r>
          </w:p>
        </w:tc>
        <w:tc>
          <w:tcPr>
            <w:tcW w:w="1372" w:type="dxa"/>
            <w:tcBorders>
              <w:left w:val="single" w:sz="4" w:space="0" w:color="auto"/>
            </w:tcBorders>
          </w:tcPr>
          <w:p w14:paraId="73F55BF7" w14:textId="77777777" w:rsidR="008A305D" w:rsidRPr="00D92F6B" w:rsidRDefault="008A305D" w:rsidP="00412F88">
            <w:pPr>
              <w:keepNext/>
              <w:keepLines/>
              <w:tabs>
                <w:tab w:val="left" w:pos="284"/>
                <w:tab w:val="left" w:pos="567"/>
              </w:tabs>
              <w:spacing w:before="40" w:after="20" w:line="260" w:lineRule="exact"/>
              <w:jc w:val="center"/>
              <w:rPr>
                <w:b/>
                <w:sz w:val="22"/>
                <w:szCs w:val="22"/>
              </w:rPr>
            </w:pPr>
            <w:r w:rsidRPr="00D92F6B">
              <w:rPr>
                <w:b/>
                <w:sz w:val="22"/>
                <w:szCs w:val="22"/>
              </w:rPr>
              <w:t>24 mėn.</w:t>
            </w:r>
          </w:p>
        </w:tc>
      </w:tr>
      <w:tr w:rsidR="008A305D" w:rsidRPr="00D92F6B" w14:paraId="45908DAD" w14:textId="77777777" w:rsidTr="00412F88">
        <w:tc>
          <w:tcPr>
            <w:tcW w:w="1188" w:type="dxa"/>
            <w:vMerge/>
          </w:tcPr>
          <w:p w14:paraId="7A42D35E" w14:textId="77777777" w:rsidR="008A305D" w:rsidRPr="00D92F6B" w:rsidRDefault="008A305D" w:rsidP="00412F88">
            <w:pPr>
              <w:keepNext/>
              <w:keepLines/>
              <w:tabs>
                <w:tab w:val="left" w:pos="284"/>
                <w:tab w:val="left" w:pos="567"/>
              </w:tabs>
              <w:spacing w:before="40" w:after="20" w:line="260" w:lineRule="exact"/>
              <w:rPr>
                <w:b/>
                <w:sz w:val="22"/>
                <w:szCs w:val="22"/>
              </w:rPr>
            </w:pPr>
          </w:p>
        </w:tc>
        <w:tc>
          <w:tcPr>
            <w:tcW w:w="1417" w:type="dxa"/>
            <w:vMerge/>
            <w:tcBorders>
              <w:right w:val="single" w:sz="4" w:space="0" w:color="auto"/>
            </w:tcBorders>
          </w:tcPr>
          <w:p w14:paraId="70B3A632" w14:textId="77777777" w:rsidR="008A305D" w:rsidRPr="00D92F6B" w:rsidRDefault="008A305D" w:rsidP="00412F88">
            <w:pPr>
              <w:keepNext/>
              <w:keepLines/>
              <w:tabs>
                <w:tab w:val="left" w:pos="284"/>
                <w:tab w:val="left" w:pos="567"/>
              </w:tabs>
              <w:spacing w:before="40" w:after="20" w:line="260" w:lineRule="exact"/>
              <w:rPr>
                <w:b/>
                <w:sz w:val="22"/>
                <w:szCs w:val="22"/>
              </w:rPr>
            </w:pPr>
          </w:p>
        </w:tc>
        <w:tc>
          <w:tcPr>
            <w:tcW w:w="1177" w:type="dxa"/>
            <w:vMerge/>
            <w:tcBorders>
              <w:left w:val="single" w:sz="4" w:space="0" w:color="auto"/>
              <w:right w:val="single" w:sz="4" w:space="0" w:color="auto"/>
            </w:tcBorders>
          </w:tcPr>
          <w:p w14:paraId="36FBBF54" w14:textId="77777777" w:rsidR="008A305D" w:rsidRPr="00D92F6B" w:rsidRDefault="008A305D" w:rsidP="00412F88">
            <w:pPr>
              <w:keepNext/>
              <w:keepLines/>
              <w:tabs>
                <w:tab w:val="left" w:pos="284"/>
                <w:tab w:val="left" w:pos="567"/>
              </w:tabs>
              <w:spacing w:before="40" w:after="20" w:line="260" w:lineRule="exact"/>
              <w:jc w:val="center"/>
              <w:rPr>
                <w:b/>
                <w:sz w:val="22"/>
                <w:szCs w:val="22"/>
              </w:rPr>
            </w:pPr>
          </w:p>
        </w:tc>
        <w:tc>
          <w:tcPr>
            <w:tcW w:w="2083" w:type="dxa"/>
            <w:tcBorders>
              <w:left w:val="single" w:sz="4" w:space="0" w:color="auto"/>
              <w:bottom w:val="single" w:sz="4" w:space="0" w:color="auto"/>
              <w:right w:val="single" w:sz="4" w:space="0" w:color="auto"/>
            </w:tcBorders>
          </w:tcPr>
          <w:p w14:paraId="72E7DA65" w14:textId="77777777" w:rsidR="008A305D" w:rsidRPr="00D92F6B" w:rsidRDefault="008A305D" w:rsidP="00412F88">
            <w:pPr>
              <w:keepNext/>
              <w:keepLines/>
              <w:tabs>
                <w:tab w:val="left" w:pos="284"/>
                <w:tab w:val="left" w:pos="567"/>
              </w:tabs>
              <w:spacing w:before="40" w:after="20" w:line="260" w:lineRule="exact"/>
              <w:jc w:val="center"/>
              <w:rPr>
                <w:b/>
                <w:sz w:val="22"/>
                <w:szCs w:val="22"/>
              </w:rPr>
            </w:pPr>
            <w:r w:rsidRPr="00D92F6B">
              <w:rPr>
                <w:b/>
                <w:sz w:val="22"/>
                <w:szCs w:val="22"/>
              </w:rPr>
              <w:t>Imatinibas lyginant su placebu</w:t>
            </w:r>
          </w:p>
        </w:tc>
        <w:tc>
          <w:tcPr>
            <w:tcW w:w="1732" w:type="dxa"/>
            <w:vMerge/>
            <w:tcBorders>
              <w:left w:val="single" w:sz="4" w:space="0" w:color="auto"/>
              <w:bottom w:val="single" w:sz="4" w:space="0" w:color="auto"/>
              <w:right w:val="single" w:sz="4" w:space="0" w:color="auto"/>
            </w:tcBorders>
          </w:tcPr>
          <w:p w14:paraId="43B24F93" w14:textId="77777777" w:rsidR="008A305D" w:rsidRPr="00D92F6B" w:rsidRDefault="008A305D" w:rsidP="00412F88">
            <w:pPr>
              <w:keepNext/>
              <w:keepLines/>
              <w:tabs>
                <w:tab w:val="left" w:pos="284"/>
                <w:tab w:val="left" w:pos="567"/>
              </w:tabs>
              <w:spacing w:before="40" w:after="20" w:line="260" w:lineRule="exact"/>
              <w:jc w:val="center"/>
              <w:rPr>
                <w:b/>
                <w:sz w:val="22"/>
                <w:szCs w:val="22"/>
              </w:rPr>
            </w:pPr>
          </w:p>
        </w:tc>
        <w:tc>
          <w:tcPr>
            <w:tcW w:w="1414" w:type="dxa"/>
            <w:tcBorders>
              <w:left w:val="single" w:sz="4" w:space="0" w:color="auto"/>
              <w:bottom w:val="single" w:sz="4" w:space="0" w:color="auto"/>
              <w:right w:val="single" w:sz="4" w:space="0" w:color="auto"/>
            </w:tcBorders>
          </w:tcPr>
          <w:p w14:paraId="2AA3900C" w14:textId="77777777" w:rsidR="008A305D" w:rsidRPr="00D92F6B" w:rsidRDefault="008A305D" w:rsidP="00412F88">
            <w:pPr>
              <w:keepNext/>
              <w:keepLines/>
              <w:tabs>
                <w:tab w:val="left" w:pos="284"/>
                <w:tab w:val="left" w:pos="567"/>
              </w:tabs>
              <w:spacing w:before="40" w:after="20" w:line="260" w:lineRule="exact"/>
              <w:jc w:val="center"/>
              <w:rPr>
                <w:b/>
                <w:sz w:val="22"/>
                <w:szCs w:val="22"/>
              </w:rPr>
            </w:pPr>
            <w:r w:rsidRPr="00D92F6B">
              <w:rPr>
                <w:b/>
                <w:sz w:val="22"/>
                <w:szCs w:val="22"/>
              </w:rPr>
              <w:t>Imatinibas lyginant su placebu</w:t>
            </w:r>
          </w:p>
        </w:tc>
        <w:tc>
          <w:tcPr>
            <w:tcW w:w="1372" w:type="dxa"/>
            <w:tcBorders>
              <w:left w:val="single" w:sz="4" w:space="0" w:color="auto"/>
            </w:tcBorders>
          </w:tcPr>
          <w:p w14:paraId="5FD9E770" w14:textId="77777777" w:rsidR="008A305D" w:rsidRPr="00D92F6B" w:rsidRDefault="008A305D" w:rsidP="00412F88">
            <w:pPr>
              <w:keepNext/>
              <w:keepLines/>
              <w:tabs>
                <w:tab w:val="left" w:pos="284"/>
                <w:tab w:val="left" w:pos="567"/>
              </w:tabs>
              <w:spacing w:before="40" w:after="20" w:line="260" w:lineRule="exact"/>
              <w:jc w:val="center"/>
              <w:rPr>
                <w:b/>
                <w:sz w:val="22"/>
                <w:szCs w:val="22"/>
              </w:rPr>
            </w:pPr>
            <w:r w:rsidRPr="00D92F6B">
              <w:rPr>
                <w:b/>
                <w:sz w:val="22"/>
                <w:szCs w:val="22"/>
              </w:rPr>
              <w:t>Imatinibas lyginant su placebu</w:t>
            </w:r>
          </w:p>
        </w:tc>
      </w:tr>
      <w:tr w:rsidR="008A305D" w:rsidRPr="00D92F6B" w14:paraId="78C97A4E" w14:textId="77777777" w:rsidTr="00412F88">
        <w:tc>
          <w:tcPr>
            <w:tcW w:w="1188" w:type="dxa"/>
            <w:vMerge w:val="restart"/>
            <w:shd w:val="clear" w:color="auto" w:fill="auto"/>
          </w:tcPr>
          <w:p w14:paraId="55980575" w14:textId="77777777" w:rsidR="008A305D" w:rsidRPr="00D92F6B" w:rsidRDefault="008A305D" w:rsidP="00412F88">
            <w:pPr>
              <w:tabs>
                <w:tab w:val="left" w:pos="567"/>
              </w:tabs>
              <w:spacing w:before="360" w:line="260" w:lineRule="exact"/>
              <w:rPr>
                <w:sz w:val="22"/>
                <w:szCs w:val="22"/>
              </w:rPr>
            </w:pPr>
            <w:r w:rsidRPr="00D92F6B">
              <w:rPr>
                <w:sz w:val="22"/>
                <w:szCs w:val="22"/>
              </w:rPr>
              <w:t>NIH</w:t>
            </w:r>
          </w:p>
          <w:p w14:paraId="44162AA7" w14:textId="77777777" w:rsidR="008A305D" w:rsidRPr="00D92F6B" w:rsidRDefault="008A305D" w:rsidP="00412F88">
            <w:pPr>
              <w:keepNext/>
              <w:tabs>
                <w:tab w:val="left" w:pos="567"/>
              </w:tabs>
              <w:spacing w:before="40" w:after="20" w:line="260" w:lineRule="exact"/>
              <w:jc w:val="both"/>
              <w:rPr>
                <w:sz w:val="22"/>
                <w:szCs w:val="22"/>
              </w:rPr>
            </w:pPr>
          </w:p>
        </w:tc>
        <w:tc>
          <w:tcPr>
            <w:tcW w:w="1417" w:type="dxa"/>
            <w:tcBorders>
              <w:bottom w:val="nil"/>
              <w:right w:val="single" w:sz="4" w:space="0" w:color="auto"/>
            </w:tcBorders>
            <w:vAlign w:val="bottom"/>
          </w:tcPr>
          <w:p w14:paraId="216F17A5" w14:textId="77777777" w:rsidR="008A305D" w:rsidRPr="00D92F6B" w:rsidRDefault="008A305D" w:rsidP="00412F88">
            <w:pPr>
              <w:tabs>
                <w:tab w:val="left" w:pos="567"/>
              </w:tabs>
              <w:spacing w:before="40" w:after="20" w:line="260" w:lineRule="exact"/>
              <w:ind w:left="57" w:hanging="57"/>
              <w:rPr>
                <w:sz w:val="22"/>
                <w:szCs w:val="22"/>
              </w:rPr>
            </w:pPr>
            <w:r w:rsidRPr="00D92F6B">
              <w:rPr>
                <w:sz w:val="22"/>
                <w:szCs w:val="22"/>
              </w:rPr>
              <w:t>Maža</w:t>
            </w:r>
          </w:p>
        </w:tc>
        <w:tc>
          <w:tcPr>
            <w:tcW w:w="1177" w:type="dxa"/>
            <w:tcBorders>
              <w:left w:val="single" w:sz="4" w:space="0" w:color="auto"/>
              <w:bottom w:val="nil"/>
              <w:right w:val="single" w:sz="4" w:space="0" w:color="auto"/>
            </w:tcBorders>
            <w:vAlign w:val="bottom"/>
          </w:tcPr>
          <w:p w14:paraId="3DEAD9A7" w14:textId="77777777" w:rsidR="008A305D" w:rsidRPr="00D92F6B" w:rsidRDefault="008A305D" w:rsidP="00412F88">
            <w:pPr>
              <w:tabs>
                <w:tab w:val="left" w:pos="567"/>
              </w:tabs>
              <w:spacing w:before="40" w:after="20" w:line="260" w:lineRule="exact"/>
              <w:ind w:left="57" w:hanging="57"/>
              <w:jc w:val="center"/>
              <w:rPr>
                <w:sz w:val="22"/>
                <w:szCs w:val="22"/>
              </w:rPr>
            </w:pPr>
            <w:r w:rsidRPr="00D92F6B">
              <w:rPr>
                <w:sz w:val="22"/>
                <w:szCs w:val="22"/>
              </w:rPr>
              <w:t>29,5</w:t>
            </w:r>
          </w:p>
        </w:tc>
        <w:tc>
          <w:tcPr>
            <w:tcW w:w="2083" w:type="dxa"/>
            <w:tcBorders>
              <w:left w:val="single" w:sz="4" w:space="0" w:color="auto"/>
              <w:bottom w:val="nil"/>
              <w:right w:val="single" w:sz="4" w:space="0" w:color="auto"/>
            </w:tcBorders>
            <w:vAlign w:val="bottom"/>
          </w:tcPr>
          <w:p w14:paraId="75ACA4CC" w14:textId="77777777" w:rsidR="008A305D" w:rsidRPr="00D92F6B" w:rsidRDefault="008A305D" w:rsidP="00412F88">
            <w:pPr>
              <w:tabs>
                <w:tab w:val="left" w:pos="567"/>
              </w:tabs>
              <w:spacing w:before="40" w:after="20" w:line="260" w:lineRule="exact"/>
              <w:ind w:left="57" w:hanging="57"/>
              <w:rPr>
                <w:sz w:val="22"/>
                <w:szCs w:val="22"/>
              </w:rPr>
            </w:pPr>
            <w:r w:rsidRPr="00D92F6B">
              <w:rPr>
                <w:sz w:val="22"/>
                <w:szCs w:val="22"/>
              </w:rPr>
              <w:t>0/86 ir 2/90</w:t>
            </w:r>
          </w:p>
        </w:tc>
        <w:tc>
          <w:tcPr>
            <w:tcW w:w="1732" w:type="dxa"/>
            <w:tcBorders>
              <w:left w:val="single" w:sz="4" w:space="0" w:color="auto"/>
              <w:bottom w:val="nil"/>
              <w:right w:val="single" w:sz="4" w:space="0" w:color="auto"/>
            </w:tcBorders>
            <w:vAlign w:val="bottom"/>
          </w:tcPr>
          <w:p w14:paraId="7B3B0ABC" w14:textId="77777777" w:rsidR="008A305D" w:rsidRPr="00D92F6B" w:rsidRDefault="008A305D" w:rsidP="00412F88">
            <w:pPr>
              <w:tabs>
                <w:tab w:val="left" w:pos="567"/>
              </w:tabs>
              <w:spacing w:before="40" w:after="20" w:line="260" w:lineRule="exact"/>
              <w:ind w:left="57" w:hanging="57"/>
              <w:rPr>
                <w:sz w:val="22"/>
                <w:szCs w:val="22"/>
              </w:rPr>
            </w:pPr>
            <w:r w:rsidRPr="00D92F6B">
              <w:rPr>
                <w:sz w:val="22"/>
                <w:szCs w:val="22"/>
              </w:rPr>
              <w:t>N.R.</w:t>
            </w:r>
          </w:p>
        </w:tc>
        <w:tc>
          <w:tcPr>
            <w:tcW w:w="1414" w:type="dxa"/>
            <w:tcBorders>
              <w:left w:val="single" w:sz="4" w:space="0" w:color="auto"/>
              <w:bottom w:val="nil"/>
              <w:right w:val="single" w:sz="4" w:space="0" w:color="auto"/>
            </w:tcBorders>
            <w:vAlign w:val="bottom"/>
          </w:tcPr>
          <w:p w14:paraId="2317CC67" w14:textId="77777777" w:rsidR="008A305D" w:rsidRPr="00D92F6B" w:rsidRDefault="008A305D" w:rsidP="00412F88">
            <w:pPr>
              <w:tabs>
                <w:tab w:val="left" w:pos="567"/>
              </w:tabs>
              <w:spacing w:before="40" w:after="20" w:line="260" w:lineRule="exact"/>
              <w:ind w:left="57" w:hanging="57"/>
              <w:rPr>
                <w:sz w:val="22"/>
                <w:szCs w:val="22"/>
              </w:rPr>
            </w:pPr>
            <w:r w:rsidRPr="00D92F6B">
              <w:rPr>
                <w:sz w:val="22"/>
                <w:szCs w:val="22"/>
              </w:rPr>
              <w:t>100 ir 98,7</w:t>
            </w:r>
          </w:p>
        </w:tc>
        <w:tc>
          <w:tcPr>
            <w:tcW w:w="1372" w:type="dxa"/>
            <w:tcBorders>
              <w:left w:val="single" w:sz="4" w:space="0" w:color="auto"/>
              <w:bottom w:val="nil"/>
            </w:tcBorders>
            <w:vAlign w:val="bottom"/>
          </w:tcPr>
          <w:p w14:paraId="630959DE" w14:textId="77777777" w:rsidR="008A305D" w:rsidRPr="00D92F6B" w:rsidRDefault="008A305D" w:rsidP="00412F88">
            <w:pPr>
              <w:tabs>
                <w:tab w:val="left" w:pos="567"/>
              </w:tabs>
              <w:spacing w:before="40" w:after="20" w:line="260" w:lineRule="exact"/>
              <w:ind w:left="57" w:hanging="57"/>
              <w:rPr>
                <w:sz w:val="22"/>
                <w:szCs w:val="22"/>
              </w:rPr>
            </w:pPr>
            <w:r w:rsidRPr="00D92F6B">
              <w:rPr>
                <w:sz w:val="22"/>
                <w:szCs w:val="22"/>
              </w:rPr>
              <w:t>100 ir 95,5</w:t>
            </w:r>
          </w:p>
        </w:tc>
      </w:tr>
      <w:tr w:rsidR="008A305D" w:rsidRPr="00D92F6B" w14:paraId="4BBD4DCB" w14:textId="77777777" w:rsidTr="00412F88">
        <w:tc>
          <w:tcPr>
            <w:tcW w:w="1188" w:type="dxa"/>
            <w:vMerge/>
            <w:shd w:val="clear" w:color="auto" w:fill="auto"/>
          </w:tcPr>
          <w:p w14:paraId="6465E850" w14:textId="77777777" w:rsidR="008A305D" w:rsidRPr="00D92F6B" w:rsidRDefault="008A305D" w:rsidP="00412F88">
            <w:pPr>
              <w:tabs>
                <w:tab w:val="left" w:pos="567"/>
              </w:tabs>
              <w:spacing w:line="260" w:lineRule="exact"/>
              <w:rPr>
                <w:b/>
                <w:sz w:val="22"/>
                <w:szCs w:val="22"/>
              </w:rPr>
            </w:pPr>
          </w:p>
        </w:tc>
        <w:tc>
          <w:tcPr>
            <w:tcW w:w="1417" w:type="dxa"/>
            <w:tcBorders>
              <w:top w:val="nil"/>
              <w:bottom w:val="nil"/>
              <w:right w:val="single" w:sz="4" w:space="0" w:color="auto"/>
            </w:tcBorders>
            <w:vAlign w:val="bottom"/>
          </w:tcPr>
          <w:p w14:paraId="348E2725"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Vidutinė</w:t>
            </w:r>
          </w:p>
        </w:tc>
        <w:tc>
          <w:tcPr>
            <w:tcW w:w="1177" w:type="dxa"/>
            <w:tcBorders>
              <w:top w:val="nil"/>
              <w:left w:val="single" w:sz="4" w:space="0" w:color="auto"/>
              <w:bottom w:val="nil"/>
              <w:right w:val="single" w:sz="4" w:space="0" w:color="auto"/>
            </w:tcBorders>
            <w:vAlign w:val="bottom"/>
          </w:tcPr>
          <w:p w14:paraId="4C80875D" w14:textId="77777777" w:rsidR="008A305D" w:rsidRPr="00D92F6B" w:rsidRDefault="008A305D" w:rsidP="00412F88">
            <w:pPr>
              <w:keepNext/>
              <w:keepLines/>
              <w:tabs>
                <w:tab w:val="left" w:pos="284"/>
                <w:tab w:val="left" w:pos="567"/>
              </w:tabs>
              <w:spacing w:before="40" w:after="20" w:line="260" w:lineRule="exact"/>
              <w:jc w:val="center"/>
              <w:rPr>
                <w:sz w:val="22"/>
                <w:szCs w:val="22"/>
              </w:rPr>
            </w:pPr>
            <w:r w:rsidRPr="00D92F6B">
              <w:rPr>
                <w:sz w:val="22"/>
                <w:szCs w:val="22"/>
              </w:rPr>
              <w:t>25,7</w:t>
            </w:r>
          </w:p>
        </w:tc>
        <w:tc>
          <w:tcPr>
            <w:tcW w:w="2083" w:type="dxa"/>
            <w:tcBorders>
              <w:top w:val="nil"/>
              <w:left w:val="single" w:sz="4" w:space="0" w:color="auto"/>
              <w:bottom w:val="nil"/>
              <w:right w:val="single" w:sz="4" w:space="0" w:color="auto"/>
            </w:tcBorders>
            <w:vAlign w:val="bottom"/>
          </w:tcPr>
          <w:p w14:paraId="79D5DB37"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4/75 ir 6/78</w:t>
            </w:r>
          </w:p>
        </w:tc>
        <w:tc>
          <w:tcPr>
            <w:tcW w:w="1732" w:type="dxa"/>
            <w:tcBorders>
              <w:top w:val="nil"/>
              <w:left w:val="single" w:sz="4" w:space="0" w:color="auto"/>
              <w:bottom w:val="nil"/>
              <w:right w:val="single" w:sz="4" w:space="0" w:color="auto"/>
            </w:tcBorders>
            <w:vAlign w:val="bottom"/>
          </w:tcPr>
          <w:p w14:paraId="1C47C46B"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0,59 (0,17; 2,10)</w:t>
            </w:r>
          </w:p>
        </w:tc>
        <w:tc>
          <w:tcPr>
            <w:tcW w:w="1414" w:type="dxa"/>
            <w:tcBorders>
              <w:top w:val="nil"/>
              <w:left w:val="single" w:sz="4" w:space="0" w:color="auto"/>
              <w:bottom w:val="nil"/>
              <w:right w:val="single" w:sz="4" w:space="0" w:color="auto"/>
            </w:tcBorders>
            <w:vAlign w:val="bottom"/>
          </w:tcPr>
          <w:p w14:paraId="084704E2"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100 ir 94,8</w:t>
            </w:r>
          </w:p>
        </w:tc>
        <w:tc>
          <w:tcPr>
            <w:tcW w:w="1372" w:type="dxa"/>
            <w:tcBorders>
              <w:top w:val="nil"/>
              <w:left w:val="single" w:sz="4" w:space="0" w:color="auto"/>
              <w:bottom w:val="nil"/>
            </w:tcBorders>
            <w:vAlign w:val="bottom"/>
          </w:tcPr>
          <w:p w14:paraId="2792F492"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97,8 ir 89,5</w:t>
            </w:r>
          </w:p>
        </w:tc>
      </w:tr>
      <w:tr w:rsidR="008A305D" w:rsidRPr="00D92F6B" w14:paraId="60AD9E06" w14:textId="77777777" w:rsidTr="00412F88">
        <w:tc>
          <w:tcPr>
            <w:tcW w:w="1188" w:type="dxa"/>
            <w:vMerge/>
            <w:shd w:val="clear" w:color="auto" w:fill="auto"/>
          </w:tcPr>
          <w:p w14:paraId="385E4CE6" w14:textId="77777777" w:rsidR="008A305D" w:rsidRPr="00D92F6B" w:rsidRDefault="008A305D" w:rsidP="00412F88">
            <w:pPr>
              <w:keepNext/>
              <w:keepLines/>
              <w:tabs>
                <w:tab w:val="left" w:pos="284"/>
                <w:tab w:val="left" w:pos="567"/>
              </w:tabs>
              <w:spacing w:before="40" w:after="20" w:line="260" w:lineRule="exact"/>
              <w:rPr>
                <w:sz w:val="22"/>
                <w:szCs w:val="22"/>
              </w:rPr>
            </w:pPr>
          </w:p>
        </w:tc>
        <w:tc>
          <w:tcPr>
            <w:tcW w:w="1417" w:type="dxa"/>
            <w:tcBorders>
              <w:top w:val="nil"/>
              <w:right w:val="single" w:sz="4" w:space="0" w:color="auto"/>
            </w:tcBorders>
            <w:vAlign w:val="bottom"/>
          </w:tcPr>
          <w:p w14:paraId="14B8D977"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Didelė</w:t>
            </w:r>
          </w:p>
        </w:tc>
        <w:tc>
          <w:tcPr>
            <w:tcW w:w="1177" w:type="dxa"/>
            <w:tcBorders>
              <w:top w:val="nil"/>
              <w:left w:val="single" w:sz="4" w:space="0" w:color="auto"/>
              <w:right w:val="single" w:sz="4" w:space="0" w:color="auto"/>
            </w:tcBorders>
            <w:vAlign w:val="bottom"/>
          </w:tcPr>
          <w:p w14:paraId="127B6FC4" w14:textId="77777777" w:rsidR="008A305D" w:rsidRPr="00D92F6B" w:rsidRDefault="008A305D" w:rsidP="00412F88">
            <w:pPr>
              <w:keepNext/>
              <w:keepLines/>
              <w:tabs>
                <w:tab w:val="left" w:pos="284"/>
                <w:tab w:val="left" w:pos="567"/>
              </w:tabs>
              <w:spacing w:before="40" w:after="20" w:line="260" w:lineRule="exact"/>
              <w:jc w:val="center"/>
              <w:rPr>
                <w:sz w:val="22"/>
                <w:szCs w:val="22"/>
              </w:rPr>
            </w:pPr>
            <w:r w:rsidRPr="00D92F6B">
              <w:rPr>
                <w:sz w:val="22"/>
                <w:szCs w:val="22"/>
              </w:rPr>
              <w:t>44,8</w:t>
            </w:r>
          </w:p>
        </w:tc>
        <w:tc>
          <w:tcPr>
            <w:tcW w:w="2083" w:type="dxa"/>
            <w:tcBorders>
              <w:top w:val="nil"/>
              <w:left w:val="single" w:sz="4" w:space="0" w:color="auto"/>
              <w:right w:val="single" w:sz="4" w:space="0" w:color="auto"/>
            </w:tcBorders>
            <w:vAlign w:val="bottom"/>
          </w:tcPr>
          <w:p w14:paraId="247B7B43"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21/140 ir 51/127</w:t>
            </w:r>
          </w:p>
        </w:tc>
        <w:tc>
          <w:tcPr>
            <w:tcW w:w="1732" w:type="dxa"/>
            <w:tcBorders>
              <w:top w:val="nil"/>
              <w:left w:val="single" w:sz="4" w:space="0" w:color="auto"/>
              <w:right w:val="single" w:sz="4" w:space="0" w:color="auto"/>
            </w:tcBorders>
            <w:vAlign w:val="bottom"/>
          </w:tcPr>
          <w:p w14:paraId="303470A3"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0,29 (0,18; 0,49)</w:t>
            </w:r>
          </w:p>
        </w:tc>
        <w:tc>
          <w:tcPr>
            <w:tcW w:w="1414" w:type="dxa"/>
            <w:tcBorders>
              <w:top w:val="nil"/>
              <w:left w:val="single" w:sz="4" w:space="0" w:color="auto"/>
              <w:right w:val="single" w:sz="4" w:space="0" w:color="auto"/>
            </w:tcBorders>
            <w:vAlign w:val="bottom"/>
          </w:tcPr>
          <w:p w14:paraId="66D1F900"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94,8 ir 64,0</w:t>
            </w:r>
          </w:p>
        </w:tc>
        <w:tc>
          <w:tcPr>
            <w:tcW w:w="1372" w:type="dxa"/>
            <w:tcBorders>
              <w:top w:val="nil"/>
              <w:left w:val="single" w:sz="4" w:space="0" w:color="auto"/>
            </w:tcBorders>
            <w:vAlign w:val="bottom"/>
          </w:tcPr>
          <w:p w14:paraId="204A6266"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80,7 ir 46,6</w:t>
            </w:r>
          </w:p>
        </w:tc>
      </w:tr>
      <w:tr w:rsidR="008A305D" w:rsidRPr="00D92F6B" w14:paraId="5F7077AF" w14:textId="77777777" w:rsidTr="00412F88">
        <w:tc>
          <w:tcPr>
            <w:tcW w:w="1188" w:type="dxa"/>
            <w:vMerge w:val="restart"/>
            <w:shd w:val="clear" w:color="auto" w:fill="auto"/>
          </w:tcPr>
          <w:p w14:paraId="7F942424" w14:textId="77777777" w:rsidR="008A305D" w:rsidRPr="00D92F6B" w:rsidRDefault="008A305D" w:rsidP="00412F88">
            <w:pPr>
              <w:keepNext/>
              <w:keepLines/>
              <w:tabs>
                <w:tab w:val="left" w:pos="284"/>
                <w:tab w:val="left" w:pos="567"/>
              </w:tabs>
              <w:spacing w:before="480" w:after="20" w:line="260" w:lineRule="exact"/>
              <w:rPr>
                <w:sz w:val="22"/>
                <w:szCs w:val="22"/>
              </w:rPr>
            </w:pPr>
            <w:r w:rsidRPr="00D92F6B">
              <w:rPr>
                <w:sz w:val="22"/>
                <w:szCs w:val="22"/>
              </w:rPr>
              <w:t>AFIP</w:t>
            </w:r>
          </w:p>
          <w:p w14:paraId="713B82B8" w14:textId="77777777" w:rsidR="008A305D" w:rsidRPr="00D92F6B" w:rsidRDefault="008A305D" w:rsidP="00412F88">
            <w:pPr>
              <w:keepNext/>
              <w:keepLines/>
              <w:tabs>
                <w:tab w:val="left" w:pos="284"/>
                <w:tab w:val="left" w:pos="567"/>
              </w:tabs>
              <w:spacing w:before="40" w:after="20" w:line="260" w:lineRule="exact"/>
              <w:rPr>
                <w:sz w:val="22"/>
                <w:szCs w:val="22"/>
              </w:rPr>
            </w:pPr>
          </w:p>
        </w:tc>
        <w:tc>
          <w:tcPr>
            <w:tcW w:w="1417" w:type="dxa"/>
            <w:tcBorders>
              <w:bottom w:val="nil"/>
              <w:right w:val="single" w:sz="4" w:space="0" w:color="auto"/>
            </w:tcBorders>
            <w:vAlign w:val="bottom"/>
          </w:tcPr>
          <w:p w14:paraId="1312C09C"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Labai maža</w:t>
            </w:r>
          </w:p>
        </w:tc>
        <w:tc>
          <w:tcPr>
            <w:tcW w:w="1177" w:type="dxa"/>
            <w:tcBorders>
              <w:left w:val="single" w:sz="4" w:space="0" w:color="auto"/>
              <w:bottom w:val="nil"/>
              <w:right w:val="single" w:sz="4" w:space="0" w:color="auto"/>
            </w:tcBorders>
            <w:vAlign w:val="bottom"/>
          </w:tcPr>
          <w:p w14:paraId="5173EC93" w14:textId="77777777" w:rsidR="008A305D" w:rsidRPr="00D92F6B" w:rsidRDefault="008A305D" w:rsidP="00412F88">
            <w:pPr>
              <w:keepNext/>
              <w:keepLines/>
              <w:tabs>
                <w:tab w:val="left" w:pos="284"/>
                <w:tab w:val="left" w:pos="567"/>
              </w:tabs>
              <w:spacing w:before="40" w:after="20" w:line="260" w:lineRule="exact"/>
              <w:jc w:val="center"/>
              <w:rPr>
                <w:sz w:val="22"/>
                <w:szCs w:val="22"/>
              </w:rPr>
            </w:pPr>
            <w:r w:rsidRPr="00D92F6B">
              <w:rPr>
                <w:sz w:val="22"/>
                <w:szCs w:val="22"/>
              </w:rPr>
              <w:t>20,7</w:t>
            </w:r>
          </w:p>
        </w:tc>
        <w:tc>
          <w:tcPr>
            <w:tcW w:w="2083" w:type="dxa"/>
            <w:tcBorders>
              <w:left w:val="single" w:sz="4" w:space="0" w:color="auto"/>
              <w:bottom w:val="nil"/>
              <w:right w:val="single" w:sz="4" w:space="0" w:color="auto"/>
            </w:tcBorders>
            <w:vAlign w:val="bottom"/>
          </w:tcPr>
          <w:p w14:paraId="67479D50"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0/52 ir 2/63</w:t>
            </w:r>
          </w:p>
        </w:tc>
        <w:tc>
          <w:tcPr>
            <w:tcW w:w="1732" w:type="dxa"/>
            <w:tcBorders>
              <w:left w:val="single" w:sz="4" w:space="0" w:color="auto"/>
              <w:bottom w:val="nil"/>
              <w:right w:val="single" w:sz="4" w:space="0" w:color="auto"/>
            </w:tcBorders>
            <w:vAlign w:val="bottom"/>
          </w:tcPr>
          <w:p w14:paraId="416B0511"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N.R.</w:t>
            </w:r>
          </w:p>
        </w:tc>
        <w:tc>
          <w:tcPr>
            <w:tcW w:w="1414" w:type="dxa"/>
            <w:tcBorders>
              <w:left w:val="single" w:sz="4" w:space="0" w:color="auto"/>
              <w:bottom w:val="nil"/>
              <w:right w:val="single" w:sz="4" w:space="0" w:color="auto"/>
            </w:tcBorders>
            <w:vAlign w:val="bottom"/>
          </w:tcPr>
          <w:p w14:paraId="41AE3272"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100 ir 98,1</w:t>
            </w:r>
          </w:p>
        </w:tc>
        <w:tc>
          <w:tcPr>
            <w:tcW w:w="1372" w:type="dxa"/>
            <w:tcBorders>
              <w:left w:val="single" w:sz="4" w:space="0" w:color="auto"/>
              <w:bottom w:val="nil"/>
            </w:tcBorders>
            <w:vAlign w:val="bottom"/>
          </w:tcPr>
          <w:p w14:paraId="52D20E03"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100 ir 93,0</w:t>
            </w:r>
          </w:p>
        </w:tc>
      </w:tr>
      <w:tr w:rsidR="008A305D" w:rsidRPr="00D92F6B" w14:paraId="5A74721A" w14:textId="77777777" w:rsidTr="00412F88">
        <w:tc>
          <w:tcPr>
            <w:tcW w:w="1188" w:type="dxa"/>
            <w:vMerge/>
            <w:shd w:val="clear" w:color="auto" w:fill="auto"/>
          </w:tcPr>
          <w:p w14:paraId="78AC524E" w14:textId="77777777" w:rsidR="008A305D" w:rsidRPr="00D92F6B" w:rsidRDefault="008A305D" w:rsidP="00412F88">
            <w:pPr>
              <w:keepNext/>
              <w:keepLines/>
              <w:tabs>
                <w:tab w:val="left" w:pos="284"/>
                <w:tab w:val="left" w:pos="567"/>
              </w:tabs>
              <w:spacing w:before="40" w:after="20" w:line="260" w:lineRule="exact"/>
              <w:rPr>
                <w:sz w:val="22"/>
                <w:szCs w:val="22"/>
              </w:rPr>
            </w:pPr>
          </w:p>
        </w:tc>
        <w:tc>
          <w:tcPr>
            <w:tcW w:w="1417" w:type="dxa"/>
            <w:tcBorders>
              <w:top w:val="nil"/>
              <w:bottom w:val="nil"/>
              <w:right w:val="single" w:sz="4" w:space="0" w:color="auto"/>
            </w:tcBorders>
            <w:vAlign w:val="bottom"/>
          </w:tcPr>
          <w:p w14:paraId="05DE8375"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Maža</w:t>
            </w:r>
          </w:p>
        </w:tc>
        <w:tc>
          <w:tcPr>
            <w:tcW w:w="1177" w:type="dxa"/>
            <w:tcBorders>
              <w:top w:val="nil"/>
              <w:left w:val="single" w:sz="4" w:space="0" w:color="auto"/>
              <w:bottom w:val="nil"/>
              <w:right w:val="single" w:sz="4" w:space="0" w:color="auto"/>
            </w:tcBorders>
            <w:vAlign w:val="bottom"/>
          </w:tcPr>
          <w:p w14:paraId="4465E26A" w14:textId="77777777" w:rsidR="008A305D" w:rsidRPr="00D92F6B" w:rsidRDefault="008A305D" w:rsidP="00412F88">
            <w:pPr>
              <w:keepNext/>
              <w:keepLines/>
              <w:tabs>
                <w:tab w:val="left" w:pos="284"/>
                <w:tab w:val="left" w:pos="567"/>
              </w:tabs>
              <w:spacing w:before="40" w:after="20" w:line="260" w:lineRule="exact"/>
              <w:jc w:val="center"/>
              <w:rPr>
                <w:sz w:val="22"/>
                <w:szCs w:val="22"/>
              </w:rPr>
            </w:pPr>
            <w:r w:rsidRPr="00D92F6B">
              <w:rPr>
                <w:sz w:val="22"/>
                <w:szCs w:val="22"/>
              </w:rPr>
              <w:t>25,0</w:t>
            </w:r>
          </w:p>
        </w:tc>
        <w:tc>
          <w:tcPr>
            <w:tcW w:w="2083" w:type="dxa"/>
            <w:tcBorders>
              <w:top w:val="nil"/>
              <w:left w:val="single" w:sz="4" w:space="0" w:color="auto"/>
              <w:bottom w:val="nil"/>
              <w:right w:val="single" w:sz="4" w:space="0" w:color="auto"/>
            </w:tcBorders>
            <w:vAlign w:val="bottom"/>
          </w:tcPr>
          <w:p w14:paraId="13ABDE38"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2/70 ir 0/69</w:t>
            </w:r>
          </w:p>
        </w:tc>
        <w:tc>
          <w:tcPr>
            <w:tcW w:w="1732" w:type="dxa"/>
            <w:tcBorders>
              <w:top w:val="nil"/>
              <w:left w:val="single" w:sz="4" w:space="0" w:color="auto"/>
              <w:bottom w:val="nil"/>
              <w:right w:val="single" w:sz="4" w:space="0" w:color="auto"/>
            </w:tcBorders>
            <w:vAlign w:val="bottom"/>
          </w:tcPr>
          <w:p w14:paraId="4378B86D"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N.R.</w:t>
            </w:r>
          </w:p>
        </w:tc>
        <w:tc>
          <w:tcPr>
            <w:tcW w:w="1414" w:type="dxa"/>
            <w:tcBorders>
              <w:top w:val="nil"/>
              <w:left w:val="single" w:sz="4" w:space="0" w:color="auto"/>
              <w:bottom w:val="nil"/>
              <w:right w:val="single" w:sz="4" w:space="0" w:color="auto"/>
            </w:tcBorders>
            <w:vAlign w:val="bottom"/>
          </w:tcPr>
          <w:p w14:paraId="0947FC47"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100 ir 100</w:t>
            </w:r>
          </w:p>
        </w:tc>
        <w:tc>
          <w:tcPr>
            <w:tcW w:w="1372" w:type="dxa"/>
            <w:tcBorders>
              <w:top w:val="nil"/>
              <w:left w:val="single" w:sz="4" w:space="0" w:color="auto"/>
              <w:bottom w:val="nil"/>
            </w:tcBorders>
            <w:vAlign w:val="bottom"/>
          </w:tcPr>
          <w:p w14:paraId="29A5D8A1"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97,8 ir 100</w:t>
            </w:r>
          </w:p>
        </w:tc>
      </w:tr>
      <w:tr w:rsidR="008A305D" w:rsidRPr="00D92F6B" w14:paraId="3A7BB13B" w14:textId="77777777" w:rsidTr="00412F88">
        <w:tc>
          <w:tcPr>
            <w:tcW w:w="1188" w:type="dxa"/>
            <w:vMerge/>
            <w:shd w:val="clear" w:color="auto" w:fill="auto"/>
          </w:tcPr>
          <w:p w14:paraId="404A3293" w14:textId="77777777" w:rsidR="008A305D" w:rsidRPr="00D92F6B" w:rsidRDefault="008A305D" w:rsidP="00412F88">
            <w:pPr>
              <w:keepNext/>
              <w:keepLines/>
              <w:tabs>
                <w:tab w:val="left" w:pos="284"/>
                <w:tab w:val="left" w:pos="567"/>
              </w:tabs>
              <w:spacing w:before="40" w:after="20" w:line="260" w:lineRule="exact"/>
              <w:rPr>
                <w:b/>
                <w:sz w:val="22"/>
                <w:szCs w:val="22"/>
              </w:rPr>
            </w:pPr>
          </w:p>
        </w:tc>
        <w:tc>
          <w:tcPr>
            <w:tcW w:w="1417" w:type="dxa"/>
            <w:tcBorders>
              <w:top w:val="nil"/>
              <w:bottom w:val="nil"/>
              <w:right w:val="single" w:sz="4" w:space="0" w:color="auto"/>
            </w:tcBorders>
            <w:vAlign w:val="bottom"/>
          </w:tcPr>
          <w:p w14:paraId="79831727"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Vidutinė</w:t>
            </w:r>
          </w:p>
        </w:tc>
        <w:tc>
          <w:tcPr>
            <w:tcW w:w="1177" w:type="dxa"/>
            <w:tcBorders>
              <w:top w:val="nil"/>
              <w:left w:val="single" w:sz="4" w:space="0" w:color="auto"/>
              <w:bottom w:val="nil"/>
              <w:right w:val="single" w:sz="4" w:space="0" w:color="auto"/>
            </w:tcBorders>
            <w:vAlign w:val="bottom"/>
          </w:tcPr>
          <w:p w14:paraId="351C26A2" w14:textId="77777777" w:rsidR="008A305D" w:rsidRPr="00D92F6B" w:rsidRDefault="008A305D" w:rsidP="00412F88">
            <w:pPr>
              <w:keepNext/>
              <w:keepLines/>
              <w:tabs>
                <w:tab w:val="left" w:pos="284"/>
                <w:tab w:val="left" w:pos="567"/>
              </w:tabs>
              <w:spacing w:before="40" w:after="20" w:line="260" w:lineRule="exact"/>
              <w:jc w:val="center"/>
              <w:rPr>
                <w:sz w:val="22"/>
                <w:szCs w:val="22"/>
              </w:rPr>
            </w:pPr>
            <w:r w:rsidRPr="00D92F6B">
              <w:rPr>
                <w:sz w:val="22"/>
                <w:szCs w:val="22"/>
              </w:rPr>
              <w:t>24,6</w:t>
            </w:r>
          </w:p>
        </w:tc>
        <w:tc>
          <w:tcPr>
            <w:tcW w:w="2083" w:type="dxa"/>
            <w:tcBorders>
              <w:top w:val="nil"/>
              <w:left w:val="single" w:sz="4" w:space="0" w:color="auto"/>
              <w:bottom w:val="nil"/>
              <w:right w:val="single" w:sz="4" w:space="0" w:color="auto"/>
            </w:tcBorders>
            <w:vAlign w:val="bottom"/>
          </w:tcPr>
          <w:p w14:paraId="1402EB3F"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2/70 ir 11/67</w:t>
            </w:r>
          </w:p>
        </w:tc>
        <w:tc>
          <w:tcPr>
            <w:tcW w:w="1732" w:type="dxa"/>
            <w:tcBorders>
              <w:top w:val="nil"/>
              <w:left w:val="single" w:sz="4" w:space="0" w:color="auto"/>
              <w:bottom w:val="nil"/>
              <w:right w:val="single" w:sz="4" w:space="0" w:color="auto"/>
            </w:tcBorders>
            <w:vAlign w:val="bottom"/>
          </w:tcPr>
          <w:p w14:paraId="4F0793EC"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0,16 (0,03; 0,70)</w:t>
            </w:r>
          </w:p>
        </w:tc>
        <w:tc>
          <w:tcPr>
            <w:tcW w:w="1414" w:type="dxa"/>
            <w:tcBorders>
              <w:top w:val="nil"/>
              <w:left w:val="single" w:sz="4" w:space="0" w:color="auto"/>
              <w:bottom w:val="nil"/>
              <w:right w:val="single" w:sz="4" w:space="0" w:color="auto"/>
            </w:tcBorders>
            <w:vAlign w:val="bottom"/>
          </w:tcPr>
          <w:p w14:paraId="70C29BE0"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97,9 ir 90,8</w:t>
            </w:r>
          </w:p>
        </w:tc>
        <w:tc>
          <w:tcPr>
            <w:tcW w:w="1372" w:type="dxa"/>
            <w:tcBorders>
              <w:top w:val="nil"/>
              <w:left w:val="single" w:sz="4" w:space="0" w:color="auto"/>
              <w:bottom w:val="nil"/>
            </w:tcBorders>
            <w:vAlign w:val="bottom"/>
          </w:tcPr>
          <w:p w14:paraId="74E2C3BA"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97,9 ir 73,3</w:t>
            </w:r>
          </w:p>
        </w:tc>
      </w:tr>
      <w:tr w:rsidR="008A305D" w:rsidRPr="00D92F6B" w14:paraId="63BEBE12" w14:textId="77777777" w:rsidTr="00412F88">
        <w:tc>
          <w:tcPr>
            <w:tcW w:w="1188" w:type="dxa"/>
            <w:vMerge/>
            <w:tcBorders>
              <w:bottom w:val="single" w:sz="4" w:space="0" w:color="auto"/>
            </w:tcBorders>
            <w:shd w:val="clear" w:color="auto" w:fill="auto"/>
          </w:tcPr>
          <w:p w14:paraId="364AE53F" w14:textId="77777777" w:rsidR="008A305D" w:rsidRPr="00D92F6B" w:rsidRDefault="008A305D" w:rsidP="00412F88">
            <w:pPr>
              <w:keepNext/>
              <w:keepLines/>
              <w:tabs>
                <w:tab w:val="left" w:pos="284"/>
                <w:tab w:val="left" w:pos="567"/>
              </w:tabs>
              <w:spacing w:before="40" w:after="20" w:line="260" w:lineRule="exact"/>
              <w:rPr>
                <w:sz w:val="22"/>
                <w:szCs w:val="22"/>
              </w:rPr>
            </w:pPr>
          </w:p>
        </w:tc>
        <w:tc>
          <w:tcPr>
            <w:tcW w:w="1417" w:type="dxa"/>
            <w:tcBorders>
              <w:top w:val="nil"/>
              <w:bottom w:val="single" w:sz="4" w:space="0" w:color="auto"/>
              <w:right w:val="single" w:sz="4" w:space="0" w:color="auto"/>
            </w:tcBorders>
            <w:vAlign w:val="bottom"/>
          </w:tcPr>
          <w:p w14:paraId="7249804B"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Didelė</w:t>
            </w:r>
          </w:p>
        </w:tc>
        <w:tc>
          <w:tcPr>
            <w:tcW w:w="1177" w:type="dxa"/>
            <w:tcBorders>
              <w:top w:val="nil"/>
              <w:left w:val="single" w:sz="4" w:space="0" w:color="auto"/>
              <w:bottom w:val="single" w:sz="4" w:space="0" w:color="auto"/>
              <w:right w:val="single" w:sz="4" w:space="0" w:color="auto"/>
            </w:tcBorders>
            <w:vAlign w:val="bottom"/>
          </w:tcPr>
          <w:p w14:paraId="08CBB85B" w14:textId="77777777" w:rsidR="008A305D" w:rsidRPr="00D92F6B" w:rsidRDefault="008A305D" w:rsidP="00412F88">
            <w:pPr>
              <w:keepNext/>
              <w:keepLines/>
              <w:tabs>
                <w:tab w:val="left" w:pos="284"/>
                <w:tab w:val="left" w:pos="567"/>
              </w:tabs>
              <w:spacing w:before="40" w:after="20" w:line="260" w:lineRule="exact"/>
              <w:ind w:right="-3"/>
              <w:jc w:val="center"/>
              <w:rPr>
                <w:sz w:val="22"/>
                <w:szCs w:val="22"/>
              </w:rPr>
            </w:pPr>
            <w:r w:rsidRPr="00D92F6B">
              <w:rPr>
                <w:sz w:val="22"/>
                <w:szCs w:val="22"/>
              </w:rPr>
              <w:t>29,7</w:t>
            </w:r>
          </w:p>
        </w:tc>
        <w:tc>
          <w:tcPr>
            <w:tcW w:w="2083" w:type="dxa"/>
            <w:tcBorders>
              <w:top w:val="nil"/>
              <w:left w:val="single" w:sz="4" w:space="0" w:color="auto"/>
              <w:bottom w:val="single" w:sz="4" w:space="0" w:color="auto"/>
              <w:right w:val="single" w:sz="4" w:space="0" w:color="auto"/>
            </w:tcBorders>
            <w:vAlign w:val="bottom"/>
          </w:tcPr>
          <w:p w14:paraId="0A6C3F52"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16/84 ir 39/81</w:t>
            </w:r>
          </w:p>
        </w:tc>
        <w:tc>
          <w:tcPr>
            <w:tcW w:w="1732" w:type="dxa"/>
            <w:tcBorders>
              <w:top w:val="nil"/>
              <w:left w:val="single" w:sz="4" w:space="0" w:color="auto"/>
              <w:bottom w:val="single" w:sz="4" w:space="0" w:color="auto"/>
              <w:right w:val="single" w:sz="4" w:space="0" w:color="auto"/>
            </w:tcBorders>
            <w:vAlign w:val="bottom"/>
          </w:tcPr>
          <w:p w14:paraId="75C5F278"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0,27 (0,15; 0,48)</w:t>
            </w:r>
          </w:p>
        </w:tc>
        <w:tc>
          <w:tcPr>
            <w:tcW w:w="1414" w:type="dxa"/>
            <w:tcBorders>
              <w:top w:val="nil"/>
              <w:left w:val="single" w:sz="4" w:space="0" w:color="auto"/>
              <w:bottom w:val="single" w:sz="4" w:space="0" w:color="auto"/>
              <w:right w:val="single" w:sz="4" w:space="0" w:color="auto"/>
            </w:tcBorders>
            <w:vAlign w:val="bottom"/>
          </w:tcPr>
          <w:p w14:paraId="45F3E2F3"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98,7 ir 56,1</w:t>
            </w:r>
          </w:p>
        </w:tc>
        <w:tc>
          <w:tcPr>
            <w:tcW w:w="1372" w:type="dxa"/>
            <w:tcBorders>
              <w:top w:val="nil"/>
              <w:left w:val="single" w:sz="4" w:space="0" w:color="auto"/>
              <w:bottom w:val="single" w:sz="4" w:space="0" w:color="auto"/>
            </w:tcBorders>
            <w:vAlign w:val="bottom"/>
          </w:tcPr>
          <w:p w14:paraId="385659C5" w14:textId="77777777" w:rsidR="008A305D" w:rsidRPr="00D92F6B" w:rsidRDefault="008A305D" w:rsidP="00412F88">
            <w:pPr>
              <w:keepNext/>
              <w:keepLines/>
              <w:tabs>
                <w:tab w:val="left" w:pos="284"/>
                <w:tab w:val="left" w:pos="567"/>
              </w:tabs>
              <w:spacing w:before="40" w:after="20" w:line="260" w:lineRule="exact"/>
              <w:rPr>
                <w:sz w:val="22"/>
                <w:szCs w:val="22"/>
              </w:rPr>
            </w:pPr>
            <w:r w:rsidRPr="00D92F6B">
              <w:rPr>
                <w:sz w:val="22"/>
                <w:szCs w:val="22"/>
              </w:rPr>
              <w:t>79,9 ir 41,5</w:t>
            </w:r>
          </w:p>
        </w:tc>
      </w:tr>
    </w:tbl>
    <w:p w14:paraId="278E9AC6" w14:textId="77777777" w:rsidR="008A305D" w:rsidRPr="00D92F6B" w:rsidRDefault="008A305D" w:rsidP="008A305D">
      <w:pPr>
        <w:jc w:val="both"/>
        <w:rPr>
          <w:sz w:val="22"/>
          <w:szCs w:val="22"/>
        </w:rPr>
      </w:pPr>
      <w:r w:rsidRPr="00D92F6B">
        <w:rPr>
          <w:sz w:val="22"/>
          <w:szCs w:val="22"/>
        </w:rPr>
        <w:t>*Visas stebėjimo laikotarpis; NR – Nenustatytas</w:t>
      </w:r>
    </w:p>
    <w:p w14:paraId="24D4566D" w14:textId="77777777" w:rsidR="008A305D" w:rsidRPr="00D92F6B" w:rsidRDefault="008A305D" w:rsidP="008A305D">
      <w:pPr>
        <w:rPr>
          <w:rFonts w:eastAsia="MS Mincho"/>
          <w:color w:val="000000"/>
          <w:sz w:val="22"/>
          <w:szCs w:val="22"/>
          <w:lang w:eastAsia="ja-JP"/>
        </w:rPr>
      </w:pPr>
    </w:p>
    <w:p w14:paraId="01046BCB" w14:textId="77777777" w:rsidR="008A305D" w:rsidRPr="00D92F6B" w:rsidRDefault="008A305D" w:rsidP="008A305D">
      <w:pPr>
        <w:rPr>
          <w:rFonts w:eastAsia="MS Mincho"/>
          <w:iCs/>
          <w:sz w:val="22"/>
          <w:szCs w:val="22"/>
          <w:lang w:eastAsia="ja-JP"/>
        </w:rPr>
      </w:pPr>
      <w:r w:rsidRPr="00D92F6B">
        <w:rPr>
          <w:rFonts w:eastAsia="MS Mincho"/>
          <w:sz w:val="22"/>
          <w:szCs w:val="22"/>
          <w:lang w:eastAsia="ja-JP"/>
        </w:rPr>
        <w:t xml:space="preserve">Atlikto antrojo daugiacentrio atvirojo III fazės tyrimo (SSG XVIII/AIO) metu buvo lyginamas </w:t>
      </w:r>
      <w:r>
        <w:rPr>
          <w:color w:val="000000"/>
          <w:sz w:val="22"/>
          <w:szCs w:val="22"/>
        </w:rPr>
        <w:t>GIST</w:t>
      </w:r>
      <w:r w:rsidRPr="00D92F6B">
        <w:rPr>
          <w:color w:val="000000"/>
          <w:sz w:val="22"/>
          <w:szCs w:val="22"/>
        </w:rPr>
        <w:t xml:space="preserve"> sergančių pacientų po chirurginės naviko rezekcijos </w:t>
      </w:r>
      <w:r w:rsidRPr="00D92F6B">
        <w:rPr>
          <w:rFonts w:eastAsia="MS Mincho"/>
          <w:sz w:val="22"/>
          <w:szCs w:val="22"/>
          <w:lang w:eastAsia="ja-JP"/>
        </w:rPr>
        <w:t xml:space="preserve">12 mėnesių trukmės gydymas su 36 mėnesių trukmės gydymu 400 mg imatinibo paros doze, kai buvo viena iš toliau nurodytų sąlygų: naviko skersmuo </w:t>
      </w:r>
      <w:r w:rsidRPr="00D92F6B">
        <w:rPr>
          <w:rFonts w:eastAsia="MS Mincho"/>
          <w:iCs/>
          <w:sz w:val="22"/>
          <w:szCs w:val="22"/>
          <w:lang w:eastAsia="ja-JP"/>
        </w:rPr>
        <w:t>&gt; 5</w:t>
      </w:r>
      <w:r w:rsidRPr="00D92F6B">
        <w:rPr>
          <w:rFonts w:eastAsia="MS Mincho"/>
          <w:sz w:val="22"/>
          <w:szCs w:val="22"/>
          <w:lang w:eastAsia="ja-JP"/>
        </w:rPr>
        <w:t> </w:t>
      </w:r>
      <w:r w:rsidRPr="00D92F6B">
        <w:rPr>
          <w:rFonts w:eastAsia="MS Mincho"/>
          <w:iCs/>
          <w:sz w:val="22"/>
          <w:szCs w:val="22"/>
          <w:lang w:eastAsia="ja-JP"/>
        </w:rPr>
        <w:t xml:space="preserve">cm ir mitozių skaičius &gt; 5/50 didelės didinamosios galios laukų (DDGL); arba </w:t>
      </w:r>
      <w:r w:rsidRPr="00D92F6B">
        <w:rPr>
          <w:rFonts w:eastAsia="MS Mincho"/>
          <w:sz w:val="22"/>
          <w:szCs w:val="22"/>
          <w:lang w:eastAsia="ja-JP"/>
        </w:rPr>
        <w:t xml:space="preserve">naviko skersmuo </w:t>
      </w:r>
      <w:r w:rsidRPr="00D92F6B">
        <w:rPr>
          <w:rFonts w:eastAsia="MS Mincho"/>
          <w:iCs/>
          <w:sz w:val="22"/>
          <w:szCs w:val="22"/>
          <w:lang w:eastAsia="ja-JP"/>
        </w:rPr>
        <w:t>&gt; 10</w:t>
      </w:r>
      <w:r w:rsidRPr="00D92F6B">
        <w:rPr>
          <w:rFonts w:eastAsia="MS Mincho"/>
          <w:sz w:val="22"/>
          <w:szCs w:val="22"/>
          <w:lang w:eastAsia="ja-JP"/>
        </w:rPr>
        <w:t> </w:t>
      </w:r>
      <w:r w:rsidRPr="00D92F6B">
        <w:rPr>
          <w:rFonts w:eastAsia="MS Mincho"/>
          <w:iCs/>
          <w:sz w:val="22"/>
          <w:szCs w:val="22"/>
          <w:lang w:eastAsia="ja-JP"/>
        </w:rPr>
        <w:t xml:space="preserve">cm ir bet koks mitozių skaičius; arba bet kokio skersmens navikas ir </w:t>
      </w:r>
      <w:r w:rsidRPr="00D92F6B">
        <w:rPr>
          <w:rFonts w:eastAsia="MS Mincho"/>
          <w:iCs/>
          <w:sz w:val="22"/>
          <w:szCs w:val="22"/>
          <w:lang w:eastAsia="ja-JP"/>
        </w:rPr>
        <w:lastRenderedPageBreak/>
        <w:t>mitozių skaičius &gt; 10/50 DDGL; arba navikas plyšęs į pilvaplėvės ertmę. Tyrime sutiko dalyvauti ir buvo atrinkti iš viso 397</w:t>
      </w:r>
      <w:r w:rsidRPr="00D92F6B">
        <w:rPr>
          <w:rFonts w:eastAsia="MS Mincho"/>
          <w:sz w:val="22"/>
          <w:szCs w:val="22"/>
          <w:lang w:eastAsia="ja-JP"/>
        </w:rPr>
        <w:t> </w:t>
      </w:r>
      <w:r w:rsidRPr="00D92F6B">
        <w:rPr>
          <w:rFonts w:eastAsia="MS Mincho"/>
          <w:iCs/>
          <w:sz w:val="22"/>
          <w:szCs w:val="22"/>
          <w:lang w:eastAsia="ja-JP"/>
        </w:rPr>
        <w:t>pacientai (199</w:t>
      </w:r>
      <w:r w:rsidRPr="00D92F6B">
        <w:rPr>
          <w:rFonts w:eastAsia="MS Mincho"/>
          <w:sz w:val="22"/>
          <w:szCs w:val="22"/>
          <w:lang w:eastAsia="ja-JP"/>
        </w:rPr>
        <w:t> </w:t>
      </w:r>
      <w:r w:rsidRPr="00D92F6B">
        <w:rPr>
          <w:rFonts w:eastAsia="MS Mincho"/>
          <w:iCs/>
          <w:sz w:val="22"/>
          <w:szCs w:val="22"/>
          <w:lang w:eastAsia="ja-JP"/>
        </w:rPr>
        <w:t>pacientams skirtas 12 mėnesių trukmės gydymas, o 198</w:t>
      </w:r>
      <w:r w:rsidRPr="00D92F6B">
        <w:rPr>
          <w:rFonts w:eastAsia="MS Mincho"/>
          <w:sz w:val="22"/>
          <w:szCs w:val="22"/>
          <w:lang w:eastAsia="ja-JP"/>
        </w:rPr>
        <w:t> </w:t>
      </w:r>
      <w:r w:rsidRPr="00D92F6B">
        <w:rPr>
          <w:rFonts w:eastAsia="MS Mincho"/>
          <w:iCs/>
          <w:sz w:val="22"/>
          <w:szCs w:val="22"/>
          <w:lang w:eastAsia="ja-JP"/>
        </w:rPr>
        <w:t xml:space="preserve">pacientams skirtas 36 mėnesių trukmės gydymas), jų amžiaus mediana buvo </w:t>
      </w:r>
      <w:r w:rsidRPr="00D92F6B">
        <w:rPr>
          <w:rFonts w:eastAsia="MS Mincho"/>
          <w:bCs/>
          <w:iCs/>
          <w:sz w:val="22"/>
          <w:szCs w:val="22"/>
          <w:lang w:eastAsia="ja-JP"/>
        </w:rPr>
        <w:t>61</w:t>
      </w:r>
      <w:r w:rsidRPr="00D92F6B">
        <w:rPr>
          <w:rFonts w:eastAsia="MS Mincho"/>
          <w:sz w:val="22"/>
          <w:szCs w:val="22"/>
          <w:lang w:eastAsia="ja-JP"/>
        </w:rPr>
        <w:t> metai</w:t>
      </w:r>
      <w:r w:rsidRPr="00D92F6B">
        <w:rPr>
          <w:rFonts w:eastAsia="MS Mincho"/>
          <w:iCs/>
          <w:sz w:val="22"/>
          <w:szCs w:val="22"/>
          <w:lang w:eastAsia="ja-JP"/>
        </w:rPr>
        <w:t xml:space="preserve"> (svyravo nuo 22 iki 84</w:t>
      </w:r>
      <w:r w:rsidRPr="00D92F6B">
        <w:rPr>
          <w:rFonts w:eastAsia="MS Mincho"/>
          <w:sz w:val="22"/>
          <w:szCs w:val="22"/>
          <w:lang w:eastAsia="ja-JP"/>
        </w:rPr>
        <w:t> metų</w:t>
      </w:r>
      <w:r w:rsidRPr="00D92F6B">
        <w:rPr>
          <w:rFonts w:eastAsia="MS Mincho"/>
          <w:iCs/>
          <w:sz w:val="22"/>
          <w:szCs w:val="22"/>
          <w:lang w:eastAsia="ja-JP"/>
        </w:rPr>
        <w:t>). Vidutinė stebėjimo laikotarpio mediana buvo 54</w:t>
      </w:r>
      <w:r w:rsidRPr="00D92F6B">
        <w:rPr>
          <w:rFonts w:eastAsia="MS Mincho"/>
          <w:sz w:val="22"/>
          <w:szCs w:val="22"/>
          <w:lang w:eastAsia="ja-JP"/>
        </w:rPr>
        <w:t> </w:t>
      </w:r>
      <w:r w:rsidRPr="00D92F6B">
        <w:rPr>
          <w:rFonts w:eastAsia="MS Mincho"/>
          <w:iCs/>
          <w:sz w:val="22"/>
          <w:szCs w:val="22"/>
          <w:lang w:eastAsia="ja-JP"/>
        </w:rPr>
        <w:t xml:space="preserve">mėnesiai (nuo </w:t>
      </w:r>
      <w:r w:rsidRPr="00D92F6B">
        <w:rPr>
          <w:rFonts w:eastAsia="MS Mincho"/>
          <w:color w:val="000000"/>
          <w:sz w:val="22"/>
          <w:szCs w:val="22"/>
          <w:lang w:eastAsia="ja-JP"/>
        </w:rPr>
        <w:t xml:space="preserve">randomizacijos </w:t>
      </w:r>
      <w:r w:rsidRPr="00D92F6B">
        <w:rPr>
          <w:rFonts w:eastAsia="MS Mincho"/>
          <w:iCs/>
          <w:sz w:val="22"/>
          <w:szCs w:val="22"/>
          <w:lang w:eastAsia="ja-JP"/>
        </w:rPr>
        <w:t>dienos iki tyrimo pabaigos), nuo pirmojo paciento atrankos iki tyrimo pabaigos dienos praėjo iš viso 83</w:t>
      </w:r>
      <w:r w:rsidRPr="00D92F6B">
        <w:rPr>
          <w:rFonts w:eastAsia="MS Mincho"/>
          <w:sz w:val="22"/>
          <w:szCs w:val="22"/>
          <w:lang w:eastAsia="ja-JP"/>
        </w:rPr>
        <w:t> </w:t>
      </w:r>
      <w:r w:rsidRPr="00D92F6B">
        <w:rPr>
          <w:rFonts w:eastAsia="MS Mincho"/>
          <w:iCs/>
          <w:sz w:val="22"/>
          <w:szCs w:val="22"/>
          <w:lang w:eastAsia="ja-JP"/>
        </w:rPr>
        <w:t>mėnesiai.</w:t>
      </w:r>
    </w:p>
    <w:p w14:paraId="21A7F635" w14:textId="77777777" w:rsidR="008A305D" w:rsidRPr="00D92F6B" w:rsidRDefault="008A305D" w:rsidP="008A305D">
      <w:pPr>
        <w:rPr>
          <w:rFonts w:eastAsia="MS Mincho"/>
          <w:color w:val="000000"/>
          <w:sz w:val="22"/>
          <w:szCs w:val="22"/>
          <w:lang w:eastAsia="ja-JP"/>
        </w:rPr>
      </w:pPr>
    </w:p>
    <w:p w14:paraId="439D1038" w14:textId="77777777" w:rsidR="008A305D" w:rsidRPr="00D92F6B" w:rsidRDefault="008A305D" w:rsidP="008A305D">
      <w:pPr>
        <w:autoSpaceDE w:val="0"/>
        <w:autoSpaceDN w:val="0"/>
        <w:adjustRightInd w:val="0"/>
        <w:rPr>
          <w:sz w:val="22"/>
          <w:szCs w:val="22"/>
        </w:rPr>
      </w:pPr>
      <w:r w:rsidRPr="00D92F6B">
        <w:rPr>
          <w:sz w:val="22"/>
          <w:szCs w:val="22"/>
        </w:rPr>
        <w:t xml:space="preserve">Pirminė tyrimo vertinamoji baigtis buvo išgyvenamumas be ligos recidyvo (angl. </w:t>
      </w:r>
      <w:r w:rsidRPr="00D92F6B">
        <w:rPr>
          <w:i/>
          <w:sz w:val="22"/>
          <w:szCs w:val="22"/>
        </w:rPr>
        <w:t xml:space="preserve">Recurrence-free survival, </w:t>
      </w:r>
      <w:r w:rsidRPr="0045031A">
        <w:rPr>
          <w:sz w:val="22"/>
          <w:szCs w:val="22"/>
        </w:rPr>
        <w:t>RFS</w:t>
      </w:r>
      <w:r w:rsidRPr="00D92F6B">
        <w:rPr>
          <w:sz w:val="22"/>
          <w:szCs w:val="22"/>
        </w:rPr>
        <w:t>), nustatomas kaip laikas nuo randomizacijos dienos iki recidyvo pasireiškimo dienos arba mirties dėl bet kokios priežasties.</w:t>
      </w:r>
    </w:p>
    <w:p w14:paraId="7B8405D3" w14:textId="77777777" w:rsidR="008A305D" w:rsidRPr="00D92F6B" w:rsidRDefault="008A305D" w:rsidP="008A305D">
      <w:pPr>
        <w:autoSpaceDE w:val="0"/>
        <w:autoSpaceDN w:val="0"/>
        <w:adjustRightInd w:val="0"/>
        <w:rPr>
          <w:sz w:val="22"/>
          <w:szCs w:val="22"/>
        </w:rPr>
      </w:pPr>
    </w:p>
    <w:p w14:paraId="12E07135" w14:textId="77777777" w:rsidR="008A305D" w:rsidRPr="00D92F6B" w:rsidRDefault="008A305D" w:rsidP="008A305D">
      <w:pPr>
        <w:autoSpaceDE w:val="0"/>
        <w:autoSpaceDN w:val="0"/>
        <w:adjustRightInd w:val="0"/>
        <w:rPr>
          <w:iCs/>
          <w:sz w:val="22"/>
          <w:szCs w:val="22"/>
        </w:rPr>
      </w:pPr>
      <w:r w:rsidRPr="00D92F6B">
        <w:rPr>
          <w:iCs/>
          <w:sz w:val="22"/>
          <w:szCs w:val="22"/>
        </w:rPr>
        <w:t>Trisdešimt šešių (36) mėnesių trukmės gydymas imatinibu reikšmingai pailgino RFS rodiklį, lyginant su 12</w:t>
      </w:r>
      <w:r w:rsidRPr="00D92F6B">
        <w:rPr>
          <w:sz w:val="22"/>
          <w:szCs w:val="22"/>
        </w:rPr>
        <w:t> </w:t>
      </w:r>
      <w:r w:rsidRPr="00D92F6B">
        <w:rPr>
          <w:iCs/>
          <w:sz w:val="22"/>
          <w:szCs w:val="22"/>
        </w:rPr>
        <w:t xml:space="preserve">mėnesių trukmės gydymu imatinibu (bendrasis rizikos santykis (RS) lygus 0,46 [0,32, 0,65], p&lt;0,0001) (žr. 8 lentelę, </w:t>
      </w:r>
      <w:r w:rsidRPr="00D92F6B">
        <w:rPr>
          <w:sz w:val="22"/>
          <w:szCs w:val="22"/>
        </w:rPr>
        <w:t>1 pav.</w:t>
      </w:r>
      <w:r w:rsidRPr="00D92F6B">
        <w:rPr>
          <w:iCs/>
          <w:sz w:val="22"/>
          <w:szCs w:val="22"/>
        </w:rPr>
        <w:t>).</w:t>
      </w:r>
    </w:p>
    <w:p w14:paraId="4763B3FA" w14:textId="77777777" w:rsidR="008A305D" w:rsidRPr="00D92F6B" w:rsidRDefault="008A305D" w:rsidP="008A305D">
      <w:pPr>
        <w:autoSpaceDE w:val="0"/>
        <w:autoSpaceDN w:val="0"/>
        <w:adjustRightInd w:val="0"/>
        <w:rPr>
          <w:iCs/>
          <w:sz w:val="22"/>
          <w:szCs w:val="22"/>
        </w:rPr>
      </w:pPr>
    </w:p>
    <w:p w14:paraId="56FC60B9" w14:textId="77777777" w:rsidR="008A305D" w:rsidRPr="00D92F6B" w:rsidRDefault="008A305D" w:rsidP="008A305D">
      <w:pPr>
        <w:autoSpaceDE w:val="0"/>
        <w:autoSpaceDN w:val="0"/>
        <w:adjustRightInd w:val="0"/>
        <w:rPr>
          <w:iCs/>
          <w:sz w:val="22"/>
          <w:szCs w:val="22"/>
        </w:rPr>
      </w:pPr>
      <w:r w:rsidRPr="00D92F6B">
        <w:rPr>
          <w:iCs/>
          <w:sz w:val="22"/>
          <w:szCs w:val="22"/>
        </w:rPr>
        <w:t>Be to, trisdešimt šešių (36) mėnesių trukmės gydymas imatinibu reikšmingai pailgino bendrojo išgyvenamumo rodiklį, lyginant su 12</w:t>
      </w:r>
      <w:r w:rsidRPr="00D92F6B">
        <w:rPr>
          <w:sz w:val="22"/>
          <w:szCs w:val="22"/>
        </w:rPr>
        <w:t> </w:t>
      </w:r>
      <w:r w:rsidRPr="00D92F6B">
        <w:rPr>
          <w:iCs/>
          <w:sz w:val="22"/>
          <w:szCs w:val="22"/>
        </w:rPr>
        <w:t>mėnesių trukmės gydymu imatinibu (RS = 0,45 [0,22, 0,89], p=0,0187) (žr. 8 lentelę, 2</w:t>
      </w:r>
      <w:r w:rsidRPr="00D92F6B">
        <w:rPr>
          <w:sz w:val="22"/>
          <w:szCs w:val="22"/>
        </w:rPr>
        <w:t> pav.</w:t>
      </w:r>
      <w:r w:rsidRPr="00D92F6B">
        <w:rPr>
          <w:iCs/>
          <w:sz w:val="22"/>
          <w:szCs w:val="22"/>
        </w:rPr>
        <w:t>).</w:t>
      </w:r>
    </w:p>
    <w:p w14:paraId="2B17906B" w14:textId="77777777" w:rsidR="008A305D" w:rsidRPr="00D92F6B" w:rsidRDefault="008A305D" w:rsidP="008A305D">
      <w:pPr>
        <w:autoSpaceDE w:val="0"/>
        <w:autoSpaceDN w:val="0"/>
        <w:adjustRightInd w:val="0"/>
        <w:rPr>
          <w:iCs/>
          <w:sz w:val="22"/>
          <w:szCs w:val="22"/>
        </w:rPr>
      </w:pPr>
    </w:p>
    <w:p w14:paraId="420C3256" w14:textId="77777777" w:rsidR="008A305D" w:rsidRPr="00D92F6B" w:rsidRDefault="008A305D" w:rsidP="008A305D">
      <w:pPr>
        <w:autoSpaceDE w:val="0"/>
        <w:autoSpaceDN w:val="0"/>
        <w:adjustRightInd w:val="0"/>
        <w:rPr>
          <w:iCs/>
          <w:sz w:val="22"/>
          <w:szCs w:val="22"/>
        </w:rPr>
      </w:pPr>
      <w:r w:rsidRPr="00D92F6B">
        <w:rPr>
          <w:iCs/>
          <w:sz w:val="22"/>
          <w:szCs w:val="22"/>
        </w:rPr>
        <w:t>Ilgesnė gydymo trukmė (&gt; 36 mėnesių) gali atitolinti kitų recidyvų pasireiškimo pradžią; tačiau šių duomenų reikšmė bendrajam išgyvenamumui iki šiol nežinoma.</w:t>
      </w:r>
    </w:p>
    <w:p w14:paraId="68F3E26F" w14:textId="77777777" w:rsidR="008A305D" w:rsidRPr="00D92F6B" w:rsidRDefault="008A305D" w:rsidP="008A305D">
      <w:pPr>
        <w:autoSpaceDE w:val="0"/>
        <w:autoSpaceDN w:val="0"/>
        <w:adjustRightInd w:val="0"/>
        <w:rPr>
          <w:sz w:val="22"/>
          <w:szCs w:val="22"/>
        </w:rPr>
      </w:pPr>
    </w:p>
    <w:p w14:paraId="6F42AA51" w14:textId="77777777" w:rsidR="008A305D" w:rsidRPr="00D92F6B" w:rsidRDefault="008A305D" w:rsidP="008A305D">
      <w:pPr>
        <w:autoSpaceDE w:val="0"/>
        <w:autoSpaceDN w:val="0"/>
        <w:adjustRightInd w:val="0"/>
        <w:rPr>
          <w:iCs/>
          <w:sz w:val="22"/>
          <w:szCs w:val="22"/>
        </w:rPr>
      </w:pPr>
      <w:r w:rsidRPr="00D92F6B">
        <w:rPr>
          <w:iCs/>
          <w:sz w:val="22"/>
          <w:szCs w:val="22"/>
        </w:rPr>
        <w:t>12</w:t>
      </w:r>
      <w:r w:rsidRPr="00D92F6B">
        <w:rPr>
          <w:sz w:val="22"/>
          <w:szCs w:val="22"/>
        </w:rPr>
        <w:t> </w:t>
      </w:r>
      <w:r w:rsidRPr="00D92F6B">
        <w:rPr>
          <w:iCs/>
          <w:sz w:val="22"/>
          <w:szCs w:val="22"/>
        </w:rPr>
        <w:t>mėnesių trukmės ir 36 mėnesių trukmės gydymo grupėse bendrasis mirčių atvejų skaičius buvo, atitinkamai, 25 ir 12.</w:t>
      </w:r>
    </w:p>
    <w:p w14:paraId="6B8CD823" w14:textId="77777777" w:rsidR="008A305D" w:rsidRPr="00D92F6B" w:rsidRDefault="008A305D" w:rsidP="008A305D">
      <w:pPr>
        <w:autoSpaceDE w:val="0"/>
        <w:autoSpaceDN w:val="0"/>
        <w:adjustRightInd w:val="0"/>
        <w:rPr>
          <w:iCs/>
          <w:sz w:val="22"/>
          <w:szCs w:val="22"/>
        </w:rPr>
      </w:pPr>
    </w:p>
    <w:p w14:paraId="154CBA84" w14:textId="77777777" w:rsidR="008A305D" w:rsidRPr="00D92F6B" w:rsidRDefault="008A305D" w:rsidP="008A305D">
      <w:pPr>
        <w:autoSpaceDE w:val="0"/>
        <w:autoSpaceDN w:val="0"/>
        <w:adjustRightInd w:val="0"/>
        <w:rPr>
          <w:iCs/>
          <w:sz w:val="22"/>
          <w:szCs w:val="22"/>
        </w:rPr>
      </w:pPr>
      <w:r w:rsidRPr="00D92F6B">
        <w:rPr>
          <w:iCs/>
          <w:sz w:val="22"/>
          <w:szCs w:val="22"/>
        </w:rPr>
        <w:t>Atlikus gydymui atrinktos populiacijos analizę (t. y., įtraukiant visos tyrimo populiacijos duomenis) nustatyta, kad 36 mėnesių trukmės gydymas imatinibu buvo veiksmingesnis nei 12 mėnesių trukmės gydymas. Atlikus planuotą pogrupių analizę pagal mutacijos tipą nustatyta, kad 36 mėnesius gydant pacientus, kuriems nustatytos 11 egzono mutacijos, RFS rodiklio rizikos santykis buvo 0,35 [95 % PI: 0,22, 0,56]. Kadangi pasireiškusių recidyvų skaičius buvo nedidelis, negalima pateikti jokių išvadų apie vaisto poveikį pacientų, kuriems nustatytos kitos retesnės mutacijos, pogrupiams.</w:t>
      </w:r>
    </w:p>
    <w:p w14:paraId="3B9C20E9" w14:textId="77777777" w:rsidR="008A305D" w:rsidRPr="00D92F6B" w:rsidRDefault="008A305D" w:rsidP="008A305D">
      <w:pPr>
        <w:autoSpaceDE w:val="0"/>
        <w:autoSpaceDN w:val="0"/>
        <w:adjustRightInd w:val="0"/>
        <w:rPr>
          <w:sz w:val="22"/>
          <w:szCs w:val="22"/>
        </w:rPr>
      </w:pPr>
    </w:p>
    <w:p w14:paraId="6FA76501" w14:textId="77777777" w:rsidR="008A305D" w:rsidRPr="00D92F6B" w:rsidRDefault="008A305D" w:rsidP="008A305D">
      <w:pPr>
        <w:autoSpaceDE w:val="0"/>
        <w:autoSpaceDN w:val="0"/>
        <w:adjustRightInd w:val="0"/>
        <w:rPr>
          <w:b/>
          <w:sz w:val="22"/>
          <w:szCs w:val="22"/>
        </w:rPr>
      </w:pPr>
      <w:r w:rsidRPr="00D92F6B">
        <w:rPr>
          <w:b/>
          <w:sz w:val="22"/>
          <w:szCs w:val="22"/>
        </w:rPr>
        <w:t>6 lentelė</w:t>
      </w:r>
      <w:r w:rsidRPr="00D92F6B">
        <w:rPr>
          <w:sz w:val="22"/>
          <w:szCs w:val="22"/>
        </w:rPr>
        <w:tab/>
      </w:r>
      <w:r w:rsidRPr="00D92F6B">
        <w:rPr>
          <w:b/>
          <w:sz w:val="22"/>
          <w:szCs w:val="22"/>
        </w:rPr>
        <w:t>12 mėnesių ir 36 mėnesių trukmės gydymas imatinibu (SSGXVIII/AIO klinikinis tyrimas)</w:t>
      </w:r>
    </w:p>
    <w:p w14:paraId="03DAD9D1" w14:textId="77777777" w:rsidR="008A305D" w:rsidRPr="00D92F6B" w:rsidRDefault="008A305D" w:rsidP="008A305D">
      <w:pPr>
        <w:autoSpaceDE w:val="0"/>
        <w:autoSpaceDN w:val="0"/>
        <w:adjustRightInd w:val="0"/>
        <w:rPr>
          <w:sz w:val="22"/>
          <w:szCs w:val="22"/>
        </w:rPr>
      </w:pPr>
    </w:p>
    <w:tbl>
      <w:tblPr>
        <w:tblW w:w="9299" w:type="dxa"/>
        <w:tblBorders>
          <w:top w:val="single" w:sz="4" w:space="0" w:color="auto"/>
          <w:bottom w:val="single" w:sz="4" w:space="0" w:color="auto"/>
        </w:tblBorders>
        <w:tblLayout w:type="fixed"/>
        <w:tblLook w:val="0000" w:firstRow="0" w:lastRow="0" w:firstColumn="0" w:lastColumn="0" w:noHBand="0" w:noVBand="0"/>
      </w:tblPr>
      <w:tblGrid>
        <w:gridCol w:w="3099"/>
        <w:gridCol w:w="3100"/>
        <w:gridCol w:w="3100"/>
      </w:tblGrid>
      <w:tr w:rsidR="008A305D" w:rsidRPr="00D92F6B" w14:paraId="6F7F3059" w14:textId="77777777" w:rsidTr="00412F88">
        <w:tc>
          <w:tcPr>
            <w:tcW w:w="3099" w:type="dxa"/>
            <w:tcBorders>
              <w:top w:val="single" w:sz="4" w:space="0" w:color="auto"/>
              <w:bottom w:val="nil"/>
            </w:tcBorders>
            <w:shd w:val="clear" w:color="auto" w:fill="auto"/>
          </w:tcPr>
          <w:p w14:paraId="7DE2E38A" w14:textId="77777777" w:rsidR="008A305D" w:rsidRPr="00D92F6B" w:rsidRDefault="008A305D" w:rsidP="00412F88">
            <w:pPr>
              <w:autoSpaceDE w:val="0"/>
              <w:autoSpaceDN w:val="0"/>
              <w:adjustRightInd w:val="0"/>
              <w:rPr>
                <w:sz w:val="22"/>
                <w:szCs w:val="22"/>
              </w:rPr>
            </w:pPr>
          </w:p>
        </w:tc>
        <w:tc>
          <w:tcPr>
            <w:tcW w:w="3100" w:type="dxa"/>
            <w:tcBorders>
              <w:top w:val="single" w:sz="4" w:space="0" w:color="auto"/>
              <w:bottom w:val="nil"/>
            </w:tcBorders>
            <w:shd w:val="clear" w:color="auto" w:fill="auto"/>
          </w:tcPr>
          <w:p w14:paraId="04402351" w14:textId="77777777" w:rsidR="008A305D" w:rsidRPr="00D92F6B" w:rsidRDefault="008A305D" w:rsidP="00412F88">
            <w:pPr>
              <w:autoSpaceDE w:val="0"/>
              <w:autoSpaceDN w:val="0"/>
              <w:adjustRightInd w:val="0"/>
              <w:rPr>
                <w:b/>
                <w:sz w:val="22"/>
                <w:szCs w:val="22"/>
              </w:rPr>
            </w:pPr>
            <w:r w:rsidRPr="00D92F6B">
              <w:rPr>
                <w:b/>
                <w:sz w:val="22"/>
                <w:szCs w:val="22"/>
              </w:rPr>
              <w:t>12 mėnesių trukmės gydymo grupė</w:t>
            </w:r>
          </w:p>
        </w:tc>
        <w:tc>
          <w:tcPr>
            <w:tcW w:w="3100" w:type="dxa"/>
            <w:tcBorders>
              <w:top w:val="single" w:sz="4" w:space="0" w:color="auto"/>
              <w:bottom w:val="nil"/>
            </w:tcBorders>
            <w:shd w:val="clear" w:color="auto" w:fill="auto"/>
          </w:tcPr>
          <w:p w14:paraId="2B978968" w14:textId="77777777" w:rsidR="008A305D" w:rsidRPr="00D92F6B" w:rsidRDefault="008A305D" w:rsidP="00412F88">
            <w:pPr>
              <w:autoSpaceDE w:val="0"/>
              <w:autoSpaceDN w:val="0"/>
              <w:adjustRightInd w:val="0"/>
              <w:rPr>
                <w:b/>
                <w:sz w:val="22"/>
                <w:szCs w:val="22"/>
              </w:rPr>
            </w:pPr>
            <w:r w:rsidRPr="00D92F6B">
              <w:rPr>
                <w:b/>
                <w:sz w:val="22"/>
                <w:szCs w:val="22"/>
              </w:rPr>
              <w:t>36 mėnesių trukmės gydymo grupė</w:t>
            </w:r>
          </w:p>
        </w:tc>
      </w:tr>
      <w:tr w:rsidR="008A305D" w:rsidRPr="00D92F6B" w14:paraId="1533933D" w14:textId="77777777" w:rsidTr="00412F88">
        <w:tc>
          <w:tcPr>
            <w:tcW w:w="3099" w:type="dxa"/>
            <w:tcBorders>
              <w:top w:val="nil"/>
            </w:tcBorders>
            <w:shd w:val="clear" w:color="auto" w:fill="auto"/>
          </w:tcPr>
          <w:p w14:paraId="7D6EB0CD" w14:textId="77777777" w:rsidR="008A305D" w:rsidRPr="00D92F6B" w:rsidRDefault="008A305D" w:rsidP="00412F88">
            <w:pPr>
              <w:autoSpaceDE w:val="0"/>
              <w:autoSpaceDN w:val="0"/>
              <w:adjustRightInd w:val="0"/>
              <w:rPr>
                <w:b/>
                <w:sz w:val="22"/>
                <w:szCs w:val="22"/>
              </w:rPr>
            </w:pPr>
            <w:r w:rsidRPr="00D92F6B">
              <w:rPr>
                <w:b/>
                <w:sz w:val="22"/>
                <w:szCs w:val="22"/>
              </w:rPr>
              <w:t>RFS rodiklis</w:t>
            </w:r>
          </w:p>
        </w:tc>
        <w:tc>
          <w:tcPr>
            <w:tcW w:w="3100" w:type="dxa"/>
            <w:tcBorders>
              <w:top w:val="nil"/>
            </w:tcBorders>
            <w:shd w:val="clear" w:color="auto" w:fill="auto"/>
          </w:tcPr>
          <w:p w14:paraId="1A81AD06" w14:textId="77777777" w:rsidR="008A305D" w:rsidRPr="00D92F6B" w:rsidRDefault="008A305D" w:rsidP="00412F88">
            <w:pPr>
              <w:autoSpaceDE w:val="0"/>
              <w:autoSpaceDN w:val="0"/>
              <w:adjustRightInd w:val="0"/>
              <w:rPr>
                <w:b/>
                <w:sz w:val="22"/>
                <w:szCs w:val="22"/>
              </w:rPr>
            </w:pPr>
            <w:r w:rsidRPr="00D92F6B">
              <w:rPr>
                <w:b/>
                <w:sz w:val="22"/>
                <w:szCs w:val="22"/>
              </w:rPr>
              <w:t>%(PI)</w:t>
            </w:r>
          </w:p>
        </w:tc>
        <w:tc>
          <w:tcPr>
            <w:tcW w:w="3100" w:type="dxa"/>
            <w:tcBorders>
              <w:top w:val="nil"/>
            </w:tcBorders>
            <w:shd w:val="clear" w:color="auto" w:fill="auto"/>
          </w:tcPr>
          <w:p w14:paraId="7BD77F17" w14:textId="77777777" w:rsidR="008A305D" w:rsidRPr="00D92F6B" w:rsidRDefault="008A305D" w:rsidP="00412F88">
            <w:pPr>
              <w:autoSpaceDE w:val="0"/>
              <w:autoSpaceDN w:val="0"/>
              <w:adjustRightInd w:val="0"/>
              <w:rPr>
                <w:b/>
                <w:sz w:val="22"/>
                <w:szCs w:val="22"/>
              </w:rPr>
            </w:pPr>
            <w:r w:rsidRPr="00D92F6B">
              <w:rPr>
                <w:b/>
                <w:sz w:val="22"/>
                <w:szCs w:val="22"/>
              </w:rPr>
              <w:t>%(PI)</w:t>
            </w:r>
          </w:p>
        </w:tc>
      </w:tr>
      <w:tr w:rsidR="008A305D" w:rsidRPr="00D92F6B" w14:paraId="4483DD01" w14:textId="77777777" w:rsidTr="00412F88">
        <w:tc>
          <w:tcPr>
            <w:tcW w:w="3099" w:type="dxa"/>
            <w:shd w:val="clear" w:color="auto" w:fill="auto"/>
          </w:tcPr>
          <w:p w14:paraId="76A444A1" w14:textId="77777777" w:rsidR="008A305D" w:rsidRPr="00D92F6B" w:rsidRDefault="008A305D" w:rsidP="00412F88">
            <w:pPr>
              <w:autoSpaceDE w:val="0"/>
              <w:autoSpaceDN w:val="0"/>
              <w:adjustRightInd w:val="0"/>
              <w:rPr>
                <w:sz w:val="22"/>
                <w:szCs w:val="22"/>
              </w:rPr>
            </w:pPr>
            <w:r w:rsidRPr="00D92F6B">
              <w:rPr>
                <w:sz w:val="22"/>
                <w:szCs w:val="22"/>
              </w:rPr>
              <w:t>12 mėnesių</w:t>
            </w:r>
          </w:p>
        </w:tc>
        <w:tc>
          <w:tcPr>
            <w:tcW w:w="3100" w:type="dxa"/>
            <w:shd w:val="clear" w:color="auto" w:fill="auto"/>
          </w:tcPr>
          <w:p w14:paraId="16E9BA8B" w14:textId="77777777" w:rsidR="008A305D" w:rsidRPr="00D92F6B" w:rsidRDefault="008A305D" w:rsidP="00412F88">
            <w:pPr>
              <w:autoSpaceDE w:val="0"/>
              <w:autoSpaceDN w:val="0"/>
              <w:adjustRightInd w:val="0"/>
              <w:rPr>
                <w:sz w:val="22"/>
                <w:szCs w:val="22"/>
              </w:rPr>
            </w:pPr>
            <w:r w:rsidRPr="00D92F6B">
              <w:rPr>
                <w:sz w:val="22"/>
                <w:szCs w:val="22"/>
              </w:rPr>
              <w:t>93,7 (89,2</w:t>
            </w:r>
            <w:r w:rsidRPr="00D92F6B">
              <w:rPr>
                <w:sz w:val="22"/>
                <w:szCs w:val="22"/>
              </w:rPr>
              <w:noBreakHyphen/>
              <w:t>96,4)</w:t>
            </w:r>
          </w:p>
        </w:tc>
        <w:tc>
          <w:tcPr>
            <w:tcW w:w="3100" w:type="dxa"/>
            <w:shd w:val="clear" w:color="auto" w:fill="auto"/>
          </w:tcPr>
          <w:p w14:paraId="1FA6291C" w14:textId="77777777" w:rsidR="008A305D" w:rsidRPr="00D92F6B" w:rsidRDefault="008A305D" w:rsidP="00412F88">
            <w:pPr>
              <w:autoSpaceDE w:val="0"/>
              <w:autoSpaceDN w:val="0"/>
              <w:adjustRightInd w:val="0"/>
              <w:rPr>
                <w:sz w:val="22"/>
                <w:szCs w:val="22"/>
              </w:rPr>
            </w:pPr>
            <w:r w:rsidRPr="00D92F6B">
              <w:rPr>
                <w:sz w:val="22"/>
                <w:szCs w:val="22"/>
              </w:rPr>
              <w:t>95,9 (91,9</w:t>
            </w:r>
            <w:r w:rsidRPr="00D92F6B">
              <w:rPr>
                <w:sz w:val="22"/>
                <w:szCs w:val="22"/>
              </w:rPr>
              <w:noBreakHyphen/>
              <w:t>97,9)</w:t>
            </w:r>
          </w:p>
        </w:tc>
      </w:tr>
      <w:tr w:rsidR="008A305D" w:rsidRPr="00D92F6B" w14:paraId="2623A7A1" w14:textId="77777777" w:rsidTr="00412F88">
        <w:tc>
          <w:tcPr>
            <w:tcW w:w="3099" w:type="dxa"/>
            <w:shd w:val="clear" w:color="auto" w:fill="auto"/>
          </w:tcPr>
          <w:p w14:paraId="11C2544B" w14:textId="77777777" w:rsidR="008A305D" w:rsidRPr="00D92F6B" w:rsidRDefault="008A305D" w:rsidP="00412F88">
            <w:pPr>
              <w:autoSpaceDE w:val="0"/>
              <w:autoSpaceDN w:val="0"/>
              <w:adjustRightInd w:val="0"/>
              <w:rPr>
                <w:sz w:val="22"/>
                <w:szCs w:val="22"/>
              </w:rPr>
            </w:pPr>
            <w:r w:rsidRPr="00D92F6B">
              <w:rPr>
                <w:sz w:val="22"/>
                <w:szCs w:val="22"/>
              </w:rPr>
              <w:t>24 mėnesiai</w:t>
            </w:r>
          </w:p>
        </w:tc>
        <w:tc>
          <w:tcPr>
            <w:tcW w:w="3100" w:type="dxa"/>
            <w:shd w:val="clear" w:color="auto" w:fill="auto"/>
          </w:tcPr>
          <w:p w14:paraId="67288E6C" w14:textId="77777777" w:rsidR="008A305D" w:rsidRPr="00D92F6B" w:rsidRDefault="008A305D" w:rsidP="00412F88">
            <w:pPr>
              <w:autoSpaceDE w:val="0"/>
              <w:autoSpaceDN w:val="0"/>
              <w:adjustRightInd w:val="0"/>
              <w:rPr>
                <w:sz w:val="22"/>
                <w:szCs w:val="22"/>
              </w:rPr>
            </w:pPr>
            <w:r w:rsidRPr="00D92F6B">
              <w:rPr>
                <w:sz w:val="22"/>
                <w:szCs w:val="22"/>
              </w:rPr>
              <w:t>75,4 (68,6</w:t>
            </w:r>
            <w:r w:rsidRPr="00D92F6B">
              <w:rPr>
                <w:sz w:val="22"/>
                <w:szCs w:val="22"/>
              </w:rPr>
              <w:noBreakHyphen/>
              <w:t>81,0)</w:t>
            </w:r>
          </w:p>
        </w:tc>
        <w:tc>
          <w:tcPr>
            <w:tcW w:w="3100" w:type="dxa"/>
            <w:shd w:val="clear" w:color="auto" w:fill="auto"/>
          </w:tcPr>
          <w:p w14:paraId="19ECA286" w14:textId="77777777" w:rsidR="008A305D" w:rsidRPr="00D92F6B" w:rsidRDefault="008A305D" w:rsidP="00412F88">
            <w:pPr>
              <w:autoSpaceDE w:val="0"/>
              <w:autoSpaceDN w:val="0"/>
              <w:adjustRightInd w:val="0"/>
              <w:rPr>
                <w:sz w:val="22"/>
                <w:szCs w:val="22"/>
              </w:rPr>
            </w:pPr>
            <w:r w:rsidRPr="00D92F6B">
              <w:rPr>
                <w:sz w:val="22"/>
                <w:szCs w:val="22"/>
              </w:rPr>
              <w:t>90,7 (85,6</w:t>
            </w:r>
            <w:r w:rsidRPr="00D92F6B">
              <w:rPr>
                <w:sz w:val="22"/>
                <w:szCs w:val="22"/>
              </w:rPr>
              <w:noBreakHyphen/>
              <w:t>94,0)</w:t>
            </w:r>
          </w:p>
        </w:tc>
      </w:tr>
      <w:tr w:rsidR="008A305D" w:rsidRPr="00D92F6B" w14:paraId="1687334B" w14:textId="77777777" w:rsidTr="00412F88">
        <w:tc>
          <w:tcPr>
            <w:tcW w:w="3099" w:type="dxa"/>
            <w:shd w:val="clear" w:color="auto" w:fill="auto"/>
          </w:tcPr>
          <w:p w14:paraId="40E280C3" w14:textId="77777777" w:rsidR="008A305D" w:rsidRPr="00D92F6B" w:rsidRDefault="008A305D" w:rsidP="00412F88">
            <w:pPr>
              <w:autoSpaceDE w:val="0"/>
              <w:autoSpaceDN w:val="0"/>
              <w:adjustRightInd w:val="0"/>
              <w:rPr>
                <w:sz w:val="22"/>
                <w:szCs w:val="22"/>
              </w:rPr>
            </w:pPr>
            <w:r w:rsidRPr="00D92F6B">
              <w:rPr>
                <w:sz w:val="22"/>
                <w:szCs w:val="22"/>
              </w:rPr>
              <w:t>36 mėnesiai</w:t>
            </w:r>
          </w:p>
        </w:tc>
        <w:tc>
          <w:tcPr>
            <w:tcW w:w="3100" w:type="dxa"/>
            <w:shd w:val="clear" w:color="auto" w:fill="auto"/>
          </w:tcPr>
          <w:p w14:paraId="4C72984C" w14:textId="77777777" w:rsidR="008A305D" w:rsidRPr="00D92F6B" w:rsidRDefault="008A305D" w:rsidP="00412F88">
            <w:pPr>
              <w:autoSpaceDE w:val="0"/>
              <w:autoSpaceDN w:val="0"/>
              <w:adjustRightInd w:val="0"/>
              <w:rPr>
                <w:sz w:val="22"/>
                <w:szCs w:val="22"/>
              </w:rPr>
            </w:pPr>
            <w:r w:rsidRPr="00D92F6B">
              <w:rPr>
                <w:sz w:val="22"/>
                <w:szCs w:val="22"/>
              </w:rPr>
              <w:t>60,1 (52,5</w:t>
            </w:r>
            <w:r w:rsidRPr="00D92F6B">
              <w:rPr>
                <w:sz w:val="22"/>
                <w:szCs w:val="22"/>
              </w:rPr>
              <w:noBreakHyphen/>
              <w:t>66,9)</w:t>
            </w:r>
          </w:p>
        </w:tc>
        <w:tc>
          <w:tcPr>
            <w:tcW w:w="3100" w:type="dxa"/>
            <w:shd w:val="clear" w:color="auto" w:fill="auto"/>
          </w:tcPr>
          <w:p w14:paraId="6349852E" w14:textId="77777777" w:rsidR="008A305D" w:rsidRPr="00D92F6B" w:rsidRDefault="008A305D" w:rsidP="00412F88">
            <w:pPr>
              <w:autoSpaceDE w:val="0"/>
              <w:autoSpaceDN w:val="0"/>
              <w:adjustRightInd w:val="0"/>
              <w:rPr>
                <w:sz w:val="22"/>
                <w:szCs w:val="22"/>
              </w:rPr>
            </w:pPr>
            <w:r w:rsidRPr="00D92F6B">
              <w:rPr>
                <w:sz w:val="22"/>
                <w:szCs w:val="22"/>
              </w:rPr>
              <w:t>86,6 (80,8</w:t>
            </w:r>
            <w:r w:rsidRPr="00D92F6B">
              <w:rPr>
                <w:sz w:val="22"/>
                <w:szCs w:val="22"/>
              </w:rPr>
              <w:noBreakHyphen/>
              <w:t>90,8)</w:t>
            </w:r>
          </w:p>
        </w:tc>
      </w:tr>
      <w:tr w:rsidR="008A305D" w:rsidRPr="00D92F6B" w14:paraId="25AB06D3" w14:textId="77777777" w:rsidTr="00412F88">
        <w:tc>
          <w:tcPr>
            <w:tcW w:w="3099" w:type="dxa"/>
            <w:shd w:val="clear" w:color="auto" w:fill="auto"/>
          </w:tcPr>
          <w:p w14:paraId="5BC78834" w14:textId="77777777" w:rsidR="008A305D" w:rsidRPr="00D92F6B" w:rsidRDefault="008A305D" w:rsidP="00412F88">
            <w:pPr>
              <w:autoSpaceDE w:val="0"/>
              <w:autoSpaceDN w:val="0"/>
              <w:adjustRightInd w:val="0"/>
              <w:rPr>
                <w:sz w:val="22"/>
                <w:szCs w:val="22"/>
              </w:rPr>
            </w:pPr>
            <w:r w:rsidRPr="00D92F6B">
              <w:rPr>
                <w:sz w:val="22"/>
                <w:szCs w:val="22"/>
              </w:rPr>
              <w:t>48 mėnesiai</w:t>
            </w:r>
          </w:p>
        </w:tc>
        <w:tc>
          <w:tcPr>
            <w:tcW w:w="3100" w:type="dxa"/>
            <w:shd w:val="clear" w:color="auto" w:fill="auto"/>
          </w:tcPr>
          <w:p w14:paraId="10C1296E" w14:textId="77777777" w:rsidR="008A305D" w:rsidRPr="00D92F6B" w:rsidRDefault="008A305D" w:rsidP="00412F88">
            <w:pPr>
              <w:autoSpaceDE w:val="0"/>
              <w:autoSpaceDN w:val="0"/>
              <w:adjustRightInd w:val="0"/>
              <w:rPr>
                <w:sz w:val="22"/>
                <w:szCs w:val="22"/>
              </w:rPr>
            </w:pPr>
            <w:r w:rsidRPr="00D92F6B">
              <w:rPr>
                <w:sz w:val="22"/>
                <w:szCs w:val="22"/>
              </w:rPr>
              <w:t>52,3 (44,0</w:t>
            </w:r>
            <w:r w:rsidRPr="00D92F6B">
              <w:rPr>
                <w:sz w:val="22"/>
                <w:szCs w:val="22"/>
              </w:rPr>
              <w:noBreakHyphen/>
              <w:t>59,8)</w:t>
            </w:r>
          </w:p>
        </w:tc>
        <w:tc>
          <w:tcPr>
            <w:tcW w:w="3100" w:type="dxa"/>
            <w:shd w:val="clear" w:color="auto" w:fill="auto"/>
          </w:tcPr>
          <w:p w14:paraId="5D5F2212" w14:textId="77777777" w:rsidR="008A305D" w:rsidRPr="00D92F6B" w:rsidRDefault="008A305D" w:rsidP="00412F88">
            <w:pPr>
              <w:autoSpaceDE w:val="0"/>
              <w:autoSpaceDN w:val="0"/>
              <w:adjustRightInd w:val="0"/>
              <w:rPr>
                <w:sz w:val="22"/>
                <w:szCs w:val="22"/>
              </w:rPr>
            </w:pPr>
            <w:r w:rsidRPr="00D92F6B">
              <w:rPr>
                <w:sz w:val="22"/>
                <w:szCs w:val="22"/>
              </w:rPr>
              <w:t>78,3 (70,8</w:t>
            </w:r>
            <w:r w:rsidRPr="00D92F6B">
              <w:rPr>
                <w:sz w:val="22"/>
                <w:szCs w:val="22"/>
              </w:rPr>
              <w:noBreakHyphen/>
              <w:t>84,1)</w:t>
            </w:r>
          </w:p>
        </w:tc>
      </w:tr>
      <w:tr w:rsidR="008A305D" w:rsidRPr="00D92F6B" w14:paraId="6E37B1A9" w14:textId="77777777" w:rsidTr="00412F88">
        <w:tc>
          <w:tcPr>
            <w:tcW w:w="3099" w:type="dxa"/>
            <w:shd w:val="clear" w:color="auto" w:fill="auto"/>
          </w:tcPr>
          <w:p w14:paraId="2D3190EA" w14:textId="77777777" w:rsidR="008A305D" w:rsidRPr="00D92F6B" w:rsidRDefault="008A305D" w:rsidP="00412F88">
            <w:pPr>
              <w:autoSpaceDE w:val="0"/>
              <w:autoSpaceDN w:val="0"/>
              <w:adjustRightInd w:val="0"/>
              <w:rPr>
                <w:sz w:val="22"/>
                <w:szCs w:val="22"/>
              </w:rPr>
            </w:pPr>
            <w:r w:rsidRPr="00D92F6B">
              <w:rPr>
                <w:sz w:val="22"/>
                <w:szCs w:val="22"/>
              </w:rPr>
              <w:t>60 mėnesių</w:t>
            </w:r>
          </w:p>
        </w:tc>
        <w:tc>
          <w:tcPr>
            <w:tcW w:w="3100" w:type="dxa"/>
            <w:shd w:val="clear" w:color="auto" w:fill="auto"/>
          </w:tcPr>
          <w:p w14:paraId="619126B0" w14:textId="77777777" w:rsidR="008A305D" w:rsidRPr="00D92F6B" w:rsidRDefault="008A305D" w:rsidP="00412F88">
            <w:pPr>
              <w:autoSpaceDE w:val="0"/>
              <w:autoSpaceDN w:val="0"/>
              <w:adjustRightInd w:val="0"/>
              <w:rPr>
                <w:sz w:val="22"/>
                <w:szCs w:val="22"/>
              </w:rPr>
            </w:pPr>
            <w:r w:rsidRPr="00D92F6B">
              <w:rPr>
                <w:sz w:val="22"/>
                <w:szCs w:val="22"/>
              </w:rPr>
              <w:t>47,9 (39,0</w:t>
            </w:r>
            <w:r w:rsidRPr="00D92F6B">
              <w:rPr>
                <w:sz w:val="22"/>
                <w:szCs w:val="22"/>
              </w:rPr>
              <w:noBreakHyphen/>
              <w:t>56,3)</w:t>
            </w:r>
          </w:p>
        </w:tc>
        <w:tc>
          <w:tcPr>
            <w:tcW w:w="3100" w:type="dxa"/>
            <w:shd w:val="clear" w:color="auto" w:fill="auto"/>
          </w:tcPr>
          <w:p w14:paraId="18862B4C" w14:textId="77777777" w:rsidR="008A305D" w:rsidRPr="00D92F6B" w:rsidRDefault="008A305D" w:rsidP="00412F88">
            <w:pPr>
              <w:autoSpaceDE w:val="0"/>
              <w:autoSpaceDN w:val="0"/>
              <w:adjustRightInd w:val="0"/>
              <w:rPr>
                <w:sz w:val="22"/>
                <w:szCs w:val="22"/>
              </w:rPr>
            </w:pPr>
            <w:r w:rsidRPr="00D92F6B">
              <w:rPr>
                <w:sz w:val="22"/>
                <w:szCs w:val="22"/>
              </w:rPr>
              <w:t>65,6 (56,1</w:t>
            </w:r>
            <w:r w:rsidRPr="00D92F6B">
              <w:rPr>
                <w:sz w:val="22"/>
                <w:szCs w:val="22"/>
              </w:rPr>
              <w:noBreakHyphen/>
              <w:t>73,4)</w:t>
            </w:r>
          </w:p>
        </w:tc>
      </w:tr>
      <w:tr w:rsidR="008A305D" w:rsidRPr="00D92F6B" w14:paraId="4B0797C7" w14:textId="77777777" w:rsidTr="00412F88">
        <w:tc>
          <w:tcPr>
            <w:tcW w:w="3099" w:type="dxa"/>
            <w:shd w:val="clear" w:color="auto" w:fill="auto"/>
          </w:tcPr>
          <w:p w14:paraId="69A7A34B" w14:textId="77777777" w:rsidR="008A305D" w:rsidRPr="00D92F6B" w:rsidRDefault="008A305D" w:rsidP="00412F88">
            <w:pPr>
              <w:autoSpaceDE w:val="0"/>
              <w:autoSpaceDN w:val="0"/>
              <w:adjustRightInd w:val="0"/>
              <w:rPr>
                <w:b/>
                <w:sz w:val="22"/>
                <w:szCs w:val="22"/>
              </w:rPr>
            </w:pPr>
            <w:r w:rsidRPr="00D92F6B">
              <w:rPr>
                <w:b/>
                <w:sz w:val="22"/>
                <w:szCs w:val="22"/>
              </w:rPr>
              <w:t>Išgyvenamumas</w:t>
            </w:r>
          </w:p>
        </w:tc>
        <w:tc>
          <w:tcPr>
            <w:tcW w:w="3100" w:type="dxa"/>
            <w:shd w:val="clear" w:color="auto" w:fill="auto"/>
          </w:tcPr>
          <w:p w14:paraId="5F305AAC" w14:textId="77777777" w:rsidR="008A305D" w:rsidRPr="00D92F6B" w:rsidRDefault="008A305D" w:rsidP="00412F88">
            <w:pPr>
              <w:autoSpaceDE w:val="0"/>
              <w:autoSpaceDN w:val="0"/>
              <w:adjustRightInd w:val="0"/>
              <w:rPr>
                <w:sz w:val="22"/>
                <w:szCs w:val="22"/>
              </w:rPr>
            </w:pPr>
          </w:p>
        </w:tc>
        <w:tc>
          <w:tcPr>
            <w:tcW w:w="3100" w:type="dxa"/>
            <w:shd w:val="clear" w:color="auto" w:fill="auto"/>
          </w:tcPr>
          <w:p w14:paraId="5D135DF0" w14:textId="77777777" w:rsidR="008A305D" w:rsidRPr="00D92F6B" w:rsidRDefault="008A305D" w:rsidP="00412F88">
            <w:pPr>
              <w:autoSpaceDE w:val="0"/>
              <w:autoSpaceDN w:val="0"/>
              <w:adjustRightInd w:val="0"/>
              <w:rPr>
                <w:sz w:val="22"/>
                <w:szCs w:val="22"/>
              </w:rPr>
            </w:pPr>
          </w:p>
        </w:tc>
      </w:tr>
      <w:tr w:rsidR="008A305D" w:rsidRPr="00D92F6B" w14:paraId="160B824B" w14:textId="77777777" w:rsidTr="00412F88">
        <w:tc>
          <w:tcPr>
            <w:tcW w:w="3099" w:type="dxa"/>
            <w:shd w:val="clear" w:color="auto" w:fill="auto"/>
          </w:tcPr>
          <w:p w14:paraId="7D569417" w14:textId="77777777" w:rsidR="008A305D" w:rsidRPr="00D92F6B" w:rsidRDefault="008A305D" w:rsidP="00412F88">
            <w:pPr>
              <w:autoSpaceDE w:val="0"/>
              <w:autoSpaceDN w:val="0"/>
              <w:adjustRightInd w:val="0"/>
              <w:rPr>
                <w:sz w:val="22"/>
                <w:szCs w:val="22"/>
              </w:rPr>
            </w:pPr>
            <w:r w:rsidRPr="00D92F6B">
              <w:rPr>
                <w:sz w:val="22"/>
                <w:szCs w:val="22"/>
              </w:rPr>
              <w:t>36 mėnesiai</w:t>
            </w:r>
          </w:p>
        </w:tc>
        <w:tc>
          <w:tcPr>
            <w:tcW w:w="3100" w:type="dxa"/>
            <w:shd w:val="clear" w:color="auto" w:fill="auto"/>
          </w:tcPr>
          <w:p w14:paraId="7D7C3EA6" w14:textId="77777777" w:rsidR="008A305D" w:rsidRPr="00D92F6B" w:rsidRDefault="008A305D" w:rsidP="00412F88">
            <w:pPr>
              <w:autoSpaceDE w:val="0"/>
              <w:autoSpaceDN w:val="0"/>
              <w:adjustRightInd w:val="0"/>
              <w:rPr>
                <w:sz w:val="22"/>
                <w:szCs w:val="22"/>
              </w:rPr>
            </w:pPr>
            <w:r w:rsidRPr="00D92F6B">
              <w:rPr>
                <w:sz w:val="22"/>
                <w:szCs w:val="22"/>
              </w:rPr>
              <w:t>94,0 (89,5</w:t>
            </w:r>
            <w:r w:rsidRPr="00D92F6B">
              <w:rPr>
                <w:sz w:val="22"/>
                <w:szCs w:val="22"/>
              </w:rPr>
              <w:noBreakHyphen/>
              <w:t>96,7)</w:t>
            </w:r>
          </w:p>
        </w:tc>
        <w:tc>
          <w:tcPr>
            <w:tcW w:w="3100" w:type="dxa"/>
            <w:shd w:val="clear" w:color="auto" w:fill="auto"/>
          </w:tcPr>
          <w:p w14:paraId="227C4FBB" w14:textId="77777777" w:rsidR="008A305D" w:rsidRPr="00D92F6B" w:rsidRDefault="008A305D" w:rsidP="00412F88">
            <w:pPr>
              <w:autoSpaceDE w:val="0"/>
              <w:autoSpaceDN w:val="0"/>
              <w:adjustRightInd w:val="0"/>
              <w:rPr>
                <w:sz w:val="22"/>
                <w:szCs w:val="22"/>
              </w:rPr>
            </w:pPr>
            <w:r w:rsidRPr="00D92F6B">
              <w:rPr>
                <w:sz w:val="22"/>
                <w:szCs w:val="22"/>
              </w:rPr>
              <w:t>96,3 (92,4</w:t>
            </w:r>
            <w:r w:rsidRPr="00D92F6B">
              <w:rPr>
                <w:sz w:val="22"/>
                <w:szCs w:val="22"/>
              </w:rPr>
              <w:noBreakHyphen/>
              <w:t>98,2)</w:t>
            </w:r>
          </w:p>
        </w:tc>
      </w:tr>
      <w:tr w:rsidR="008A305D" w:rsidRPr="00D92F6B" w14:paraId="615BB72A" w14:textId="77777777" w:rsidTr="00412F88">
        <w:tc>
          <w:tcPr>
            <w:tcW w:w="3099" w:type="dxa"/>
            <w:shd w:val="clear" w:color="auto" w:fill="auto"/>
          </w:tcPr>
          <w:p w14:paraId="5292240D" w14:textId="77777777" w:rsidR="008A305D" w:rsidRPr="00D92F6B" w:rsidRDefault="008A305D" w:rsidP="00412F88">
            <w:pPr>
              <w:autoSpaceDE w:val="0"/>
              <w:autoSpaceDN w:val="0"/>
              <w:adjustRightInd w:val="0"/>
              <w:rPr>
                <w:sz w:val="22"/>
                <w:szCs w:val="22"/>
              </w:rPr>
            </w:pPr>
            <w:r w:rsidRPr="00D92F6B">
              <w:rPr>
                <w:sz w:val="22"/>
                <w:szCs w:val="22"/>
              </w:rPr>
              <w:lastRenderedPageBreak/>
              <w:t>48 mėnesiai</w:t>
            </w:r>
          </w:p>
        </w:tc>
        <w:tc>
          <w:tcPr>
            <w:tcW w:w="3100" w:type="dxa"/>
            <w:shd w:val="clear" w:color="auto" w:fill="auto"/>
          </w:tcPr>
          <w:p w14:paraId="4B7DF863" w14:textId="77777777" w:rsidR="008A305D" w:rsidRPr="00D92F6B" w:rsidRDefault="008A305D" w:rsidP="00412F88">
            <w:pPr>
              <w:autoSpaceDE w:val="0"/>
              <w:autoSpaceDN w:val="0"/>
              <w:adjustRightInd w:val="0"/>
              <w:rPr>
                <w:sz w:val="22"/>
                <w:szCs w:val="22"/>
              </w:rPr>
            </w:pPr>
            <w:r w:rsidRPr="00D92F6B">
              <w:rPr>
                <w:sz w:val="22"/>
                <w:szCs w:val="22"/>
              </w:rPr>
              <w:t>87,9 (81,1</w:t>
            </w:r>
            <w:r w:rsidRPr="00D92F6B">
              <w:rPr>
                <w:sz w:val="22"/>
                <w:szCs w:val="22"/>
              </w:rPr>
              <w:noBreakHyphen/>
              <w:t>92,3)</w:t>
            </w:r>
          </w:p>
        </w:tc>
        <w:tc>
          <w:tcPr>
            <w:tcW w:w="3100" w:type="dxa"/>
            <w:shd w:val="clear" w:color="auto" w:fill="auto"/>
          </w:tcPr>
          <w:p w14:paraId="3AAEDCDC" w14:textId="77777777" w:rsidR="008A305D" w:rsidRPr="00D92F6B" w:rsidRDefault="008A305D" w:rsidP="00412F88">
            <w:pPr>
              <w:autoSpaceDE w:val="0"/>
              <w:autoSpaceDN w:val="0"/>
              <w:adjustRightInd w:val="0"/>
              <w:rPr>
                <w:sz w:val="22"/>
                <w:szCs w:val="22"/>
              </w:rPr>
            </w:pPr>
            <w:r w:rsidRPr="00D92F6B">
              <w:rPr>
                <w:sz w:val="22"/>
                <w:szCs w:val="22"/>
              </w:rPr>
              <w:t>95,6 (91,2</w:t>
            </w:r>
            <w:r w:rsidRPr="00D92F6B">
              <w:rPr>
                <w:sz w:val="22"/>
                <w:szCs w:val="22"/>
              </w:rPr>
              <w:noBreakHyphen/>
              <w:t>97,8)</w:t>
            </w:r>
          </w:p>
        </w:tc>
      </w:tr>
      <w:tr w:rsidR="008A305D" w:rsidRPr="00D92F6B" w14:paraId="2029A76D" w14:textId="77777777" w:rsidTr="00412F88">
        <w:tc>
          <w:tcPr>
            <w:tcW w:w="3099" w:type="dxa"/>
            <w:shd w:val="clear" w:color="auto" w:fill="auto"/>
          </w:tcPr>
          <w:p w14:paraId="168EBEE5" w14:textId="77777777" w:rsidR="008A305D" w:rsidRPr="00D92F6B" w:rsidRDefault="008A305D" w:rsidP="00412F88">
            <w:pPr>
              <w:autoSpaceDE w:val="0"/>
              <w:autoSpaceDN w:val="0"/>
              <w:adjustRightInd w:val="0"/>
              <w:rPr>
                <w:sz w:val="22"/>
                <w:szCs w:val="22"/>
              </w:rPr>
            </w:pPr>
            <w:r w:rsidRPr="00D92F6B">
              <w:rPr>
                <w:sz w:val="22"/>
                <w:szCs w:val="22"/>
              </w:rPr>
              <w:t>60 mėnesių</w:t>
            </w:r>
          </w:p>
        </w:tc>
        <w:tc>
          <w:tcPr>
            <w:tcW w:w="3100" w:type="dxa"/>
            <w:shd w:val="clear" w:color="auto" w:fill="auto"/>
          </w:tcPr>
          <w:p w14:paraId="7D3E1B99" w14:textId="77777777" w:rsidR="008A305D" w:rsidRPr="00D92F6B" w:rsidRDefault="008A305D" w:rsidP="00412F88">
            <w:pPr>
              <w:autoSpaceDE w:val="0"/>
              <w:autoSpaceDN w:val="0"/>
              <w:adjustRightInd w:val="0"/>
              <w:rPr>
                <w:sz w:val="22"/>
                <w:szCs w:val="22"/>
              </w:rPr>
            </w:pPr>
            <w:r w:rsidRPr="00D92F6B">
              <w:rPr>
                <w:sz w:val="22"/>
                <w:szCs w:val="22"/>
              </w:rPr>
              <w:t>81,7 (73,0</w:t>
            </w:r>
            <w:r w:rsidRPr="00D92F6B">
              <w:rPr>
                <w:sz w:val="22"/>
                <w:szCs w:val="22"/>
              </w:rPr>
              <w:noBreakHyphen/>
              <w:t>87,8)</w:t>
            </w:r>
          </w:p>
        </w:tc>
        <w:tc>
          <w:tcPr>
            <w:tcW w:w="3100" w:type="dxa"/>
            <w:shd w:val="clear" w:color="auto" w:fill="auto"/>
          </w:tcPr>
          <w:p w14:paraId="52B5B691" w14:textId="77777777" w:rsidR="008A305D" w:rsidRPr="00D92F6B" w:rsidRDefault="008A305D" w:rsidP="00412F88">
            <w:pPr>
              <w:autoSpaceDE w:val="0"/>
              <w:autoSpaceDN w:val="0"/>
              <w:adjustRightInd w:val="0"/>
              <w:rPr>
                <w:sz w:val="22"/>
                <w:szCs w:val="22"/>
              </w:rPr>
            </w:pPr>
            <w:r w:rsidRPr="00D92F6B">
              <w:rPr>
                <w:sz w:val="22"/>
                <w:szCs w:val="22"/>
              </w:rPr>
              <w:t>92,0 (85,3</w:t>
            </w:r>
            <w:r w:rsidRPr="00D92F6B">
              <w:rPr>
                <w:sz w:val="22"/>
                <w:szCs w:val="22"/>
              </w:rPr>
              <w:noBreakHyphen/>
              <w:t>95,7)</w:t>
            </w:r>
          </w:p>
        </w:tc>
      </w:tr>
    </w:tbl>
    <w:p w14:paraId="7908D6C3" w14:textId="77777777" w:rsidR="008A305D" w:rsidRPr="00D92F6B" w:rsidRDefault="008A305D" w:rsidP="008A305D">
      <w:pPr>
        <w:autoSpaceDE w:val="0"/>
        <w:autoSpaceDN w:val="0"/>
        <w:adjustRightInd w:val="0"/>
        <w:rPr>
          <w:sz w:val="22"/>
          <w:szCs w:val="22"/>
        </w:rPr>
      </w:pPr>
    </w:p>
    <w:p w14:paraId="6323F2B2" w14:textId="77777777" w:rsidR="008A305D" w:rsidRPr="00D92F6B" w:rsidRDefault="008A305D" w:rsidP="008A305D">
      <w:pPr>
        <w:keepNext/>
        <w:widowControl w:val="0"/>
        <w:ind w:left="1134" w:hanging="1134"/>
        <w:rPr>
          <w:rFonts w:eastAsia="MS Mincho"/>
          <w:sz w:val="22"/>
          <w:szCs w:val="22"/>
        </w:rPr>
      </w:pPr>
      <w:r w:rsidRPr="00D92F6B">
        <w:rPr>
          <w:rFonts w:eastAsia="MS Mincho"/>
          <w:b/>
          <w:sz w:val="22"/>
          <w:szCs w:val="22"/>
        </w:rPr>
        <w:t>1 pav.</w:t>
      </w:r>
      <w:r w:rsidRPr="00D92F6B">
        <w:rPr>
          <w:rFonts w:eastAsia="MS Mincho"/>
          <w:b/>
          <w:sz w:val="22"/>
          <w:szCs w:val="22"/>
        </w:rPr>
        <w:tab/>
        <w:t>Pirminės vertinamosios baigties išgyvenamumo be ligos recidyvo duomenys, Kaplan-Meier kreivė (ITT populiacija)</w:t>
      </w:r>
    </w:p>
    <w:p w14:paraId="75227A3E" w14:textId="77777777" w:rsidR="008A305D" w:rsidRPr="00D92F6B" w:rsidRDefault="008A305D" w:rsidP="008A305D">
      <w:pPr>
        <w:autoSpaceDE w:val="0"/>
        <w:autoSpaceDN w:val="0"/>
        <w:adjustRightInd w:val="0"/>
        <w:rPr>
          <w:sz w:val="22"/>
          <w:szCs w:val="22"/>
        </w:rPr>
      </w:pPr>
    </w:p>
    <w:p w14:paraId="46B885B9" w14:textId="77777777" w:rsidR="008A305D" w:rsidRPr="00D92F6B" w:rsidRDefault="008A305D" w:rsidP="008A305D">
      <w:pPr>
        <w:autoSpaceDE w:val="0"/>
        <w:autoSpaceDN w:val="0"/>
        <w:adjustRightInd w:val="0"/>
        <w:rPr>
          <w:sz w:val="22"/>
          <w:szCs w:val="22"/>
        </w:rPr>
      </w:pPr>
    </w:p>
    <w:p w14:paraId="2FEEE4F2" w14:textId="77777777" w:rsidR="008A305D" w:rsidRPr="00D92F6B" w:rsidRDefault="008A305D" w:rsidP="008A305D">
      <w:pPr>
        <w:autoSpaceDE w:val="0"/>
        <w:autoSpaceDN w:val="0"/>
        <w:adjustRightInd w:val="0"/>
        <w:rPr>
          <w:sz w:val="22"/>
          <w:szCs w:val="22"/>
        </w:rPr>
      </w:pPr>
      <w:r w:rsidRPr="003C787C">
        <w:rPr>
          <w:noProof/>
          <w:sz w:val="22"/>
          <w:szCs w:val="22"/>
          <w:lang w:eastAsia="lt-LT"/>
        </w:rPr>
        <mc:AlternateContent>
          <mc:Choice Requires="wps">
            <w:drawing>
              <wp:anchor distT="0" distB="0" distL="114300" distR="114300" simplePos="0" relativeHeight="251659264" behindDoc="0" locked="0" layoutInCell="1" allowOverlap="1" wp14:anchorId="4635277E" wp14:editId="0038F6E0">
                <wp:simplePos x="0" y="0"/>
                <wp:positionH relativeFrom="column">
                  <wp:posOffset>333375</wp:posOffset>
                </wp:positionH>
                <wp:positionV relativeFrom="paragraph">
                  <wp:posOffset>1343025</wp:posOffset>
                </wp:positionV>
                <wp:extent cx="4181475" cy="1095375"/>
                <wp:effectExtent l="5080" t="10795" r="13970"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1095375"/>
                        </a:xfrm>
                        <a:prstGeom prst="rect">
                          <a:avLst/>
                        </a:prstGeom>
                        <a:solidFill>
                          <a:srgbClr val="FFFFFF"/>
                        </a:solidFill>
                        <a:ln w="9525">
                          <a:solidFill>
                            <a:srgbClr val="FFFFFF"/>
                          </a:solidFill>
                          <a:miter lim="800000"/>
                          <a:headEnd/>
                          <a:tailEnd/>
                        </a:ln>
                      </wps:spPr>
                      <wps:txbx>
                        <w:txbxContent>
                          <w:tbl>
                            <w:tblPr>
                              <w:tblW w:w="0" w:type="auto"/>
                              <w:tblLook w:val="04A0" w:firstRow="1" w:lastRow="0" w:firstColumn="1" w:lastColumn="0" w:noHBand="0" w:noVBand="1"/>
                            </w:tblPr>
                            <w:tblGrid>
                              <w:gridCol w:w="784"/>
                              <w:gridCol w:w="2296"/>
                              <w:gridCol w:w="810"/>
                              <w:gridCol w:w="804"/>
                              <w:gridCol w:w="1589"/>
                            </w:tblGrid>
                            <w:tr w:rsidR="00412F88" w:rsidRPr="00953A43" w14:paraId="1C898176" w14:textId="77777777" w:rsidTr="0012495D">
                              <w:trPr>
                                <w:gridAfter w:val="3"/>
                                <w:wAfter w:w="3348" w:type="dxa"/>
                              </w:trPr>
                              <w:tc>
                                <w:tcPr>
                                  <w:tcW w:w="3281" w:type="dxa"/>
                                  <w:gridSpan w:val="2"/>
                                  <w:shd w:val="clear" w:color="auto" w:fill="auto"/>
                                </w:tcPr>
                                <w:p w14:paraId="1BF17A30" w14:textId="77777777" w:rsidR="00412F88" w:rsidRPr="00953A43" w:rsidRDefault="00412F88" w:rsidP="00412F88">
                                  <w:pPr>
                                    <w:rPr>
                                      <w:rFonts w:ascii="Arial" w:hAnsi="Arial" w:cs="Arial"/>
                                      <w:sz w:val="16"/>
                                    </w:rPr>
                                  </w:pPr>
                                  <w:r w:rsidRPr="00953A43">
                                    <w:rPr>
                                      <w:rFonts w:ascii="Arial" w:hAnsi="Arial" w:cs="Arial"/>
                                      <w:sz w:val="16"/>
                                    </w:rPr>
                                    <w:t>p &lt; 0,0001</w:t>
                                  </w:r>
                                </w:p>
                                <w:p w14:paraId="19E951BD" w14:textId="77777777" w:rsidR="00412F88" w:rsidRPr="00953A43" w:rsidRDefault="00412F88" w:rsidP="00412F88">
                                  <w:pPr>
                                    <w:rPr>
                                      <w:rFonts w:ascii="Arial" w:hAnsi="Arial" w:cs="Arial"/>
                                      <w:sz w:val="16"/>
                                    </w:rPr>
                                  </w:pPr>
                                  <w:r w:rsidRPr="00953A43">
                                    <w:rPr>
                                      <w:rFonts w:ascii="Arial" w:hAnsi="Arial" w:cs="Arial"/>
                                      <w:sz w:val="16"/>
                                      <w:szCs w:val="20"/>
                                    </w:rPr>
                                    <w:t>Rizikos santykis</w:t>
                                  </w:r>
                                  <w:r w:rsidRPr="00953A43">
                                    <w:rPr>
                                      <w:rFonts w:ascii="Arial" w:hAnsi="Arial" w:cs="Arial"/>
                                      <w:sz w:val="16"/>
                                    </w:rPr>
                                    <w:t xml:space="preserve"> 0,46</w:t>
                                  </w:r>
                                </w:p>
                                <w:p w14:paraId="26F19262" w14:textId="77777777" w:rsidR="00412F88" w:rsidRPr="00953A43" w:rsidRDefault="00412F88" w:rsidP="00412F88">
                                  <w:pPr>
                                    <w:rPr>
                                      <w:rFonts w:ascii="Arial" w:hAnsi="Arial" w:cs="Arial"/>
                                      <w:sz w:val="16"/>
                                      <w:lang w:val="de-DE"/>
                                    </w:rPr>
                                  </w:pPr>
                                  <w:r w:rsidRPr="00953A43">
                                    <w:rPr>
                                      <w:rFonts w:ascii="Arial" w:hAnsi="Arial" w:cs="Arial"/>
                                      <w:sz w:val="16"/>
                                    </w:rPr>
                                    <w:t>(95 % Pl, 0,32</w:t>
                                  </w:r>
                                  <w:r w:rsidRPr="00953A43">
                                    <w:rPr>
                                      <w:rFonts w:ascii="Arial" w:hAnsi="Arial" w:cs="Arial"/>
                                      <w:sz w:val="16"/>
                                    </w:rPr>
                                    <w:noBreakHyphen/>
                                    <w:t>0,65)</w:t>
                                  </w:r>
                                </w:p>
                              </w:tc>
                            </w:tr>
                            <w:tr w:rsidR="00412F88" w:rsidRPr="00953A43" w14:paraId="7F4F1935" w14:textId="77777777" w:rsidTr="0012495D">
                              <w:trPr>
                                <w:trHeight w:val="80"/>
                              </w:trPr>
                              <w:tc>
                                <w:tcPr>
                                  <w:tcW w:w="817" w:type="dxa"/>
                                  <w:shd w:val="clear" w:color="auto" w:fill="auto"/>
                                </w:tcPr>
                                <w:p w14:paraId="623846C2" w14:textId="77777777" w:rsidR="00412F88" w:rsidRPr="00953A43" w:rsidRDefault="00412F88" w:rsidP="00412F88">
                                  <w:pPr>
                                    <w:rPr>
                                      <w:rFonts w:ascii="Arial" w:hAnsi="Arial" w:cs="Arial"/>
                                      <w:sz w:val="16"/>
                                      <w:szCs w:val="20"/>
                                    </w:rPr>
                                  </w:pPr>
                                </w:p>
                              </w:tc>
                              <w:tc>
                                <w:tcPr>
                                  <w:tcW w:w="2464" w:type="dxa"/>
                                  <w:shd w:val="clear" w:color="auto" w:fill="auto"/>
                                </w:tcPr>
                                <w:p w14:paraId="23FF77D7" w14:textId="77777777" w:rsidR="00412F88" w:rsidRPr="00953A43" w:rsidRDefault="00412F88" w:rsidP="00412F88">
                                  <w:pPr>
                                    <w:rPr>
                                      <w:rFonts w:ascii="Arial" w:hAnsi="Arial" w:cs="Arial"/>
                                      <w:sz w:val="16"/>
                                      <w:szCs w:val="20"/>
                                    </w:rPr>
                                  </w:pPr>
                                </w:p>
                              </w:tc>
                              <w:tc>
                                <w:tcPr>
                                  <w:tcW w:w="851" w:type="dxa"/>
                                  <w:tcBorders>
                                    <w:bottom w:val="single" w:sz="4" w:space="0" w:color="auto"/>
                                  </w:tcBorders>
                                  <w:shd w:val="clear" w:color="auto" w:fill="auto"/>
                                </w:tcPr>
                                <w:p w14:paraId="1AA53425" w14:textId="77777777" w:rsidR="00412F88" w:rsidRPr="00953A43" w:rsidRDefault="00412F88" w:rsidP="00412F88">
                                  <w:pPr>
                                    <w:rPr>
                                      <w:rFonts w:ascii="Arial" w:hAnsi="Arial" w:cs="Arial"/>
                                      <w:sz w:val="16"/>
                                      <w:szCs w:val="20"/>
                                    </w:rPr>
                                  </w:pPr>
                                  <w:r w:rsidRPr="00953A43">
                                    <w:rPr>
                                      <w:rFonts w:ascii="Arial" w:hAnsi="Arial" w:cs="Arial"/>
                                      <w:sz w:val="16"/>
                                      <w:szCs w:val="20"/>
                                      <w:lang w:val="de-DE"/>
                                    </w:rPr>
                                    <w:t>N</w:t>
                                  </w:r>
                                </w:p>
                              </w:tc>
                              <w:tc>
                                <w:tcPr>
                                  <w:tcW w:w="817" w:type="dxa"/>
                                  <w:tcBorders>
                                    <w:bottom w:val="single" w:sz="4" w:space="0" w:color="auto"/>
                                  </w:tcBorders>
                                  <w:shd w:val="clear" w:color="auto" w:fill="auto"/>
                                </w:tcPr>
                                <w:p w14:paraId="4ECE3C64" w14:textId="77777777" w:rsidR="00412F88" w:rsidRPr="00953A43" w:rsidRDefault="00412F88" w:rsidP="00412F88">
                                  <w:pPr>
                                    <w:rPr>
                                      <w:rFonts w:ascii="Arial" w:hAnsi="Arial" w:cs="Arial"/>
                                      <w:sz w:val="16"/>
                                      <w:szCs w:val="20"/>
                                    </w:rPr>
                                  </w:pPr>
                                  <w:r w:rsidRPr="00953A43">
                                    <w:rPr>
                                      <w:rFonts w:ascii="Arial" w:hAnsi="Arial" w:cs="Arial"/>
                                      <w:sz w:val="16"/>
                                      <w:szCs w:val="20"/>
                                    </w:rPr>
                                    <w:t>Atvejai</w:t>
                                  </w:r>
                                </w:p>
                              </w:tc>
                              <w:tc>
                                <w:tcPr>
                                  <w:tcW w:w="1680" w:type="dxa"/>
                                  <w:tcBorders>
                                    <w:bottom w:val="single" w:sz="4" w:space="0" w:color="auto"/>
                                  </w:tcBorders>
                                  <w:shd w:val="clear" w:color="auto" w:fill="auto"/>
                                </w:tcPr>
                                <w:p w14:paraId="58EFB712" w14:textId="77777777" w:rsidR="00412F88" w:rsidRPr="00953A43" w:rsidRDefault="00412F88" w:rsidP="00412F88">
                                  <w:pPr>
                                    <w:rPr>
                                      <w:rFonts w:ascii="Arial" w:hAnsi="Arial" w:cs="Arial"/>
                                      <w:sz w:val="16"/>
                                      <w:szCs w:val="20"/>
                                    </w:rPr>
                                  </w:pPr>
                                  <w:r w:rsidRPr="00953A43">
                                    <w:rPr>
                                      <w:rFonts w:ascii="Arial" w:hAnsi="Arial" w:cs="Arial"/>
                                      <w:sz w:val="16"/>
                                      <w:szCs w:val="20"/>
                                    </w:rPr>
                                    <w:t>Likę pacientai</w:t>
                                  </w:r>
                                </w:p>
                              </w:tc>
                            </w:tr>
                            <w:tr w:rsidR="00412F88" w:rsidRPr="00953A43" w14:paraId="5F39357A" w14:textId="77777777" w:rsidTr="0012495D">
                              <w:tc>
                                <w:tcPr>
                                  <w:tcW w:w="817" w:type="dxa"/>
                                  <w:shd w:val="clear" w:color="auto" w:fill="auto"/>
                                </w:tcPr>
                                <w:p w14:paraId="18870722" w14:textId="77777777" w:rsidR="00412F88" w:rsidRPr="00953A43" w:rsidRDefault="00412F88" w:rsidP="00412F88">
                                  <w:pPr>
                                    <w:rPr>
                                      <w:rFonts w:ascii="Arial" w:hAnsi="Arial" w:cs="Arial"/>
                                      <w:sz w:val="16"/>
                                      <w:szCs w:val="20"/>
                                    </w:rPr>
                                  </w:pPr>
                                  <w:r w:rsidRPr="00953A43">
                                    <w:rPr>
                                      <w:rFonts w:ascii="Arial" w:hAnsi="Arial" w:cs="Arial"/>
                                      <w:b/>
                                      <w:sz w:val="16"/>
                                      <w:szCs w:val="20"/>
                                    </w:rPr>
                                    <w:t>——</w:t>
                                  </w:r>
                                </w:p>
                              </w:tc>
                              <w:tc>
                                <w:tcPr>
                                  <w:tcW w:w="2464" w:type="dxa"/>
                                  <w:shd w:val="clear" w:color="auto" w:fill="auto"/>
                                </w:tcPr>
                                <w:p w14:paraId="0F296704" w14:textId="77777777" w:rsidR="00412F88" w:rsidRPr="00953A43" w:rsidRDefault="00412F88" w:rsidP="00412F88">
                                  <w:pPr>
                                    <w:rPr>
                                      <w:rFonts w:ascii="Arial" w:hAnsi="Arial" w:cs="Arial"/>
                                      <w:sz w:val="16"/>
                                      <w:szCs w:val="20"/>
                                    </w:rPr>
                                  </w:pPr>
                                  <w:r w:rsidRPr="00953A43">
                                    <w:rPr>
                                      <w:rFonts w:ascii="Arial" w:hAnsi="Arial" w:cs="Arial"/>
                                      <w:sz w:val="16"/>
                                      <w:szCs w:val="20"/>
                                    </w:rPr>
                                    <w:t>(1) Imatinibas 12 mėn.:</w:t>
                                  </w:r>
                                </w:p>
                              </w:tc>
                              <w:tc>
                                <w:tcPr>
                                  <w:tcW w:w="851" w:type="dxa"/>
                                  <w:tcBorders>
                                    <w:top w:val="single" w:sz="4" w:space="0" w:color="auto"/>
                                  </w:tcBorders>
                                  <w:shd w:val="clear" w:color="auto" w:fill="auto"/>
                                </w:tcPr>
                                <w:p w14:paraId="4261B8C1" w14:textId="77777777" w:rsidR="00412F88" w:rsidRPr="00953A43" w:rsidRDefault="00412F88" w:rsidP="00412F88">
                                  <w:pPr>
                                    <w:rPr>
                                      <w:rFonts w:ascii="Arial" w:hAnsi="Arial" w:cs="Arial"/>
                                      <w:sz w:val="16"/>
                                      <w:szCs w:val="20"/>
                                    </w:rPr>
                                  </w:pPr>
                                  <w:r w:rsidRPr="00953A43">
                                    <w:rPr>
                                      <w:rFonts w:ascii="Arial" w:hAnsi="Arial" w:cs="Arial"/>
                                      <w:sz w:val="16"/>
                                      <w:szCs w:val="20"/>
                                    </w:rPr>
                                    <w:t>199</w:t>
                                  </w:r>
                                </w:p>
                              </w:tc>
                              <w:tc>
                                <w:tcPr>
                                  <w:tcW w:w="817" w:type="dxa"/>
                                  <w:tcBorders>
                                    <w:top w:val="single" w:sz="4" w:space="0" w:color="auto"/>
                                  </w:tcBorders>
                                  <w:shd w:val="clear" w:color="auto" w:fill="auto"/>
                                </w:tcPr>
                                <w:p w14:paraId="39F995B6" w14:textId="77777777" w:rsidR="00412F88" w:rsidRPr="00953A43" w:rsidRDefault="00412F88" w:rsidP="00412F88">
                                  <w:pPr>
                                    <w:rPr>
                                      <w:rFonts w:ascii="Arial" w:hAnsi="Arial" w:cs="Arial"/>
                                      <w:sz w:val="16"/>
                                      <w:szCs w:val="20"/>
                                    </w:rPr>
                                  </w:pPr>
                                  <w:r w:rsidRPr="00953A43">
                                    <w:rPr>
                                      <w:rFonts w:ascii="Arial" w:hAnsi="Arial" w:cs="Arial"/>
                                      <w:sz w:val="16"/>
                                      <w:szCs w:val="20"/>
                                    </w:rPr>
                                    <w:t>84</w:t>
                                  </w:r>
                                </w:p>
                              </w:tc>
                              <w:tc>
                                <w:tcPr>
                                  <w:tcW w:w="1680" w:type="dxa"/>
                                  <w:tcBorders>
                                    <w:top w:val="single" w:sz="4" w:space="0" w:color="auto"/>
                                  </w:tcBorders>
                                  <w:shd w:val="clear" w:color="auto" w:fill="auto"/>
                                </w:tcPr>
                                <w:p w14:paraId="36F1398A" w14:textId="77777777" w:rsidR="00412F88" w:rsidRPr="00953A43" w:rsidRDefault="00412F88" w:rsidP="00412F88">
                                  <w:pPr>
                                    <w:rPr>
                                      <w:rFonts w:ascii="Arial" w:hAnsi="Arial" w:cs="Arial"/>
                                      <w:sz w:val="16"/>
                                      <w:szCs w:val="20"/>
                                    </w:rPr>
                                  </w:pPr>
                                  <w:r w:rsidRPr="00953A43">
                                    <w:rPr>
                                      <w:rFonts w:ascii="Arial" w:hAnsi="Arial" w:cs="Arial"/>
                                      <w:sz w:val="16"/>
                                      <w:szCs w:val="20"/>
                                    </w:rPr>
                                    <w:t>115</w:t>
                                  </w:r>
                                </w:p>
                              </w:tc>
                            </w:tr>
                            <w:tr w:rsidR="00412F88" w:rsidRPr="00953A43" w14:paraId="7F363D1D" w14:textId="77777777" w:rsidTr="0012495D">
                              <w:tc>
                                <w:tcPr>
                                  <w:tcW w:w="817" w:type="dxa"/>
                                  <w:shd w:val="clear" w:color="auto" w:fill="auto"/>
                                </w:tcPr>
                                <w:p w14:paraId="30C57B10" w14:textId="77777777" w:rsidR="00412F88" w:rsidRPr="00953A43" w:rsidRDefault="00412F88" w:rsidP="00412F88">
                                  <w:pPr>
                                    <w:rPr>
                                      <w:rFonts w:ascii="Arial" w:hAnsi="Arial" w:cs="Arial"/>
                                      <w:sz w:val="16"/>
                                      <w:szCs w:val="20"/>
                                    </w:rPr>
                                  </w:pPr>
                                  <w:r w:rsidRPr="00953A43">
                                    <w:rPr>
                                      <w:rFonts w:ascii="Arial" w:hAnsi="Arial" w:cs="Arial"/>
                                      <w:sz w:val="16"/>
                                      <w:szCs w:val="20"/>
                                    </w:rPr>
                                    <w:t>-----</w:t>
                                  </w:r>
                                </w:p>
                              </w:tc>
                              <w:tc>
                                <w:tcPr>
                                  <w:tcW w:w="2464" w:type="dxa"/>
                                  <w:shd w:val="clear" w:color="auto" w:fill="auto"/>
                                </w:tcPr>
                                <w:p w14:paraId="230EE450" w14:textId="77777777" w:rsidR="00412F88" w:rsidRPr="00953A43" w:rsidRDefault="00412F88" w:rsidP="00412F88">
                                  <w:pPr>
                                    <w:rPr>
                                      <w:rFonts w:ascii="Arial" w:hAnsi="Arial" w:cs="Arial"/>
                                      <w:sz w:val="16"/>
                                      <w:szCs w:val="20"/>
                                    </w:rPr>
                                  </w:pPr>
                                  <w:r w:rsidRPr="00953A43">
                                    <w:rPr>
                                      <w:rFonts w:ascii="Arial" w:hAnsi="Arial" w:cs="Arial"/>
                                      <w:sz w:val="16"/>
                                      <w:szCs w:val="20"/>
                                    </w:rPr>
                                    <w:t>(2) Imatinibas 36 mėn.:</w:t>
                                  </w:r>
                                </w:p>
                              </w:tc>
                              <w:tc>
                                <w:tcPr>
                                  <w:tcW w:w="851" w:type="dxa"/>
                                  <w:tcBorders>
                                    <w:bottom w:val="single" w:sz="4" w:space="0" w:color="auto"/>
                                  </w:tcBorders>
                                  <w:shd w:val="clear" w:color="auto" w:fill="auto"/>
                                </w:tcPr>
                                <w:p w14:paraId="0D59A031" w14:textId="77777777" w:rsidR="00412F88" w:rsidRPr="00953A43" w:rsidRDefault="00412F88" w:rsidP="00412F88">
                                  <w:pPr>
                                    <w:rPr>
                                      <w:rFonts w:ascii="Arial" w:hAnsi="Arial" w:cs="Arial"/>
                                      <w:sz w:val="16"/>
                                      <w:szCs w:val="20"/>
                                    </w:rPr>
                                  </w:pPr>
                                  <w:r w:rsidRPr="00953A43">
                                    <w:rPr>
                                      <w:rFonts w:ascii="Arial" w:hAnsi="Arial" w:cs="Arial"/>
                                      <w:sz w:val="16"/>
                                      <w:szCs w:val="20"/>
                                    </w:rPr>
                                    <w:t>198</w:t>
                                  </w:r>
                                </w:p>
                              </w:tc>
                              <w:tc>
                                <w:tcPr>
                                  <w:tcW w:w="817" w:type="dxa"/>
                                  <w:tcBorders>
                                    <w:bottom w:val="single" w:sz="4" w:space="0" w:color="auto"/>
                                  </w:tcBorders>
                                  <w:shd w:val="clear" w:color="auto" w:fill="auto"/>
                                </w:tcPr>
                                <w:p w14:paraId="42632415" w14:textId="77777777" w:rsidR="00412F88" w:rsidRPr="00953A43" w:rsidRDefault="00412F88" w:rsidP="00412F88">
                                  <w:pPr>
                                    <w:rPr>
                                      <w:rFonts w:ascii="Arial" w:hAnsi="Arial" w:cs="Arial"/>
                                      <w:sz w:val="16"/>
                                      <w:szCs w:val="20"/>
                                    </w:rPr>
                                  </w:pPr>
                                  <w:r w:rsidRPr="00953A43">
                                    <w:rPr>
                                      <w:rFonts w:ascii="Arial" w:hAnsi="Arial" w:cs="Arial"/>
                                      <w:sz w:val="16"/>
                                      <w:szCs w:val="20"/>
                                    </w:rPr>
                                    <w:t>50</w:t>
                                  </w:r>
                                </w:p>
                              </w:tc>
                              <w:tc>
                                <w:tcPr>
                                  <w:tcW w:w="1680" w:type="dxa"/>
                                  <w:tcBorders>
                                    <w:bottom w:val="single" w:sz="4" w:space="0" w:color="auto"/>
                                  </w:tcBorders>
                                  <w:shd w:val="clear" w:color="auto" w:fill="auto"/>
                                </w:tcPr>
                                <w:p w14:paraId="706C20E1" w14:textId="77777777" w:rsidR="00412F88" w:rsidRPr="00953A43" w:rsidRDefault="00412F88" w:rsidP="00412F88">
                                  <w:pPr>
                                    <w:rPr>
                                      <w:rFonts w:ascii="Arial" w:hAnsi="Arial" w:cs="Arial"/>
                                      <w:sz w:val="16"/>
                                      <w:szCs w:val="20"/>
                                    </w:rPr>
                                  </w:pPr>
                                  <w:r w:rsidRPr="00953A43">
                                    <w:rPr>
                                      <w:rFonts w:ascii="Arial" w:hAnsi="Arial" w:cs="Arial"/>
                                      <w:sz w:val="16"/>
                                      <w:szCs w:val="20"/>
                                    </w:rPr>
                                    <w:t>148</w:t>
                                  </w:r>
                                </w:p>
                              </w:tc>
                            </w:tr>
                            <w:tr w:rsidR="00412F88" w:rsidRPr="00953A43" w14:paraId="2BCCD1C3" w14:textId="77777777" w:rsidTr="0012495D">
                              <w:tc>
                                <w:tcPr>
                                  <w:tcW w:w="817" w:type="dxa"/>
                                  <w:shd w:val="clear" w:color="auto" w:fill="auto"/>
                                </w:tcPr>
                                <w:p w14:paraId="5ED37898" w14:textId="77777777" w:rsidR="00412F88" w:rsidRPr="00953A43" w:rsidRDefault="00412F88" w:rsidP="00412F88">
                                  <w:pPr>
                                    <w:rPr>
                                      <w:rFonts w:ascii="Arial" w:hAnsi="Arial" w:cs="Arial"/>
                                      <w:sz w:val="16"/>
                                      <w:szCs w:val="20"/>
                                    </w:rPr>
                                  </w:pPr>
                                  <w:r w:rsidRPr="00953A43">
                                    <w:rPr>
                                      <w:rFonts w:ascii="Arial" w:hAnsi="Arial" w:cs="Arial"/>
                                      <w:sz w:val="16"/>
                                      <w:szCs w:val="20"/>
                                    </w:rPr>
                                    <w:t>│││</w:t>
                                  </w:r>
                                </w:p>
                              </w:tc>
                              <w:tc>
                                <w:tcPr>
                                  <w:tcW w:w="2464" w:type="dxa"/>
                                  <w:shd w:val="clear" w:color="auto" w:fill="auto"/>
                                </w:tcPr>
                                <w:p w14:paraId="71C6512F" w14:textId="77777777" w:rsidR="00412F88" w:rsidRPr="00953A43" w:rsidRDefault="00412F88" w:rsidP="00412F88">
                                  <w:pPr>
                                    <w:rPr>
                                      <w:rFonts w:ascii="Arial" w:hAnsi="Arial" w:cs="Arial"/>
                                      <w:sz w:val="16"/>
                                      <w:szCs w:val="20"/>
                                    </w:rPr>
                                  </w:pPr>
                                  <w:r w:rsidRPr="00953A43">
                                    <w:rPr>
                                      <w:rFonts w:ascii="Arial" w:hAnsi="Arial" w:cs="Arial"/>
                                      <w:sz w:val="16"/>
                                      <w:szCs w:val="20"/>
                                    </w:rPr>
                                    <w:t>Pacientų įvertinimo vizitai</w:t>
                                  </w:r>
                                </w:p>
                              </w:tc>
                              <w:tc>
                                <w:tcPr>
                                  <w:tcW w:w="851" w:type="dxa"/>
                                  <w:tcBorders>
                                    <w:top w:val="single" w:sz="4" w:space="0" w:color="auto"/>
                                  </w:tcBorders>
                                  <w:shd w:val="clear" w:color="auto" w:fill="auto"/>
                                </w:tcPr>
                                <w:p w14:paraId="60255C7A" w14:textId="77777777" w:rsidR="00412F88" w:rsidRPr="00953A43" w:rsidRDefault="00412F88" w:rsidP="00412F88">
                                  <w:pPr>
                                    <w:rPr>
                                      <w:rFonts w:ascii="Arial" w:hAnsi="Arial" w:cs="Arial"/>
                                      <w:sz w:val="16"/>
                                      <w:szCs w:val="20"/>
                                    </w:rPr>
                                  </w:pPr>
                                </w:p>
                              </w:tc>
                              <w:tc>
                                <w:tcPr>
                                  <w:tcW w:w="817" w:type="dxa"/>
                                  <w:tcBorders>
                                    <w:top w:val="single" w:sz="4" w:space="0" w:color="auto"/>
                                  </w:tcBorders>
                                  <w:shd w:val="clear" w:color="auto" w:fill="auto"/>
                                </w:tcPr>
                                <w:p w14:paraId="14599D73" w14:textId="77777777" w:rsidR="00412F88" w:rsidRPr="00953A43" w:rsidRDefault="00412F88" w:rsidP="00412F88">
                                  <w:pPr>
                                    <w:rPr>
                                      <w:rFonts w:ascii="Arial" w:hAnsi="Arial" w:cs="Arial"/>
                                      <w:sz w:val="16"/>
                                      <w:szCs w:val="20"/>
                                    </w:rPr>
                                  </w:pPr>
                                </w:p>
                              </w:tc>
                              <w:tc>
                                <w:tcPr>
                                  <w:tcW w:w="1680" w:type="dxa"/>
                                  <w:tcBorders>
                                    <w:top w:val="single" w:sz="4" w:space="0" w:color="auto"/>
                                  </w:tcBorders>
                                  <w:shd w:val="clear" w:color="auto" w:fill="auto"/>
                                </w:tcPr>
                                <w:p w14:paraId="4CF9F22F" w14:textId="77777777" w:rsidR="00412F88" w:rsidRPr="00953A43" w:rsidRDefault="00412F88" w:rsidP="00412F88">
                                  <w:pPr>
                                    <w:rPr>
                                      <w:rFonts w:ascii="Arial" w:hAnsi="Arial" w:cs="Arial"/>
                                      <w:sz w:val="16"/>
                                      <w:szCs w:val="20"/>
                                    </w:rPr>
                                  </w:pPr>
                                </w:p>
                              </w:tc>
                            </w:tr>
                          </w:tbl>
                          <w:p w14:paraId="6B97F3C3" w14:textId="77777777" w:rsidR="00412F88" w:rsidRPr="00953A43" w:rsidRDefault="00412F88" w:rsidP="008A305D">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35277E" id="_x0000_t202" coordsize="21600,21600" o:spt="202" path="m,l,21600r21600,l21600,xe">
                <v:stroke joinstyle="miter"/>
                <v:path gradientshapeok="t" o:connecttype="rect"/>
              </v:shapetype>
              <v:shape id="Text Box 2" o:spid="_x0000_s1026" type="#_x0000_t202" style="position:absolute;margin-left:26.25pt;margin-top:105.75pt;width:329.2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hYzJQIAAFEEAAAOAAAAZHJzL2Uyb0RvYy54bWysVM1u2zAMvg/YOwi6L7azZE2MOEWXLsOA&#10;7gdo9wCyLNvCJFGTlNjd04+S0zTbbsV8EEiR+kh+JL25HrUiR+G8BFPRYpZTIgyHRpquot8f9m9W&#10;lPjATMMUGFHRR+Hp9fb1q81gSzGHHlQjHEEQ48vBVrQPwZZZ5nkvNPMzsMKgsQWnWUDVdVnj2IDo&#10;WmXzPH+XDeAa64AL7/H2djLSbcJvW8HD17b1IhBVUcwtpNOls45ntt2wsnPM9pKf0mAvyEIzaTDo&#10;GeqWBUYOTv4DpSV34KENMw46g7aVXKQasJoi/6ua+55ZkWpBcrw90+T/Hyz/cvzmiGwquqDEMI0t&#10;ehBjIO9hJPPIzmB9iU73Ft3CiNfY5VSpt3fAf3hiYNcz04kb52DoBWswuyK+zC6eTjg+gtTDZ2gw&#10;DDsESEBj63SkDskgiI5dejx3JqbC8XJRrIrF1ZISjrYiXy/fohJjsPLpuXU+fBSgSRQq6rD1CZ4d&#10;73yYXJ9cYjQPSjZ7qVRSXFfvlCNHhmOyT98J/Q83ZchQ0fVyvpwYeAGElgHnXUld0VUevxiHlZG3&#10;D6ZJcmBSTTJWp8yJyMjdxGIY6xEdI7s1NI9IqYNprnEPUejB/aJkwJmuqP95YE5Qoj4ZbMu6WCzi&#10;EiRlsbyao+IuLfWlhRmOUBUNlEziLkyLc7BOdj1GmgbBwA22spWJ5OesTnnj3KY2nXYsLsalnrye&#10;/wTb3wAAAP//AwBQSwMEFAAGAAgAAAAhABUCodHfAAAACgEAAA8AAABkcnMvZG93bnJldi54bWxM&#10;j8tOwzAQRfdI/IM1SGxQ6weUViFOVVUg1i1s2LnxNImI7SR2m5SvZ1jR3Yzm6M65+XpyLTvjEJvg&#10;Nci5AIa+DLbxlYbPj7fZClhMxlvTBo8aLhhhXdze5CazYfQ7PO9TxSjEx8xoqFPqMs5jWaMzcR46&#10;9HQ7hsGZROtQcTuYkcJdy5UQz9yZxtOH2nS4rbH83p+chjC+XlzAXqiHrx/3vt30u6Pqtb6/mzYv&#10;wBJO6R+GP31Sh4KcDuHkbWSthoVaEKlBSUkDAUspqdxBw+PqSQAvcn5dofgFAAD//wMAUEsBAi0A&#10;FAAGAAgAAAAhALaDOJL+AAAA4QEAABMAAAAAAAAAAAAAAAAAAAAAAFtDb250ZW50X1R5cGVzXS54&#10;bWxQSwECLQAUAAYACAAAACEAOP0h/9YAAACUAQAACwAAAAAAAAAAAAAAAAAvAQAAX3JlbHMvLnJl&#10;bHNQSwECLQAUAAYACAAAACEArnoWMyUCAABRBAAADgAAAAAAAAAAAAAAAAAuAgAAZHJzL2Uyb0Rv&#10;Yy54bWxQSwECLQAUAAYACAAAACEAFQKh0d8AAAAKAQAADwAAAAAAAAAAAAAAAAB/BAAAZHJzL2Rv&#10;d25yZXYueG1sUEsFBgAAAAAEAAQA8wAAAIsFAAAAAA==&#10;" strokecolor="white">
                <v:textbox>
                  <w:txbxContent>
                    <w:tbl>
                      <w:tblPr>
                        <w:tblW w:w="0" w:type="auto"/>
                        <w:tblLook w:val="04A0" w:firstRow="1" w:lastRow="0" w:firstColumn="1" w:lastColumn="0" w:noHBand="0" w:noVBand="1"/>
                      </w:tblPr>
                      <w:tblGrid>
                        <w:gridCol w:w="784"/>
                        <w:gridCol w:w="2296"/>
                        <w:gridCol w:w="810"/>
                        <w:gridCol w:w="804"/>
                        <w:gridCol w:w="1589"/>
                      </w:tblGrid>
                      <w:tr w:rsidR="00412F88" w:rsidRPr="00953A43" w14:paraId="1C898176" w14:textId="77777777" w:rsidTr="0012495D">
                        <w:trPr>
                          <w:gridAfter w:val="3"/>
                          <w:wAfter w:w="3348" w:type="dxa"/>
                        </w:trPr>
                        <w:tc>
                          <w:tcPr>
                            <w:tcW w:w="3281" w:type="dxa"/>
                            <w:gridSpan w:val="2"/>
                            <w:shd w:val="clear" w:color="auto" w:fill="auto"/>
                          </w:tcPr>
                          <w:p w14:paraId="1BF17A30" w14:textId="77777777" w:rsidR="00412F88" w:rsidRPr="00953A43" w:rsidRDefault="00412F88" w:rsidP="00412F88">
                            <w:pPr>
                              <w:rPr>
                                <w:rFonts w:ascii="Arial" w:hAnsi="Arial" w:cs="Arial"/>
                                <w:sz w:val="16"/>
                              </w:rPr>
                            </w:pPr>
                            <w:r w:rsidRPr="00953A43">
                              <w:rPr>
                                <w:rFonts w:ascii="Arial" w:hAnsi="Arial" w:cs="Arial"/>
                                <w:sz w:val="16"/>
                              </w:rPr>
                              <w:t>p &lt; 0,0001</w:t>
                            </w:r>
                          </w:p>
                          <w:p w14:paraId="19E951BD" w14:textId="77777777" w:rsidR="00412F88" w:rsidRPr="00953A43" w:rsidRDefault="00412F88" w:rsidP="00412F88">
                            <w:pPr>
                              <w:rPr>
                                <w:rFonts w:ascii="Arial" w:hAnsi="Arial" w:cs="Arial"/>
                                <w:sz w:val="16"/>
                              </w:rPr>
                            </w:pPr>
                            <w:r w:rsidRPr="00953A43">
                              <w:rPr>
                                <w:rFonts w:ascii="Arial" w:hAnsi="Arial" w:cs="Arial"/>
                                <w:sz w:val="16"/>
                                <w:szCs w:val="20"/>
                              </w:rPr>
                              <w:t>Rizikos santykis</w:t>
                            </w:r>
                            <w:r w:rsidRPr="00953A43">
                              <w:rPr>
                                <w:rFonts w:ascii="Arial" w:hAnsi="Arial" w:cs="Arial"/>
                                <w:sz w:val="16"/>
                              </w:rPr>
                              <w:t xml:space="preserve"> 0,46</w:t>
                            </w:r>
                          </w:p>
                          <w:p w14:paraId="26F19262" w14:textId="77777777" w:rsidR="00412F88" w:rsidRPr="00953A43" w:rsidRDefault="00412F88" w:rsidP="00412F88">
                            <w:pPr>
                              <w:rPr>
                                <w:rFonts w:ascii="Arial" w:hAnsi="Arial" w:cs="Arial"/>
                                <w:sz w:val="16"/>
                                <w:lang w:val="de-DE"/>
                              </w:rPr>
                            </w:pPr>
                            <w:r w:rsidRPr="00953A43">
                              <w:rPr>
                                <w:rFonts w:ascii="Arial" w:hAnsi="Arial" w:cs="Arial"/>
                                <w:sz w:val="16"/>
                              </w:rPr>
                              <w:t>(95 % Pl, 0,32</w:t>
                            </w:r>
                            <w:r w:rsidRPr="00953A43">
                              <w:rPr>
                                <w:rFonts w:ascii="Arial" w:hAnsi="Arial" w:cs="Arial"/>
                                <w:sz w:val="16"/>
                              </w:rPr>
                              <w:noBreakHyphen/>
                              <w:t>0,65)</w:t>
                            </w:r>
                          </w:p>
                        </w:tc>
                      </w:tr>
                      <w:tr w:rsidR="00412F88" w:rsidRPr="00953A43" w14:paraId="7F4F1935" w14:textId="77777777" w:rsidTr="0012495D">
                        <w:trPr>
                          <w:trHeight w:val="80"/>
                        </w:trPr>
                        <w:tc>
                          <w:tcPr>
                            <w:tcW w:w="817" w:type="dxa"/>
                            <w:shd w:val="clear" w:color="auto" w:fill="auto"/>
                          </w:tcPr>
                          <w:p w14:paraId="623846C2" w14:textId="77777777" w:rsidR="00412F88" w:rsidRPr="00953A43" w:rsidRDefault="00412F88" w:rsidP="00412F88">
                            <w:pPr>
                              <w:rPr>
                                <w:rFonts w:ascii="Arial" w:hAnsi="Arial" w:cs="Arial"/>
                                <w:sz w:val="16"/>
                                <w:szCs w:val="20"/>
                              </w:rPr>
                            </w:pPr>
                          </w:p>
                        </w:tc>
                        <w:tc>
                          <w:tcPr>
                            <w:tcW w:w="2464" w:type="dxa"/>
                            <w:shd w:val="clear" w:color="auto" w:fill="auto"/>
                          </w:tcPr>
                          <w:p w14:paraId="23FF77D7" w14:textId="77777777" w:rsidR="00412F88" w:rsidRPr="00953A43" w:rsidRDefault="00412F88" w:rsidP="00412F88">
                            <w:pPr>
                              <w:rPr>
                                <w:rFonts w:ascii="Arial" w:hAnsi="Arial" w:cs="Arial"/>
                                <w:sz w:val="16"/>
                                <w:szCs w:val="20"/>
                              </w:rPr>
                            </w:pPr>
                          </w:p>
                        </w:tc>
                        <w:tc>
                          <w:tcPr>
                            <w:tcW w:w="851" w:type="dxa"/>
                            <w:tcBorders>
                              <w:bottom w:val="single" w:sz="4" w:space="0" w:color="auto"/>
                            </w:tcBorders>
                            <w:shd w:val="clear" w:color="auto" w:fill="auto"/>
                          </w:tcPr>
                          <w:p w14:paraId="1AA53425" w14:textId="77777777" w:rsidR="00412F88" w:rsidRPr="00953A43" w:rsidRDefault="00412F88" w:rsidP="00412F88">
                            <w:pPr>
                              <w:rPr>
                                <w:rFonts w:ascii="Arial" w:hAnsi="Arial" w:cs="Arial"/>
                                <w:sz w:val="16"/>
                                <w:szCs w:val="20"/>
                              </w:rPr>
                            </w:pPr>
                            <w:r w:rsidRPr="00953A43">
                              <w:rPr>
                                <w:rFonts w:ascii="Arial" w:hAnsi="Arial" w:cs="Arial"/>
                                <w:sz w:val="16"/>
                                <w:szCs w:val="20"/>
                                <w:lang w:val="de-DE"/>
                              </w:rPr>
                              <w:t>N</w:t>
                            </w:r>
                          </w:p>
                        </w:tc>
                        <w:tc>
                          <w:tcPr>
                            <w:tcW w:w="817" w:type="dxa"/>
                            <w:tcBorders>
                              <w:bottom w:val="single" w:sz="4" w:space="0" w:color="auto"/>
                            </w:tcBorders>
                            <w:shd w:val="clear" w:color="auto" w:fill="auto"/>
                          </w:tcPr>
                          <w:p w14:paraId="4ECE3C64" w14:textId="77777777" w:rsidR="00412F88" w:rsidRPr="00953A43" w:rsidRDefault="00412F88" w:rsidP="00412F88">
                            <w:pPr>
                              <w:rPr>
                                <w:rFonts w:ascii="Arial" w:hAnsi="Arial" w:cs="Arial"/>
                                <w:sz w:val="16"/>
                                <w:szCs w:val="20"/>
                              </w:rPr>
                            </w:pPr>
                            <w:r w:rsidRPr="00953A43">
                              <w:rPr>
                                <w:rFonts w:ascii="Arial" w:hAnsi="Arial" w:cs="Arial"/>
                                <w:sz w:val="16"/>
                                <w:szCs w:val="20"/>
                              </w:rPr>
                              <w:t>Atvejai</w:t>
                            </w:r>
                          </w:p>
                        </w:tc>
                        <w:tc>
                          <w:tcPr>
                            <w:tcW w:w="1680" w:type="dxa"/>
                            <w:tcBorders>
                              <w:bottom w:val="single" w:sz="4" w:space="0" w:color="auto"/>
                            </w:tcBorders>
                            <w:shd w:val="clear" w:color="auto" w:fill="auto"/>
                          </w:tcPr>
                          <w:p w14:paraId="58EFB712" w14:textId="77777777" w:rsidR="00412F88" w:rsidRPr="00953A43" w:rsidRDefault="00412F88" w:rsidP="00412F88">
                            <w:pPr>
                              <w:rPr>
                                <w:rFonts w:ascii="Arial" w:hAnsi="Arial" w:cs="Arial"/>
                                <w:sz w:val="16"/>
                                <w:szCs w:val="20"/>
                              </w:rPr>
                            </w:pPr>
                            <w:r w:rsidRPr="00953A43">
                              <w:rPr>
                                <w:rFonts w:ascii="Arial" w:hAnsi="Arial" w:cs="Arial"/>
                                <w:sz w:val="16"/>
                                <w:szCs w:val="20"/>
                              </w:rPr>
                              <w:t>Likę pacientai</w:t>
                            </w:r>
                          </w:p>
                        </w:tc>
                      </w:tr>
                      <w:tr w:rsidR="00412F88" w:rsidRPr="00953A43" w14:paraId="5F39357A" w14:textId="77777777" w:rsidTr="0012495D">
                        <w:tc>
                          <w:tcPr>
                            <w:tcW w:w="817" w:type="dxa"/>
                            <w:shd w:val="clear" w:color="auto" w:fill="auto"/>
                          </w:tcPr>
                          <w:p w14:paraId="18870722" w14:textId="77777777" w:rsidR="00412F88" w:rsidRPr="00953A43" w:rsidRDefault="00412F88" w:rsidP="00412F88">
                            <w:pPr>
                              <w:rPr>
                                <w:rFonts w:ascii="Arial" w:hAnsi="Arial" w:cs="Arial"/>
                                <w:sz w:val="16"/>
                                <w:szCs w:val="20"/>
                              </w:rPr>
                            </w:pPr>
                            <w:r w:rsidRPr="00953A43">
                              <w:rPr>
                                <w:rFonts w:ascii="Arial" w:hAnsi="Arial" w:cs="Arial"/>
                                <w:b/>
                                <w:sz w:val="16"/>
                                <w:szCs w:val="20"/>
                              </w:rPr>
                              <w:t>——</w:t>
                            </w:r>
                          </w:p>
                        </w:tc>
                        <w:tc>
                          <w:tcPr>
                            <w:tcW w:w="2464" w:type="dxa"/>
                            <w:shd w:val="clear" w:color="auto" w:fill="auto"/>
                          </w:tcPr>
                          <w:p w14:paraId="0F296704" w14:textId="77777777" w:rsidR="00412F88" w:rsidRPr="00953A43" w:rsidRDefault="00412F88" w:rsidP="00412F88">
                            <w:pPr>
                              <w:rPr>
                                <w:rFonts w:ascii="Arial" w:hAnsi="Arial" w:cs="Arial"/>
                                <w:sz w:val="16"/>
                                <w:szCs w:val="20"/>
                              </w:rPr>
                            </w:pPr>
                            <w:r w:rsidRPr="00953A43">
                              <w:rPr>
                                <w:rFonts w:ascii="Arial" w:hAnsi="Arial" w:cs="Arial"/>
                                <w:sz w:val="16"/>
                                <w:szCs w:val="20"/>
                              </w:rPr>
                              <w:t>(1) Imatinibas 12 mėn.:</w:t>
                            </w:r>
                          </w:p>
                        </w:tc>
                        <w:tc>
                          <w:tcPr>
                            <w:tcW w:w="851" w:type="dxa"/>
                            <w:tcBorders>
                              <w:top w:val="single" w:sz="4" w:space="0" w:color="auto"/>
                            </w:tcBorders>
                            <w:shd w:val="clear" w:color="auto" w:fill="auto"/>
                          </w:tcPr>
                          <w:p w14:paraId="4261B8C1" w14:textId="77777777" w:rsidR="00412F88" w:rsidRPr="00953A43" w:rsidRDefault="00412F88" w:rsidP="00412F88">
                            <w:pPr>
                              <w:rPr>
                                <w:rFonts w:ascii="Arial" w:hAnsi="Arial" w:cs="Arial"/>
                                <w:sz w:val="16"/>
                                <w:szCs w:val="20"/>
                              </w:rPr>
                            </w:pPr>
                            <w:r w:rsidRPr="00953A43">
                              <w:rPr>
                                <w:rFonts w:ascii="Arial" w:hAnsi="Arial" w:cs="Arial"/>
                                <w:sz w:val="16"/>
                                <w:szCs w:val="20"/>
                              </w:rPr>
                              <w:t>199</w:t>
                            </w:r>
                          </w:p>
                        </w:tc>
                        <w:tc>
                          <w:tcPr>
                            <w:tcW w:w="817" w:type="dxa"/>
                            <w:tcBorders>
                              <w:top w:val="single" w:sz="4" w:space="0" w:color="auto"/>
                            </w:tcBorders>
                            <w:shd w:val="clear" w:color="auto" w:fill="auto"/>
                          </w:tcPr>
                          <w:p w14:paraId="39F995B6" w14:textId="77777777" w:rsidR="00412F88" w:rsidRPr="00953A43" w:rsidRDefault="00412F88" w:rsidP="00412F88">
                            <w:pPr>
                              <w:rPr>
                                <w:rFonts w:ascii="Arial" w:hAnsi="Arial" w:cs="Arial"/>
                                <w:sz w:val="16"/>
                                <w:szCs w:val="20"/>
                              </w:rPr>
                            </w:pPr>
                            <w:r w:rsidRPr="00953A43">
                              <w:rPr>
                                <w:rFonts w:ascii="Arial" w:hAnsi="Arial" w:cs="Arial"/>
                                <w:sz w:val="16"/>
                                <w:szCs w:val="20"/>
                              </w:rPr>
                              <w:t>84</w:t>
                            </w:r>
                          </w:p>
                        </w:tc>
                        <w:tc>
                          <w:tcPr>
                            <w:tcW w:w="1680" w:type="dxa"/>
                            <w:tcBorders>
                              <w:top w:val="single" w:sz="4" w:space="0" w:color="auto"/>
                            </w:tcBorders>
                            <w:shd w:val="clear" w:color="auto" w:fill="auto"/>
                          </w:tcPr>
                          <w:p w14:paraId="36F1398A" w14:textId="77777777" w:rsidR="00412F88" w:rsidRPr="00953A43" w:rsidRDefault="00412F88" w:rsidP="00412F88">
                            <w:pPr>
                              <w:rPr>
                                <w:rFonts w:ascii="Arial" w:hAnsi="Arial" w:cs="Arial"/>
                                <w:sz w:val="16"/>
                                <w:szCs w:val="20"/>
                              </w:rPr>
                            </w:pPr>
                            <w:r w:rsidRPr="00953A43">
                              <w:rPr>
                                <w:rFonts w:ascii="Arial" w:hAnsi="Arial" w:cs="Arial"/>
                                <w:sz w:val="16"/>
                                <w:szCs w:val="20"/>
                              </w:rPr>
                              <w:t>115</w:t>
                            </w:r>
                          </w:p>
                        </w:tc>
                      </w:tr>
                      <w:tr w:rsidR="00412F88" w:rsidRPr="00953A43" w14:paraId="7F363D1D" w14:textId="77777777" w:rsidTr="0012495D">
                        <w:tc>
                          <w:tcPr>
                            <w:tcW w:w="817" w:type="dxa"/>
                            <w:shd w:val="clear" w:color="auto" w:fill="auto"/>
                          </w:tcPr>
                          <w:p w14:paraId="30C57B10" w14:textId="77777777" w:rsidR="00412F88" w:rsidRPr="00953A43" w:rsidRDefault="00412F88" w:rsidP="00412F88">
                            <w:pPr>
                              <w:rPr>
                                <w:rFonts w:ascii="Arial" w:hAnsi="Arial" w:cs="Arial"/>
                                <w:sz w:val="16"/>
                                <w:szCs w:val="20"/>
                              </w:rPr>
                            </w:pPr>
                            <w:r w:rsidRPr="00953A43">
                              <w:rPr>
                                <w:rFonts w:ascii="Arial" w:hAnsi="Arial" w:cs="Arial"/>
                                <w:sz w:val="16"/>
                                <w:szCs w:val="20"/>
                              </w:rPr>
                              <w:t>-----</w:t>
                            </w:r>
                          </w:p>
                        </w:tc>
                        <w:tc>
                          <w:tcPr>
                            <w:tcW w:w="2464" w:type="dxa"/>
                            <w:shd w:val="clear" w:color="auto" w:fill="auto"/>
                          </w:tcPr>
                          <w:p w14:paraId="230EE450" w14:textId="77777777" w:rsidR="00412F88" w:rsidRPr="00953A43" w:rsidRDefault="00412F88" w:rsidP="00412F88">
                            <w:pPr>
                              <w:rPr>
                                <w:rFonts w:ascii="Arial" w:hAnsi="Arial" w:cs="Arial"/>
                                <w:sz w:val="16"/>
                                <w:szCs w:val="20"/>
                              </w:rPr>
                            </w:pPr>
                            <w:r w:rsidRPr="00953A43">
                              <w:rPr>
                                <w:rFonts w:ascii="Arial" w:hAnsi="Arial" w:cs="Arial"/>
                                <w:sz w:val="16"/>
                                <w:szCs w:val="20"/>
                              </w:rPr>
                              <w:t>(2) Imatinibas 36 mėn.:</w:t>
                            </w:r>
                          </w:p>
                        </w:tc>
                        <w:tc>
                          <w:tcPr>
                            <w:tcW w:w="851" w:type="dxa"/>
                            <w:tcBorders>
                              <w:bottom w:val="single" w:sz="4" w:space="0" w:color="auto"/>
                            </w:tcBorders>
                            <w:shd w:val="clear" w:color="auto" w:fill="auto"/>
                          </w:tcPr>
                          <w:p w14:paraId="0D59A031" w14:textId="77777777" w:rsidR="00412F88" w:rsidRPr="00953A43" w:rsidRDefault="00412F88" w:rsidP="00412F88">
                            <w:pPr>
                              <w:rPr>
                                <w:rFonts w:ascii="Arial" w:hAnsi="Arial" w:cs="Arial"/>
                                <w:sz w:val="16"/>
                                <w:szCs w:val="20"/>
                              </w:rPr>
                            </w:pPr>
                            <w:r w:rsidRPr="00953A43">
                              <w:rPr>
                                <w:rFonts w:ascii="Arial" w:hAnsi="Arial" w:cs="Arial"/>
                                <w:sz w:val="16"/>
                                <w:szCs w:val="20"/>
                              </w:rPr>
                              <w:t>198</w:t>
                            </w:r>
                          </w:p>
                        </w:tc>
                        <w:tc>
                          <w:tcPr>
                            <w:tcW w:w="817" w:type="dxa"/>
                            <w:tcBorders>
                              <w:bottom w:val="single" w:sz="4" w:space="0" w:color="auto"/>
                            </w:tcBorders>
                            <w:shd w:val="clear" w:color="auto" w:fill="auto"/>
                          </w:tcPr>
                          <w:p w14:paraId="42632415" w14:textId="77777777" w:rsidR="00412F88" w:rsidRPr="00953A43" w:rsidRDefault="00412F88" w:rsidP="00412F88">
                            <w:pPr>
                              <w:rPr>
                                <w:rFonts w:ascii="Arial" w:hAnsi="Arial" w:cs="Arial"/>
                                <w:sz w:val="16"/>
                                <w:szCs w:val="20"/>
                              </w:rPr>
                            </w:pPr>
                            <w:r w:rsidRPr="00953A43">
                              <w:rPr>
                                <w:rFonts w:ascii="Arial" w:hAnsi="Arial" w:cs="Arial"/>
                                <w:sz w:val="16"/>
                                <w:szCs w:val="20"/>
                              </w:rPr>
                              <w:t>50</w:t>
                            </w:r>
                          </w:p>
                        </w:tc>
                        <w:tc>
                          <w:tcPr>
                            <w:tcW w:w="1680" w:type="dxa"/>
                            <w:tcBorders>
                              <w:bottom w:val="single" w:sz="4" w:space="0" w:color="auto"/>
                            </w:tcBorders>
                            <w:shd w:val="clear" w:color="auto" w:fill="auto"/>
                          </w:tcPr>
                          <w:p w14:paraId="706C20E1" w14:textId="77777777" w:rsidR="00412F88" w:rsidRPr="00953A43" w:rsidRDefault="00412F88" w:rsidP="00412F88">
                            <w:pPr>
                              <w:rPr>
                                <w:rFonts w:ascii="Arial" w:hAnsi="Arial" w:cs="Arial"/>
                                <w:sz w:val="16"/>
                                <w:szCs w:val="20"/>
                              </w:rPr>
                            </w:pPr>
                            <w:r w:rsidRPr="00953A43">
                              <w:rPr>
                                <w:rFonts w:ascii="Arial" w:hAnsi="Arial" w:cs="Arial"/>
                                <w:sz w:val="16"/>
                                <w:szCs w:val="20"/>
                              </w:rPr>
                              <w:t>148</w:t>
                            </w:r>
                          </w:p>
                        </w:tc>
                      </w:tr>
                      <w:tr w:rsidR="00412F88" w:rsidRPr="00953A43" w14:paraId="2BCCD1C3" w14:textId="77777777" w:rsidTr="0012495D">
                        <w:tc>
                          <w:tcPr>
                            <w:tcW w:w="817" w:type="dxa"/>
                            <w:shd w:val="clear" w:color="auto" w:fill="auto"/>
                          </w:tcPr>
                          <w:p w14:paraId="5ED37898" w14:textId="77777777" w:rsidR="00412F88" w:rsidRPr="00953A43" w:rsidRDefault="00412F88" w:rsidP="00412F88">
                            <w:pPr>
                              <w:rPr>
                                <w:rFonts w:ascii="Arial" w:hAnsi="Arial" w:cs="Arial"/>
                                <w:sz w:val="16"/>
                                <w:szCs w:val="20"/>
                              </w:rPr>
                            </w:pPr>
                            <w:r w:rsidRPr="00953A43">
                              <w:rPr>
                                <w:rFonts w:ascii="Arial" w:hAnsi="Arial" w:cs="Arial"/>
                                <w:sz w:val="16"/>
                                <w:szCs w:val="20"/>
                              </w:rPr>
                              <w:t>│││</w:t>
                            </w:r>
                          </w:p>
                        </w:tc>
                        <w:tc>
                          <w:tcPr>
                            <w:tcW w:w="2464" w:type="dxa"/>
                            <w:shd w:val="clear" w:color="auto" w:fill="auto"/>
                          </w:tcPr>
                          <w:p w14:paraId="71C6512F" w14:textId="77777777" w:rsidR="00412F88" w:rsidRPr="00953A43" w:rsidRDefault="00412F88" w:rsidP="00412F88">
                            <w:pPr>
                              <w:rPr>
                                <w:rFonts w:ascii="Arial" w:hAnsi="Arial" w:cs="Arial"/>
                                <w:sz w:val="16"/>
                                <w:szCs w:val="20"/>
                              </w:rPr>
                            </w:pPr>
                            <w:r w:rsidRPr="00953A43">
                              <w:rPr>
                                <w:rFonts w:ascii="Arial" w:hAnsi="Arial" w:cs="Arial"/>
                                <w:sz w:val="16"/>
                                <w:szCs w:val="20"/>
                              </w:rPr>
                              <w:t>Pacientų įvertinimo vizitai</w:t>
                            </w:r>
                          </w:p>
                        </w:tc>
                        <w:tc>
                          <w:tcPr>
                            <w:tcW w:w="851" w:type="dxa"/>
                            <w:tcBorders>
                              <w:top w:val="single" w:sz="4" w:space="0" w:color="auto"/>
                            </w:tcBorders>
                            <w:shd w:val="clear" w:color="auto" w:fill="auto"/>
                          </w:tcPr>
                          <w:p w14:paraId="60255C7A" w14:textId="77777777" w:rsidR="00412F88" w:rsidRPr="00953A43" w:rsidRDefault="00412F88" w:rsidP="00412F88">
                            <w:pPr>
                              <w:rPr>
                                <w:rFonts w:ascii="Arial" w:hAnsi="Arial" w:cs="Arial"/>
                                <w:sz w:val="16"/>
                                <w:szCs w:val="20"/>
                              </w:rPr>
                            </w:pPr>
                          </w:p>
                        </w:tc>
                        <w:tc>
                          <w:tcPr>
                            <w:tcW w:w="817" w:type="dxa"/>
                            <w:tcBorders>
                              <w:top w:val="single" w:sz="4" w:space="0" w:color="auto"/>
                            </w:tcBorders>
                            <w:shd w:val="clear" w:color="auto" w:fill="auto"/>
                          </w:tcPr>
                          <w:p w14:paraId="14599D73" w14:textId="77777777" w:rsidR="00412F88" w:rsidRPr="00953A43" w:rsidRDefault="00412F88" w:rsidP="00412F88">
                            <w:pPr>
                              <w:rPr>
                                <w:rFonts w:ascii="Arial" w:hAnsi="Arial" w:cs="Arial"/>
                                <w:sz w:val="16"/>
                                <w:szCs w:val="20"/>
                              </w:rPr>
                            </w:pPr>
                          </w:p>
                        </w:tc>
                        <w:tc>
                          <w:tcPr>
                            <w:tcW w:w="1680" w:type="dxa"/>
                            <w:tcBorders>
                              <w:top w:val="single" w:sz="4" w:space="0" w:color="auto"/>
                            </w:tcBorders>
                            <w:shd w:val="clear" w:color="auto" w:fill="auto"/>
                          </w:tcPr>
                          <w:p w14:paraId="4CF9F22F" w14:textId="77777777" w:rsidR="00412F88" w:rsidRPr="00953A43" w:rsidRDefault="00412F88" w:rsidP="00412F88">
                            <w:pPr>
                              <w:rPr>
                                <w:rFonts w:ascii="Arial" w:hAnsi="Arial" w:cs="Arial"/>
                                <w:sz w:val="16"/>
                                <w:szCs w:val="20"/>
                              </w:rPr>
                            </w:pPr>
                          </w:p>
                        </w:tc>
                      </w:tr>
                    </w:tbl>
                    <w:p w14:paraId="6B97F3C3" w14:textId="77777777" w:rsidR="00412F88" w:rsidRPr="00953A43" w:rsidRDefault="00412F88" w:rsidP="008A305D">
                      <w:pPr>
                        <w:rPr>
                          <w:sz w:val="20"/>
                        </w:rPr>
                      </w:pPr>
                    </w:p>
                  </w:txbxContent>
                </v:textbox>
              </v:shape>
            </w:pict>
          </mc:Fallback>
        </mc:AlternateContent>
      </w:r>
      <w:r w:rsidRPr="0045031A">
        <w:rPr>
          <w:noProof/>
          <w:sz w:val="22"/>
          <w:szCs w:val="22"/>
          <w:lang w:eastAsia="lt-LT"/>
        </w:rPr>
        <w:drawing>
          <wp:inline distT="0" distB="0" distL="0" distR="0" wp14:anchorId="2463AAA5" wp14:editId="1E96496C">
            <wp:extent cx="5943600" cy="2674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43600" cy="2674620"/>
                    </a:xfrm>
                    <a:prstGeom prst="rect">
                      <a:avLst/>
                    </a:prstGeom>
                    <a:noFill/>
                    <a:ln w="9525">
                      <a:noFill/>
                      <a:miter lim="800000"/>
                      <a:headEnd/>
                      <a:tailEnd/>
                    </a:ln>
                  </pic:spPr>
                </pic:pic>
              </a:graphicData>
            </a:graphic>
          </wp:inline>
        </w:drawing>
      </w:r>
    </w:p>
    <w:p w14:paraId="7AD1F07A" w14:textId="77777777" w:rsidR="008A305D" w:rsidRPr="00D92F6B" w:rsidRDefault="008A305D" w:rsidP="008A305D">
      <w:pPr>
        <w:autoSpaceDE w:val="0"/>
        <w:autoSpaceDN w:val="0"/>
        <w:adjustRightInd w:val="0"/>
        <w:rPr>
          <w:sz w:val="22"/>
          <w:szCs w:val="22"/>
        </w:rPr>
      </w:pPr>
    </w:p>
    <w:tbl>
      <w:tblPr>
        <w:tblW w:w="10599" w:type="dxa"/>
        <w:tblInd w:w="-318" w:type="dxa"/>
        <w:tblLook w:val="04A0" w:firstRow="1" w:lastRow="0" w:firstColumn="1" w:lastColumn="0" w:noHBand="0" w:noVBand="1"/>
      </w:tblPr>
      <w:tblGrid>
        <w:gridCol w:w="473"/>
        <w:gridCol w:w="691"/>
        <w:gridCol w:w="691"/>
        <w:gridCol w:w="801"/>
        <w:gridCol w:w="801"/>
        <w:gridCol w:w="801"/>
        <w:gridCol w:w="801"/>
        <w:gridCol w:w="801"/>
        <w:gridCol w:w="801"/>
        <w:gridCol w:w="691"/>
        <w:gridCol w:w="691"/>
        <w:gridCol w:w="691"/>
        <w:gridCol w:w="691"/>
        <w:gridCol w:w="691"/>
        <w:gridCol w:w="581"/>
        <w:gridCol w:w="581"/>
      </w:tblGrid>
      <w:tr w:rsidR="008A305D" w:rsidRPr="00D92F6B" w14:paraId="1578D258" w14:textId="77777777" w:rsidTr="00412F88">
        <w:tc>
          <w:tcPr>
            <w:tcW w:w="10599" w:type="dxa"/>
            <w:gridSpan w:val="16"/>
            <w:shd w:val="clear" w:color="auto" w:fill="auto"/>
          </w:tcPr>
          <w:p w14:paraId="63036CFB" w14:textId="77777777" w:rsidR="008A305D" w:rsidRPr="0045031A" w:rsidRDefault="008A305D" w:rsidP="00412F88">
            <w:pPr>
              <w:ind w:left="-27"/>
              <w:rPr>
                <w:rFonts w:ascii="Arial" w:hAnsi="Arial" w:cs="Arial"/>
                <w:sz w:val="22"/>
                <w:szCs w:val="22"/>
              </w:rPr>
            </w:pPr>
            <w:r w:rsidRPr="0045031A">
              <w:rPr>
                <w:rFonts w:ascii="Arial" w:hAnsi="Arial" w:cs="Arial"/>
                <w:sz w:val="22"/>
                <w:szCs w:val="22"/>
              </w:rPr>
              <w:t>Rizikos grupė: Atvejai</w:t>
            </w:r>
          </w:p>
        </w:tc>
      </w:tr>
      <w:tr w:rsidR="008A305D" w:rsidRPr="00D92F6B" w14:paraId="601335A2" w14:textId="77777777" w:rsidTr="00412F88">
        <w:tc>
          <w:tcPr>
            <w:tcW w:w="450" w:type="dxa"/>
            <w:shd w:val="clear" w:color="auto" w:fill="auto"/>
          </w:tcPr>
          <w:p w14:paraId="572A48CB" w14:textId="77777777" w:rsidR="008A305D" w:rsidRPr="0045031A" w:rsidRDefault="008A305D" w:rsidP="00412F88">
            <w:pPr>
              <w:rPr>
                <w:sz w:val="22"/>
                <w:szCs w:val="22"/>
              </w:rPr>
            </w:pPr>
            <w:r w:rsidRPr="0045031A">
              <w:rPr>
                <w:sz w:val="22"/>
                <w:szCs w:val="22"/>
              </w:rPr>
              <w:t>(1)</w:t>
            </w:r>
          </w:p>
        </w:tc>
        <w:tc>
          <w:tcPr>
            <w:tcW w:w="646" w:type="dxa"/>
            <w:shd w:val="clear" w:color="auto" w:fill="auto"/>
          </w:tcPr>
          <w:p w14:paraId="0C3770E3" w14:textId="77777777" w:rsidR="008A305D" w:rsidRPr="0045031A" w:rsidRDefault="008A305D" w:rsidP="00412F88">
            <w:pPr>
              <w:ind w:left="-27"/>
              <w:rPr>
                <w:sz w:val="22"/>
                <w:szCs w:val="22"/>
              </w:rPr>
            </w:pPr>
            <w:r w:rsidRPr="0045031A">
              <w:rPr>
                <w:sz w:val="22"/>
                <w:szCs w:val="22"/>
              </w:rPr>
              <w:t>199:0</w:t>
            </w:r>
          </w:p>
        </w:tc>
        <w:tc>
          <w:tcPr>
            <w:tcW w:w="645" w:type="dxa"/>
            <w:shd w:val="clear" w:color="auto" w:fill="auto"/>
          </w:tcPr>
          <w:p w14:paraId="45F25F79" w14:textId="77777777" w:rsidR="008A305D" w:rsidRPr="0045031A" w:rsidRDefault="008A305D" w:rsidP="00412F88">
            <w:pPr>
              <w:ind w:left="-27"/>
              <w:rPr>
                <w:sz w:val="22"/>
                <w:szCs w:val="22"/>
              </w:rPr>
            </w:pPr>
            <w:r w:rsidRPr="0045031A">
              <w:rPr>
                <w:sz w:val="22"/>
                <w:szCs w:val="22"/>
              </w:rPr>
              <w:t>182:8</w:t>
            </w:r>
          </w:p>
        </w:tc>
        <w:tc>
          <w:tcPr>
            <w:tcW w:w="745" w:type="dxa"/>
            <w:shd w:val="clear" w:color="auto" w:fill="auto"/>
          </w:tcPr>
          <w:p w14:paraId="7E4588D5" w14:textId="77777777" w:rsidR="008A305D" w:rsidRPr="0045031A" w:rsidRDefault="008A305D" w:rsidP="00412F88">
            <w:pPr>
              <w:ind w:left="-27"/>
              <w:rPr>
                <w:sz w:val="22"/>
                <w:szCs w:val="22"/>
              </w:rPr>
            </w:pPr>
            <w:r w:rsidRPr="0045031A">
              <w:rPr>
                <w:sz w:val="22"/>
                <w:szCs w:val="22"/>
              </w:rPr>
              <w:t>177:12</w:t>
            </w:r>
          </w:p>
        </w:tc>
        <w:tc>
          <w:tcPr>
            <w:tcW w:w="745" w:type="dxa"/>
            <w:shd w:val="clear" w:color="auto" w:fill="auto"/>
          </w:tcPr>
          <w:p w14:paraId="4C9F5873" w14:textId="77777777" w:rsidR="008A305D" w:rsidRPr="0045031A" w:rsidRDefault="008A305D" w:rsidP="00412F88">
            <w:pPr>
              <w:ind w:left="-27"/>
              <w:rPr>
                <w:sz w:val="22"/>
                <w:szCs w:val="22"/>
              </w:rPr>
            </w:pPr>
            <w:r w:rsidRPr="0045031A">
              <w:rPr>
                <w:sz w:val="22"/>
                <w:szCs w:val="22"/>
              </w:rPr>
              <w:t>163:25</w:t>
            </w:r>
          </w:p>
        </w:tc>
        <w:tc>
          <w:tcPr>
            <w:tcW w:w="745" w:type="dxa"/>
            <w:shd w:val="clear" w:color="auto" w:fill="auto"/>
          </w:tcPr>
          <w:p w14:paraId="18112466" w14:textId="77777777" w:rsidR="008A305D" w:rsidRPr="0045031A" w:rsidRDefault="008A305D" w:rsidP="00412F88">
            <w:pPr>
              <w:ind w:left="-27"/>
              <w:rPr>
                <w:sz w:val="22"/>
                <w:szCs w:val="22"/>
              </w:rPr>
            </w:pPr>
            <w:r w:rsidRPr="0045031A">
              <w:rPr>
                <w:sz w:val="22"/>
                <w:szCs w:val="22"/>
              </w:rPr>
              <w:t>137:46</w:t>
            </w:r>
          </w:p>
        </w:tc>
        <w:tc>
          <w:tcPr>
            <w:tcW w:w="752" w:type="dxa"/>
            <w:shd w:val="clear" w:color="auto" w:fill="auto"/>
          </w:tcPr>
          <w:p w14:paraId="64AE10C1" w14:textId="77777777" w:rsidR="008A305D" w:rsidRPr="0045031A" w:rsidRDefault="008A305D" w:rsidP="00412F88">
            <w:pPr>
              <w:ind w:left="-27"/>
              <w:rPr>
                <w:sz w:val="22"/>
                <w:szCs w:val="22"/>
              </w:rPr>
            </w:pPr>
            <w:r w:rsidRPr="0045031A">
              <w:rPr>
                <w:sz w:val="22"/>
                <w:szCs w:val="22"/>
              </w:rPr>
              <w:t>105:65</w:t>
            </w:r>
          </w:p>
        </w:tc>
        <w:tc>
          <w:tcPr>
            <w:tcW w:w="745" w:type="dxa"/>
            <w:shd w:val="clear" w:color="auto" w:fill="auto"/>
          </w:tcPr>
          <w:p w14:paraId="04C5A2B2" w14:textId="77777777" w:rsidR="008A305D" w:rsidRPr="0045031A" w:rsidRDefault="008A305D" w:rsidP="00412F88">
            <w:pPr>
              <w:ind w:left="-27"/>
              <w:rPr>
                <w:sz w:val="22"/>
                <w:szCs w:val="22"/>
              </w:rPr>
            </w:pPr>
            <w:r w:rsidRPr="0045031A">
              <w:rPr>
                <w:sz w:val="22"/>
                <w:szCs w:val="22"/>
              </w:rPr>
              <w:t>88:72</w:t>
            </w:r>
          </w:p>
        </w:tc>
        <w:tc>
          <w:tcPr>
            <w:tcW w:w="745" w:type="dxa"/>
            <w:shd w:val="clear" w:color="auto" w:fill="auto"/>
          </w:tcPr>
          <w:p w14:paraId="2CFF2D54" w14:textId="77777777" w:rsidR="008A305D" w:rsidRPr="0045031A" w:rsidRDefault="008A305D" w:rsidP="00412F88">
            <w:pPr>
              <w:ind w:left="-27"/>
              <w:rPr>
                <w:sz w:val="22"/>
                <w:szCs w:val="22"/>
              </w:rPr>
            </w:pPr>
            <w:r w:rsidRPr="0045031A">
              <w:rPr>
                <w:sz w:val="22"/>
                <w:szCs w:val="22"/>
              </w:rPr>
              <w:t>61:77</w:t>
            </w:r>
          </w:p>
        </w:tc>
        <w:tc>
          <w:tcPr>
            <w:tcW w:w="652" w:type="dxa"/>
            <w:shd w:val="clear" w:color="auto" w:fill="auto"/>
          </w:tcPr>
          <w:p w14:paraId="547ABEDD" w14:textId="77777777" w:rsidR="008A305D" w:rsidRPr="0045031A" w:rsidRDefault="008A305D" w:rsidP="00412F88">
            <w:pPr>
              <w:ind w:left="-27"/>
              <w:rPr>
                <w:sz w:val="22"/>
                <w:szCs w:val="22"/>
              </w:rPr>
            </w:pPr>
            <w:r w:rsidRPr="0045031A">
              <w:rPr>
                <w:sz w:val="22"/>
                <w:szCs w:val="22"/>
              </w:rPr>
              <w:t>49:81</w:t>
            </w:r>
          </w:p>
        </w:tc>
        <w:tc>
          <w:tcPr>
            <w:tcW w:w="652" w:type="dxa"/>
            <w:shd w:val="clear" w:color="auto" w:fill="auto"/>
          </w:tcPr>
          <w:p w14:paraId="03F90BD7" w14:textId="77777777" w:rsidR="008A305D" w:rsidRPr="0045031A" w:rsidRDefault="008A305D" w:rsidP="00412F88">
            <w:pPr>
              <w:ind w:left="-27"/>
              <w:rPr>
                <w:sz w:val="22"/>
                <w:szCs w:val="22"/>
              </w:rPr>
            </w:pPr>
            <w:r w:rsidRPr="0045031A">
              <w:rPr>
                <w:sz w:val="22"/>
                <w:szCs w:val="22"/>
              </w:rPr>
              <w:t>36:83</w:t>
            </w:r>
          </w:p>
        </w:tc>
        <w:tc>
          <w:tcPr>
            <w:tcW w:w="649" w:type="dxa"/>
            <w:shd w:val="clear" w:color="auto" w:fill="auto"/>
          </w:tcPr>
          <w:p w14:paraId="0447EBA2" w14:textId="77777777" w:rsidR="008A305D" w:rsidRPr="0045031A" w:rsidRDefault="008A305D" w:rsidP="00412F88">
            <w:pPr>
              <w:ind w:left="-27"/>
              <w:rPr>
                <w:sz w:val="22"/>
                <w:szCs w:val="22"/>
              </w:rPr>
            </w:pPr>
            <w:r w:rsidRPr="0045031A">
              <w:rPr>
                <w:sz w:val="22"/>
                <w:szCs w:val="22"/>
              </w:rPr>
              <w:t>27:84</w:t>
            </w:r>
          </w:p>
        </w:tc>
        <w:tc>
          <w:tcPr>
            <w:tcW w:w="660" w:type="dxa"/>
            <w:shd w:val="clear" w:color="auto" w:fill="auto"/>
          </w:tcPr>
          <w:p w14:paraId="562765FD" w14:textId="77777777" w:rsidR="008A305D" w:rsidRPr="0045031A" w:rsidRDefault="008A305D" w:rsidP="00412F88">
            <w:pPr>
              <w:ind w:left="-27"/>
              <w:rPr>
                <w:sz w:val="22"/>
                <w:szCs w:val="22"/>
              </w:rPr>
            </w:pPr>
            <w:r w:rsidRPr="0045031A">
              <w:rPr>
                <w:sz w:val="22"/>
                <w:szCs w:val="22"/>
              </w:rPr>
              <w:t>14:84</w:t>
            </w:r>
          </w:p>
        </w:tc>
        <w:tc>
          <w:tcPr>
            <w:tcW w:w="649" w:type="dxa"/>
            <w:shd w:val="clear" w:color="auto" w:fill="auto"/>
          </w:tcPr>
          <w:p w14:paraId="40808755" w14:textId="77777777" w:rsidR="008A305D" w:rsidRPr="0045031A" w:rsidRDefault="008A305D" w:rsidP="00412F88">
            <w:pPr>
              <w:ind w:left="-27"/>
              <w:rPr>
                <w:sz w:val="22"/>
                <w:szCs w:val="22"/>
              </w:rPr>
            </w:pPr>
            <w:r w:rsidRPr="0045031A">
              <w:rPr>
                <w:sz w:val="22"/>
                <w:szCs w:val="22"/>
              </w:rPr>
              <w:t>10:84</w:t>
            </w:r>
          </w:p>
        </w:tc>
        <w:tc>
          <w:tcPr>
            <w:tcW w:w="564" w:type="dxa"/>
            <w:shd w:val="clear" w:color="auto" w:fill="auto"/>
          </w:tcPr>
          <w:p w14:paraId="1DD49B5A" w14:textId="77777777" w:rsidR="008A305D" w:rsidRPr="0045031A" w:rsidRDefault="008A305D" w:rsidP="00412F88">
            <w:pPr>
              <w:ind w:left="-27"/>
              <w:rPr>
                <w:sz w:val="22"/>
                <w:szCs w:val="22"/>
              </w:rPr>
            </w:pPr>
            <w:r w:rsidRPr="0045031A">
              <w:rPr>
                <w:sz w:val="22"/>
                <w:szCs w:val="22"/>
              </w:rPr>
              <w:t>2:84</w:t>
            </w:r>
          </w:p>
        </w:tc>
        <w:tc>
          <w:tcPr>
            <w:tcW w:w="555" w:type="dxa"/>
            <w:shd w:val="clear" w:color="auto" w:fill="auto"/>
          </w:tcPr>
          <w:p w14:paraId="00588C83" w14:textId="77777777" w:rsidR="008A305D" w:rsidRPr="0045031A" w:rsidRDefault="008A305D" w:rsidP="00412F88">
            <w:pPr>
              <w:ind w:left="-27"/>
              <w:rPr>
                <w:sz w:val="22"/>
                <w:szCs w:val="22"/>
              </w:rPr>
            </w:pPr>
            <w:r w:rsidRPr="0045031A">
              <w:rPr>
                <w:sz w:val="22"/>
                <w:szCs w:val="22"/>
              </w:rPr>
              <w:t>0:84</w:t>
            </w:r>
          </w:p>
        </w:tc>
      </w:tr>
      <w:tr w:rsidR="008A305D" w:rsidRPr="00D92F6B" w14:paraId="28719B2E" w14:textId="77777777" w:rsidTr="00412F88">
        <w:tc>
          <w:tcPr>
            <w:tcW w:w="450" w:type="dxa"/>
            <w:shd w:val="clear" w:color="auto" w:fill="auto"/>
          </w:tcPr>
          <w:p w14:paraId="5BFD82F5" w14:textId="77777777" w:rsidR="008A305D" w:rsidRPr="0045031A" w:rsidRDefault="008A305D" w:rsidP="00412F88">
            <w:pPr>
              <w:rPr>
                <w:sz w:val="22"/>
                <w:szCs w:val="22"/>
              </w:rPr>
            </w:pPr>
            <w:r w:rsidRPr="0045031A">
              <w:rPr>
                <w:sz w:val="22"/>
                <w:szCs w:val="22"/>
              </w:rPr>
              <w:t>(2)</w:t>
            </w:r>
          </w:p>
        </w:tc>
        <w:tc>
          <w:tcPr>
            <w:tcW w:w="646" w:type="dxa"/>
            <w:shd w:val="clear" w:color="auto" w:fill="auto"/>
          </w:tcPr>
          <w:p w14:paraId="2795E9F1" w14:textId="77777777" w:rsidR="008A305D" w:rsidRPr="0045031A" w:rsidRDefault="008A305D" w:rsidP="00412F88">
            <w:pPr>
              <w:ind w:left="-27"/>
              <w:rPr>
                <w:sz w:val="22"/>
                <w:szCs w:val="22"/>
              </w:rPr>
            </w:pPr>
            <w:r w:rsidRPr="0045031A">
              <w:rPr>
                <w:sz w:val="22"/>
                <w:szCs w:val="22"/>
              </w:rPr>
              <w:t>198:0</w:t>
            </w:r>
          </w:p>
        </w:tc>
        <w:tc>
          <w:tcPr>
            <w:tcW w:w="645" w:type="dxa"/>
            <w:shd w:val="clear" w:color="auto" w:fill="auto"/>
          </w:tcPr>
          <w:p w14:paraId="3D3C7C79" w14:textId="77777777" w:rsidR="008A305D" w:rsidRPr="0045031A" w:rsidRDefault="008A305D" w:rsidP="00412F88">
            <w:pPr>
              <w:ind w:left="-27"/>
              <w:rPr>
                <w:sz w:val="22"/>
                <w:szCs w:val="22"/>
              </w:rPr>
            </w:pPr>
            <w:r w:rsidRPr="0045031A">
              <w:rPr>
                <w:sz w:val="22"/>
                <w:szCs w:val="22"/>
              </w:rPr>
              <w:t>189:5</w:t>
            </w:r>
          </w:p>
        </w:tc>
        <w:tc>
          <w:tcPr>
            <w:tcW w:w="745" w:type="dxa"/>
            <w:shd w:val="clear" w:color="auto" w:fill="auto"/>
          </w:tcPr>
          <w:p w14:paraId="547FF118" w14:textId="77777777" w:rsidR="008A305D" w:rsidRPr="0045031A" w:rsidRDefault="008A305D" w:rsidP="00412F88">
            <w:pPr>
              <w:ind w:left="-27"/>
              <w:rPr>
                <w:sz w:val="22"/>
                <w:szCs w:val="22"/>
              </w:rPr>
            </w:pPr>
            <w:r w:rsidRPr="0045031A">
              <w:rPr>
                <w:sz w:val="22"/>
                <w:szCs w:val="22"/>
              </w:rPr>
              <w:t>184:8</w:t>
            </w:r>
          </w:p>
        </w:tc>
        <w:tc>
          <w:tcPr>
            <w:tcW w:w="745" w:type="dxa"/>
            <w:shd w:val="clear" w:color="auto" w:fill="auto"/>
          </w:tcPr>
          <w:p w14:paraId="4B50F5F7" w14:textId="77777777" w:rsidR="008A305D" w:rsidRPr="0045031A" w:rsidRDefault="008A305D" w:rsidP="00412F88">
            <w:pPr>
              <w:ind w:left="-27"/>
              <w:rPr>
                <w:sz w:val="22"/>
                <w:szCs w:val="22"/>
              </w:rPr>
            </w:pPr>
            <w:r w:rsidRPr="0045031A">
              <w:rPr>
                <w:sz w:val="22"/>
                <w:szCs w:val="22"/>
              </w:rPr>
              <w:t>181:11</w:t>
            </w:r>
          </w:p>
        </w:tc>
        <w:tc>
          <w:tcPr>
            <w:tcW w:w="745" w:type="dxa"/>
            <w:shd w:val="clear" w:color="auto" w:fill="auto"/>
          </w:tcPr>
          <w:p w14:paraId="7BF8F32C" w14:textId="77777777" w:rsidR="008A305D" w:rsidRPr="0045031A" w:rsidRDefault="008A305D" w:rsidP="00412F88">
            <w:pPr>
              <w:ind w:left="-27"/>
              <w:rPr>
                <w:sz w:val="22"/>
                <w:szCs w:val="22"/>
              </w:rPr>
            </w:pPr>
            <w:r w:rsidRPr="0045031A">
              <w:rPr>
                <w:sz w:val="22"/>
                <w:szCs w:val="22"/>
              </w:rPr>
              <w:t>173:18</w:t>
            </w:r>
          </w:p>
        </w:tc>
        <w:tc>
          <w:tcPr>
            <w:tcW w:w="752" w:type="dxa"/>
            <w:shd w:val="clear" w:color="auto" w:fill="auto"/>
          </w:tcPr>
          <w:p w14:paraId="1895D526" w14:textId="77777777" w:rsidR="008A305D" w:rsidRPr="0045031A" w:rsidRDefault="008A305D" w:rsidP="00412F88">
            <w:pPr>
              <w:ind w:left="-27"/>
              <w:rPr>
                <w:sz w:val="22"/>
                <w:szCs w:val="22"/>
              </w:rPr>
            </w:pPr>
            <w:r w:rsidRPr="0045031A">
              <w:rPr>
                <w:sz w:val="22"/>
                <w:szCs w:val="22"/>
              </w:rPr>
              <w:t>152:22</w:t>
            </w:r>
          </w:p>
        </w:tc>
        <w:tc>
          <w:tcPr>
            <w:tcW w:w="745" w:type="dxa"/>
            <w:shd w:val="clear" w:color="auto" w:fill="auto"/>
          </w:tcPr>
          <w:p w14:paraId="471ED784" w14:textId="77777777" w:rsidR="008A305D" w:rsidRPr="0045031A" w:rsidRDefault="008A305D" w:rsidP="00412F88">
            <w:pPr>
              <w:ind w:left="-27"/>
              <w:rPr>
                <w:sz w:val="22"/>
                <w:szCs w:val="22"/>
              </w:rPr>
            </w:pPr>
            <w:r w:rsidRPr="0045031A">
              <w:rPr>
                <w:sz w:val="22"/>
                <w:szCs w:val="22"/>
              </w:rPr>
              <w:t>133:25</w:t>
            </w:r>
          </w:p>
        </w:tc>
        <w:tc>
          <w:tcPr>
            <w:tcW w:w="745" w:type="dxa"/>
            <w:shd w:val="clear" w:color="auto" w:fill="auto"/>
          </w:tcPr>
          <w:p w14:paraId="053EAC16" w14:textId="77777777" w:rsidR="008A305D" w:rsidRPr="0045031A" w:rsidRDefault="008A305D" w:rsidP="00412F88">
            <w:pPr>
              <w:ind w:left="-27"/>
              <w:rPr>
                <w:sz w:val="22"/>
                <w:szCs w:val="22"/>
              </w:rPr>
            </w:pPr>
            <w:r w:rsidRPr="0045031A">
              <w:rPr>
                <w:sz w:val="22"/>
                <w:szCs w:val="22"/>
              </w:rPr>
              <w:t>102:29</w:t>
            </w:r>
          </w:p>
        </w:tc>
        <w:tc>
          <w:tcPr>
            <w:tcW w:w="652" w:type="dxa"/>
            <w:shd w:val="clear" w:color="auto" w:fill="auto"/>
          </w:tcPr>
          <w:p w14:paraId="505C8642" w14:textId="77777777" w:rsidR="008A305D" w:rsidRPr="0045031A" w:rsidRDefault="008A305D" w:rsidP="00412F88">
            <w:pPr>
              <w:ind w:left="-27"/>
              <w:rPr>
                <w:sz w:val="22"/>
                <w:szCs w:val="22"/>
              </w:rPr>
            </w:pPr>
            <w:r w:rsidRPr="0045031A">
              <w:rPr>
                <w:sz w:val="22"/>
                <w:szCs w:val="22"/>
              </w:rPr>
              <w:t>82:35</w:t>
            </w:r>
          </w:p>
        </w:tc>
        <w:tc>
          <w:tcPr>
            <w:tcW w:w="652" w:type="dxa"/>
            <w:shd w:val="clear" w:color="auto" w:fill="auto"/>
          </w:tcPr>
          <w:p w14:paraId="089769A5" w14:textId="77777777" w:rsidR="008A305D" w:rsidRPr="0045031A" w:rsidRDefault="008A305D" w:rsidP="00412F88">
            <w:pPr>
              <w:ind w:left="-27"/>
              <w:rPr>
                <w:sz w:val="22"/>
                <w:szCs w:val="22"/>
              </w:rPr>
            </w:pPr>
            <w:r w:rsidRPr="0045031A">
              <w:rPr>
                <w:sz w:val="22"/>
                <w:szCs w:val="22"/>
              </w:rPr>
              <w:t>54:46</w:t>
            </w:r>
          </w:p>
        </w:tc>
        <w:tc>
          <w:tcPr>
            <w:tcW w:w="649" w:type="dxa"/>
            <w:shd w:val="clear" w:color="auto" w:fill="auto"/>
          </w:tcPr>
          <w:p w14:paraId="33BCA659" w14:textId="77777777" w:rsidR="008A305D" w:rsidRPr="0045031A" w:rsidRDefault="008A305D" w:rsidP="00412F88">
            <w:pPr>
              <w:ind w:left="-27"/>
              <w:rPr>
                <w:sz w:val="22"/>
                <w:szCs w:val="22"/>
              </w:rPr>
            </w:pPr>
            <w:r w:rsidRPr="0045031A">
              <w:rPr>
                <w:sz w:val="22"/>
                <w:szCs w:val="22"/>
              </w:rPr>
              <w:t>39:47</w:t>
            </w:r>
          </w:p>
        </w:tc>
        <w:tc>
          <w:tcPr>
            <w:tcW w:w="660" w:type="dxa"/>
            <w:shd w:val="clear" w:color="auto" w:fill="auto"/>
          </w:tcPr>
          <w:p w14:paraId="67468224" w14:textId="77777777" w:rsidR="008A305D" w:rsidRPr="0045031A" w:rsidRDefault="008A305D" w:rsidP="00412F88">
            <w:pPr>
              <w:ind w:left="-27"/>
              <w:rPr>
                <w:sz w:val="22"/>
                <w:szCs w:val="22"/>
              </w:rPr>
            </w:pPr>
            <w:r w:rsidRPr="0045031A">
              <w:rPr>
                <w:sz w:val="22"/>
                <w:szCs w:val="22"/>
              </w:rPr>
              <w:t>21:49</w:t>
            </w:r>
          </w:p>
        </w:tc>
        <w:tc>
          <w:tcPr>
            <w:tcW w:w="649" w:type="dxa"/>
            <w:shd w:val="clear" w:color="auto" w:fill="auto"/>
          </w:tcPr>
          <w:p w14:paraId="16FB88CE" w14:textId="77777777" w:rsidR="008A305D" w:rsidRPr="0045031A" w:rsidRDefault="008A305D" w:rsidP="00412F88">
            <w:pPr>
              <w:ind w:left="-27"/>
              <w:rPr>
                <w:sz w:val="22"/>
                <w:szCs w:val="22"/>
              </w:rPr>
            </w:pPr>
            <w:r w:rsidRPr="0045031A">
              <w:rPr>
                <w:sz w:val="22"/>
                <w:szCs w:val="22"/>
              </w:rPr>
              <w:t>8:50</w:t>
            </w:r>
          </w:p>
        </w:tc>
        <w:tc>
          <w:tcPr>
            <w:tcW w:w="564" w:type="dxa"/>
            <w:shd w:val="clear" w:color="auto" w:fill="auto"/>
          </w:tcPr>
          <w:p w14:paraId="4ABC05A0" w14:textId="77777777" w:rsidR="008A305D" w:rsidRPr="0045031A" w:rsidRDefault="008A305D" w:rsidP="00412F88">
            <w:pPr>
              <w:ind w:left="-27"/>
              <w:rPr>
                <w:sz w:val="22"/>
                <w:szCs w:val="22"/>
              </w:rPr>
            </w:pPr>
            <w:r w:rsidRPr="0045031A">
              <w:rPr>
                <w:sz w:val="22"/>
                <w:szCs w:val="22"/>
              </w:rPr>
              <w:t>0:50</w:t>
            </w:r>
          </w:p>
        </w:tc>
        <w:tc>
          <w:tcPr>
            <w:tcW w:w="555" w:type="dxa"/>
            <w:shd w:val="clear" w:color="auto" w:fill="auto"/>
          </w:tcPr>
          <w:p w14:paraId="2A30AD35" w14:textId="77777777" w:rsidR="008A305D" w:rsidRPr="0045031A" w:rsidRDefault="008A305D" w:rsidP="00412F88">
            <w:pPr>
              <w:ind w:left="-27"/>
              <w:rPr>
                <w:sz w:val="22"/>
                <w:szCs w:val="22"/>
              </w:rPr>
            </w:pPr>
          </w:p>
        </w:tc>
      </w:tr>
    </w:tbl>
    <w:p w14:paraId="295AEDC8" w14:textId="77777777" w:rsidR="008A305D" w:rsidRPr="00D92F6B" w:rsidRDefault="008A305D" w:rsidP="008A305D">
      <w:pPr>
        <w:autoSpaceDE w:val="0"/>
        <w:autoSpaceDN w:val="0"/>
        <w:adjustRightInd w:val="0"/>
        <w:rPr>
          <w:sz w:val="22"/>
          <w:szCs w:val="22"/>
        </w:rPr>
      </w:pPr>
    </w:p>
    <w:p w14:paraId="2060E2BB" w14:textId="77777777" w:rsidR="008A305D" w:rsidRPr="00D92F6B" w:rsidRDefault="008A305D" w:rsidP="008A305D">
      <w:pPr>
        <w:rPr>
          <w:rFonts w:eastAsia="MS Mincho"/>
          <w:sz w:val="22"/>
          <w:szCs w:val="22"/>
        </w:rPr>
      </w:pPr>
    </w:p>
    <w:p w14:paraId="3FE6E7F1" w14:textId="77777777" w:rsidR="008A305D" w:rsidRPr="00D92F6B" w:rsidRDefault="008A305D" w:rsidP="008A305D">
      <w:pPr>
        <w:keepNext/>
        <w:widowControl w:val="0"/>
        <w:ind w:left="1134" w:hanging="1134"/>
        <w:rPr>
          <w:rFonts w:eastAsia="MS Mincho"/>
          <w:sz w:val="22"/>
          <w:szCs w:val="22"/>
        </w:rPr>
      </w:pPr>
      <w:r w:rsidRPr="00D92F6B">
        <w:rPr>
          <w:rFonts w:eastAsia="MS Mincho"/>
          <w:b/>
          <w:sz w:val="22"/>
          <w:szCs w:val="22"/>
        </w:rPr>
        <w:t>2 pav.</w:t>
      </w:r>
      <w:r w:rsidRPr="00D92F6B">
        <w:rPr>
          <w:rFonts w:eastAsia="MS Mincho"/>
          <w:b/>
          <w:sz w:val="22"/>
          <w:szCs w:val="22"/>
        </w:rPr>
        <w:tab/>
        <w:t>Bendrojo išgyvenamumo duomenys, Kaplan-Meier kreivė (ITT populiacija)</w:t>
      </w:r>
    </w:p>
    <w:p w14:paraId="185CD162" w14:textId="77777777" w:rsidR="008A305D" w:rsidRPr="00D92F6B" w:rsidRDefault="008A305D" w:rsidP="008A305D">
      <w:pPr>
        <w:autoSpaceDE w:val="0"/>
        <w:autoSpaceDN w:val="0"/>
        <w:adjustRightInd w:val="0"/>
        <w:rPr>
          <w:sz w:val="22"/>
          <w:szCs w:val="22"/>
        </w:rPr>
      </w:pPr>
    </w:p>
    <w:p w14:paraId="3BD9655C" w14:textId="77777777" w:rsidR="008A305D" w:rsidRPr="00D92F6B" w:rsidRDefault="008A305D" w:rsidP="008A305D">
      <w:pPr>
        <w:autoSpaceDE w:val="0"/>
        <w:autoSpaceDN w:val="0"/>
        <w:adjustRightInd w:val="0"/>
        <w:rPr>
          <w:sz w:val="22"/>
          <w:szCs w:val="22"/>
        </w:rPr>
      </w:pPr>
      <w:r w:rsidRPr="003C787C">
        <w:rPr>
          <w:noProof/>
          <w:sz w:val="22"/>
          <w:szCs w:val="22"/>
          <w:lang w:eastAsia="lt-LT"/>
        </w:rPr>
        <mc:AlternateContent>
          <mc:Choice Requires="wps">
            <w:drawing>
              <wp:anchor distT="0" distB="0" distL="114300" distR="114300" simplePos="0" relativeHeight="251660288" behindDoc="0" locked="0" layoutInCell="1" allowOverlap="1" wp14:anchorId="068B6F0F" wp14:editId="2E30361E">
                <wp:simplePos x="0" y="0"/>
                <wp:positionH relativeFrom="column">
                  <wp:posOffset>609600</wp:posOffset>
                </wp:positionH>
                <wp:positionV relativeFrom="paragraph">
                  <wp:posOffset>797560</wp:posOffset>
                </wp:positionV>
                <wp:extent cx="4667250" cy="1320800"/>
                <wp:effectExtent l="0" t="3175" r="444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1320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7804" w:type="dxa"/>
                              <w:tblInd w:w="-318" w:type="dxa"/>
                              <w:tblLook w:val="04A0" w:firstRow="1" w:lastRow="0" w:firstColumn="1" w:lastColumn="0" w:noHBand="0" w:noVBand="1"/>
                            </w:tblPr>
                            <w:tblGrid>
                              <w:gridCol w:w="856"/>
                              <w:gridCol w:w="1709"/>
                              <w:gridCol w:w="819"/>
                              <w:gridCol w:w="1059"/>
                              <w:gridCol w:w="3361"/>
                            </w:tblGrid>
                            <w:tr w:rsidR="00412F88" w:rsidRPr="00DE4E95" w14:paraId="1AE4332C" w14:textId="77777777" w:rsidTr="00412F88">
                              <w:trPr>
                                <w:gridAfter w:val="3"/>
                                <w:wAfter w:w="5347" w:type="dxa"/>
                                <w:trHeight w:val="733"/>
                              </w:trPr>
                              <w:tc>
                                <w:tcPr>
                                  <w:tcW w:w="2457" w:type="dxa"/>
                                  <w:gridSpan w:val="2"/>
                                  <w:shd w:val="clear" w:color="auto" w:fill="auto"/>
                                </w:tcPr>
                                <w:p w14:paraId="3305FDF4" w14:textId="77777777" w:rsidR="00412F88" w:rsidRPr="00DE4E95" w:rsidRDefault="00412F88" w:rsidP="00412F88">
                                  <w:pPr>
                                    <w:ind w:left="284" w:right="18"/>
                                    <w:rPr>
                                      <w:rFonts w:ascii="Arial" w:hAnsi="Arial" w:cs="Arial"/>
                                      <w:sz w:val="18"/>
                                    </w:rPr>
                                  </w:pPr>
                                  <w:r w:rsidRPr="00DE4E95">
                                    <w:rPr>
                                      <w:rFonts w:ascii="Arial" w:hAnsi="Arial" w:cs="Arial"/>
                                      <w:sz w:val="18"/>
                                    </w:rPr>
                                    <w:t xml:space="preserve">p </w:t>
                                  </w:r>
                                  <w:r w:rsidRPr="00DE4E95">
                                    <w:rPr>
                                      <w:rFonts w:ascii="Arial" w:hAnsi="Arial" w:cs="Arial"/>
                                      <w:sz w:val="18"/>
                                      <w:lang w:val="en-US"/>
                                    </w:rPr>
                                    <w:t>=</w:t>
                                  </w:r>
                                  <w:r w:rsidRPr="00DE4E95">
                                    <w:rPr>
                                      <w:rFonts w:ascii="Arial" w:hAnsi="Arial" w:cs="Arial"/>
                                      <w:sz w:val="18"/>
                                    </w:rPr>
                                    <w:t xml:space="preserve"> 0,019</w:t>
                                  </w:r>
                                </w:p>
                                <w:p w14:paraId="07EC39A2" w14:textId="77777777" w:rsidR="00412F88" w:rsidRPr="00DE4E95" w:rsidRDefault="00412F88" w:rsidP="00412F88">
                                  <w:pPr>
                                    <w:ind w:left="284" w:right="18"/>
                                    <w:rPr>
                                      <w:rFonts w:ascii="Arial" w:hAnsi="Arial" w:cs="Arial"/>
                                      <w:sz w:val="18"/>
                                    </w:rPr>
                                  </w:pPr>
                                  <w:r w:rsidRPr="00DE4E95">
                                    <w:rPr>
                                      <w:rFonts w:ascii="Arial" w:hAnsi="Arial" w:cs="Arial"/>
                                      <w:sz w:val="18"/>
                                      <w:szCs w:val="20"/>
                                    </w:rPr>
                                    <w:t>Rizikos santykis</w:t>
                                  </w:r>
                                  <w:r w:rsidRPr="00DE4E95">
                                    <w:rPr>
                                      <w:rFonts w:ascii="Arial" w:hAnsi="Arial" w:cs="Arial"/>
                                      <w:sz w:val="18"/>
                                    </w:rPr>
                                    <w:t xml:space="preserve"> 0,45</w:t>
                                  </w:r>
                                </w:p>
                                <w:p w14:paraId="0C6BB3FA" w14:textId="77777777" w:rsidR="00412F88" w:rsidRPr="00DE4E95" w:rsidRDefault="00412F88" w:rsidP="00412F88">
                                  <w:pPr>
                                    <w:ind w:left="284" w:right="18"/>
                                    <w:rPr>
                                      <w:rFonts w:ascii="Arial" w:hAnsi="Arial" w:cs="Arial"/>
                                      <w:sz w:val="18"/>
                                      <w:lang w:val="de-DE"/>
                                    </w:rPr>
                                  </w:pPr>
                                  <w:r w:rsidRPr="00DE4E95">
                                    <w:rPr>
                                      <w:rFonts w:ascii="Arial" w:hAnsi="Arial" w:cs="Arial"/>
                                      <w:sz w:val="18"/>
                                    </w:rPr>
                                    <w:t>(95 % Pl, 0,22</w:t>
                                  </w:r>
                                  <w:r w:rsidRPr="00DE4E95">
                                    <w:rPr>
                                      <w:rFonts w:ascii="Arial" w:hAnsi="Arial" w:cs="Arial"/>
                                      <w:sz w:val="18"/>
                                    </w:rPr>
                                    <w:noBreakHyphen/>
                                    <w:t>0,89)</w:t>
                                  </w:r>
                                </w:p>
                              </w:tc>
                            </w:tr>
                            <w:tr w:rsidR="00412F88" w:rsidRPr="00DE4E95" w14:paraId="53F2C66B" w14:textId="77777777" w:rsidTr="00412F88">
                              <w:trPr>
                                <w:trHeight w:val="93"/>
                              </w:trPr>
                              <w:tc>
                                <w:tcPr>
                                  <w:tcW w:w="646" w:type="dxa"/>
                                  <w:shd w:val="clear" w:color="auto" w:fill="auto"/>
                                </w:tcPr>
                                <w:p w14:paraId="3F8BDF0C" w14:textId="77777777" w:rsidR="00412F88" w:rsidRPr="00DE4E95" w:rsidRDefault="00412F88" w:rsidP="00412F88">
                                  <w:pPr>
                                    <w:ind w:left="284" w:right="18"/>
                                    <w:rPr>
                                      <w:rFonts w:ascii="Arial" w:hAnsi="Arial" w:cs="Arial"/>
                                      <w:sz w:val="18"/>
                                      <w:szCs w:val="20"/>
                                    </w:rPr>
                                  </w:pPr>
                                </w:p>
                              </w:tc>
                              <w:tc>
                                <w:tcPr>
                                  <w:tcW w:w="1811" w:type="dxa"/>
                                  <w:shd w:val="clear" w:color="auto" w:fill="auto"/>
                                </w:tcPr>
                                <w:p w14:paraId="73F8B4CF" w14:textId="77777777" w:rsidR="00412F88" w:rsidRPr="00DE4E95" w:rsidRDefault="00412F88" w:rsidP="00412F88">
                                  <w:pPr>
                                    <w:ind w:left="284" w:right="18"/>
                                    <w:rPr>
                                      <w:rFonts w:ascii="Arial" w:hAnsi="Arial" w:cs="Arial"/>
                                      <w:sz w:val="18"/>
                                      <w:szCs w:val="20"/>
                                    </w:rPr>
                                  </w:pPr>
                                </w:p>
                              </w:tc>
                              <w:tc>
                                <w:tcPr>
                                  <w:tcW w:w="625" w:type="dxa"/>
                                  <w:tcBorders>
                                    <w:bottom w:val="single" w:sz="4" w:space="0" w:color="auto"/>
                                  </w:tcBorders>
                                  <w:shd w:val="clear" w:color="auto" w:fill="auto"/>
                                </w:tcPr>
                                <w:p w14:paraId="273D6728" w14:textId="77777777" w:rsidR="00412F88" w:rsidRPr="00DE4E95" w:rsidRDefault="00412F88" w:rsidP="00412F88">
                                  <w:pPr>
                                    <w:ind w:left="284" w:right="18"/>
                                    <w:rPr>
                                      <w:rFonts w:ascii="Arial" w:hAnsi="Arial" w:cs="Arial"/>
                                      <w:sz w:val="18"/>
                                      <w:szCs w:val="20"/>
                                    </w:rPr>
                                  </w:pPr>
                                  <w:r w:rsidRPr="00DE4E95">
                                    <w:rPr>
                                      <w:rFonts w:ascii="Arial" w:hAnsi="Arial" w:cs="Arial"/>
                                      <w:sz w:val="18"/>
                                      <w:szCs w:val="20"/>
                                      <w:lang w:val="de-DE"/>
                                    </w:rPr>
                                    <w:t>N</w:t>
                                  </w:r>
                                </w:p>
                              </w:tc>
                              <w:tc>
                                <w:tcPr>
                                  <w:tcW w:w="778" w:type="dxa"/>
                                  <w:tcBorders>
                                    <w:bottom w:val="single" w:sz="4" w:space="0" w:color="auto"/>
                                  </w:tcBorders>
                                  <w:shd w:val="clear" w:color="auto" w:fill="auto"/>
                                </w:tcPr>
                                <w:p w14:paraId="79AB2A0B" w14:textId="77777777" w:rsidR="00412F88" w:rsidRPr="00DE4E95" w:rsidRDefault="00412F88" w:rsidP="00412F88">
                                  <w:pPr>
                                    <w:ind w:left="284" w:right="18"/>
                                    <w:rPr>
                                      <w:rFonts w:ascii="Arial" w:hAnsi="Arial" w:cs="Arial"/>
                                      <w:sz w:val="18"/>
                                      <w:szCs w:val="20"/>
                                    </w:rPr>
                                  </w:pPr>
                                  <w:r w:rsidRPr="00DE4E95">
                                    <w:rPr>
                                      <w:rFonts w:ascii="Arial" w:hAnsi="Arial" w:cs="Arial"/>
                                      <w:sz w:val="18"/>
                                      <w:szCs w:val="20"/>
                                    </w:rPr>
                                    <w:t>Atvejai</w:t>
                                  </w:r>
                                </w:p>
                              </w:tc>
                              <w:tc>
                                <w:tcPr>
                                  <w:tcW w:w="3944" w:type="dxa"/>
                                  <w:tcBorders>
                                    <w:bottom w:val="single" w:sz="4" w:space="0" w:color="auto"/>
                                  </w:tcBorders>
                                  <w:shd w:val="clear" w:color="auto" w:fill="auto"/>
                                </w:tcPr>
                                <w:p w14:paraId="3678D0E6" w14:textId="77777777" w:rsidR="00412F88" w:rsidRPr="00DE4E95" w:rsidRDefault="00412F88" w:rsidP="00412F88">
                                  <w:pPr>
                                    <w:ind w:left="284" w:right="18"/>
                                    <w:rPr>
                                      <w:rFonts w:ascii="Arial" w:hAnsi="Arial" w:cs="Arial"/>
                                      <w:sz w:val="18"/>
                                      <w:szCs w:val="20"/>
                                    </w:rPr>
                                  </w:pPr>
                                  <w:r w:rsidRPr="00DE4E95">
                                    <w:rPr>
                                      <w:rFonts w:ascii="Arial" w:hAnsi="Arial" w:cs="Arial"/>
                                      <w:sz w:val="18"/>
                                      <w:szCs w:val="20"/>
                                    </w:rPr>
                                    <w:t>Likę pacientai</w:t>
                                  </w:r>
                                </w:p>
                              </w:tc>
                            </w:tr>
                            <w:tr w:rsidR="00412F88" w:rsidRPr="00DE4E95" w14:paraId="35F7E381" w14:textId="77777777" w:rsidTr="00412F88">
                              <w:trPr>
                                <w:trHeight w:val="227"/>
                              </w:trPr>
                              <w:tc>
                                <w:tcPr>
                                  <w:tcW w:w="646" w:type="dxa"/>
                                  <w:shd w:val="clear" w:color="auto" w:fill="auto"/>
                                </w:tcPr>
                                <w:p w14:paraId="23B2DFEC" w14:textId="77777777" w:rsidR="00412F88" w:rsidRPr="00DE4E95" w:rsidRDefault="00412F88" w:rsidP="00412F88">
                                  <w:pPr>
                                    <w:ind w:left="284" w:right="18"/>
                                    <w:rPr>
                                      <w:rFonts w:ascii="Arial" w:hAnsi="Arial" w:cs="Arial"/>
                                      <w:sz w:val="18"/>
                                      <w:szCs w:val="20"/>
                                    </w:rPr>
                                  </w:pPr>
                                  <w:r w:rsidRPr="00DE4E95">
                                    <w:rPr>
                                      <w:rFonts w:ascii="Arial" w:hAnsi="Arial" w:cs="Arial"/>
                                      <w:b/>
                                      <w:sz w:val="18"/>
                                      <w:szCs w:val="20"/>
                                    </w:rPr>
                                    <w:t>——</w:t>
                                  </w:r>
                                </w:p>
                              </w:tc>
                              <w:tc>
                                <w:tcPr>
                                  <w:tcW w:w="1811" w:type="dxa"/>
                                  <w:shd w:val="clear" w:color="auto" w:fill="auto"/>
                                </w:tcPr>
                                <w:p w14:paraId="20452D8A" w14:textId="77777777" w:rsidR="00412F88" w:rsidRPr="00DE4E95" w:rsidRDefault="00412F88" w:rsidP="00412F88">
                                  <w:pPr>
                                    <w:ind w:left="284" w:right="18"/>
                                    <w:rPr>
                                      <w:rFonts w:ascii="Arial" w:hAnsi="Arial" w:cs="Arial"/>
                                      <w:sz w:val="18"/>
                                      <w:szCs w:val="20"/>
                                    </w:rPr>
                                  </w:pPr>
                                  <w:r w:rsidRPr="00DE4E95">
                                    <w:rPr>
                                      <w:rFonts w:ascii="Arial" w:hAnsi="Arial" w:cs="Arial"/>
                                      <w:sz w:val="18"/>
                                      <w:szCs w:val="20"/>
                                    </w:rPr>
                                    <w:t>(1) Imatinibas 12 mėn.:</w:t>
                                  </w:r>
                                </w:p>
                              </w:tc>
                              <w:tc>
                                <w:tcPr>
                                  <w:tcW w:w="625" w:type="dxa"/>
                                  <w:tcBorders>
                                    <w:top w:val="single" w:sz="4" w:space="0" w:color="auto"/>
                                  </w:tcBorders>
                                  <w:shd w:val="clear" w:color="auto" w:fill="auto"/>
                                </w:tcPr>
                                <w:p w14:paraId="18F0C194" w14:textId="77777777" w:rsidR="00412F88" w:rsidRPr="00DE4E95" w:rsidRDefault="00412F88" w:rsidP="00412F88">
                                  <w:pPr>
                                    <w:ind w:left="284" w:right="18"/>
                                    <w:rPr>
                                      <w:rFonts w:ascii="Arial" w:hAnsi="Arial" w:cs="Arial"/>
                                      <w:sz w:val="18"/>
                                      <w:szCs w:val="20"/>
                                    </w:rPr>
                                  </w:pPr>
                                  <w:r w:rsidRPr="00DE4E95">
                                    <w:rPr>
                                      <w:rFonts w:ascii="Arial" w:hAnsi="Arial" w:cs="Arial"/>
                                      <w:sz w:val="18"/>
                                      <w:szCs w:val="20"/>
                                    </w:rPr>
                                    <w:t>199</w:t>
                                  </w:r>
                                </w:p>
                              </w:tc>
                              <w:tc>
                                <w:tcPr>
                                  <w:tcW w:w="778" w:type="dxa"/>
                                  <w:tcBorders>
                                    <w:top w:val="single" w:sz="4" w:space="0" w:color="auto"/>
                                  </w:tcBorders>
                                  <w:shd w:val="clear" w:color="auto" w:fill="auto"/>
                                </w:tcPr>
                                <w:p w14:paraId="673F1850" w14:textId="77777777" w:rsidR="00412F88" w:rsidRPr="00DE4E95" w:rsidRDefault="00412F88" w:rsidP="00412F88">
                                  <w:pPr>
                                    <w:ind w:left="284" w:right="18"/>
                                    <w:rPr>
                                      <w:rFonts w:ascii="Arial" w:hAnsi="Arial" w:cs="Arial"/>
                                      <w:sz w:val="18"/>
                                      <w:szCs w:val="20"/>
                                    </w:rPr>
                                  </w:pPr>
                                  <w:r w:rsidRPr="00DE4E95">
                                    <w:rPr>
                                      <w:rFonts w:ascii="Arial" w:hAnsi="Arial" w:cs="Arial"/>
                                      <w:sz w:val="18"/>
                                      <w:szCs w:val="20"/>
                                    </w:rPr>
                                    <w:t>25</w:t>
                                  </w:r>
                                </w:p>
                              </w:tc>
                              <w:tc>
                                <w:tcPr>
                                  <w:tcW w:w="3944" w:type="dxa"/>
                                  <w:tcBorders>
                                    <w:top w:val="single" w:sz="4" w:space="0" w:color="auto"/>
                                  </w:tcBorders>
                                  <w:shd w:val="clear" w:color="auto" w:fill="auto"/>
                                </w:tcPr>
                                <w:p w14:paraId="7A94B530" w14:textId="77777777" w:rsidR="00412F88" w:rsidRPr="00DE4E95" w:rsidRDefault="00412F88" w:rsidP="00412F88">
                                  <w:pPr>
                                    <w:ind w:left="284" w:right="18"/>
                                    <w:rPr>
                                      <w:rFonts w:ascii="Arial" w:hAnsi="Arial" w:cs="Arial"/>
                                      <w:sz w:val="18"/>
                                      <w:szCs w:val="20"/>
                                    </w:rPr>
                                  </w:pPr>
                                  <w:r w:rsidRPr="00DE4E95">
                                    <w:rPr>
                                      <w:rFonts w:ascii="Arial" w:hAnsi="Arial" w:cs="Arial"/>
                                      <w:sz w:val="18"/>
                                      <w:szCs w:val="20"/>
                                    </w:rPr>
                                    <w:t>174</w:t>
                                  </w:r>
                                </w:p>
                              </w:tc>
                            </w:tr>
                            <w:tr w:rsidR="00412F88" w:rsidRPr="00DE4E95" w14:paraId="0DDA9A67" w14:textId="77777777" w:rsidTr="00412F88">
                              <w:trPr>
                                <w:trHeight w:val="244"/>
                              </w:trPr>
                              <w:tc>
                                <w:tcPr>
                                  <w:tcW w:w="646" w:type="dxa"/>
                                  <w:shd w:val="clear" w:color="auto" w:fill="auto"/>
                                </w:tcPr>
                                <w:p w14:paraId="01DFA974" w14:textId="77777777" w:rsidR="00412F88" w:rsidRPr="00DE4E95" w:rsidRDefault="00412F88" w:rsidP="00412F88">
                                  <w:pPr>
                                    <w:ind w:left="284" w:right="18"/>
                                    <w:rPr>
                                      <w:rFonts w:ascii="Arial" w:hAnsi="Arial" w:cs="Arial"/>
                                      <w:sz w:val="18"/>
                                      <w:szCs w:val="20"/>
                                    </w:rPr>
                                  </w:pPr>
                                  <w:r w:rsidRPr="00DE4E95">
                                    <w:rPr>
                                      <w:rFonts w:ascii="Arial" w:hAnsi="Arial" w:cs="Arial"/>
                                      <w:sz w:val="18"/>
                                      <w:szCs w:val="20"/>
                                    </w:rPr>
                                    <w:t>-----</w:t>
                                  </w:r>
                                </w:p>
                              </w:tc>
                              <w:tc>
                                <w:tcPr>
                                  <w:tcW w:w="1811" w:type="dxa"/>
                                  <w:shd w:val="clear" w:color="auto" w:fill="auto"/>
                                </w:tcPr>
                                <w:p w14:paraId="7C747598" w14:textId="77777777" w:rsidR="00412F88" w:rsidRPr="00DE4E95" w:rsidRDefault="00412F88" w:rsidP="00412F88">
                                  <w:pPr>
                                    <w:ind w:left="284" w:right="18"/>
                                    <w:rPr>
                                      <w:rFonts w:ascii="Arial" w:hAnsi="Arial" w:cs="Arial"/>
                                      <w:sz w:val="18"/>
                                      <w:szCs w:val="20"/>
                                    </w:rPr>
                                  </w:pPr>
                                  <w:r w:rsidRPr="00DE4E95">
                                    <w:rPr>
                                      <w:rFonts w:ascii="Arial" w:hAnsi="Arial" w:cs="Arial"/>
                                      <w:sz w:val="18"/>
                                      <w:szCs w:val="20"/>
                                    </w:rPr>
                                    <w:t>(2) Imatinibas 36 mėn.:</w:t>
                                  </w:r>
                                </w:p>
                              </w:tc>
                              <w:tc>
                                <w:tcPr>
                                  <w:tcW w:w="625" w:type="dxa"/>
                                  <w:tcBorders>
                                    <w:bottom w:val="single" w:sz="4" w:space="0" w:color="auto"/>
                                  </w:tcBorders>
                                  <w:shd w:val="clear" w:color="auto" w:fill="auto"/>
                                </w:tcPr>
                                <w:p w14:paraId="1AD039BD" w14:textId="77777777" w:rsidR="00412F88" w:rsidRPr="00DE4E95" w:rsidRDefault="00412F88" w:rsidP="00412F88">
                                  <w:pPr>
                                    <w:ind w:left="284" w:right="18"/>
                                    <w:rPr>
                                      <w:rFonts w:ascii="Arial" w:hAnsi="Arial" w:cs="Arial"/>
                                      <w:sz w:val="18"/>
                                      <w:szCs w:val="20"/>
                                    </w:rPr>
                                  </w:pPr>
                                  <w:r w:rsidRPr="00DE4E95">
                                    <w:rPr>
                                      <w:rFonts w:ascii="Arial" w:hAnsi="Arial" w:cs="Arial"/>
                                      <w:sz w:val="18"/>
                                      <w:szCs w:val="20"/>
                                    </w:rPr>
                                    <w:t>198</w:t>
                                  </w:r>
                                </w:p>
                              </w:tc>
                              <w:tc>
                                <w:tcPr>
                                  <w:tcW w:w="778" w:type="dxa"/>
                                  <w:tcBorders>
                                    <w:bottom w:val="single" w:sz="4" w:space="0" w:color="auto"/>
                                  </w:tcBorders>
                                  <w:shd w:val="clear" w:color="auto" w:fill="auto"/>
                                </w:tcPr>
                                <w:p w14:paraId="4143D942" w14:textId="77777777" w:rsidR="00412F88" w:rsidRPr="00DE4E95" w:rsidRDefault="00412F88" w:rsidP="00412F88">
                                  <w:pPr>
                                    <w:ind w:left="284" w:right="18"/>
                                    <w:rPr>
                                      <w:rFonts w:ascii="Arial" w:hAnsi="Arial" w:cs="Arial"/>
                                      <w:sz w:val="18"/>
                                      <w:szCs w:val="20"/>
                                    </w:rPr>
                                  </w:pPr>
                                  <w:r w:rsidRPr="00DE4E95">
                                    <w:rPr>
                                      <w:rFonts w:ascii="Arial" w:hAnsi="Arial" w:cs="Arial"/>
                                      <w:sz w:val="18"/>
                                      <w:szCs w:val="20"/>
                                    </w:rPr>
                                    <w:t>12</w:t>
                                  </w:r>
                                </w:p>
                              </w:tc>
                              <w:tc>
                                <w:tcPr>
                                  <w:tcW w:w="3944" w:type="dxa"/>
                                  <w:tcBorders>
                                    <w:bottom w:val="single" w:sz="4" w:space="0" w:color="auto"/>
                                  </w:tcBorders>
                                  <w:shd w:val="clear" w:color="auto" w:fill="auto"/>
                                </w:tcPr>
                                <w:p w14:paraId="62F28B65" w14:textId="77777777" w:rsidR="00412F88" w:rsidRPr="00DE4E95" w:rsidRDefault="00412F88" w:rsidP="00412F88">
                                  <w:pPr>
                                    <w:ind w:left="284" w:right="18"/>
                                    <w:rPr>
                                      <w:rFonts w:ascii="Arial" w:hAnsi="Arial" w:cs="Arial"/>
                                      <w:sz w:val="18"/>
                                      <w:szCs w:val="20"/>
                                    </w:rPr>
                                  </w:pPr>
                                  <w:r w:rsidRPr="00DE4E95">
                                    <w:rPr>
                                      <w:rFonts w:ascii="Arial" w:hAnsi="Arial" w:cs="Arial"/>
                                      <w:sz w:val="18"/>
                                      <w:szCs w:val="20"/>
                                    </w:rPr>
                                    <w:t>186</w:t>
                                  </w:r>
                                </w:p>
                              </w:tc>
                            </w:tr>
                            <w:tr w:rsidR="00412F88" w:rsidRPr="00DE4E95" w14:paraId="2D94D82A" w14:textId="77777777" w:rsidTr="00412F88">
                              <w:trPr>
                                <w:trHeight w:val="471"/>
                              </w:trPr>
                              <w:tc>
                                <w:tcPr>
                                  <w:tcW w:w="646" w:type="dxa"/>
                                  <w:shd w:val="clear" w:color="auto" w:fill="auto"/>
                                </w:tcPr>
                                <w:p w14:paraId="16622CCC" w14:textId="77777777" w:rsidR="00412F88" w:rsidRPr="00DE4E95" w:rsidRDefault="00412F88" w:rsidP="00412F88">
                                  <w:pPr>
                                    <w:ind w:left="284" w:right="18"/>
                                    <w:rPr>
                                      <w:rFonts w:ascii="Arial" w:hAnsi="Arial" w:cs="Arial"/>
                                      <w:sz w:val="18"/>
                                      <w:szCs w:val="20"/>
                                    </w:rPr>
                                  </w:pPr>
                                  <w:r w:rsidRPr="00DE4E95">
                                    <w:rPr>
                                      <w:rFonts w:ascii="Arial" w:hAnsi="Arial" w:cs="Arial"/>
                                      <w:sz w:val="18"/>
                                      <w:szCs w:val="20"/>
                                    </w:rPr>
                                    <w:t>│││</w:t>
                                  </w:r>
                                </w:p>
                              </w:tc>
                              <w:tc>
                                <w:tcPr>
                                  <w:tcW w:w="1811" w:type="dxa"/>
                                  <w:shd w:val="clear" w:color="auto" w:fill="auto"/>
                                </w:tcPr>
                                <w:p w14:paraId="4F5D5D9C" w14:textId="77777777" w:rsidR="00412F88" w:rsidRPr="00DE4E95" w:rsidRDefault="00412F88" w:rsidP="00412F88">
                                  <w:pPr>
                                    <w:ind w:left="284" w:right="18"/>
                                    <w:rPr>
                                      <w:rFonts w:ascii="Arial" w:hAnsi="Arial" w:cs="Arial"/>
                                      <w:sz w:val="18"/>
                                      <w:szCs w:val="20"/>
                                    </w:rPr>
                                  </w:pPr>
                                  <w:r w:rsidRPr="00DE4E95">
                                    <w:rPr>
                                      <w:rFonts w:ascii="Arial" w:hAnsi="Arial" w:cs="Arial"/>
                                      <w:sz w:val="18"/>
                                      <w:szCs w:val="20"/>
                                    </w:rPr>
                                    <w:t>Pacientų įvertinimo vizitai</w:t>
                                  </w:r>
                                </w:p>
                              </w:tc>
                              <w:tc>
                                <w:tcPr>
                                  <w:tcW w:w="625" w:type="dxa"/>
                                  <w:tcBorders>
                                    <w:top w:val="single" w:sz="4" w:space="0" w:color="auto"/>
                                  </w:tcBorders>
                                  <w:shd w:val="clear" w:color="auto" w:fill="auto"/>
                                </w:tcPr>
                                <w:p w14:paraId="4BDCF8CC" w14:textId="77777777" w:rsidR="00412F88" w:rsidRPr="00DE4E95" w:rsidRDefault="00412F88" w:rsidP="00412F88">
                                  <w:pPr>
                                    <w:ind w:left="284" w:right="18"/>
                                    <w:rPr>
                                      <w:rFonts w:ascii="Arial" w:hAnsi="Arial" w:cs="Arial"/>
                                      <w:sz w:val="18"/>
                                      <w:szCs w:val="20"/>
                                    </w:rPr>
                                  </w:pPr>
                                </w:p>
                              </w:tc>
                              <w:tc>
                                <w:tcPr>
                                  <w:tcW w:w="778" w:type="dxa"/>
                                  <w:tcBorders>
                                    <w:top w:val="single" w:sz="4" w:space="0" w:color="auto"/>
                                  </w:tcBorders>
                                  <w:shd w:val="clear" w:color="auto" w:fill="auto"/>
                                </w:tcPr>
                                <w:p w14:paraId="77417CC1" w14:textId="77777777" w:rsidR="00412F88" w:rsidRPr="00DE4E95" w:rsidRDefault="00412F88" w:rsidP="00412F88">
                                  <w:pPr>
                                    <w:ind w:left="284" w:right="18"/>
                                    <w:rPr>
                                      <w:rFonts w:ascii="Arial" w:hAnsi="Arial" w:cs="Arial"/>
                                      <w:sz w:val="18"/>
                                      <w:szCs w:val="20"/>
                                    </w:rPr>
                                  </w:pPr>
                                </w:p>
                              </w:tc>
                              <w:tc>
                                <w:tcPr>
                                  <w:tcW w:w="3944" w:type="dxa"/>
                                  <w:tcBorders>
                                    <w:top w:val="single" w:sz="4" w:space="0" w:color="auto"/>
                                  </w:tcBorders>
                                  <w:shd w:val="clear" w:color="auto" w:fill="auto"/>
                                </w:tcPr>
                                <w:p w14:paraId="265BDF5E" w14:textId="77777777" w:rsidR="00412F88" w:rsidRPr="00DE4E95" w:rsidRDefault="00412F88" w:rsidP="00412F88">
                                  <w:pPr>
                                    <w:ind w:left="284" w:right="18"/>
                                    <w:rPr>
                                      <w:rFonts w:ascii="Arial" w:hAnsi="Arial" w:cs="Arial"/>
                                      <w:sz w:val="18"/>
                                      <w:szCs w:val="20"/>
                                    </w:rPr>
                                  </w:pPr>
                                </w:p>
                              </w:tc>
                            </w:tr>
                          </w:tbl>
                          <w:p w14:paraId="423593E1" w14:textId="77777777" w:rsidR="00412F88" w:rsidRPr="00DE4E95" w:rsidRDefault="00412F88" w:rsidP="008A305D">
                            <w:pPr>
                              <w:ind w:left="284" w:right="18"/>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8B6F0F" id="Text Box 4" o:spid="_x0000_s1027" type="#_x0000_t202" style="position:absolute;margin-left:48pt;margin-top:62.8pt;width:367.5pt;height:1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C5AhgIAABc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MqQnV64ypwujfg5gfYBpZjps7cafrFIaVvWqI2/Mpa3becMIguCyeTk6Mjjgsg&#10;6/69ZnAN2XodgYbGdqF0UAwE6MDS45GZEAqFzWI2m+dTMFGwZed5ukgjdwmpDseNdf4t1x0Kkxpb&#10;oD7Ck92d8yEcUh1cwm1OS8FWQsq4sJv1jbRoR0Amq/jFDF64SRWclQ7HRsRxB6KEO4ItxBtpfyqz&#10;vEiv83Kymi3mk2JVTCflPF1M0qy8LmdpURa3q+8hwKyoWsEYV3dC8YMEs+LvKN43wyieKELU17ic&#10;5tORoz8mmcbvd0l2wkNHStHVGIoMX3AiVWD2jWJx7omQ4zz5OfxYZajB4R+rEnUQqB9F4If1EAUX&#10;RRI0stbsEYRhNdAGFMNrApNW228Y9dCZNXZft8RyjOQ7BeIqs6IIrRwXxXSew8KeWtanFqIoQNXY&#10;YzROb/zY/ltjxaaFm0Y5K30FgmxElMpzVHsZQ/fFnPYvRWjv03X0en7Plj8AAAD//wMAUEsDBBQA&#10;BgAIAAAAIQAF4uUE3wAAAAoBAAAPAAAAZHJzL2Rvd25yZXYueG1sTI/BTsMwEETvSPyDtUhcEHXa&#10;ULdN41SABOLa0g9w4m0SNV5Hsdukf89yguPOjmbe5LvJdeKKQ2g9aZjPEhBIlbct1RqO3x/PaxAh&#10;GrKm84QabhhgV9zf5SazfqQ9Xg+xFhxCITMamhj7TMpQNehMmPkeiX8nPzgT+RxqaQczcrjr5CJJ&#10;lHSmJW5oTI/vDVbnw8VpOH2NT8vNWH7G42r/ot5Muyr9TevHh+l1CyLiFP/M8IvP6FAwU+kvZIPo&#10;NGwUT4msL5YKBBvW6ZyVUkOapgpkkcv/E4ofAAAA//8DAFBLAQItABQABgAIAAAAIQC2gziS/gAA&#10;AOEBAAATAAAAAAAAAAAAAAAAAAAAAABbQ29udGVudF9UeXBlc10ueG1sUEsBAi0AFAAGAAgAAAAh&#10;ADj9If/WAAAAlAEAAAsAAAAAAAAAAAAAAAAALwEAAF9yZWxzLy5yZWxzUEsBAi0AFAAGAAgAAAAh&#10;AFmgLkCGAgAAFwUAAA4AAAAAAAAAAAAAAAAALgIAAGRycy9lMm9Eb2MueG1sUEsBAi0AFAAGAAgA&#10;AAAhAAXi5QTfAAAACgEAAA8AAAAAAAAAAAAAAAAA4AQAAGRycy9kb3ducmV2LnhtbFBLBQYAAAAA&#10;BAAEAPMAAADsBQAAAAA=&#10;" stroked="f">
                <v:textbox>
                  <w:txbxContent>
                    <w:tbl>
                      <w:tblPr>
                        <w:tblW w:w="7804" w:type="dxa"/>
                        <w:tblInd w:w="-318" w:type="dxa"/>
                        <w:tblLook w:val="04A0" w:firstRow="1" w:lastRow="0" w:firstColumn="1" w:lastColumn="0" w:noHBand="0" w:noVBand="1"/>
                      </w:tblPr>
                      <w:tblGrid>
                        <w:gridCol w:w="856"/>
                        <w:gridCol w:w="1709"/>
                        <w:gridCol w:w="819"/>
                        <w:gridCol w:w="1059"/>
                        <w:gridCol w:w="3361"/>
                      </w:tblGrid>
                      <w:tr w:rsidR="00412F88" w:rsidRPr="00DE4E95" w14:paraId="1AE4332C" w14:textId="77777777" w:rsidTr="00412F88">
                        <w:trPr>
                          <w:gridAfter w:val="3"/>
                          <w:wAfter w:w="5347" w:type="dxa"/>
                          <w:trHeight w:val="733"/>
                        </w:trPr>
                        <w:tc>
                          <w:tcPr>
                            <w:tcW w:w="2457" w:type="dxa"/>
                            <w:gridSpan w:val="2"/>
                            <w:shd w:val="clear" w:color="auto" w:fill="auto"/>
                          </w:tcPr>
                          <w:p w14:paraId="3305FDF4" w14:textId="77777777" w:rsidR="00412F88" w:rsidRPr="00DE4E95" w:rsidRDefault="00412F88" w:rsidP="00412F88">
                            <w:pPr>
                              <w:ind w:left="284" w:right="18"/>
                              <w:rPr>
                                <w:rFonts w:ascii="Arial" w:hAnsi="Arial" w:cs="Arial"/>
                                <w:sz w:val="18"/>
                              </w:rPr>
                            </w:pPr>
                            <w:r w:rsidRPr="00DE4E95">
                              <w:rPr>
                                <w:rFonts w:ascii="Arial" w:hAnsi="Arial" w:cs="Arial"/>
                                <w:sz w:val="18"/>
                              </w:rPr>
                              <w:t xml:space="preserve">p </w:t>
                            </w:r>
                            <w:r w:rsidRPr="00DE4E95">
                              <w:rPr>
                                <w:rFonts w:ascii="Arial" w:hAnsi="Arial" w:cs="Arial"/>
                                <w:sz w:val="18"/>
                                <w:lang w:val="en-US"/>
                              </w:rPr>
                              <w:t>=</w:t>
                            </w:r>
                            <w:r w:rsidRPr="00DE4E95">
                              <w:rPr>
                                <w:rFonts w:ascii="Arial" w:hAnsi="Arial" w:cs="Arial"/>
                                <w:sz w:val="18"/>
                              </w:rPr>
                              <w:t xml:space="preserve"> 0,019</w:t>
                            </w:r>
                          </w:p>
                          <w:p w14:paraId="07EC39A2" w14:textId="77777777" w:rsidR="00412F88" w:rsidRPr="00DE4E95" w:rsidRDefault="00412F88" w:rsidP="00412F88">
                            <w:pPr>
                              <w:ind w:left="284" w:right="18"/>
                              <w:rPr>
                                <w:rFonts w:ascii="Arial" w:hAnsi="Arial" w:cs="Arial"/>
                                <w:sz w:val="18"/>
                              </w:rPr>
                            </w:pPr>
                            <w:r w:rsidRPr="00DE4E95">
                              <w:rPr>
                                <w:rFonts w:ascii="Arial" w:hAnsi="Arial" w:cs="Arial"/>
                                <w:sz w:val="18"/>
                                <w:szCs w:val="20"/>
                              </w:rPr>
                              <w:t>Rizikos santykis</w:t>
                            </w:r>
                            <w:r w:rsidRPr="00DE4E95">
                              <w:rPr>
                                <w:rFonts w:ascii="Arial" w:hAnsi="Arial" w:cs="Arial"/>
                                <w:sz w:val="18"/>
                              </w:rPr>
                              <w:t xml:space="preserve"> 0,45</w:t>
                            </w:r>
                          </w:p>
                          <w:p w14:paraId="0C6BB3FA" w14:textId="77777777" w:rsidR="00412F88" w:rsidRPr="00DE4E95" w:rsidRDefault="00412F88" w:rsidP="00412F88">
                            <w:pPr>
                              <w:ind w:left="284" w:right="18"/>
                              <w:rPr>
                                <w:rFonts w:ascii="Arial" w:hAnsi="Arial" w:cs="Arial"/>
                                <w:sz w:val="18"/>
                                <w:lang w:val="de-DE"/>
                              </w:rPr>
                            </w:pPr>
                            <w:r w:rsidRPr="00DE4E95">
                              <w:rPr>
                                <w:rFonts w:ascii="Arial" w:hAnsi="Arial" w:cs="Arial"/>
                                <w:sz w:val="18"/>
                              </w:rPr>
                              <w:t>(95 % Pl, 0,22</w:t>
                            </w:r>
                            <w:r w:rsidRPr="00DE4E95">
                              <w:rPr>
                                <w:rFonts w:ascii="Arial" w:hAnsi="Arial" w:cs="Arial"/>
                                <w:sz w:val="18"/>
                              </w:rPr>
                              <w:noBreakHyphen/>
                              <w:t>0,89)</w:t>
                            </w:r>
                          </w:p>
                        </w:tc>
                      </w:tr>
                      <w:tr w:rsidR="00412F88" w:rsidRPr="00DE4E95" w14:paraId="53F2C66B" w14:textId="77777777" w:rsidTr="00412F88">
                        <w:trPr>
                          <w:trHeight w:val="93"/>
                        </w:trPr>
                        <w:tc>
                          <w:tcPr>
                            <w:tcW w:w="646" w:type="dxa"/>
                            <w:shd w:val="clear" w:color="auto" w:fill="auto"/>
                          </w:tcPr>
                          <w:p w14:paraId="3F8BDF0C" w14:textId="77777777" w:rsidR="00412F88" w:rsidRPr="00DE4E95" w:rsidRDefault="00412F88" w:rsidP="00412F88">
                            <w:pPr>
                              <w:ind w:left="284" w:right="18"/>
                              <w:rPr>
                                <w:rFonts w:ascii="Arial" w:hAnsi="Arial" w:cs="Arial"/>
                                <w:sz w:val="18"/>
                                <w:szCs w:val="20"/>
                              </w:rPr>
                            </w:pPr>
                          </w:p>
                        </w:tc>
                        <w:tc>
                          <w:tcPr>
                            <w:tcW w:w="1811" w:type="dxa"/>
                            <w:shd w:val="clear" w:color="auto" w:fill="auto"/>
                          </w:tcPr>
                          <w:p w14:paraId="73F8B4CF" w14:textId="77777777" w:rsidR="00412F88" w:rsidRPr="00DE4E95" w:rsidRDefault="00412F88" w:rsidP="00412F88">
                            <w:pPr>
                              <w:ind w:left="284" w:right="18"/>
                              <w:rPr>
                                <w:rFonts w:ascii="Arial" w:hAnsi="Arial" w:cs="Arial"/>
                                <w:sz w:val="18"/>
                                <w:szCs w:val="20"/>
                              </w:rPr>
                            </w:pPr>
                          </w:p>
                        </w:tc>
                        <w:tc>
                          <w:tcPr>
                            <w:tcW w:w="625" w:type="dxa"/>
                            <w:tcBorders>
                              <w:bottom w:val="single" w:sz="4" w:space="0" w:color="auto"/>
                            </w:tcBorders>
                            <w:shd w:val="clear" w:color="auto" w:fill="auto"/>
                          </w:tcPr>
                          <w:p w14:paraId="273D6728" w14:textId="77777777" w:rsidR="00412F88" w:rsidRPr="00DE4E95" w:rsidRDefault="00412F88" w:rsidP="00412F88">
                            <w:pPr>
                              <w:ind w:left="284" w:right="18"/>
                              <w:rPr>
                                <w:rFonts w:ascii="Arial" w:hAnsi="Arial" w:cs="Arial"/>
                                <w:sz w:val="18"/>
                                <w:szCs w:val="20"/>
                              </w:rPr>
                            </w:pPr>
                            <w:r w:rsidRPr="00DE4E95">
                              <w:rPr>
                                <w:rFonts w:ascii="Arial" w:hAnsi="Arial" w:cs="Arial"/>
                                <w:sz w:val="18"/>
                                <w:szCs w:val="20"/>
                                <w:lang w:val="de-DE"/>
                              </w:rPr>
                              <w:t>N</w:t>
                            </w:r>
                          </w:p>
                        </w:tc>
                        <w:tc>
                          <w:tcPr>
                            <w:tcW w:w="778" w:type="dxa"/>
                            <w:tcBorders>
                              <w:bottom w:val="single" w:sz="4" w:space="0" w:color="auto"/>
                            </w:tcBorders>
                            <w:shd w:val="clear" w:color="auto" w:fill="auto"/>
                          </w:tcPr>
                          <w:p w14:paraId="79AB2A0B" w14:textId="77777777" w:rsidR="00412F88" w:rsidRPr="00DE4E95" w:rsidRDefault="00412F88" w:rsidP="00412F88">
                            <w:pPr>
                              <w:ind w:left="284" w:right="18"/>
                              <w:rPr>
                                <w:rFonts w:ascii="Arial" w:hAnsi="Arial" w:cs="Arial"/>
                                <w:sz w:val="18"/>
                                <w:szCs w:val="20"/>
                              </w:rPr>
                            </w:pPr>
                            <w:r w:rsidRPr="00DE4E95">
                              <w:rPr>
                                <w:rFonts w:ascii="Arial" w:hAnsi="Arial" w:cs="Arial"/>
                                <w:sz w:val="18"/>
                                <w:szCs w:val="20"/>
                              </w:rPr>
                              <w:t>Atvejai</w:t>
                            </w:r>
                          </w:p>
                        </w:tc>
                        <w:tc>
                          <w:tcPr>
                            <w:tcW w:w="3944" w:type="dxa"/>
                            <w:tcBorders>
                              <w:bottom w:val="single" w:sz="4" w:space="0" w:color="auto"/>
                            </w:tcBorders>
                            <w:shd w:val="clear" w:color="auto" w:fill="auto"/>
                          </w:tcPr>
                          <w:p w14:paraId="3678D0E6" w14:textId="77777777" w:rsidR="00412F88" w:rsidRPr="00DE4E95" w:rsidRDefault="00412F88" w:rsidP="00412F88">
                            <w:pPr>
                              <w:ind w:left="284" w:right="18"/>
                              <w:rPr>
                                <w:rFonts w:ascii="Arial" w:hAnsi="Arial" w:cs="Arial"/>
                                <w:sz w:val="18"/>
                                <w:szCs w:val="20"/>
                              </w:rPr>
                            </w:pPr>
                            <w:r w:rsidRPr="00DE4E95">
                              <w:rPr>
                                <w:rFonts w:ascii="Arial" w:hAnsi="Arial" w:cs="Arial"/>
                                <w:sz w:val="18"/>
                                <w:szCs w:val="20"/>
                              </w:rPr>
                              <w:t>Likę pacientai</w:t>
                            </w:r>
                          </w:p>
                        </w:tc>
                      </w:tr>
                      <w:tr w:rsidR="00412F88" w:rsidRPr="00DE4E95" w14:paraId="35F7E381" w14:textId="77777777" w:rsidTr="00412F88">
                        <w:trPr>
                          <w:trHeight w:val="227"/>
                        </w:trPr>
                        <w:tc>
                          <w:tcPr>
                            <w:tcW w:w="646" w:type="dxa"/>
                            <w:shd w:val="clear" w:color="auto" w:fill="auto"/>
                          </w:tcPr>
                          <w:p w14:paraId="23B2DFEC" w14:textId="77777777" w:rsidR="00412F88" w:rsidRPr="00DE4E95" w:rsidRDefault="00412F88" w:rsidP="00412F88">
                            <w:pPr>
                              <w:ind w:left="284" w:right="18"/>
                              <w:rPr>
                                <w:rFonts w:ascii="Arial" w:hAnsi="Arial" w:cs="Arial"/>
                                <w:sz w:val="18"/>
                                <w:szCs w:val="20"/>
                              </w:rPr>
                            </w:pPr>
                            <w:r w:rsidRPr="00DE4E95">
                              <w:rPr>
                                <w:rFonts w:ascii="Arial" w:hAnsi="Arial" w:cs="Arial"/>
                                <w:b/>
                                <w:sz w:val="18"/>
                                <w:szCs w:val="20"/>
                              </w:rPr>
                              <w:t>——</w:t>
                            </w:r>
                          </w:p>
                        </w:tc>
                        <w:tc>
                          <w:tcPr>
                            <w:tcW w:w="1811" w:type="dxa"/>
                            <w:shd w:val="clear" w:color="auto" w:fill="auto"/>
                          </w:tcPr>
                          <w:p w14:paraId="20452D8A" w14:textId="77777777" w:rsidR="00412F88" w:rsidRPr="00DE4E95" w:rsidRDefault="00412F88" w:rsidP="00412F88">
                            <w:pPr>
                              <w:ind w:left="284" w:right="18"/>
                              <w:rPr>
                                <w:rFonts w:ascii="Arial" w:hAnsi="Arial" w:cs="Arial"/>
                                <w:sz w:val="18"/>
                                <w:szCs w:val="20"/>
                              </w:rPr>
                            </w:pPr>
                            <w:r w:rsidRPr="00DE4E95">
                              <w:rPr>
                                <w:rFonts w:ascii="Arial" w:hAnsi="Arial" w:cs="Arial"/>
                                <w:sz w:val="18"/>
                                <w:szCs w:val="20"/>
                              </w:rPr>
                              <w:t>(1) Imatinibas 12 mėn.:</w:t>
                            </w:r>
                          </w:p>
                        </w:tc>
                        <w:tc>
                          <w:tcPr>
                            <w:tcW w:w="625" w:type="dxa"/>
                            <w:tcBorders>
                              <w:top w:val="single" w:sz="4" w:space="0" w:color="auto"/>
                            </w:tcBorders>
                            <w:shd w:val="clear" w:color="auto" w:fill="auto"/>
                          </w:tcPr>
                          <w:p w14:paraId="18F0C194" w14:textId="77777777" w:rsidR="00412F88" w:rsidRPr="00DE4E95" w:rsidRDefault="00412F88" w:rsidP="00412F88">
                            <w:pPr>
                              <w:ind w:left="284" w:right="18"/>
                              <w:rPr>
                                <w:rFonts w:ascii="Arial" w:hAnsi="Arial" w:cs="Arial"/>
                                <w:sz w:val="18"/>
                                <w:szCs w:val="20"/>
                              </w:rPr>
                            </w:pPr>
                            <w:r w:rsidRPr="00DE4E95">
                              <w:rPr>
                                <w:rFonts w:ascii="Arial" w:hAnsi="Arial" w:cs="Arial"/>
                                <w:sz w:val="18"/>
                                <w:szCs w:val="20"/>
                              </w:rPr>
                              <w:t>199</w:t>
                            </w:r>
                          </w:p>
                        </w:tc>
                        <w:tc>
                          <w:tcPr>
                            <w:tcW w:w="778" w:type="dxa"/>
                            <w:tcBorders>
                              <w:top w:val="single" w:sz="4" w:space="0" w:color="auto"/>
                            </w:tcBorders>
                            <w:shd w:val="clear" w:color="auto" w:fill="auto"/>
                          </w:tcPr>
                          <w:p w14:paraId="673F1850" w14:textId="77777777" w:rsidR="00412F88" w:rsidRPr="00DE4E95" w:rsidRDefault="00412F88" w:rsidP="00412F88">
                            <w:pPr>
                              <w:ind w:left="284" w:right="18"/>
                              <w:rPr>
                                <w:rFonts w:ascii="Arial" w:hAnsi="Arial" w:cs="Arial"/>
                                <w:sz w:val="18"/>
                                <w:szCs w:val="20"/>
                              </w:rPr>
                            </w:pPr>
                            <w:r w:rsidRPr="00DE4E95">
                              <w:rPr>
                                <w:rFonts w:ascii="Arial" w:hAnsi="Arial" w:cs="Arial"/>
                                <w:sz w:val="18"/>
                                <w:szCs w:val="20"/>
                              </w:rPr>
                              <w:t>25</w:t>
                            </w:r>
                          </w:p>
                        </w:tc>
                        <w:tc>
                          <w:tcPr>
                            <w:tcW w:w="3944" w:type="dxa"/>
                            <w:tcBorders>
                              <w:top w:val="single" w:sz="4" w:space="0" w:color="auto"/>
                            </w:tcBorders>
                            <w:shd w:val="clear" w:color="auto" w:fill="auto"/>
                          </w:tcPr>
                          <w:p w14:paraId="7A94B530" w14:textId="77777777" w:rsidR="00412F88" w:rsidRPr="00DE4E95" w:rsidRDefault="00412F88" w:rsidP="00412F88">
                            <w:pPr>
                              <w:ind w:left="284" w:right="18"/>
                              <w:rPr>
                                <w:rFonts w:ascii="Arial" w:hAnsi="Arial" w:cs="Arial"/>
                                <w:sz w:val="18"/>
                                <w:szCs w:val="20"/>
                              </w:rPr>
                            </w:pPr>
                            <w:r w:rsidRPr="00DE4E95">
                              <w:rPr>
                                <w:rFonts w:ascii="Arial" w:hAnsi="Arial" w:cs="Arial"/>
                                <w:sz w:val="18"/>
                                <w:szCs w:val="20"/>
                              </w:rPr>
                              <w:t>174</w:t>
                            </w:r>
                          </w:p>
                        </w:tc>
                      </w:tr>
                      <w:tr w:rsidR="00412F88" w:rsidRPr="00DE4E95" w14:paraId="0DDA9A67" w14:textId="77777777" w:rsidTr="00412F88">
                        <w:trPr>
                          <w:trHeight w:val="244"/>
                        </w:trPr>
                        <w:tc>
                          <w:tcPr>
                            <w:tcW w:w="646" w:type="dxa"/>
                            <w:shd w:val="clear" w:color="auto" w:fill="auto"/>
                          </w:tcPr>
                          <w:p w14:paraId="01DFA974" w14:textId="77777777" w:rsidR="00412F88" w:rsidRPr="00DE4E95" w:rsidRDefault="00412F88" w:rsidP="00412F88">
                            <w:pPr>
                              <w:ind w:left="284" w:right="18"/>
                              <w:rPr>
                                <w:rFonts w:ascii="Arial" w:hAnsi="Arial" w:cs="Arial"/>
                                <w:sz w:val="18"/>
                                <w:szCs w:val="20"/>
                              </w:rPr>
                            </w:pPr>
                            <w:r w:rsidRPr="00DE4E95">
                              <w:rPr>
                                <w:rFonts w:ascii="Arial" w:hAnsi="Arial" w:cs="Arial"/>
                                <w:sz w:val="18"/>
                                <w:szCs w:val="20"/>
                              </w:rPr>
                              <w:t>-----</w:t>
                            </w:r>
                          </w:p>
                        </w:tc>
                        <w:tc>
                          <w:tcPr>
                            <w:tcW w:w="1811" w:type="dxa"/>
                            <w:shd w:val="clear" w:color="auto" w:fill="auto"/>
                          </w:tcPr>
                          <w:p w14:paraId="7C747598" w14:textId="77777777" w:rsidR="00412F88" w:rsidRPr="00DE4E95" w:rsidRDefault="00412F88" w:rsidP="00412F88">
                            <w:pPr>
                              <w:ind w:left="284" w:right="18"/>
                              <w:rPr>
                                <w:rFonts w:ascii="Arial" w:hAnsi="Arial" w:cs="Arial"/>
                                <w:sz w:val="18"/>
                                <w:szCs w:val="20"/>
                              </w:rPr>
                            </w:pPr>
                            <w:r w:rsidRPr="00DE4E95">
                              <w:rPr>
                                <w:rFonts w:ascii="Arial" w:hAnsi="Arial" w:cs="Arial"/>
                                <w:sz w:val="18"/>
                                <w:szCs w:val="20"/>
                              </w:rPr>
                              <w:t>(2) Imatinibas 36 mėn.:</w:t>
                            </w:r>
                          </w:p>
                        </w:tc>
                        <w:tc>
                          <w:tcPr>
                            <w:tcW w:w="625" w:type="dxa"/>
                            <w:tcBorders>
                              <w:bottom w:val="single" w:sz="4" w:space="0" w:color="auto"/>
                            </w:tcBorders>
                            <w:shd w:val="clear" w:color="auto" w:fill="auto"/>
                          </w:tcPr>
                          <w:p w14:paraId="1AD039BD" w14:textId="77777777" w:rsidR="00412F88" w:rsidRPr="00DE4E95" w:rsidRDefault="00412F88" w:rsidP="00412F88">
                            <w:pPr>
                              <w:ind w:left="284" w:right="18"/>
                              <w:rPr>
                                <w:rFonts w:ascii="Arial" w:hAnsi="Arial" w:cs="Arial"/>
                                <w:sz w:val="18"/>
                                <w:szCs w:val="20"/>
                              </w:rPr>
                            </w:pPr>
                            <w:r w:rsidRPr="00DE4E95">
                              <w:rPr>
                                <w:rFonts w:ascii="Arial" w:hAnsi="Arial" w:cs="Arial"/>
                                <w:sz w:val="18"/>
                                <w:szCs w:val="20"/>
                              </w:rPr>
                              <w:t>198</w:t>
                            </w:r>
                          </w:p>
                        </w:tc>
                        <w:tc>
                          <w:tcPr>
                            <w:tcW w:w="778" w:type="dxa"/>
                            <w:tcBorders>
                              <w:bottom w:val="single" w:sz="4" w:space="0" w:color="auto"/>
                            </w:tcBorders>
                            <w:shd w:val="clear" w:color="auto" w:fill="auto"/>
                          </w:tcPr>
                          <w:p w14:paraId="4143D942" w14:textId="77777777" w:rsidR="00412F88" w:rsidRPr="00DE4E95" w:rsidRDefault="00412F88" w:rsidP="00412F88">
                            <w:pPr>
                              <w:ind w:left="284" w:right="18"/>
                              <w:rPr>
                                <w:rFonts w:ascii="Arial" w:hAnsi="Arial" w:cs="Arial"/>
                                <w:sz w:val="18"/>
                                <w:szCs w:val="20"/>
                              </w:rPr>
                            </w:pPr>
                            <w:r w:rsidRPr="00DE4E95">
                              <w:rPr>
                                <w:rFonts w:ascii="Arial" w:hAnsi="Arial" w:cs="Arial"/>
                                <w:sz w:val="18"/>
                                <w:szCs w:val="20"/>
                              </w:rPr>
                              <w:t>12</w:t>
                            </w:r>
                          </w:p>
                        </w:tc>
                        <w:tc>
                          <w:tcPr>
                            <w:tcW w:w="3944" w:type="dxa"/>
                            <w:tcBorders>
                              <w:bottom w:val="single" w:sz="4" w:space="0" w:color="auto"/>
                            </w:tcBorders>
                            <w:shd w:val="clear" w:color="auto" w:fill="auto"/>
                          </w:tcPr>
                          <w:p w14:paraId="62F28B65" w14:textId="77777777" w:rsidR="00412F88" w:rsidRPr="00DE4E95" w:rsidRDefault="00412F88" w:rsidP="00412F88">
                            <w:pPr>
                              <w:ind w:left="284" w:right="18"/>
                              <w:rPr>
                                <w:rFonts w:ascii="Arial" w:hAnsi="Arial" w:cs="Arial"/>
                                <w:sz w:val="18"/>
                                <w:szCs w:val="20"/>
                              </w:rPr>
                            </w:pPr>
                            <w:r w:rsidRPr="00DE4E95">
                              <w:rPr>
                                <w:rFonts w:ascii="Arial" w:hAnsi="Arial" w:cs="Arial"/>
                                <w:sz w:val="18"/>
                                <w:szCs w:val="20"/>
                              </w:rPr>
                              <w:t>186</w:t>
                            </w:r>
                          </w:p>
                        </w:tc>
                      </w:tr>
                      <w:tr w:rsidR="00412F88" w:rsidRPr="00DE4E95" w14:paraId="2D94D82A" w14:textId="77777777" w:rsidTr="00412F88">
                        <w:trPr>
                          <w:trHeight w:val="471"/>
                        </w:trPr>
                        <w:tc>
                          <w:tcPr>
                            <w:tcW w:w="646" w:type="dxa"/>
                            <w:shd w:val="clear" w:color="auto" w:fill="auto"/>
                          </w:tcPr>
                          <w:p w14:paraId="16622CCC" w14:textId="77777777" w:rsidR="00412F88" w:rsidRPr="00DE4E95" w:rsidRDefault="00412F88" w:rsidP="00412F88">
                            <w:pPr>
                              <w:ind w:left="284" w:right="18"/>
                              <w:rPr>
                                <w:rFonts w:ascii="Arial" w:hAnsi="Arial" w:cs="Arial"/>
                                <w:sz w:val="18"/>
                                <w:szCs w:val="20"/>
                              </w:rPr>
                            </w:pPr>
                            <w:r w:rsidRPr="00DE4E95">
                              <w:rPr>
                                <w:rFonts w:ascii="Arial" w:hAnsi="Arial" w:cs="Arial"/>
                                <w:sz w:val="18"/>
                                <w:szCs w:val="20"/>
                              </w:rPr>
                              <w:t>│││</w:t>
                            </w:r>
                          </w:p>
                        </w:tc>
                        <w:tc>
                          <w:tcPr>
                            <w:tcW w:w="1811" w:type="dxa"/>
                            <w:shd w:val="clear" w:color="auto" w:fill="auto"/>
                          </w:tcPr>
                          <w:p w14:paraId="4F5D5D9C" w14:textId="77777777" w:rsidR="00412F88" w:rsidRPr="00DE4E95" w:rsidRDefault="00412F88" w:rsidP="00412F88">
                            <w:pPr>
                              <w:ind w:left="284" w:right="18"/>
                              <w:rPr>
                                <w:rFonts w:ascii="Arial" w:hAnsi="Arial" w:cs="Arial"/>
                                <w:sz w:val="18"/>
                                <w:szCs w:val="20"/>
                              </w:rPr>
                            </w:pPr>
                            <w:r w:rsidRPr="00DE4E95">
                              <w:rPr>
                                <w:rFonts w:ascii="Arial" w:hAnsi="Arial" w:cs="Arial"/>
                                <w:sz w:val="18"/>
                                <w:szCs w:val="20"/>
                              </w:rPr>
                              <w:t>Pacientų įvertinimo vizitai</w:t>
                            </w:r>
                          </w:p>
                        </w:tc>
                        <w:tc>
                          <w:tcPr>
                            <w:tcW w:w="625" w:type="dxa"/>
                            <w:tcBorders>
                              <w:top w:val="single" w:sz="4" w:space="0" w:color="auto"/>
                            </w:tcBorders>
                            <w:shd w:val="clear" w:color="auto" w:fill="auto"/>
                          </w:tcPr>
                          <w:p w14:paraId="4BDCF8CC" w14:textId="77777777" w:rsidR="00412F88" w:rsidRPr="00DE4E95" w:rsidRDefault="00412F88" w:rsidP="00412F88">
                            <w:pPr>
                              <w:ind w:left="284" w:right="18"/>
                              <w:rPr>
                                <w:rFonts w:ascii="Arial" w:hAnsi="Arial" w:cs="Arial"/>
                                <w:sz w:val="18"/>
                                <w:szCs w:val="20"/>
                              </w:rPr>
                            </w:pPr>
                          </w:p>
                        </w:tc>
                        <w:tc>
                          <w:tcPr>
                            <w:tcW w:w="778" w:type="dxa"/>
                            <w:tcBorders>
                              <w:top w:val="single" w:sz="4" w:space="0" w:color="auto"/>
                            </w:tcBorders>
                            <w:shd w:val="clear" w:color="auto" w:fill="auto"/>
                          </w:tcPr>
                          <w:p w14:paraId="77417CC1" w14:textId="77777777" w:rsidR="00412F88" w:rsidRPr="00DE4E95" w:rsidRDefault="00412F88" w:rsidP="00412F88">
                            <w:pPr>
                              <w:ind w:left="284" w:right="18"/>
                              <w:rPr>
                                <w:rFonts w:ascii="Arial" w:hAnsi="Arial" w:cs="Arial"/>
                                <w:sz w:val="18"/>
                                <w:szCs w:val="20"/>
                              </w:rPr>
                            </w:pPr>
                          </w:p>
                        </w:tc>
                        <w:tc>
                          <w:tcPr>
                            <w:tcW w:w="3944" w:type="dxa"/>
                            <w:tcBorders>
                              <w:top w:val="single" w:sz="4" w:space="0" w:color="auto"/>
                            </w:tcBorders>
                            <w:shd w:val="clear" w:color="auto" w:fill="auto"/>
                          </w:tcPr>
                          <w:p w14:paraId="265BDF5E" w14:textId="77777777" w:rsidR="00412F88" w:rsidRPr="00DE4E95" w:rsidRDefault="00412F88" w:rsidP="00412F88">
                            <w:pPr>
                              <w:ind w:left="284" w:right="18"/>
                              <w:rPr>
                                <w:rFonts w:ascii="Arial" w:hAnsi="Arial" w:cs="Arial"/>
                                <w:sz w:val="18"/>
                                <w:szCs w:val="20"/>
                              </w:rPr>
                            </w:pPr>
                          </w:p>
                        </w:tc>
                      </w:tr>
                    </w:tbl>
                    <w:p w14:paraId="423593E1" w14:textId="77777777" w:rsidR="00412F88" w:rsidRPr="00DE4E95" w:rsidRDefault="00412F88" w:rsidP="008A305D">
                      <w:pPr>
                        <w:ind w:left="284" w:right="18"/>
                        <w:rPr>
                          <w:sz w:val="22"/>
                        </w:rPr>
                      </w:pPr>
                    </w:p>
                  </w:txbxContent>
                </v:textbox>
              </v:shape>
            </w:pict>
          </mc:Fallback>
        </mc:AlternateContent>
      </w:r>
      <w:r w:rsidRPr="0045031A">
        <w:rPr>
          <w:noProof/>
          <w:sz w:val="22"/>
          <w:szCs w:val="22"/>
          <w:lang w:eastAsia="lt-LT"/>
        </w:rPr>
        <w:drawing>
          <wp:inline distT="0" distB="0" distL="0" distR="0" wp14:anchorId="0A98E210" wp14:editId="26252607">
            <wp:extent cx="5943600" cy="263652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43600" cy="2636520"/>
                    </a:xfrm>
                    <a:prstGeom prst="rect">
                      <a:avLst/>
                    </a:prstGeom>
                    <a:noFill/>
                    <a:ln w="9525">
                      <a:noFill/>
                      <a:miter lim="800000"/>
                      <a:headEnd/>
                      <a:tailEnd/>
                    </a:ln>
                  </pic:spPr>
                </pic:pic>
              </a:graphicData>
            </a:graphic>
          </wp:inline>
        </w:drawing>
      </w:r>
    </w:p>
    <w:tbl>
      <w:tblPr>
        <w:tblW w:w="10632" w:type="dxa"/>
        <w:tblInd w:w="-318" w:type="dxa"/>
        <w:tblLook w:val="04A0" w:firstRow="1" w:lastRow="0" w:firstColumn="1" w:lastColumn="0" w:noHBand="0" w:noVBand="1"/>
      </w:tblPr>
      <w:tblGrid>
        <w:gridCol w:w="473"/>
        <w:gridCol w:w="673"/>
        <w:gridCol w:w="673"/>
        <w:gridCol w:w="673"/>
        <w:gridCol w:w="673"/>
        <w:gridCol w:w="673"/>
        <w:gridCol w:w="783"/>
        <w:gridCol w:w="783"/>
        <w:gridCol w:w="783"/>
        <w:gridCol w:w="673"/>
        <w:gridCol w:w="673"/>
        <w:gridCol w:w="673"/>
        <w:gridCol w:w="673"/>
        <w:gridCol w:w="673"/>
        <w:gridCol w:w="563"/>
        <w:gridCol w:w="563"/>
      </w:tblGrid>
      <w:tr w:rsidR="008A305D" w:rsidRPr="00D92F6B" w14:paraId="61206593" w14:textId="77777777" w:rsidTr="00412F88">
        <w:tc>
          <w:tcPr>
            <w:tcW w:w="10632" w:type="dxa"/>
            <w:gridSpan w:val="16"/>
            <w:shd w:val="clear" w:color="auto" w:fill="auto"/>
          </w:tcPr>
          <w:p w14:paraId="1E123C36" w14:textId="77777777" w:rsidR="008A305D" w:rsidRPr="0045031A" w:rsidRDefault="008A305D" w:rsidP="00412F88">
            <w:pPr>
              <w:ind w:left="-27"/>
              <w:rPr>
                <w:rFonts w:ascii="Arial" w:hAnsi="Arial" w:cs="Arial"/>
                <w:sz w:val="22"/>
                <w:szCs w:val="22"/>
              </w:rPr>
            </w:pPr>
          </w:p>
          <w:p w14:paraId="3C9CA987" w14:textId="77777777" w:rsidR="008A305D" w:rsidRPr="0045031A" w:rsidRDefault="008A305D" w:rsidP="00412F88">
            <w:pPr>
              <w:ind w:left="-27"/>
              <w:rPr>
                <w:rFonts w:ascii="Arial" w:hAnsi="Arial" w:cs="Arial"/>
                <w:sz w:val="22"/>
                <w:szCs w:val="22"/>
              </w:rPr>
            </w:pPr>
            <w:r w:rsidRPr="0045031A">
              <w:rPr>
                <w:rFonts w:ascii="Arial" w:hAnsi="Arial" w:cs="Arial"/>
                <w:sz w:val="22"/>
                <w:szCs w:val="22"/>
              </w:rPr>
              <w:t>Rizikos grupė: Atvejai</w:t>
            </w:r>
          </w:p>
        </w:tc>
      </w:tr>
      <w:tr w:rsidR="008A305D" w:rsidRPr="00D92F6B" w14:paraId="7C5093AF" w14:textId="77777777" w:rsidTr="00412F88">
        <w:tc>
          <w:tcPr>
            <w:tcW w:w="450" w:type="dxa"/>
            <w:shd w:val="clear" w:color="auto" w:fill="auto"/>
          </w:tcPr>
          <w:p w14:paraId="32E5A7D2" w14:textId="77777777" w:rsidR="008A305D" w:rsidRPr="0045031A" w:rsidRDefault="008A305D" w:rsidP="00412F88">
            <w:pPr>
              <w:rPr>
                <w:sz w:val="22"/>
                <w:szCs w:val="22"/>
              </w:rPr>
            </w:pPr>
            <w:r w:rsidRPr="0045031A">
              <w:rPr>
                <w:sz w:val="22"/>
                <w:szCs w:val="22"/>
              </w:rPr>
              <w:t>(1)</w:t>
            </w:r>
          </w:p>
        </w:tc>
        <w:tc>
          <w:tcPr>
            <w:tcW w:w="686" w:type="dxa"/>
            <w:shd w:val="clear" w:color="auto" w:fill="auto"/>
          </w:tcPr>
          <w:p w14:paraId="2F6400F3" w14:textId="77777777" w:rsidR="008A305D" w:rsidRPr="0045031A" w:rsidRDefault="008A305D" w:rsidP="00412F88">
            <w:pPr>
              <w:ind w:left="-45"/>
              <w:rPr>
                <w:sz w:val="22"/>
                <w:szCs w:val="22"/>
              </w:rPr>
            </w:pPr>
            <w:r w:rsidRPr="0045031A">
              <w:rPr>
                <w:sz w:val="22"/>
                <w:szCs w:val="22"/>
              </w:rPr>
              <w:t>199:0</w:t>
            </w:r>
          </w:p>
        </w:tc>
        <w:tc>
          <w:tcPr>
            <w:tcW w:w="669" w:type="dxa"/>
            <w:shd w:val="clear" w:color="auto" w:fill="auto"/>
          </w:tcPr>
          <w:p w14:paraId="2A854611" w14:textId="77777777" w:rsidR="008A305D" w:rsidRPr="0045031A" w:rsidRDefault="008A305D" w:rsidP="00412F88">
            <w:pPr>
              <w:ind w:left="-45"/>
              <w:rPr>
                <w:sz w:val="22"/>
                <w:szCs w:val="22"/>
              </w:rPr>
            </w:pPr>
            <w:r w:rsidRPr="0045031A">
              <w:rPr>
                <w:sz w:val="22"/>
                <w:szCs w:val="22"/>
              </w:rPr>
              <w:t>190:2</w:t>
            </w:r>
          </w:p>
        </w:tc>
        <w:tc>
          <w:tcPr>
            <w:tcW w:w="710" w:type="dxa"/>
            <w:shd w:val="clear" w:color="auto" w:fill="auto"/>
          </w:tcPr>
          <w:p w14:paraId="55DDC135" w14:textId="77777777" w:rsidR="008A305D" w:rsidRPr="0045031A" w:rsidRDefault="008A305D" w:rsidP="00412F88">
            <w:pPr>
              <w:ind w:left="-45"/>
              <w:rPr>
                <w:sz w:val="22"/>
                <w:szCs w:val="22"/>
              </w:rPr>
            </w:pPr>
            <w:r w:rsidRPr="0045031A">
              <w:rPr>
                <w:sz w:val="22"/>
                <w:szCs w:val="22"/>
              </w:rPr>
              <w:t>188:2</w:t>
            </w:r>
          </w:p>
        </w:tc>
        <w:tc>
          <w:tcPr>
            <w:tcW w:w="717" w:type="dxa"/>
            <w:shd w:val="clear" w:color="auto" w:fill="auto"/>
          </w:tcPr>
          <w:p w14:paraId="3749EF96" w14:textId="77777777" w:rsidR="008A305D" w:rsidRPr="0045031A" w:rsidRDefault="008A305D" w:rsidP="00412F88">
            <w:pPr>
              <w:ind w:left="-45"/>
              <w:rPr>
                <w:sz w:val="22"/>
                <w:szCs w:val="22"/>
              </w:rPr>
            </w:pPr>
            <w:r w:rsidRPr="0045031A">
              <w:rPr>
                <w:sz w:val="22"/>
                <w:szCs w:val="22"/>
              </w:rPr>
              <w:t>183:6</w:t>
            </w:r>
          </w:p>
        </w:tc>
        <w:tc>
          <w:tcPr>
            <w:tcW w:w="691" w:type="dxa"/>
            <w:shd w:val="clear" w:color="auto" w:fill="auto"/>
          </w:tcPr>
          <w:p w14:paraId="2A792576" w14:textId="77777777" w:rsidR="008A305D" w:rsidRPr="0045031A" w:rsidRDefault="008A305D" w:rsidP="00412F88">
            <w:pPr>
              <w:ind w:left="-45"/>
              <w:rPr>
                <w:sz w:val="22"/>
                <w:szCs w:val="22"/>
              </w:rPr>
            </w:pPr>
            <w:r w:rsidRPr="0045031A">
              <w:rPr>
                <w:sz w:val="22"/>
                <w:szCs w:val="22"/>
              </w:rPr>
              <w:t>176:8</w:t>
            </w:r>
          </w:p>
        </w:tc>
        <w:tc>
          <w:tcPr>
            <w:tcW w:w="770" w:type="dxa"/>
            <w:shd w:val="clear" w:color="auto" w:fill="auto"/>
          </w:tcPr>
          <w:p w14:paraId="049EDCCA" w14:textId="77777777" w:rsidR="008A305D" w:rsidRPr="0045031A" w:rsidRDefault="008A305D" w:rsidP="00412F88">
            <w:pPr>
              <w:ind w:left="-45"/>
              <w:rPr>
                <w:sz w:val="22"/>
                <w:szCs w:val="22"/>
              </w:rPr>
            </w:pPr>
            <w:r w:rsidRPr="0045031A">
              <w:rPr>
                <w:sz w:val="22"/>
                <w:szCs w:val="22"/>
              </w:rPr>
              <w:t>156:10</w:t>
            </w:r>
          </w:p>
        </w:tc>
        <w:tc>
          <w:tcPr>
            <w:tcW w:w="779" w:type="dxa"/>
            <w:shd w:val="clear" w:color="auto" w:fill="auto"/>
          </w:tcPr>
          <w:p w14:paraId="5D88D858" w14:textId="77777777" w:rsidR="008A305D" w:rsidRPr="0045031A" w:rsidRDefault="008A305D" w:rsidP="00412F88">
            <w:pPr>
              <w:ind w:left="-45"/>
              <w:rPr>
                <w:sz w:val="22"/>
                <w:szCs w:val="22"/>
              </w:rPr>
            </w:pPr>
            <w:r w:rsidRPr="0045031A">
              <w:rPr>
                <w:sz w:val="22"/>
                <w:szCs w:val="22"/>
              </w:rPr>
              <w:t>140:11</w:t>
            </w:r>
          </w:p>
        </w:tc>
        <w:tc>
          <w:tcPr>
            <w:tcW w:w="794" w:type="dxa"/>
            <w:shd w:val="clear" w:color="auto" w:fill="auto"/>
          </w:tcPr>
          <w:p w14:paraId="65E09330" w14:textId="77777777" w:rsidR="008A305D" w:rsidRPr="0045031A" w:rsidRDefault="008A305D" w:rsidP="00412F88">
            <w:pPr>
              <w:ind w:left="-45"/>
              <w:rPr>
                <w:sz w:val="22"/>
                <w:szCs w:val="22"/>
              </w:rPr>
            </w:pPr>
            <w:r w:rsidRPr="0045031A">
              <w:rPr>
                <w:sz w:val="22"/>
                <w:szCs w:val="22"/>
              </w:rPr>
              <w:t>105:14</w:t>
            </w:r>
          </w:p>
        </w:tc>
        <w:tc>
          <w:tcPr>
            <w:tcW w:w="653" w:type="dxa"/>
            <w:shd w:val="clear" w:color="auto" w:fill="auto"/>
          </w:tcPr>
          <w:p w14:paraId="737B95DD" w14:textId="77777777" w:rsidR="008A305D" w:rsidRPr="0045031A" w:rsidRDefault="008A305D" w:rsidP="00412F88">
            <w:pPr>
              <w:ind w:left="-45"/>
              <w:rPr>
                <w:sz w:val="22"/>
                <w:szCs w:val="22"/>
              </w:rPr>
            </w:pPr>
            <w:r w:rsidRPr="0045031A">
              <w:rPr>
                <w:sz w:val="22"/>
                <w:szCs w:val="22"/>
              </w:rPr>
              <w:t>87:18</w:t>
            </w:r>
          </w:p>
        </w:tc>
        <w:tc>
          <w:tcPr>
            <w:tcW w:w="630" w:type="dxa"/>
            <w:shd w:val="clear" w:color="auto" w:fill="auto"/>
          </w:tcPr>
          <w:p w14:paraId="67314208" w14:textId="77777777" w:rsidR="008A305D" w:rsidRPr="0045031A" w:rsidRDefault="008A305D" w:rsidP="00412F88">
            <w:pPr>
              <w:ind w:left="-45"/>
              <w:rPr>
                <w:sz w:val="22"/>
                <w:szCs w:val="22"/>
              </w:rPr>
            </w:pPr>
            <w:r w:rsidRPr="0045031A">
              <w:rPr>
                <w:sz w:val="22"/>
                <w:szCs w:val="22"/>
              </w:rPr>
              <w:t>64:22</w:t>
            </w:r>
          </w:p>
        </w:tc>
        <w:tc>
          <w:tcPr>
            <w:tcW w:w="643" w:type="dxa"/>
            <w:shd w:val="clear" w:color="auto" w:fill="auto"/>
          </w:tcPr>
          <w:p w14:paraId="67BF2BC2" w14:textId="77777777" w:rsidR="008A305D" w:rsidRPr="0045031A" w:rsidRDefault="008A305D" w:rsidP="00412F88">
            <w:pPr>
              <w:ind w:left="-45"/>
              <w:rPr>
                <w:sz w:val="22"/>
                <w:szCs w:val="22"/>
              </w:rPr>
            </w:pPr>
            <w:r w:rsidRPr="0045031A">
              <w:rPr>
                <w:sz w:val="22"/>
                <w:szCs w:val="22"/>
              </w:rPr>
              <w:t>46:23</w:t>
            </w:r>
          </w:p>
        </w:tc>
        <w:tc>
          <w:tcPr>
            <w:tcW w:w="670" w:type="dxa"/>
            <w:shd w:val="clear" w:color="auto" w:fill="auto"/>
          </w:tcPr>
          <w:p w14:paraId="2BFE9F2C" w14:textId="77777777" w:rsidR="008A305D" w:rsidRPr="0045031A" w:rsidRDefault="008A305D" w:rsidP="00412F88">
            <w:pPr>
              <w:ind w:left="-45"/>
              <w:rPr>
                <w:sz w:val="22"/>
                <w:szCs w:val="22"/>
              </w:rPr>
            </w:pPr>
            <w:r w:rsidRPr="0045031A">
              <w:rPr>
                <w:sz w:val="22"/>
                <w:szCs w:val="22"/>
              </w:rPr>
              <w:t>27:25</w:t>
            </w:r>
          </w:p>
        </w:tc>
        <w:tc>
          <w:tcPr>
            <w:tcW w:w="683" w:type="dxa"/>
            <w:shd w:val="clear" w:color="auto" w:fill="auto"/>
          </w:tcPr>
          <w:p w14:paraId="622D31D3" w14:textId="77777777" w:rsidR="008A305D" w:rsidRPr="0045031A" w:rsidRDefault="008A305D" w:rsidP="00412F88">
            <w:pPr>
              <w:ind w:left="-45"/>
              <w:rPr>
                <w:sz w:val="22"/>
                <w:szCs w:val="22"/>
              </w:rPr>
            </w:pPr>
            <w:r w:rsidRPr="0045031A">
              <w:rPr>
                <w:sz w:val="22"/>
                <w:szCs w:val="22"/>
              </w:rPr>
              <w:t>20:25</w:t>
            </w:r>
          </w:p>
        </w:tc>
        <w:tc>
          <w:tcPr>
            <w:tcW w:w="558" w:type="dxa"/>
            <w:shd w:val="clear" w:color="auto" w:fill="auto"/>
          </w:tcPr>
          <w:p w14:paraId="7ADD597E" w14:textId="77777777" w:rsidR="008A305D" w:rsidRPr="0045031A" w:rsidRDefault="008A305D" w:rsidP="00412F88">
            <w:pPr>
              <w:ind w:left="-45"/>
              <w:rPr>
                <w:sz w:val="22"/>
                <w:szCs w:val="22"/>
              </w:rPr>
            </w:pPr>
            <w:r w:rsidRPr="0045031A">
              <w:rPr>
                <w:sz w:val="22"/>
                <w:szCs w:val="22"/>
              </w:rPr>
              <w:t>2:25</w:t>
            </w:r>
          </w:p>
        </w:tc>
        <w:tc>
          <w:tcPr>
            <w:tcW w:w="529" w:type="dxa"/>
            <w:shd w:val="clear" w:color="auto" w:fill="auto"/>
          </w:tcPr>
          <w:p w14:paraId="18BF41EB" w14:textId="77777777" w:rsidR="008A305D" w:rsidRPr="0045031A" w:rsidRDefault="008A305D" w:rsidP="00412F88">
            <w:pPr>
              <w:ind w:left="-45"/>
              <w:rPr>
                <w:sz w:val="22"/>
                <w:szCs w:val="22"/>
              </w:rPr>
            </w:pPr>
            <w:r w:rsidRPr="0045031A">
              <w:rPr>
                <w:sz w:val="22"/>
                <w:szCs w:val="22"/>
              </w:rPr>
              <w:t>0:25</w:t>
            </w:r>
          </w:p>
        </w:tc>
      </w:tr>
      <w:tr w:rsidR="008A305D" w:rsidRPr="00D92F6B" w14:paraId="5321B92B" w14:textId="77777777" w:rsidTr="00412F88">
        <w:tc>
          <w:tcPr>
            <w:tcW w:w="450" w:type="dxa"/>
            <w:shd w:val="clear" w:color="auto" w:fill="auto"/>
          </w:tcPr>
          <w:p w14:paraId="3A3E8D12" w14:textId="77777777" w:rsidR="008A305D" w:rsidRPr="0045031A" w:rsidRDefault="008A305D" w:rsidP="00412F88">
            <w:pPr>
              <w:rPr>
                <w:sz w:val="22"/>
                <w:szCs w:val="22"/>
              </w:rPr>
            </w:pPr>
            <w:r w:rsidRPr="0045031A">
              <w:rPr>
                <w:sz w:val="22"/>
                <w:szCs w:val="22"/>
              </w:rPr>
              <w:t>(2)</w:t>
            </w:r>
          </w:p>
        </w:tc>
        <w:tc>
          <w:tcPr>
            <w:tcW w:w="686" w:type="dxa"/>
            <w:shd w:val="clear" w:color="auto" w:fill="auto"/>
          </w:tcPr>
          <w:p w14:paraId="0CB6C5FB" w14:textId="77777777" w:rsidR="008A305D" w:rsidRPr="0045031A" w:rsidRDefault="008A305D" w:rsidP="00412F88">
            <w:pPr>
              <w:ind w:left="-45"/>
              <w:rPr>
                <w:sz w:val="22"/>
                <w:szCs w:val="22"/>
              </w:rPr>
            </w:pPr>
            <w:r w:rsidRPr="0045031A">
              <w:rPr>
                <w:sz w:val="22"/>
                <w:szCs w:val="22"/>
              </w:rPr>
              <w:t>198:0</w:t>
            </w:r>
          </w:p>
        </w:tc>
        <w:tc>
          <w:tcPr>
            <w:tcW w:w="669" w:type="dxa"/>
            <w:shd w:val="clear" w:color="auto" w:fill="auto"/>
          </w:tcPr>
          <w:p w14:paraId="5AD5EAE0" w14:textId="77777777" w:rsidR="008A305D" w:rsidRPr="0045031A" w:rsidRDefault="008A305D" w:rsidP="00412F88">
            <w:pPr>
              <w:ind w:left="-45"/>
              <w:rPr>
                <w:sz w:val="22"/>
                <w:szCs w:val="22"/>
              </w:rPr>
            </w:pPr>
            <w:r w:rsidRPr="0045031A">
              <w:rPr>
                <w:sz w:val="22"/>
                <w:szCs w:val="22"/>
              </w:rPr>
              <w:t>196:0</w:t>
            </w:r>
          </w:p>
        </w:tc>
        <w:tc>
          <w:tcPr>
            <w:tcW w:w="710" w:type="dxa"/>
            <w:shd w:val="clear" w:color="auto" w:fill="auto"/>
          </w:tcPr>
          <w:p w14:paraId="5BA07228" w14:textId="77777777" w:rsidR="008A305D" w:rsidRPr="0045031A" w:rsidRDefault="008A305D" w:rsidP="00412F88">
            <w:pPr>
              <w:ind w:left="-45"/>
              <w:rPr>
                <w:sz w:val="22"/>
                <w:szCs w:val="22"/>
              </w:rPr>
            </w:pPr>
            <w:r w:rsidRPr="0045031A">
              <w:rPr>
                <w:sz w:val="22"/>
                <w:szCs w:val="22"/>
              </w:rPr>
              <w:t>192:0</w:t>
            </w:r>
          </w:p>
        </w:tc>
        <w:tc>
          <w:tcPr>
            <w:tcW w:w="717" w:type="dxa"/>
            <w:shd w:val="clear" w:color="auto" w:fill="auto"/>
          </w:tcPr>
          <w:p w14:paraId="3548601E" w14:textId="77777777" w:rsidR="008A305D" w:rsidRPr="0045031A" w:rsidRDefault="008A305D" w:rsidP="00412F88">
            <w:pPr>
              <w:ind w:left="-45"/>
              <w:rPr>
                <w:sz w:val="22"/>
                <w:szCs w:val="22"/>
              </w:rPr>
            </w:pPr>
            <w:r w:rsidRPr="0045031A">
              <w:rPr>
                <w:sz w:val="22"/>
                <w:szCs w:val="22"/>
              </w:rPr>
              <w:t>187:4</w:t>
            </w:r>
          </w:p>
        </w:tc>
        <w:tc>
          <w:tcPr>
            <w:tcW w:w="691" w:type="dxa"/>
            <w:shd w:val="clear" w:color="auto" w:fill="auto"/>
          </w:tcPr>
          <w:p w14:paraId="349C34D8" w14:textId="77777777" w:rsidR="008A305D" w:rsidRPr="0045031A" w:rsidRDefault="008A305D" w:rsidP="00412F88">
            <w:pPr>
              <w:ind w:left="-45"/>
              <w:rPr>
                <w:sz w:val="22"/>
                <w:szCs w:val="22"/>
              </w:rPr>
            </w:pPr>
            <w:r w:rsidRPr="0045031A">
              <w:rPr>
                <w:sz w:val="22"/>
                <w:szCs w:val="22"/>
              </w:rPr>
              <w:t>184:5</w:t>
            </w:r>
          </w:p>
        </w:tc>
        <w:tc>
          <w:tcPr>
            <w:tcW w:w="770" w:type="dxa"/>
            <w:shd w:val="clear" w:color="auto" w:fill="auto"/>
          </w:tcPr>
          <w:p w14:paraId="67A4030E" w14:textId="77777777" w:rsidR="008A305D" w:rsidRPr="0045031A" w:rsidRDefault="008A305D" w:rsidP="00412F88">
            <w:pPr>
              <w:ind w:left="-45"/>
              <w:rPr>
                <w:sz w:val="22"/>
                <w:szCs w:val="22"/>
              </w:rPr>
            </w:pPr>
            <w:r w:rsidRPr="0045031A">
              <w:rPr>
                <w:sz w:val="22"/>
                <w:szCs w:val="22"/>
              </w:rPr>
              <w:t>164:7</w:t>
            </w:r>
          </w:p>
        </w:tc>
        <w:tc>
          <w:tcPr>
            <w:tcW w:w="779" w:type="dxa"/>
            <w:shd w:val="clear" w:color="auto" w:fill="auto"/>
          </w:tcPr>
          <w:p w14:paraId="1A161FF5" w14:textId="77777777" w:rsidR="008A305D" w:rsidRPr="0045031A" w:rsidRDefault="008A305D" w:rsidP="00412F88">
            <w:pPr>
              <w:ind w:left="-45"/>
              <w:rPr>
                <w:sz w:val="22"/>
                <w:szCs w:val="22"/>
              </w:rPr>
            </w:pPr>
            <w:r w:rsidRPr="0045031A">
              <w:rPr>
                <w:sz w:val="22"/>
                <w:szCs w:val="22"/>
              </w:rPr>
              <w:t>152:7</w:t>
            </w:r>
          </w:p>
        </w:tc>
        <w:tc>
          <w:tcPr>
            <w:tcW w:w="794" w:type="dxa"/>
            <w:shd w:val="clear" w:color="auto" w:fill="auto"/>
          </w:tcPr>
          <w:p w14:paraId="5DD4B4BF" w14:textId="77777777" w:rsidR="008A305D" w:rsidRPr="0045031A" w:rsidRDefault="008A305D" w:rsidP="00412F88">
            <w:pPr>
              <w:ind w:left="-45"/>
              <w:rPr>
                <w:sz w:val="22"/>
                <w:szCs w:val="22"/>
              </w:rPr>
            </w:pPr>
            <w:r w:rsidRPr="0045031A">
              <w:rPr>
                <w:sz w:val="22"/>
                <w:szCs w:val="22"/>
              </w:rPr>
              <w:t>119:8</w:t>
            </w:r>
          </w:p>
        </w:tc>
        <w:tc>
          <w:tcPr>
            <w:tcW w:w="653" w:type="dxa"/>
            <w:shd w:val="clear" w:color="auto" w:fill="auto"/>
          </w:tcPr>
          <w:p w14:paraId="4426ECD0" w14:textId="77777777" w:rsidR="008A305D" w:rsidRPr="0045031A" w:rsidRDefault="008A305D" w:rsidP="00412F88">
            <w:pPr>
              <w:ind w:left="-45"/>
              <w:rPr>
                <w:sz w:val="22"/>
                <w:szCs w:val="22"/>
              </w:rPr>
            </w:pPr>
            <w:r w:rsidRPr="0045031A">
              <w:rPr>
                <w:sz w:val="22"/>
                <w:szCs w:val="22"/>
              </w:rPr>
              <w:t>100:8</w:t>
            </w:r>
          </w:p>
        </w:tc>
        <w:tc>
          <w:tcPr>
            <w:tcW w:w="630" w:type="dxa"/>
            <w:shd w:val="clear" w:color="auto" w:fill="auto"/>
          </w:tcPr>
          <w:p w14:paraId="2457B0D8" w14:textId="77777777" w:rsidR="008A305D" w:rsidRPr="0045031A" w:rsidRDefault="008A305D" w:rsidP="00412F88">
            <w:pPr>
              <w:ind w:left="-45"/>
              <w:rPr>
                <w:sz w:val="22"/>
                <w:szCs w:val="22"/>
              </w:rPr>
            </w:pPr>
            <w:r w:rsidRPr="0045031A">
              <w:rPr>
                <w:sz w:val="22"/>
                <w:szCs w:val="22"/>
              </w:rPr>
              <w:t>76:10</w:t>
            </w:r>
          </w:p>
        </w:tc>
        <w:tc>
          <w:tcPr>
            <w:tcW w:w="643" w:type="dxa"/>
            <w:shd w:val="clear" w:color="auto" w:fill="auto"/>
          </w:tcPr>
          <w:p w14:paraId="53281AAC" w14:textId="77777777" w:rsidR="008A305D" w:rsidRPr="0045031A" w:rsidRDefault="008A305D" w:rsidP="00412F88">
            <w:pPr>
              <w:ind w:left="-45"/>
              <w:rPr>
                <w:sz w:val="22"/>
                <w:szCs w:val="22"/>
              </w:rPr>
            </w:pPr>
            <w:r w:rsidRPr="0045031A">
              <w:rPr>
                <w:sz w:val="22"/>
                <w:szCs w:val="22"/>
              </w:rPr>
              <w:t>56:11</w:t>
            </w:r>
          </w:p>
        </w:tc>
        <w:tc>
          <w:tcPr>
            <w:tcW w:w="670" w:type="dxa"/>
            <w:shd w:val="clear" w:color="auto" w:fill="auto"/>
          </w:tcPr>
          <w:p w14:paraId="449407E9" w14:textId="77777777" w:rsidR="008A305D" w:rsidRPr="0045031A" w:rsidRDefault="008A305D" w:rsidP="00412F88">
            <w:pPr>
              <w:ind w:left="-45"/>
              <w:rPr>
                <w:sz w:val="22"/>
                <w:szCs w:val="22"/>
              </w:rPr>
            </w:pPr>
            <w:r w:rsidRPr="0045031A">
              <w:rPr>
                <w:sz w:val="22"/>
                <w:szCs w:val="22"/>
              </w:rPr>
              <w:t>31:11</w:t>
            </w:r>
          </w:p>
        </w:tc>
        <w:tc>
          <w:tcPr>
            <w:tcW w:w="683" w:type="dxa"/>
            <w:shd w:val="clear" w:color="auto" w:fill="auto"/>
          </w:tcPr>
          <w:p w14:paraId="7E003DCC" w14:textId="77777777" w:rsidR="008A305D" w:rsidRPr="0045031A" w:rsidRDefault="008A305D" w:rsidP="00412F88">
            <w:pPr>
              <w:ind w:left="-45"/>
              <w:rPr>
                <w:sz w:val="22"/>
                <w:szCs w:val="22"/>
              </w:rPr>
            </w:pPr>
            <w:r w:rsidRPr="0045031A">
              <w:rPr>
                <w:sz w:val="22"/>
                <w:szCs w:val="22"/>
              </w:rPr>
              <w:t>13:12</w:t>
            </w:r>
          </w:p>
        </w:tc>
        <w:tc>
          <w:tcPr>
            <w:tcW w:w="558" w:type="dxa"/>
            <w:shd w:val="clear" w:color="auto" w:fill="auto"/>
          </w:tcPr>
          <w:p w14:paraId="6A4FB83D" w14:textId="77777777" w:rsidR="008A305D" w:rsidRPr="0045031A" w:rsidRDefault="008A305D" w:rsidP="00412F88">
            <w:pPr>
              <w:ind w:left="-45"/>
              <w:rPr>
                <w:sz w:val="22"/>
                <w:szCs w:val="22"/>
              </w:rPr>
            </w:pPr>
            <w:r w:rsidRPr="0045031A">
              <w:rPr>
                <w:sz w:val="22"/>
                <w:szCs w:val="22"/>
              </w:rPr>
              <w:t>0:12</w:t>
            </w:r>
          </w:p>
        </w:tc>
        <w:tc>
          <w:tcPr>
            <w:tcW w:w="529" w:type="dxa"/>
            <w:shd w:val="clear" w:color="auto" w:fill="auto"/>
          </w:tcPr>
          <w:p w14:paraId="0F5BE30A" w14:textId="77777777" w:rsidR="008A305D" w:rsidRPr="0045031A" w:rsidRDefault="008A305D" w:rsidP="00412F88">
            <w:pPr>
              <w:ind w:left="-45"/>
              <w:rPr>
                <w:sz w:val="22"/>
                <w:szCs w:val="22"/>
              </w:rPr>
            </w:pPr>
          </w:p>
        </w:tc>
      </w:tr>
    </w:tbl>
    <w:p w14:paraId="4FC98BD9" w14:textId="77777777" w:rsidR="008A305D" w:rsidRPr="00D92F6B" w:rsidRDefault="008A305D" w:rsidP="008A305D">
      <w:pPr>
        <w:autoSpaceDE w:val="0"/>
        <w:autoSpaceDN w:val="0"/>
        <w:adjustRightInd w:val="0"/>
        <w:rPr>
          <w:rFonts w:eastAsia="Calibri"/>
          <w:color w:val="000000"/>
          <w:sz w:val="22"/>
          <w:szCs w:val="22"/>
        </w:rPr>
      </w:pPr>
    </w:p>
    <w:p w14:paraId="0206ECE3"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Kontroliuojamųjų klinikinių tyrimų su c-Kit teigiamais </w:t>
      </w:r>
      <w:r>
        <w:rPr>
          <w:rFonts w:eastAsia="Calibri"/>
          <w:color w:val="000000"/>
          <w:sz w:val="22"/>
          <w:szCs w:val="22"/>
        </w:rPr>
        <w:t>GIST</w:t>
      </w:r>
      <w:r w:rsidRPr="00D92F6B">
        <w:rPr>
          <w:rFonts w:eastAsia="Calibri"/>
          <w:color w:val="000000"/>
          <w:sz w:val="22"/>
          <w:szCs w:val="22"/>
        </w:rPr>
        <w:t xml:space="preserve"> sergančiais vaikais neatlikta. 7 literatūros šaltiniuose aprašyta 17 pacientų, sirgusių </w:t>
      </w:r>
      <w:r>
        <w:rPr>
          <w:rFonts w:eastAsia="Calibri"/>
          <w:color w:val="000000"/>
          <w:sz w:val="22"/>
          <w:szCs w:val="22"/>
        </w:rPr>
        <w:t>GIST</w:t>
      </w:r>
      <w:r w:rsidRPr="00D92F6B">
        <w:rPr>
          <w:rFonts w:eastAsia="Calibri"/>
          <w:color w:val="000000"/>
          <w:sz w:val="22"/>
          <w:szCs w:val="22"/>
        </w:rPr>
        <w:t xml:space="preserve"> (su nustatytomis Kit ir PDGFR genų mutacijomis arba be jų). Šių pacientų amžius svyravo nuo 8 metų iki 18 metų, jiems buvo skiriamos imatinibo (kaip adjuvanto arba metastazinės ligos gydymo sudėtinė dalis) dozės nuo 300 mg iki 800 mg per parą. Daugeliui vaikų, kurie buvo gydomi nuo </w:t>
      </w:r>
      <w:r>
        <w:rPr>
          <w:rFonts w:eastAsia="Calibri"/>
          <w:color w:val="000000"/>
          <w:sz w:val="22"/>
          <w:szCs w:val="22"/>
        </w:rPr>
        <w:t>GIST</w:t>
      </w:r>
      <w:r w:rsidRPr="00D92F6B">
        <w:rPr>
          <w:rFonts w:eastAsia="Calibri"/>
          <w:color w:val="000000"/>
          <w:sz w:val="22"/>
          <w:szCs w:val="22"/>
        </w:rPr>
        <w:t>, trūko duomenų apie nustatytas c-Kit arba PDGFR genų mutacijas, todėl tai galėjo lemti nevienalytes klinikines išeitis.</w:t>
      </w:r>
    </w:p>
    <w:p w14:paraId="5EBA66E7" w14:textId="77777777" w:rsidR="008A305D" w:rsidRPr="00D92F6B" w:rsidRDefault="008A305D" w:rsidP="008A305D">
      <w:pPr>
        <w:autoSpaceDE w:val="0"/>
        <w:autoSpaceDN w:val="0"/>
        <w:adjustRightInd w:val="0"/>
        <w:rPr>
          <w:rFonts w:eastAsia="Calibri"/>
          <w:color w:val="000000"/>
          <w:sz w:val="22"/>
          <w:szCs w:val="22"/>
        </w:rPr>
      </w:pPr>
    </w:p>
    <w:p w14:paraId="300A8CBB" w14:textId="77777777" w:rsidR="008A305D" w:rsidRPr="00D92F6B" w:rsidRDefault="008A305D" w:rsidP="008A305D">
      <w:pPr>
        <w:autoSpaceDE w:val="0"/>
        <w:autoSpaceDN w:val="0"/>
        <w:adjustRightInd w:val="0"/>
        <w:rPr>
          <w:rFonts w:eastAsia="Calibri"/>
          <w:color w:val="000000"/>
          <w:sz w:val="22"/>
          <w:szCs w:val="22"/>
          <w:u w:val="single"/>
        </w:rPr>
      </w:pPr>
      <w:r w:rsidRPr="00D92F6B">
        <w:rPr>
          <w:rFonts w:eastAsia="Calibri"/>
          <w:color w:val="000000"/>
          <w:sz w:val="22"/>
          <w:szCs w:val="22"/>
          <w:u w:val="single"/>
        </w:rPr>
        <w:t xml:space="preserve">DFSP klinikiniai tyrimai </w:t>
      </w:r>
    </w:p>
    <w:p w14:paraId="1FC5A020" w14:textId="77777777" w:rsidR="008A305D" w:rsidRPr="00D92F6B" w:rsidRDefault="008A305D" w:rsidP="008A305D">
      <w:pPr>
        <w:autoSpaceDE w:val="0"/>
        <w:autoSpaceDN w:val="0"/>
        <w:adjustRightInd w:val="0"/>
        <w:rPr>
          <w:sz w:val="22"/>
          <w:szCs w:val="22"/>
        </w:rPr>
      </w:pPr>
      <w:r w:rsidRPr="00D92F6B">
        <w:rPr>
          <w:rFonts w:eastAsia="Calibri"/>
          <w:color w:val="000000"/>
          <w:sz w:val="22"/>
          <w:szCs w:val="22"/>
        </w:rPr>
        <w:t xml:space="preserve">Viename II fazės, atvirame, daugiacentriniame, klinikiniame tyrime (tyrimas B2225) dalyvavo 12 DFSP sergančių pacientų, vartojusių 800 mg imatinibo per parą. DFSP sirgusių </w:t>
      </w:r>
      <w:r w:rsidRPr="00D92F6B">
        <w:rPr>
          <w:rFonts w:eastAsia="Calibri"/>
          <w:color w:val="000000"/>
          <w:sz w:val="22"/>
          <w:szCs w:val="22"/>
        </w:rPr>
        <w:lastRenderedPageBreak/>
        <w:t>pacientų amžius buvo nuo 23 iki 75 metų; įtraukimo į tyrimą metu pacientai sirgo metastazavusia DFSP, vietiškai recidyvavusia po pirminės rezekcijos ir, kai nebuvo tikimasi, kad kartotinė rezekcija bus naudinga. Pirminiai veiksmingumo duomenys rėmėsi objektyvaus atsako dažniu. Iš 12 tirtų pacientų 9 buvo gautas atsakas, vienam – pilnas, o 8 - dalinis. Trims pacientams iš tų, kuriems buvo gautas dalinis atsakas, navikas pašalintas operacijos metu. Gydymo trukmės mediana B2225 tyrimo metu buvo 6,2 mėnesio, o didžiausia trukmė - 24,3 mėnesio. Dar 6 DFSP sirgusių ir imatinibu gydytų pacientų ligos istorijos nagrinėtos 5 paskelbtuose klinikinių atvejų aprašymuose, jų amžius svyravo nuo 18 mėnesių iki 49 metų. Iš viso dėl DFSP buvo gydyta 18 pacientų, aštuoniems iš jų buvo metastazių. Literatūroje aprašyti suaugę pacientai vartojo arba 400 mg (4 atvejai), arba 800 mg (1 atvejis) imatinibo per parą. Penkiems (5) pacientams buvo gautas atsakas, 3 – pilnas, o 2 - dalinis. Literatūroje skelbtų atvejų gydymo trukmės mediana buvo nuo 4 savaičių iki daugiau kaip 20 mėnesių. Translokacija t(17:22)[(q22:q13)] arba jos genų produktas buvo beveik visuose atsakuose į imatinibo terapiją.</w:t>
      </w:r>
    </w:p>
    <w:p w14:paraId="7B9CBC52" w14:textId="77777777" w:rsidR="008A305D" w:rsidRPr="00D92F6B" w:rsidRDefault="008A305D" w:rsidP="008A305D">
      <w:pPr>
        <w:autoSpaceDE w:val="0"/>
        <w:autoSpaceDN w:val="0"/>
        <w:adjustRightInd w:val="0"/>
        <w:rPr>
          <w:rFonts w:eastAsia="Calibri"/>
          <w:color w:val="000000"/>
          <w:sz w:val="22"/>
          <w:szCs w:val="22"/>
        </w:rPr>
      </w:pPr>
    </w:p>
    <w:p w14:paraId="46F187AE" w14:textId="77777777" w:rsidR="008A305D" w:rsidRPr="00D92F6B" w:rsidRDefault="008A305D" w:rsidP="008A305D">
      <w:pPr>
        <w:autoSpaceDE w:val="0"/>
        <w:autoSpaceDN w:val="0"/>
        <w:adjustRightInd w:val="0"/>
        <w:rPr>
          <w:sz w:val="22"/>
          <w:szCs w:val="22"/>
        </w:rPr>
      </w:pPr>
      <w:r w:rsidRPr="00D92F6B">
        <w:rPr>
          <w:sz w:val="22"/>
          <w:szCs w:val="22"/>
        </w:rPr>
        <w:t>Kontroliuojamųjų klinikinių tyrimų su DFSP sergančiais vaikais neatlikta. 3 literatūros šaltiniuose aprašyti 5 pacientai, kurie sirgo DFSP ir kuriems buvo nustatyta PDGFR genų pakitimų. Šių pacientų amžius svyravo nuo naujagimio iki 14 metų, jiems buvo skiriama 50 mg per parą imatinibo dozė arba nuo 400 mg/m</w:t>
      </w:r>
      <w:r w:rsidRPr="00D92F6B">
        <w:rPr>
          <w:sz w:val="22"/>
          <w:szCs w:val="22"/>
          <w:vertAlign w:val="superscript"/>
        </w:rPr>
        <w:t xml:space="preserve">2 </w:t>
      </w:r>
      <w:r w:rsidRPr="00D92F6B">
        <w:rPr>
          <w:sz w:val="22"/>
          <w:szCs w:val="22"/>
        </w:rPr>
        <w:t>iki 520 mg/m</w:t>
      </w:r>
      <w:r w:rsidRPr="00D92F6B">
        <w:rPr>
          <w:sz w:val="22"/>
          <w:szCs w:val="22"/>
          <w:vertAlign w:val="superscript"/>
        </w:rPr>
        <w:t>2</w:t>
      </w:r>
      <w:r w:rsidRPr="0045031A">
        <w:rPr>
          <w:sz w:val="22"/>
          <w:szCs w:val="22"/>
        </w:rPr>
        <w:t xml:space="preserve"> </w:t>
      </w:r>
      <w:r w:rsidRPr="00D92F6B">
        <w:rPr>
          <w:sz w:val="22"/>
          <w:szCs w:val="22"/>
        </w:rPr>
        <w:t>kūno paviršiaus ploto per parą dozė. Visiems pacientams pasiektas dalinis ir (arba) visiškas atsakas.</w:t>
      </w:r>
    </w:p>
    <w:p w14:paraId="3AEEFBA6" w14:textId="77777777" w:rsidR="008A305D" w:rsidRPr="00D92F6B" w:rsidRDefault="008A305D" w:rsidP="008A305D">
      <w:pPr>
        <w:autoSpaceDE w:val="0"/>
        <w:autoSpaceDN w:val="0"/>
        <w:adjustRightInd w:val="0"/>
        <w:rPr>
          <w:rFonts w:eastAsia="Calibri"/>
          <w:color w:val="000000"/>
          <w:sz w:val="22"/>
          <w:szCs w:val="22"/>
        </w:rPr>
      </w:pPr>
    </w:p>
    <w:p w14:paraId="7D38D62F" w14:textId="77777777" w:rsidR="008A305D" w:rsidRPr="00D92F6B" w:rsidRDefault="008A305D" w:rsidP="008A305D">
      <w:pPr>
        <w:pStyle w:val="Sraopastraipa"/>
        <w:keepNext/>
        <w:numPr>
          <w:ilvl w:val="1"/>
          <w:numId w:val="5"/>
        </w:numPr>
        <w:autoSpaceDE w:val="0"/>
        <w:autoSpaceDN w:val="0"/>
        <w:adjustRightInd w:val="0"/>
        <w:ind w:hanging="1077"/>
        <w:rPr>
          <w:rFonts w:eastAsia="Calibri"/>
          <w:b/>
          <w:bCs/>
          <w:color w:val="000000"/>
          <w:sz w:val="22"/>
          <w:szCs w:val="22"/>
        </w:rPr>
      </w:pPr>
      <w:r w:rsidRPr="00D92F6B">
        <w:rPr>
          <w:rFonts w:eastAsia="Calibri"/>
          <w:b/>
          <w:bCs/>
          <w:color w:val="000000"/>
          <w:sz w:val="22"/>
          <w:szCs w:val="22"/>
        </w:rPr>
        <w:t xml:space="preserve">Farmakokinetinės savybės </w:t>
      </w:r>
    </w:p>
    <w:p w14:paraId="087DC2D6" w14:textId="77777777" w:rsidR="008A305D" w:rsidRPr="00D92F6B" w:rsidRDefault="008A305D" w:rsidP="008A305D">
      <w:pPr>
        <w:keepNext/>
        <w:autoSpaceDE w:val="0"/>
        <w:autoSpaceDN w:val="0"/>
        <w:adjustRightInd w:val="0"/>
        <w:ind w:left="360"/>
        <w:rPr>
          <w:rFonts w:eastAsia="Calibri"/>
          <w:color w:val="000000"/>
          <w:sz w:val="22"/>
          <w:szCs w:val="22"/>
        </w:rPr>
      </w:pPr>
    </w:p>
    <w:p w14:paraId="5BA845A9" w14:textId="77777777" w:rsidR="008A305D" w:rsidRPr="00D92F6B" w:rsidRDefault="008A305D" w:rsidP="008A305D">
      <w:pPr>
        <w:keepNext/>
        <w:autoSpaceDE w:val="0"/>
        <w:autoSpaceDN w:val="0"/>
        <w:adjustRightInd w:val="0"/>
        <w:rPr>
          <w:rFonts w:eastAsia="Calibri"/>
          <w:color w:val="000000"/>
          <w:sz w:val="22"/>
          <w:szCs w:val="22"/>
          <w:u w:val="single"/>
        </w:rPr>
      </w:pPr>
      <w:r w:rsidRPr="00D92F6B">
        <w:rPr>
          <w:rFonts w:eastAsia="Calibri"/>
          <w:color w:val="000000"/>
          <w:sz w:val="22"/>
          <w:szCs w:val="22"/>
          <w:u w:val="single"/>
        </w:rPr>
        <w:t xml:space="preserve">Imatinibo farmakokinetika </w:t>
      </w:r>
    </w:p>
    <w:p w14:paraId="61854DE4"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Imatinibo farmakokinetika tirta vartojant nuo 25 mg iki 1 000 mg dozes. Plazmos farmakokinetikos pobūdis buvo tiriamas 1-ąją dieną ir 7-ąją arba 28-ąją dieną, kai koncentracija plazmoje pasidaro pastovi. </w:t>
      </w:r>
    </w:p>
    <w:p w14:paraId="520A1A70" w14:textId="77777777" w:rsidR="008A305D" w:rsidRPr="00D92F6B" w:rsidRDefault="008A305D" w:rsidP="008A305D">
      <w:pPr>
        <w:autoSpaceDE w:val="0"/>
        <w:autoSpaceDN w:val="0"/>
        <w:adjustRightInd w:val="0"/>
        <w:rPr>
          <w:rFonts w:eastAsia="Calibri"/>
          <w:color w:val="000000"/>
          <w:sz w:val="22"/>
          <w:szCs w:val="22"/>
        </w:rPr>
      </w:pPr>
    </w:p>
    <w:p w14:paraId="68A52921" w14:textId="77777777" w:rsidR="008A305D" w:rsidRPr="00D92F6B" w:rsidRDefault="008A305D" w:rsidP="008A305D">
      <w:pPr>
        <w:keepNext/>
        <w:autoSpaceDE w:val="0"/>
        <w:autoSpaceDN w:val="0"/>
        <w:adjustRightInd w:val="0"/>
        <w:rPr>
          <w:rFonts w:eastAsia="Calibri"/>
          <w:color w:val="000000"/>
          <w:sz w:val="22"/>
          <w:szCs w:val="22"/>
          <w:u w:val="single"/>
        </w:rPr>
      </w:pPr>
      <w:r w:rsidRPr="00D92F6B">
        <w:rPr>
          <w:rFonts w:eastAsia="Calibri"/>
          <w:color w:val="000000"/>
          <w:sz w:val="22"/>
          <w:szCs w:val="22"/>
          <w:u w:val="single"/>
        </w:rPr>
        <w:t xml:space="preserve">Absorbcija </w:t>
      </w:r>
    </w:p>
    <w:p w14:paraId="2327CD27"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Vidutinis absoliutus kapsulių biologinis prieinamumas yra 98 %. Nustatyta didelis skirtingų pacientų plazmos imatinibo AUC reikšmės svyravimas po išgertos dozės. Vartojamo su riebiu maistu imatinibo absorbcijos greitis labai nedaug sumažėja (Cmax sumažėja 11 % ir t</w:t>
      </w:r>
      <w:r w:rsidRPr="0045031A">
        <w:rPr>
          <w:rFonts w:eastAsia="Calibri"/>
          <w:color w:val="000000"/>
          <w:sz w:val="22"/>
          <w:szCs w:val="22"/>
        </w:rPr>
        <w:t xml:space="preserve">max </w:t>
      </w:r>
      <w:r w:rsidRPr="00D92F6B">
        <w:rPr>
          <w:rFonts w:eastAsia="Calibri"/>
          <w:color w:val="000000"/>
          <w:sz w:val="22"/>
          <w:szCs w:val="22"/>
        </w:rPr>
        <w:t xml:space="preserve">pailgėja 1,5 val.), taip pat šiek tiek sumažėja AUC (7,4 %) lyginant su vaisto vartojimu nevalgius. Anksčiau atliktos virškinimo trakto operacijos įtaka vaisto absorbcijai netirta. </w:t>
      </w:r>
    </w:p>
    <w:p w14:paraId="48F615CD" w14:textId="77777777" w:rsidR="008A305D" w:rsidRPr="00D92F6B" w:rsidRDefault="008A305D" w:rsidP="008A305D">
      <w:pPr>
        <w:autoSpaceDE w:val="0"/>
        <w:autoSpaceDN w:val="0"/>
        <w:adjustRightInd w:val="0"/>
        <w:rPr>
          <w:rFonts w:eastAsia="Calibri"/>
          <w:color w:val="000000"/>
          <w:sz w:val="22"/>
          <w:szCs w:val="22"/>
        </w:rPr>
      </w:pPr>
    </w:p>
    <w:p w14:paraId="23AF4200" w14:textId="77777777" w:rsidR="008A305D" w:rsidRPr="00D92F6B" w:rsidRDefault="008A305D" w:rsidP="008A305D">
      <w:pPr>
        <w:keepNext/>
        <w:autoSpaceDE w:val="0"/>
        <w:autoSpaceDN w:val="0"/>
        <w:adjustRightInd w:val="0"/>
        <w:rPr>
          <w:rFonts w:eastAsia="Calibri"/>
          <w:color w:val="000000"/>
          <w:sz w:val="22"/>
          <w:szCs w:val="22"/>
          <w:u w:val="single"/>
        </w:rPr>
      </w:pPr>
      <w:r w:rsidRPr="00D92F6B">
        <w:rPr>
          <w:rFonts w:eastAsia="Calibri"/>
          <w:color w:val="000000"/>
          <w:sz w:val="22"/>
          <w:szCs w:val="22"/>
          <w:u w:val="single"/>
        </w:rPr>
        <w:lastRenderedPageBreak/>
        <w:t>Pasiskirstymas</w:t>
      </w:r>
    </w:p>
    <w:p w14:paraId="1583BC64"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Kai susidaro kliniškai reikšminga imatinibo koncentracija, apie 95 % vaisto jungiasi su plazmos baltymais (pagal eksperimentus </w:t>
      </w:r>
      <w:r w:rsidRPr="00D92F6B">
        <w:rPr>
          <w:rFonts w:eastAsia="Calibri"/>
          <w:i/>
          <w:iCs/>
          <w:color w:val="000000"/>
          <w:sz w:val="22"/>
          <w:szCs w:val="22"/>
        </w:rPr>
        <w:t>in vitro</w:t>
      </w:r>
      <w:r w:rsidRPr="00D92F6B">
        <w:rPr>
          <w:rFonts w:eastAsia="Calibri"/>
          <w:color w:val="000000"/>
          <w:sz w:val="22"/>
          <w:szCs w:val="22"/>
        </w:rPr>
        <w:t xml:space="preserve">), daugiausia su albuminu ir alfa rūgščiuoju glikoproteinu ir labai mažai su lipoproteinu. </w:t>
      </w:r>
    </w:p>
    <w:p w14:paraId="79DEF941" w14:textId="77777777" w:rsidR="008A305D" w:rsidRPr="00D92F6B" w:rsidRDefault="008A305D" w:rsidP="008A305D">
      <w:pPr>
        <w:autoSpaceDE w:val="0"/>
        <w:autoSpaceDN w:val="0"/>
        <w:adjustRightInd w:val="0"/>
        <w:rPr>
          <w:rFonts w:eastAsia="Calibri"/>
          <w:color w:val="000000"/>
          <w:sz w:val="22"/>
          <w:szCs w:val="22"/>
        </w:rPr>
      </w:pPr>
    </w:p>
    <w:p w14:paraId="7A0D23E7" w14:textId="77777777" w:rsidR="008A305D" w:rsidRPr="00D92F6B" w:rsidRDefault="008A305D" w:rsidP="008A305D">
      <w:pPr>
        <w:keepNext/>
        <w:autoSpaceDE w:val="0"/>
        <w:autoSpaceDN w:val="0"/>
        <w:adjustRightInd w:val="0"/>
        <w:rPr>
          <w:rFonts w:eastAsia="Calibri"/>
          <w:color w:val="000000"/>
          <w:sz w:val="22"/>
          <w:szCs w:val="22"/>
          <w:u w:val="single"/>
        </w:rPr>
      </w:pPr>
      <w:r w:rsidRPr="00D92F6B">
        <w:rPr>
          <w:rFonts w:eastAsia="Calibri"/>
          <w:color w:val="000000"/>
          <w:sz w:val="22"/>
          <w:szCs w:val="22"/>
          <w:u w:val="single"/>
        </w:rPr>
        <w:t xml:space="preserve">Biotransformacija </w:t>
      </w:r>
    </w:p>
    <w:p w14:paraId="65274755"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Pagrindinis cirkuliuojantis metabolitas žmogaus organizme yra N</w:t>
      </w:r>
      <w:r w:rsidRPr="00D92F6B">
        <w:rPr>
          <w:rFonts w:eastAsia="Calibri"/>
          <w:color w:val="000000"/>
          <w:sz w:val="22"/>
          <w:szCs w:val="22"/>
        </w:rPr>
        <w:noBreakHyphen/>
        <w:t xml:space="preserve">demetilintas piperazino derivatas, kuris </w:t>
      </w:r>
      <w:r w:rsidRPr="00D92F6B">
        <w:rPr>
          <w:rFonts w:eastAsia="Calibri"/>
          <w:i/>
          <w:iCs/>
          <w:color w:val="000000"/>
          <w:sz w:val="22"/>
          <w:szCs w:val="22"/>
        </w:rPr>
        <w:t xml:space="preserve">in vitro </w:t>
      </w:r>
      <w:r w:rsidRPr="00D92F6B">
        <w:rPr>
          <w:rFonts w:eastAsia="Calibri"/>
          <w:color w:val="000000"/>
          <w:sz w:val="22"/>
          <w:szCs w:val="22"/>
        </w:rPr>
        <w:t>veikia taip pat stipriai kaip ir jo pirmtakas. Šio metabolito plazmos AUC sudaro tik 16 % imatinibo AUC. N</w:t>
      </w:r>
      <w:r w:rsidRPr="00D92F6B">
        <w:rPr>
          <w:rFonts w:eastAsia="Calibri"/>
          <w:color w:val="000000"/>
          <w:sz w:val="22"/>
          <w:szCs w:val="22"/>
        </w:rPr>
        <w:noBreakHyphen/>
        <w:t xml:space="preserve">demetilintas metabolitas jungiasi su plazmos baltymais panašiai kaip pagrindinis junginys. </w:t>
      </w:r>
    </w:p>
    <w:p w14:paraId="2EE86FCE"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Imatinibas ir N</w:t>
      </w:r>
      <w:r w:rsidRPr="00D92F6B">
        <w:rPr>
          <w:rFonts w:eastAsia="Calibri"/>
          <w:color w:val="000000"/>
          <w:sz w:val="22"/>
          <w:szCs w:val="22"/>
        </w:rPr>
        <w:noBreakHyphen/>
        <w:t xml:space="preserve">demetilmetabolitas kartu sudaro 65 % cirkuliuojančio radioaktyvumo (AUC0-48h). Kitas cirkuliuojantis radioaktyvumas priklauso nuo kelių mažesnių metabolitų. </w:t>
      </w:r>
    </w:p>
    <w:p w14:paraId="26160934" w14:textId="77777777" w:rsidR="008A305D" w:rsidRPr="00D92F6B" w:rsidRDefault="008A305D" w:rsidP="008A305D">
      <w:pPr>
        <w:autoSpaceDE w:val="0"/>
        <w:autoSpaceDN w:val="0"/>
        <w:adjustRightInd w:val="0"/>
        <w:rPr>
          <w:rFonts w:eastAsia="Calibri"/>
          <w:color w:val="000000"/>
          <w:sz w:val="22"/>
          <w:szCs w:val="22"/>
        </w:rPr>
      </w:pPr>
    </w:p>
    <w:p w14:paraId="366BE1CA"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Tyrimai </w:t>
      </w:r>
      <w:r w:rsidRPr="00D92F6B">
        <w:rPr>
          <w:rFonts w:eastAsia="Calibri"/>
          <w:i/>
          <w:iCs/>
          <w:color w:val="000000"/>
          <w:sz w:val="22"/>
          <w:szCs w:val="22"/>
        </w:rPr>
        <w:t xml:space="preserve">in vitro </w:t>
      </w:r>
      <w:r w:rsidRPr="00D92F6B">
        <w:rPr>
          <w:rFonts w:eastAsia="Calibri"/>
          <w:color w:val="000000"/>
          <w:sz w:val="22"/>
          <w:szCs w:val="22"/>
        </w:rPr>
        <w:t xml:space="preserve">parodė, kad CYP3A4 yra pagrindinis žmogaus P450 fermentas, katalizuojantis imatinibo biotransformaciją. Iš daugelio kartu vartotų vaistų (acetaminofeno, acikloviro, alopurinolio, amfotericino, citarabino, eritromicino, flukonazolo, hidroksišlapalo, norfloksacino, penicilino V) tik eritromicino (IC50 50 μM) ir flukonazolo (IC50 118 μM) slopinamas imatinibo metabolizmas gali būti kliniškai reikšmingas. </w:t>
      </w:r>
    </w:p>
    <w:p w14:paraId="63C1CA50" w14:textId="77777777" w:rsidR="008A305D" w:rsidRPr="00D92F6B" w:rsidRDefault="008A305D" w:rsidP="008A305D">
      <w:pPr>
        <w:autoSpaceDE w:val="0"/>
        <w:autoSpaceDN w:val="0"/>
        <w:adjustRightInd w:val="0"/>
        <w:rPr>
          <w:rFonts w:eastAsia="Calibri"/>
          <w:color w:val="000000"/>
          <w:sz w:val="22"/>
          <w:szCs w:val="22"/>
        </w:rPr>
      </w:pPr>
    </w:p>
    <w:p w14:paraId="1C7B474A"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i/>
          <w:iCs/>
          <w:color w:val="000000"/>
          <w:sz w:val="22"/>
          <w:szCs w:val="22"/>
        </w:rPr>
        <w:t xml:space="preserve">In vitro </w:t>
      </w:r>
      <w:r w:rsidRPr="00D92F6B">
        <w:rPr>
          <w:rFonts w:eastAsia="Calibri"/>
          <w:color w:val="000000"/>
          <w:sz w:val="22"/>
          <w:szCs w:val="22"/>
        </w:rPr>
        <w:t>nustatyta, kad imatinibas yra konkurencinis CYP2C9, CYP2D6 ir CYP3A4/5 substratų inhibitorius. Žmogaus kepenų mikrosomų Ki rodmuo buvo atitinkamai 27, 7,5 ir 7,9 </w:t>
      </w:r>
      <w:r w:rsidRPr="0045031A">
        <w:rPr>
          <w:sz w:val="22"/>
          <w:szCs w:val="22"/>
        </w:rPr>
        <w:t>mc</w:t>
      </w:r>
      <w:r w:rsidRPr="00D92F6B">
        <w:rPr>
          <w:rFonts w:eastAsia="Calibri"/>
          <w:color w:val="000000"/>
          <w:sz w:val="22"/>
          <w:szCs w:val="22"/>
        </w:rPr>
        <w:t>mol/l. Didžiausia pacientų imatinibo koncentracija plazmoje yra 2–4 </w:t>
      </w:r>
      <w:r w:rsidRPr="0045031A">
        <w:rPr>
          <w:sz w:val="22"/>
          <w:szCs w:val="22"/>
        </w:rPr>
        <w:t>mc</w:t>
      </w:r>
      <w:r w:rsidRPr="00D92F6B">
        <w:rPr>
          <w:rFonts w:eastAsia="Calibri"/>
          <w:color w:val="000000"/>
          <w:sz w:val="22"/>
          <w:szCs w:val="22"/>
        </w:rPr>
        <w:t>mol/l, taigi galimas CYP2D6 ir (ar) CYP3A4/5 medijuojamo kartu vartojamų vaistų metabolizmo slopinimas. Imatinibas neturi įtakos 5-fluoruracilio biotransformacijai, tačiau slopina paklitakselio metabolizmą dėl konkurencinio CYP2C8 slopinimo (Ki</w:t>
      </w:r>
      <w:r w:rsidRPr="0045031A">
        <w:rPr>
          <w:rFonts w:eastAsia="Calibri"/>
          <w:color w:val="000000"/>
          <w:sz w:val="22"/>
          <w:szCs w:val="22"/>
        </w:rPr>
        <w:t> </w:t>
      </w:r>
      <w:r w:rsidRPr="00D92F6B">
        <w:rPr>
          <w:rFonts w:eastAsia="Calibri"/>
          <w:color w:val="000000"/>
          <w:sz w:val="22"/>
          <w:szCs w:val="22"/>
        </w:rPr>
        <w:t>= 34,7 </w:t>
      </w:r>
      <w:r w:rsidRPr="0045031A">
        <w:rPr>
          <w:sz w:val="22"/>
          <w:szCs w:val="22"/>
        </w:rPr>
        <w:t>μ</w:t>
      </w:r>
      <w:r w:rsidRPr="00D92F6B">
        <w:rPr>
          <w:rFonts w:eastAsia="Calibri"/>
          <w:color w:val="000000"/>
          <w:sz w:val="22"/>
          <w:szCs w:val="22"/>
        </w:rPr>
        <w:t>M). Šis K</w:t>
      </w:r>
      <w:r w:rsidRPr="00D92F6B">
        <w:rPr>
          <w:rFonts w:eastAsia="Calibri"/>
          <w:color w:val="000000"/>
          <w:sz w:val="22"/>
          <w:szCs w:val="22"/>
          <w:vertAlign w:val="subscript"/>
        </w:rPr>
        <w:t>i</w:t>
      </w:r>
      <w:r w:rsidRPr="0045031A">
        <w:rPr>
          <w:rFonts w:eastAsia="Calibri"/>
          <w:color w:val="000000"/>
          <w:sz w:val="22"/>
          <w:szCs w:val="22"/>
        </w:rPr>
        <w:t xml:space="preserve"> </w:t>
      </w:r>
      <w:r w:rsidRPr="00D92F6B">
        <w:rPr>
          <w:rFonts w:eastAsia="Calibri"/>
          <w:color w:val="000000"/>
          <w:sz w:val="22"/>
          <w:szCs w:val="22"/>
        </w:rPr>
        <w:t>rodmuo yra daug didesnis negu tikėtina imatinibo koncentracija pacientų plazmoje, todėl, imatinibą vartojant kartu su 5</w:t>
      </w:r>
      <w:r w:rsidRPr="00D92F6B">
        <w:rPr>
          <w:rFonts w:eastAsia="Calibri"/>
          <w:color w:val="000000"/>
          <w:sz w:val="22"/>
          <w:szCs w:val="22"/>
        </w:rPr>
        <w:noBreakHyphen/>
        <w:t xml:space="preserve">fluoruraciliu ar paklitakseliu, sąveikos neturėtų būti. </w:t>
      </w:r>
    </w:p>
    <w:p w14:paraId="406AAEC2" w14:textId="77777777" w:rsidR="008A305D" w:rsidRPr="00D92F6B" w:rsidRDefault="008A305D" w:rsidP="008A305D">
      <w:pPr>
        <w:autoSpaceDE w:val="0"/>
        <w:autoSpaceDN w:val="0"/>
        <w:adjustRightInd w:val="0"/>
        <w:rPr>
          <w:rFonts w:eastAsia="Calibri"/>
          <w:color w:val="000000"/>
          <w:sz w:val="22"/>
          <w:szCs w:val="22"/>
        </w:rPr>
      </w:pPr>
    </w:p>
    <w:p w14:paraId="57BF3040" w14:textId="77777777" w:rsidR="008A305D" w:rsidRPr="00D92F6B" w:rsidRDefault="008A305D" w:rsidP="008A305D">
      <w:pPr>
        <w:keepNext/>
        <w:autoSpaceDE w:val="0"/>
        <w:autoSpaceDN w:val="0"/>
        <w:adjustRightInd w:val="0"/>
        <w:rPr>
          <w:rFonts w:eastAsia="Calibri"/>
          <w:color w:val="000000"/>
          <w:sz w:val="22"/>
          <w:szCs w:val="22"/>
          <w:u w:val="single"/>
        </w:rPr>
      </w:pPr>
      <w:r w:rsidRPr="00D92F6B">
        <w:rPr>
          <w:rFonts w:eastAsia="Calibri"/>
          <w:color w:val="000000"/>
          <w:sz w:val="22"/>
          <w:szCs w:val="22"/>
          <w:u w:val="single"/>
        </w:rPr>
        <w:t xml:space="preserve">Eliminacija </w:t>
      </w:r>
    </w:p>
    <w:p w14:paraId="5CAAF70B"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Pagal junginio išsiskyrimą po išgertos </w:t>
      </w:r>
      <w:r w:rsidRPr="00D92F6B">
        <w:rPr>
          <w:rFonts w:eastAsia="Calibri"/>
          <w:color w:val="000000"/>
          <w:sz w:val="22"/>
          <w:szCs w:val="22"/>
          <w:vertAlign w:val="superscript"/>
        </w:rPr>
        <w:t>14</w:t>
      </w:r>
      <w:r w:rsidRPr="00D92F6B">
        <w:rPr>
          <w:rFonts w:eastAsia="Calibri"/>
          <w:color w:val="000000"/>
          <w:sz w:val="22"/>
          <w:szCs w:val="22"/>
        </w:rPr>
        <w:t xml:space="preserve">C-žymėtojo imatinibo dozės, maždaug 81 % dozės per 7 dienas išsiskiria su išmatomis (68 % dozės) ir šlapimu (13 % dozės). Nepakitęs imatinibas sudaro 25 % dozės (5 % šlapime, 20 % išmatose), kita dalis yra metabolitų pavidalu. </w:t>
      </w:r>
    </w:p>
    <w:p w14:paraId="25D43B23" w14:textId="77777777" w:rsidR="008A305D" w:rsidRPr="00D92F6B" w:rsidRDefault="008A305D" w:rsidP="008A305D">
      <w:pPr>
        <w:autoSpaceDE w:val="0"/>
        <w:autoSpaceDN w:val="0"/>
        <w:adjustRightInd w:val="0"/>
        <w:rPr>
          <w:rFonts w:eastAsia="Calibri"/>
          <w:color w:val="000000"/>
          <w:sz w:val="22"/>
          <w:szCs w:val="22"/>
        </w:rPr>
      </w:pPr>
    </w:p>
    <w:p w14:paraId="59ED74E5" w14:textId="77777777" w:rsidR="008A305D" w:rsidRPr="00D92F6B" w:rsidRDefault="008A305D" w:rsidP="008A305D">
      <w:pPr>
        <w:keepNext/>
        <w:autoSpaceDE w:val="0"/>
        <w:autoSpaceDN w:val="0"/>
        <w:adjustRightInd w:val="0"/>
        <w:rPr>
          <w:rFonts w:eastAsia="Calibri"/>
          <w:color w:val="000000"/>
          <w:sz w:val="22"/>
          <w:szCs w:val="22"/>
          <w:u w:val="single"/>
        </w:rPr>
      </w:pPr>
      <w:r w:rsidRPr="00D92F6B">
        <w:rPr>
          <w:rFonts w:eastAsia="Calibri"/>
          <w:color w:val="000000"/>
          <w:sz w:val="22"/>
          <w:szCs w:val="22"/>
          <w:u w:val="single"/>
        </w:rPr>
        <w:t xml:space="preserve">Plazmos farmakokinetika </w:t>
      </w:r>
    </w:p>
    <w:p w14:paraId="05AA6477"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Sveikų savanorių išgerto vaisto t½ buvo maždaug 18 val., tai rodo, kad vaistą galima vartoti vieną kartą per parą. Geriant 25–1 000 mg imatinibo, vidutinio AUC didėjimas, didėjant dozei, buvo linijinis ir proporcingas dozei. Kartotinai vartojamo imatinibo kinetika nepakito, o akumuliacija buvo 1,5–</w:t>
      </w:r>
      <w:r w:rsidRPr="00D92F6B">
        <w:rPr>
          <w:rFonts w:eastAsia="Calibri"/>
          <w:color w:val="000000"/>
          <w:sz w:val="22"/>
          <w:szCs w:val="22"/>
        </w:rPr>
        <w:lastRenderedPageBreak/>
        <w:t>2,5 karto didesnė, kai, vaistą vartojant vieną kartą per parą, buvo pasiekta pastovi koncentracija.</w:t>
      </w:r>
    </w:p>
    <w:p w14:paraId="74DCD297" w14:textId="77777777" w:rsidR="008A305D" w:rsidRPr="0045031A" w:rsidRDefault="008A305D" w:rsidP="008A305D">
      <w:pPr>
        <w:pStyle w:val="Betarp"/>
        <w:rPr>
          <w:rFonts w:eastAsia="Calibri"/>
          <w:sz w:val="22"/>
          <w:szCs w:val="22"/>
        </w:rPr>
      </w:pPr>
    </w:p>
    <w:p w14:paraId="5687CEE2" w14:textId="77777777" w:rsidR="008A305D" w:rsidRPr="00D92F6B" w:rsidRDefault="008A305D" w:rsidP="008A305D">
      <w:pPr>
        <w:pStyle w:val="Betarp"/>
        <w:rPr>
          <w:rFonts w:eastAsia="Calibri"/>
          <w:sz w:val="22"/>
          <w:szCs w:val="22"/>
          <w:u w:val="single"/>
        </w:rPr>
      </w:pPr>
      <w:r>
        <w:rPr>
          <w:rFonts w:eastAsia="Calibri"/>
          <w:sz w:val="22"/>
          <w:szCs w:val="22"/>
          <w:u w:val="single"/>
        </w:rPr>
        <w:t>GIST</w:t>
      </w:r>
      <w:r w:rsidRPr="00D92F6B">
        <w:rPr>
          <w:rFonts w:eastAsia="Calibri"/>
          <w:sz w:val="22"/>
          <w:szCs w:val="22"/>
          <w:u w:val="single"/>
        </w:rPr>
        <w:t xml:space="preserve"> pacientų farmakokinetika</w:t>
      </w:r>
    </w:p>
    <w:p w14:paraId="3318A0D3" w14:textId="77777777" w:rsidR="008A305D" w:rsidRPr="00D92F6B" w:rsidRDefault="008A305D" w:rsidP="008A305D">
      <w:pPr>
        <w:pStyle w:val="Betarp"/>
        <w:rPr>
          <w:rFonts w:eastAsia="Calibri"/>
          <w:sz w:val="22"/>
          <w:szCs w:val="22"/>
        </w:rPr>
      </w:pPr>
      <w:r>
        <w:rPr>
          <w:rFonts w:eastAsia="Calibri"/>
          <w:sz w:val="22"/>
          <w:szCs w:val="22"/>
        </w:rPr>
        <w:t>GIST</w:t>
      </w:r>
      <w:r w:rsidRPr="00D92F6B">
        <w:rPr>
          <w:rFonts w:eastAsia="Calibri"/>
          <w:sz w:val="22"/>
          <w:szCs w:val="22"/>
        </w:rPr>
        <w:t xml:space="preserve"> sergančių pacientų ekspozicija kai koncentracija pastovi, buvo 1,5 karto didesnė negu LML sergančių pacientų, vartojančių tą pačią dozę (400 mg per parą). Preliminari </w:t>
      </w:r>
      <w:r>
        <w:rPr>
          <w:rFonts w:eastAsia="Calibri"/>
          <w:sz w:val="22"/>
          <w:szCs w:val="22"/>
        </w:rPr>
        <w:t>GIST</w:t>
      </w:r>
      <w:r w:rsidRPr="00D92F6B">
        <w:rPr>
          <w:rFonts w:eastAsia="Calibri"/>
          <w:sz w:val="22"/>
          <w:szCs w:val="22"/>
        </w:rPr>
        <w:t xml:space="preserve"> sergančių pacientų populiacijos farmakokinetikos analizė parodė, kad trys kintamieji (albuminas, BKK ir bilirubinas) turi statistiškai patikimą ryšį su imatinibo farmakokinetika. Sumažėjęs albumino kiekis sąlygoja mažesnį klirensą (Cl/f); didesnis BKK skaičius mažina CL/f. Tačiau šie ryšiai nėra pakankamai ryškūs, kad tektų koreguoti dozę. Šiems pacientams kepenų metastazės gali sąlygoti kepenų nepakankamumą ir susilpnėjusį metabolizmą.</w:t>
      </w:r>
    </w:p>
    <w:p w14:paraId="52DE87A2" w14:textId="77777777" w:rsidR="008A305D" w:rsidRPr="0045031A" w:rsidRDefault="008A305D" w:rsidP="008A305D">
      <w:pPr>
        <w:pStyle w:val="Betarp"/>
        <w:rPr>
          <w:rFonts w:eastAsia="Calibri"/>
          <w:sz w:val="22"/>
          <w:szCs w:val="22"/>
        </w:rPr>
      </w:pPr>
    </w:p>
    <w:p w14:paraId="3E06288B" w14:textId="77777777" w:rsidR="008A305D" w:rsidRPr="00D92F6B" w:rsidRDefault="008A305D" w:rsidP="008A305D">
      <w:pPr>
        <w:autoSpaceDE w:val="0"/>
        <w:autoSpaceDN w:val="0"/>
        <w:adjustRightInd w:val="0"/>
        <w:rPr>
          <w:rFonts w:eastAsia="Calibri"/>
          <w:sz w:val="22"/>
          <w:szCs w:val="22"/>
          <w:u w:val="single"/>
        </w:rPr>
      </w:pPr>
      <w:r w:rsidRPr="00D92F6B">
        <w:rPr>
          <w:rFonts w:eastAsia="Calibri"/>
          <w:sz w:val="22"/>
          <w:szCs w:val="22"/>
          <w:u w:val="single"/>
        </w:rPr>
        <w:t xml:space="preserve">Populiacijos farmakokinetika </w:t>
      </w:r>
    </w:p>
    <w:p w14:paraId="0D4E3C68" w14:textId="77777777" w:rsidR="008A305D" w:rsidRPr="00D92F6B" w:rsidRDefault="008A305D" w:rsidP="008A305D">
      <w:pPr>
        <w:autoSpaceDE w:val="0"/>
        <w:autoSpaceDN w:val="0"/>
        <w:adjustRightInd w:val="0"/>
        <w:rPr>
          <w:rFonts w:eastAsia="Calibri"/>
          <w:sz w:val="22"/>
          <w:szCs w:val="22"/>
        </w:rPr>
      </w:pPr>
      <w:r w:rsidRPr="00D92F6B">
        <w:rPr>
          <w:rFonts w:eastAsia="Calibri"/>
          <w:sz w:val="22"/>
          <w:szCs w:val="22"/>
        </w:rPr>
        <w:t xml:space="preserve">LML pacientų populiacijos farmakokinetikos analizė rodo, kad amžius turi mažą įtaką pasiskirstymo tūriui (12 % padidėja vyresniems kaip 65 metų asmenims). Manoma, kad šis pokytis yra kliniškai nereikšmingas. Nustatyta kūno svorio įtaka imatinibo klirensui: pacientų, sveriančių 50 kg, vidutinis klirensas gali būti 8,5 l/h, o, sveriančių 100 kg – padidėja iki 11,8 l/h. Tačiau dėl šių pokyčių dozės pagal kūno svorį koreguoti nereikia. Imatinibo kinetikai lytis reikšmės neturi. </w:t>
      </w:r>
    </w:p>
    <w:p w14:paraId="0D702871" w14:textId="77777777" w:rsidR="008A305D" w:rsidRPr="00D92F6B" w:rsidRDefault="008A305D" w:rsidP="008A305D">
      <w:pPr>
        <w:autoSpaceDE w:val="0"/>
        <w:autoSpaceDN w:val="0"/>
        <w:adjustRightInd w:val="0"/>
        <w:rPr>
          <w:rFonts w:eastAsia="Calibri"/>
          <w:sz w:val="22"/>
          <w:szCs w:val="22"/>
        </w:rPr>
      </w:pPr>
    </w:p>
    <w:p w14:paraId="22CC358B" w14:textId="77777777" w:rsidR="008A305D" w:rsidRPr="00D92F6B" w:rsidRDefault="008A305D" w:rsidP="008A305D">
      <w:pPr>
        <w:autoSpaceDE w:val="0"/>
        <w:autoSpaceDN w:val="0"/>
        <w:adjustRightInd w:val="0"/>
        <w:rPr>
          <w:rFonts w:eastAsia="Calibri"/>
          <w:sz w:val="22"/>
          <w:szCs w:val="22"/>
          <w:u w:val="single"/>
        </w:rPr>
      </w:pPr>
      <w:r w:rsidRPr="00D92F6B">
        <w:rPr>
          <w:rFonts w:eastAsia="Calibri"/>
          <w:sz w:val="22"/>
          <w:szCs w:val="22"/>
          <w:u w:val="single"/>
        </w:rPr>
        <w:t xml:space="preserve">Vaikų ir paauglių farmakokinetika </w:t>
      </w:r>
    </w:p>
    <w:p w14:paraId="0F2EDBB5" w14:textId="77777777" w:rsidR="008A305D" w:rsidRPr="00D92F6B" w:rsidRDefault="008A305D" w:rsidP="008A305D">
      <w:pPr>
        <w:autoSpaceDE w:val="0"/>
        <w:autoSpaceDN w:val="0"/>
        <w:adjustRightInd w:val="0"/>
        <w:rPr>
          <w:rFonts w:eastAsia="Calibri"/>
          <w:sz w:val="22"/>
          <w:szCs w:val="22"/>
        </w:rPr>
      </w:pPr>
      <w:r w:rsidRPr="00D92F6B">
        <w:rPr>
          <w:rFonts w:eastAsia="Calibri"/>
          <w:sz w:val="22"/>
          <w:szCs w:val="22"/>
        </w:rPr>
        <w:t>Abiejų I ir II fazės tyrimų metu nustatyta, kad vaikų, kaip ir suaugusiųjų, organizme išgertas imatinibas greitai absorbuojamas. Skiriant vaikams ir paaugliams po 260 mg/m</w:t>
      </w:r>
      <w:r w:rsidRPr="00D92F6B">
        <w:rPr>
          <w:rFonts w:eastAsia="Calibri"/>
          <w:sz w:val="22"/>
          <w:szCs w:val="22"/>
          <w:vertAlign w:val="superscript"/>
        </w:rPr>
        <w:t xml:space="preserve">2 </w:t>
      </w:r>
      <w:r w:rsidRPr="00D92F6B">
        <w:rPr>
          <w:rFonts w:eastAsia="Calibri"/>
          <w:sz w:val="22"/>
          <w:szCs w:val="22"/>
        </w:rPr>
        <w:t>ir po 340 mg/m</w:t>
      </w:r>
      <w:r w:rsidRPr="00D92F6B">
        <w:rPr>
          <w:rFonts w:eastAsia="Calibri"/>
          <w:sz w:val="22"/>
          <w:szCs w:val="22"/>
          <w:vertAlign w:val="superscript"/>
        </w:rPr>
        <w:t>2</w:t>
      </w:r>
      <w:r w:rsidRPr="0045031A">
        <w:rPr>
          <w:rFonts w:eastAsia="Calibri"/>
          <w:sz w:val="22"/>
          <w:szCs w:val="22"/>
        </w:rPr>
        <w:t xml:space="preserve"> </w:t>
      </w:r>
      <w:r w:rsidRPr="00D92F6B">
        <w:rPr>
          <w:rFonts w:eastAsia="Calibri"/>
          <w:sz w:val="22"/>
          <w:szCs w:val="22"/>
        </w:rPr>
        <w:t>per parą, gauta tokia pat ekspozicija kaip ir suaugusiesiems skiriant atitinkamai po 400 mg ir 600 mg per parą. Lyginant AUC(0-24) 8-ąją ir 1-ąją dienomis, nustatyta, kad vartojant 340 mg/m</w:t>
      </w:r>
      <w:r w:rsidRPr="00D92F6B">
        <w:rPr>
          <w:rFonts w:eastAsia="Calibri"/>
          <w:sz w:val="22"/>
          <w:szCs w:val="22"/>
          <w:vertAlign w:val="superscript"/>
        </w:rPr>
        <w:t>2</w:t>
      </w:r>
      <w:r w:rsidRPr="0045031A">
        <w:rPr>
          <w:rFonts w:eastAsia="Calibri"/>
          <w:sz w:val="22"/>
          <w:szCs w:val="22"/>
        </w:rPr>
        <w:t xml:space="preserve"> </w:t>
      </w:r>
      <w:r w:rsidRPr="00D92F6B">
        <w:rPr>
          <w:rFonts w:eastAsia="Calibri"/>
          <w:sz w:val="22"/>
          <w:szCs w:val="22"/>
        </w:rPr>
        <w:t xml:space="preserve">per parą dozę būna 1,7 karto didesnė vaisto akumuliacija po kartotinio vieną kartą per parą dozavimo. </w:t>
      </w:r>
    </w:p>
    <w:p w14:paraId="13AF69CD" w14:textId="77777777" w:rsidR="008A305D" w:rsidRPr="00D92F6B" w:rsidRDefault="008A305D" w:rsidP="008A305D">
      <w:pPr>
        <w:autoSpaceDE w:val="0"/>
        <w:autoSpaceDN w:val="0"/>
        <w:adjustRightInd w:val="0"/>
        <w:rPr>
          <w:rFonts w:eastAsia="Calibri"/>
          <w:sz w:val="22"/>
          <w:szCs w:val="22"/>
        </w:rPr>
      </w:pPr>
    </w:p>
    <w:p w14:paraId="4B7A960B" w14:textId="77777777" w:rsidR="008A305D" w:rsidRPr="00D92F6B" w:rsidRDefault="008A305D" w:rsidP="008A305D">
      <w:pPr>
        <w:autoSpaceDE w:val="0"/>
        <w:autoSpaceDN w:val="0"/>
        <w:adjustRightInd w:val="0"/>
        <w:rPr>
          <w:rFonts w:eastAsia="Calibri"/>
          <w:sz w:val="22"/>
          <w:szCs w:val="22"/>
          <w:u w:val="single"/>
        </w:rPr>
      </w:pPr>
      <w:r w:rsidRPr="00D92F6B">
        <w:rPr>
          <w:rFonts w:eastAsia="Calibri"/>
          <w:sz w:val="22"/>
          <w:szCs w:val="22"/>
          <w:u w:val="single"/>
        </w:rPr>
        <w:t>Organų funkcijos sutrikimas</w:t>
      </w:r>
    </w:p>
    <w:p w14:paraId="38DB0328" w14:textId="77777777" w:rsidR="008A305D" w:rsidRPr="00D92F6B" w:rsidRDefault="008A305D" w:rsidP="008A305D">
      <w:pPr>
        <w:autoSpaceDE w:val="0"/>
        <w:autoSpaceDN w:val="0"/>
        <w:adjustRightInd w:val="0"/>
        <w:rPr>
          <w:rFonts w:eastAsia="Calibri"/>
          <w:sz w:val="22"/>
          <w:szCs w:val="22"/>
        </w:rPr>
      </w:pPr>
      <w:r w:rsidRPr="00D92F6B">
        <w:rPr>
          <w:rFonts w:eastAsia="Calibri"/>
          <w:sz w:val="22"/>
          <w:szCs w:val="22"/>
        </w:rPr>
        <w:t xml:space="preserve">Pro inkstus išsiskiria nedaug imatinibo ir jo metabolitų. Atrodo, kad pacientams, kuriems yra lengvas ir vidutinio sunkumo inkstų funkcijos sutrikimas, būdinga apytikriai 1,5-2 kartus didesnė ekspozicija plazmoje nei pacientams, kurių inkstų funkcija normali. Toks padidėjimas gretintinas su 1,5 karto didesniu stipriai imatinibą surišančio AGP kiekiu plazmoje. Tikriausiai laisvo imatinibo klirensas yra panašus ir vaistą vartojant pacientams, kurių inkstų funkcija susilpnėjusi, ir tiems, kurių inkstų funkcija normali, nes pro inkstus išsiskiria tik nedidelė imatinibo dalis (žr. 4.2 ir 4.4 skyrius). </w:t>
      </w:r>
    </w:p>
    <w:p w14:paraId="4514E33B" w14:textId="77777777" w:rsidR="008A305D" w:rsidRPr="00D92F6B" w:rsidRDefault="008A305D" w:rsidP="008A305D">
      <w:pPr>
        <w:autoSpaceDE w:val="0"/>
        <w:autoSpaceDN w:val="0"/>
        <w:adjustRightInd w:val="0"/>
        <w:rPr>
          <w:rFonts w:eastAsia="Calibri"/>
          <w:sz w:val="22"/>
          <w:szCs w:val="22"/>
        </w:rPr>
      </w:pPr>
    </w:p>
    <w:p w14:paraId="4D5E3622" w14:textId="77777777" w:rsidR="008A305D" w:rsidRPr="00D92F6B" w:rsidRDefault="008A305D" w:rsidP="008A305D">
      <w:pPr>
        <w:autoSpaceDE w:val="0"/>
        <w:autoSpaceDN w:val="0"/>
        <w:adjustRightInd w:val="0"/>
        <w:rPr>
          <w:rFonts w:eastAsia="Calibri"/>
          <w:sz w:val="22"/>
          <w:szCs w:val="22"/>
        </w:rPr>
      </w:pPr>
      <w:r w:rsidRPr="00D92F6B">
        <w:rPr>
          <w:rFonts w:eastAsia="Calibri"/>
          <w:sz w:val="22"/>
          <w:szCs w:val="22"/>
        </w:rPr>
        <w:t>Nors farmakokinetinės analizės duomenys parodė, kad galimi ryškūs svyravimai tarp asmenų, imatinibo ekspozicija nedi</w:t>
      </w:r>
      <w:r w:rsidRPr="00D92F6B">
        <w:rPr>
          <w:rFonts w:eastAsia="Calibri"/>
          <w:sz w:val="22"/>
          <w:szCs w:val="22"/>
        </w:rPr>
        <w:lastRenderedPageBreak/>
        <w:t xml:space="preserve">dėja pacientams, kuriems yra įvairaus laipsnio kepenų nepakankamumas, lyginant su pacientais, kurių kepenų funkcija normali (žr. 4.2, 4.4 ir 4.8 skyrius). </w:t>
      </w:r>
    </w:p>
    <w:p w14:paraId="324F9F2D" w14:textId="77777777" w:rsidR="008A305D" w:rsidRPr="00D92F6B" w:rsidRDefault="008A305D" w:rsidP="008A305D">
      <w:pPr>
        <w:autoSpaceDE w:val="0"/>
        <w:autoSpaceDN w:val="0"/>
        <w:adjustRightInd w:val="0"/>
        <w:rPr>
          <w:rFonts w:eastAsia="Calibri"/>
          <w:sz w:val="22"/>
          <w:szCs w:val="22"/>
        </w:rPr>
      </w:pPr>
    </w:p>
    <w:p w14:paraId="339A5F9C" w14:textId="77777777" w:rsidR="008A305D" w:rsidRPr="00D92F6B" w:rsidRDefault="008A305D" w:rsidP="008A305D">
      <w:pPr>
        <w:pStyle w:val="Sraopastraipa"/>
        <w:numPr>
          <w:ilvl w:val="1"/>
          <w:numId w:val="5"/>
        </w:numPr>
        <w:autoSpaceDE w:val="0"/>
        <w:autoSpaceDN w:val="0"/>
        <w:adjustRightInd w:val="0"/>
        <w:ind w:left="567" w:hanging="567"/>
        <w:rPr>
          <w:rFonts w:eastAsia="Calibri"/>
          <w:b/>
          <w:bCs/>
          <w:sz w:val="22"/>
          <w:szCs w:val="22"/>
        </w:rPr>
      </w:pPr>
      <w:r w:rsidRPr="00D92F6B">
        <w:rPr>
          <w:rFonts w:eastAsia="Calibri"/>
          <w:b/>
          <w:bCs/>
          <w:sz w:val="22"/>
          <w:szCs w:val="22"/>
        </w:rPr>
        <w:t xml:space="preserve">Ikiklinikinių saugumo tyrimų duomenys </w:t>
      </w:r>
    </w:p>
    <w:p w14:paraId="4452AA7B" w14:textId="77777777" w:rsidR="008A305D" w:rsidRPr="00D92F6B" w:rsidRDefault="008A305D" w:rsidP="008A305D">
      <w:pPr>
        <w:autoSpaceDE w:val="0"/>
        <w:autoSpaceDN w:val="0"/>
        <w:adjustRightInd w:val="0"/>
        <w:rPr>
          <w:rFonts w:eastAsia="Calibri"/>
          <w:sz w:val="22"/>
          <w:szCs w:val="22"/>
        </w:rPr>
      </w:pPr>
    </w:p>
    <w:p w14:paraId="3262FD1D" w14:textId="77777777" w:rsidR="008A305D" w:rsidRPr="00D92F6B" w:rsidRDefault="008A305D" w:rsidP="008A305D">
      <w:pPr>
        <w:autoSpaceDE w:val="0"/>
        <w:autoSpaceDN w:val="0"/>
        <w:adjustRightInd w:val="0"/>
        <w:rPr>
          <w:rFonts w:eastAsia="Calibri"/>
          <w:sz w:val="22"/>
          <w:szCs w:val="22"/>
        </w:rPr>
      </w:pPr>
      <w:r w:rsidRPr="00D92F6B">
        <w:rPr>
          <w:rFonts w:eastAsia="Calibri"/>
          <w:sz w:val="22"/>
          <w:szCs w:val="22"/>
        </w:rPr>
        <w:t xml:space="preserve">Ikiklinikinis imatinibo saugumo pobūdis įvertintas žiurkėms, šunims, beždžionėms ir triušiams. </w:t>
      </w:r>
    </w:p>
    <w:p w14:paraId="1A94FF81" w14:textId="77777777" w:rsidR="008A305D" w:rsidRPr="00D92F6B" w:rsidRDefault="008A305D" w:rsidP="008A305D">
      <w:pPr>
        <w:autoSpaceDE w:val="0"/>
        <w:autoSpaceDN w:val="0"/>
        <w:adjustRightInd w:val="0"/>
        <w:rPr>
          <w:rFonts w:eastAsia="Calibri"/>
          <w:sz w:val="22"/>
          <w:szCs w:val="22"/>
        </w:rPr>
      </w:pPr>
    </w:p>
    <w:p w14:paraId="611AB3A8" w14:textId="77777777" w:rsidR="008A305D" w:rsidRPr="00D92F6B" w:rsidRDefault="008A305D" w:rsidP="008A305D">
      <w:pPr>
        <w:autoSpaceDE w:val="0"/>
        <w:autoSpaceDN w:val="0"/>
        <w:adjustRightInd w:val="0"/>
        <w:rPr>
          <w:rFonts w:eastAsia="Calibri"/>
          <w:sz w:val="22"/>
          <w:szCs w:val="22"/>
        </w:rPr>
      </w:pPr>
      <w:r w:rsidRPr="00D92F6B">
        <w:rPr>
          <w:rFonts w:eastAsia="Calibri"/>
          <w:sz w:val="22"/>
          <w:szCs w:val="22"/>
        </w:rPr>
        <w:t xml:space="preserve">Kartotinių dozių toksiškumo tyrimai atskleidė nesunkių ar vidutinio sunkumo hematologinių pokyčių žiurkėms, šunims ir beždžionėms bei kaulų čiulpų pokyčių žiurkėms ir šunims. </w:t>
      </w:r>
    </w:p>
    <w:p w14:paraId="586B0BEC" w14:textId="77777777" w:rsidR="008A305D" w:rsidRPr="00D92F6B" w:rsidRDefault="008A305D" w:rsidP="008A305D">
      <w:pPr>
        <w:autoSpaceDE w:val="0"/>
        <w:autoSpaceDN w:val="0"/>
        <w:adjustRightInd w:val="0"/>
        <w:rPr>
          <w:rFonts w:eastAsia="Calibri"/>
          <w:sz w:val="22"/>
          <w:szCs w:val="22"/>
        </w:rPr>
      </w:pPr>
    </w:p>
    <w:p w14:paraId="1DB5390C"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sz w:val="22"/>
          <w:szCs w:val="22"/>
        </w:rPr>
        <w:t>Kepenys buvo žiurkių ir šunų organas taikinys. Abiejų rūšių gyvūnams stebėta neryškiai ar vidutiniškai padidėjęs transaminazių aktyvumas ir šiek tiek sumažėjusi cholesterolio, trigliceridų, bendrojo baltymo ir albumino koncentracija. Jokių histopatologinių žiurkių kepenų pokyčių nenustatyta. Šunims, gydytiems 2 savaites, stebėtas sunkus kepenų toksiškumas, pasireiškęs padidėjusiu kepenų fermentų aktyvumu, kepenų ląstelių ir tulžies latakų nekroze bei tulžies latakų hiperplazija.</w:t>
      </w:r>
    </w:p>
    <w:p w14:paraId="4C5A52CE" w14:textId="77777777" w:rsidR="008A305D" w:rsidRPr="00D92F6B" w:rsidRDefault="008A305D" w:rsidP="008A305D">
      <w:pPr>
        <w:autoSpaceDE w:val="0"/>
        <w:autoSpaceDN w:val="0"/>
        <w:adjustRightInd w:val="0"/>
        <w:rPr>
          <w:rFonts w:eastAsia="Calibri"/>
          <w:color w:val="000000"/>
          <w:sz w:val="22"/>
          <w:szCs w:val="22"/>
        </w:rPr>
      </w:pPr>
    </w:p>
    <w:p w14:paraId="402793AF"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Beždžionėms, gydytoms 2 savaites, stebėtas inkstų toksiškumas su židinine mineralizacija ir inkstų kanalėlių dilatacija bei tubuline nefroze. Kelioms beždžionėms nustatyta padidėjusi šlapalo azoto ir kreatinino koncentracija kraujyje. 13 savaičių tyrimų metu, žiurkėms, gavusioms </w:t>
      </w:r>
      <w:r w:rsidRPr="0045031A">
        <w:rPr>
          <w:sz w:val="22"/>
          <w:szCs w:val="22"/>
        </w:rPr>
        <w:t>≥ </w:t>
      </w:r>
      <w:r w:rsidRPr="00D92F6B">
        <w:rPr>
          <w:rFonts w:eastAsia="Calibri"/>
          <w:color w:val="000000"/>
          <w:sz w:val="22"/>
          <w:szCs w:val="22"/>
        </w:rPr>
        <w:t xml:space="preserve">6 mg/kg dozę, stebėta inkstų spenelių ir šlapimo pūslės pereinamojo epitelio hiperplazija be serumo ar šlapimo rodiklių pokyčių. Ilgai gydomiems imatinibu gyvūnams stebėtas padidėjęs oportunistinių infekcijų dažnis. </w:t>
      </w:r>
    </w:p>
    <w:p w14:paraId="49597B2A" w14:textId="77777777" w:rsidR="008A305D" w:rsidRPr="00D92F6B" w:rsidRDefault="008A305D" w:rsidP="008A305D">
      <w:pPr>
        <w:autoSpaceDE w:val="0"/>
        <w:autoSpaceDN w:val="0"/>
        <w:adjustRightInd w:val="0"/>
        <w:rPr>
          <w:rFonts w:eastAsia="Calibri"/>
          <w:color w:val="000000"/>
          <w:sz w:val="22"/>
          <w:szCs w:val="22"/>
        </w:rPr>
      </w:pPr>
    </w:p>
    <w:p w14:paraId="08D6C4E4"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39 savaičių tyrimo metu beždžionėms, gavusioms mažiausią 15 mg/kg dozę, vidutiniškai trečdalį didžiausios 800 mg žmogaus dozės pagal kūno paviršiaus plotą, jokio NNPL (nepastebimo nepageidaujamo poveikio lygmens) nenustatyta. Gydymas pablogino šių gyvūnų normaliai slopinamą maliarijos infekciją. </w:t>
      </w:r>
    </w:p>
    <w:p w14:paraId="324C0F02" w14:textId="77777777" w:rsidR="008A305D" w:rsidRPr="00D92F6B" w:rsidRDefault="008A305D" w:rsidP="008A305D">
      <w:pPr>
        <w:autoSpaceDE w:val="0"/>
        <w:autoSpaceDN w:val="0"/>
        <w:adjustRightInd w:val="0"/>
        <w:rPr>
          <w:rFonts w:eastAsia="Calibri"/>
          <w:color w:val="000000"/>
          <w:sz w:val="22"/>
          <w:szCs w:val="22"/>
        </w:rPr>
      </w:pPr>
    </w:p>
    <w:p w14:paraId="2AE891B3"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Imatinibas nebuvo genotoksiškas </w:t>
      </w:r>
      <w:r w:rsidRPr="00D92F6B">
        <w:rPr>
          <w:rFonts w:eastAsia="Calibri"/>
          <w:i/>
          <w:iCs/>
          <w:color w:val="000000"/>
          <w:sz w:val="22"/>
          <w:szCs w:val="22"/>
        </w:rPr>
        <w:t xml:space="preserve">in vitro </w:t>
      </w:r>
      <w:r w:rsidRPr="00D92F6B">
        <w:rPr>
          <w:rFonts w:eastAsia="Calibri"/>
          <w:color w:val="000000"/>
          <w:sz w:val="22"/>
          <w:szCs w:val="22"/>
        </w:rPr>
        <w:t>atliekant bakterijų ląstelių testus (</w:t>
      </w:r>
      <w:r w:rsidRPr="0045031A">
        <w:rPr>
          <w:rFonts w:eastAsia="Calibri"/>
          <w:i/>
          <w:color w:val="000000"/>
          <w:sz w:val="22"/>
          <w:szCs w:val="22"/>
        </w:rPr>
        <w:t>Ames</w:t>
      </w:r>
      <w:r w:rsidRPr="00D92F6B">
        <w:rPr>
          <w:rFonts w:eastAsia="Calibri"/>
          <w:color w:val="000000"/>
          <w:sz w:val="22"/>
          <w:szCs w:val="22"/>
        </w:rPr>
        <w:t xml:space="preserve"> testus), </w:t>
      </w:r>
      <w:r w:rsidRPr="00D92F6B">
        <w:rPr>
          <w:rFonts w:eastAsia="Calibri"/>
          <w:i/>
          <w:iCs/>
          <w:color w:val="000000"/>
          <w:sz w:val="22"/>
          <w:szCs w:val="22"/>
        </w:rPr>
        <w:t xml:space="preserve">in vitro </w:t>
      </w:r>
      <w:r w:rsidRPr="00D92F6B">
        <w:rPr>
          <w:rFonts w:eastAsia="Calibri"/>
          <w:color w:val="000000"/>
          <w:sz w:val="22"/>
          <w:szCs w:val="22"/>
        </w:rPr>
        <w:t xml:space="preserve">žinduolių ląstelių tyrimus (pelių limfomos) ir </w:t>
      </w:r>
      <w:r w:rsidRPr="00D92F6B">
        <w:rPr>
          <w:rFonts w:eastAsia="Calibri"/>
          <w:i/>
          <w:iCs/>
          <w:color w:val="000000"/>
          <w:sz w:val="22"/>
          <w:szCs w:val="22"/>
        </w:rPr>
        <w:t xml:space="preserve">in vivo </w:t>
      </w:r>
      <w:r w:rsidRPr="00D92F6B">
        <w:rPr>
          <w:rFonts w:eastAsia="Calibri"/>
          <w:color w:val="000000"/>
          <w:sz w:val="22"/>
          <w:szCs w:val="22"/>
        </w:rPr>
        <w:t xml:space="preserve">žiurkių mikrobranduolių testus. Teigiamas imatinibo genotoksinis poveikis stebėtas atliekant </w:t>
      </w:r>
      <w:r w:rsidRPr="00D92F6B">
        <w:rPr>
          <w:rFonts w:eastAsia="Calibri"/>
          <w:i/>
          <w:iCs/>
          <w:color w:val="000000"/>
          <w:sz w:val="22"/>
          <w:szCs w:val="22"/>
        </w:rPr>
        <w:t xml:space="preserve">in vitro </w:t>
      </w:r>
      <w:r w:rsidRPr="00D92F6B">
        <w:rPr>
          <w:rFonts w:eastAsia="Calibri"/>
          <w:color w:val="000000"/>
          <w:sz w:val="22"/>
          <w:szCs w:val="22"/>
        </w:rPr>
        <w:t xml:space="preserve">žinduolių ląstelių (kinietiškųjų žiurkėnų kiaušidžių) tyrimus klastogeniškumui (chromosomų aberacijoms) nustatyti, kai buvo metabolinis aktyvinimas. Du gamybos proceso tarpiniai produktai, kurių yra ir galutiniame produkte, taip pat veikė mutageniškai </w:t>
      </w:r>
      <w:r w:rsidRPr="0045031A">
        <w:rPr>
          <w:rFonts w:eastAsia="Calibri"/>
          <w:i/>
          <w:color w:val="000000"/>
          <w:sz w:val="22"/>
          <w:szCs w:val="22"/>
        </w:rPr>
        <w:t>Ames</w:t>
      </w:r>
      <w:r w:rsidRPr="00D92F6B">
        <w:rPr>
          <w:rFonts w:eastAsia="Calibri"/>
          <w:color w:val="000000"/>
          <w:sz w:val="22"/>
          <w:szCs w:val="22"/>
        </w:rPr>
        <w:t xml:space="preserve"> testų metu. Vienas šių tarpinių produktų buvo teigiamas pelių limfomos tyrimų metu. </w:t>
      </w:r>
    </w:p>
    <w:p w14:paraId="372A4EED" w14:textId="77777777" w:rsidR="008A305D" w:rsidRPr="00D92F6B" w:rsidRDefault="008A305D" w:rsidP="008A305D">
      <w:pPr>
        <w:autoSpaceDE w:val="0"/>
        <w:autoSpaceDN w:val="0"/>
        <w:adjustRightInd w:val="0"/>
        <w:rPr>
          <w:rFonts w:eastAsia="Calibri"/>
          <w:color w:val="000000"/>
          <w:sz w:val="22"/>
          <w:szCs w:val="22"/>
        </w:rPr>
      </w:pPr>
    </w:p>
    <w:p w14:paraId="6D22BE33"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Tiriant vaisingumą nustatyta, kad žiurkių patinų, prieš poravimąsi 70 dienų gavusių vaisto, sėklidžių ir sėklidžių prielipo svoris bei judrių spermijų procentas sumažėjo po 60 mg/kg </w:t>
      </w:r>
      <w:r w:rsidRPr="00D92F6B">
        <w:rPr>
          <w:rFonts w:eastAsia="Calibri"/>
          <w:color w:val="000000"/>
          <w:sz w:val="22"/>
          <w:szCs w:val="22"/>
        </w:rPr>
        <w:lastRenderedPageBreak/>
        <w:t xml:space="preserve">dozės, kuri atitinka didžiausią klinikinę 800 mg per parą dozę, apskaičiuotą pagal kūno paviršiaus plotą. Šito nestebėta vartojant ≤ 20 mg/kg dozę. Neryškiai ir vidutiniškai sumažėjusi spermatogenezė taip pat nustatyta šunims, gavusiems </w:t>
      </w:r>
      <w:r w:rsidRPr="0045031A">
        <w:rPr>
          <w:sz w:val="22"/>
          <w:szCs w:val="22"/>
        </w:rPr>
        <w:t>≥</w:t>
      </w:r>
      <w:r w:rsidRPr="00D92F6B">
        <w:rPr>
          <w:rFonts w:eastAsia="Calibri"/>
          <w:color w:val="000000"/>
          <w:sz w:val="22"/>
          <w:szCs w:val="22"/>
        </w:rPr>
        <w:t xml:space="preserve"> 30 mg/kg geriamąją dozę. 14 dienų prieš poravimąsi ir iki 6-osios nėštumo dienos žiurkių patelėms duodant vaisto, poveikio poravimuisi ir nėščių patelių skaičiui nenustatyta, o duodant 60 mg/kg dozę, ryškiai padaugėjo poimplantacinių vaisių netekimų ir sumažėjo gyvų vaisių skaičius. Šių reiškinių nestebėta skiriant ≤ 20 mg/kg dozę. </w:t>
      </w:r>
    </w:p>
    <w:p w14:paraId="68E79E24" w14:textId="77777777" w:rsidR="008A305D" w:rsidRPr="00D92F6B" w:rsidRDefault="008A305D" w:rsidP="008A305D">
      <w:pPr>
        <w:autoSpaceDE w:val="0"/>
        <w:autoSpaceDN w:val="0"/>
        <w:adjustRightInd w:val="0"/>
        <w:rPr>
          <w:rFonts w:eastAsia="Calibri"/>
          <w:color w:val="000000"/>
          <w:sz w:val="22"/>
          <w:szCs w:val="22"/>
        </w:rPr>
      </w:pPr>
    </w:p>
    <w:p w14:paraId="18AAAF69"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Geriamojo vaisto prenatalinės ir ponatalinės raidos tyrimų metu žiurkėms, gaunančioms 45 mg/kg per parą, 14-ąją ar 15-ąją nėštumo dieną stebėta raudonų išskyrų iš makšties. Duodant tą pačią dozę, nustatyta, kad padidėja negyvagimių ir 0–4 dienomis žuvusių palikuonių skaičius. F1 palikuonims, duodant tą pačią dozę, vidutinis kūno svoris buvo mažesnis nuo gimimo iki galutinio gyvavimo laiko ir šiek tiek mažesnis buvo jauniklių, pasiekusių apyvarpės atsiskyrimo kriterijus, skaičius. Kai buvo duodama 45 mg/kg per parą dozė, F1 vaisingumas buvo nepakitęs, o rezorbcijų skaičius padidėjo bei gyvybingų vaisių skaičius sumažėjo. Nepastebimo poveikio lygmens (NPL) dozė, gyvūnų tėvams ir F</w:t>
      </w:r>
      <w:r w:rsidRPr="0045031A">
        <w:rPr>
          <w:rFonts w:eastAsia="Calibri"/>
          <w:color w:val="000000"/>
          <w:sz w:val="22"/>
          <w:szCs w:val="22"/>
        </w:rPr>
        <w:t xml:space="preserve">1 </w:t>
      </w:r>
      <w:r w:rsidRPr="00D92F6B">
        <w:rPr>
          <w:rFonts w:eastAsia="Calibri"/>
          <w:color w:val="000000"/>
          <w:sz w:val="22"/>
          <w:szCs w:val="22"/>
        </w:rPr>
        <w:t xml:space="preserve">generacijai, buvo 15 mg/kg per parą (ketvirtis didžiausios žmogaus 800 mg dozės). </w:t>
      </w:r>
    </w:p>
    <w:p w14:paraId="67180AEF" w14:textId="77777777" w:rsidR="008A305D" w:rsidRPr="00D92F6B" w:rsidRDefault="008A305D" w:rsidP="008A305D">
      <w:pPr>
        <w:autoSpaceDE w:val="0"/>
        <w:autoSpaceDN w:val="0"/>
        <w:adjustRightInd w:val="0"/>
        <w:rPr>
          <w:rFonts w:eastAsia="Calibri"/>
          <w:color w:val="000000"/>
          <w:sz w:val="22"/>
          <w:szCs w:val="22"/>
        </w:rPr>
      </w:pPr>
    </w:p>
    <w:p w14:paraId="20687115"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Imatinibas, kurio organogenezės laikotarpiu buvo skiriama ≥ 100 mg/kg (maždaug atitinka pagal kūno paviršiaus plotą apskaičiuotą didžiausią klinikinę 800 mg per parą dozę), buvo teratogeniškas žiurkėms. Teratogeninis poveikis pasireiškė eksencefalija ar encefalocele, kaktikaulio nebuvimu ar sumažėjimu ir momenkaulio nebuvimu. Šių reiškinių nestebėta, kai dozė buvo ≤ 30 mg/kg. </w:t>
      </w:r>
    </w:p>
    <w:p w14:paraId="61C6E893" w14:textId="77777777" w:rsidR="008A305D" w:rsidRPr="00D92F6B" w:rsidRDefault="008A305D" w:rsidP="008A305D">
      <w:pPr>
        <w:autoSpaceDE w:val="0"/>
        <w:autoSpaceDN w:val="0"/>
        <w:adjustRightInd w:val="0"/>
        <w:rPr>
          <w:rFonts w:eastAsia="Calibri"/>
          <w:color w:val="000000"/>
          <w:sz w:val="22"/>
          <w:szCs w:val="22"/>
        </w:rPr>
      </w:pPr>
    </w:p>
    <w:p w14:paraId="26D54737" w14:textId="77777777" w:rsidR="008A305D" w:rsidRPr="00D92F6B" w:rsidRDefault="008A305D" w:rsidP="008A305D">
      <w:pPr>
        <w:autoSpaceDE w:val="0"/>
        <w:autoSpaceDN w:val="0"/>
        <w:adjustRightInd w:val="0"/>
        <w:rPr>
          <w:rFonts w:eastAsia="Calibri"/>
          <w:color w:val="000000"/>
          <w:sz w:val="22"/>
          <w:szCs w:val="22"/>
        </w:rPr>
      </w:pPr>
      <w:r w:rsidRPr="00D92F6B">
        <w:rPr>
          <w:sz w:val="22"/>
          <w:szCs w:val="22"/>
        </w:rPr>
        <w:t>Toksinio poveikio vystymuisi tyrimo, atlikto su žiurkių jaunikliais, metu (preparato skiriant nuo 10-osios iki 70-osios dienos po atsivedimo) naujų organų taikinių nenustatyta, lyginant su žinomais organais taikiniais suaugusioms žiurkėms. Toksinio poveikio jauniklių vystymuisi tyrimo metu poveikis augimui, vėlesniam makšties angos atsidarymui ir apyvarpės atsiskyrimui pastebėtas esant tokiai preparato ekspozicijai, kuri maždaug 0,3-2 kartus viršija vidutinę ekspoziciją vaikų populiacijoje skiriant didžiausią rekomenduojamą 340 mg/m</w:t>
      </w:r>
      <w:r w:rsidRPr="00D92F6B">
        <w:rPr>
          <w:sz w:val="22"/>
          <w:szCs w:val="22"/>
          <w:vertAlign w:val="superscript"/>
        </w:rPr>
        <w:t xml:space="preserve">2 </w:t>
      </w:r>
      <w:r w:rsidRPr="00D92F6B">
        <w:rPr>
          <w:sz w:val="22"/>
          <w:szCs w:val="22"/>
        </w:rPr>
        <w:t>kūno paviršiaus dozę. Be to, pastebėta gyvūnų jauniklių kritimo atvejų (maždaug nujunkymo fazėje) esant tokiai preparato ekspozicijai, kuri maždaug 2 kartus viršija vidutinę ekspoziciją vaikų populiacijoje skiriant didžiausią rekomenduojamą 340 mg/m</w:t>
      </w:r>
      <w:r w:rsidRPr="00D92F6B">
        <w:rPr>
          <w:sz w:val="22"/>
          <w:szCs w:val="22"/>
          <w:vertAlign w:val="superscript"/>
        </w:rPr>
        <w:t>2</w:t>
      </w:r>
      <w:r w:rsidRPr="0045031A">
        <w:rPr>
          <w:sz w:val="22"/>
          <w:szCs w:val="22"/>
        </w:rPr>
        <w:t xml:space="preserve"> </w:t>
      </w:r>
      <w:r w:rsidRPr="00D92F6B">
        <w:rPr>
          <w:sz w:val="22"/>
          <w:szCs w:val="22"/>
        </w:rPr>
        <w:t>kūno paviršiaus dozę.</w:t>
      </w:r>
    </w:p>
    <w:p w14:paraId="5F19CD77" w14:textId="77777777" w:rsidR="008A305D" w:rsidRPr="00D92F6B" w:rsidRDefault="008A305D" w:rsidP="008A305D">
      <w:pPr>
        <w:autoSpaceDE w:val="0"/>
        <w:autoSpaceDN w:val="0"/>
        <w:adjustRightInd w:val="0"/>
        <w:rPr>
          <w:rFonts w:eastAsia="Calibri"/>
          <w:color w:val="000000"/>
          <w:sz w:val="22"/>
          <w:szCs w:val="22"/>
        </w:rPr>
      </w:pPr>
    </w:p>
    <w:p w14:paraId="7BEC28D1"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Dviejų metų kancerogeniškumo tyrimų su žiurkėmis, gavusiomis 15 mg/kg, 30 mg/kg ir 60 mg/kg per parą imatinibo dozę, metu statistiškai reikšmingai sumažėjo patinų, gavusių 60 mg/kg per parą, ir patelių, gavusių ≥ 30 mg/kg per parą, </w:t>
      </w:r>
      <w:r w:rsidRPr="00D92F6B">
        <w:rPr>
          <w:rFonts w:eastAsia="Calibri"/>
          <w:color w:val="000000"/>
          <w:sz w:val="22"/>
          <w:szCs w:val="22"/>
        </w:rPr>
        <w:lastRenderedPageBreak/>
        <w:t>gyvenimo trukmė. Kritusių gyvūnėlių histopatologinių tyrimų metu nustatytos pagrindinės gyvūnėlių žūties ar jų užmigdymo priežastys buvo: kardiomiopatija (abiem lytims), lėtinė progresuojanti nefropatija (patelėms) ir apyvarpės liaukų papiloma. Neoplastinis procesas pažeidė inkstus, šlapimo pūslę, šlaplę, apyvarpės ir varputės liaukas, plonąjį žarnyną, prieskydines liaukas, antinksčius ir ne liaukinę skrandžio dalį.</w:t>
      </w:r>
    </w:p>
    <w:p w14:paraId="2DE6CAEB" w14:textId="77777777" w:rsidR="008A305D" w:rsidRPr="00D92F6B" w:rsidRDefault="008A305D" w:rsidP="008A305D">
      <w:pPr>
        <w:autoSpaceDE w:val="0"/>
        <w:autoSpaceDN w:val="0"/>
        <w:adjustRightInd w:val="0"/>
        <w:rPr>
          <w:rFonts w:eastAsia="Calibri"/>
          <w:color w:val="000000"/>
          <w:sz w:val="22"/>
          <w:szCs w:val="22"/>
        </w:rPr>
      </w:pPr>
    </w:p>
    <w:p w14:paraId="0A036FEB"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Apyvarpės ar varputės liaukų papilomos ar karcinomos stebėtos žiurkėms, kurios gavo nuo 30 mg/kg per parą dozę į priekį kas yra maždaug 0,5 arba 0,3 kartus didesnė ekspozicija (pagal AUC) negu žmonėms vartojant 400 mg arba 800 mg per parą atitinkamai ir 0,4 karto didesnė ekspozicija vaikams ir paaugliams (pagal AUC) vartojant 340 mg/m² per parą. Nepastebimo poveikio lygmens (NPL) dozė buvo 15 mg/kg per parą. Inkstų adenoma ar karcinoma, šlapimo pūslės ir šlaplės papiloma, plonojo žarnyno adenokarcinoma, prieskydinių liaukų adenoma, gėrybiniai ir piktybiniai antinksčių šerdinės dalies navikai bei ne liaukinės skrandžio dalies papiloma ar karcinoma stebėtos duodant 60 mg/kg per parą dozę kas yra maždaug 1,7 arba 1 kartą didesnė ekspozicija (pagal AUC) negu žmonėms vartojant 400 mg arba 800 mg per parą atitinkamai ir 1,2 karto didesnė ekspozicija vaikams ir paaugliams (pagal AUC) vartojant 340 mg/m² per parą. Nepastebimo poveikio lygmens (NPL) dozė buvo 30 mg/kg per parą. </w:t>
      </w:r>
    </w:p>
    <w:p w14:paraId="40E935FB" w14:textId="77777777" w:rsidR="008A305D" w:rsidRPr="00D92F6B" w:rsidRDefault="008A305D" w:rsidP="008A305D">
      <w:pPr>
        <w:autoSpaceDE w:val="0"/>
        <w:autoSpaceDN w:val="0"/>
        <w:adjustRightInd w:val="0"/>
        <w:rPr>
          <w:rFonts w:eastAsia="Calibri"/>
          <w:color w:val="000000"/>
          <w:sz w:val="22"/>
          <w:szCs w:val="22"/>
        </w:rPr>
      </w:pPr>
    </w:p>
    <w:p w14:paraId="4DC8AD15"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Šių žiurkių kancerogeniškumo tyrimų radinių reikšmė ir mechanizmas žmonėms dar neaiškus. </w:t>
      </w:r>
    </w:p>
    <w:p w14:paraId="26A4E2BC" w14:textId="77777777" w:rsidR="008A305D" w:rsidRPr="00D92F6B" w:rsidRDefault="008A305D" w:rsidP="008A305D">
      <w:pPr>
        <w:autoSpaceDE w:val="0"/>
        <w:autoSpaceDN w:val="0"/>
        <w:adjustRightInd w:val="0"/>
        <w:rPr>
          <w:rFonts w:eastAsia="Calibri"/>
          <w:color w:val="000000"/>
          <w:sz w:val="22"/>
          <w:szCs w:val="22"/>
        </w:rPr>
      </w:pPr>
    </w:p>
    <w:p w14:paraId="1E9B138D" w14:textId="77777777" w:rsidR="008A305D" w:rsidRPr="00D92F6B" w:rsidRDefault="008A305D" w:rsidP="008A305D">
      <w:pPr>
        <w:autoSpaceDE w:val="0"/>
        <w:autoSpaceDN w:val="0"/>
        <w:adjustRightInd w:val="0"/>
        <w:rPr>
          <w:rFonts w:eastAsia="Calibri"/>
          <w:color w:val="000000"/>
          <w:sz w:val="22"/>
          <w:szCs w:val="22"/>
        </w:rPr>
      </w:pPr>
      <w:r w:rsidRPr="00D92F6B">
        <w:rPr>
          <w:rFonts w:eastAsia="Calibri"/>
          <w:color w:val="000000"/>
          <w:sz w:val="22"/>
          <w:szCs w:val="22"/>
        </w:rPr>
        <w:t xml:space="preserve">Ankstesniuose tyrimuose nebuvo registruota kitų, ne neoplastinių širdies ir kraujagyslių sistemos, kasos, endokrininių liaukų ir dantų pažeidimų. Svarbiausi pakitimai buvo širdies hipertrofija ir išsiplėtimas, dėl ko kai kuriems gyvūnėliams pasireiškė širdies nepakankamumo simptomai. </w:t>
      </w:r>
    </w:p>
    <w:p w14:paraId="3E49C61D" w14:textId="77777777" w:rsidR="008A305D" w:rsidRPr="00D92F6B" w:rsidRDefault="008A305D" w:rsidP="008A305D">
      <w:pPr>
        <w:autoSpaceDE w:val="0"/>
        <w:autoSpaceDN w:val="0"/>
        <w:adjustRightInd w:val="0"/>
        <w:rPr>
          <w:rFonts w:eastAsia="Calibri"/>
          <w:color w:val="000000"/>
          <w:sz w:val="22"/>
          <w:szCs w:val="22"/>
        </w:rPr>
      </w:pPr>
    </w:p>
    <w:p w14:paraId="2F4221B9" w14:textId="77777777" w:rsidR="008A305D" w:rsidRPr="00D92F6B" w:rsidRDefault="008A305D" w:rsidP="008A305D">
      <w:pPr>
        <w:autoSpaceDE w:val="0"/>
        <w:autoSpaceDN w:val="0"/>
        <w:adjustRightInd w:val="0"/>
        <w:rPr>
          <w:sz w:val="22"/>
          <w:szCs w:val="22"/>
        </w:rPr>
      </w:pPr>
      <w:r w:rsidRPr="00D92F6B">
        <w:rPr>
          <w:sz w:val="22"/>
          <w:szCs w:val="22"/>
        </w:rPr>
        <w:t>Nustatyta, kad veiklioji medžiaga imatinibas kelia pavojų nuosėdose aptinkamiems organizmams.</w:t>
      </w:r>
    </w:p>
    <w:p w14:paraId="17149239" w14:textId="77777777" w:rsidR="008A305D" w:rsidRPr="00D92F6B" w:rsidRDefault="008A305D" w:rsidP="008A305D">
      <w:pPr>
        <w:autoSpaceDE w:val="0"/>
        <w:autoSpaceDN w:val="0"/>
        <w:adjustRightInd w:val="0"/>
        <w:rPr>
          <w:rFonts w:eastAsia="Calibri"/>
          <w:color w:val="000000"/>
          <w:sz w:val="22"/>
          <w:szCs w:val="22"/>
        </w:rPr>
      </w:pPr>
    </w:p>
    <w:p w14:paraId="0B3A4A49" w14:textId="77777777" w:rsidR="008A305D" w:rsidRPr="00D92F6B" w:rsidRDefault="008A305D" w:rsidP="008A305D">
      <w:pPr>
        <w:autoSpaceDE w:val="0"/>
        <w:autoSpaceDN w:val="0"/>
        <w:adjustRightInd w:val="0"/>
        <w:rPr>
          <w:rFonts w:eastAsia="Calibri"/>
          <w:color w:val="000000"/>
          <w:sz w:val="22"/>
          <w:szCs w:val="22"/>
        </w:rPr>
      </w:pPr>
    </w:p>
    <w:p w14:paraId="56408120" w14:textId="77777777" w:rsidR="008A305D" w:rsidRPr="00BA3FBD" w:rsidRDefault="008A305D" w:rsidP="008A305D">
      <w:pPr>
        <w:pStyle w:val="Sraopastraipa"/>
        <w:numPr>
          <w:ilvl w:val="0"/>
          <w:numId w:val="5"/>
        </w:numPr>
        <w:autoSpaceDE w:val="0"/>
        <w:autoSpaceDN w:val="0"/>
        <w:adjustRightInd w:val="0"/>
        <w:ind w:left="567" w:hanging="567"/>
        <w:rPr>
          <w:rFonts w:eastAsia="Calibri"/>
          <w:b/>
          <w:bCs/>
          <w:color w:val="000000"/>
          <w:sz w:val="22"/>
          <w:szCs w:val="22"/>
        </w:rPr>
      </w:pPr>
      <w:r w:rsidRPr="00BA3FBD">
        <w:rPr>
          <w:rFonts w:eastAsia="Calibri"/>
          <w:b/>
          <w:bCs/>
          <w:color w:val="000000"/>
          <w:sz w:val="22"/>
          <w:szCs w:val="22"/>
        </w:rPr>
        <w:t xml:space="preserve">FARMACINĖ INFORMACIJA </w:t>
      </w:r>
    </w:p>
    <w:p w14:paraId="03A681B8" w14:textId="77777777" w:rsidR="008A305D" w:rsidRPr="00BA3FBD" w:rsidRDefault="008A305D" w:rsidP="008A305D">
      <w:pPr>
        <w:autoSpaceDE w:val="0"/>
        <w:autoSpaceDN w:val="0"/>
        <w:adjustRightInd w:val="0"/>
        <w:rPr>
          <w:rFonts w:eastAsia="Calibri"/>
          <w:color w:val="000000"/>
          <w:sz w:val="22"/>
          <w:szCs w:val="22"/>
        </w:rPr>
      </w:pPr>
    </w:p>
    <w:p w14:paraId="25CB2233" w14:textId="77777777" w:rsidR="008A305D" w:rsidRPr="00BA3FBD" w:rsidRDefault="008A305D" w:rsidP="008A305D">
      <w:pPr>
        <w:pStyle w:val="Sraopastraipa"/>
        <w:numPr>
          <w:ilvl w:val="1"/>
          <w:numId w:val="5"/>
        </w:numPr>
        <w:autoSpaceDE w:val="0"/>
        <w:autoSpaceDN w:val="0"/>
        <w:adjustRightInd w:val="0"/>
        <w:ind w:left="567" w:hanging="567"/>
        <w:rPr>
          <w:rFonts w:eastAsia="Calibri"/>
          <w:b/>
          <w:bCs/>
          <w:color w:val="000000"/>
          <w:sz w:val="22"/>
          <w:szCs w:val="22"/>
        </w:rPr>
      </w:pPr>
      <w:r w:rsidRPr="00BA3FBD">
        <w:rPr>
          <w:rFonts w:eastAsia="Calibri"/>
          <w:b/>
          <w:bCs/>
          <w:color w:val="000000"/>
          <w:sz w:val="22"/>
          <w:szCs w:val="22"/>
        </w:rPr>
        <w:t xml:space="preserve">Pagalbinių medžiagų sąrašas </w:t>
      </w:r>
    </w:p>
    <w:p w14:paraId="7CEBB466" w14:textId="77777777" w:rsidR="008A305D" w:rsidRPr="00BA3FBD" w:rsidRDefault="008A305D" w:rsidP="008A305D">
      <w:pPr>
        <w:autoSpaceDE w:val="0"/>
        <w:autoSpaceDN w:val="0"/>
        <w:adjustRightInd w:val="0"/>
        <w:rPr>
          <w:rFonts w:eastAsia="Calibri"/>
          <w:color w:val="000000"/>
          <w:sz w:val="22"/>
          <w:szCs w:val="22"/>
        </w:rPr>
      </w:pPr>
    </w:p>
    <w:p w14:paraId="79749DE5" w14:textId="77777777" w:rsidR="008A305D" w:rsidRPr="00BA3FBD" w:rsidRDefault="008A305D" w:rsidP="008A305D">
      <w:pPr>
        <w:autoSpaceDE w:val="0"/>
        <w:autoSpaceDN w:val="0"/>
        <w:adjustRightInd w:val="0"/>
        <w:rPr>
          <w:rFonts w:eastAsia="Calibri"/>
          <w:color w:val="000000"/>
          <w:sz w:val="22"/>
          <w:szCs w:val="22"/>
          <w:u w:val="single"/>
        </w:rPr>
      </w:pPr>
      <w:r w:rsidRPr="00BA3FBD">
        <w:rPr>
          <w:rFonts w:eastAsia="Calibri"/>
          <w:color w:val="000000"/>
          <w:sz w:val="22"/>
          <w:szCs w:val="22"/>
          <w:u w:val="single"/>
        </w:rPr>
        <w:t>Tabletės šerdis</w:t>
      </w:r>
    </w:p>
    <w:p w14:paraId="09DA492A"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Hipromeliozė (E464)</w:t>
      </w:r>
    </w:p>
    <w:p w14:paraId="16358430"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Mikrokristalinė celiuliozė</w:t>
      </w:r>
    </w:p>
    <w:p w14:paraId="1E1CD432"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Laktozė monohidratas</w:t>
      </w:r>
    </w:p>
    <w:p w14:paraId="530542D4"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 xml:space="preserve">Krospovidonas </w:t>
      </w:r>
    </w:p>
    <w:p w14:paraId="0BE18F7E"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 xml:space="preserve">Koloidinis bevandenis silicio dioksidas </w:t>
      </w:r>
    </w:p>
    <w:p w14:paraId="674A8B65"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Magnio stearatas</w:t>
      </w:r>
    </w:p>
    <w:p w14:paraId="31D28B7E" w14:textId="77777777" w:rsidR="008A305D" w:rsidRPr="00BA3FBD" w:rsidRDefault="008A305D" w:rsidP="008A305D">
      <w:pPr>
        <w:autoSpaceDE w:val="0"/>
        <w:autoSpaceDN w:val="0"/>
        <w:adjustRightInd w:val="0"/>
        <w:rPr>
          <w:rFonts w:eastAsia="Calibri"/>
          <w:color w:val="000000"/>
          <w:sz w:val="22"/>
          <w:szCs w:val="22"/>
        </w:rPr>
      </w:pPr>
    </w:p>
    <w:p w14:paraId="753E2687" w14:textId="77777777" w:rsidR="008A305D" w:rsidRPr="00BA3FBD" w:rsidRDefault="008A305D" w:rsidP="008A305D">
      <w:pPr>
        <w:autoSpaceDE w:val="0"/>
        <w:autoSpaceDN w:val="0"/>
        <w:adjustRightInd w:val="0"/>
        <w:rPr>
          <w:rFonts w:eastAsia="Calibri"/>
          <w:color w:val="000000"/>
          <w:sz w:val="22"/>
          <w:szCs w:val="22"/>
          <w:u w:val="single"/>
        </w:rPr>
      </w:pPr>
      <w:r w:rsidRPr="00BA3FBD">
        <w:rPr>
          <w:rFonts w:eastAsia="Calibri"/>
          <w:color w:val="000000"/>
          <w:sz w:val="22"/>
          <w:szCs w:val="22"/>
          <w:u w:val="single"/>
        </w:rPr>
        <w:t>Tabletės dangalas</w:t>
      </w:r>
    </w:p>
    <w:p w14:paraId="6C590D5D"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Hipromeliozė (E464)</w:t>
      </w:r>
    </w:p>
    <w:p w14:paraId="2F62A072"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lastRenderedPageBreak/>
        <w:t>Makrogolis (E1521)</w:t>
      </w:r>
    </w:p>
    <w:p w14:paraId="75B21266"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Talkas (E553b)</w:t>
      </w:r>
    </w:p>
    <w:p w14:paraId="4B78BCDA"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Geltonasis geležies oksidas (E172)</w:t>
      </w:r>
    </w:p>
    <w:p w14:paraId="71F1E350"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Raudonasis geležies oksidas (E172)</w:t>
      </w:r>
    </w:p>
    <w:p w14:paraId="67AA7862" w14:textId="77777777" w:rsidR="008A305D" w:rsidRPr="00BA3FBD" w:rsidRDefault="008A305D" w:rsidP="008A305D">
      <w:pPr>
        <w:autoSpaceDE w:val="0"/>
        <w:autoSpaceDN w:val="0"/>
        <w:adjustRightInd w:val="0"/>
        <w:rPr>
          <w:rFonts w:eastAsia="Calibri"/>
          <w:color w:val="000000"/>
          <w:sz w:val="22"/>
          <w:szCs w:val="22"/>
        </w:rPr>
      </w:pPr>
    </w:p>
    <w:p w14:paraId="11D93F44" w14:textId="77777777" w:rsidR="008A305D" w:rsidRPr="00BA3FBD" w:rsidRDefault="008A305D" w:rsidP="008A305D">
      <w:pPr>
        <w:pStyle w:val="Sraopastraipa"/>
        <w:numPr>
          <w:ilvl w:val="1"/>
          <w:numId w:val="5"/>
        </w:numPr>
        <w:autoSpaceDE w:val="0"/>
        <w:autoSpaceDN w:val="0"/>
        <w:adjustRightInd w:val="0"/>
        <w:ind w:left="567" w:hanging="567"/>
        <w:rPr>
          <w:rFonts w:eastAsia="Calibri"/>
          <w:b/>
          <w:bCs/>
          <w:color w:val="000000"/>
          <w:sz w:val="22"/>
          <w:szCs w:val="22"/>
        </w:rPr>
      </w:pPr>
      <w:r w:rsidRPr="00BA3FBD">
        <w:rPr>
          <w:rFonts w:eastAsia="Calibri"/>
          <w:b/>
          <w:bCs/>
          <w:color w:val="000000"/>
          <w:sz w:val="22"/>
          <w:szCs w:val="22"/>
        </w:rPr>
        <w:t xml:space="preserve">Nesuderinamumas </w:t>
      </w:r>
    </w:p>
    <w:p w14:paraId="565CCA40" w14:textId="77777777" w:rsidR="008A305D" w:rsidRPr="00BA3FBD" w:rsidRDefault="008A305D" w:rsidP="008A305D">
      <w:pPr>
        <w:autoSpaceDE w:val="0"/>
        <w:autoSpaceDN w:val="0"/>
        <w:adjustRightInd w:val="0"/>
        <w:rPr>
          <w:rFonts w:eastAsia="Calibri"/>
          <w:color w:val="000000"/>
          <w:sz w:val="22"/>
          <w:szCs w:val="22"/>
        </w:rPr>
      </w:pPr>
    </w:p>
    <w:p w14:paraId="40C7DC15"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 xml:space="preserve">Duomenys nebūtini. </w:t>
      </w:r>
    </w:p>
    <w:p w14:paraId="4E52DB82" w14:textId="77777777" w:rsidR="008A305D" w:rsidRPr="00BA3FBD" w:rsidRDefault="008A305D" w:rsidP="008A305D">
      <w:pPr>
        <w:autoSpaceDE w:val="0"/>
        <w:autoSpaceDN w:val="0"/>
        <w:adjustRightInd w:val="0"/>
        <w:rPr>
          <w:rFonts w:eastAsia="Calibri"/>
          <w:color w:val="000000"/>
          <w:sz w:val="22"/>
          <w:szCs w:val="22"/>
        </w:rPr>
      </w:pPr>
    </w:p>
    <w:p w14:paraId="5BBBE7D0" w14:textId="77777777" w:rsidR="008A305D" w:rsidRPr="00BA3FBD" w:rsidRDefault="008A305D" w:rsidP="008A305D">
      <w:pPr>
        <w:pStyle w:val="Sraopastraipa"/>
        <w:numPr>
          <w:ilvl w:val="1"/>
          <w:numId w:val="5"/>
        </w:numPr>
        <w:autoSpaceDE w:val="0"/>
        <w:autoSpaceDN w:val="0"/>
        <w:adjustRightInd w:val="0"/>
        <w:ind w:left="567" w:hanging="567"/>
        <w:rPr>
          <w:rFonts w:eastAsia="Calibri"/>
          <w:b/>
          <w:bCs/>
          <w:color w:val="000000"/>
          <w:sz w:val="22"/>
          <w:szCs w:val="22"/>
        </w:rPr>
      </w:pPr>
      <w:r w:rsidRPr="00BA3FBD">
        <w:rPr>
          <w:rFonts w:eastAsia="Calibri"/>
          <w:b/>
          <w:bCs/>
          <w:color w:val="000000"/>
          <w:sz w:val="22"/>
          <w:szCs w:val="22"/>
        </w:rPr>
        <w:t xml:space="preserve">Tinkamumo laikas </w:t>
      </w:r>
    </w:p>
    <w:p w14:paraId="52B8EB61" w14:textId="77777777" w:rsidR="008A305D" w:rsidRDefault="008A305D" w:rsidP="008A305D">
      <w:pPr>
        <w:autoSpaceDE w:val="0"/>
        <w:autoSpaceDN w:val="0"/>
        <w:adjustRightInd w:val="0"/>
        <w:rPr>
          <w:rFonts w:eastAsia="Calibri"/>
          <w:color w:val="000000"/>
          <w:sz w:val="22"/>
          <w:szCs w:val="22"/>
        </w:rPr>
      </w:pPr>
    </w:p>
    <w:p w14:paraId="1B2AD9C2" w14:textId="77777777" w:rsidR="008A305D" w:rsidRPr="00BA3FBD" w:rsidRDefault="008A305D" w:rsidP="008A305D">
      <w:pPr>
        <w:autoSpaceDE w:val="0"/>
        <w:autoSpaceDN w:val="0"/>
        <w:adjustRightInd w:val="0"/>
        <w:rPr>
          <w:rFonts w:eastAsia="Calibri"/>
          <w:color w:val="000000"/>
          <w:sz w:val="22"/>
          <w:szCs w:val="22"/>
        </w:rPr>
      </w:pPr>
      <w:r>
        <w:rPr>
          <w:rFonts w:eastAsia="Calibri"/>
          <w:color w:val="000000"/>
          <w:sz w:val="22"/>
          <w:szCs w:val="22"/>
        </w:rPr>
        <w:t>100 mg ir 400 mg: 3 metai.</w:t>
      </w:r>
    </w:p>
    <w:p w14:paraId="55F0A212" w14:textId="77777777" w:rsidR="008A305D" w:rsidRPr="00BA3FBD" w:rsidRDefault="008A305D" w:rsidP="008A305D">
      <w:pPr>
        <w:autoSpaceDE w:val="0"/>
        <w:autoSpaceDN w:val="0"/>
        <w:adjustRightInd w:val="0"/>
        <w:rPr>
          <w:rFonts w:eastAsia="Calibri"/>
          <w:color w:val="000000"/>
          <w:sz w:val="22"/>
          <w:szCs w:val="22"/>
        </w:rPr>
      </w:pPr>
      <w:r>
        <w:rPr>
          <w:rFonts w:eastAsia="Calibri"/>
          <w:color w:val="000000"/>
          <w:sz w:val="22"/>
          <w:szCs w:val="22"/>
        </w:rPr>
        <w:t xml:space="preserve">200 mg ir 300 mg: </w:t>
      </w:r>
      <w:r w:rsidRPr="00BA3FBD">
        <w:rPr>
          <w:rFonts w:eastAsia="Calibri"/>
          <w:color w:val="000000"/>
          <w:sz w:val="22"/>
          <w:szCs w:val="22"/>
        </w:rPr>
        <w:t xml:space="preserve">2 metai. </w:t>
      </w:r>
    </w:p>
    <w:p w14:paraId="0B866808" w14:textId="77777777" w:rsidR="008A305D" w:rsidRPr="00BA3FBD" w:rsidRDefault="008A305D" w:rsidP="008A305D">
      <w:pPr>
        <w:autoSpaceDE w:val="0"/>
        <w:autoSpaceDN w:val="0"/>
        <w:adjustRightInd w:val="0"/>
        <w:rPr>
          <w:rFonts w:eastAsia="Calibri"/>
          <w:color w:val="000000"/>
          <w:sz w:val="22"/>
          <w:szCs w:val="22"/>
        </w:rPr>
      </w:pPr>
    </w:p>
    <w:p w14:paraId="3E51A611" w14:textId="77777777" w:rsidR="008A305D" w:rsidRPr="00BA3FBD" w:rsidRDefault="008A305D" w:rsidP="008A305D">
      <w:pPr>
        <w:pStyle w:val="Sraopastraipa"/>
        <w:numPr>
          <w:ilvl w:val="1"/>
          <w:numId w:val="5"/>
        </w:numPr>
        <w:autoSpaceDE w:val="0"/>
        <w:autoSpaceDN w:val="0"/>
        <w:adjustRightInd w:val="0"/>
        <w:ind w:left="567" w:hanging="567"/>
        <w:rPr>
          <w:rFonts w:eastAsia="Calibri"/>
          <w:b/>
          <w:bCs/>
          <w:color w:val="000000"/>
          <w:sz w:val="22"/>
          <w:szCs w:val="22"/>
        </w:rPr>
      </w:pPr>
      <w:r w:rsidRPr="00BA3FBD">
        <w:rPr>
          <w:rFonts w:eastAsia="Calibri"/>
          <w:b/>
          <w:bCs/>
          <w:color w:val="000000"/>
          <w:sz w:val="22"/>
          <w:szCs w:val="22"/>
        </w:rPr>
        <w:t xml:space="preserve">Specialios laikymo sąlygos </w:t>
      </w:r>
    </w:p>
    <w:p w14:paraId="5D5CA5A1" w14:textId="77777777" w:rsidR="008A305D" w:rsidRPr="00BA3FBD" w:rsidRDefault="008A305D" w:rsidP="008A305D">
      <w:pPr>
        <w:autoSpaceDE w:val="0"/>
        <w:autoSpaceDN w:val="0"/>
        <w:adjustRightInd w:val="0"/>
        <w:rPr>
          <w:rFonts w:eastAsia="Calibri"/>
          <w:color w:val="000000"/>
          <w:sz w:val="22"/>
          <w:szCs w:val="22"/>
        </w:rPr>
      </w:pPr>
    </w:p>
    <w:p w14:paraId="464AE7F5" w14:textId="77777777" w:rsidR="008A305D" w:rsidRPr="00BA3FBD" w:rsidRDefault="008A305D" w:rsidP="008A305D">
      <w:pPr>
        <w:autoSpaceDE w:val="0"/>
        <w:autoSpaceDN w:val="0"/>
        <w:adjustRightInd w:val="0"/>
        <w:rPr>
          <w:rFonts w:ascii="Arial" w:eastAsia="Calibri" w:hAnsi="Arial" w:cs="Arial"/>
          <w:color w:val="000000"/>
          <w:sz w:val="16"/>
          <w:szCs w:val="16"/>
        </w:rPr>
      </w:pPr>
      <w:r w:rsidRPr="00BA3FBD">
        <w:rPr>
          <w:rFonts w:eastAsia="Calibri"/>
          <w:color w:val="000000"/>
          <w:sz w:val="22"/>
          <w:szCs w:val="22"/>
        </w:rPr>
        <w:t>Šiam vaistiniam preparatui specialių laikymo sąlygų nereikia.</w:t>
      </w:r>
    </w:p>
    <w:p w14:paraId="42B16D02" w14:textId="77777777" w:rsidR="008A305D" w:rsidRPr="00BA3FBD" w:rsidRDefault="008A305D" w:rsidP="008A305D">
      <w:pPr>
        <w:autoSpaceDE w:val="0"/>
        <w:autoSpaceDN w:val="0"/>
        <w:adjustRightInd w:val="0"/>
        <w:rPr>
          <w:rFonts w:eastAsia="Calibri"/>
          <w:sz w:val="22"/>
          <w:szCs w:val="22"/>
        </w:rPr>
      </w:pPr>
    </w:p>
    <w:p w14:paraId="2BAFB8C0" w14:textId="77777777" w:rsidR="008A305D" w:rsidRPr="00BA3FBD" w:rsidRDefault="008A305D" w:rsidP="008A305D">
      <w:pPr>
        <w:pStyle w:val="Sraopastraipa"/>
        <w:numPr>
          <w:ilvl w:val="1"/>
          <w:numId w:val="5"/>
        </w:numPr>
        <w:autoSpaceDE w:val="0"/>
        <w:autoSpaceDN w:val="0"/>
        <w:adjustRightInd w:val="0"/>
        <w:ind w:left="567" w:hanging="567"/>
        <w:rPr>
          <w:rFonts w:eastAsia="Calibri"/>
          <w:b/>
          <w:sz w:val="22"/>
          <w:szCs w:val="22"/>
        </w:rPr>
      </w:pPr>
      <w:r w:rsidRPr="00BA3FBD">
        <w:rPr>
          <w:rFonts w:eastAsia="Calibri"/>
          <w:b/>
          <w:sz w:val="22"/>
          <w:szCs w:val="22"/>
        </w:rPr>
        <w:t>Talpyklės pobūdis ir jos turinys</w:t>
      </w:r>
    </w:p>
    <w:p w14:paraId="0F4F5B1F" w14:textId="77777777" w:rsidR="008A305D" w:rsidRPr="00BA3FBD" w:rsidRDefault="008A305D" w:rsidP="008A305D">
      <w:pPr>
        <w:autoSpaceDE w:val="0"/>
        <w:autoSpaceDN w:val="0"/>
        <w:adjustRightInd w:val="0"/>
        <w:rPr>
          <w:rFonts w:eastAsia="Calibri"/>
          <w:sz w:val="22"/>
          <w:szCs w:val="22"/>
        </w:rPr>
      </w:pPr>
    </w:p>
    <w:p w14:paraId="72675EAB"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OPA/aliuminio/PVC/aliuminio lizdinės plokštelės. </w:t>
      </w:r>
    </w:p>
    <w:p w14:paraId="02A7BEFC" w14:textId="77777777" w:rsidR="008A305D" w:rsidRPr="00BA3FBD" w:rsidRDefault="008A305D" w:rsidP="008A305D">
      <w:pPr>
        <w:autoSpaceDE w:val="0"/>
        <w:autoSpaceDN w:val="0"/>
        <w:adjustRightInd w:val="0"/>
        <w:rPr>
          <w:rFonts w:eastAsia="Calibri"/>
          <w:sz w:val="22"/>
          <w:szCs w:val="22"/>
        </w:rPr>
      </w:pPr>
    </w:p>
    <w:p w14:paraId="78567C92" w14:textId="77777777" w:rsidR="008A305D" w:rsidRPr="00BA3FBD" w:rsidRDefault="008A305D" w:rsidP="008A305D">
      <w:pPr>
        <w:autoSpaceDE w:val="0"/>
        <w:autoSpaceDN w:val="0"/>
        <w:adjustRightInd w:val="0"/>
        <w:rPr>
          <w:rFonts w:eastAsia="Calibri"/>
          <w:sz w:val="22"/>
          <w:szCs w:val="22"/>
        </w:rPr>
      </w:pPr>
      <w:r w:rsidRPr="0045031A">
        <w:rPr>
          <w:rFonts w:eastAsia="Calibri"/>
          <w:i/>
          <w:sz w:val="22"/>
          <w:szCs w:val="22"/>
        </w:rPr>
        <w:t>Pakuotės dydžiai</w:t>
      </w:r>
      <w:r>
        <w:rPr>
          <w:rFonts w:eastAsia="Calibri"/>
          <w:sz w:val="22"/>
          <w:szCs w:val="22"/>
        </w:rPr>
        <w:t>:</w:t>
      </w:r>
      <w:r w:rsidRPr="00BA3FBD">
        <w:rPr>
          <w:rFonts w:eastAsia="Calibri"/>
          <w:sz w:val="22"/>
          <w:szCs w:val="22"/>
        </w:rPr>
        <w:t xml:space="preserve"> 30, 60, 90 ar 120 plėvele dengtų tablečių.</w:t>
      </w:r>
    </w:p>
    <w:p w14:paraId="28F5E1A2" w14:textId="77777777" w:rsidR="008A305D" w:rsidRPr="00BA3FBD" w:rsidRDefault="008A305D" w:rsidP="008A305D">
      <w:pPr>
        <w:autoSpaceDE w:val="0"/>
        <w:autoSpaceDN w:val="0"/>
        <w:adjustRightInd w:val="0"/>
        <w:rPr>
          <w:rFonts w:eastAsia="Calibri"/>
          <w:sz w:val="22"/>
          <w:szCs w:val="22"/>
        </w:rPr>
      </w:pPr>
    </w:p>
    <w:p w14:paraId="7BDDC02A"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Gali būti tiekiamos ne visų dydžių pakuotės.</w:t>
      </w:r>
    </w:p>
    <w:p w14:paraId="052213EE" w14:textId="77777777" w:rsidR="008A305D" w:rsidRPr="00BA3FBD" w:rsidRDefault="008A305D" w:rsidP="008A305D">
      <w:pPr>
        <w:autoSpaceDE w:val="0"/>
        <w:autoSpaceDN w:val="0"/>
        <w:adjustRightInd w:val="0"/>
        <w:rPr>
          <w:rFonts w:eastAsia="Calibri"/>
          <w:sz w:val="22"/>
          <w:szCs w:val="22"/>
        </w:rPr>
      </w:pPr>
    </w:p>
    <w:p w14:paraId="076350EE" w14:textId="77777777" w:rsidR="008A305D" w:rsidRPr="00BA3FBD" w:rsidRDefault="008A305D" w:rsidP="008A305D">
      <w:pPr>
        <w:tabs>
          <w:tab w:val="left" w:pos="567"/>
        </w:tabs>
        <w:autoSpaceDE w:val="0"/>
        <w:autoSpaceDN w:val="0"/>
        <w:adjustRightInd w:val="0"/>
        <w:rPr>
          <w:rFonts w:eastAsia="Calibri"/>
          <w:b/>
          <w:sz w:val="22"/>
          <w:szCs w:val="22"/>
        </w:rPr>
      </w:pPr>
      <w:r w:rsidRPr="00BA3FBD">
        <w:rPr>
          <w:rFonts w:eastAsia="Calibri"/>
          <w:b/>
          <w:sz w:val="22"/>
          <w:szCs w:val="22"/>
        </w:rPr>
        <w:t>6.6.</w:t>
      </w:r>
      <w:r w:rsidRPr="00BA3FBD">
        <w:rPr>
          <w:rFonts w:eastAsia="Calibri"/>
          <w:b/>
          <w:sz w:val="22"/>
          <w:szCs w:val="22"/>
        </w:rPr>
        <w:tab/>
        <w:t>Specialūs reikalavimai atliekoms tvarkyti</w:t>
      </w:r>
    </w:p>
    <w:p w14:paraId="0824682C" w14:textId="77777777" w:rsidR="008A305D" w:rsidRPr="00BA3FBD" w:rsidRDefault="008A305D" w:rsidP="008A305D">
      <w:pPr>
        <w:autoSpaceDE w:val="0"/>
        <w:autoSpaceDN w:val="0"/>
        <w:adjustRightInd w:val="0"/>
        <w:rPr>
          <w:rFonts w:eastAsia="Calibri"/>
          <w:b/>
          <w:sz w:val="22"/>
          <w:szCs w:val="22"/>
        </w:rPr>
      </w:pPr>
    </w:p>
    <w:p w14:paraId="77BD0BD0" w14:textId="77777777" w:rsidR="008A305D" w:rsidRDefault="008A305D" w:rsidP="008A305D">
      <w:pPr>
        <w:autoSpaceDE w:val="0"/>
        <w:autoSpaceDN w:val="0"/>
        <w:adjustRightInd w:val="0"/>
        <w:rPr>
          <w:rFonts w:eastAsia="Calibri"/>
          <w:sz w:val="22"/>
          <w:szCs w:val="22"/>
        </w:rPr>
      </w:pPr>
      <w:r w:rsidRPr="00EB7C83">
        <w:rPr>
          <w:rFonts w:eastAsia="Calibri"/>
          <w:sz w:val="22"/>
          <w:szCs w:val="22"/>
        </w:rPr>
        <w:t>Nesuvartotą vaistinį preparatą ar atliekas reikia tvarkyti l</w:t>
      </w:r>
      <w:r>
        <w:rPr>
          <w:rFonts w:eastAsia="Calibri"/>
          <w:sz w:val="22"/>
          <w:szCs w:val="22"/>
        </w:rPr>
        <w:t>aikantis vietinių reikalavimų.</w:t>
      </w:r>
    </w:p>
    <w:p w14:paraId="2A7B34BB" w14:textId="77777777" w:rsidR="008A305D" w:rsidRPr="00BA3FBD" w:rsidRDefault="008A305D" w:rsidP="008A305D">
      <w:pPr>
        <w:autoSpaceDE w:val="0"/>
        <w:autoSpaceDN w:val="0"/>
        <w:adjustRightInd w:val="0"/>
        <w:rPr>
          <w:rFonts w:eastAsia="Calibri"/>
          <w:sz w:val="22"/>
          <w:szCs w:val="22"/>
          <w:u w:val="single"/>
        </w:rPr>
      </w:pPr>
    </w:p>
    <w:p w14:paraId="53A2C1AC" w14:textId="77777777" w:rsidR="008A305D" w:rsidRPr="00BA3FBD" w:rsidRDefault="008A305D" w:rsidP="008A305D">
      <w:pPr>
        <w:autoSpaceDE w:val="0"/>
        <w:autoSpaceDN w:val="0"/>
        <w:adjustRightInd w:val="0"/>
        <w:rPr>
          <w:rFonts w:eastAsia="Calibri"/>
          <w:sz w:val="22"/>
          <w:szCs w:val="22"/>
        </w:rPr>
      </w:pPr>
    </w:p>
    <w:p w14:paraId="25ECD839" w14:textId="77777777" w:rsidR="008A305D" w:rsidRPr="00BA3FBD" w:rsidRDefault="008A305D" w:rsidP="008A305D">
      <w:pPr>
        <w:pStyle w:val="Sraopastraipa"/>
        <w:numPr>
          <w:ilvl w:val="0"/>
          <w:numId w:val="5"/>
        </w:numPr>
        <w:autoSpaceDE w:val="0"/>
        <w:autoSpaceDN w:val="0"/>
        <w:adjustRightInd w:val="0"/>
        <w:ind w:left="567" w:hanging="567"/>
        <w:rPr>
          <w:rFonts w:eastAsia="Calibri"/>
          <w:b/>
          <w:sz w:val="22"/>
          <w:szCs w:val="22"/>
        </w:rPr>
      </w:pPr>
      <w:r w:rsidRPr="00BA3FBD">
        <w:rPr>
          <w:rFonts w:eastAsia="Calibri"/>
          <w:b/>
          <w:sz w:val="22"/>
          <w:szCs w:val="22"/>
        </w:rPr>
        <w:t>REGISTRUOTOJAS</w:t>
      </w:r>
    </w:p>
    <w:p w14:paraId="0A2FDC66" w14:textId="77777777" w:rsidR="008A305D" w:rsidRPr="00BA3FBD" w:rsidRDefault="008A305D" w:rsidP="008A305D">
      <w:pPr>
        <w:autoSpaceDE w:val="0"/>
        <w:autoSpaceDN w:val="0"/>
        <w:adjustRightInd w:val="0"/>
        <w:rPr>
          <w:rFonts w:eastAsia="Calibri"/>
          <w:b/>
          <w:sz w:val="22"/>
          <w:szCs w:val="22"/>
        </w:rPr>
      </w:pPr>
    </w:p>
    <w:p w14:paraId="6926F8CA" w14:textId="77777777" w:rsidR="008A305D" w:rsidRPr="00BA3FBD" w:rsidRDefault="008A305D" w:rsidP="008A305D">
      <w:pPr>
        <w:autoSpaceDE w:val="0"/>
        <w:autoSpaceDN w:val="0"/>
        <w:adjustRightInd w:val="0"/>
        <w:rPr>
          <w:sz w:val="22"/>
          <w:szCs w:val="22"/>
        </w:rPr>
      </w:pPr>
      <w:r w:rsidRPr="00BA3FBD">
        <w:rPr>
          <w:sz w:val="22"/>
          <w:szCs w:val="22"/>
        </w:rPr>
        <w:t>Actavis Group PTC ehf.</w:t>
      </w:r>
    </w:p>
    <w:p w14:paraId="17233F04" w14:textId="77777777" w:rsidR="008A305D" w:rsidRPr="00BA3FBD" w:rsidRDefault="008A305D" w:rsidP="008A305D">
      <w:pPr>
        <w:autoSpaceDE w:val="0"/>
        <w:autoSpaceDN w:val="0"/>
        <w:adjustRightInd w:val="0"/>
        <w:rPr>
          <w:sz w:val="22"/>
          <w:szCs w:val="22"/>
        </w:rPr>
      </w:pPr>
      <w:r w:rsidRPr="00BA3FBD">
        <w:rPr>
          <w:sz w:val="22"/>
          <w:szCs w:val="22"/>
        </w:rPr>
        <w:t>Reykjavíkurvegi 76-78</w:t>
      </w:r>
    </w:p>
    <w:p w14:paraId="3E3549EE" w14:textId="77777777" w:rsidR="008A305D" w:rsidRPr="00BA3FBD" w:rsidRDefault="008A305D" w:rsidP="008A305D">
      <w:pPr>
        <w:autoSpaceDE w:val="0"/>
        <w:autoSpaceDN w:val="0"/>
        <w:adjustRightInd w:val="0"/>
        <w:rPr>
          <w:sz w:val="22"/>
          <w:szCs w:val="22"/>
        </w:rPr>
      </w:pPr>
      <w:r w:rsidRPr="00BA3FBD">
        <w:rPr>
          <w:sz w:val="22"/>
          <w:szCs w:val="22"/>
        </w:rPr>
        <w:t>220 Hafnarfjörður</w:t>
      </w:r>
    </w:p>
    <w:p w14:paraId="1D620242" w14:textId="77777777" w:rsidR="008A305D" w:rsidRPr="00BA3FBD" w:rsidRDefault="008A305D" w:rsidP="008A305D">
      <w:pPr>
        <w:autoSpaceDE w:val="0"/>
        <w:autoSpaceDN w:val="0"/>
        <w:adjustRightInd w:val="0"/>
        <w:rPr>
          <w:sz w:val="22"/>
          <w:szCs w:val="22"/>
        </w:rPr>
      </w:pPr>
      <w:r w:rsidRPr="00BA3FBD">
        <w:rPr>
          <w:sz w:val="22"/>
          <w:szCs w:val="22"/>
        </w:rPr>
        <w:t>Islandija</w:t>
      </w:r>
    </w:p>
    <w:p w14:paraId="53FD6CCD" w14:textId="77777777" w:rsidR="008A305D" w:rsidRPr="00BA3FBD" w:rsidRDefault="008A305D" w:rsidP="008A305D">
      <w:pPr>
        <w:autoSpaceDE w:val="0"/>
        <w:autoSpaceDN w:val="0"/>
        <w:adjustRightInd w:val="0"/>
        <w:rPr>
          <w:sz w:val="22"/>
          <w:szCs w:val="22"/>
        </w:rPr>
      </w:pPr>
    </w:p>
    <w:p w14:paraId="3C43D19C" w14:textId="77777777" w:rsidR="008A305D" w:rsidRPr="00BA3FBD" w:rsidRDefault="008A305D" w:rsidP="008A305D">
      <w:pPr>
        <w:autoSpaceDE w:val="0"/>
        <w:autoSpaceDN w:val="0"/>
        <w:adjustRightInd w:val="0"/>
        <w:rPr>
          <w:sz w:val="22"/>
          <w:szCs w:val="22"/>
        </w:rPr>
      </w:pPr>
    </w:p>
    <w:p w14:paraId="10CD1F0C" w14:textId="77777777" w:rsidR="008A305D" w:rsidRPr="00BA3FBD" w:rsidRDefault="008A305D" w:rsidP="008A305D">
      <w:pPr>
        <w:pStyle w:val="Sraopastraipa"/>
        <w:numPr>
          <w:ilvl w:val="0"/>
          <w:numId w:val="5"/>
        </w:numPr>
        <w:autoSpaceDE w:val="0"/>
        <w:autoSpaceDN w:val="0"/>
        <w:adjustRightInd w:val="0"/>
        <w:ind w:left="567" w:hanging="567"/>
        <w:rPr>
          <w:rFonts w:eastAsia="Calibri"/>
          <w:b/>
          <w:sz w:val="22"/>
          <w:szCs w:val="22"/>
        </w:rPr>
      </w:pPr>
      <w:r w:rsidRPr="00BA3FBD">
        <w:rPr>
          <w:rFonts w:eastAsia="Calibri"/>
          <w:b/>
          <w:sz w:val="22"/>
          <w:szCs w:val="22"/>
        </w:rPr>
        <w:t>REGISTRACIJOS PAŽYMĖJIMO NUMERI</w:t>
      </w:r>
      <w:r>
        <w:rPr>
          <w:rFonts w:eastAsia="Calibri"/>
          <w:b/>
          <w:sz w:val="22"/>
          <w:szCs w:val="22"/>
        </w:rPr>
        <w:t>S (-I</w:t>
      </w:r>
      <w:r w:rsidRPr="00BA3FBD">
        <w:rPr>
          <w:rFonts w:eastAsia="Calibri"/>
          <w:b/>
          <w:sz w:val="22"/>
          <w:szCs w:val="22"/>
        </w:rPr>
        <w:t>AI</w:t>
      </w:r>
      <w:r>
        <w:rPr>
          <w:rFonts w:eastAsia="Calibri"/>
          <w:b/>
          <w:sz w:val="22"/>
          <w:szCs w:val="22"/>
        </w:rPr>
        <w:t>)</w:t>
      </w:r>
    </w:p>
    <w:p w14:paraId="282CCCE1" w14:textId="77777777" w:rsidR="008A305D" w:rsidRDefault="008A305D" w:rsidP="008A305D">
      <w:pPr>
        <w:autoSpaceDE w:val="0"/>
        <w:autoSpaceDN w:val="0"/>
        <w:adjustRightInd w:val="0"/>
        <w:rPr>
          <w:bCs/>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8A305D" w14:paraId="28164EF3" w14:textId="77777777" w:rsidTr="00412F88">
        <w:tc>
          <w:tcPr>
            <w:tcW w:w="4697" w:type="dxa"/>
          </w:tcPr>
          <w:p w14:paraId="59BC8C15" w14:textId="77777777" w:rsidR="008A305D" w:rsidRDefault="008A305D" w:rsidP="00412F88">
            <w:pPr>
              <w:autoSpaceDE w:val="0"/>
              <w:autoSpaceDN w:val="0"/>
              <w:adjustRightInd w:val="0"/>
              <w:rPr>
                <w:sz w:val="22"/>
                <w:szCs w:val="22"/>
              </w:rPr>
            </w:pPr>
            <w:r w:rsidRPr="00BA3FBD">
              <w:rPr>
                <w:sz w:val="22"/>
                <w:szCs w:val="22"/>
              </w:rPr>
              <w:t>Imatinib Actavis Group 100 mg</w:t>
            </w:r>
          </w:p>
          <w:p w14:paraId="3156F23F" w14:textId="77777777" w:rsidR="008A305D" w:rsidRDefault="008A305D" w:rsidP="00412F88">
            <w:pPr>
              <w:autoSpaceDE w:val="0"/>
              <w:autoSpaceDN w:val="0"/>
              <w:adjustRightInd w:val="0"/>
              <w:rPr>
                <w:bCs/>
                <w:sz w:val="22"/>
                <w:szCs w:val="22"/>
              </w:rPr>
            </w:pPr>
            <w:r>
              <w:rPr>
                <w:bCs/>
                <w:sz w:val="22"/>
                <w:szCs w:val="22"/>
              </w:rPr>
              <w:t>N30 – LT/1/15/3836/001</w:t>
            </w:r>
          </w:p>
          <w:p w14:paraId="6F9834F3" w14:textId="77777777" w:rsidR="008A305D" w:rsidRDefault="008A305D" w:rsidP="00412F88">
            <w:pPr>
              <w:autoSpaceDE w:val="0"/>
              <w:autoSpaceDN w:val="0"/>
              <w:adjustRightInd w:val="0"/>
              <w:rPr>
                <w:bCs/>
                <w:sz w:val="22"/>
                <w:szCs w:val="22"/>
              </w:rPr>
            </w:pPr>
            <w:r>
              <w:rPr>
                <w:bCs/>
                <w:sz w:val="22"/>
                <w:szCs w:val="22"/>
              </w:rPr>
              <w:t>N60 – LT/1/15/3836/002</w:t>
            </w:r>
          </w:p>
          <w:p w14:paraId="3D3434DB" w14:textId="77777777" w:rsidR="008A305D" w:rsidRDefault="008A305D" w:rsidP="00412F88">
            <w:pPr>
              <w:autoSpaceDE w:val="0"/>
              <w:autoSpaceDN w:val="0"/>
              <w:adjustRightInd w:val="0"/>
              <w:rPr>
                <w:bCs/>
                <w:sz w:val="22"/>
                <w:szCs w:val="22"/>
              </w:rPr>
            </w:pPr>
            <w:r>
              <w:rPr>
                <w:bCs/>
                <w:sz w:val="22"/>
                <w:szCs w:val="22"/>
              </w:rPr>
              <w:t>N90 – LT/1/15/3836/003</w:t>
            </w:r>
          </w:p>
          <w:p w14:paraId="16DC82AA" w14:textId="77777777" w:rsidR="008A305D" w:rsidRDefault="008A305D" w:rsidP="00412F88">
            <w:pPr>
              <w:autoSpaceDE w:val="0"/>
              <w:autoSpaceDN w:val="0"/>
              <w:adjustRightInd w:val="0"/>
              <w:rPr>
                <w:sz w:val="22"/>
                <w:szCs w:val="22"/>
              </w:rPr>
            </w:pPr>
            <w:r>
              <w:rPr>
                <w:bCs/>
                <w:sz w:val="22"/>
                <w:szCs w:val="22"/>
              </w:rPr>
              <w:t>N120 – LT/1/15/3836/004</w:t>
            </w:r>
          </w:p>
        </w:tc>
        <w:tc>
          <w:tcPr>
            <w:tcW w:w="4697" w:type="dxa"/>
          </w:tcPr>
          <w:p w14:paraId="248D63B7" w14:textId="77777777" w:rsidR="008A305D" w:rsidRDefault="008A305D" w:rsidP="00412F88">
            <w:pPr>
              <w:autoSpaceDE w:val="0"/>
              <w:autoSpaceDN w:val="0"/>
              <w:adjustRightInd w:val="0"/>
              <w:rPr>
                <w:sz w:val="22"/>
                <w:szCs w:val="22"/>
              </w:rPr>
            </w:pPr>
            <w:r w:rsidRPr="00BA3FBD">
              <w:rPr>
                <w:sz w:val="22"/>
                <w:szCs w:val="22"/>
              </w:rPr>
              <w:t xml:space="preserve">Imatinib Actavis Group </w:t>
            </w:r>
            <w:r>
              <w:rPr>
                <w:sz w:val="22"/>
                <w:szCs w:val="22"/>
              </w:rPr>
              <w:t>2</w:t>
            </w:r>
            <w:r w:rsidRPr="00BA3FBD">
              <w:rPr>
                <w:sz w:val="22"/>
                <w:szCs w:val="22"/>
              </w:rPr>
              <w:t>00 mg</w:t>
            </w:r>
          </w:p>
          <w:p w14:paraId="5F37208C" w14:textId="77777777" w:rsidR="008A305D" w:rsidRDefault="008A305D" w:rsidP="00412F88">
            <w:pPr>
              <w:autoSpaceDE w:val="0"/>
              <w:autoSpaceDN w:val="0"/>
              <w:adjustRightInd w:val="0"/>
              <w:rPr>
                <w:bCs/>
                <w:sz w:val="22"/>
                <w:szCs w:val="22"/>
              </w:rPr>
            </w:pPr>
            <w:r>
              <w:rPr>
                <w:bCs/>
                <w:sz w:val="22"/>
                <w:szCs w:val="22"/>
              </w:rPr>
              <w:t>N30 – LT/1/15/3836/005</w:t>
            </w:r>
          </w:p>
          <w:p w14:paraId="60E8761F" w14:textId="77777777" w:rsidR="008A305D" w:rsidRDefault="008A305D" w:rsidP="00412F88">
            <w:pPr>
              <w:autoSpaceDE w:val="0"/>
              <w:autoSpaceDN w:val="0"/>
              <w:adjustRightInd w:val="0"/>
              <w:rPr>
                <w:bCs/>
                <w:sz w:val="22"/>
                <w:szCs w:val="22"/>
              </w:rPr>
            </w:pPr>
            <w:r>
              <w:rPr>
                <w:bCs/>
                <w:sz w:val="22"/>
                <w:szCs w:val="22"/>
              </w:rPr>
              <w:t>N60 – LT/1/15/3836/006</w:t>
            </w:r>
          </w:p>
          <w:p w14:paraId="5108663E" w14:textId="77777777" w:rsidR="008A305D" w:rsidRDefault="008A305D" w:rsidP="00412F88">
            <w:pPr>
              <w:autoSpaceDE w:val="0"/>
              <w:autoSpaceDN w:val="0"/>
              <w:adjustRightInd w:val="0"/>
              <w:rPr>
                <w:bCs/>
                <w:sz w:val="22"/>
                <w:szCs w:val="22"/>
              </w:rPr>
            </w:pPr>
            <w:r>
              <w:rPr>
                <w:bCs/>
                <w:sz w:val="22"/>
                <w:szCs w:val="22"/>
              </w:rPr>
              <w:t>N90 – LT/1/15/3836/007</w:t>
            </w:r>
          </w:p>
          <w:p w14:paraId="4A473057" w14:textId="77777777" w:rsidR="008A305D" w:rsidRDefault="008A305D" w:rsidP="00412F88">
            <w:pPr>
              <w:autoSpaceDE w:val="0"/>
              <w:autoSpaceDN w:val="0"/>
              <w:adjustRightInd w:val="0"/>
              <w:rPr>
                <w:sz w:val="22"/>
                <w:szCs w:val="22"/>
              </w:rPr>
            </w:pPr>
            <w:r>
              <w:rPr>
                <w:bCs/>
                <w:sz w:val="22"/>
                <w:szCs w:val="22"/>
              </w:rPr>
              <w:t>N120 – LT/1/15/3836/008</w:t>
            </w:r>
          </w:p>
        </w:tc>
      </w:tr>
      <w:tr w:rsidR="008A305D" w14:paraId="251293E2" w14:textId="77777777" w:rsidTr="00412F88">
        <w:tc>
          <w:tcPr>
            <w:tcW w:w="4697" w:type="dxa"/>
          </w:tcPr>
          <w:p w14:paraId="7ADF95D8" w14:textId="77777777" w:rsidR="008A305D" w:rsidRDefault="008A305D" w:rsidP="00412F88">
            <w:pPr>
              <w:autoSpaceDE w:val="0"/>
              <w:autoSpaceDN w:val="0"/>
              <w:adjustRightInd w:val="0"/>
              <w:rPr>
                <w:sz w:val="22"/>
                <w:szCs w:val="22"/>
              </w:rPr>
            </w:pPr>
            <w:r w:rsidRPr="00BA3FBD">
              <w:rPr>
                <w:sz w:val="22"/>
                <w:szCs w:val="22"/>
              </w:rPr>
              <w:t xml:space="preserve">Imatinib Actavis Group </w:t>
            </w:r>
            <w:r>
              <w:rPr>
                <w:sz w:val="22"/>
                <w:szCs w:val="22"/>
              </w:rPr>
              <w:t>3</w:t>
            </w:r>
            <w:r w:rsidRPr="00BA3FBD">
              <w:rPr>
                <w:sz w:val="22"/>
                <w:szCs w:val="22"/>
              </w:rPr>
              <w:t>00 mg</w:t>
            </w:r>
          </w:p>
          <w:p w14:paraId="6E8469F0" w14:textId="77777777" w:rsidR="008A305D" w:rsidRDefault="008A305D" w:rsidP="00412F88">
            <w:pPr>
              <w:autoSpaceDE w:val="0"/>
              <w:autoSpaceDN w:val="0"/>
              <w:adjustRightInd w:val="0"/>
              <w:rPr>
                <w:bCs/>
                <w:sz w:val="22"/>
                <w:szCs w:val="22"/>
              </w:rPr>
            </w:pPr>
            <w:r>
              <w:rPr>
                <w:bCs/>
                <w:sz w:val="22"/>
                <w:szCs w:val="22"/>
              </w:rPr>
              <w:t>N30 – LT/1/15/3836/009</w:t>
            </w:r>
          </w:p>
          <w:p w14:paraId="68E120BC" w14:textId="77777777" w:rsidR="008A305D" w:rsidRDefault="008A305D" w:rsidP="00412F88">
            <w:pPr>
              <w:autoSpaceDE w:val="0"/>
              <w:autoSpaceDN w:val="0"/>
              <w:adjustRightInd w:val="0"/>
              <w:rPr>
                <w:bCs/>
                <w:sz w:val="22"/>
                <w:szCs w:val="22"/>
              </w:rPr>
            </w:pPr>
            <w:r>
              <w:rPr>
                <w:bCs/>
                <w:sz w:val="22"/>
                <w:szCs w:val="22"/>
              </w:rPr>
              <w:t>N60 – LT/1/15/3836/010</w:t>
            </w:r>
          </w:p>
          <w:p w14:paraId="1FB1B294" w14:textId="77777777" w:rsidR="008A305D" w:rsidRDefault="008A305D" w:rsidP="00412F88">
            <w:pPr>
              <w:autoSpaceDE w:val="0"/>
              <w:autoSpaceDN w:val="0"/>
              <w:adjustRightInd w:val="0"/>
              <w:rPr>
                <w:bCs/>
                <w:sz w:val="22"/>
                <w:szCs w:val="22"/>
              </w:rPr>
            </w:pPr>
            <w:r>
              <w:rPr>
                <w:bCs/>
                <w:sz w:val="22"/>
                <w:szCs w:val="22"/>
              </w:rPr>
              <w:t>N90 – LT/1/15/3836/011</w:t>
            </w:r>
          </w:p>
          <w:p w14:paraId="7F1C88EA" w14:textId="77777777" w:rsidR="008A305D" w:rsidRDefault="008A305D" w:rsidP="00412F88">
            <w:pPr>
              <w:autoSpaceDE w:val="0"/>
              <w:autoSpaceDN w:val="0"/>
              <w:adjustRightInd w:val="0"/>
              <w:rPr>
                <w:sz w:val="22"/>
                <w:szCs w:val="22"/>
              </w:rPr>
            </w:pPr>
            <w:r>
              <w:rPr>
                <w:bCs/>
                <w:sz w:val="22"/>
                <w:szCs w:val="22"/>
              </w:rPr>
              <w:t>N120 – LT/1/15/3836/012</w:t>
            </w:r>
          </w:p>
        </w:tc>
        <w:tc>
          <w:tcPr>
            <w:tcW w:w="4697" w:type="dxa"/>
          </w:tcPr>
          <w:p w14:paraId="04BD7F35" w14:textId="77777777" w:rsidR="008A305D" w:rsidRDefault="008A305D" w:rsidP="00412F88">
            <w:pPr>
              <w:autoSpaceDE w:val="0"/>
              <w:autoSpaceDN w:val="0"/>
              <w:adjustRightInd w:val="0"/>
              <w:rPr>
                <w:sz w:val="22"/>
                <w:szCs w:val="22"/>
              </w:rPr>
            </w:pPr>
            <w:r w:rsidRPr="00BA3FBD">
              <w:rPr>
                <w:sz w:val="22"/>
                <w:szCs w:val="22"/>
              </w:rPr>
              <w:t xml:space="preserve">Imatinib Actavis Group </w:t>
            </w:r>
            <w:r>
              <w:rPr>
                <w:sz w:val="22"/>
                <w:szCs w:val="22"/>
              </w:rPr>
              <w:t>4</w:t>
            </w:r>
            <w:r w:rsidRPr="00BA3FBD">
              <w:rPr>
                <w:sz w:val="22"/>
                <w:szCs w:val="22"/>
              </w:rPr>
              <w:t>00 mg</w:t>
            </w:r>
          </w:p>
          <w:p w14:paraId="74C5D404" w14:textId="77777777" w:rsidR="008A305D" w:rsidRDefault="008A305D" w:rsidP="00412F88">
            <w:pPr>
              <w:autoSpaceDE w:val="0"/>
              <w:autoSpaceDN w:val="0"/>
              <w:adjustRightInd w:val="0"/>
              <w:rPr>
                <w:bCs/>
                <w:sz w:val="22"/>
                <w:szCs w:val="22"/>
              </w:rPr>
            </w:pPr>
            <w:r>
              <w:rPr>
                <w:bCs/>
                <w:sz w:val="22"/>
                <w:szCs w:val="22"/>
              </w:rPr>
              <w:t>N30 – LT/1/15/3836/013</w:t>
            </w:r>
          </w:p>
          <w:p w14:paraId="64638D65" w14:textId="77777777" w:rsidR="008A305D" w:rsidRDefault="008A305D" w:rsidP="00412F88">
            <w:pPr>
              <w:autoSpaceDE w:val="0"/>
              <w:autoSpaceDN w:val="0"/>
              <w:adjustRightInd w:val="0"/>
              <w:rPr>
                <w:bCs/>
                <w:sz w:val="22"/>
                <w:szCs w:val="22"/>
              </w:rPr>
            </w:pPr>
            <w:r>
              <w:rPr>
                <w:bCs/>
                <w:sz w:val="22"/>
                <w:szCs w:val="22"/>
              </w:rPr>
              <w:t>N60 – LT/1/15/3836/014</w:t>
            </w:r>
          </w:p>
          <w:p w14:paraId="5A3443C4" w14:textId="77777777" w:rsidR="008A305D" w:rsidRDefault="008A305D" w:rsidP="00412F88">
            <w:pPr>
              <w:autoSpaceDE w:val="0"/>
              <w:autoSpaceDN w:val="0"/>
              <w:adjustRightInd w:val="0"/>
              <w:rPr>
                <w:bCs/>
                <w:sz w:val="22"/>
                <w:szCs w:val="22"/>
              </w:rPr>
            </w:pPr>
            <w:r>
              <w:rPr>
                <w:bCs/>
                <w:sz w:val="22"/>
                <w:szCs w:val="22"/>
              </w:rPr>
              <w:t>N90 – LT/1/15/3836/015</w:t>
            </w:r>
          </w:p>
          <w:p w14:paraId="22189B82" w14:textId="77777777" w:rsidR="008A305D" w:rsidRDefault="008A305D" w:rsidP="00412F88">
            <w:pPr>
              <w:autoSpaceDE w:val="0"/>
              <w:autoSpaceDN w:val="0"/>
              <w:adjustRightInd w:val="0"/>
              <w:rPr>
                <w:sz w:val="22"/>
                <w:szCs w:val="22"/>
              </w:rPr>
            </w:pPr>
            <w:r>
              <w:rPr>
                <w:bCs/>
                <w:sz w:val="22"/>
                <w:szCs w:val="22"/>
              </w:rPr>
              <w:t>N120 – LT/1/15/3836/016</w:t>
            </w:r>
          </w:p>
        </w:tc>
      </w:tr>
    </w:tbl>
    <w:p w14:paraId="54C00DC8" w14:textId="77777777" w:rsidR="008A305D" w:rsidRDefault="008A305D" w:rsidP="008A305D">
      <w:pPr>
        <w:autoSpaceDE w:val="0"/>
        <w:autoSpaceDN w:val="0"/>
        <w:adjustRightInd w:val="0"/>
        <w:rPr>
          <w:sz w:val="22"/>
          <w:szCs w:val="22"/>
        </w:rPr>
      </w:pPr>
    </w:p>
    <w:p w14:paraId="66DD92D6" w14:textId="77777777" w:rsidR="008A305D" w:rsidRPr="00E93274" w:rsidRDefault="008A305D" w:rsidP="008A305D">
      <w:pPr>
        <w:autoSpaceDE w:val="0"/>
        <w:autoSpaceDN w:val="0"/>
        <w:adjustRightInd w:val="0"/>
        <w:rPr>
          <w:sz w:val="22"/>
          <w:szCs w:val="22"/>
        </w:rPr>
      </w:pPr>
    </w:p>
    <w:p w14:paraId="5D570C22" w14:textId="77777777" w:rsidR="008A305D" w:rsidRPr="00BA3FBD" w:rsidRDefault="008A305D" w:rsidP="008A305D">
      <w:pPr>
        <w:pStyle w:val="Sraopastraipa"/>
        <w:numPr>
          <w:ilvl w:val="0"/>
          <w:numId w:val="5"/>
        </w:numPr>
        <w:autoSpaceDE w:val="0"/>
        <w:autoSpaceDN w:val="0"/>
        <w:adjustRightInd w:val="0"/>
        <w:ind w:left="567" w:hanging="567"/>
        <w:rPr>
          <w:b/>
          <w:sz w:val="22"/>
          <w:szCs w:val="22"/>
        </w:rPr>
      </w:pPr>
      <w:r w:rsidRPr="00BA3FBD">
        <w:rPr>
          <w:b/>
          <w:sz w:val="22"/>
          <w:szCs w:val="22"/>
        </w:rPr>
        <w:t>REGISTRAVIMO / PERREGISTRAVIMO DATA</w:t>
      </w:r>
    </w:p>
    <w:p w14:paraId="6F795FDF" w14:textId="77777777" w:rsidR="008A305D" w:rsidRPr="00E93274" w:rsidRDefault="008A305D" w:rsidP="008A305D">
      <w:pPr>
        <w:autoSpaceDE w:val="0"/>
        <w:autoSpaceDN w:val="0"/>
        <w:adjustRightInd w:val="0"/>
        <w:rPr>
          <w:b/>
          <w:sz w:val="22"/>
          <w:szCs w:val="22"/>
        </w:rPr>
      </w:pPr>
    </w:p>
    <w:p w14:paraId="1E5FE0F4" w14:textId="77777777" w:rsidR="008A305D" w:rsidRPr="00E93274" w:rsidRDefault="008A305D" w:rsidP="008A305D">
      <w:pPr>
        <w:rPr>
          <w:sz w:val="22"/>
          <w:szCs w:val="22"/>
        </w:rPr>
      </w:pPr>
      <w:r w:rsidRPr="00E93274">
        <w:rPr>
          <w:sz w:val="22"/>
          <w:szCs w:val="22"/>
        </w:rPr>
        <w:lastRenderedPageBreak/>
        <w:t>Registravimo data 2015 m. lapkričio mėn. 18 d.</w:t>
      </w:r>
    </w:p>
    <w:p w14:paraId="5F45BC8B" w14:textId="77777777" w:rsidR="008A305D" w:rsidRPr="00E93274" w:rsidRDefault="008A305D" w:rsidP="008A305D">
      <w:pPr>
        <w:autoSpaceDE w:val="0"/>
        <w:autoSpaceDN w:val="0"/>
        <w:adjustRightInd w:val="0"/>
        <w:rPr>
          <w:sz w:val="22"/>
          <w:szCs w:val="22"/>
        </w:rPr>
      </w:pPr>
    </w:p>
    <w:p w14:paraId="115EFA6A" w14:textId="77777777" w:rsidR="008A305D" w:rsidRPr="00E93274" w:rsidRDefault="008A305D" w:rsidP="008A305D">
      <w:pPr>
        <w:autoSpaceDE w:val="0"/>
        <w:autoSpaceDN w:val="0"/>
        <w:adjustRightInd w:val="0"/>
        <w:rPr>
          <w:b/>
          <w:sz w:val="22"/>
          <w:szCs w:val="22"/>
        </w:rPr>
      </w:pPr>
    </w:p>
    <w:p w14:paraId="03B966CA" w14:textId="77777777" w:rsidR="008A305D" w:rsidRPr="00BA3FBD" w:rsidRDefault="008A305D" w:rsidP="008A305D">
      <w:pPr>
        <w:pStyle w:val="Sraopastraipa"/>
        <w:numPr>
          <w:ilvl w:val="0"/>
          <w:numId w:val="5"/>
        </w:numPr>
        <w:autoSpaceDE w:val="0"/>
        <w:autoSpaceDN w:val="0"/>
        <w:adjustRightInd w:val="0"/>
        <w:ind w:left="567" w:hanging="567"/>
        <w:rPr>
          <w:b/>
          <w:sz w:val="22"/>
          <w:szCs w:val="22"/>
        </w:rPr>
      </w:pPr>
      <w:r w:rsidRPr="00BA3FBD">
        <w:rPr>
          <w:b/>
          <w:sz w:val="22"/>
          <w:szCs w:val="22"/>
        </w:rPr>
        <w:t>TEKSTO PERŽIŪROS DATA</w:t>
      </w:r>
    </w:p>
    <w:p w14:paraId="7AA90249" w14:textId="77777777" w:rsidR="008A305D" w:rsidRPr="00E93274" w:rsidRDefault="008A305D" w:rsidP="008A305D">
      <w:pPr>
        <w:rPr>
          <w:sz w:val="22"/>
        </w:rPr>
      </w:pPr>
    </w:p>
    <w:p w14:paraId="40C99F7C" w14:textId="60C4B72A" w:rsidR="008A305D" w:rsidRDefault="00C55C73" w:rsidP="008A305D">
      <w:pPr>
        <w:pStyle w:val="Paprastasistekstas"/>
        <w:tabs>
          <w:tab w:val="left" w:pos="5954"/>
          <w:tab w:val="left" w:pos="6237"/>
          <w:tab w:val="left" w:pos="6663"/>
          <w:tab w:val="left" w:pos="6946"/>
        </w:tabs>
        <w:rPr>
          <w:rFonts w:ascii="Times New Roman" w:hAnsi="Times New Roman"/>
          <w:sz w:val="22"/>
          <w:szCs w:val="22"/>
          <w:lang w:val="lt-LT"/>
        </w:rPr>
      </w:pPr>
      <w:r w:rsidRPr="00C55C73">
        <w:rPr>
          <w:rFonts w:ascii="Times New Roman" w:hAnsi="Times New Roman"/>
          <w:sz w:val="22"/>
          <w:szCs w:val="22"/>
          <w:lang w:val="lt-LT"/>
        </w:rPr>
        <w:t>2016 m. spalio mėn. 31 d.</w:t>
      </w:r>
    </w:p>
    <w:p w14:paraId="11F8205B" w14:textId="77777777" w:rsidR="008A305D" w:rsidRDefault="008A305D" w:rsidP="008A305D">
      <w:pPr>
        <w:pStyle w:val="Paprastasistekstas"/>
        <w:tabs>
          <w:tab w:val="left" w:pos="5954"/>
          <w:tab w:val="left" w:pos="6237"/>
          <w:tab w:val="left" w:pos="6663"/>
          <w:tab w:val="left" w:pos="6946"/>
        </w:tabs>
        <w:rPr>
          <w:rFonts w:ascii="Times New Roman" w:hAnsi="Times New Roman"/>
          <w:sz w:val="22"/>
          <w:szCs w:val="22"/>
          <w:lang w:val="lt-LT"/>
        </w:rPr>
      </w:pPr>
    </w:p>
    <w:p w14:paraId="76FE0165" w14:textId="77777777" w:rsidR="008A305D" w:rsidRPr="007510AA" w:rsidRDefault="008A305D" w:rsidP="008A305D">
      <w:pPr>
        <w:pStyle w:val="Paprastasistekstas"/>
        <w:tabs>
          <w:tab w:val="left" w:pos="5954"/>
          <w:tab w:val="left" w:pos="6237"/>
          <w:tab w:val="left" w:pos="6663"/>
          <w:tab w:val="left" w:pos="6946"/>
        </w:tabs>
        <w:rPr>
          <w:rFonts w:ascii="Times New Roman" w:hAnsi="Times New Roman"/>
          <w:sz w:val="22"/>
          <w:szCs w:val="22"/>
          <w:lang w:val="lt-LT"/>
        </w:rPr>
      </w:pPr>
      <w:r w:rsidRPr="007510AA">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7510AA">
        <w:rPr>
          <w:rFonts w:ascii="Times New Roman" w:hAnsi="Times New Roman"/>
          <w:i/>
          <w:sz w:val="22"/>
          <w:szCs w:val="22"/>
          <w:lang w:val="lt-LT"/>
        </w:rPr>
        <w:t xml:space="preserve"> </w:t>
      </w:r>
      <w:hyperlink r:id="rId11" w:history="1">
        <w:r w:rsidRPr="0012495D">
          <w:rPr>
            <w:rStyle w:val="Hipersaitas"/>
            <w:rFonts w:ascii="Times New Roman" w:hAnsi="Times New Roman"/>
            <w:sz w:val="22"/>
            <w:szCs w:val="22"/>
            <w:lang w:val="lt-LT"/>
          </w:rPr>
          <w:t>http://www.vvkt.lt</w:t>
        </w:r>
      </w:hyperlink>
      <w:r w:rsidRPr="007510AA">
        <w:rPr>
          <w:rFonts w:ascii="Times New Roman" w:hAnsi="Times New Roman"/>
          <w:sz w:val="22"/>
          <w:szCs w:val="22"/>
          <w:lang w:val="lt-LT"/>
        </w:rPr>
        <w:t xml:space="preserve">  </w:t>
      </w:r>
    </w:p>
    <w:p w14:paraId="098884B1" w14:textId="77777777" w:rsidR="008A305D" w:rsidRPr="00BA3FBD" w:rsidRDefault="008A305D" w:rsidP="008A305D">
      <w:pPr>
        <w:pStyle w:val="Paprastasistekstas"/>
        <w:tabs>
          <w:tab w:val="left" w:pos="5954"/>
          <w:tab w:val="left" w:pos="6237"/>
          <w:tab w:val="left" w:pos="6663"/>
          <w:tab w:val="left" w:pos="6946"/>
        </w:tabs>
        <w:rPr>
          <w:rFonts w:ascii="Times New Roman" w:hAnsi="Times New Roman"/>
          <w:sz w:val="22"/>
          <w:szCs w:val="22"/>
          <w:lang w:val="lt-LT"/>
        </w:rPr>
      </w:pPr>
    </w:p>
    <w:p w14:paraId="55573DA9" w14:textId="77777777" w:rsidR="008A305D" w:rsidRPr="00BA3FBD" w:rsidRDefault="008A305D" w:rsidP="008A305D">
      <w:pPr>
        <w:pStyle w:val="Paprastasistekstas"/>
        <w:tabs>
          <w:tab w:val="left" w:pos="5954"/>
          <w:tab w:val="left" w:pos="6237"/>
          <w:tab w:val="left" w:pos="6663"/>
          <w:tab w:val="left" w:pos="6946"/>
        </w:tabs>
        <w:jc w:val="center"/>
        <w:rPr>
          <w:color w:val="000000"/>
          <w:lang w:val="lt-LT"/>
        </w:rPr>
      </w:pPr>
      <w:r w:rsidRPr="00BA3FBD">
        <w:rPr>
          <w:rFonts w:ascii="Times New Roman" w:hAnsi="Times New Roman"/>
          <w:lang w:val="lt-LT"/>
        </w:rPr>
        <w:br w:type="page"/>
      </w:r>
    </w:p>
    <w:p w14:paraId="0EE5618D" w14:textId="77777777" w:rsidR="008A305D" w:rsidRPr="00BA3FBD" w:rsidRDefault="008A305D" w:rsidP="008A305D">
      <w:pPr>
        <w:tabs>
          <w:tab w:val="left" w:pos="5954"/>
          <w:tab w:val="left" w:pos="6237"/>
          <w:tab w:val="left" w:pos="6663"/>
          <w:tab w:val="left" w:pos="6946"/>
        </w:tabs>
        <w:jc w:val="center"/>
        <w:rPr>
          <w:rFonts w:eastAsia="SimSun"/>
          <w:color w:val="000000"/>
          <w:szCs w:val="20"/>
        </w:rPr>
      </w:pPr>
    </w:p>
    <w:p w14:paraId="10DC19F2" w14:textId="77777777" w:rsidR="008A305D" w:rsidRPr="00BA3FBD" w:rsidRDefault="008A305D" w:rsidP="008A305D">
      <w:pPr>
        <w:tabs>
          <w:tab w:val="left" w:pos="567"/>
        </w:tabs>
        <w:spacing w:line="260" w:lineRule="exact"/>
        <w:rPr>
          <w:snapToGrid w:val="0"/>
          <w:sz w:val="22"/>
        </w:rPr>
      </w:pPr>
    </w:p>
    <w:p w14:paraId="66DC0379" w14:textId="77777777" w:rsidR="008A305D" w:rsidRPr="00BA3FBD" w:rsidRDefault="008A305D" w:rsidP="008A305D">
      <w:pPr>
        <w:tabs>
          <w:tab w:val="left" w:pos="567"/>
        </w:tabs>
        <w:spacing w:line="260" w:lineRule="exact"/>
        <w:rPr>
          <w:snapToGrid w:val="0"/>
          <w:sz w:val="22"/>
        </w:rPr>
      </w:pPr>
    </w:p>
    <w:p w14:paraId="217E1964" w14:textId="77777777" w:rsidR="008A305D" w:rsidRPr="00BA3FBD" w:rsidRDefault="008A305D" w:rsidP="008A305D">
      <w:pPr>
        <w:tabs>
          <w:tab w:val="left" w:pos="567"/>
        </w:tabs>
        <w:spacing w:line="260" w:lineRule="exact"/>
        <w:rPr>
          <w:snapToGrid w:val="0"/>
          <w:sz w:val="22"/>
        </w:rPr>
      </w:pPr>
    </w:p>
    <w:p w14:paraId="7DA0E266" w14:textId="77777777" w:rsidR="008A305D" w:rsidRPr="00BA3FBD" w:rsidRDefault="008A305D" w:rsidP="008A305D">
      <w:pPr>
        <w:tabs>
          <w:tab w:val="left" w:pos="567"/>
        </w:tabs>
        <w:spacing w:line="260" w:lineRule="exact"/>
        <w:rPr>
          <w:snapToGrid w:val="0"/>
          <w:sz w:val="22"/>
        </w:rPr>
      </w:pPr>
    </w:p>
    <w:p w14:paraId="201A516D" w14:textId="77777777" w:rsidR="008A305D" w:rsidRPr="00BA3FBD" w:rsidRDefault="008A305D" w:rsidP="008A305D">
      <w:pPr>
        <w:tabs>
          <w:tab w:val="left" w:pos="567"/>
        </w:tabs>
        <w:spacing w:line="260" w:lineRule="exact"/>
        <w:rPr>
          <w:snapToGrid w:val="0"/>
          <w:sz w:val="22"/>
        </w:rPr>
      </w:pPr>
    </w:p>
    <w:p w14:paraId="2CB28B81" w14:textId="77777777" w:rsidR="008A305D" w:rsidRPr="00BA3FBD" w:rsidRDefault="008A305D" w:rsidP="008A305D">
      <w:pPr>
        <w:tabs>
          <w:tab w:val="left" w:pos="567"/>
        </w:tabs>
        <w:spacing w:line="260" w:lineRule="exact"/>
        <w:rPr>
          <w:snapToGrid w:val="0"/>
          <w:sz w:val="22"/>
        </w:rPr>
      </w:pPr>
    </w:p>
    <w:p w14:paraId="589EA396" w14:textId="77777777" w:rsidR="008A305D" w:rsidRPr="00BA3FBD" w:rsidRDefault="008A305D" w:rsidP="008A305D">
      <w:pPr>
        <w:tabs>
          <w:tab w:val="left" w:pos="567"/>
        </w:tabs>
        <w:spacing w:line="260" w:lineRule="exact"/>
        <w:rPr>
          <w:snapToGrid w:val="0"/>
          <w:sz w:val="22"/>
        </w:rPr>
      </w:pPr>
    </w:p>
    <w:p w14:paraId="58F69585" w14:textId="77777777" w:rsidR="008A305D" w:rsidRPr="00BA3FBD" w:rsidRDefault="008A305D" w:rsidP="008A305D">
      <w:pPr>
        <w:tabs>
          <w:tab w:val="left" w:pos="567"/>
        </w:tabs>
        <w:spacing w:line="260" w:lineRule="exact"/>
        <w:rPr>
          <w:snapToGrid w:val="0"/>
          <w:sz w:val="22"/>
        </w:rPr>
      </w:pPr>
    </w:p>
    <w:p w14:paraId="06D2FBF7" w14:textId="77777777" w:rsidR="008A305D" w:rsidRPr="00BA3FBD" w:rsidRDefault="008A305D" w:rsidP="008A305D">
      <w:pPr>
        <w:tabs>
          <w:tab w:val="left" w:pos="567"/>
        </w:tabs>
        <w:spacing w:line="260" w:lineRule="exact"/>
        <w:rPr>
          <w:snapToGrid w:val="0"/>
          <w:sz w:val="22"/>
        </w:rPr>
      </w:pPr>
    </w:p>
    <w:p w14:paraId="6718F4BE" w14:textId="77777777" w:rsidR="008A305D" w:rsidRPr="00BA3FBD" w:rsidRDefault="008A305D" w:rsidP="008A305D">
      <w:pPr>
        <w:tabs>
          <w:tab w:val="left" w:pos="567"/>
        </w:tabs>
        <w:spacing w:line="260" w:lineRule="exact"/>
        <w:rPr>
          <w:snapToGrid w:val="0"/>
          <w:sz w:val="22"/>
        </w:rPr>
      </w:pPr>
    </w:p>
    <w:p w14:paraId="4371F7D6" w14:textId="77777777" w:rsidR="008A305D" w:rsidRPr="00BA3FBD" w:rsidRDefault="008A305D" w:rsidP="008A305D">
      <w:pPr>
        <w:tabs>
          <w:tab w:val="left" w:pos="567"/>
        </w:tabs>
        <w:spacing w:line="260" w:lineRule="exact"/>
        <w:rPr>
          <w:snapToGrid w:val="0"/>
          <w:sz w:val="22"/>
        </w:rPr>
      </w:pPr>
    </w:p>
    <w:p w14:paraId="063DAC48" w14:textId="77777777" w:rsidR="008A305D" w:rsidRPr="00BA3FBD" w:rsidRDefault="008A305D" w:rsidP="008A305D">
      <w:pPr>
        <w:tabs>
          <w:tab w:val="left" w:pos="567"/>
        </w:tabs>
        <w:spacing w:line="260" w:lineRule="exact"/>
        <w:rPr>
          <w:snapToGrid w:val="0"/>
          <w:sz w:val="22"/>
        </w:rPr>
      </w:pPr>
    </w:p>
    <w:p w14:paraId="0706E9FA" w14:textId="77777777" w:rsidR="008A305D" w:rsidRPr="00BA3FBD" w:rsidRDefault="008A305D" w:rsidP="008A305D">
      <w:pPr>
        <w:tabs>
          <w:tab w:val="left" w:pos="567"/>
        </w:tabs>
        <w:spacing w:line="260" w:lineRule="exact"/>
        <w:rPr>
          <w:snapToGrid w:val="0"/>
          <w:sz w:val="22"/>
        </w:rPr>
      </w:pPr>
    </w:p>
    <w:p w14:paraId="2F4AC88E" w14:textId="77777777" w:rsidR="008A305D" w:rsidRPr="00BA3FBD" w:rsidRDefault="008A305D" w:rsidP="008A305D">
      <w:pPr>
        <w:tabs>
          <w:tab w:val="left" w:pos="567"/>
        </w:tabs>
        <w:spacing w:line="260" w:lineRule="exact"/>
        <w:rPr>
          <w:snapToGrid w:val="0"/>
          <w:sz w:val="22"/>
        </w:rPr>
      </w:pPr>
    </w:p>
    <w:p w14:paraId="62FCB3EB" w14:textId="77777777" w:rsidR="008A305D" w:rsidRPr="00BA3FBD" w:rsidRDefault="008A305D" w:rsidP="008A305D">
      <w:pPr>
        <w:tabs>
          <w:tab w:val="left" w:pos="567"/>
        </w:tabs>
        <w:spacing w:line="260" w:lineRule="exact"/>
        <w:rPr>
          <w:snapToGrid w:val="0"/>
          <w:sz w:val="22"/>
        </w:rPr>
      </w:pPr>
    </w:p>
    <w:p w14:paraId="138F3164" w14:textId="77777777" w:rsidR="008A305D" w:rsidRPr="00BA3FBD" w:rsidRDefault="008A305D" w:rsidP="008A305D">
      <w:pPr>
        <w:tabs>
          <w:tab w:val="left" w:pos="567"/>
        </w:tabs>
        <w:spacing w:line="260" w:lineRule="exact"/>
        <w:rPr>
          <w:snapToGrid w:val="0"/>
          <w:sz w:val="22"/>
        </w:rPr>
      </w:pPr>
    </w:p>
    <w:p w14:paraId="776675D5" w14:textId="77777777" w:rsidR="008A305D" w:rsidRPr="00BA3FBD" w:rsidRDefault="008A305D" w:rsidP="008A305D">
      <w:pPr>
        <w:tabs>
          <w:tab w:val="left" w:pos="567"/>
        </w:tabs>
        <w:spacing w:line="260" w:lineRule="exact"/>
        <w:rPr>
          <w:snapToGrid w:val="0"/>
          <w:sz w:val="22"/>
        </w:rPr>
      </w:pPr>
    </w:p>
    <w:p w14:paraId="30C36889" w14:textId="77777777" w:rsidR="008A305D" w:rsidRDefault="008A305D" w:rsidP="008A305D">
      <w:pPr>
        <w:tabs>
          <w:tab w:val="left" w:pos="567"/>
        </w:tabs>
        <w:spacing w:line="260" w:lineRule="exact"/>
        <w:jc w:val="center"/>
        <w:rPr>
          <w:b/>
          <w:snapToGrid w:val="0"/>
          <w:sz w:val="22"/>
          <w:szCs w:val="20"/>
        </w:rPr>
      </w:pPr>
    </w:p>
    <w:p w14:paraId="538E28DC" w14:textId="77777777" w:rsidR="008A305D" w:rsidRDefault="008A305D" w:rsidP="008A305D">
      <w:pPr>
        <w:tabs>
          <w:tab w:val="left" w:pos="567"/>
        </w:tabs>
        <w:spacing w:line="260" w:lineRule="exact"/>
        <w:jc w:val="center"/>
        <w:rPr>
          <w:b/>
          <w:snapToGrid w:val="0"/>
          <w:sz w:val="22"/>
          <w:szCs w:val="20"/>
        </w:rPr>
      </w:pPr>
    </w:p>
    <w:p w14:paraId="0FC258A4" w14:textId="77777777" w:rsidR="008A305D" w:rsidRDefault="008A305D" w:rsidP="008A305D">
      <w:pPr>
        <w:tabs>
          <w:tab w:val="left" w:pos="567"/>
        </w:tabs>
        <w:spacing w:line="260" w:lineRule="exact"/>
        <w:jc w:val="center"/>
        <w:rPr>
          <w:b/>
          <w:snapToGrid w:val="0"/>
          <w:sz w:val="22"/>
          <w:szCs w:val="20"/>
        </w:rPr>
      </w:pPr>
    </w:p>
    <w:p w14:paraId="2DCF4174" w14:textId="77777777" w:rsidR="008A305D" w:rsidRDefault="008A305D" w:rsidP="008A305D">
      <w:pPr>
        <w:tabs>
          <w:tab w:val="left" w:pos="567"/>
        </w:tabs>
        <w:spacing w:line="260" w:lineRule="exact"/>
        <w:jc w:val="center"/>
        <w:rPr>
          <w:b/>
          <w:snapToGrid w:val="0"/>
          <w:sz w:val="22"/>
          <w:szCs w:val="20"/>
        </w:rPr>
      </w:pPr>
    </w:p>
    <w:p w14:paraId="030EC9A0" w14:textId="77777777" w:rsidR="008A305D" w:rsidRDefault="008A305D" w:rsidP="008A305D">
      <w:pPr>
        <w:tabs>
          <w:tab w:val="left" w:pos="567"/>
        </w:tabs>
        <w:spacing w:line="260" w:lineRule="exact"/>
        <w:jc w:val="center"/>
        <w:rPr>
          <w:b/>
          <w:snapToGrid w:val="0"/>
          <w:sz w:val="22"/>
          <w:szCs w:val="20"/>
        </w:rPr>
      </w:pPr>
    </w:p>
    <w:p w14:paraId="6959A15D" w14:textId="77777777" w:rsidR="008A305D" w:rsidRPr="00BA3FBD" w:rsidRDefault="008A305D" w:rsidP="008A305D">
      <w:pPr>
        <w:tabs>
          <w:tab w:val="left" w:pos="567"/>
        </w:tabs>
        <w:spacing w:line="260" w:lineRule="exact"/>
        <w:jc w:val="center"/>
        <w:rPr>
          <w:b/>
          <w:snapToGrid w:val="0"/>
          <w:sz w:val="22"/>
          <w:szCs w:val="20"/>
        </w:rPr>
      </w:pPr>
      <w:r w:rsidRPr="00BA3FBD">
        <w:rPr>
          <w:b/>
          <w:snapToGrid w:val="0"/>
          <w:sz w:val="22"/>
          <w:szCs w:val="20"/>
        </w:rPr>
        <w:t>II PRIEDAS</w:t>
      </w:r>
    </w:p>
    <w:p w14:paraId="2E906D5E" w14:textId="77777777" w:rsidR="008A305D" w:rsidRPr="00BA3FBD" w:rsidRDefault="008A305D" w:rsidP="008A305D">
      <w:pPr>
        <w:tabs>
          <w:tab w:val="left" w:pos="567"/>
        </w:tabs>
        <w:spacing w:line="260" w:lineRule="exact"/>
        <w:ind w:left="1701" w:right="1416" w:hanging="567"/>
        <w:rPr>
          <w:snapToGrid w:val="0"/>
          <w:sz w:val="22"/>
          <w:szCs w:val="20"/>
        </w:rPr>
      </w:pPr>
    </w:p>
    <w:p w14:paraId="75C06DEF" w14:textId="77777777" w:rsidR="008A305D" w:rsidRPr="00BA3FBD" w:rsidRDefault="008A305D" w:rsidP="008A305D">
      <w:pPr>
        <w:tabs>
          <w:tab w:val="left" w:pos="567"/>
        </w:tabs>
        <w:spacing w:line="260" w:lineRule="exact"/>
        <w:jc w:val="center"/>
        <w:rPr>
          <w:i/>
          <w:snapToGrid w:val="0"/>
          <w:sz w:val="22"/>
          <w:szCs w:val="20"/>
        </w:rPr>
      </w:pPr>
      <w:r w:rsidRPr="00BA3FBD">
        <w:rPr>
          <w:b/>
          <w:snapToGrid w:val="0"/>
          <w:sz w:val="22"/>
          <w:szCs w:val="20"/>
        </w:rPr>
        <w:t>REGISTRACIJOS SĄLYGOS</w:t>
      </w:r>
    </w:p>
    <w:p w14:paraId="72467244" w14:textId="77777777" w:rsidR="008A305D" w:rsidRPr="00BA3FBD" w:rsidRDefault="008A305D" w:rsidP="008A305D">
      <w:pPr>
        <w:tabs>
          <w:tab w:val="left" w:pos="567"/>
        </w:tabs>
        <w:spacing w:line="260" w:lineRule="exact"/>
        <w:rPr>
          <w:snapToGrid w:val="0"/>
          <w:sz w:val="22"/>
          <w:szCs w:val="20"/>
        </w:rPr>
      </w:pPr>
    </w:p>
    <w:p w14:paraId="139A9211" w14:textId="77777777" w:rsidR="008A305D" w:rsidRPr="00BA3FBD" w:rsidRDefault="008A305D" w:rsidP="008A305D">
      <w:pPr>
        <w:tabs>
          <w:tab w:val="left" w:pos="1701"/>
        </w:tabs>
        <w:spacing w:line="260" w:lineRule="exact"/>
        <w:ind w:left="1701" w:right="567" w:hanging="567"/>
        <w:rPr>
          <w:b/>
          <w:snapToGrid w:val="0"/>
          <w:sz w:val="22"/>
        </w:rPr>
      </w:pPr>
      <w:r w:rsidRPr="00BA3FBD">
        <w:rPr>
          <w:b/>
          <w:snapToGrid w:val="0"/>
          <w:sz w:val="22"/>
        </w:rPr>
        <w:t>A.</w:t>
      </w:r>
      <w:r w:rsidRPr="00BA3FBD">
        <w:rPr>
          <w:b/>
          <w:snapToGrid w:val="0"/>
          <w:sz w:val="22"/>
        </w:rPr>
        <w:tab/>
        <w:t>GAMINTOJAS (-AI), ATSAKINGAS (-I) UŽ SERIJŲ IŠLEIDIMĄ</w:t>
      </w:r>
    </w:p>
    <w:p w14:paraId="2BE2574A" w14:textId="77777777" w:rsidR="008A305D" w:rsidRPr="00BA3FBD" w:rsidRDefault="008A305D" w:rsidP="008A305D">
      <w:pPr>
        <w:tabs>
          <w:tab w:val="left" w:pos="1701"/>
        </w:tabs>
        <w:spacing w:line="260" w:lineRule="exact"/>
        <w:ind w:left="567" w:right="567" w:hanging="567"/>
        <w:rPr>
          <w:snapToGrid w:val="0"/>
          <w:sz w:val="22"/>
        </w:rPr>
      </w:pPr>
    </w:p>
    <w:p w14:paraId="253B85CE" w14:textId="77777777" w:rsidR="008A305D" w:rsidRPr="00BA3FBD" w:rsidRDefault="008A305D" w:rsidP="008A305D">
      <w:pPr>
        <w:tabs>
          <w:tab w:val="left" w:pos="1701"/>
        </w:tabs>
        <w:spacing w:line="260" w:lineRule="exact"/>
        <w:ind w:left="1701" w:right="567" w:hanging="567"/>
        <w:rPr>
          <w:b/>
          <w:snapToGrid w:val="0"/>
          <w:sz w:val="22"/>
          <w:szCs w:val="20"/>
        </w:rPr>
      </w:pPr>
      <w:r w:rsidRPr="00BA3FBD">
        <w:rPr>
          <w:b/>
          <w:snapToGrid w:val="0"/>
          <w:sz w:val="22"/>
          <w:szCs w:val="20"/>
        </w:rPr>
        <w:t>B.</w:t>
      </w:r>
      <w:r w:rsidRPr="00BA3FBD">
        <w:rPr>
          <w:b/>
          <w:snapToGrid w:val="0"/>
          <w:sz w:val="22"/>
          <w:szCs w:val="20"/>
        </w:rPr>
        <w:tab/>
        <w:t>TIEKIMO IR VARTOJIMO SĄLYGOS AR APRIBOJIMAI</w:t>
      </w:r>
    </w:p>
    <w:p w14:paraId="7788F418" w14:textId="77777777" w:rsidR="008A305D" w:rsidRPr="00BA3FBD" w:rsidRDefault="008A305D" w:rsidP="008A305D">
      <w:pPr>
        <w:pStyle w:val="Paprastasistekstas"/>
        <w:tabs>
          <w:tab w:val="left" w:pos="5954"/>
          <w:tab w:val="left" w:pos="6237"/>
          <w:tab w:val="left" w:pos="6663"/>
          <w:tab w:val="left" w:pos="6946"/>
        </w:tabs>
        <w:jc w:val="center"/>
        <w:rPr>
          <w:sz w:val="22"/>
          <w:szCs w:val="22"/>
          <w:lang w:val="lt-LT"/>
        </w:rPr>
      </w:pPr>
    </w:p>
    <w:p w14:paraId="5C0928C4" w14:textId="77777777" w:rsidR="008A305D" w:rsidRPr="00BA3FBD" w:rsidRDefault="008A305D" w:rsidP="008A305D">
      <w:pPr>
        <w:pStyle w:val="Betarp"/>
        <w:numPr>
          <w:ilvl w:val="0"/>
          <w:numId w:val="7"/>
        </w:numPr>
        <w:ind w:left="709" w:hanging="709"/>
        <w:rPr>
          <w:b/>
          <w:sz w:val="22"/>
          <w:szCs w:val="22"/>
        </w:rPr>
      </w:pPr>
      <w:r w:rsidRPr="00BA3FBD">
        <w:br w:type="page"/>
      </w:r>
      <w:r w:rsidRPr="00BA3FBD">
        <w:rPr>
          <w:b/>
          <w:sz w:val="22"/>
          <w:szCs w:val="22"/>
        </w:rPr>
        <w:lastRenderedPageBreak/>
        <w:t>GAMINTOJAS (-AI), ATSAKINGAS (-I) UŽ SERIJŲ IŠLEIDIMĄ</w:t>
      </w:r>
    </w:p>
    <w:p w14:paraId="666DBE31" w14:textId="77777777" w:rsidR="008A305D" w:rsidRPr="00BA3FBD" w:rsidRDefault="008A305D" w:rsidP="008A305D">
      <w:pPr>
        <w:pStyle w:val="Betarp"/>
        <w:rPr>
          <w:b/>
          <w:bCs/>
          <w:sz w:val="22"/>
          <w:szCs w:val="22"/>
        </w:rPr>
      </w:pPr>
    </w:p>
    <w:p w14:paraId="1B265996" w14:textId="77777777" w:rsidR="008A305D" w:rsidRPr="00BA3FBD" w:rsidRDefault="008A305D" w:rsidP="008A305D">
      <w:pPr>
        <w:pStyle w:val="Betarp"/>
        <w:rPr>
          <w:sz w:val="22"/>
          <w:szCs w:val="22"/>
          <w:u w:val="single"/>
        </w:rPr>
      </w:pPr>
      <w:r w:rsidRPr="00BA3FBD">
        <w:rPr>
          <w:sz w:val="22"/>
          <w:szCs w:val="22"/>
          <w:u w:val="single"/>
        </w:rPr>
        <w:t>Gamintojo (-ų), atsakingo (-ų) už serijų išleidimą, pavadinimas (-ai) ir adresas (-ai)</w:t>
      </w:r>
    </w:p>
    <w:p w14:paraId="294785AB" w14:textId="77777777" w:rsidR="008A305D" w:rsidRPr="00BA3FBD" w:rsidRDefault="008A305D" w:rsidP="008A305D">
      <w:pPr>
        <w:pStyle w:val="Betarp"/>
        <w:rPr>
          <w:sz w:val="22"/>
          <w:szCs w:val="22"/>
          <w:u w:val="single"/>
        </w:rPr>
      </w:pPr>
    </w:p>
    <w:p w14:paraId="37DFB11C" w14:textId="77777777" w:rsidR="008A305D" w:rsidRPr="00BA3FBD" w:rsidRDefault="008A305D" w:rsidP="008A305D">
      <w:pPr>
        <w:rPr>
          <w:rFonts w:eastAsia="Calibri"/>
          <w:sz w:val="22"/>
          <w:szCs w:val="22"/>
        </w:rPr>
      </w:pPr>
      <w:r w:rsidRPr="00BA3FBD">
        <w:rPr>
          <w:rFonts w:eastAsia="Calibri"/>
          <w:sz w:val="22"/>
          <w:szCs w:val="22"/>
        </w:rPr>
        <w:t xml:space="preserve">Actavis Group PTC ehf. </w:t>
      </w:r>
    </w:p>
    <w:p w14:paraId="1B9A5DA9" w14:textId="77777777" w:rsidR="008A305D" w:rsidRPr="00BA3FBD" w:rsidRDefault="008A305D" w:rsidP="008A305D">
      <w:pPr>
        <w:rPr>
          <w:rFonts w:eastAsia="Calibri"/>
          <w:sz w:val="22"/>
          <w:szCs w:val="22"/>
        </w:rPr>
      </w:pPr>
      <w:r w:rsidRPr="00BA3FBD">
        <w:rPr>
          <w:rFonts w:eastAsia="Calibri"/>
          <w:sz w:val="22"/>
          <w:szCs w:val="22"/>
        </w:rPr>
        <w:t>Reykjavíkurvegur 76-78</w:t>
      </w:r>
    </w:p>
    <w:p w14:paraId="0C07D1BF" w14:textId="77777777" w:rsidR="008A305D" w:rsidRPr="00BA3FBD" w:rsidRDefault="008A305D" w:rsidP="008A305D">
      <w:pPr>
        <w:rPr>
          <w:rFonts w:eastAsia="Calibri"/>
          <w:sz w:val="22"/>
          <w:szCs w:val="22"/>
        </w:rPr>
      </w:pPr>
      <w:r w:rsidRPr="00BA3FBD">
        <w:rPr>
          <w:rFonts w:eastAsia="Calibri"/>
          <w:sz w:val="22"/>
          <w:szCs w:val="22"/>
        </w:rPr>
        <w:t>IS-220 Hafnarfjörður</w:t>
      </w:r>
    </w:p>
    <w:p w14:paraId="23064C74" w14:textId="77777777" w:rsidR="008A305D" w:rsidRPr="00BA3FBD" w:rsidRDefault="008A305D" w:rsidP="008A305D">
      <w:pPr>
        <w:rPr>
          <w:rFonts w:eastAsia="Calibri"/>
          <w:sz w:val="22"/>
          <w:szCs w:val="22"/>
        </w:rPr>
      </w:pPr>
      <w:r w:rsidRPr="00BA3FBD">
        <w:rPr>
          <w:rFonts w:eastAsia="Calibri"/>
          <w:sz w:val="22"/>
          <w:szCs w:val="22"/>
        </w:rPr>
        <w:t>Islandija</w:t>
      </w:r>
    </w:p>
    <w:p w14:paraId="43AFBD3B" w14:textId="77777777" w:rsidR="008A305D" w:rsidRPr="00BA3FBD" w:rsidRDefault="008A305D" w:rsidP="008A305D">
      <w:pPr>
        <w:contextualSpacing/>
        <w:rPr>
          <w:sz w:val="22"/>
          <w:szCs w:val="22"/>
        </w:rPr>
      </w:pPr>
    </w:p>
    <w:p w14:paraId="47FB5806" w14:textId="77777777" w:rsidR="008A305D" w:rsidRPr="00BA3FBD" w:rsidRDefault="008A305D" w:rsidP="008A305D">
      <w:pPr>
        <w:contextualSpacing/>
        <w:rPr>
          <w:sz w:val="22"/>
          <w:szCs w:val="22"/>
        </w:rPr>
      </w:pPr>
    </w:p>
    <w:p w14:paraId="106CC4FC" w14:textId="77777777" w:rsidR="008A305D" w:rsidRPr="00BA3FBD" w:rsidRDefault="008A305D" w:rsidP="00C7290D">
      <w:pPr>
        <w:ind w:left="567" w:hanging="567"/>
        <w:contextualSpacing/>
        <w:rPr>
          <w:b/>
          <w:bCs/>
          <w:sz w:val="22"/>
          <w:szCs w:val="22"/>
        </w:rPr>
      </w:pPr>
      <w:r w:rsidRPr="00BA3FBD">
        <w:rPr>
          <w:b/>
          <w:bCs/>
          <w:sz w:val="22"/>
          <w:szCs w:val="22"/>
        </w:rPr>
        <w:t>B.</w:t>
      </w:r>
      <w:r w:rsidRPr="00BA3FBD">
        <w:rPr>
          <w:b/>
          <w:bCs/>
          <w:sz w:val="22"/>
          <w:szCs w:val="22"/>
        </w:rPr>
        <w:tab/>
        <w:t>TIEKIMO IR VARTOJIMO SĄLYGOS IR APRIBOJIMAI</w:t>
      </w:r>
    </w:p>
    <w:p w14:paraId="37CDB31E" w14:textId="77777777" w:rsidR="008A305D" w:rsidRPr="00BA3FBD" w:rsidRDefault="008A305D" w:rsidP="008A305D">
      <w:pPr>
        <w:tabs>
          <w:tab w:val="left" w:pos="6675"/>
        </w:tabs>
        <w:contextualSpacing/>
        <w:rPr>
          <w:b/>
          <w:bCs/>
          <w:sz w:val="22"/>
          <w:szCs w:val="22"/>
        </w:rPr>
      </w:pPr>
      <w:r w:rsidRPr="00BA3FBD">
        <w:rPr>
          <w:b/>
          <w:bCs/>
          <w:sz w:val="22"/>
          <w:szCs w:val="22"/>
        </w:rPr>
        <w:tab/>
      </w:r>
    </w:p>
    <w:p w14:paraId="695D48E2" w14:textId="77777777" w:rsidR="008A305D" w:rsidRPr="00BA3FBD" w:rsidRDefault="008A305D" w:rsidP="008A305D">
      <w:pPr>
        <w:contextualSpacing/>
        <w:rPr>
          <w:sz w:val="22"/>
          <w:szCs w:val="22"/>
        </w:rPr>
      </w:pPr>
      <w:r w:rsidRPr="00BA3FBD">
        <w:rPr>
          <w:sz w:val="22"/>
          <w:szCs w:val="22"/>
        </w:rPr>
        <w:t>Receptinis vaistinis preparatas</w:t>
      </w:r>
      <w:r>
        <w:rPr>
          <w:sz w:val="22"/>
          <w:szCs w:val="22"/>
        </w:rPr>
        <w:t>.</w:t>
      </w:r>
      <w:r w:rsidRPr="00BA3FBD">
        <w:rPr>
          <w:sz w:val="22"/>
          <w:szCs w:val="22"/>
        </w:rPr>
        <w:t xml:space="preserve"> </w:t>
      </w:r>
    </w:p>
    <w:p w14:paraId="3AC1EEC7" w14:textId="77777777" w:rsidR="008A305D" w:rsidRPr="00BA3FBD" w:rsidRDefault="008A305D" w:rsidP="008A305D">
      <w:pPr>
        <w:contextualSpacing/>
        <w:rPr>
          <w:sz w:val="22"/>
          <w:szCs w:val="22"/>
        </w:rPr>
      </w:pPr>
    </w:p>
    <w:p w14:paraId="3CF2189E" w14:textId="77777777" w:rsidR="008A305D" w:rsidRPr="00BA3FBD" w:rsidRDefault="008A305D" w:rsidP="008A305D">
      <w:pPr>
        <w:contextualSpacing/>
        <w:rPr>
          <w:sz w:val="22"/>
          <w:szCs w:val="22"/>
        </w:rPr>
      </w:pPr>
    </w:p>
    <w:p w14:paraId="2EA73473" w14:textId="77777777" w:rsidR="008A305D" w:rsidRPr="00BA3FBD" w:rsidRDefault="008A305D" w:rsidP="008A305D">
      <w:pPr>
        <w:rPr>
          <w:sz w:val="22"/>
          <w:szCs w:val="22"/>
        </w:rPr>
      </w:pPr>
      <w:r w:rsidRPr="00BA3FBD">
        <w:rPr>
          <w:sz w:val="22"/>
          <w:szCs w:val="22"/>
        </w:rPr>
        <w:br w:type="page"/>
      </w:r>
    </w:p>
    <w:p w14:paraId="5F93EB74" w14:textId="77777777" w:rsidR="008A305D" w:rsidRPr="00BA3FBD" w:rsidRDefault="008A305D" w:rsidP="008A305D">
      <w:pPr>
        <w:rPr>
          <w:sz w:val="22"/>
          <w:szCs w:val="22"/>
        </w:rPr>
      </w:pPr>
    </w:p>
    <w:p w14:paraId="48BCAC83" w14:textId="77777777" w:rsidR="008A305D" w:rsidRPr="00BA3FBD" w:rsidRDefault="008A305D" w:rsidP="008A305D">
      <w:pPr>
        <w:rPr>
          <w:sz w:val="22"/>
          <w:szCs w:val="22"/>
        </w:rPr>
      </w:pPr>
    </w:p>
    <w:p w14:paraId="09330299" w14:textId="77777777" w:rsidR="008A305D" w:rsidRPr="00BA3FBD" w:rsidRDefault="008A305D" w:rsidP="008A305D">
      <w:pPr>
        <w:rPr>
          <w:sz w:val="22"/>
          <w:szCs w:val="22"/>
        </w:rPr>
      </w:pPr>
    </w:p>
    <w:p w14:paraId="04F7555E" w14:textId="77777777" w:rsidR="008A305D" w:rsidRPr="00BA3FBD" w:rsidRDefault="008A305D" w:rsidP="008A305D">
      <w:pPr>
        <w:rPr>
          <w:sz w:val="22"/>
          <w:szCs w:val="22"/>
        </w:rPr>
      </w:pPr>
    </w:p>
    <w:p w14:paraId="1F92A9F4" w14:textId="77777777" w:rsidR="008A305D" w:rsidRPr="00BA3FBD" w:rsidRDefault="008A305D" w:rsidP="008A305D">
      <w:pPr>
        <w:rPr>
          <w:sz w:val="22"/>
          <w:szCs w:val="22"/>
        </w:rPr>
      </w:pPr>
    </w:p>
    <w:p w14:paraId="588EAEF6" w14:textId="77777777" w:rsidR="008A305D" w:rsidRPr="00BA3FBD" w:rsidRDefault="008A305D" w:rsidP="008A305D">
      <w:pPr>
        <w:rPr>
          <w:sz w:val="22"/>
          <w:szCs w:val="22"/>
        </w:rPr>
      </w:pPr>
    </w:p>
    <w:p w14:paraId="74DAEB7B" w14:textId="77777777" w:rsidR="008A305D" w:rsidRPr="00BA3FBD" w:rsidRDefault="008A305D" w:rsidP="008A305D">
      <w:pPr>
        <w:rPr>
          <w:sz w:val="22"/>
          <w:szCs w:val="22"/>
        </w:rPr>
      </w:pPr>
    </w:p>
    <w:p w14:paraId="0D88BEE7" w14:textId="77777777" w:rsidR="008A305D" w:rsidRPr="00BA3FBD" w:rsidRDefault="008A305D" w:rsidP="008A305D">
      <w:pPr>
        <w:rPr>
          <w:sz w:val="22"/>
          <w:szCs w:val="22"/>
        </w:rPr>
      </w:pPr>
    </w:p>
    <w:p w14:paraId="52106913" w14:textId="77777777" w:rsidR="008A305D" w:rsidRPr="00BA3FBD" w:rsidRDefault="008A305D" w:rsidP="008A305D">
      <w:pPr>
        <w:rPr>
          <w:sz w:val="22"/>
          <w:szCs w:val="22"/>
        </w:rPr>
      </w:pPr>
    </w:p>
    <w:p w14:paraId="5A9BF0D7" w14:textId="77777777" w:rsidR="008A305D" w:rsidRPr="00BA3FBD" w:rsidRDefault="008A305D" w:rsidP="008A305D">
      <w:pPr>
        <w:rPr>
          <w:sz w:val="22"/>
          <w:szCs w:val="22"/>
        </w:rPr>
      </w:pPr>
    </w:p>
    <w:p w14:paraId="2B735A5F" w14:textId="77777777" w:rsidR="008A305D" w:rsidRPr="00BA3FBD" w:rsidRDefault="008A305D" w:rsidP="008A305D">
      <w:pPr>
        <w:rPr>
          <w:sz w:val="22"/>
          <w:szCs w:val="22"/>
        </w:rPr>
      </w:pPr>
    </w:p>
    <w:p w14:paraId="035EC86E" w14:textId="77777777" w:rsidR="008A305D" w:rsidRPr="00BA3FBD" w:rsidRDefault="008A305D" w:rsidP="008A305D">
      <w:pPr>
        <w:rPr>
          <w:sz w:val="22"/>
          <w:szCs w:val="22"/>
        </w:rPr>
      </w:pPr>
    </w:p>
    <w:p w14:paraId="663BD63C" w14:textId="77777777" w:rsidR="008A305D" w:rsidRPr="00BA3FBD" w:rsidRDefault="008A305D" w:rsidP="008A305D">
      <w:pPr>
        <w:rPr>
          <w:sz w:val="22"/>
          <w:szCs w:val="22"/>
        </w:rPr>
      </w:pPr>
    </w:p>
    <w:p w14:paraId="2096B76E" w14:textId="77777777" w:rsidR="008A305D" w:rsidRPr="00BA3FBD" w:rsidRDefault="008A305D" w:rsidP="008A305D">
      <w:pPr>
        <w:rPr>
          <w:sz w:val="22"/>
          <w:szCs w:val="22"/>
        </w:rPr>
      </w:pPr>
    </w:p>
    <w:p w14:paraId="5107C58F" w14:textId="77777777" w:rsidR="008A305D" w:rsidRPr="00BA3FBD" w:rsidRDefault="008A305D" w:rsidP="008A305D">
      <w:pPr>
        <w:rPr>
          <w:sz w:val="22"/>
          <w:szCs w:val="22"/>
        </w:rPr>
      </w:pPr>
    </w:p>
    <w:p w14:paraId="3232ED8B" w14:textId="77777777" w:rsidR="008A305D" w:rsidRPr="00BA3FBD" w:rsidRDefault="008A305D" w:rsidP="008A305D">
      <w:pPr>
        <w:rPr>
          <w:sz w:val="22"/>
          <w:szCs w:val="22"/>
        </w:rPr>
      </w:pPr>
    </w:p>
    <w:p w14:paraId="66CFCB3B" w14:textId="77777777" w:rsidR="008A305D" w:rsidRPr="00BA3FBD" w:rsidRDefault="008A305D" w:rsidP="008A305D">
      <w:pPr>
        <w:rPr>
          <w:sz w:val="22"/>
          <w:szCs w:val="22"/>
        </w:rPr>
      </w:pPr>
    </w:p>
    <w:p w14:paraId="4CB47930" w14:textId="77777777" w:rsidR="008A305D" w:rsidRPr="00BA3FBD" w:rsidRDefault="008A305D" w:rsidP="008A305D">
      <w:pPr>
        <w:rPr>
          <w:sz w:val="22"/>
          <w:szCs w:val="22"/>
        </w:rPr>
      </w:pPr>
    </w:p>
    <w:p w14:paraId="429A0FB6" w14:textId="77777777" w:rsidR="008A305D" w:rsidRPr="00BA3FBD" w:rsidRDefault="008A305D" w:rsidP="008A305D">
      <w:pPr>
        <w:rPr>
          <w:sz w:val="22"/>
          <w:szCs w:val="22"/>
        </w:rPr>
      </w:pPr>
    </w:p>
    <w:p w14:paraId="2B599AD3" w14:textId="77777777" w:rsidR="008A305D" w:rsidRPr="00BA3FBD" w:rsidRDefault="008A305D" w:rsidP="008A305D">
      <w:pPr>
        <w:rPr>
          <w:sz w:val="22"/>
          <w:szCs w:val="22"/>
        </w:rPr>
      </w:pPr>
    </w:p>
    <w:p w14:paraId="27956519" w14:textId="77777777" w:rsidR="008A305D" w:rsidRPr="00BA3FBD" w:rsidRDefault="008A305D" w:rsidP="008A305D">
      <w:pPr>
        <w:rPr>
          <w:sz w:val="22"/>
          <w:szCs w:val="22"/>
        </w:rPr>
      </w:pPr>
    </w:p>
    <w:p w14:paraId="29543EC2" w14:textId="77777777" w:rsidR="008A305D" w:rsidRDefault="008A305D" w:rsidP="008A305D">
      <w:pPr>
        <w:rPr>
          <w:sz w:val="22"/>
          <w:szCs w:val="22"/>
        </w:rPr>
      </w:pPr>
    </w:p>
    <w:p w14:paraId="1FF867AE" w14:textId="77777777" w:rsidR="008A305D" w:rsidRPr="00BA3FBD" w:rsidRDefault="008A305D" w:rsidP="008A305D">
      <w:pPr>
        <w:rPr>
          <w:sz w:val="22"/>
          <w:szCs w:val="22"/>
        </w:rPr>
      </w:pPr>
    </w:p>
    <w:p w14:paraId="17AE3177" w14:textId="77777777" w:rsidR="008A305D" w:rsidRPr="00BA3FBD" w:rsidRDefault="008A305D" w:rsidP="008A305D">
      <w:pPr>
        <w:pStyle w:val="Antrat2"/>
        <w:spacing w:before="0" w:after="0" w:line="240" w:lineRule="auto"/>
        <w:jc w:val="center"/>
        <w:rPr>
          <w:rFonts w:ascii="Times New Roman" w:hAnsi="Times New Roman"/>
          <w:i w:val="0"/>
          <w:iCs/>
          <w:sz w:val="22"/>
          <w:szCs w:val="22"/>
          <w:lang w:val="lt-LT"/>
        </w:rPr>
      </w:pPr>
      <w:r w:rsidRPr="00BA3FBD">
        <w:rPr>
          <w:rFonts w:ascii="Times New Roman" w:hAnsi="Times New Roman"/>
          <w:i w:val="0"/>
          <w:iCs/>
          <w:sz w:val="22"/>
          <w:szCs w:val="22"/>
          <w:lang w:val="lt-LT"/>
        </w:rPr>
        <w:t>III PRIEDAS</w:t>
      </w:r>
    </w:p>
    <w:p w14:paraId="10AC5F00" w14:textId="77777777" w:rsidR="008A305D" w:rsidRPr="00BA3FBD" w:rsidRDefault="008A305D" w:rsidP="008A305D">
      <w:pPr>
        <w:rPr>
          <w:sz w:val="22"/>
          <w:szCs w:val="22"/>
        </w:rPr>
      </w:pPr>
    </w:p>
    <w:p w14:paraId="3FC54264" w14:textId="77777777" w:rsidR="008A305D" w:rsidRPr="00BA3FBD" w:rsidRDefault="008A305D" w:rsidP="008A305D">
      <w:pPr>
        <w:pStyle w:val="Antrat2"/>
        <w:spacing w:before="0" w:after="0" w:line="240" w:lineRule="auto"/>
        <w:jc w:val="center"/>
        <w:rPr>
          <w:rFonts w:ascii="Times New Roman" w:hAnsi="Times New Roman"/>
          <w:i w:val="0"/>
          <w:iCs/>
          <w:sz w:val="22"/>
          <w:szCs w:val="22"/>
          <w:lang w:val="lt-LT"/>
        </w:rPr>
      </w:pPr>
      <w:r w:rsidRPr="00BA3FBD">
        <w:rPr>
          <w:rFonts w:ascii="Times New Roman" w:hAnsi="Times New Roman"/>
          <w:i w:val="0"/>
          <w:iCs/>
          <w:sz w:val="22"/>
          <w:szCs w:val="22"/>
          <w:lang w:val="lt-LT"/>
        </w:rPr>
        <w:t>ŽENKLINIMAS IR PAKUOTĖS LAPELIS</w:t>
      </w:r>
    </w:p>
    <w:p w14:paraId="0D90C36F" w14:textId="77777777" w:rsidR="008A305D" w:rsidRPr="00BA3FBD" w:rsidRDefault="008A305D" w:rsidP="008A305D">
      <w:pPr>
        <w:rPr>
          <w:sz w:val="22"/>
          <w:szCs w:val="22"/>
        </w:rPr>
      </w:pPr>
      <w:r w:rsidRPr="00BA3FBD">
        <w:rPr>
          <w:sz w:val="22"/>
          <w:szCs w:val="22"/>
        </w:rPr>
        <w:br w:type="page"/>
      </w:r>
    </w:p>
    <w:p w14:paraId="05A62948" w14:textId="77777777" w:rsidR="008A305D" w:rsidRPr="00BA3FBD" w:rsidRDefault="008A305D" w:rsidP="008A305D">
      <w:pPr>
        <w:rPr>
          <w:sz w:val="22"/>
          <w:szCs w:val="22"/>
        </w:rPr>
      </w:pPr>
    </w:p>
    <w:p w14:paraId="528A6C39" w14:textId="77777777" w:rsidR="008A305D" w:rsidRPr="00BA3FBD" w:rsidRDefault="008A305D" w:rsidP="008A305D">
      <w:pPr>
        <w:rPr>
          <w:sz w:val="22"/>
          <w:szCs w:val="22"/>
        </w:rPr>
      </w:pPr>
    </w:p>
    <w:p w14:paraId="2366A1F9" w14:textId="77777777" w:rsidR="008A305D" w:rsidRPr="00BA3FBD" w:rsidRDefault="008A305D" w:rsidP="008A305D">
      <w:pPr>
        <w:rPr>
          <w:sz w:val="22"/>
          <w:szCs w:val="22"/>
        </w:rPr>
      </w:pPr>
    </w:p>
    <w:p w14:paraId="33608A13" w14:textId="77777777" w:rsidR="008A305D" w:rsidRPr="00BA3FBD" w:rsidRDefault="008A305D" w:rsidP="008A305D">
      <w:pPr>
        <w:rPr>
          <w:sz w:val="22"/>
          <w:szCs w:val="22"/>
        </w:rPr>
      </w:pPr>
    </w:p>
    <w:p w14:paraId="199DD2B9" w14:textId="77777777" w:rsidR="008A305D" w:rsidRPr="00BA3FBD" w:rsidRDefault="008A305D" w:rsidP="008A305D">
      <w:pPr>
        <w:rPr>
          <w:sz w:val="22"/>
          <w:szCs w:val="22"/>
        </w:rPr>
      </w:pPr>
    </w:p>
    <w:p w14:paraId="56A9B230" w14:textId="77777777" w:rsidR="008A305D" w:rsidRPr="00BA3FBD" w:rsidRDefault="008A305D" w:rsidP="008A305D">
      <w:pPr>
        <w:rPr>
          <w:sz w:val="22"/>
          <w:szCs w:val="22"/>
        </w:rPr>
      </w:pPr>
    </w:p>
    <w:p w14:paraId="4725B101" w14:textId="77777777" w:rsidR="008A305D" w:rsidRPr="00BA3FBD" w:rsidRDefault="008A305D" w:rsidP="008A305D">
      <w:pPr>
        <w:rPr>
          <w:sz w:val="22"/>
          <w:szCs w:val="22"/>
        </w:rPr>
      </w:pPr>
    </w:p>
    <w:p w14:paraId="0C045DD7" w14:textId="77777777" w:rsidR="008A305D" w:rsidRPr="00BA3FBD" w:rsidRDefault="008A305D" w:rsidP="008A305D">
      <w:pPr>
        <w:rPr>
          <w:sz w:val="22"/>
          <w:szCs w:val="22"/>
        </w:rPr>
      </w:pPr>
    </w:p>
    <w:p w14:paraId="1E90B8DB" w14:textId="77777777" w:rsidR="008A305D" w:rsidRPr="00BA3FBD" w:rsidRDefault="008A305D" w:rsidP="008A305D">
      <w:pPr>
        <w:rPr>
          <w:sz w:val="22"/>
          <w:szCs w:val="22"/>
        </w:rPr>
      </w:pPr>
    </w:p>
    <w:p w14:paraId="3110626E" w14:textId="77777777" w:rsidR="008A305D" w:rsidRPr="00BA3FBD" w:rsidRDefault="008A305D" w:rsidP="008A305D">
      <w:pPr>
        <w:rPr>
          <w:sz w:val="22"/>
          <w:szCs w:val="22"/>
        </w:rPr>
      </w:pPr>
    </w:p>
    <w:p w14:paraId="5C9CEAA1" w14:textId="77777777" w:rsidR="008A305D" w:rsidRPr="00BA3FBD" w:rsidRDefault="008A305D" w:rsidP="008A305D">
      <w:pPr>
        <w:rPr>
          <w:sz w:val="22"/>
          <w:szCs w:val="22"/>
        </w:rPr>
      </w:pPr>
    </w:p>
    <w:p w14:paraId="0AE20612" w14:textId="77777777" w:rsidR="008A305D" w:rsidRPr="00BA3FBD" w:rsidRDefault="008A305D" w:rsidP="008A305D">
      <w:pPr>
        <w:rPr>
          <w:sz w:val="22"/>
          <w:szCs w:val="22"/>
        </w:rPr>
      </w:pPr>
    </w:p>
    <w:p w14:paraId="1C0FA361" w14:textId="77777777" w:rsidR="008A305D" w:rsidRPr="00BA3FBD" w:rsidRDefault="008A305D" w:rsidP="008A305D">
      <w:pPr>
        <w:rPr>
          <w:sz w:val="22"/>
          <w:szCs w:val="22"/>
        </w:rPr>
      </w:pPr>
    </w:p>
    <w:p w14:paraId="1EFB749E" w14:textId="77777777" w:rsidR="008A305D" w:rsidRPr="00BA3FBD" w:rsidRDefault="008A305D" w:rsidP="008A305D">
      <w:pPr>
        <w:rPr>
          <w:sz w:val="22"/>
          <w:szCs w:val="22"/>
        </w:rPr>
      </w:pPr>
    </w:p>
    <w:p w14:paraId="2FB5839A" w14:textId="77777777" w:rsidR="008A305D" w:rsidRPr="00BA3FBD" w:rsidRDefault="008A305D" w:rsidP="008A305D">
      <w:pPr>
        <w:rPr>
          <w:sz w:val="22"/>
          <w:szCs w:val="22"/>
        </w:rPr>
      </w:pPr>
    </w:p>
    <w:p w14:paraId="6186793E" w14:textId="77777777" w:rsidR="008A305D" w:rsidRPr="00BA3FBD" w:rsidRDefault="008A305D" w:rsidP="008A305D">
      <w:pPr>
        <w:rPr>
          <w:sz w:val="22"/>
          <w:szCs w:val="22"/>
        </w:rPr>
      </w:pPr>
    </w:p>
    <w:p w14:paraId="7EE6389B" w14:textId="77777777" w:rsidR="008A305D" w:rsidRPr="00BA3FBD" w:rsidRDefault="008A305D" w:rsidP="008A305D">
      <w:pPr>
        <w:rPr>
          <w:sz w:val="22"/>
          <w:szCs w:val="22"/>
        </w:rPr>
      </w:pPr>
    </w:p>
    <w:p w14:paraId="61168087" w14:textId="77777777" w:rsidR="008A305D" w:rsidRPr="00BA3FBD" w:rsidRDefault="008A305D" w:rsidP="008A305D">
      <w:pPr>
        <w:rPr>
          <w:sz w:val="22"/>
          <w:szCs w:val="22"/>
        </w:rPr>
      </w:pPr>
    </w:p>
    <w:p w14:paraId="374D9C60" w14:textId="77777777" w:rsidR="008A305D" w:rsidRPr="00BA3FBD" w:rsidRDefault="008A305D" w:rsidP="008A305D">
      <w:pPr>
        <w:rPr>
          <w:sz w:val="22"/>
          <w:szCs w:val="22"/>
        </w:rPr>
      </w:pPr>
    </w:p>
    <w:p w14:paraId="3774E6D7" w14:textId="77777777" w:rsidR="008A305D" w:rsidRPr="00BA3FBD" w:rsidRDefault="008A305D" w:rsidP="008A305D">
      <w:pPr>
        <w:rPr>
          <w:sz w:val="22"/>
          <w:szCs w:val="22"/>
        </w:rPr>
      </w:pPr>
    </w:p>
    <w:p w14:paraId="1AC8A963" w14:textId="77777777" w:rsidR="008A305D" w:rsidRPr="00BA3FBD" w:rsidRDefault="008A305D" w:rsidP="008A305D">
      <w:pPr>
        <w:rPr>
          <w:sz w:val="22"/>
          <w:szCs w:val="22"/>
        </w:rPr>
      </w:pPr>
    </w:p>
    <w:p w14:paraId="1F17084B" w14:textId="77777777" w:rsidR="008A305D" w:rsidRDefault="008A305D" w:rsidP="008A305D">
      <w:pPr>
        <w:rPr>
          <w:sz w:val="22"/>
          <w:szCs w:val="22"/>
        </w:rPr>
      </w:pPr>
    </w:p>
    <w:p w14:paraId="51A5EA1B" w14:textId="77777777" w:rsidR="008A305D" w:rsidRPr="00BA3FBD" w:rsidRDefault="008A305D" w:rsidP="008A305D">
      <w:pPr>
        <w:rPr>
          <w:sz w:val="22"/>
          <w:szCs w:val="22"/>
        </w:rPr>
      </w:pPr>
    </w:p>
    <w:p w14:paraId="6512E4E0" w14:textId="77777777" w:rsidR="008A305D" w:rsidRPr="00BA3FBD" w:rsidRDefault="008A305D" w:rsidP="008A305D">
      <w:pPr>
        <w:pStyle w:val="Antrat2"/>
        <w:spacing w:before="0" w:after="0" w:line="240" w:lineRule="auto"/>
        <w:jc w:val="center"/>
        <w:rPr>
          <w:rFonts w:ascii="Times New Roman" w:hAnsi="Times New Roman"/>
          <w:i w:val="0"/>
          <w:iCs/>
          <w:sz w:val="22"/>
          <w:szCs w:val="22"/>
          <w:lang w:val="lt-LT"/>
        </w:rPr>
      </w:pPr>
      <w:r w:rsidRPr="00BA3FBD">
        <w:rPr>
          <w:rFonts w:ascii="Times New Roman" w:hAnsi="Times New Roman"/>
          <w:i w:val="0"/>
          <w:iCs/>
          <w:sz w:val="22"/>
          <w:szCs w:val="22"/>
          <w:lang w:val="lt-LT"/>
        </w:rPr>
        <w:t>A. ŽENKLINIMAS</w:t>
      </w:r>
    </w:p>
    <w:p w14:paraId="20E341C4" w14:textId="77777777" w:rsidR="008A305D" w:rsidRPr="00BA3FBD" w:rsidRDefault="008A305D" w:rsidP="008A305D">
      <w:pPr>
        <w:rPr>
          <w:sz w:val="22"/>
          <w:szCs w:val="22"/>
        </w:rPr>
      </w:pPr>
      <w:r w:rsidRPr="00BA3FBD">
        <w:rPr>
          <w:sz w:val="22"/>
          <w:szCs w:val="22"/>
        </w:rPr>
        <w:br w:type="page"/>
      </w:r>
    </w:p>
    <w:p w14:paraId="495EAE41" w14:textId="77777777" w:rsidR="008A305D" w:rsidRPr="00BA3FBD" w:rsidRDefault="008A305D" w:rsidP="008A305D">
      <w:pPr>
        <w:suppressLineNumbers/>
        <w:pBdr>
          <w:top w:val="single" w:sz="4" w:space="1" w:color="auto"/>
          <w:left w:val="single" w:sz="4" w:space="4" w:color="auto"/>
          <w:bottom w:val="single" w:sz="4" w:space="1" w:color="auto"/>
          <w:right w:val="single" w:sz="4" w:space="4" w:color="auto"/>
        </w:pBdr>
        <w:rPr>
          <w:b/>
          <w:sz w:val="22"/>
          <w:szCs w:val="22"/>
        </w:rPr>
      </w:pPr>
      <w:r w:rsidRPr="00BA3FBD">
        <w:rPr>
          <w:b/>
          <w:sz w:val="22"/>
          <w:szCs w:val="22"/>
        </w:rPr>
        <w:lastRenderedPageBreak/>
        <w:t>INFORMACIJA ANT IŠORINĖS PAKUOTĖS</w:t>
      </w:r>
    </w:p>
    <w:p w14:paraId="504FDA57" w14:textId="77777777" w:rsidR="008A305D" w:rsidRPr="00BA3FBD" w:rsidRDefault="008A305D" w:rsidP="008A305D">
      <w:pPr>
        <w:suppressLineNumbers/>
        <w:pBdr>
          <w:top w:val="single" w:sz="4" w:space="1" w:color="auto"/>
          <w:left w:val="single" w:sz="4" w:space="4" w:color="auto"/>
          <w:bottom w:val="single" w:sz="4" w:space="1" w:color="auto"/>
          <w:right w:val="single" w:sz="4" w:space="4" w:color="auto"/>
        </w:pBdr>
        <w:ind w:left="567" w:hanging="567"/>
        <w:rPr>
          <w:b/>
          <w:sz w:val="22"/>
          <w:szCs w:val="22"/>
        </w:rPr>
      </w:pPr>
    </w:p>
    <w:p w14:paraId="22781692" w14:textId="77777777" w:rsidR="008A305D" w:rsidRPr="00BA3FBD" w:rsidRDefault="008A305D" w:rsidP="008A305D">
      <w:pPr>
        <w:suppressLineNumbers/>
        <w:pBdr>
          <w:top w:val="single" w:sz="4" w:space="1" w:color="auto"/>
          <w:left w:val="single" w:sz="4" w:space="4" w:color="auto"/>
          <w:bottom w:val="single" w:sz="4" w:space="1" w:color="auto"/>
          <w:right w:val="single" w:sz="4" w:space="4" w:color="auto"/>
        </w:pBdr>
        <w:rPr>
          <w:b/>
          <w:sz w:val="22"/>
          <w:szCs w:val="22"/>
        </w:rPr>
      </w:pPr>
      <w:r w:rsidRPr="00BA3FBD">
        <w:rPr>
          <w:b/>
          <w:sz w:val="22"/>
          <w:szCs w:val="22"/>
        </w:rPr>
        <w:t>KARTONINĖ DĖŽUTĖ</w:t>
      </w:r>
    </w:p>
    <w:p w14:paraId="7406A625" w14:textId="77777777" w:rsidR="008A305D" w:rsidRDefault="008A305D" w:rsidP="008A305D">
      <w:pPr>
        <w:rPr>
          <w:sz w:val="22"/>
          <w:szCs w:val="22"/>
        </w:rPr>
      </w:pPr>
    </w:p>
    <w:p w14:paraId="3E20C1BE" w14:textId="77777777" w:rsidR="008A305D" w:rsidRPr="00BA3FBD" w:rsidRDefault="008A305D" w:rsidP="008A305D">
      <w:pPr>
        <w:rPr>
          <w:sz w:val="22"/>
          <w:szCs w:val="22"/>
        </w:rPr>
      </w:pPr>
    </w:p>
    <w:p w14:paraId="09B569DF" w14:textId="77777777" w:rsidR="008A305D" w:rsidRPr="00BA3FBD" w:rsidRDefault="008A305D" w:rsidP="008A305D">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BA3FBD">
        <w:rPr>
          <w:b/>
          <w:sz w:val="22"/>
          <w:szCs w:val="22"/>
        </w:rPr>
        <w:t>1.</w:t>
      </w:r>
      <w:r w:rsidRPr="00BA3FBD">
        <w:rPr>
          <w:b/>
          <w:sz w:val="22"/>
          <w:szCs w:val="22"/>
        </w:rPr>
        <w:tab/>
      </w:r>
      <w:r w:rsidRPr="00BA3FBD">
        <w:rPr>
          <w:b/>
          <w:caps/>
          <w:sz w:val="22"/>
          <w:szCs w:val="22"/>
        </w:rPr>
        <w:t>VAISTINIO</w:t>
      </w:r>
      <w:r w:rsidRPr="00BA3FBD">
        <w:rPr>
          <w:b/>
          <w:sz w:val="22"/>
          <w:szCs w:val="22"/>
        </w:rPr>
        <w:t xml:space="preserve"> PREPARATO PAVADINIMAS</w:t>
      </w:r>
    </w:p>
    <w:p w14:paraId="0FAB4D4E" w14:textId="77777777" w:rsidR="008A305D" w:rsidRPr="00BA3FBD" w:rsidRDefault="008A305D" w:rsidP="008A305D">
      <w:pPr>
        <w:rPr>
          <w:sz w:val="22"/>
          <w:szCs w:val="22"/>
        </w:rPr>
      </w:pPr>
    </w:p>
    <w:p w14:paraId="39C17324" w14:textId="77777777" w:rsidR="008A305D" w:rsidRPr="00BA3FBD" w:rsidRDefault="008A305D" w:rsidP="008A305D">
      <w:pPr>
        <w:autoSpaceDE w:val="0"/>
        <w:autoSpaceDN w:val="0"/>
        <w:adjustRightInd w:val="0"/>
        <w:rPr>
          <w:sz w:val="22"/>
          <w:szCs w:val="22"/>
        </w:rPr>
      </w:pPr>
      <w:r w:rsidRPr="00BA3FBD">
        <w:rPr>
          <w:sz w:val="22"/>
          <w:szCs w:val="22"/>
        </w:rPr>
        <w:t>Imatinib Actavis Group 100 mg plėvele dengtos tabletės</w:t>
      </w:r>
    </w:p>
    <w:p w14:paraId="4D6B02B2" w14:textId="77777777" w:rsidR="008A305D" w:rsidRPr="00BA3FBD" w:rsidRDefault="008A305D" w:rsidP="008A305D">
      <w:pPr>
        <w:shd w:val="clear" w:color="auto" w:fill="F2F2F2"/>
        <w:autoSpaceDE w:val="0"/>
        <w:autoSpaceDN w:val="0"/>
        <w:adjustRightInd w:val="0"/>
        <w:rPr>
          <w:sz w:val="22"/>
          <w:szCs w:val="22"/>
        </w:rPr>
      </w:pPr>
      <w:r w:rsidRPr="00BA3FBD">
        <w:rPr>
          <w:sz w:val="22"/>
          <w:szCs w:val="22"/>
        </w:rPr>
        <w:t>Imatinib Actavis Group 200 mg plėvele dengtos tabletės</w:t>
      </w:r>
    </w:p>
    <w:p w14:paraId="1D533F9B" w14:textId="77777777" w:rsidR="008A305D" w:rsidRPr="00BA3FBD" w:rsidRDefault="008A305D" w:rsidP="008A305D">
      <w:pPr>
        <w:shd w:val="clear" w:color="auto" w:fill="D9D9D9"/>
        <w:autoSpaceDE w:val="0"/>
        <w:autoSpaceDN w:val="0"/>
        <w:adjustRightInd w:val="0"/>
        <w:rPr>
          <w:sz w:val="22"/>
          <w:szCs w:val="22"/>
        </w:rPr>
      </w:pPr>
      <w:r w:rsidRPr="00BA3FBD">
        <w:rPr>
          <w:sz w:val="22"/>
          <w:szCs w:val="22"/>
        </w:rPr>
        <w:t>Imatinib Actavis Group 300 mg plėvele dengtos tabletės</w:t>
      </w:r>
    </w:p>
    <w:p w14:paraId="1DBBE817" w14:textId="77777777" w:rsidR="008A305D" w:rsidRPr="00BA3FBD" w:rsidRDefault="008A305D" w:rsidP="008A305D">
      <w:pPr>
        <w:shd w:val="clear" w:color="auto" w:fill="A6A6A6"/>
        <w:autoSpaceDE w:val="0"/>
        <w:autoSpaceDN w:val="0"/>
        <w:adjustRightInd w:val="0"/>
        <w:rPr>
          <w:sz w:val="22"/>
          <w:szCs w:val="22"/>
        </w:rPr>
      </w:pPr>
      <w:r w:rsidRPr="00BA3FBD">
        <w:rPr>
          <w:sz w:val="22"/>
          <w:szCs w:val="22"/>
        </w:rPr>
        <w:t>Imatinib Actavis Group 400 mg plėvele dengtos tabletės</w:t>
      </w:r>
    </w:p>
    <w:p w14:paraId="4CC37878" w14:textId="77777777" w:rsidR="008A305D" w:rsidRPr="00BA3FBD" w:rsidRDefault="008A305D" w:rsidP="008A305D">
      <w:pPr>
        <w:autoSpaceDE w:val="0"/>
        <w:autoSpaceDN w:val="0"/>
        <w:adjustRightInd w:val="0"/>
        <w:rPr>
          <w:sz w:val="22"/>
          <w:szCs w:val="22"/>
        </w:rPr>
      </w:pPr>
    </w:p>
    <w:p w14:paraId="01F183B1" w14:textId="77777777" w:rsidR="008A305D" w:rsidRPr="00BA3FBD" w:rsidRDefault="008A305D" w:rsidP="008A305D">
      <w:pPr>
        <w:autoSpaceDE w:val="0"/>
        <w:autoSpaceDN w:val="0"/>
        <w:adjustRightInd w:val="0"/>
        <w:rPr>
          <w:sz w:val="22"/>
          <w:szCs w:val="22"/>
        </w:rPr>
      </w:pPr>
      <w:r w:rsidRPr="00BA3FBD">
        <w:rPr>
          <w:sz w:val="22"/>
          <w:szCs w:val="22"/>
        </w:rPr>
        <w:t>Imatinibum</w:t>
      </w:r>
    </w:p>
    <w:p w14:paraId="2955C697" w14:textId="77777777" w:rsidR="008A305D" w:rsidRPr="00BA3FBD" w:rsidRDefault="008A305D" w:rsidP="008A305D">
      <w:pPr>
        <w:rPr>
          <w:sz w:val="22"/>
          <w:szCs w:val="22"/>
        </w:rPr>
      </w:pPr>
    </w:p>
    <w:p w14:paraId="5AB0458E" w14:textId="77777777" w:rsidR="008A305D" w:rsidRPr="00BA3FBD" w:rsidRDefault="008A305D" w:rsidP="008A305D">
      <w:pPr>
        <w:rPr>
          <w:sz w:val="22"/>
          <w:szCs w:val="22"/>
        </w:rPr>
      </w:pPr>
    </w:p>
    <w:p w14:paraId="376939FE" w14:textId="77777777" w:rsidR="008A305D" w:rsidRPr="00BA3FBD" w:rsidRDefault="008A305D" w:rsidP="008A305D">
      <w:pPr>
        <w:suppressLineNumbers/>
        <w:pBdr>
          <w:top w:val="single" w:sz="4" w:space="1" w:color="auto"/>
          <w:left w:val="single" w:sz="4" w:space="4" w:color="auto"/>
          <w:bottom w:val="single" w:sz="4" w:space="1" w:color="auto"/>
          <w:right w:val="single" w:sz="4" w:space="4" w:color="auto"/>
        </w:pBdr>
        <w:ind w:left="567" w:hanging="567"/>
        <w:outlineLvl w:val="0"/>
        <w:rPr>
          <w:b/>
          <w:sz w:val="22"/>
          <w:szCs w:val="22"/>
        </w:rPr>
      </w:pPr>
      <w:r w:rsidRPr="00BA3FBD">
        <w:rPr>
          <w:b/>
          <w:sz w:val="22"/>
          <w:szCs w:val="22"/>
        </w:rPr>
        <w:t>2.</w:t>
      </w:r>
      <w:r w:rsidRPr="00BA3FBD">
        <w:rPr>
          <w:b/>
          <w:sz w:val="22"/>
          <w:szCs w:val="22"/>
        </w:rPr>
        <w:tab/>
        <w:t>VEIKLIOJI (-IOS) MEDŽIAGA (-OS) IR JOS (-Ų) KIEKIS (-IAI)</w:t>
      </w:r>
    </w:p>
    <w:p w14:paraId="5AE2A435" w14:textId="77777777" w:rsidR="008A305D" w:rsidRPr="00BA3FBD" w:rsidRDefault="008A305D" w:rsidP="008A305D">
      <w:pPr>
        <w:rPr>
          <w:sz w:val="22"/>
          <w:szCs w:val="22"/>
        </w:rPr>
      </w:pPr>
    </w:p>
    <w:p w14:paraId="43C2646A" w14:textId="77777777" w:rsidR="008A305D" w:rsidRPr="00BA3FBD" w:rsidRDefault="008A305D" w:rsidP="008A305D">
      <w:pPr>
        <w:rPr>
          <w:sz w:val="22"/>
          <w:szCs w:val="22"/>
        </w:rPr>
      </w:pPr>
      <w:r w:rsidRPr="00BA3FBD">
        <w:rPr>
          <w:sz w:val="22"/>
          <w:szCs w:val="22"/>
        </w:rPr>
        <w:t>Kiekvienoje tabletėje yra 100 mg imatinibo (mesilato pavidalu).</w:t>
      </w:r>
    </w:p>
    <w:p w14:paraId="13930436" w14:textId="77777777" w:rsidR="008A305D" w:rsidRPr="00BA3FBD" w:rsidRDefault="008A305D" w:rsidP="008A305D">
      <w:pPr>
        <w:shd w:val="clear" w:color="auto" w:fill="F2F2F2"/>
        <w:rPr>
          <w:sz w:val="22"/>
          <w:szCs w:val="22"/>
        </w:rPr>
      </w:pPr>
      <w:r w:rsidRPr="00BA3FBD">
        <w:rPr>
          <w:sz w:val="22"/>
          <w:szCs w:val="22"/>
        </w:rPr>
        <w:t>Kiekvienoje tabletėje yra 200 mg imatinibo (mesilato pavidalu).</w:t>
      </w:r>
    </w:p>
    <w:p w14:paraId="0A154CF5" w14:textId="77777777" w:rsidR="008A305D" w:rsidRPr="00BA3FBD" w:rsidRDefault="008A305D" w:rsidP="008A305D">
      <w:pPr>
        <w:shd w:val="clear" w:color="auto" w:fill="D9D9D9"/>
        <w:rPr>
          <w:sz w:val="22"/>
          <w:szCs w:val="22"/>
        </w:rPr>
      </w:pPr>
      <w:r w:rsidRPr="00BA3FBD">
        <w:rPr>
          <w:sz w:val="22"/>
          <w:szCs w:val="22"/>
        </w:rPr>
        <w:t>Kiekvienoje tabletėje yra 300 mg imatinibo (mesilato pavidalu).</w:t>
      </w:r>
    </w:p>
    <w:p w14:paraId="6E361576" w14:textId="77777777" w:rsidR="008A305D" w:rsidRPr="00BA3FBD" w:rsidRDefault="008A305D" w:rsidP="008A305D">
      <w:pPr>
        <w:shd w:val="clear" w:color="auto" w:fill="A6A6A6"/>
        <w:rPr>
          <w:sz w:val="22"/>
          <w:szCs w:val="22"/>
        </w:rPr>
      </w:pPr>
      <w:r w:rsidRPr="00BA3FBD">
        <w:rPr>
          <w:sz w:val="22"/>
          <w:szCs w:val="22"/>
        </w:rPr>
        <w:t>Kiekvienoje tabletėje yra 400 mg imatinibo (mesilato pavidalu).</w:t>
      </w:r>
    </w:p>
    <w:p w14:paraId="2BE2547E" w14:textId="77777777" w:rsidR="008A305D" w:rsidRPr="00BA3FBD" w:rsidRDefault="008A305D" w:rsidP="008A305D">
      <w:pPr>
        <w:rPr>
          <w:sz w:val="22"/>
          <w:szCs w:val="22"/>
        </w:rPr>
      </w:pPr>
    </w:p>
    <w:p w14:paraId="24D02C95" w14:textId="77777777" w:rsidR="008A305D" w:rsidRPr="00BA3FBD" w:rsidRDefault="008A305D" w:rsidP="008A305D">
      <w:pPr>
        <w:rPr>
          <w:sz w:val="22"/>
          <w:szCs w:val="22"/>
        </w:rPr>
      </w:pPr>
    </w:p>
    <w:p w14:paraId="614B1C8E" w14:textId="77777777" w:rsidR="008A305D" w:rsidRPr="00BA3FBD" w:rsidRDefault="008A305D" w:rsidP="008A305D">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BA3FBD">
        <w:rPr>
          <w:b/>
          <w:sz w:val="22"/>
          <w:szCs w:val="22"/>
        </w:rPr>
        <w:t>3.</w:t>
      </w:r>
      <w:r w:rsidRPr="00BA3FBD">
        <w:rPr>
          <w:b/>
          <w:sz w:val="22"/>
          <w:szCs w:val="22"/>
        </w:rPr>
        <w:tab/>
        <w:t>PAGALBINIŲ MEDŽIAGŲ SĄRAŠAS</w:t>
      </w:r>
    </w:p>
    <w:p w14:paraId="199357EB" w14:textId="77777777" w:rsidR="008A305D" w:rsidRPr="00BA3FBD" w:rsidRDefault="008A305D" w:rsidP="008A305D">
      <w:pPr>
        <w:rPr>
          <w:sz w:val="22"/>
          <w:szCs w:val="22"/>
        </w:rPr>
      </w:pPr>
    </w:p>
    <w:p w14:paraId="44A08E2A" w14:textId="77777777" w:rsidR="008A305D" w:rsidRPr="00BA3FBD" w:rsidRDefault="008A305D" w:rsidP="008A305D">
      <w:pPr>
        <w:rPr>
          <w:sz w:val="22"/>
          <w:szCs w:val="22"/>
        </w:rPr>
      </w:pPr>
      <w:r w:rsidRPr="00BA3FBD">
        <w:rPr>
          <w:sz w:val="22"/>
          <w:szCs w:val="22"/>
        </w:rPr>
        <w:t>Sudėtyje yra laktozės monohidrato (daugiau informacijos pateikta pakuotės lapelyje).</w:t>
      </w:r>
    </w:p>
    <w:p w14:paraId="5E7AB926" w14:textId="77777777" w:rsidR="008A305D" w:rsidRPr="00BA3FBD" w:rsidRDefault="008A305D" w:rsidP="008A305D">
      <w:pPr>
        <w:rPr>
          <w:sz w:val="22"/>
          <w:szCs w:val="22"/>
        </w:rPr>
      </w:pPr>
    </w:p>
    <w:p w14:paraId="251DC31E" w14:textId="77777777" w:rsidR="008A305D" w:rsidRPr="00BA3FBD" w:rsidRDefault="008A305D" w:rsidP="008A305D">
      <w:pPr>
        <w:rPr>
          <w:sz w:val="22"/>
          <w:szCs w:val="22"/>
        </w:rPr>
      </w:pPr>
    </w:p>
    <w:p w14:paraId="01D3275A" w14:textId="77777777" w:rsidR="008A305D" w:rsidRPr="00BA3FBD" w:rsidRDefault="008A305D" w:rsidP="008A305D">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BA3FBD">
        <w:rPr>
          <w:b/>
          <w:sz w:val="22"/>
          <w:szCs w:val="22"/>
        </w:rPr>
        <w:t>4.</w:t>
      </w:r>
      <w:r w:rsidRPr="00BA3FBD">
        <w:rPr>
          <w:b/>
          <w:sz w:val="22"/>
          <w:szCs w:val="22"/>
        </w:rPr>
        <w:tab/>
        <w:t>FARMACINĖ FORMA IR KIEKIS PAKUOTĖJE</w:t>
      </w:r>
    </w:p>
    <w:p w14:paraId="1C9945D2" w14:textId="77777777" w:rsidR="008A305D" w:rsidRPr="00BA3FBD" w:rsidRDefault="008A305D" w:rsidP="008A305D">
      <w:pPr>
        <w:pStyle w:val="Betarp"/>
        <w:rPr>
          <w:sz w:val="22"/>
          <w:szCs w:val="22"/>
          <w:highlight w:val="lightGray"/>
        </w:rPr>
      </w:pPr>
    </w:p>
    <w:p w14:paraId="3F183D84" w14:textId="77777777" w:rsidR="008A305D" w:rsidRPr="00BA3FBD" w:rsidRDefault="008A305D" w:rsidP="008A305D">
      <w:pPr>
        <w:pStyle w:val="Betarp"/>
        <w:rPr>
          <w:sz w:val="22"/>
          <w:szCs w:val="22"/>
        </w:rPr>
      </w:pPr>
      <w:r w:rsidRPr="00BA3FBD">
        <w:rPr>
          <w:sz w:val="22"/>
          <w:szCs w:val="22"/>
        </w:rPr>
        <w:t>30 tablečių</w:t>
      </w:r>
    </w:p>
    <w:p w14:paraId="1FFCD296" w14:textId="77777777" w:rsidR="008A305D" w:rsidRPr="00BA3FBD" w:rsidRDefault="008A305D" w:rsidP="008A305D">
      <w:pPr>
        <w:pStyle w:val="Betarp"/>
        <w:rPr>
          <w:sz w:val="22"/>
          <w:szCs w:val="22"/>
          <w:highlight w:val="lightGray"/>
        </w:rPr>
      </w:pPr>
      <w:r w:rsidRPr="00BA3FBD">
        <w:rPr>
          <w:sz w:val="22"/>
          <w:szCs w:val="22"/>
          <w:highlight w:val="lightGray"/>
        </w:rPr>
        <w:t>60 tablečių</w:t>
      </w:r>
    </w:p>
    <w:p w14:paraId="412791F8" w14:textId="77777777" w:rsidR="008A305D" w:rsidRPr="00BA3FBD" w:rsidRDefault="008A305D" w:rsidP="008A305D">
      <w:pPr>
        <w:pStyle w:val="Betarp"/>
        <w:rPr>
          <w:sz w:val="22"/>
          <w:szCs w:val="22"/>
          <w:highlight w:val="lightGray"/>
        </w:rPr>
      </w:pPr>
      <w:r w:rsidRPr="00BA3FBD">
        <w:rPr>
          <w:sz w:val="22"/>
          <w:szCs w:val="22"/>
          <w:highlight w:val="lightGray"/>
        </w:rPr>
        <w:t>90 tablečių</w:t>
      </w:r>
    </w:p>
    <w:p w14:paraId="2617A9E4" w14:textId="77777777" w:rsidR="008A305D" w:rsidRPr="00BA3FBD" w:rsidRDefault="008A305D" w:rsidP="008A305D">
      <w:pPr>
        <w:pStyle w:val="Betarp"/>
        <w:rPr>
          <w:sz w:val="22"/>
          <w:szCs w:val="22"/>
        </w:rPr>
      </w:pPr>
      <w:r w:rsidRPr="00BA3FBD">
        <w:rPr>
          <w:sz w:val="22"/>
          <w:szCs w:val="22"/>
          <w:highlight w:val="lightGray"/>
        </w:rPr>
        <w:t>120 tablečių</w:t>
      </w:r>
    </w:p>
    <w:p w14:paraId="74DD5EA6" w14:textId="77777777" w:rsidR="008A305D" w:rsidRPr="00BA3FBD" w:rsidRDefault="008A305D" w:rsidP="008A305D">
      <w:pPr>
        <w:pStyle w:val="Betarp"/>
        <w:rPr>
          <w:sz w:val="22"/>
          <w:szCs w:val="22"/>
        </w:rPr>
      </w:pPr>
    </w:p>
    <w:p w14:paraId="6B8509CD" w14:textId="77777777" w:rsidR="008A305D" w:rsidRPr="00BA3FBD" w:rsidRDefault="008A305D" w:rsidP="008A305D">
      <w:pPr>
        <w:rPr>
          <w:sz w:val="22"/>
          <w:szCs w:val="22"/>
        </w:rPr>
      </w:pPr>
    </w:p>
    <w:p w14:paraId="69D5F548" w14:textId="77777777" w:rsidR="008A305D" w:rsidRPr="00BA3FBD" w:rsidRDefault="008A305D" w:rsidP="008A305D">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BA3FBD">
        <w:rPr>
          <w:b/>
          <w:sz w:val="22"/>
          <w:szCs w:val="22"/>
        </w:rPr>
        <w:t>5.</w:t>
      </w:r>
      <w:r w:rsidRPr="00BA3FBD">
        <w:rPr>
          <w:b/>
          <w:sz w:val="22"/>
          <w:szCs w:val="22"/>
        </w:rPr>
        <w:tab/>
        <w:t>VARTOJIMO METODAS IR BŪDAS (-AI)</w:t>
      </w:r>
    </w:p>
    <w:p w14:paraId="502FB614" w14:textId="77777777" w:rsidR="008A305D" w:rsidRPr="00BA3FBD" w:rsidRDefault="008A305D" w:rsidP="008A305D">
      <w:pPr>
        <w:rPr>
          <w:sz w:val="22"/>
          <w:szCs w:val="22"/>
        </w:rPr>
      </w:pPr>
    </w:p>
    <w:p w14:paraId="5168FED2" w14:textId="77777777" w:rsidR="008A305D" w:rsidRPr="00BA3FBD" w:rsidRDefault="008A305D" w:rsidP="008A305D">
      <w:pPr>
        <w:rPr>
          <w:sz w:val="22"/>
          <w:szCs w:val="22"/>
        </w:rPr>
      </w:pPr>
      <w:r w:rsidRPr="00BA3FBD">
        <w:rPr>
          <w:sz w:val="22"/>
          <w:szCs w:val="22"/>
        </w:rPr>
        <w:t>Vartoti per burną.</w:t>
      </w:r>
    </w:p>
    <w:p w14:paraId="4404AB29" w14:textId="77777777" w:rsidR="008A305D" w:rsidRPr="00BA3FBD" w:rsidRDefault="008A305D" w:rsidP="008A305D">
      <w:pPr>
        <w:rPr>
          <w:sz w:val="22"/>
          <w:szCs w:val="22"/>
        </w:rPr>
      </w:pPr>
      <w:r w:rsidRPr="00BA3FBD">
        <w:rPr>
          <w:sz w:val="22"/>
          <w:szCs w:val="22"/>
        </w:rPr>
        <w:t>Prieš vartojimą perskaitykite pakuotės lapelį.</w:t>
      </w:r>
    </w:p>
    <w:p w14:paraId="02271AD1" w14:textId="77777777" w:rsidR="008A305D" w:rsidRPr="00BA3FBD" w:rsidRDefault="008A305D" w:rsidP="008A305D">
      <w:pPr>
        <w:rPr>
          <w:sz w:val="22"/>
          <w:szCs w:val="22"/>
        </w:rPr>
      </w:pPr>
    </w:p>
    <w:p w14:paraId="313C6C03" w14:textId="77777777" w:rsidR="008A305D" w:rsidRPr="00BA3FBD" w:rsidRDefault="008A305D" w:rsidP="008A305D">
      <w:pPr>
        <w:rPr>
          <w:sz w:val="22"/>
          <w:szCs w:val="22"/>
        </w:rPr>
      </w:pPr>
    </w:p>
    <w:p w14:paraId="76088FBF" w14:textId="77777777" w:rsidR="008A305D" w:rsidRPr="00BA3FBD" w:rsidRDefault="008A305D" w:rsidP="008A305D">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BA3FBD">
        <w:rPr>
          <w:b/>
          <w:sz w:val="22"/>
          <w:szCs w:val="22"/>
        </w:rPr>
        <w:t>6.</w:t>
      </w:r>
      <w:r w:rsidRPr="00BA3FBD">
        <w:rPr>
          <w:b/>
          <w:sz w:val="22"/>
          <w:szCs w:val="22"/>
        </w:rPr>
        <w:tab/>
        <w:t xml:space="preserve">SPECIALUS ĮSPĖJIMAS, KAD VAISTINĮ PREPARATĄ BŪTINA LAIKYTI VAIKAMS </w:t>
      </w:r>
      <w:r w:rsidRPr="00BA3FBD">
        <w:rPr>
          <w:b/>
          <w:sz w:val="22"/>
          <w:szCs w:val="22"/>
        </w:rPr>
        <w:lastRenderedPageBreak/>
        <w:t>NEPASTEBIMOJE IR NEPASIEKIAMOJE VIETOJE</w:t>
      </w:r>
    </w:p>
    <w:p w14:paraId="417F8F5E" w14:textId="77777777" w:rsidR="008A305D" w:rsidRPr="00BA3FBD" w:rsidRDefault="008A305D" w:rsidP="008A305D">
      <w:pPr>
        <w:rPr>
          <w:sz w:val="22"/>
          <w:szCs w:val="22"/>
        </w:rPr>
      </w:pPr>
    </w:p>
    <w:p w14:paraId="55ABE216" w14:textId="77777777" w:rsidR="008A305D" w:rsidRPr="00BA3FBD" w:rsidRDefault="008A305D" w:rsidP="008A305D">
      <w:pPr>
        <w:rPr>
          <w:sz w:val="22"/>
          <w:szCs w:val="22"/>
        </w:rPr>
      </w:pPr>
      <w:r w:rsidRPr="00BA3FBD">
        <w:rPr>
          <w:sz w:val="22"/>
          <w:szCs w:val="22"/>
        </w:rPr>
        <w:t>Laikyti vaikams nepastebimoje ir nepasiekiamoje vietoje.</w:t>
      </w:r>
    </w:p>
    <w:p w14:paraId="3E0D5722" w14:textId="77777777" w:rsidR="008A305D" w:rsidRPr="00BA3FBD" w:rsidRDefault="008A305D" w:rsidP="008A305D">
      <w:pPr>
        <w:rPr>
          <w:sz w:val="22"/>
          <w:szCs w:val="22"/>
        </w:rPr>
      </w:pPr>
    </w:p>
    <w:p w14:paraId="20D497D5" w14:textId="77777777" w:rsidR="008A305D" w:rsidRPr="00BA3FBD" w:rsidRDefault="008A305D" w:rsidP="008A305D">
      <w:pPr>
        <w:rPr>
          <w:sz w:val="22"/>
          <w:szCs w:val="22"/>
        </w:rPr>
      </w:pPr>
    </w:p>
    <w:p w14:paraId="16D1901C" w14:textId="77777777" w:rsidR="008A305D" w:rsidRPr="00BA3FBD" w:rsidRDefault="008A305D" w:rsidP="008A305D">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BA3FBD">
        <w:rPr>
          <w:b/>
          <w:sz w:val="22"/>
          <w:szCs w:val="22"/>
        </w:rPr>
        <w:t>7.</w:t>
      </w:r>
      <w:r w:rsidRPr="00BA3FBD">
        <w:rPr>
          <w:b/>
          <w:sz w:val="22"/>
          <w:szCs w:val="22"/>
        </w:rPr>
        <w:tab/>
        <w:t>KITAS (-I) SPECIALUS (-ŪS) ĮSPĖJIMAS (-AI) (JEI REIKIA)</w:t>
      </w:r>
    </w:p>
    <w:p w14:paraId="009251D3" w14:textId="77777777" w:rsidR="008A305D" w:rsidRPr="00BA3FBD" w:rsidRDefault="008A305D" w:rsidP="008A305D">
      <w:pPr>
        <w:rPr>
          <w:sz w:val="22"/>
          <w:szCs w:val="22"/>
        </w:rPr>
      </w:pPr>
    </w:p>
    <w:p w14:paraId="0859C25B" w14:textId="77777777" w:rsidR="008A305D" w:rsidRPr="00BA3FBD" w:rsidRDefault="008A305D" w:rsidP="008A305D">
      <w:pPr>
        <w:rPr>
          <w:sz w:val="22"/>
          <w:szCs w:val="22"/>
        </w:rPr>
      </w:pPr>
    </w:p>
    <w:p w14:paraId="7681C119" w14:textId="77777777" w:rsidR="008A305D" w:rsidRPr="00BA3FBD" w:rsidRDefault="008A305D" w:rsidP="008A305D">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BA3FBD">
        <w:rPr>
          <w:b/>
          <w:sz w:val="22"/>
          <w:szCs w:val="22"/>
        </w:rPr>
        <w:t>8.</w:t>
      </w:r>
      <w:r w:rsidRPr="00BA3FBD">
        <w:rPr>
          <w:b/>
          <w:sz w:val="22"/>
          <w:szCs w:val="22"/>
        </w:rPr>
        <w:tab/>
        <w:t>TINKAMUMO LAIKAS</w:t>
      </w:r>
    </w:p>
    <w:p w14:paraId="6AD9CF95" w14:textId="77777777" w:rsidR="008A305D" w:rsidRPr="00BA3FBD" w:rsidRDefault="008A305D" w:rsidP="008A305D">
      <w:pPr>
        <w:rPr>
          <w:sz w:val="22"/>
          <w:szCs w:val="22"/>
        </w:rPr>
      </w:pPr>
    </w:p>
    <w:p w14:paraId="40FD7426" w14:textId="77777777" w:rsidR="008A305D" w:rsidRPr="00BA3FBD" w:rsidRDefault="008A305D" w:rsidP="008A305D">
      <w:pPr>
        <w:rPr>
          <w:sz w:val="22"/>
          <w:szCs w:val="22"/>
        </w:rPr>
      </w:pPr>
      <w:r w:rsidRPr="00BA3FBD">
        <w:rPr>
          <w:sz w:val="22"/>
          <w:szCs w:val="22"/>
        </w:rPr>
        <w:t>Tinka iki {mm.MMMM}</w:t>
      </w:r>
    </w:p>
    <w:p w14:paraId="565DBABB" w14:textId="77777777" w:rsidR="008A305D" w:rsidRPr="00BA3FBD" w:rsidRDefault="008A305D" w:rsidP="008A305D">
      <w:pPr>
        <w:rPr>
          <w:sz w:val="22"/>
          <w:szCs w:val="22"/>
        </w:rPr>
      </w:pPr>
    </w:p>
    <w:p w14:paraId="64D18B79" w14:textId="77777777" w:rsidR="008A305D" w:rsidRPr="00BA3FBD" w:rsidRDefault="008A305D" w:rsidP="008A305D">
      <w:pPr>
        <w:rPr>
          <w:sz w:val="22"/>
          <w:szCs w:val="22"/>
        </w:rPr>
      </w:pPr>
    </w:p>
    <w:p w14:paraId="55E07E3E" w14:textId="77777777" w:rsidR="008A305D" w:rsidRPr="00BA3FBD" w:rsidRDefault="008A305D" w:rsidP="008A305D">
      <w:pPr>
        <w:keepNext/>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BA3FBD">
        <w:rPr>
          <w:b/>
          <w:sz w:val="22"/>
          <w:szCs w:val="22"/>
        </w:rPr>
        <w:t>9.</w:t>
      </w:r>
      <w:r w:rsidRPr="00BA3FBD">
        <w:rPr>
          <w:b/>
          <w:sz w:val="22"/>
          <w:szCs w:val="22"/>
        </w:rPr>
        <w:tab/>
        <w:t>SPECIALIOS LAIKYMO SĄLYGOS</w:t>
      </w:r>
    </w:p>
    <w:p w14:paraId="2057EFD6" w14:textId="77777777" w:rsidR="008A305D" w:rsidRPr="00BA3FBD" w:rsidRDefault="008A305D" w:rsidP="008A305D">
      <w:pPr>
        <w:rPr>
          <w:sz w:val="22"/>
          <w:szCs w:val="22"/>
        </w:rPr>
      </w:pPr>
    </w:p>
    <w:p w14:paraId="68989A04" w14:textId="77777777" w:rsidR="008A305D" w:rsidRPr="00BA3FBD" w:rsidRDefault="008A305D" w:rsidP="008A305D">
      <w:pPr>
        <w:rPr>
          <w:sz w:val="22"/>
          <w:szCs w:val="22"/>
        </w:rPr>
      </w:pPr>
    </w:p>
    <w:p w14:paraId="41596AE9" w14:textId="77777777" w:rsidR="008A305D" w:rsidRPr="00BA3FBD" w:rsidRDefault="008A305D" w:rsidP="008A305D">
      <w:pPr>
        <w:suppressLineNumbers/>
        <w:pBdr>
          <w:top w:val="single" w:sz="4" w:space="1" w:color="auto"/>
          <w:left w:val="single" w:sz="4" w:space="4" w:color="auto"/>
          <w:bottom w:val="single" w:sz="4" w:space="1" w:color="auto"/>
          <w:right w:val="single" w:sz="4" w:space="4" w:color="auto"/>
        </w:pBdr>
        <w:outlineLvl w:val="0"/>
        <w:rPr>
          <w:b/>
          <w:sz w:val="22"/>
          <w:szCs w:val="22"/>
        </w:rPr>
      </w:pPr>
      <w:r w:rsidRPr="00BA3FBD">
        <w:rPr>
          <w:b/>
          <w:sz w:val="22"/>
          <w:szCs w:val="22"/>
        </w:rPr>
        <w:t>10.</w:t>
      </w:r>
      <w:r w:rsidRPr="00BA3FBD">
        <w:rPr>
          <w:b/>
          <w:sz w:val="22"/>
          <w:szCs w:val="22"/>
        </w:rPr>
        <w:tab/>
        <w:t>SPECIALIOS ATSARGUMO PRIEMONĖS DĖL NESUVARTOTO VAISTINIO PREPARATO AR JO ATLIEKŲ TVARKYMO (JEI REIKIA)</w:t>
      </w:r>
    </w:p>
    <w:p w14:paraId="1E675639" w14:textId="77777777" w:rsidR="008A305D" w:rsidRPr="00BA3FBD" w:rsidRDefault="008A305D" w:rsidP="008A305D">
      <w:pPr>
        <w:rPr>
          <w:sz w:val="22"/>
          <w:szCs w:val="22"/>
        </w:rPr>
      </w:pPr>
    </w:p>
    <w:p w14:paraId="7D63798F" w14:textId="77777777" w:rsidR="008A305D" w:rsidRPr="00BA3FBD" w:rsidRDefault="008A305D" w:rsidP="008A305D">
      <w:pPr>
        <w:rPr>
          <w:sz w:val="22"/>
          <w:szCs w:val="22"/>
        </w:rPr>
      </w:pPr>
    </w:p>
    <w:p w14:paraId="6C3B4D45" w14:textId="77777777" w:rsidR="008A305D" w:rsidRPr="00BA3FBD" w:rsidRDefault="008A305D" w:rsidP="008A305D">
      <w:pPr>
        <w:suppressLineNumbers/>
        <w:pBdr>
          <w:top w:val="single" w:sz="4" w:space="1" w:color="auto"/>
          <w:left w:val="single" w:sz="4" w:space="4" w:color="auto"/>
          <w:bottom w:val="single" w:sz="4" w:space="1" w:color="auto"/>
          <w:right w:val="single" w:sz="4" w:space="4" w:color="auto"/>
        </w:pBdr>
        <w:outlineLvl w:val="0"/>
        <w:rPr>
          <w:b/>
          <w:sz w:val="22"/>
          <w:szCs w:val="22"/>
        </w:rPr>
      </w:pPr>
      <w:r w:rsidRPr="00BA3FBD">
        <w:rPr>
          <w:b/>
          <w:sz w:val="22"/>
          <w:szCs w:val="22"/>
        </w:rPr>
        <w:t>11.</w:t>
      </w:r>
      <w:r w:rsidRPr="00BA3FBD">
        <w:rPr>
          <w:b/>
          <w:sz w:val="22"/>
          <w:szCs w:val="22"/>
        </w:rPr>
        <w:tab/>
      </w:r>
      <w:r w:rsidRPr="00BA3FBD">
        <w:rPr>
          <w:b/>
          <w:caps/>
          <w:sz w:val="22"/>
          <w:szCs w:val="22"/>
        </w:rPr>
        <w:t>REGISTRUOTOJO PAVADINIMAS IR ADRESAS</w:t>
      </w:r>
    </w:p>
    <w:p w14:paraId="3A1046AE" w14:textId="77777777" w:rsidR="008A305D" w:rsidRPr="00BA3FBD" w:rsidRDefault="008A305D" w:rsidP="008A305D">
      <w:pPr>
        <w:rPr>
          <w:sz w:val="22"/>
          <w:szCs w:val="22"/>
        </w:rPr>
      </w:pPr>
    </w:p>
    <w:p w14:paraId="1D74495F" w14:textId="77777777" w:rsidR="008A305D" w:rsidRPr="00BA3FBD" w:rsidRDefault="008A305D" w:rsidP="008A305D">
      <w:pPr>
        <w:autoSpaceDE w:val="0"/>
        <w:autoSpaceDN w:val="0"/>
        <w:adjustRightInd w:val="0"/>
        <w:rPr>
          <w:sz w:val="22"/>
          <w:szCs w:val="22"/>
        </w:rPr>
      </w:pPr>
      <w:r w:rsidRPr="00BA3FBD">
        <w:rPr>
          <w:sz w:val="22"/>
          <w:szCs w:val="22"/>
        </w:rPr>
        <w:t>Actavis Group PTC ehf.</w:t>
      </w:r>
    </w:p>
    <w:p w14:paraId="112F71EB" w14:textId="77777777" w:rsidR="008A305D" w:rsidRPr="00BA3FBD" w:rsidRDefault="008A305D" w:rsidP="008A305D">
      <w:pPr>
        <w:autoSpaceDE w:val="0"/>
        <w:autoSpaceDN w:val="0"/>
        <w:adjustRightInd w:val="0"/>
        <w:rPr>
          <w:sz w:val="22"/>
          <w:szCs w:val="22"/>
        </w:rPr>
      </w:pPr>
      <w:r w:rsidRPr="00BA3FBD">
        <w:rPr>
          <w:sz w:val="22"/>
          <w:szCs w:val="22"/>
        </w:rPr>
        <w:t>Reykjavikurvegi 76-78</w:t>
      </w:r>
    </w:p>
    <w:p w14:paraId="643204E2" w14:textId="77777777" w:rsidR="008A305D" w:rsidRPr="00BA3FBD" w:rsidRDefault="008A305D" w:rsidP="008A305D">
      <w:pPr>
        <w:autoSpaceDE w:val="0"/>
        <w:autoSpaceDN w:val="0"/>
        <w:adjustRightInd w:val="0"/>
        <w:rPr>
          <w:sz w:val="22"/>
          <w:szCs w:val="22"/>
        </w:rPr>
      </w:pPr>
      <w:r w:rsidRPr="00BA3FBD">
        <w:rPr>
          <w:sz w:val="22"/>
          <w:szCs w:val="22"/>
        </w:rPr>
        <w:t>220 Hafnarfjörður</w:t>
      </w:r>
    </w:p>
    <w:p w14:paraId="6DF23B00" w14:textId="77777777" w:rsidR="008A305D" w:rsidRPr="00BA3FBD" w:rsidRDefault="008A305D" w:rsidP="008A305D">
      <w:pPr>
        <w:autoSpaceDE w:val="0"/>
        <w:autoSpaceDN w:val="0"/>
        <w:adjustRightInd w:val="0"/>
        <w:rPr>
          <w:sz w:val="22"/>
          <w:szCs w:val="22"/>
        </w:rPr>
      </w:pPr>
      <w:r w:rsidRPr="00BA3FBD">
        <w:rPr>
          <w:sz w:val="22"/>
          <w:szCs w:val="22"/>
        </w:rPr>
        <w:t>Islandija</w:t>
      </w:r>
    </w:p>
    <w:p w14:paraId="00CE543B" w14:textId="77777777" w:rsidR="008A305D" w:rsidRPr="00BA3FBD" w:rsidRDefault="008A305D" w:rsidP="008A305D">
      <w:pPr>
        <w:rPr>
          <w:sz w:val="22"/>
          <w:szCs w:val="22"/>
        </w:rPr>
      </w:pPr>
    </w:p>
    <w:p w14:paraId="06821E33" w14:textId="77777777" w:rsidR="008A305D" w:rsidRPr="00BA3FBD" w:rsidRDefault="008A305D" w:rsidP="008A305D">
      <w:pPr>
        <w:rPr>
          <w:sz w:val="22"/>
          <w:szCs w:val="22"/>
        </w:rPr>
      </w:pPr>
    </w:p>
    <w:p w14:paraId="48CD37EF" w14:textId="77777777" w:rsidR="008A305D" w:rsidRPr="00BA3FBD" w:rsidRDefault="008A305D" w:rsidP="008A305D">
      <w:pPr>
        <w:suppressLineNumbers/>
        <w:pBdr>
          <w:top w:val="single" w:sz="4" w:space="1" w:color="auto"/>
          <w:left w:val="single" w:sz="4" w:space="4" w:color="auto"/>
          <w:bottom w:val="single" w:sz="4" w:space="1" w:color="auto"/>
          <w:right w:val="single" w:sz="4" w:space="4" w:color="auto"/>
        </w:pBdr>
        <w:outlineLvl w:val="0"/>
        <w:rPr>
          <w:sz w:val="22"/>
          <w:szCs w:val="22"/>
        </w:rPr>
      </w:pPr>
      <w:r w:rsidRPr="00BA3FBD">
        <w:rPr>
          <w:b/>
          <w:sz w:val="22"/>
          <w:szCs w:val="22"/>
        </w:rPr>
        <w:t>12.</w:t>
      </w:r>
      <w:r w:rsidRPr="00BA3FBD">
        <w:rPr>
          <w:b/>
          <w:sz w:val="22"/>
          <w:szCs w:val="22"/>
        </w:rPr>
        <w:tab/>
        <w:t xml:space="preserve">REGISTRACIJOS PAŽYMĖJIMO NUMERIS (-IAI) </w:t>
      </w:r>
    </w:p>
    <w:p w14:paraId="03E7B404" w14:textId="77777777" w:rsidR="008A305D" w:rsidRDefault="008A305D" w:rsidP="008A305D">
      <w:pPr>
        <w:rPr>
          <w:sz w:val="22"/>
          <w:szCs w:val="22"/>
        </w:rPr>
      </w:pPr>
    </w:p>
    <w:p w14:paraId="6AF1B3B3" w14:textId="77777777" w:rsidR="008A305D" w:rsidRDefault="008A305D" w:rsidP="008A305D">
      <w:pPr>
        <w:autoSpaceDE w:val="0"/>
        <w:autoSpaceDN w:val="0"/>
        <w:adjustRightInd w:val="0"/>
        <w:rPr>
          <w:sz w:val="22"/>
          <w:szCs w:val="22"/>
        </w:rPr>
      </w:pPr>
      <w:r w:rsidRPr="00BA3FBD">
        <w:rPr>
          <w:sz w:val="22"/>
          <w:szCs w:val="22"/>
        </w:rPr>
        <w:t>Imatinib Actavis Group 100 mg</w:t>
      </w:r>
    </w:p>
    <w:p w14:paraId="5587C759" w14:textId="77777777" w:rsidR="008A305D" w:rsidRDefault="008A305D" w:rsidP="008A305D">
      <w:pPr>
        <w:autoSpaceDE w:val="0"/>
        <w:autoSpaceDN w:val="0"/>
        <w:adjustRightInd w:val="0"/>
        <w:rPr>
          <w:bCs/>
          <w:sz w:val="22"/>
          <w:szCs w:val="22"/>
        </w:rPr>
      </w:pPr>
      <w:r>
        <w:rPr>
          <w:bCs/>
          <w:sz w:val="22"/>
          <w:szCs w:val="22"/>
        </w:rPr>
        <w:t>N30 – LT/1/15/3836/001</w:t>
      </w:r>
    </w:p>
    <w:p w14:paraId="54F77BC5" w14:textId="77777777" w:rsidR="008A305D" w:rsidRDefault="008A305D" w:rsidP="008A305D">
      <w:pPr>
        <w:autoSpaceDE w:val="0"/>
        <w:autoSpaceDN w:val="0"/>
        <w:adjustRightInd w:val="0"/>
        <w:rPr>
          <w:bCs/>
          <w:sz w:val="22"/>
          <w:szCs w:val="22"/>
        </w:rPr>
      </w:pPr>
      <w:r>
        <w:rPr>
          <w:bCs/>
          <w:sz w:val="22"/>
          <w:szCs w:val="22"/>
        </w:rPr>
        <w:t>N60 – LT/1/15/3836/002</w:t>
      </w:r>
    </w:p>
    <w:p w14:paraId="3554179F" w14:textId="77777777" w:rsidR="008A305D" w:rsidRDefault="008A305D" w:rsidP="008A305D">
      <w:pPr>
        <w:autoSpaceDE w:val="0"/>
        <w:autoSpaceDN w:val="0"/>
        <w:adjustRightInd w:val="0"/>
        <w:rPr>
          <w:bCs/>
          <w:sz w:val="22"/>
          <w:szCs w:val="22"/>
        </w:rPr>
      </w:pPr>
      <w:r>
        <w:rPr>
          <w:bCs/>
          <w:sz w:val="22"/>
          <w:szCs w:val="22"/>
        </w:rPr>
        <w:t>N90 – LT/1/15/3836/003</w:t>
      </w:r>
    </w:p>
    <w:p w14:paraId="761B0D8B" w14:textId="77777777" w:rsidR="008A305D" w:rsidRDefault="008A305D" w:rsidP="008A305D">
      <w:pPr>
        <w:autoSpaceDE w:val="0"/>
        <w:autoSpaceDN w:val="0"/>
        <w:adjustRightInd w:val="0"/>
        <w:rPr>
          <w:bCs/>
          <w:sz w:val="22"/>
          <w:szCs w:val="22"/>
        </w:rPr>
      </w:pPr>
      <w:r>
        <w:rPr>
          <w:bCs/>
          <w:sz w:val="22"/>
          <w:szCs w:val="22"/>
        </w:rPr>
        <w:t>N120 – LT/1/15/3836/004</w:t>
      </w:r>
    </w:p>
    <w:p w14:paraId="06E38516" w14:textId="77777777" w:rsidR="008A305D" w:rsidRDefault="008A305D" w:rsidP="008A305D">
      <w:pPr>
        <w:autoSpaceDE w:val="0"/>
        <w:autoSpaceDN w:val="0"/>
        <w:adjustRightInd w:val="0"/>
        <w:rPr>
          <w:bCs/>
          <w:sz w:val="22"/>
          <w:szCs w:val="22"/>
        </w:rPr>
      </w:pPr>
    </w:p>
    <w:p w14:paraId="61754C92" w14:textId="77777777" w:rsidR="008A305D" w:rsidRDefault="008A305D" w:rsidP="008A305D">
      <w:pPr>
        <w:autoSpaceDE w:val="0"/>
        <w:autoSpaceDN w:val="0"/>
        <w:adjustRightInd w:val="0"/>
        <w:rPr>
          <w:sz w:val="22"/>
          <w:szCs w:val="22"/>
        </w:rPr>
      </w:pPr>
      <w:r w:rsidRPr="00BA3FBD">
        <w:rPr>
          <w:sz w:val="22"/>
          <w:szCs w:val="22"/>
        </w:rPr>
        <w:t xml:space="preserve">Imatinib Actavis Group </w:t>
      </w:r>
      <w:r>
        <w:rPr>
          <w:sz w:val="22"/>
          <w:szCs w:val="22"/>
        </w:rPr>
        <w:t>2</w:t>
      </w:r>
      <w:r w:rsidRPr="00BA3FBD">
        <w:rPr>
          <w:sz w:val="22"/>
          <w:szCs w:val="22"/>
        </w:rPr>
        <w:t>00 mg</w:t>
      </w:r>
    </w:p>
    <w:p w14:paraId="6C0763FD" w14:textId="77777777" w:rsidR="008A305D" w:rsidRDefault="008A305D" w:rsidP="008A305D">
      <w:pPr>
        <w:autoSpaceDE w:val="0"/>
        <w:autoSpaceDN w:val="0"/>
        <w:adjustRightInd w:val="0"/>
        <w:rPr>
          <w:bCs/>
          <w:sz w:val="22"/>
          <w:szCs w:val="22"/>
        </w:rPr>
      </w:pPr>
      <w:r>
        <w:rPr>
          <w:bCs/>
          <w:sz w:val="22"/>
          <w:szCs w:val="22"/>
        </w:rPr>
        <w:t>N30 – LT/1/15/3836/005</w:t>
      </w:r>
    </w:p>
    <w:p w14:paraId="7293D0C6" w14:textId="77777777" w:rsidR="008A305D" w:rsidRDefault="008A305D" w:rsidP="008A305D">
      <w:pPr>
        <w:autoSpaceDE w:val="0"/>
        <w:autoSpaceDN w:val="0"/>
        <w:adjustRightInd w:val="0"/>
        <w:rPr>
          <w:bCs/>
          <w:sz w:val="22"/>
          <w:szCs w:val="22"/>
        </w:rPr>
      </w:pPr>
      <w:r>
        <w:rPr>
          <w:bCs/>
          <w:sz w:val="22"/>
          <w:szCs w:val="22"/>
        </w:rPr>
        <w:t>N60 – LT/1/15/3836/006</w:t>
      </w:r>
    </w:p>
    <w:p w14:paraId="2BBD437A" w14:textId="77777777" w:rsidR="008A305D" w:rsidRDefault="008A305D" w:rsidP="008A305D">
      <w:pPr>
        <w:autoSpaceDE w:val="0"/>
        <w:autoSpaceDN w:val="0"/>
        <w:adjustRightInd w:val="0"/>
        <w:rPr>
          <w:bCs/>
          <w:sz w:val="22"/>
          <w:szCs w:val="22"/>
        </w:rPr>
      </w:pPr>
      <w:r>
        <w:rPr>
          <w:bCs/>
          <w:sz w:val="22"/>
          <w:szCs w:val="22"/>
        </w:rPr>
        <w:t>N90 – LT/1/15/3836/007</w:t>
      </w:r>
    </w:p>
    <w:p w14:paraId="16D2696D" w14:textId="77777777" w:rsidR="008A305D" w:rsidRDefault="008A305D" w:rsidP="008A305D">
      <w:pPr>
        <w:autoSpaceDE w:val="0"/>
        <w:autoSpaceDN w:val="0"/>
        <w:adjustRightInd w:val="0"/>
        <w:rPr>
          <w:bCs/>
          <w:sz w:val="22"/>
          <w:szCs w:val="22"/>
        </w:rPr>
      </w:pPr>
      <w:r>
        <w:rPr>
          <w:bCs/>
          <w:sz w:val="22"/>
          <w:szCs w:val="22"/>
        </w:rPr>
        <w:t>N120 – LT/1/15/3836/008</w:t>
      </w:r>
    </w:p>
    <w:p w14:paraId="212346BA" w14:textId="77777777" w:rsidR="008A305D" w:rsidRDefault="008A305D" w:rsidP="008A305D">
      <w:pPr>
        <w:autoSpaceDE w:val="0"/>
        <w:autoSpaceDN w:val="0"/>
        <w:adjustRightInd w:val="0"/>
        <w:rPr>
          <w:bCs/>
          <w:sz w:val="22"/>
          <w:szCs w:val="22"/>
        </w:rPr>
      </w:pPr>
    </w:p>
    <w:p w14:paraId="615D1606" w14:textId="77777777" w:rsidR="008A305D" w:rsidRDefault="008A305D" w:rsidP="008A305D">
      <w:pPr>
        <w:autoSpaceDE w:val="0"/>
        <w:autoSpaceDN w:val="0"/>
        <w:adjustRightInd w:val="0"/>
        <w:rPr>
          <w:sz w:val="22"/>
          <w:szCs w:val="22"/>
        </w:rPr>
      </w:pPr>
      <w:r w:rsidRPr="00BA3FBD">
        <w:rPr>
          <w:sz w:val="22"/>
          <w:szCs w:val="22"/>
        </w:rPr>
        <w:t xml:space="preserve">Imatinib Actavis Group </w:t>
      </w:r>
      <w:r>
        <w:rPr>
          <w:sz w:val="22"/>
          <w:szCs w:val="22"/>
        </w:rPr>
        <w:t>3</w:t>
      </w:r>
      <w:r w:rsidRPr="00BA3FBD">
        <w:rPr>
          <w:sz w:val="22"/>
          <w:szCs w:val="22"/>
        </w:rPr>
        <w:t>00 mg</w:t>
      </w:r>
    </w:p>
    <w:p w14:paraId="4B22D6D2" w14:textId="77777777" w:rsidR="008A305D" w:rsidRDefault="008A305D" w:rsidP="008A305D">
      <w:pPr>
        <w:autoSpaceDE w:val="0"/>
        <w:autoSpaceDN w:val="0"/>
        <w:adjustRightInd w:val="0"/>
        <w:rPr>
          <w:bCs/>
          <w:sz w:val="22"/>
          <w:szCs w:val="22"/>
        </w:rPr>
      </w:pPr>
      <w:r>
        <w:rPr>
          <w:bCs/>
          <w:sz w:val="22"/>
          <w:szCs w:val="22"/>
        </w:rPr>
        <w:t>N30 – LT/1/15/3836/009</w:t>
      </w:r>
    </w:p>
    <w:p w14:paraId="12980CAF" w14:textId="77777777" w:rsidR="008A305D" w:rsidRDefault="008A305D" w:rsidP="008A305D">
      <w:pPr>
        <w:autoSpaceDE w:val="0"/>
        <w:autoSpaceDN w:val="0"/>
        <w:adjustRightInd w:val="0"/>
        <w:rPr>
          <w:bCs/>
          <w:sz w:val="22"/>
          <w:szCs w:val="22"/>
        </w:rPr>
      </w:pPr>
      <w:r>
        <w:rPr>
          <w:bCs/>
          <w:sz w:val="22"/>
          <w:szCs w:val="22"/>
        </w:rPr>
        <w:t>N60 – LT/1/15/3836/010</w:t>
      </w:r>
    </w:p>
    <w:p w14:paraId="6E2B599B" w14:textId="77777777" w:rsidR="008A305D" w:rsidRDefault="008A305D" w:rsidP="008A305D">
      <w:pPr>
        <w:autoSpaceDE w:val="0"/>
        <w:autoSpaceDN w:val="0"/>
        <w:adjustRightInd w:val="0"/>
        <w:rPr>
          <w:bCs/>
          <w:sz w:val="22"/>
          <w:szCs w:val="22"/>
        </w:rPr>
      </w:pPr>
      <w:r>
        <w:rPr>
          <w:bCs/>
          <w:sz w:val="22"/>
          <w:szCs w:val="22"/>
        </w:rPr>
        <w:t>N90 – LT/1/15/3836/011</w:t>
      </w:r>
    </w:p>
    <w:p w14:paraId="10198CD1" w14:textId="77777777" w:rsidR="008A305D" w:rsidRDefault="008A305D" w:rsidP="008A305D">
      <w:pPr>
        <w:autoSpaceDE w:val="0"/>
        <w:autoSpaceDN w:val="0"/>
        <w:adjustRightInd w:val="0"/>
        <w:rPr>
          <w:bCs/>
          <w:sz w:val="22"/>
          <w:szCs w:val="22"/>
        </w:rPr>
      </w:pPr>
      <w:r>
        <w:rPr>
          <w:bCs/>
          <w:sz w:val="22"/>
          <w:szCs w:val="22"/>
        </w:rPr>
        <w:lastRenderedPageBreak/>
        <w:t>N120 – LT/1/15/3836/012</w:t>
      </w:r>
    </w:p>
    <w:p w14:paraId="3F3BEAFE" w14:textId="77777777" w:rsidR="008A305D" w:rsidRDefault="008A305D" w:rsidP="008A305D">
      <w:pPr>
        <w:autoSpaceDE w:val="0"/>
        <w:autoSpaceDN w:val="0"/>
        <w:adjustRightInd w:val="0"/>
        <w:rPr>
          <w:bCs/>
          <w:sz w:val="22"/>
          <w:szCs w:val="22"/>
        </w:rPr>
      </w:pPr>
    </w:p>
    <w:p w14:paraId="78B2ED88" w14:textId="77777777" w:rsidR="008A305D" w:rsidRDefault="008A305D" w:rsidP="008A305D">
      <w:pPr>
        <w:autoSpaceDE w:val="0"/>
        <w:autoSpaceDN w:val="0"/>
        <w:adjustRightInd w:val="0"/>
        <w:rPr>
          <w:sz w:val="22"/>
          <w:szCs w:val="22"/>
        </w:rPr>
      </w:pPr>
      <w:r w:rsidRPr="00BA3FBD">
        <w:rPr>
          <w:sz w:val="22"/>
          <w:szCs w:val="22"/>
        </w:rPr>
        <w:t xml:space="preserve">Imatinib Actavis Group </w:t>
      </w:r>
      <w:r>
        <w:rPr>
          <w:sz w:val="22"/>
          <w:szCs w:val="22"/>
        </w:rPr>
        <w:t>4</w:t>
      </w:r>
      <w:r w:rsidRPr="00BA3FBD">
        <w:rPr>
          <w:sz w:val="22"/>
          <w:szCs w:val="22"/>
        </w:rPr>
        <w:t>00 mg</w:t>
      </w:r>
    </w:p>
    <w:p w14:paraId="034F83C1" w14:textId="77777777" w:rsidR="008A305D" w:rsidRDefault="008A305D" w:rsidP="008A305D">
      <w:pPr>
        <w:autoSpaceDE w:val="0"/>
        <w:autoSpaceDN w:val="0"/>
        <w:adjustRightInd w:val="0"/>
        <w:rPr>
          <w:bCs/>
          <w:sz w:val="22"/>
          <w:szCs w:val="22"/>
        </w:rPr>
      </w:pPr>
      <w:r>
        <w:rPr>
          <w:bCs/>
          <w:sz w:val="22"/>
          <w:szCs w:val="22"/>
        </w:rPr>
        <w:t>N30 – LT/1/15/3836/013</w:t>
      </w:r>
    </w:p>
    <w:p w14:paraId="1C7E34A5" w14:textId="77777777" w:rsidR="008A305D" w:rsidRDefault="008A305D" w:rsidP="008A305D">
      <w:pPr>
        <w:autoSpaceDE w:val="0"/>
        <w:autoSpaceDN w:val="0"/>
        <w:adjustRightInd w:val="0"/>
        <w:rPr>
          <w:bCs/>
          <w:sz w:val="22"/>
          <w:szCs w:val="22"/>
        </w:rPr>
      </w:pPr>
      <w:r>
        <w:rPr>
          <w:bCs/>
          <w:sz w:val="22"/>
          <w:szCs w:val="22"/>
        </w:rPr>
        <w:t>N60 – LT/1/15/3836/014</w:t>
      </w:r>
    </w:p>
    <w:p w14:paraId="30B653E5" w14:textId="77777777" w:rsidR="008A305D" w:rsidRDefault="008A305D" w:rsidP="008A305D">
      <w:pPr>
        <w:autoSpaceDE w:val="0"/>
        <w:autoSpaceDN w:val="0"/>
        <w:adjustRightInd w:val="0"/>
        <w:rPr>
          <w:bCs/>
          <w:sz w:val="22"/>
          <w:szCs w:val="22"/>
        </w:rPr>
      </w:pPr>
      <w:r>
        <w:rPr>
          <w:bCs/>
          <w:sz w:val="22"/>
          <w:szCs w:val="22"/>
        </w:rPr>
        <w:t>N90 – LT/1/15/3836/015</w:t>
      </w:r>
    </w:p>
    <w:p w14:paraId="5DBD3A47" w14:textId="77777777" w:rsidR="008A305D" w:rsidRDefault="008A305D" w:rsidP="008A305D">
      <w:pPr>
        <w:autoSpaceDE w:val="0"/>
        <w:autoSpaceDN w:val="0"/>
        <w:adjustRightInd w:val="0"/>
        <w:rPr>
          <w:bCs/>
          <w:sz w:val="22"/>
          <w:szCs w:val="22"/>
        </w:rPr>
      </w:pPr>
      <w:r>
        <w:rPr>
          <w:bCs/>
          <w:sz w:val="22"/>
          <w:szCs w:val="22"/>
        </w:rPr>
        <w:t>N120 – LT/1/15/3836/016</w:t>
      </w:r>
    </w:p>
    <w:p w14:paraId="3F719793" w14:textId="77777777" w:rsidR="008A305D" w:rsidRPr="00BA3FBD" w:rsidRDefault="008A305D" w:rsidP="008A305D">
      <w:pPr>
        <w:rPr>
          <w:sz w:val="22"/>
          <w:szCs w:val="22"/>
        </w:rPr>
      </w:pPr>
    </w:p>
    <w:p w14:paraId="03D0BDD2" w14:textId="77777777" w:rsidR="008A305D" w:rsidRPr="00BA3FBD" w:rsidRDefault="008A305D" w:rsidP="008A305D">
      <w:pPr>
        <w:rPr>
          <w:sz w:val="22"/>
          <w:szCs w:val="22"/>
        </w:rPr>
      </w:pPr>
    </w:p>
    <w:p w14:paraId="7A0EC57A" w14:textId="77777777" w:rsidR="008A305D" w:rsidRPr="00BA3FBD" w:rsidRDefault="008A305D" w:rsidP="008A305D">
      <w:pPr>
        <w:suppressLineNumbers/>
        <w:pBdr>
          <w:top w:val="single" w:sz="4" w:space="1" w:color="auto"/>
          <w:left w:val="single" w:sz="4" w:space="4" w:color="auto"/>
          <w:bottom w:val="single" w:sz="4" w:space="1" w:color="auto"/>
          <w:right w:val="single" w:sz="4" w:space="4" w:color="auto"/>
        </w:pBdr>
        <w:outlineLvl w:val="0"/>
        <w:rPr>
          <w:sz w:val="22"/>
          <w:szCs w:val="22"/>
        </w:rPr>
      </w:pPr>
      <w:r w:rsidRPr="00BA3FBD">
        <w:rPr>
          <w:b/>
          <w:sz w:val="22"/>
          <w:szCs w:val="22"/>
        </w:rPr>
        <w:t>13.</w:t>
      </w:r>
      <w:r w:rsidRPr="00BA3FBD">
        <w:rPr>
          <w:b/>
          <w:sz w:val="22"/>
          <w:szCs w:val="22"/>
        </w:rPr>
        <w:tab/>
        <w:t xml:space="preserve">SERIJOS NUMERIS </w:t>
      </w:r>
    </w:p>
    <w:p w14:paraId="23BACF42" w14:textId="77777777" w:rsidR="008A305D" w:rsidRPr="00BA3FBD" w:rsidRDefault="008A305D" w:rsidP="008A305D">
      <w:pPr>
        <w:rPr>
          <w:sz w:val="22"/>
          <w:szCs w:val="22"/>
        </w:rPr>
      </w:pPr>
    </w:p>
    <w:p w14:paraId="50ADED12" w14:textId="77777777" w:rsidR="008A305D" w:rsidRPr="00BA3FBD" w:rsidRDefault="008A305D" w:rsidP="008A305D">
      <w:pPr>
        <w:rPr>
          <w:sz w:val="22"/>
          <w:szCs w:val="22"/>
        </w:rPr>
      </w:pPr>
      <w:r w:rsidRPr="00BA3FBD">
        <w:rPr>
          <w:sz w:val="22"/>
          <w:szCs w:val="22"/>
        </w:rPr>
        <w:t>Serija</w:t>
      </w:r>
    </w:p>
    <w:p w14:paraId="3B6C9A11" w14:textId="77777777" w:rsidR="008A305D" w:rsidRPr="00BA3FBD" w:rsidRDefault="008A305D" w:rsidP="008A305D">
      <w:pPr>
        <w:rPr>
          <w:sz w:val="22"/>
          <w:szCs w:val="22"/>
        </w:rPr>
      </w:pPr>
    </w:p>
    <w:p w14:paraId="505F3F70" w14:textId="77777777" w:rsidR="008A305D" w:rsidRPr="00BA3FBD" w:rsidRDefault="008A305D" w:rsidP="008A305D">
      <w:pPr>
        <w:rPr>
          <w:sz w:val="22"/>
          <w:szCs w:val="22"/>
        </w:rPr>
      </w:pPr>
    </w:p>
    <w:p w14:paraId="71118D8B" w14:textId="77777777" w:rsidR="008A305D" w:rsidRPr="00BA3FBD" w:rsidRDefault="008A305D" w:rsidP="008A305D">
      <w:pPr>
        <w:suppressLineNumbers/>
        <w:pBdr>
          <w:top w:val="single" w:sz="4" w:space="1" w:color="auto"/>
          <w:left w:val="single" w:sz="4" w:space="4" w:color="auto"/>
          <w:bottom w:val="single" w:sz="4" w:space="1" w:color="auto"/>
          <w:right w:val="single" w:sz="4" w:space="4" w:color="auto"/>
        </w:pBdr>
        <w:outlineLvl w:val="0"/>
        <w:rPr>
          <w:sz w:val="22"/>
          <w:szCs w:val="22"/>
        </w:rPr>
      </w:pPr>
      <w:r w:rsidRPr="00BA3FBD">
        <w:rPr>
          <w:b/>
          <w:sz w:val="22"/>
          <w:szCs w:val="22"/>
        </w:rPr>
        <w:t>14.</w:t>
      </w:r>
      <w:r w:rsidRPr="00BA3FBD">
        <w:rPr>
          <w:b/>
          <w:sz w:val="22"/>
          <w:szCs w:val="22"/>
        </w:rPr>
        <w:tab/>
        <w:t>PARDAVIMO (IŠDAVIMO) TVARKA</w:t>
      </w:r>
    </w:p>
    <w:p w14:paraId="496FEFE0" w14:textId="77777777" w:rsidR="008A305D" w:rsidRPr="00BA3FBD" w:rsidRDefault="008A305D" w:rsidP="008A305D">
      <w:pPr>
        <w:rPr>
          <w:sz w:val="22"/>
          <w:szCs w:val="22"/>
        </w:rPr>
      </w:pPr>
    </w:p>
    <w:p w14:paraId="6652513E" w14:textId="77777777" w:rsidR="008A305D" w:rsidRPr="00BA3FBD" w:rsidRDefault="008A305D" w:rsidP="008A305D">
      <w:pPr>
        <w:rPr>
          <w:sz w:val="22"/>
          <w:szCs w:val="22"/>
        </w:rPr>
      </w:pPr>
      <w:r w:rsidRPr="00BA3FBD">
        <w:rPr>
          <w:sz w:val="22"/>
          <w:szCs w:val="22"/>
        </w:rPr>
        <w:t>Receptinis vaistinis preparatas</w:t>
      </w:r>
    </w:p>
    <w:p w14:paraId="7F03B4CD" w14:textId="77777777" w:rsidR="008A305D" w:rsidRPr="00BA3FBD" w:rsidRDefault="008A305D" w:rsidP="008A305D">
      <w:pPr>
        <w:rPr>
          <w:sz w:val="22"/>
          <w:szCs w:val="22"/>
        </w:rPr>
      </w:pPr>
    </w:p>
    <w:p w14:paraId="4C3C1149" w14:textId="77777777" w:rsidR="008A305D" w:rsidRPr="00BA3FBD" w:rsidRDefault="008A305D" w:rsidP="008A305D">
      <w:pPr>
        <w:rPr>
          <w:sz w:val="22"/>
          <w:szCs w:val="22"/>
        </w:rPr>
      </w:pPr>
    </w:p>
    <w:p w14:paraId="376FFE41" w14:textId="77777777" w:rsidR="008A305D" w:rsidRPr="00BA3FBD" w:rsidRDefault="008A305D" w:rsidP="008A305D">
      <w:pPr>
        <w:suppressLineNumbers/>
        <w:pBdr>
          <w:top w:val="single" w:sz="4" w:space="2" w:color="auto"/>
          <w:left w:val="single" w:sz="4" w:space="4" w:color="auto"/>
          <w:bottom w:val="single" w:sz="4" w:space="1" w:color="auto"/>
          <w:right w:val="single" w:sz="4" w:space="4" w:color="auto"/>
        </w:pBdr>
        <w:outlineLvl w:val="0"/>
        <w:rPr>
          <w:sz w:val="22"/>
          <w:szCs w:val="22"/>
        </w:rPr>
      </w:pPr>
      <w:r w:rsidRPr="00BA3FBD">
        <w:rPr>
          <w:b/>
          <w:sz w:val="22"/>
          <w:szCs w:val="22"/>
        </w:rPr>
        <w:t>15.</w:t>
      </w:r>
      <w:r w:rsidRPr="00BA3FBD">
        <w:rPr>
          <w:b/>
          <w:sz w:val="22"/>
          <w:szCs w:val="22"/>
        </w:rPr>
        <w:tab/>
        <w:t>VARTOJIMO INSTRUKCIJA</w:t>
      </w:r>
    </w:p>
    <w:p w14:paraId="5E79CA32" w14:textId="77777777" w:rsidR="008A305D" w:rsidRPr="00BA3FBD" w:rsidRDefault="008A305D" w:rsidP="008A305D">
      <w:pPr>
        <w:rPr>
          <w:sz w:val="22"/>
          <w:szCs w:val="22"/>
        </w:rPr>
      </w:pPr>
    </w:p>
    <w:p w14:paraId="014EBE0E" w14:textId="77777777" w:rsidR="008A305D" w:rsidRPr="00BA3FBD" w:rsidRDefault="008A305D" w:rsidP="008A305D">
      <w:pPr>
        <w:rPr>
          <w:sz w:val="22"/>
          <w:szCs w:val="22"/>
        </w:rPr>
      </w:pPr>
    </w:p>
    <w:p w14:paraId="44DDC30D" w14:textId="77777777" w:rsidR="008A305D" w:rsidRPr="00BA3FBD" w:rsidRDefault="008A305D" w:rsidP="008A305D">
      <w:pPr>
        <w:suppressLineNumbers/>
        <w:pBdr>
          <w:top w:val="single" w:sz="4" w:space="1" w:color="auto"/>
          <w:left w:val="single" w:sz="4" w:space="4" w:color="auto"/>
          <w:bottom w:val="single" w:sz="4" w:space="0" w:color="auto"/>
          <w:right w:val="single" w:sz="4" w:space="4" w:color="auto"/>
        </w:pBdr>
        <w:rPr>
          <w:color w:val="008000"/>
          <w:sz w:val="22"/>
          <w:szCs w:val="22"/>
        </w:rPr>
      </w:pPr>
      <w:r w:rsidRPr="00BA3FBD">
        <w:rPr>
          <w:b/>
          <w:sz w:val="22"/>
          <w:szCs w:val="22"/>
        </w:rPr>
        <w:t>16.</w:t>
      </w:r>
      <w:r w:rsidRPr="00BA3FBD">
        <w:rPr>
          <w:b/>
          <w:sz w:val="22"/>
          <w:szCs w:val="22"/>
        </w:rPr>
        <w:tab/>
        <w:t>INFORMACIJA BRAILIO RAŠTU</w:t>
      </w:r>
    </w:p>
    <w:p w14:paraId="0A90AAC2" w14:textId="77777777" w:rsidR="008A305D" w:rsidRPr="00BA3FBD" w:rsidRDefault="008A305D" w:rsidP="008A305D">
      <w:pPr>
        <w:rPr>
          <w:sz w:val="22"/>
          <w:szCs w:val="22"/>
        </w:rPr>
      </w:pPr>
    </w:p>
    <w:p w14:paraId="6AF39C08" w14:textId="77777777" w:rsidR="008A305D" w:rsidRPr="00BA3FBD" w:rsidRDefault="008A305D" w:rsidP="008A305D">
      <w:pPr>
        <w:autoSpaceDE w:val="0"/>
        <w:autoSpaceDN w:val="0"/>
        <w:adjustRightInd w:val="0"/>
        <w:rPr>
          <w:sz w:val="22"/>
          <w:szCs w:val="22"/>
        </w:rPr>
      </w:pPr>
      <w:r w:rsidRPr="00BA3FBD">
        <w:rPr>
          <w:sz w:val="22"/>
          <w:szCs w:val="22"/>
        </w:rPr>
        <w:t>Imatinib Actavis Group 100 mg</w:t>
      </w:r>
    </w:p>
    <w:p w14:paraId="1EB5CAA8" w14:textId="77777777" w:rsidR="008A305D" w:rsidRPr="00BA3FBD" w:rsidRDefault="008A305D" w:rsidP="008A305D">
      <w:pPr>
        <w:shd w:val="clear" w:color="auto" w:fill="F2F2F2"/>
        <w:autoSpaceDE w:val="0"/>
        <w:autoSpaceDN w:val="0"/>
        <w:adjustRightInd w:val="0"/>
        <w:rPr>
          <w:sz w:val="22"/>
          <w:szCs w:val="22"/>
        </w:rPr>
      </w:pPr>
      <w:r w:rsidRPr="00BA3FBD">
        <w:rPr>
          <w:sz w:val="22"/>
          <w:szCs w:val="22"/>
        </w:rPr>
        <w:t>Imatinib Actavis Group 200 mg</w:t>
      </w:r>
    </w:p>
    <w:p w14:paraId="3F2C4A26" w14:textId="77777777" w:rsidR="008A305D" w:rsidRPr="00BA3FBD" w:rsidRDefault="008A305D" w:rsidP="008A305D">
      <w:pPr>
        <w:shd w:val="clear" w:color="auto" w:fill="D9D9D9"/>
        <w:autoSpaceDE w:val="0"/>
        <w:autoSpaceDN w:val="0"/>
        <w:adjustRightInd w:val="0"/>
        <w:rPr>
          <w:sz w:val="22"/>
          <w:szCs w:val="22"/>
        </w:rPr>
      </w:pPr>
      <w:r w:rsidRPr="00BA3FBD">
        <w:rPr>
          <w:sz w:val="22"/>
          <w:szCs w:val="22"/>
        </w:rPr>
        <w:t>Imatinib Actavis Group 300 mg</w:t>
      </w:r>
    </w:p>
    <w:p w14:paraId="212579B6" w14:textId="77777777" w:rsidR="008A305D" w:rsidRPr="00BA3FBD" w:rsidRDefault="008A305D" w:rsidP="008A305D">
      <w:pPr>
        <w:shd w:val="clear" w:color="auto" w:fill="A6A6A6"/>
        <w:autoSpaceDE w:val="0"/>
        <w:autoSpaceDN w:val="0"/>
        <w:adjustRightInd w:val="0"/>
        <w:rPr>
          <w:sz w:val="22"/>
          <w:szCs w:val="22"/>
        </w:rPr>
      </w:pPr>
      <w:r w:rsidRPr="00BA3FBD">
        <w:rPr>
          <w:sz w:val="22"/>
          <w:szCs w:val="22"/>
        </w:rPr>
        <w:t>Imatinib Actavis Group 400 mg</w:t>
      </w:r>
    </w:p>
    <w:p w14:paraId="35BAEFCB" w14:textId="77777777" w:rsidR="008A305D" w:rsidRPr="00BA3FBD" w:rsidRDefault="008A305D" w:rsidP="008A305D">
      <w:pPr>
        <w:autoSpaceDE w:val="0"/>
        <w:autoSpaceDN w:val="0"/>
        <w:adjustRightInd w:val="0"/>
        <w:rPr>
          <w:sz w:val="22"/>
          <w:szCs w:val="22"/>
        </w:rPr>
      </w:pPr>
    </w:p>
    <w:p w14:paraId="5F8E0CD2" w14:textId="77777777" w:rsidR="008A305D" w:rsidRPr="00BA3FBD" w:rsidRDefault="008A305D" w:rsidP="008A305D">
      <w:pPr>
        <w:pBdr>
          <w:top w:val="single" w:sz="4" w:space="1" w:color="auto"/>
          <w:left w:val="single" w:sz="4" w:space="4" w:color="auto"/>
          <w:bottom w:val="single" w:sz="4" w:space="1" w:color="auto"/>
          <w:right w:val="single" w:sz="4" w:space="4" w:color="auto"/>
        </w:pBdr>
        <w:rPr>
          <w:sz w:val="22"/>
          <w:szCs w:val="22"/>
        </w:rPr>
      </w:pPr>
      <w:r w:rsidRPr="00BA3FBD">
        <w:rPr>
          <w:sz w:val="22"/>
          <w:szCs w:val="22"/>
        </w:rPr>
        <w:br w:type="page"/>
      </w:r>
      <w:r w:rsidRPr="00BA3FBD">
        <w:rPr>
          <w:b/>
          <w:sz w:val="22"/>
          <w:szCs w:val="22"/>
        </w:rPr>
        <w:lastRenderedPageBreak/>
        <w:t>MINIMALI INFORMACIJA ANT LIZDINIŲ PLOKŠTELIŲ ARBA DVISLUOKSNIŲ JUOSTELIŲ</w:t>
      </w:r>
      <w:r w:rsidRPr="00BA3FBD">
        <w:rPr>
          <w:b/>
          <w:sz w:val="22"/>
          <w:szCs w:val="22"/>
        </w:rPr>
        <w:br/>
      </w:r>
      <w:r w:rsidRPr="00BA3FBD">
        <w:rPr>
          <w:b/>
          <w:sz w:val="22"/>
          <w:szCs w:val="22"/>
        </w:rPr>
        <w:br/>
        <w:t>LIZDINĖ PLOKŠTELĖ</w:t>
      </w:r>
    </w:p>
    <w:p w14:paraId="678EB877" w14:textId="77777777" w:rsidR="008A305D" w:rsidRDefault="008A305D" w:rsidP="008A305D">
      <w:pPr>
        <w:rPr>
          <w:sz w:val="22"/>
          <w:szCs w:val="22"/>
        </w:rPr>
      </w:pPr>
    </w:p>
    <w:p w14:paraId="6947A7D0" w14:textId="77777777" w:rsidR="008A305D" w:rsidRPr="00BA3FBD" w:rsidRDefault="008A305D" w:rsidP="008A305D">
      <w:pPr>
        <w:rPr>
          <w:sz w:val="22"/>
          <w:szCs w:val="22"/>
        </w:rPr>
      </w:pPr>
    </w:p>
    <w:p w14:paraId="7CFDB6B1" w14:textId="77777777" w:rsidR="008A305D" w:rsidRPr="00BA3FBD" w:rsidRDefault="008A305D" w:rsidP="008A305D">
      <w:pPr>
        <w:suppressLineNumbers/>
        <w:pBdr>
          <w:top w:val="single" w:sz="4" w:space="1" w:color="auto"/>
          <w:left w:val="single" w:sz="4" w:space="4" w:color="auto"/>
          <w:bottom w:val="single" w:sz="4" w:space="1" w:color="auto"/>
          <w:right w:val="single" w:sz="4" w:space="4" w:color="auto"/>
        </w:pBdr>
        <w:outlineLvl w:val="0"/>
        <w:rPr>
          <w:b/>
          <w:sz w:val="22"/>
          <w:szCs w:val="22"/>
        </w:rPr>
      </w:pPr>
      <w:r w:rsidRPr="00BA3FBD">
        <w:rPr>
          <w:b/>
          <w:sz w:val="22"/>
          <w:szCs w:val="22"/>
        </w:rPr>
        <w:t>1.</w:t>
      </w:r>
      <w:r w:rsidRPr="00BA3FBD">
        <w:rPr>
          <w:b/>
          <w:sz w:val="22"/>
          <w:szCs w:val="22"/>
        </w:rPr>
        <w:tab/>
      </w:r>
      <w:r w:rsidRPr="00BA3FBD">
        <w:rPr>
          <w:b/>
          <w:caps/>
          <w:sz w:val="22"/>
          <w:szCs w:val="22"/>
        </w:rPr>
        <w:t>VAISTINIO</w:t>
      </w:r>
      <w:r w:rsidRPr="00BA3FBD">
        <w:rPr>
          <w:b/>
          <w:sz w:val="22"/>
          <w:szCs w:val="22"/>
        </w:rPr>
        <w:t xml:space="preserve"> PREPARATO PAVADINIMAS</w:t>
      </w:r>
    </w:p>
    <w:p w14:paraId="2C56A63A" w14:textId="77777777" w:rsidR="008A305D" w:rsidRPr="00BA3FBD" w:rsidRDefault="008A305D" w:rsidP="008A305D">
      <w:pPr>
        <w:rPr>
          <w:sz w:val="22"/>
          <w:szCs w:val="22"/>
        </w:rPr>
      </w:pPr>
    </w:p>
    <w:p w14:paraId="1333D790" w14:textId="77777777" w:rsidR="008A305D" w:rsidRPr="00BA3FBD" w:rsidRDefault="008A305D" w:rsidP="008A305D">
      <w:pPr>
        <w:autoSpaceDE w:val="0"/>
        <w:autoSpaceDN w:val="0"/>
        <w:adjustRightInd w:val="0"/>
        <w:rPr>
          <w:sz w:val="22"/>
          <w:szCs w:val="22"/>
        </w:rPr>
      </w:pPr>
      <w:r w:rsidRPr="00BA3FBD">
        <w:rPr>
          <w:sz w:val="22"/>
          <w:szCs w:val="22"/>
        </w:rPr>
        <w:t>Imatinib Actavis Group 100 mg tabletės</w:t>
      </w:r>
    </w:p>
    <w:p w14:paraId="46E176A5" w14:textId="77777777" w:rsidR="008A305D" w:rsidRPr="00BA3FBD" w:rsidRDefault="008A305D" w:rsidP="008A305D">
      <w:pPr>
        <w:shd w:val="clear" w:color="auto" w:fill="F2F2F2"/>
        <w:autoSpaceDE w:val="0"/>
        <w:autoSpaceDN w:val="0"/>
        <w:adjustRightInd w:val="0"/>
        <w:rPr>
          <w:sz w:val="22"/>
          <w:szCs w:val="22"/>
        </w:rPr>
      </w:pPr>
      <w:r w:rsidRPr="00BA3FBD">
        <w:rPr>
          <w:sz w:val="22"/>
          <w:szCs w:val="22"/>
        </w:rPr>
        <w:t>Imatinib Actavis Group 200 mg tabletės</w:t>
      </w:r>
    </w:p>
    <w:p w14:paraId="52916EC8" w14:textId="77777777" w:rsidR="008A305D" w:rsidRPr="00BA3FBD" w:rsidRDefault="008A305D" w:rsidP="008A305D">
      <w:pPr>
        <w:shd w:val="clear" w:color="auto" w:fill="D9D9D9"/>
        <w:autoSpaceDE w:val="0"/>
        <w:autoSpaceDN w:val="0"/>
        <w:adjustRightInd w:val="0"/>
        <w:rPr>
          <w:sz w:val="22"/>
          <w:szCs w:val="22"/>
        </w:rPr>
      </w:pPr>
      <w:r w:rsidRPr="00BA3FBD">
        <w:rPr>
          <w:sz w:val="22"/>
          <w:szCs w:val="22"/>
        </w:rPr>
        <w:t>Imatinib Actavis Group 300 mg tabletės</w:t>
      </w:r>
    </w:p>
    <w:p w14:paraId="3053DC81" w14:textId="77777777" w:rsidR="008A305D" w:rsidRPr="00BA3FBD" w:rsidRDefault="008A305D" w:rsidP="008A305D">
      <w:pPr>
        <w:shd w:val="clear" w:color="auto" w:fill="A6A6A6"/>
        <w:autoSpaceDE w:val="0"/>
        <w:autoSpaceDN w:val="0"/>
        <w:adjustRightInd w:val="0"/>
        <w:rPr>
          <w:sz w:val="22"/>
          <w:szCs w:val="22"/>
        </w:rPr>
      </w:pPr>
      <w:r w:rsidRPr="00BA3FBD">
        <w:rPr>
          <w:sz w:val="22"/>
          <w:szCs w:val="22"/>
        </w:rPr>
        <w:t>Imatinib Actavis Group 400 mg tabletės</w:t>
      </w:r>
    </w:p>
    <w:p w14:paraId="1C3EFF48" w14:textId="77777777" w:rsidR="008A305D" w:rsidRPr="00BA3FBD" w:rsidRDefault="008A305D" w:rsidP="008A305D">
      <w:pPr>
        <w:autoSpaceDE w:val="0"/>
        <w:autoSpaceDN w:val="0"/>
        <w:adjustRightInd w:val="0"/>
        <w:rPr>
          <w:sz w:val="22"/>
          <w:szCs w:val="22"/>
        </w:rPr>
      </w:pPr>
      <w:r w:rsidRPr="00BA3FBD">
        <w:rPr>
          <w:sz w:val="22"/>
          <w:szCs w:val="22"/>
        </w:rPr>
        <w:t>Imatinibum</w:t>
      </w:r>
    </w:p>
    <w:p w14:paraId="37D42C66" w14:textId="77777777" w:rsidR="008A305D" w:rsidRPr="00BA3FBD" w:rsidRDefault="008A305D" w:rsidP="008A305D">
      <w:pPr>
        <w:rPr>
          <w:sz w:val="22"/>
          <w:szCs w:val="22"/>
        </w:rPr>
      </w:pPr>
    </w:p>
    <w:p w14:paraId="61B80438" w14:textId="77777777" w:rsidR="008A305D" w:rsidRPr="00BA3FBD" w:rsidRDefault="008A305D" w:rsidP="008A305D">
      <w:pPr>
        <w:rPr>
          <w:sz w:val="22"/>
          <w:szCs w:val="22"/>
        </w:rPr>
      </w:pPr>
    </w:p>
    <w:p w14:paraId="6B86B6E7" w14:textId="77777777" w:rsidR="008A305D" w:rsidRPr="00BA3FBD" w:rsidRDefault="008A305D" w:rsidP="008A305D">
      <w:pPr>
        <w:suppressLineNumbers/>
        <w:pBdr>
          <w:top w:val="single" w:sz="4" w:space="1" w:color="auto"/>
          <w:left w:val="single" w:sz="4" w:space="4" w:color="auto"/>
          <w:bottom w:val="single" w:sz="4" w:space="1" w:color="auto"/>
          <w:right w:val="single" w:sz="4" w:space="4" w:color="auto"/>
        </w:pBdr>
        <w:outlineLvl w:val="0"/>
        <w:rPr>
          <w:b/>
          <w:sz w:val="22"/>
          <w:szCs w:val="22"/>
        </w:rPr>
      </w:pPr>
      <w:r w:rsidRPr="00BA3FBD">
        <w:rPr>
          <w:b/>
          <w:sz w:val="22"/>
          <w:szCs w:val="22"/>
        </w:rPr>
        <w:t>2.</w:t>
      </w:r>
      <w:r w:rsidRPr="00BA3FBD">
        <w:rPr>
          <w:b/>
          <w:sz w:val="22"/>
          <w:szCs w:val="22"/>
        </w:rPr>
        <w:tab/>
      </w:r>
      <w:r w:rsidRPr="00BA3FBD">
        <w:rPr>
          <w:b/>
          <w:caps/>
          <w:sz w:val="22"/>
          <w:szCs w:val="22"/>
        </w:rPr>
        <w:t>rinkodaros teisės turėtojo pavadinimas</w:t>
      </w:r>
    </w:p>
    <w:p w14:paraId="2A239E9A" w14:textId="77777777" w:rsidR="008A305D" w:rsidRPr="00BA3FBD" w:rsidRDefault="008A305D" w:rsidP="008A305D">
      <w:pPr>
        <w:rPr>
          <w:sz w:val="22"/>
          <w:szCs w:val="22"/>
        </w:rPr>
      </w:pPr>
    </w:p>
    <w:p w14:paraId="338835F7" w14:textId="77777777" w:rsidR="008A305D" w:rsidRPr="00BA3FBD" w:rsidRDefault="008A305D" w:rsidP="008A305D">
      <w:pPr>
        <w:rPr>
          <w:sz w:val="22"/>
          <w:szCs w:val="22"/>
        </w:rPr>
      </w:pPr>
      <w:r w:rsidRPr="00BA3FBD">
        <w:rPr>
          <w:sz w:val="22"/>
          <w:szCs w:val="22"/>
        </w:rPr>
        <w:t>[Actavis logo]</w:t>
      </w:r>
    </w:p>
    <w:p w14:paraId="0B8B0B2B" w14:textId="77777777" w:rsidR="008A305D" w:rsidRPr="00BA3FBD" w:rsidRDefault="008A305D" w:rsidP="008A305D">
      <w:pPr>
        <w:rPr>
          <w:sz w:val="22"/>
          <w:szCs w:val="22"/>
        </w:rPr>
      </w:pPr>
    </w:p>
    <w:p w14:paraId="70381A34" w14:textId="77777777" w:rsidR="008A305D" w:rsidRPr="00BA3FBD" w:rsidRDefault="008A305D" w:rsidP="008A305D">
      <w:pPr>
        <w:rPr>
          <w:sz w:val="22"/>
          <w:szCs w:val="22"/>
        </w:rPr>
      </w:pPr>
    </w:p>
    <w:p w14:paraId="335235D3" w14:textId="77777777" w:rsidR="008A305D" w:rsidRPr="00BA3FBD" w:rsidRDefault="008A305D" w:rsidP="008A305D">
      <w:pPr>
        <w:suppressLineNumbers/>
        <w:pBdr>
          <w:top w:val="single" w:sz="4" w:space="1" w:color="auto"/>
          <w:left w:val="single" w:sz="4" w:space="4" w:color="auto"/>
          <w:bottom w:val="single" w:sz="4" w:space="2" w:color="auto"/>
          <w:right w:val="single" w:sz="4" w:space="4" w:color="auto"/>
        </w:pBdr>
        <w:outlineLvl w:val="0"/>
        <w:rPr>
          <w:b/>
          <w:sz w:val="22"/>
          <w:szCs w:val="22"/>
        </w:rPr>
      </w:pPr>
      <w:r w:rsidRPr="00BA3FBD">
        <w:rPr>
          <w:b/>
          <w:sz w:val="22"/>
          <w:szCs w:val="22"/>
        </w:rPr>
        <w:t>3.</w:t>
      </w:r>
      <w:r w:rsidRPr="00BA3FBD">
        <w:rPr>
          <w:b/>
          <w:sz w:val="22"/>
          <w:szCs w:val="22"/>
        </w:rPr>
        <w:tab/>
        <w:t>TINKAMUMO LAIKAS</w:t>
      </w:r>
    </w:p>
    <w:p w14:paraId="73E7BFEF" w14:textId="77777777" w:rsidR="008A305D" w:rsidRPr="00BA3FBD" w:rsidRDefault="008A305D" w:rsidP="008A305D">
      <w:pPr>
        <w:rPr>
          <w:sz w:val="22"/>
          <w:szCs w:val="22"/>
        </w:rPr>
      </w:pPr>
    </w:p>
    <w:p w14:paraId="1CBB1D53" w14:textId="77777777" w:rsidR="008A305D" w:rsidRPr="00BA3FBD" w:rsidRDefault="008A305D" w:rsidP="008A305D">
      <w:pPr>
        <w:rPr>
          <w:sz w:val="22"/>
          <w:szCs w:val="22"/>
        </w:rPr>
      </w:pPr>
      <w:r w:rsidRPr="00BA3FBD">
        <w:rPr>
          <w:sz w:val="22"/>
          <w:szCs w:val="22"/>
          <w:highlight w:val="lightGray"/>
        </w:rPr>
        <w:t>EXP</w:t>
      </w:r>
      <w:r w:rsidRPr="00BA3FBD">
        <w:rPr>
          <w:sz w:val="22"/>
          <w:szCs w:val="22"/>
        </w:rPr>
        <w:t xml:space="preserve"> {mm.MMMM}</w:t>
      </w:r>
    </w:p>
    <w:p w14:paraId="5160C966" w14:textId="77777777" w:rsidR="008A305D" w:rsidRPr="00BA3FBD" w:rsidRDefault="008A305D" w:rsidP="008A305D">
      <w:pPr>
        <w:rPr>
          <w:sz w:val="22"/>
          <w:szCs w:val="22"/>
        </w:rPr>
      </w:pPr>
    </w:p>
    <w:p w14:paraId="091B3C81" w14:textId="77777777" w:rsidR="008A305D" w:rsidRPr="00BA3FBD" w:rsidRDefault="008A305D" w:rsidP="008A305D">
      <w:pPr>
        <w:rPr>
          <w:sz w:val="22"/>
          <w:szCs w:val="22"/>
        </w:rPr>
      </w:pPr>
    </w:p>
    <w:p w14:paraId="74ECCA4C" w14:textId="77777777" w:rsidR="008A305D" w:rsidRPr="00BA3FBD" w:rsidRDefault="008A305D" w:rsidP="008A305D">
      <w:pPr>
        <w:suppressLineNumbers/>
        <w:pBdr>
          <w:top w:val="single" w:sz="4" w:space="1" w:color="auto"/>
          <w:left w:val="single" w:sz="4" w:space="4" w:color="auto"/>
          <w:bottom w:val="single" w:sz="4" w:space="1" w:color="auto"/>
          <w:right w:val="single" w:sz="4" w:space="4" w:color="auto"/>
        </w:pBdr>
        <w:outlineLvl w:val="0"/>
        <w:rPr>
          <w:b/>
          <w:sz w:val="22"/>
          <w:szCs w:val="22"/>
        </w:rPr>
      </w:pPr>
      <w:r w:rsidRPr="00BA3FBD">
        <w:rPr>
          <w:b/>
          <w:sz w:val="22"/>
          <w:szCs w:val="22"/>
        </w:rPr>
        <w:t>4.</w:t>
      </w:r>
      <w:r w:rsidRPr="00BA3FBD">
        <w:rPr>
          <w:b/>
          <w:sz w:val="22"/>
          <w:szCs w:val="22"/>
        </w:rPr>
        <w:tab/>
        <w:t>SERIJOS NUMERIS</w:t>
      </w:r>
    </w:p>
    <w:p w14:paraId="3B19B09C" w14:textId="77777777" w:rsidR="008A305D" w:rsidRPr="00BA3FBD" w:rsidRDefault="008A305D" w:rsidP="008A305D">
      <w:pPr>
        <w:rPr>
          <w:sz w:val="22"/>
          <w:szCs w:val="22"/>
        </w:rPr>
      </w:pPr>
    </w:p>
    <w:p w14:paraId="639912D5" w14:textId="77777777" w:rsidR="008A305D" w:rsidRPr="00BA3FBD" w:rsidRDefault="008A305D" w:rsidP="008A305D">
      <w:pPr>
        <w:rPr>
          <w:sz w:val="22"/>
          <w:szCs w:val="22"/>
        </w:rPr>
      </w:pPr>
      <w:r w:rsidRPr="00BA3FBD">
        <w:rPr>
          <w:sz w:val="22"/>
          <w:szCs w:val="22"/>
          <w:highlight w:val="lightGray"/>
        </w:rPr>
        <w:t>Lot</w:t>
      </w:r>
    </w:p>
    <w:p w14:paraId="02745E22" w14:textId="77777777" w:rsidR="008A305D" w:rsidRPr="00BA3FBD" w:rsidRDefault="008A305D" w:rsidP="008A305D">
      <w:pPr>
        <w:rPr>
          <w:sz w:val="22"/>
          <w:szCs w:val="22"/>
        </w:rPr>
      </w:pPr>
    </w:p>
    <w:p w14:paraId="454BEF48" w14:textId="77777777" w:rsidR="008A305D" w:rsidRPr="00BA3FBD" w:rsidRDefault="008A305D" w:rsidP="008A305D">
      <w:pPr>
        <w:rPr>
          <w:sz w:val="22"/>
          <w:szCs w:val="22"/>
        </w:rPr>
      </w:pPr>
    </w:p>
    <w:p w14:paraId="0D276817" w14:textId="77777777" w:rsidR="008A305D" w:rsidRPr="00BA3FBD" w:rsidRDefault="008A305D" w:rsidP="008A305D">
      <w:pPr>
        <w:suppressLineNumbers/>
        <w:pBdr>
          <w:top w:val="single" w:sz="4" w:space="1" w:color="auto"/>
          <w:left w:val="single" w:sz="4" w:space="4" w:color="auto"/>
          <w:bottom w:val="single" w:sz="4" w:space="1" w:color="auto"/>
          <w:right w:val="single" w:sz="4" w:space="4" w:color="auto"/>
        </w:pBdr>
        <w:outlineLvl w:val="0"/>
        <w:rPr>
          <w:b/>
          <w:sz w:val="22"/>
          <w:szCs w:val="22"/>
        </w:rPr>
      </w:pPr>
      <w:r w:rsidRPr="00BA3FBD">
        <w:rPr>
          <w:b/>
          <w:sz w:val="22"/>
          <w:szCs w:val="22"/>
        </w:rPr>
        <w:t>5.</w:t>
      </w:r>
      <w:r w:rsidRPr="00BA3FBD">
        <w:rPr>
          <w:b/>
          <w:sz w:val="22"/>
          <w:szCs w:val="22"/>
        </w:rPr>
        <w:tab/>
        <w:t>KITA</w:t>
      </w:r>
    </w:p>
    <w:p w14:paraId="3BD0F70C" w14:textId="77777777" w:rsidR="008A305D" w:rsidRPr="00BA3FBD" w:rsidRDefault="008A305D" w:rsidP="008A305D">
      <w:pPr>
        <w:rPr>
          <w:sz w:val="22"/>
          <w:szCs w:val="22"/>
        </w:rPr>
      </w:pPr>
    </w:p>
    <w:p w14:paraId="5AA26624" w14:textId="77777777" w:rsidR="008A305D" w:rsidRPr="00BA3FBD" w:rsidRDefault="008A305D" w:rsidP="008A305D"/>
    <w:p w14:paraId="23356AAA" w14:textId="77777777" w:rsidR="008A305D" w:rsidRPr="00BA3FBD" w:rsidRDefault="008A305D" w:rsidP="008A305D">
      <w:pPr>
        <w:rPr>
          <w:b/>
          <w:sz w:val="22"/>
          <w:szCs w:val="22"/>
        </w:rPr>
      </w:pPr>
      <w:r w:rsidRPr="00BA3FBD">
        <w:rPr>
          <w:b/>
        </w:rPr>
        <w:br w:type="page"/>
      </w:r>
    </w:p>
    <w:p w14:paraId="5349D1B3" w14:textId="77777777" w:rsidR="008A305D" w:rsidRPr="00E93274" w:rsidRDefault="008A305D" w:rsidP="008A305D">
      <w:pPr>
        <w:autoSpaceDE w:val="0"/>
        <w:autoSpaceDN w:val="0"/>
        <w:adjustRightInd w:val="0"/>
        <w:rPr>
          <w:b/>
          <w:sz w:val="22"/>
          <w:szCs w:val="22"/>
        </w:rPr>
      </w:pPr>
    </w:p>
    <w:p w14:paraId="51FEA6FA" w14:textId="77777777" w:rsidR="008A305D" w:rsidRPr="00E93274" w:rsidRDefault="008A305D" w:rsidP="008A305D">
      <w:pPr>
        <w:rPr>
          <w:sz w:val="22"/>
          <w:szCs w:val="22"/>
        </w:rPr>
      </w:pPr>
    </w:p>
    <w:p w14:paraId="3158B4B1" w14:textId="77777777" w:rsidR="008A305D" w:rsidRPr="00E93274" w:rsidRDefault="008A305D" w:rsidP="008A305D">
      <w:pPr>
        <w:rPr>
          <w:sz w:val="22"/>
          <w:szCs w:val="22"/>
        </w:rPr>
      </w:pPr>
    </w:p>
    <w:p w14:paraId="3318A50C" w14:textId="77777777" w:rsidR="008A305D" w:rsidRPr="00E93274" w:rsidRDefault="008A305D" w:rsidP="008A305D">
      <w:pPr>
        <w:rPr>
          <w:sz w:val="22"/>
          <w:szCs w:val="22"/>
        </w:rPr>
      </w:pPr>
    </w:p>
    <w:p w14:paraId="5380806B" w14:textId="77777777" w:rsidR="008A305D" w:rsidRPr="00E93274" w:rsidRDefault="008A305D" w:rsidP="008A305D">
      <w:pPr>
        <w:rPr>
          <w:sz w:val="22"/>
          <w:szCs w:val="22"/>
        </w:rPr>
      </w:pPr>
    </w:p>
    <w:p w14:paraId="03CB7885" w14:textId="77777777" w:rsidR="008A305D" w:rsidRPr="00E93274" w:rsidRDefault="008A305D" w:rsidP="008A305D">
      <w:pPr>
        <w:rPr>
          <w:sz w:val="22"/>
          <w:szCs w:val="22"/>
        </w:rPr>
      </w:pPr>
    </w:p>
    <w:p w14:paraId="2FDB2C28" w14:textId="77777777" w:rsidR="008A305D" w:rsidRPr="00E93274" w:rsidRDefault="008A305D" w:rsidP="008A305D">
      <w:pPr>
        <w:rPr>
          <w:sz w:val="22"/>
          <w:szCs w:val="22"/>
        </w:rPr>
      </w:pPr>
    </w:p>
    <w:p w14:paraId="0639C9F6" w14:textId="77777777" w:rsidR="008A305D" w:rsidRPr="00E93274" w:rsidRDefault="008A305D" w:rsidP="008A305D">
      <w:pPr>
        <w:rPr>
          <w:sz w:val="22"/>
          <w:szCs w:val="22"/>
        </w:rPr>
      </w:pPr>
    </w:p>
    <w:p w14:paraId="72058428" w14:textId="77777777" w:rsidR="008A305D" w:rsidRPr="00E93274" w:rsidRDefault="008A305D" w:rsidP="008A305D">
      <w:pPr>
        <w:rPr>
          <w:sz w:val="22"/>
          <w:szCs w:val="22"/>
        </w:rPr>
      </w:pPr>
    </w:p>
    <w:p w14:paraId="58ABEFA9" w14:textId="77777777" w:rsidR="008A305D" w:rsidRPr="00E93274" w:rsidRDefault="008A305D" w:rsidP="008A305D">
      <w:pPr>
        <w:rPr>
          <w:sz w:val="22"/>
          <w:szCs w:val="22"/>
        </w:rPr>
      </w:pPr>
    </w:p>
    <w:p w14:paraId="57160D45" w14:textId="77777777" w:rsidR="008A305D" w:rsidRPr="00E93274" w:rsidRDefault="008A305D" w:rsidP="008A305D">
      <w:pPr>
        <w:rPr>
          <w:sz w:val="22"/>
          <w:szCs w:val="22"/>
        </w:rPr>
      </w:pPr>
    </w:p>
    <w:p w14:paraId="0407F8F8" w14:textId="77777777" w:rsidR="008A305D" w:rsidRPr="00E93274" w:rsidRDefault="008A305D" w:rsidP="008A305D">
      <w:pPr>
        <w:rPr>
          <w:sz w:val="22"/>
          <w:szCs w:val="22"/>
        </w:rPr>
      </w:pPr>
    </w:p>
    <w:p w14:paraId="40E700F5" w14:textId="77777777" w:rsidR="008A305D" w:rsidRPr="00E93274" w:rsidRDefault="008A305D" w:rsidP="008A305D">
      <w:pPr>
        <w:rPr>
          <w:sz w:val="22"/>
          <w:szCs w:val="22"/>
        </w:rPr>
      </w:pPr>
    </w:p>
    <w:p w14:paraId="791CA00D" w14:textId="77777777" w:rsidR="008A305D" w:rsidRPr="00E93274" w:rsidRDefault="008A305D" w:rsidP="008A305D">
      <w:pPr>
        <w:rPr>
          <w:sz w:val="22"/>
          <w:szCs w:val="22"/>
        </w:rPr>
      </w:pPr>
    </w:p>
    <w:p w14:paraId="5A3505E3" w14:textId="77777777" w:rsidR="008A305D" w:rsidRPr="00E93274" w:rsidRDefault="008A305D" w:rsidP="008A305D">
      <w:pPr>
        <w:rPr>
          <w:sz w:val="22"/>
          <w:szCs w:val="22"/>
        </w:rPr>
      </w:pPr>
    </w:p>
    <w:p w14:paraId="3F2FB659" w14:textId="77777777" w:rsidR="008A305D" w:rsidRPr="00E93274" w:rsidRDefault="008A305D" w:rsidP="008A305D">
      <w:pPr>
        <w:rPr>
          <w:sz w:val="22"/>
          <w:szCs w:val="22"/>
        </w:rPr>
      </w:pPr>
    </w:p>
    <w:p w14:paraId="247348DA" w14:textId="77777777" w:rsidR="008A305D" w:rsidRPr="00E93274" w:rsidRDefault="008A305D" w:rsidP="008A305D">
      <w:pPr>
        <w:rPr>
          <w:sz w:val="22"/>
          <w:szCs w:val="22"/>
        </w:rPr>
      </w:pPr>
    </w:p>
    <w:p w14:paraId="75BEA8D6" w14:textId="77777777" w:rsidR="008A305D" w:rsidRPr="00E93274" w:rsidRDefault="008A305D" w:rsidP="008A305D">
      <w:pPr>
        <w:rPr>
          <w:sz w:val="22"/>
          <w:szCs w:val="22"/>
        </w:rPr>
      </w:pPr>
    </w:p>
    <w:p w14:paraId="2E600B2F" w14:textId="77777777" w:rsidR="008A305D" w:rsidRPr="00E93274" w:rsidRDefault="008A305D" w:rsidP="008A305D">
      <w:pPr>
        <w:rPr>
          <w:sz w:val="22"/>
          <w:szCs w:val="22"/>
        </w:rPr>
      </w:pPr>
    </w:p>
    <w:p w14:paraId="3599E410" w14:textId="77777777" w:rsidR="008A305D" w:rsidRPr="00E93274" w:rsidRDefault="008A305D" w:rsidP="008A305D">
      <w:pPr>
        <w:rPr>
          <w:sz w:val="22"/>
          <w:szCs w:val="22"/>
        </w:rPr>
      </w:pPr>
    </w:p>
    <w:p w14:paraId="6BCF196B" w14:textId="77777777" w:rsidR="008A305D" w:rsidRPr="00E93274" w:rsidRDefault="008A305D" w:rsidP="008A305D">
      <w:pPr>
        <w:rPr>
          <w:sz w:val="22"/>
          <w:szCs w:val="22"/>
        </w:rPr>
      </w:pPr>
    </w:p>
    <w:p w14:paraId="030F1563" w14:textId="77777777" w:rsidR="008A305D" w:rsidRPr="00E93274" w:rsidRDefault="008A305D" w:rsidP="008A305D">
      <w:pPr>
        <w:rPr>
          <w:sz w:val="22"/>
          <w:szCs w:val="22"/>
        </w:rPr>
      </w:pPr>
    </w:p>
    <w:p w14:paraId="74B41FA6" w14:textId="77777777" w:rsidR="008A305D" w:rsidRPr="00E93274" w:rsidRDefault="008A305D" w:rsidP="008A305D">
      <w:pPr>
        <w:rPr>
          <w:sz w:val="22"/>
          <w:szCs w:val="22"/>
        </w:rPr>
      </w:pPr>
    </w:p>
    <w:p w14:paraId="3D2F1559" w14:textId="77777777" w:rsidR="008A305D" w:rsidRPr="00BA3FBD" w:rsidRDefault="008A305D" w:rsidP="008A305D">
      <w:pPr>
        <w:pStyle w:val="Antrat2"/>
        <w:spacing w:before="0" w:after="0" w:line="240" w:lineRule="auto"/>
        <w:jc w:val="center"/>
        <w:rPr>
          <w:rFonts w:ascii="Times New Roman" w:hAnsi="Times New Roman"/>
          <w:i w:val="0"/>
          <w:iCs/>
          <w:sz w:val="22"/>
          <w:szCs w:val="22"/>
          <w:lang w:val="lt-LT"/>
        </w:rPr>
      </w:pPr>
      <w:r w:rsidRPr="00BA3FBD">
        <w:rPr>
          <w:rFonts w:ascii="Times New Roman" w:hAnsi="Times New Roman"/>
          <w:i w:val="0"/>
          <w:iCs/>
          <w:sz w:val="22"/>
          <w:szCs w:val="22"/>
          <w:lang w:val="lt-LT"/>
        </w:rPr>
        <w:t>B. PAKUOTĖS LAPELIS</w:t>
      </w:r>
    </w:p>
    <w:p w14:paraId="5252D345" w14:textId="77777777" w:rsidR="008A305D" w:rsidRPr="00BA3FBD" w:rsidRDefault="008A305D" w:rsidP="008A305D">
      <w:pPr>
        <w:pStyle w:val="Default"/>
        <w:jc w:val="center"/>
        <w:rPr>
          <w:rFonts w:ascii="Times New Roman" w:hAnsi="Times New Roman" w:cs="Times New Roman"/>
          <w:b/>
          <w:bCs/>
          <w:sz w:val="22"/>
          <w:szCs w:val="22"/>
          <w:lang w:val="lt-LT"/>
        </w:rPr>
      </w:pPr>
      <w:r w:rsidRPr="00BA3FBD">
        <w:rPr>
          <w:b/>
          <w:sz w:val="22"/>
          <w:szCs w:val="22"/>
          <w:lang w:val="lt-LT"/>
        </w:rPr>
        <w:br w:type="page"/>
      </w:r>
      <w:r w:rsidRPr="00BA3FBD">
        <w:rPr>
          <w:rFonts w:ascii="Times New Roman" w:hAnsi="Times New Roman" w:cs="Times New Roman"/>
          <w:b/>
          <w:bCs/>
          <w:sz w:val="22"/>
          <w:szCs w:val="22"/>
          <w:lang w:val="lt-LT"/>
        </w:rPr>
        <w:lastRenderedPageBreak/>
        <w:t>Pakuotės lapelis: informacija vartotojui</w:t>
      </w:r>
    </w:p>
    <w:p w14:paraId="4E7FD309" w14:textId="77777777" w:rsidR="008A305D" w:rsidRPr="00BA3FBD" w:rsidRDefault="008A305D" w:rsidP="008A305D">
      <w:pPr>
        <w:pStyle w:val="Default"/>
        <w:jc w:val="center"/>
        <w:rPr>
          <w:rFonts w:ascii="Times New Roman" w:hAnsi="Times New Roman" w:cs="Times New Roman"/>
          <w:sz w:val="22"/>
          <w:szCs w:val="22"/>
          <w:lang w:val="lt-LT"/>
        </w:rPr>
      </w:pPr>
    </w:p>
    <w:p w14:paraId="18CFD95D" w14:textId="77777777" w:rsidR="008A305D" w:rsidRPr="00BA3FBD" w:rsidRDefault="008A305D" w:rsidP="008A305D">
      <w:pPr>
        <w:widowControl w:val="0"/>
        <w:tabs>
          <w:tab w:val="left" w:pos="9356"/>
        </w:tabs>
        <w:autoSpaceDE w:val="0"/>
        <w:autoSpaceDN w:val="0"/>
        <w:adjustRightInd w:val="0"/>
        <w:ind w:right="50"/>
        <w:jc w:val="center"/>
        <w:rPr>
          <w:sz w:val="22"/>
          <w:szCs w:val="22"/>
        </w:rPr>
      </w:pPr>
      <w:r w:rsidRPr="00BA3FBD">
        <w:rPr>
          <w:b/>
          <w:bCs/>
          <w:spacing w:val="-1"/>
          <w:sz w:val="22"/>
          <w:szCs w:val="22"/>
        </w:rPr>
        <w:t>Imatinib Actavis Group</w:t>
      </w:r>
      <w:r w:rsidRPr="00BA3FBD">
        <w:rPr>
          <w:b/>
          <w:bCs/>
          <w:spacing w:val="1"/>
          <w:sz w:val="22"/>
          <w:szCs w:val="22"/>
        </w:rPr>
        <w:t xml:space="preserve"> 100</w:t>
      </w:r>
      <w:r w:rsidRPr="00BA3FBD">
        <w:rPr>
          <w:b/>
          <w:bCs/>
          <w:sz w:val="22"/>
          <w:szCs w:val="22"/>
        </w:rPr>
        <w:t> </w:t>
      </w:r>
      <w:r w:rsidRPr="00BA3FBD">
        <w:rPr>
          <w:b/>
          <w:bCs/>
          <w:spacing w:val="1"/>
          <w:sz w:val="22"/>
          <w:szCs w:val="22"/>
        </w:rPr>
        <w:t>m</w:t>
      </w:r>
      <w:r w:rsidRPr="00BA3FBD">
        <w:rPr>
          <w:b/>
          <w:bCs/>
          <w:sz w:val="22"/>
          <w:szCs w:val="22"/>
        </w:rPr>
        <w:t>g plėvele dengtos tabletės</w:t>
      </w:r>
    </w:p>
    <w:p w14:paraId="78D27722" w14:textId="77777777" w:rsidR="008A305D" w:rsidRPr="00BA3FBD" w:rsidRDefault="008A305D" w:rsidP="008A305D">
      <w:pPr>
        <w:autoSpaceDE w:val="0"/>
        <w:autoSpaceDN w:val="0"/>
        <w:adjustRightInd w:val="0"/>
        <w:jc w:val="center"/>
        <w:rPr>
          <w:rFonts w:eastAsia="Calibri"/>
          <w:color w:val="000000"/>
          <w:sz w:val="22"/>
          <w:szCs w:val="22"/>
        </w:rPr>
      </w:pPr>
      <w:r w:rsidRPr="00BA3FBD">
        <w:rPr>
          <w:rFonts w:eastAsia="Calibri"/>
          <w:color w:val="000000"/>
          <w:sz w:val="22"/>
          <w:szCs w:val="22"/>
        </w:rPr>
        <w:t>Imatinibas</w:t>
      </w:r>
    </w:p>
    <w:p w14:paraId="3D3155F4" w14:textId="77777777" w:rsidR="008A305D" w:rsidRPr="00BA3FBD" w:rsidRDefault="008A305D" w:rsidP="008A305D">
      <w:pPr>
        <w:autoSpaceDE w:val="0"/>
        <w:autoSpaceDN w:val="0"/>
        <w:adjustRightInd w:val="0"/>
        <w:jc w:val="center"/>
        <w:rPr>
          <w:rFonts w:eastAsia="Calibri"/>
          <w:color w:val="000000"/>
          <w:sz w:val="22"/>
          <w:szCs w:val="22"/>
        </w:rPr>
      </w:pPr>
    </w:p>
    <w:p w14:paraId="28BB3C32"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b/>
          <w:bCs/>
          <w:color w:val="000000"/>
          <w:sz w:val="22"/>
          <w:szCs w:val="22"/>
        </w:rPr>
        <w:t xml:space="preserve">Atidžiai perskaitykite visą šį lapelį, prieš pradėdami vartoti vaistą, nes jame pateikiama Jums svarbi informacija. </w:t>
      </w:r>
    </w:p>
    <w:p w14:paraId="320119BD"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w:t>
      </w:r>
      <w:r w:rsidRPr="00BA3FBD">
        <w:rPr>
          <w:rFonts w:eastAsia="Calibri"/>
          <w:color w:val="000000"/>
          <w:sz w:val="22"/>
          <w:szCs w:val="22"/>
        </w:rPr>
        <w:tab/>
        <w:t xml:space="preserve">Neišmeskite šio lapelio, nes vėl gali prireikti jį perskaityti. </w:t>
      </w:r>
    </w:p>
    <w:p w14:paraId="6F453DC0" w14:textId="77777777" w:rsidR="008A305D" w:rsidRPr="00BA3FBD" w:rsidRDefault="008A305D" w:rsidP="008A305D">
      <w:pPr>
        <w:autoSpaceDE w:val="0"/>
        <w:autoSpaceDN w:val="0"/>
        <w:adjustRightInd w:val="0"/>
        <w:spacing w:after="23"/>
        <w:rPr>
          <w:rFonts w:eastAsia="Calibri"/>
          <w:color w:val="000000"/>
          <w:sz w:val="22"/>
          <w:szCs w:val="22"/>
        </w:rPr>
      </w:pPr>
      <w:r w:rsidRPr="00BA3FBD">
        <w:rPr>
          <w:rFonts w:eastAsia="Calibri"/>
          <w:color w:val="000000"/>
          <w:sz w:val="22"/>
          <w:szCs w:val="22"/>
        </w:rPr>
        <w:t>-</w:t>
      </w:r>
      <w:r w:rsidRPr="00BA3FBD">
        <w:rPr>
          <w:rFonts w:eastAsia="Calibri"/>
          <w:color w:val="000000"/>
          <w:sz w:val="22"/>
          <w:szCs w:val="22"/>
        </w:rPr>
        <w:tab/>
        <w:t xml:space="preserve">Jeigu kiltų daugiau klausimų, kreipkitės į gydytoją, vaistininką arba slaugytoją. </w:t>
      </w:r>
    </w:p>
    <w:p w14:paraId="4E5EE3A3" w14:textId="77777777" w:rsidR="008A305D" w:rsidRPr="00BA3FBD" w:rsidRDefault="008A305D" w:rsidP="008A305D">
      <w:pPr>
        <w:autoSpaceDE w:val="0"/>
        <w:autoSpaceDN w:val="0"/>
        <w:adjustRightInd w:val="0"/>
        <w:spacing w:after="23"/>
        <w:ind w:left="720" w:hanging="720"/>
        <w:rPr>
          <w:rFonts w:eastAsia="Calibri"/>
          <w:color w:val="000000"/>
          <w:sz w:val="22"/>
          <w:szCs w:val="22"/>
        </w:rPr>
      </w:pPr>
      <w:r w:rsidRPr="00BA3FBD">
        <w:rPr>
          <w:rFonts w:eastAsia="Calibri"/>
          <w:color w:val="000000"/>
          <w:sz w:val="22"/>
          <w:szCs w:val="22"/>
        </w:rPr>
        <w:t>-</w:t>
      </w:r>
      <w:r w:rsidRPr="00BA3FBD">
        <w:rPr>
          <w:rFonts w:eastAsia="Calibri"/>
          <w:color w:val="000000"/>
          <w:sz w:val="22"/>
          <w:szCs w:val="22"/>
        </w:rPr>
        <w:tab/>
        <w:t xml:space="preserve">Šis vaistas skirtas tik Jums, todėl kitiems žmonėms jo duoti negalima. Vaistas gali jiems pakenkti (net tiems, kurių ligos požymiai yra tokie patys kaip Jūsų). </w:t>
      </w:r>
    </w:p>
    <w:p w14:paraId="294FCBD8" w14:textId="77777777" w:rsidR="008A305D" w:rsidRPr="00BA3FBD" w:rsidRDefault="008A305D" w:rsidP="008A305D">
      <w:pPr>
        <w:autoSpaceDE w:val="0"/>
        <w:autoSpaceDN w:val="0"/>
        <w:adjustRightInd w:val="0"/>
        <w:ind w:left="720" w:hanging="720"/>
        <w:rPr>
          <w:rFonts w:eastAsia="Calibri"/>
          <w:color w:val="000000"/>
          <w:sz w:val="22"/>
          <w:szCs w:val="22"/>
        </w:rPr>
      </w:pPr>
      <w:r w:rsidRPr="00BA3FBD">
        <w:rPr>
          <w:rFonts w:eastAsia="Calibri"/>
          <w:color w:val="000000"/>
          <w:sz w:val="22"/>
          <w:szCs w:val="22"/>
        </w:rPr>
        <w:t>-</w:t>
      </w:r>
      <w:r w:rsidRPr="00BA3FBD">
        <w:rPr>
          <w:rFonts w:eastAsia="Calibri"/>
          <w:color w:val="000000"/>
          <w:sz w:val="22"/>
          <w:szCs w:val="22"/>
        </w:rPr>
        <w:tab/>
        <w:t>Jeigu pasireiškė šalutinis poveikis (net jeigu jis šiame lapelyje nenurodytas), kreipkitės į gydytoją, vaistininką arba slaugytoją. Žr. 4 skyrių.</w:t>
      </w:r>
    </w:p>
    <w:p w14:paraId="754BD8F5" w14:textId="77777777" w:rsidR="008A305D" w:rsidRPr="00BA3FBD" w:rsidRDefault="008A305D" w:rsidP="008A305D">
      <w:pPr>
        <w:autoSpaceDE w:val="0"/>
        <w:autoSpaceDN w:val="0"/>
        <w:adjustRightInd w:val="0"/>
        <w:rPr>
          <w:rFonts w:eastAsia="Calibri"/>
          <w:color w:val="000000"/>
          <w:sz w:val="22"/>
          <w:szCs w:val="22"/>
        </w:rPr>
      </w:pPr>
    </w:p>
    <w:p w14:paraId="79CF37BF" w14:textId="77777777" w:rsidR="008A305D" w:rsidRPr="00BA3FBD" w:rsidRDefault="008A305D" w:rsidP="008A305D">
      <w:pPr>
        <w:autoSpaceDE w:val="0"/>
        <w:autoSpaceDN w:val="0"/>
        <w:adjustRightInd w:val="0"/>
        <w:rPr>
          <w:rFonts w:eastAsia="Calibri"/>
          <w:b/>
          <w:bCs/>
          <w:color w:val="000000"/>
          <w:sz w:val="22"/>
          <w:szCs w:val="22"/>
        </w:rPr>
      </w:pPr>
      <w:r w:rsidRPr="00BA3FBD">
        <w:rPr>
          <w:rFonts w:eastAsia="Calibri"/>
          <w:b/>
          <w:bCs/>
          <w:color w:val="000000"/>
          <w:sz w:val="22"/>
          <w:szCs w:val="22"/>
        </w:rPr>
        <w:t xml:space="preserve">Apie ką rašoma šiame lapelyje? </w:t>
      </w:r>
    </w:p>
    <w:p w14:paraId="1D9A8743" w14:textId="77777777" w:rsidR="008A305D" w:rsidRPr="00BA3FBD" w:rsidRDefault="008A305D" w:rsidP="008A305D">
      <w:pPr>
        <w:autoSpaceDE w:val="0"/>
        <w:autoSpaceDN w:val="0"/>
        <w:adjustRightInd w:val="0"/>
        <w:rPr>
          <w:rFonts w:eastAsia="Calibri"/>
          <w:color w:val="000000"/>
          <w:sz w:val="22"/>
          <w:szCs w:val="22"/>
        </w:rPr>
      </w:pPr>
    </w:p>
    <w:p w14:paraId="4C43C5F8"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 xml:space="preserve">1. Kas yra Imatinib Actavis Group ir kam jis vartojamas </w:t>
      </w:r>
    </w:p>
    <w:p w14:paraId="5F0E9083"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 xml:space="preserve">2. Kas žinotina prieš vartojant Imatinib Actavis Group </w:t>
      </w:r>
    </w:p>
    <w:p w14:paraId="4CCACE20"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 xml:space="preserve">3. Kaip vartoti Imatinib Actavis Group </w:t>
      </w:r>
    </w:p>
    <w:p w14:paraId="1B5287FB"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 xml:space="preserve">4. Galimas šalutinis poveikis </w:t>
      </w:r>
    </w:p>
    <w:p w14:paraId="4837604E"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5. Kaip laikyti Imatinib Actavis Group</w:t>
      </w:r>
    </w:p>
    <w:p w14:paraId="0F766C0D"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 xml:space="preserve">6. Pakuotės turinys ir kita informacija </w:t>
      </w:r>
    </w:p>
    <w:p w14:paraId="4D1BEEC9" w14:textId="77777777" w:rsidR="008A305D" w:rsidRPr="00BA3FBD" w:rsidRDefault="008A305D" w:rsidP="008A305D">
      <w:pPr>
        <w:autoSpaceDE w:val="0"/>
        <w:autoSpaceDN w:val="0"/>
        <w:adjustRightInd w:val="0"/>
        <w:rPr>
          <w:rFonts w:eastAsia="Calibri"/>
          <w:color w:val="000000"/>
          <w:sz w:val="22"/>
          <w:szCs w:val="22"/>
        </w:rPr>
      </w:pPr>
    </w:p>
    <w:p w14:paraId="43A47A79" w14:textId="77777777" w:rsidR="008A305D" w:rsidRPr="00BA3FBD" w:rsidRDefault="008A305D" w:rsidP="008A305D">
      <w:pPr>
        <w:autoSpaceDE w:val="0"/>
        <w:autoSpaceDN w:val="0"/>
        <w:adjustRightInd w:val="0"/>
        <w:rPr>
          <w:rFonts w:eastAsia="Calibri"/>
          <w:color w:val="000000"/>
          <w:sz w:val="22"/>
          <w:szCs w:val="22"/>
        </w:rPr>
      </w:pPr>
    </w:p>
    <w:p w14:paraId="17FB4B8D" w14:textId="77777777" w:rsidR="008A305D" w:rsidRPr="00BA3FBD" w:rsidRDefault="008A305D" w:rsidP="008A305D">
      <w:pPr>
        <w:pStyle w:val="Sraopastraipa"/>
        <w:numPr>
          <w:ilvl w:val="0"/>
          <w:numId w:val="2"/>
        </w:numPr>
        <w:autoSpaceDE w:val="0"/>
        <w:autoSpaceDN w:val="0"/>
        <w:adjustRightInd w:val="0"/>
        <w:ind w:hanging="720"/>
        <w:rPr>
          <w:rFonts w:eastAsia="Calibri"/>
          <w:b/>
          <w:bCs/>
          <w:color w:val="000000"/>
          <w:sz w:val="22"/>
          <w:szCs w:val="22"/>
        </w:rPr>
      </w:pPr>
      <w:r w:rsidRPr="00BA3FBD">
        <w:rPr>
          <w:rFonts w:eastAsia="Calibri"/>
          <w:b/>
          <w:bCs/>
          <w:color w:val="000000"/>
          <w:sz w:val="22"/>
          <w:szCs w:val="22"/>
        </w:rPr>
        <w:t xml:space="preserve">Kas yra Imatinib Actavis Group ir kam jis vartojamas </w:t>
      </w:r>
    </w:p>
    <w:p w14:paraId="1E8E20AA" w14:textId="77777777" w:rsidR="008A305D" w:rsidRPr="00BA3FBD" w:rsidRDefault="008A305D" w:rsidP="008A305D">
      <w:pPr>
        <w:autoSpaceDE w:val="0"/>
        <w:autoSpaceDN w:val="0"/>
        <w:adjustRightInd w:val="0"/>
        <w:rPr>
          <w:rFonts w:eastAsia="Calibri"/>
          <w:color w:val="000000"/>
          <w:sz w:val="22"/>
          <w:szCs w:val="22"/>
        </w:rPr>
      </w:pPr>
    </w:p>
    <w:p w14:paraId="4D87D553" w14:textId="77777777" w:rsidR="008A305D" w:rsidRPr="00BA3FBD" w:rsidRDefault="008A305D" w:rsidP="008A305D">
      <w:pPr>
        <w:autoSpaceDE w:val="0"/>
        <w:autoSpaceDN w:val="0"/>
        <w:adjustRightInd w:val="0"/>
        <w:rPr>
          <w:sz w:val="22"/>
          <w:szCs w:val="22"/>
        </w:rPr>
      </w:pPr>
      <w:r w:rsidRPr="00BA3FBD">
        <w:rPr>
          <w:rFonts w:eastAsia="Calibri"/>
          <w:color w:val="000000"/>
          <w:sz w:val="22"/>
          <w:szCs w:val="22"/>
        </w:rPr>
        <w:t xml:space="preserve">Imatinib Actavis Group yra vaistas, kurio sudėtyje yra veikliosios medžiagos imatinibo. Šis vaistas veikia slopindamas nenormalių ląstelių augimą, sergant </w:t>
      </w:r>
      <w:r w:rsidRPr="00BA3FBD">
        <w:rPr>
          <w:sz w:val="22"/>
          <w:szCs w:val="22"/>
        </w:rPr>
        <w:t xml:space="preserve">toliau išvardytomis ligomis. Jos apima ir kai kurių tipų vėžinius susirgimus. </w:t>
      </w:r>
    </w:p>
    <w:p w14:paraId="6F0FBA80" w14:textId="77777777" w:rsidR="008A305D" w:rsidRPr="00BA3FBD" w:rsidRDefault="008A305D" w:rsidP="008A305D">
      <w:pPr>
        <w:autoSpaceDE w:val="0"/>
        <w:autoSpaceDN w:val="0"/>
        <w:adjustRightInd w:val="0"/>
        <w:rPr>
          <w:rFonts w:eastAsia="Calibri"/>
          <w:color w:val="000000"/>
          <w:sz w:val="22"/>
          <w:szCs w:val="22"/>
        </w:rPr>
      </w:pPr>
    </w:p>
    <w:p w14:paraId="4972A92D" w14:textId="77777777" w:rsidR="008A305D" w:rsidRPr="00BA3FBD" w:rsidRDefault="008A305D" w:rsidP="008A305D">
      <w:pPr>
        <w:autoSpaceDE w:val="0"/>
        <w:autoSpaceDN w:val="0"/>
        <w:adjustRightInd w:val="0"/>
        <w:rPr>
          <w:rFonts w:eastAsia="Calibri"/>
          <w:b/>
          <w:bCs/>
          <w:sz w:val="22"/>
          <w:szCs w:val="22"/>
        </w:rPr>
      </w:pPr>
      <w:r w:rsidRPr="00BA3FBD">
        <w:rPr>
          <w:rFonts w:eastAsia="Calibri"/>
          <w:b/>
          <w:bCs/>
          <w:sz w:val="22"/>
          <w:szCs w:val="22"/>
        </w:rPr>
        <w:t>Imatinib Actavis Group vartojamas gydyti:</w:t>
      </w:r>
    </w:p>
    <w:p w14:paraId="4ED0F3BF" w14:textId="77777777" w:rsidR="008A305D" w:rsidRPr="00BA3FBD" w:rsidRDefault="008A305D" w:rsidP="008A305D">
      <w:pPr>
        <w:autoSpaceDE w:val="0"/>
        <w:autoSpaceDN w:val="0"/>
        <w:adjustRightInd w:val="0"/>
        <w:rPr>
          <w:rFonts w:eastAsia="Calibri"/>
          <w:b/>
          <w:bCs/>
          <w:sz w:val="22"/>
          <w:szCs w:val="22"/>
        </w:rPr>
      </w:pPr>
    </w:p>
    <w:p w14:paraId="4123BC68" w14:textId="77777777" w:rsidR="008A305D" w:rsidRPr="00BA3FBD" w:rsidRDefault="008A305D" w:rsidP="008A305D">
      <w:pPr>
        <w:autoSpaceDE w:val="0"/>
        <w:autoSpaceDN w:val="0"/>
        <w:adjustRightInd w:val="0"/>
        <w:ind w:left="720" w:hanging="720"/>
        <w:rPr>
          <w:rFonts w:eastAsia="Calibri"/>
          <w:color w:val="000000"/>
          <w:sz w:val="22"/>
          <w:szCs w:val="22"/>
        </w:rPr>
      </w:pPr>
      <w:r w:rsidRPr="00BA3FBD">
        <w:rPr>
          <w:rFonts w:eastAsia="Calibri"/>
          <w:b/>
          <w:bCs/>
          <w:sz w:val="22"/>
          <w:szCs w:val="22"/>
        </w:rPr>
        <w:tab/>
      </w:r>
      <w:r>
        <w:rPr>
          <w:rFonts w:eastAsia="Calibri"/>
          <w:b/>
          <w:bCs/>
          <w:sz w:val="22"/>
          <w:szCs w:val="22"/>
        </w:rPr>
        <w:t>l</w:t>
      </w:r>
      <w:r w:rsidRPr="00BA3FBD">
        <w:rPr>
          <w:rFonts w:eastAsia="Calibri"/>
          <w:b/>
          <w:bCs/>
          <w:sz w:val="22"/>
          <w:szCs w:val="22"/>
        </w:rPr>
        <w:t xml:space="preserve">ėtinę </w:t>
      </w:r>
      <w:r>
        <w:rPr>
          <w:b/>
          <w:bCs/>
          <w:sz w:val="22"/>
          <w:szCs w:val="22"/>
        </w:rPr>
        <w:t>mieloidinę leukemiją</w:t>
      </w:r>
      <w:r w:rsidRPr="00BA3FBD">
        <w:rPr>
          <w:rFonts w:eastAsia="Calibri"/>
          <w:b/>
          <w:bCs/>
          <w:sz w:val="22"/>
          <w:szCs w:val="22"/>
        </w:rPr>
        <w:t xml:space="preserve"> (LML).  </w:t>
      </w:r>
      <w:r w:rsidRPr="00BA3FBD">
        <w:rPr>
          <w:rFonts w:eastAsia="Calibri"/>
          <w:sz w:val="22"/>
          <w:szCs w:val="22"/>
        </w:rPr>
        <w:t>Leukemija – tai baltųjų kraujo</w:t>
      </w:r>
      <w:r w:rsidRPr="00BA3FBD">
        <w:rPr>
          <w:rFonts w:eastAsia="Calibri"/>
          <w:color w:val="000000"/>
          <w:sz w:val="22"/>
          <w:szCs w:val="22"/>
        </w:rPr>
        <w:t xml:space="preserve"> kūnelių vėžys. Paprastai šios baltosios ląstelės padeda organizmui kovoti su infekcija. Lėtinė mieloleukemija yra tokia leukemijos forma, kai dažniausiai nenormalios ląstelės (vadinamos mieloidinėmis ląstelėmis), pradeda nekontroliuojamai augti. </w:t>
      </w:r>
    </w:p>
    <w:p w14:paraId="12FFA957" w14:textId="77777777" w:rsidR="008A305D" w:rsidRPr="00BA3FBD" w:rsidRDefault="008A305D" w:rsidP="008A305D">
      <w:pPr>
        <w:autoSpaceDE w:val="0"/>
        <w:autoSpaceDN w:val="0"/>
        <w:adjustRightInd w:val="0"/>
        <w:ind w:left="720" w:hanging="720"/>
        <w:rPr>
          <w:rFonts w:eastAsia="Calibri"/>
          <w:color w:val="000000"/>
          <w:sz w:val="22"/>
          <w:szCs w:val="22"/>
        </w:rPr>
      </w:pPr>
    </w:p>
    <w:p w14:paraId="751033FC"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Suaugusiesiems Imatinib Actavis Group naudojamas toliausiai pažengusiai ligos fazei (blastinei krizei) gydyti. Vaikams ir paaugliams Imatinib Actavis Group gali būti vartojamas įvairioms ligos stadijoms gydyti (</w:t>
      </w:r>
      <w:r>
        <w:rPr>
          <w:rFonts w:eastAsia="Calibri"/>
          <w:color w:val="000000"/>
          <w:sz w:val="22"/>
          <w:szCs w:val="22"/>
        </w:rPr>
        <w:t>lėtinei</w:t>
      </w:r>
      <w:r w:rsidRPr="00BA3FBD">
        <w:rPr>
          <w:rFonts w:eastAsia="Calibri"/>
          <w:color w:val="000000"/>
          <w:sz w:val="22"/>
          <w:szCs w:val="22"/>
        </w:rPr>
        <w:t>, ūminei ir blastinei krizei).</w:t>
      </w:r>
    </w:p>
    <w:p w14:paraId="09A75265" w14:textId="77777777" w:rsidR="008A305D" w:rsidRPr="00BA3FBD" w:rsidRDefault="008A305D" w:rsidP="008A305D">
      <w:pPr>
        <w:autoSpaceDE w:val="0"/>
        <w:autoSpaceDN w:val="0"/>
        <w:adjustRightInd w:val="0"/>
        <w:rPr>
          <w:rFonts w:eastAsia="Calibri"/>
          <w:color w:val="000000"/>
          <w:sz w:val="22"/>
          <w:szCs w:val="22"/>
        </w:rPr>
      </w:pPr>
    </w:p>
    <w:p w14:paraId="7310AC4E" w14:textId="77777777" w:rsidR="008A305D" w:rsidRPr="00BA3FBD" w:rsidRDefault="008A305D" w:rsidP="008A305D">
      <w:pPr>
        <w:autoSpaceDE w:val="0"/>
        <w:autoSpaceDN w:val="0"/>
        <w:adjustRightInd w:val="0"/>
        <w:rPr>
          <w:rFonts w:eastAsia="Calibri"/>
          <w:b/>
          <w:color w:val="000000"/>
          <w:sz w:val="22"/>
          <w:szCs w:val="22"/>
        </w:rPr>
      </w:pPr>
      <w:r w:rsidRPr="00BA3FBD">
        <w:rPr>
          <w:rFonts w:eastAsia="Calibri"/>
          <w:b/>
          <w:color w:val="000000"/>
          <w:sz w:val="22"/>
          <w:szCs w:val="22"/>
        </w:rPr>
        <w:t>Imatinib Actavis Group taip pat vartojamas</w:t>
      </w:r>
      <w:r>
        <w:rPr>
          <w:rFonts w:eastAsia="Calibri"/>
          <w:b/>
          <w:color w:val="000000"/>
          <w:sz w:val="22"/>
          <w:szCs w:val="22"/>
        </w:rPr>
        <w:t xml:space="preserve"> suaugusiųjų</w:t>
      </w:r>
      <w:r w:rsidRPr="00BA3FBD">
        <w:rPr>
          <w:rFonts w:eastAsia="Calibri"/>
          <w:b/>
          <w:color w:val="000000"/>
          <w:sz w:val="22"/>
          <w:szCs w:val="22"/>
        </w:rPr>
        <w:t>:</w:t>
      </w:r>
    </w:p>
    <w:p w14:paraId="61AF0E57" w14:textId="77777777" w:rsidR="008A305D" w:rsidRPr="00BA3FBD" w:rsidRDefault="008A305D" w:rsidP="008A305D">
      <w:pPr>
        <w:autoSpaceDE w:val="0"/>
        <w:autoSpaceDN w:val="0"/>
        <w:adjustRightInd w:val="0"/>
        <w:rPr>
          <w:rFonts w:eastAsia="Calibri"/>
          <w:color w:val="000000"/>
          <w:sz w:val="22"/>
          <w:szCs w:val="22"/>
        </w:rPr>
      </w:pPr>
    </w:p>
    <w:p w14:paraId="13C60FED" w14:textId="77777777" w:rsidR="008A305D" w:rsidRPr="00BA3FBD" w:rsidRDefault="008A305D" w:rsidP="008A305D">
      <w:pPr>
        <w:numPr>
          <w:ilvl w:val="0"/>
          <w:numId w:val="1"/>
        </w:numPr>
        <w:autoSpaceDE w:val="0"/>
        <w:autoSpaceDN w:val="0"/>
        <w:adjustRightInd w:val="0"/>
        <w:ind w:left="709" w:hanging="709"/>
        <w:rPr>
          <w:rFonts w:eastAsia="Calibri"/>
          <w:color w:val="000000"/>
          <w:sz w:val="22"/>
          <w:szCs w:val="22"/>
        </w:rPr>
      </w:pPr>
      <w:r w:rsidRPr="00BA3FBD">
        <w:rPr>
          <w:rFonts w:eastAsia="Calibri"/>
          <w:b/>
          <w:bCs/>
          <w:i/>
          <w:iCs/>
          <w:color w:val="000000"/>
          <w:sz w:val="22"/>
          <w:szCs w:val="22"/>
        </w:rPr>
        <w:lastRenderedPageBreak/>
        <w:t xml:space="preserve">Philadelphia </w:t>
      </w:r>
      <w:r w:rsidRPr="00BA3FBD">
        <w:rPr>
          <w:rFonts w:eastAsia="Calibri"/>
          <w:b/>
          <w:bCs/>
          <w:color w:val="000000"/>
          <w:sz w:val="22"/>
          <w:szCs w:val="22"/>
        </w:rPr>
        <w:t>chromosomai teigiamai ūminei limfo</w:t>
      </w:r>
      <w:r>
        <w:rPr>
          <w:rFonts w:eastAsia="Calibri"/>
          <w:b/>
          <w:bCs/>
          <w:color w:val="000000"/>
          <w:sz w:val="22"/>
          <w:szCs w:val="22"/>
        </w:rPr>
        <w:t xml:space="preserve">idinei </w:t>
      </w:r>
      <w:r w:rsidRPr="00BA3FBD">
        <w:rPr>
          <w:rFonts w:eastAsia="Calibri"/>
          <w:b/>
          <w:bCs/>
          <w:color w:val="000000"/>
          <w:sz w:val="22"/>
          <w:szCs w:val="22"/>
        </w:rPr>
        <w:t xml:space="preserve">leukemijai (Ph teigiama ŪLL) gydyti. </w:t>
      </w:r>
      <w:r w:rsidRPr="00BA3FBD">
        <w:rPr>
          <w:rFonts w:eastAsia="Calibri"/>
          <w:color w:val="000000"/>
          <w:sz w:val="22"/>
          <w:szCs w:val="22"/>
        </w:rPr>
        <w:t>Leukemija – tai baltųjų kraujo kūnelių vėžys. Paprastai šios baltosios ląstelės padeda organizmui kovoti su infekcija. Ūminė limfoleukemija yra tokia leukemijos forma, kai tam tikros nenormalios ląstelės (vadinamos limfoblastais) pradeda nekontroliuojamai augti. Imatinib Actavis Group slopina šių ląstelių augimą</w:t>
      </w:r>
      <w:r>
        <w:rPr>
          <w:rFonts w:eastAsia="Calibri"/>
          <w:color w:val="000000"/>
          <w:sz w:val="22"/>
          <w:szCs w:val="22"/>
        </w:rPr>
        <w:t>;</w:t>
      </w:r>
      <w:r w:rsidRPr="00BA3FBD">
        <w:rPr>
          <w:rFonts w:eastAsia="Calibri"/>
          <w:color w:val="000000"/>
          <w:sz w:val="22"/>
          <w:szCs w:val="22"/>
        </w:rPr>
        <w:t xml:space="preserve"> </w:t>
      </w:r>
    </w:p>
    <w:p w14:paraId="305DB54A" w14:textId="77777777" w:rsidR="008A305D" w:rsidRPr="00BA3FBD" w:rsidRDefault="008A305D" w:rsidP="008A305D">
      <w:pPr>
        <w:numPr>
          <w:ilvl w:val="0"/>
          <w:numId w:val="1"/>
        </w:numPr>
        <w:autoSpaceDE w:val="0"/>
        <w:autoSpaceDN w:val="0"/>
        <w:adjustRightInd w:val="0"/>
        <w:ind w:left="709" w:hanging="709"/>
        <w:rPr>
          <w:rFonts w:eastAsia="Calibri"/>
          <w:color w:val="000000"/>
          <w:sz w:val="22"/>
          <w:szCs w:val="22"/>
        </w:rPr>
      </w:pPr>
      <w:r>
        <w:rPr>
          <w:rFonts w:eastAsia="Calibri"/>
          <w:b/>
          <w:bCs/>
          <w:color w:val="000000"/>
          <w:sz w:val="22"/>
          <w:szCs w:val="22"/>
        </w:rPr>
        <w:t>m</w:t>
      </w:r>
      <w:r w:rsidRPr="00BA3FBD">
        <w:rPr>
          <w:rFonts w:eastAsia="Calibri"/>
          <w:b/>
          <w:bCs/>
          <w:color w:val="000000"/>
          <w:sz w:val="22"/>
          <w:szCs w:val="22"/>
        </w:rPr>
        <w:t xml:space="preserve">ielodisplazinėms ar mieloproliferacinėms ligoms (MDS/MPL) gydyti. </w:t>
      </w:r>
      <w:r w:rsidRPr="00BA3FBD">
        <w:rPr>
          <w:rFonts w:eastAsia="Calibri"/>
          <w:color w:val="000000"/>
          <w:sz w:val="22"/>
          <w:szCs w:val="22"/>
        </w:rPr>
        <w:t>Tai kraujo ligos, kurių metu kai kurios kraujo ląstelės pradeda daugintis nekontroliuojamos. Imatinib Actavis Group slopina šių ląstelių augimą, sergant tam tikrais šių ligų potipiais</w:t>
      </w:r>
      <w:r>
        <w:rPr>
          <w:rFonts w:eastAsia="Calibri"/>
          <w:color w:val="000000"/>
          <w:sz w:val="22"/>
          <w:szCs w:val="22"/>
        </w:rPr>
        <w:t>;</w:t>
      </w:r>
      <w:r w:rsidRPr="00BA3FBD">
        <w:rPr>
          <w:rFonts w:eastAsia="Calibri"/>
          <w:color w:val="000000"/>
          <w:sz w:val="22"/>
          <w:szCs w:val="22"/>
        </w:rPr>
        <w:t xml:space="preserve"> </w:t>
      </w:r>
    </w:p>
    <w:p w14:paraId="1600A895" w14:textId="77777777" w:rsidR="008A305D" w:rsidRPr="00BA3FBD" w:rsidRDefault="008A305D" w:rsidP="008A305D">
      <w:pPr>
        <w:numPr>
          <w:ilvl w:val="0"/>
          <w:numId w:val="1"/>
        </w:numPr>
        <w:autoSpaceDE w:val="0"/>
        <w:autoSpaceDN w:val="0"/>
        <w:adjustRightInd w:val="0"/>
        <w:ind w:left="709" w:hanging="709"/>
        <w:rPr>
          <w:rFonts w:eastAsia="Calibri"/>
          <w:color w:val="000000"/>
          <w:sz w:val="22"/>
          <w:szCs w:val="22"/>
        </w:rPr>
      </w:pPr>
      <w:r>
        <w:rPr>
          <w:rFonts w:eastAsia="Calibri"/>
          <w:b/>
          <w:bCs/>
          <w:color w:val="000000"/>
          <w:sz w:val="22"/>
          <w:szCs w:val="22"/>
        </w:rPr>
        <w:t>h</w:t>
      </w:r>
      <w:r w:rsidRPr="00BA3FBD">
        <w:rPr>
          <w:rFonts w:eastAsia="Calibri"/>
          <w:b/>
          <w:bCs/>
          <w:color w:val="000000"/>
          <w:sz w:val="22"/>
          <w:szCs w:val="22"/>
        </w:rPr>
        <w:t xml:space="preserve">ipereozinofilijos sindromui (HES) ir (arba) lėtinei eozinofilinei leukemijai (LEL) gydyti. </w:t>
      </w:r>
      <w:r w:rsidRPr="00BA3FBD">
        <w:rPr>
          <w:rFonts w:eastAsia="Calibri"/>
          <w:color w:val="000000"/>
          <w:sz w:val="22"/>
          <w:szCs w:val="22"/>
        </w:rPr>
        <w:t>Tai yra kraujo ligos, kurių metu kai kurios kraujo ląstelės (vadinamos eozinofilais) pradeda daugintis nekontroliuojamos. Imatinib Actavis Group slopina šių ląstelių augimą, sergant tam tikrais šių ligų potipiais</w:t>
      </w:r>
      <w:r>
        <w:rPr>
          <w:rFonts w:eastAsia="Calibri"/>
          <w:color w:val="000000"/>
          <w:sz w:val="22"/>
          <w:szCs w:val="22"/>
        </w:rPr>
        <w:t>;</w:t>
      </w:r>
      <w:r w:rsidRPr="00BA3FBD">
        <w:rPr>
          <w:rFonts w:eastAsia="Calibri"/>
          <w:color w:val="000000"/>
          <w:sz w:val="22"/>
          <w:szCs w:val="22"/>
        </w:rPr>
        <w:t xml:space="preserve"> </w:t>
      </w:r>
    </w:p>
    <w:p w14:paraId="325027A8" w14:textId="77777777" w:rsidR="008A305D" w:rsidRPr="00BA3FBD" w:rsidRDefault="008A305D" w:rsidP="008A305D">
      <w:pPr>
        <w:numPr>
          <w:ilvl w:val="0"/>
          <w:numId w:val="8"/>
        </w:numPr>
        <w:rPr>
          <w:color w:val="000000"/>
          <w:sz w:val="22"/>
          <w:szCs w:val="22"/>
        </w:rPr>
      </w:pPr>
      <w:r>
        <w:rPr>
          <w:b/>
          <w:color w:val="000000"/>
          <w:sz w:val="22"/>
          <w:szCs w:val="22"/>
        </w:rPr>
        <w:t>v</w:t>
      </w:r>
      <w:r w:rsidRPr="00BA3FBD">
        <w:rPr>
          <w:b/>
          <w:color w:val="000000"/>
          <w:sz w:val="22"/>
          <w:szCs w:val="22"/>
        </w:rPr>
        <w:t>irškinimo trakto stromos navikui (</w:t>
      </w:r>
      <w:r w:rsidRPr="0045031A">
        <w:rPr>
          <w:b/>
          <w:color w:val="000000"/>
          <w:sz w:val="22"/>
          <w:szCs w:val="22"/>
        </w:rPr>
        <w:t>ang. gast</w:t>
      </w:r>
      <w:r>
        <w:rPr>
          <w:b/>
          <w:color w:val="000000"/>
          <w:sz w:val="22"/>
          <w:szCs w:val="22"/>
        </w:rPr>
        <w:t>rointestinal stromal tumor, GIST</w:t>
      </w:r>
      <w:r w:rsidRPr="00BA3FBD">
        <w:rPr>
          <w:b/>
          <w:color w:val="000000"/>
          <w:sz w:val="22"/>
          <w:szCs w:val="22"/>
        </w:rPr>
        <w:t xml:space="preserve">) </w:t>
      </w:r>
      <w:r w:rsidRPr="00BA3FBD">
        <w:rPr>
          <w:color w:val="000000"/>
          <w:sz w:val="22"/>
          <w:szCs w:val="22"/>
        </w:rPr>
        <w:t>gydyti</w:t>
      </w:r>
      <w:r w:rsidRPr="00BA3FBD">
        <w:rPr>
          <w:b/>
          <w:color w:val="000000"/>
          <w:sz w:val="22"/>
          <w:szCs w:val="22"/>
        </w:rPr>
        <w:t>.</w:t>
      </w:r>
      <w:r w:rsidRPr="00BA3FBD">
        <w:rPr>
          <w:color w:val="000000"/>
          <w:sz w:val="22"/>
          <w:szCs w:val="22"/>
        </w:rPr>
        <w:t xml:space="preserve"> </w:t>
      </w:r>
      <w:r>
        <w:rPr>
          <w:color w:val="000000"/>
          <w:sz w:val="22"/>
          <w:szCs w:val="22"/>
        </w:rPr>
        <w:t>GIST</w:t>
      </w:r>
      <w:r w:rsidRPr="00BA3FBD">
        <w:rPr>
          <w:color w:val="000000"/>
          <w:sz w:val="22"/>
          <w:szCs w:val="22"/>
        </w:rPr>
        <w:t xml:space="preserve"> – tai skrandžio ir žarnyno vėžys. Jis atsiranda dėl nekontroliuojamo šių organų pagalbinio audinio ląstelių augimo</w:t>
      </w:r>
      <w:r>
        <w:rPr>
          <w:color w:val="000000"/>
          <w:sz w:val="22"/>
          <w:szCs w:val="22"/>
        </w:rPr>
        <w:t>;</w:t>
      </w:r>
    </w:p>
    <w:p w14:paraId="480E3577" w14:textId="77777777" w:rsidR="008A305D" w:rsidRPr="00BA3FBD" w:rsidRDefault="008A305D" w:rsidP="008A305D">
      <w:pPr>
        <w:numPr>
          <w:ilvl w:val="0"/>
          <w:numId w:val="1"/>
        </w:numPr>
        <w:autoSpaceDE w:val="0"/>
        <w:autoSpaceDN w:val="0"/>
        <w:adjustRightInd w:val="0"/>
        <w:ind w:left="709" w:hanging="709"/>
        <w:rPr>
          <w:rFonts w:eastAsia="Calibri"/>
          <w:color w:val="000000"/>
          <w:sz w:val="22"/>
          <w:szCs w:val="22"/>
        </w:rPr>
      </w:pPr>
      <w:r>
        <w:rPr>
          <w:rFonts w:eastAsia="Calibri"/>
          <w:b/>
          <w:bCs/>
          <w:color w:val="000000"/>
          <w:sz w:val="22"/>
          <w:szCs w:val="22"/>
        </w:rPr>
        <w:t>i</w:t>
      </w:r>
      <w:r w:rsidRPr="00BA3FBD">
        <w:rPr>
          <w:rFonts w:eastAsia="Calibri"/>
          <w:b/>
          <w:bCs/>
          <w:color w:val="000000"/>
          <w:sz w:val="22"/>
          <w:szCs w:val="22"/>
        </w:rPr>
        <w:t xml:space="preserve">škiliajai dermatofibrosarkomai </w:t>
      </w:r>
      <w:r w:rsidRPr="00BA3FBD">
        <w:rPr>
          <w:rFonts w:eastAsia="Calibri"/>
          <w:i/>
          <w:iCs/>
          <w:color w:val="000000"/>
          <w:sz w:val="22"/>
          <w:szCs w:val="22"/>
        </w:rPr>
        <w:t xml:space="preserve">(dermatofibrosarcoma protuberans </w:t>
      </w:r>
      <w:r w:rsidRPr="00BA3FBD">
        <w:rPr>
          <w:rFonts w:eastAsia="Calibri"/>
          <w:color w:val="000000"/>
          <w:sz w:val="22"/>
          <w:szCs w:val="22"/>
        </w:rPr>
        <w:t xml:space="preserve">- </w:t>
      </w:r>
      <w:r w:rsidRPr="00BA3FBD">
        <w:rPr>
          <w:rFonts w:eastAsia="Calibri"/>
          <w:b/>
          <w:bCs/>
          <w:color w:val="000000"/>
          <w:sz w:val="22"/>
          <w:szCs w:val="22"/>
        </w:rPr>
        <w:t>DFSP</w:t>
      </w:r>
      <w:r w:rsidRPr="00BA3FBD">
        <w:rPr>
          <w:rFonts w:eastAsia="Calibri"/>
          <w:color w:val="000000"/>
          <w:sz w:val="22"/>
          <w:szCs w:val="22"/>
        </w:rPr>
        <w:t xml:space="preserve">) gydyti. DFSP - tai po oda esančio audinio vėžys, kurio metu kai kurios ląstelės pradeda nekontroliuojamai augti. Imatinib Actavis Group slopina šių ląstelių augimą. </w:t>
      </w:r>
    </w:p>
    <w:p w14:paraId="64260379" w14:textId="77777777" w:rsidR="008A305D" w:rsidRPr="00BA3FBD" w:rsidRDefault="008A305D" w:rsidP="008A305D">
      <w:pPr>
        <w:autoSpaceDE w:val="0"/>
        <w:autoSpaceDN w:val="0"/>
        <w:adjustRightInd w:val="0"/>
        <w:rPr>
          <w:sz w:val="22"/>
          <w:szCs w:val="22"/>
        </w:rPr>
      </w:pPr>
      <w:r w:rsidRPr="00BA3FBD">
        <w:rPr>
          <w:sz w:val="22"/>
          <w:szCs w:val="22"/>
        </w:rPr>
        <w:t>Toliau šiame lapelyje apibūdinant minėtas ligas bus naudojamos nurodytos santrumpos.</w:t>
      </w:r>
    </w:p>
    <w:p w14:paraId="216032B8" w14:textId="77777777" w:rsidR="008A305D" w:rsidRPr="00BA3FBD" w:rsidRDefault="008A305D" w:rsidP="008A305D">
      <w:pPr>
        <w:autoSpaceDE w:val="0"/>
        <w:autoSpaceDN w:val="0"/>
        <w:adjustRightInd w:val="0"/>
        <w:rPr>
          <w:rFonts w:eastAsia="Calibri"/>
          <w:color w:val="000000"/>
          <w:sz w:val="22"/>
          <w:szCs w:val="22"/>
        </w:rPr>
      </w:pPr>
    </w:p>
    <w:p w14:paraId="028676B1"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 Jums kiltų kokių nors klausimų apie Imatinib Actavis Group veikimą arba kodėl Jums jį paskyrė, klauskite gydytojo. </w:t>
      </w:r>
    </w:p>
    <w:p w14:paraId="7B842077" w14:textId="77777777" w:rsidR="008A305D" w:rsidRPr="00BA3FBD" w:rsidRDefault="008A305D" w:rsidP="008A305D">
      <w:pPr>
        <w:autoSpaceDE w:val="0"/>
        <w:autoSpaceDN w:val="0"/>
        <w:adjustRightInd w:val="0"/>
        <w:rPr>
          <w:rFonts w:eastAsia="Calibri"/>
          <w:sz w:val="22"/>
          <w:szCs w:val="22"/>
        </w:rPr>
      </w:pPr>
    </w:p>
    <w:p w14:paraId="16DE6FF8" w14:textId="77777777" w:rsidR="008A305D" w:rsidRPr="00BA3FBD" w:rsidRDefault="008A305D" w:rsidP="008A305D">
      <w:pPr>
        <w:autoSpaceDE w:val="0"/>
        <w:autoSpaceDN w:val="0"/>
        <w:adjustRightInd w:val="0"/>
        <w:rPr>
          <w:rFonts w:eastAsia="Calibri"/>
          <w:sz w:val="22"/>
          <w:szCs w:val="22"/>
        </w:rPr>
      </w:pPr>
    </w:p>
    <w:p w14:paraId="6E7A355D" w14:textId="77777777" w:rsidR="008A305D" w:rsidRPr="00BA3FBD" w:rsidRDefault="008A305D" w:rsidP="008A305D">
      <w:pPr>
        <w:pStyle w:val="Sraopastraipa"/>
        <w:numPr>
          <w:ilvl w:val="0"/>
          <w:numId w:val="2"/>
        </w:numPr>
        <w:autoSpaceDE w:val="0"/>
        <w:autoSpaceDN w:val="0"/>
        <w:adjustRightInd w:val="0"/>
        <w:ind w:hanging="720"/>
        <w:rPr>
          <w:rFonts w:eastAsia="Calibri"/>
          <w:b/>
          <w:sz w:val="22"/>
          <w:szCs w:val="22"/>
        </w:rPr>
      </w:pPr>
      <w:r w:rsidRPr="00BA3FBD">
        <w:rPr>
          <w:rFonts w:eastAsia="Calibri"/>
          <w:b/>
          <w:bCs/>
          <w:sz w:val="22"/>
          <w:szCs w:val="22"/>
        </w:rPr>
        <w:t xml:space="preserve">Kas žinotina prieš vartojant Imatinib Actavis Group </w:t>
      </w:r>
    </w:p>
    <w:p w14:paraId="615E1A6F" w14:textId="77777777" w:rsidR="008A305D" w:rsidRPr="00BA3FBD" w:rsidRDefault="008A305D" w:rsidP="008A305D">
      <w:pPr>
        <w:autoSpaceDE w:val="0"/>
        <w:autoSpaceDN w:val="0"/>
        <w:adjustRightInd w:val="0"/>
        <w:rPr>
          <w:rFonts w:eastAsia="Calibri"/>
          <w:sz w:val="22"/>
          <w:szCs w:val="22"/>
        </w:rPr>
      </w:pPr>
    </w:p>
    <w:p w14:paraId="7228F282"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Imatinib Actavis Group Jums paskirs tik gydytojas, turintis kraujo vėžių arba solidinių navikų gydymo vaistais patirties. </w:t>
      </w:r>
    </w:p>
    <w:p w14:paraId="27EC4B6E" w14:textId="77777777" w:rsidR="008A305D" w:rsidRPr="00BA3FBD" w:rsidRDefault="008A305D" w:rsidP="008A305D">
      <w:pPr>
        <w:autoSpaceDE w:val="0"/>
        <w:autoSpaceDN w:val="0"/>
        <w:adjustRightInd w:val="0"/>
        <w:rPr>
          <w:rFonts w:eastAsia="Calibri"/>
          <w:sz w:val="22"/>
          <w:szCs w:val="22"/>
        </w:rPr>
      </w:pPr>
    </w:p>
    <w:p w14:paraId="2F168B83"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Tiksliai laikykitės visų gydytojo nurodymų, net jei jie skiriasi nuo bendrosios šiame lapelyje esančios informacijos. </w:t>
      </w:r>
    </w:p>
    <w:p w14:paraId="0EF2DE2F" w14:textId="77777777" w:rsidR="008A305D" w:rsidRPr="00BA3FBD" w:rsidRDefault="008A305D" w:rsidP="008A305D">
      <w:pPr>
        <w:autoSpaceDE w:val="0"/>
        <w:autoSpaceDN w:val="0"/>
        <w:adjustRightInd w:val="0"/>
        <w:rPr>
          <w:rFonts w:eastAsia="Calibri"/>
          <w:b/>
          <w:bCs/>
          <w:sz w:val="22"/>
          <w:szCs w:val="22"/>
        </w:rPr>
      </w:pPr>
    </w:p>
    <w:p w14:paraId="16427064"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Imatinib Actavis Group vartoti negalima: </w:t>
      </w:r>
    </w:p>
    <w:p w14:paraId="0DDE7277" w14:textId="77777777" w:rsidR="008A305D" w:rsidRPr="00BA3FBD" w:rsidRDefault="008A305D" w:rsidP="008A305D">
      <w:pPr>
        <w:pStyle w:val="Sraopastraipa"/>
        <w:numPr>
          <w:ilvl w:val="0"/>
          <w:numId w:val="1"/>
        </w:numPr>
        <w:autoSpaceDE w:val="0"/>
        <w:autoSpaceDN w:val="0"/>
        <w:adjustRightInd w:val="0"/>
        <w:ind w:left="567" w:hanging="567"/>
        <w:rPr>
          <w:rFonts w:eastAsia="Calibri"/>
          <w:sz w:val="22"/>
          <w:szCs w:val="22"/>
        </w:rPr>
      </w:pPr>
      <w:r w:rsidRPr="00BA3FBD">
        <w:rPr>
          <w:rFonts w:eastAsia="Calibri"/>
          <w:sz w:val="22"/>
          <w:szCs w:val="22"/>
        </w:rPr>
        <w:t xml:space="preserve">jeigu yra alergija imatinibui arba bet kuriai pagalbinei šio vaisto medžiagai (jos išvardytos 6 skyriuje). </w:t>
      </w:r>
    </w:p>
    <w:p w14:paraId="29D9F34F" w14:textId="77777777" w:rsidR="008A305D" w:rsidRPr="00BA3FBD" w:rsidRDefault="008A305D" w:rsidP="008A305D">
      <w:pPr>
        <w:autoSpaceDE w:val="0"/>
        <w:autoSpaceDN w:val="0"/>
        <w:adjustRightInd w:val="0"/>
        <w:rPr>
          <w:rFonts w:eastAsia="Calibri"/>
          <w:sz w:val="22"/>
          <w:szCs w:val="22"/>
        </w:rPr>
      </w:pPr>
    </w:p>
    <w:p w14:paraId="2957DA65"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 ši sąlyga Jums tinka, </w:t>
      </w:r>
      <w:r w:rsidRPr="00BA3FBD">
        <w:rPr>
          <w:rFonts w:eastAsia="Calibri"/>
          <w:b/>
          <w:bCs/>
          <w:sz w:val="22"/>
          <w:szCs w:val="22"/>
        </w:rPr>
        <w:t xml:space="preserve">nevartokite Imatinib Actavis Group ir apie tai pasakykite gydytojui. </w:t>
      </w:r>
    </w:p>
    <w:p w14:paraId="2A620D1D" w14:textId="77777777" w:rsidR="008A305D" w:rsidRPr="00BA3FBD" w:rsidRDefault="008A305D" w:rsidP="008A305D">
      <w:pPr>
        <w:autoSpaceDE w:val="0"/>
        <w:autoSpaceDN w:val="0"/>
        <w:adjustRightInd w:val="0"/>
        <w:rPr>
          <w:rFonts w:eastAsia="Calibri"/>
          <w:sz w:val="22"/>
          <w:szCs w:val="22"/>
        </w:rPr>
      </w:pPr>
    </w:p>
    <w:p w14:paraId="0E9DE2C3"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Jeigu manote, kad galite būti alergiškas, bet nesate tikras, kreipkitės patarimo į gydytoją. </w:t>
      </w:r>
    </w:p>
    <w:p w14:paraId="5A11026B" w14:textId="77777777" w:rsidR="008A305D" w:rsidRPr="00BA3FBD" w:rsidRDefault="008A305D" w:rsidP="008A305D">
      <w:pPr>
        <w:autoSpaceDE w:val="0"/>
        <w:autoSpaceDN w:val="0"/>
        <w:adjustRightInd w:val="0"/>
        <w:rPr>
          <w:rFonts w:eastAsia="Calibri"/>
          <w:b/>
          <w:bCs/>
          <w:sz w:val="22"/>
          <w:szCs w:val="22"/>
        </w:rPr>
      </w:pPr>
    </w:p>
    <w:p w14:paraId="5996A9D2"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Įspėjimai ir atsargumo priemonės </w:t>
      </w:r>
    </w:p>
    <w:p w14:paraId="03FDCD29"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Pasitarkite su gydytoju,</w:t>
      </w:r>
      <w:r w:rsidR="00741016">
        <w:rPr>
          <w:rFonts w:eastAsia="Calibri"/>
          <w:sz w:val="22"/>
          <w:szCs w:val="22"/>
        </w:rPr>
        <w:t xml:space="preserve"> vaistininku arba slaugytoju,</w:t>
      </w:r>
      <w:r w:rsidRPr="00BA3FBD">
        <w:rPr>
          <w:rFonts w:eastAsia="Calibri"/>
          <w:sz w:val="22"/>
          <w:szCs w:val="22"/>
        </w:rPr>
        <w:t xml:space="preserve"> prieš pradėdami vartoti Imatinib Actavis Group: </w:t>
      </w:r>
    </w:p>
    <w:p w14:paraId="3AB458A4" w14:textId="77777777" w:rsidR="008A305D" w:rsidRPr="00BA3FBD" w:rsidRDefault="008A305D" w:rsidP="0012495D">
      <w:pPr>
        <w:autoSpaceDE w:val="0"/>
        <w:autoSpaceDN w:val="0"/>
        <w:adjustRightInd w:val="0"/>
        <w:ind w:left="567" w:hanging="567"/>
        <w:rPr>
          <w:rFonts w:eastAsia="Calibri"/>
          <w:sz w:val="22"/>
          <w:szCs w:val="22"/>
        </w:rPr>
      </w:pPr>
      <w:r w:rsidRPr="00BA3FBD">
        <w:rPr>
          <w:rFonts w:eastAsia="Calibri"/>
          <w:sz w:val="22"/>
          <w:szCs w:val="22"/>
        </w:rPr>
        <w:t>-</w:t>
      </w:r>
      <w:r w:rsidRPr="00BA3FBD">
        <w:rPr>
          <w:rFonts w:eastAsia="Calibri"/>
          <w:sz w:val="22"/>
          <w:szCs w:val="22"/>
        </w:rPr>
        <w:tab/>
        <w:t xml:space="preserve">jeigu Jums yra ar kada nors yra buvę kepenų, inkstų ar širdies sutrikimų, </w:t>
      </w:r>
    </w:p>
    <w:p w14:paraId="33B94EA4" w14:textId="77777777" w:rsidR="00741016" w:rsidRDefault="008A305D" w:rsidP="0012495D">
      <w:pPr>
        <w:autoSpaceDE w:val="0"/>
        <w:autoSpaceDN w:val="0"/>
        <w:adjustRightInd w:val="0"/>
        <w:ind w:left="567" w:hanging="567"/>
        <w:rPr>
          <w:rFonts w:eastAsia="Calibri"/>
          <w:sz w:val="22"/>
          <w:szCs w:val="22"/>
        </w:rPr>
      </w:pPr>
      <w:r w:rsidRPr="00BA3FBD">
        <w:rPr>
          <w:rFonts w:eastAsia="Calibri"/>
          <w:sz w:val="22"/>
          <w:szCs w:val="22"/>
        </w:rPr>
        <w:t>-</w:t>
      </w:r>
      <w:r w:rsidRPr="00BA3FBD">
        <w:rPr>
          <w:rFonts w:eastAsia="Calibri"/>
          <w:sz w:val="22"/>
          <w:szCs w:val="22"/>
        </w:rPr>
        <w:tab/>
        <w:t xml:space="preserve">jeigu dėl pašalintos skydliaukės vartojate vaistinio preparato levotiroksino. </w:t>
      </w:r>
    </w:p>
    <w:p w14:paraId="670AB2DB" w14:textId="77777777" w:rsidR="00741016" w:rsidRDefault="00741016" w:rsidP="00741016">
      <w:pPr>
        <w:pStyle w:val="Sraopastraipa"/>
        <w:numPr>
          <w:ilvl w:val="0"/>
          <w:numId w:val="1"/>
        </w:numPr>
        <w:autoSpaceDE w:val="0"/>
        <w:autoSpaceDN w:val="0"/>
        <w:adjustRightInd w:val="0"/>
        <w:ind w:left="567" w:hanging="567"/>
        <w:rPr>
          <w:rFonts w:eastAsia="Calibri"/>
          <w:sz w:val="22"/>
          <w:szCs w:val="22"/>
        </w:rPr>
      </w:pPr>
      <w:r w:rsidRPr="00741016">
        <w:rPr>
          <w:rFonts w:eastAsia="Calibri"/>
          <w:sz w:val="22"/>
          <w:szCs w:val="22"/>
        </w:rPr>
        <w:t xml:space="preserve">jums kada nors buvo diagnozuota hepatito B infekcija arba šiuo metu galite būti užsikrėtę šiuo virusu. Tai būtina, nes </w:t>
      </w:r>
      <w:r w:rsidR="00EF2EAE">
        <w:rPr>
          <w:rFonts w:eastAsia="Calibri"/>
          <w:sz w:val="22"/>
          <w:szCs w:val="22"/>
        </w:rPr>
        <w:t>Imatinib Actavis Group</w:t>
      </w:r>
      <w:r w:rsidRPr="00741016">
        <w:rPr>
          <w:rFonts w:eastAsia="Calibri"/>
          <w:sz w:val="22"/>
          <w:szCs w:val="22"/>
        </w:rPr>
        <w:t xml:space="preserve"> gali vėl suaktyvinti hepatito B virusą, o kai kuriais atvejais tai gali būti mirtina. Prieš pradedant gydymą, gydytojas atidžiai patikrins, ar pacientas neturi šios infekcijos požymių.</w:t>
      </w:r>
    </w:p>
    <w:p w14:paraId="207C6E20" w14:textId="77777777" w:rsidR="008A305D" w:rsidRPr="009E05E3" w:rsidRDefault="008A305D" w:rsidP="00741016">
      <w:pPr>
        <w:autoSpaceDE w:val="0"/>
        <w:autoSpaceDN w:val="0"/>
        <w:adjustRightInd w:val="0"/>
        <w:rPr>
          <w:rFonts w:eastAsia="Calibri"/>
          <w:sz w:val="22"/>
          <w:szCs w:val="22"/>
        </w:rPr>
      </w:pPr>
      <w:r w:rsidRPr="009E05E3">
        <w:rPr>
          <w:rFonts w:eastAsia="Calibri"/>
          <w:sz w:val="22"/>
          <w:szCs w:val="22"/>
        </w:rPr>
        <w:t xml:space="preserve">Jei bet kuri šių sąlygų Jums tinka, </w:t>
      </w:r>
      <w:r w:rsidRPr="009E05E3">
        <w:rPr>
          <w:rFonts w:eastAsia="Calibri"/>
          <w:b/>
          <w:bCs/>
          <w:sz w:val="22"/>
          <w:szCs w:val="22"/>
        </w:rPr>
        <w:t>prieš pradėdami vartoti Imatinib Actavis Group, pasakykite gydytojui</w:t>
      </w:r>
      <w:r w:rsidRPr="009E05E3">
        <w:rPr>
          <w:rFonts w:eastAsia="Calibri"/>
          <w:sz w:val="22"/>
          <w:szCs w:val="22"/>
        </w:rPr>
        <w:t xml:space="preserve">. </w:t>
      </w:r>
    </w:p>
    <w:p w14:paraId="6099910C" w14:textId="77777777" w:rsidR="008A305D" w:rsidRPr="00BA3FBD" w:rsidRDefault="008A305D" w:rsidP="008A305D">
      <w:pPr>
        <w:autoSpaceDE w:val="0"/>
        <w:autoSpaceDN w:val="0"/>
        <w:adjustRightInd w:val="0"/>
        <w:rPr>
          <w:rFonts w:eastAsia="Calibri"/>
          <w:b/>
          <w:bCs/>
          <w:sz w:val="22"/>
          <w:szCs w:val="22"/>
        </w:rPr>
      </w:pPr>
    </w:p>
    <w:p w14:paraId="7E5E67E0"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Imatinib Actavis Group vartojimo metu nedelsdami kreipkitės į gydytoją, </w:t>
      </w:r>
      <w:r w:rsidRPr="00BA3FBD">
        <w:rPr>
          <w:rFonts w:eastAsia="Calibri"/>
          <w:sz w:val="22"/>
          <w:szCs w:val="22"/>
        </w:rPr>
        <w:t xml:space="preserve">jeigu Jums labai greitai padidėjo kūno svoris. Dėl Imatinib Actavis Group poveikio Jūsų kūne gali kauptis skysčių (pasireikšti sunkus skysčių susilaikymas). </w:t>
      </w:r>
    </w:p>
    <w:p w14:paraId="06C3F982" w14:textId="77777777" w:rsidR="008A305D" w:rsidRPr="00BA3FBD" w:rsidRDefault="008A305D" w:rsidP="008A305D">
      <w:pPr>
        <w:autoSpaceDE w:val="0"/>
        <w:autoSpaceDN w:val="0"/>
        <w:adjustRightInd w:val="0"/>
        <w:rPr>
          <w:rFonts w:eastAsia="Calibri"/>
          <w:sz w:val="22"/>
          <w:szCs w:val="22"/>
        </w:rPr>
      </w:pPr>
    </w:p>
    <w:p w14:paraId="2747B0BE"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Jums vartojant Imatinib Actavis Group, gydytojas reguliariai tikrins, ar vaistinis preparatas veikia. Jums taip pat reguliariai tirs kraują ir kūno svorį. </w:t>
      </w:r>
    </w:p>
    <w:p w14:paraId="04542B90" w14:textId="77777777" w:rsidR="008A305D" w:rsidRPr="00BA3FBD" w:rsidRDefault="008A305D" w:rsidP="008A305D">
      <w:pPr>
        <w:autoSpaceDE w:val="0"/>
        <w:autoSpaceDN w:val="0"/>
        <w:adjustRightInd w:val="0"/>
        <w:rPr>
          <w:rFonts w:eastAsia="Calibri"/>
          <w:b/>
          <w:bCs/>
          <w:sz w:val="22"/>
          <w:szCs w:val="22"/>
        </w:rPr>
      </w:pPr>
    </w:p>
    <w:p w14:paraId="2C17F22E"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Vaikams ir paaugliams </w:t>
      </w:r>
    </w:p>
    <w:p w14:paraId="2DB29166"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Imatinib Actavis Group taip pat gydomi vaikai ir paaugliai, sergantys LML. Vartojimo patirties vaikams, jaunesniems kaip 2 metų ir sergantiems LML, nėra. </w:t>
      </w:r>
      <w:r w:rsidRPr="00BA3FBD">
        <w:rPr>
          <w:sz w:val="22"/>
          <w:szCs w:val="22"/>
        </w:rPr>
        <w:t xml:space="preserve">Vartojimo patirties vaikams ir paaugliams, sergantiems Ph teigiama ŪLL, yra nedaug, o vartojimo patirties vaikams ir paaugliams, sergantiems MDS/MPL, DFSP, </w:t>
      </w:r>
      <w:r>
        <w:rPr>
          <w:sz w:val="22"/>
          <w:szCs w:val="22"/>
        </w:rPr>
        <w:t>GIST</w:t>
      </w:r>
      <w:r w:rsidRPr="00BA3FBD">
        <w:rPr>
          <w:sz w:val="22"/>
          <w:szCs w:val="22"/>
        </w:rPr>
        <w:t xml:space="preserve"> ir HES/LEL, yra labai nedaug.</w:t>
      </w:r>
    </w:p>
    <w:p w14:paraId="3680C2DB" w14:textId="77777777" w:rsidR="008A305D" w:rsidRPr="00BA3FBD" w:rsidRDefault="008A305D" w:rsidP="008A305D">
      <w:pPr>
        <w:autoSpaceDE w:val="0"/>
        <w:autoSpaceDN w:val="0"/>
        <w:adjustRightInd w:val="0"/>
        <w:rPr>
          <w:rFonts w:eastAsia="Calibri"/>
          <w:sz w:val="22"/>
          <w:szCs w:val="22"/>
        </w:rPr>
      </w:pPr>
    </w:p>
    <w:p w14:paraId="04C02C5F"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Kai kurių vaikų ir paauglių, vartojančių Imatinib Actavis Group, augimas gali būti lėtesnis nei įprasta. Todėl gydytojas tikrins augimą įprastų vizitų metu. </w:t>
      </w:r>
    </w:p>
    <w:p w14:paraId="5B72DFB3" w14:textId="77777777" w:rsidR="008A305D" w:rsidRPr="00BA3FBD" w:rsidRDefault="008A305D" w:rsidP="008A305D">
      <w:pPr>
        <w:autoSpaceDE w:val="0"/>
        <w:autoSpaceDN w:val="0"/>
        <w:adjustRightInd w:val="0"/>
        <w:rPr>
          <w:rFonts w:eastAsia="Calibri"/>
          <w:b/>
          <w:sz w:val="22"/>
          <w:szCs w:val="22"/>
        </w:rPr>
      </w:pPr>
    </w:p>
    <w:p w14:paraId="60FCAFCA" w14:textId="77777777" w:rsidR="008A305D" w:rsidRPr="00BA3FBD" w:rsidRDefault="008A305D" w:rsidP="008A305D">
      <w:pPr>
        <w:autoSpaceDE w:val="0"/>
        <w:autoSpaceDN w:val="0"/>
        <w:adjustRightInd w:val="0"/>
        <w:rPr>
          <w:rFonts w:eastAsia="Calibri"/>
          <w:b/>
          <w:sz w:val="22"/>
          <w:szCs w:val="22"/>
        </w:rPr>
      </w:pPr>
      <w:r w:rsidRPr="00BA3FBD">
        <w:rPr>
          <w:rFonts w:eastAsia="Calibri"/>
          <w:b/>
          <w:sz w:val="22"/>
          <w:szCs w:val="22"/>
        </w:rPr>
        <w:t>Kiti vaistai ir Imatinib Actavis Group</w:t>
      </w:r>
    </w:p>
    <w:p w14:paraId="58F0C973"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Jeigu vartojate ar neseniai vartojote kitų vaistų arba dėl to nesate tikri, įskaitant įsigytus be recepto (tokių kaip paracetamolio) ir taip pat augalinių (tokių kaip jonažolės preparatų), apie tai pasakykite gydytojui arba vaistininkui. Kai kurie vaistiniai preparatai vartojami kartu gali sąveikauti su Imatinib Actavis Group. Jie gali padidinti arba sumažinti Imatinib Actavis Group poveikį, arba padidindami nepageidaujamų reiškinių pasireiškimo dažnį, arba mažindami Imatinib Actavis Group veiksmingumą. Imatinib Actavis Group gali panašiai veikti kai kuriuos kitus vaistinius preparatus. </w:t>
      </w:r>
    </w:p>
    <w:p w14:paraId="286D1E4A" w14:textId="77777777" w:rsidR="008A305D" w:rsidRPr="00BA3FBD" w:rsidRDefault="008A305D" w:rsidP="008A305D">
      <w:pPr>
        <w:autoSpaceDE w:val="0"/>
        <w:autoSpaceDN w:val="0"/>
        <w:adjustRightInd w:val="0"/>
        <w:rPr>
          <w:rFonts w:eastAsia="Calibri"/>
          <w:sz w:val="22"/>
          <w:szCs w:val="22"/>
        </w:rPr>
      </w:pPr>
    </w:p>
    <w:p w14:paraId="7D2FCABB" w14:textId="77777777" w:rsidR="008A305D" w:rsidRPr="00BA3FBD" w:rsidRDefault="008A305D" w:rsidP="008A305D">
      <w:pPr>
        <w:autoSpaceDE w:val="0"/>
        <w:autoSpaceDN w:val="0"/>
        <w:adjustRightInd w:val="0"/>
        <w:rPr>
          <w:rFonts w:eastAsia="Calibri"/>
          <w:b/>
          <w:sz w:val="22"/>
          <w:szCs w:val="22"/>
        </w:rPr>
      </w:pPr>
      <w:r w:rsidRPr="00BA3FBD">
        <w:rPr>
          <w:rFonts w:eastAsia="Calibri"/>
          <w:sz w:val="22"/>
          <w:szCs w:val="22"/>
        </w:rPr>
        <w:t>Pasakykite gydytojui, jei vartojate vaistų, kurie apsaugo nuo kraujo krešulių susidarymo.</w:t>
      </w:r>
    </w:p>
    <w:p w14:paraId="2D815D93" w14:textId="77777777" w:rsidR="008A305D" w:rsidRPr="00BA3FBD" w:rsidRDefault="008A305D" w:rsidP="008A305D">
      <w:pPr>
        <w:autoSpaceDE w:val="0"/>
        <w:autoSpaceDN w:val="0"/>
        <w:adjustRightInd w:val="0"/>
        <w:rPr>
          <w:rFonts w:eastAsia="Calibri"/>
          <w:sz w:val="22"/>
          <w:szCs w:val="22"/>
        </w:rPr>
      </w:pPr>
    </w:p>
    <w:p w14:paraId="56EF8A9F"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lastRenderedPageBreak/>
        <w:t xml:space="preserve">Nėštumas, žindymo laikotarpis ir vaisingumas </w:t>
      </w:r>
    </w:p>
    <w:p w14:paraId="3EA5D4C5" w14:textId="77777777" w:rsidR="008A305D" w:rsidRPr="00BA3FBD" w:rsidRDefault="008A305D" w:rsidP="008A305D">
      <w:pPr>
        <w:autoSpaceDE w:val="0"/>
        <w:autoSpaceDN w:val="0"/>
        <w:adjustRightInd w:val="0"/>
        <w:spacing w:after="23"/>
        <w:ind w:left="720" w:hanging="720"/>
        <w:rPr>
          <w:rFonts w:eastAsia="Calibri"/>
          <w:sz w:val="22"/>
          <w:szCs w:val="22"/>
        </w:rPr>
      </w:pPr>
      <w:r w:rsidRPr="00BA3FBD">
        <w:rPr>
          <w:rFonts w:eastAsia="Calibri"/>
          <w:sz w:val="22"/>
          <w:szCs w:val="22"/>
        </w:rPr>
        <w:t>-</w:t>
      </w:r>
      <w:r w:rsidRPr="00BA3FBD">
        <w:rPr>
          <w:rFonts w:eastAsia="Calibri"/>
          <w:sz w:val="22"/>
          <w:szCs w:val="22"/>
        </w:rPr>
        <w:tab/>
        <w:t xml:space="preserve">Jeigu esate nėščia, žindote kūdikį, manote, kad galbūt esate nėščia arba planuojate pastoti, tai prieš vartodama šį vaistą pasitarkite su gydytoju. </w:t>
      </w:r>
    </w:p>
    <w:p w14:paraId="7AE06FB1" w14:textId="77777777" w:rsidR="008A305D" w:rsidRPr="00BA3FBD" w:rsidRDefault="008A305D" w:rsidP="008A305D">
      <w:pPr>
        <w:autoSpaceDE w:val="0"/>
        <w:autoSpaceDN w:val="0"/>
        <w:adjustRightInd w:val="0"/>
        <w:spacing w:after="23"/>
        <w:ind w:left="720" w:hanging="720"/>
        <w:rPr>
          <w:rFonts w:eastAsia="Calibri"/>
          <w:sz w:val="22"/>
          <w:szCs w:val="22"/>
        </w:rPr>
      </w:pPr>
      <w:r w:rsidRPr="00BA3FBD">
        <w:rPr>
          <w:rFonts w:eastAsia="Calibri"/>
          <w:sz w:val="22"/>
          <w:szCs w:val="22"/>
        </w:rPr>
        <w:t>-</w:t>
      </w:r>
      <w:r w:rsidRPr="00BA3FBD">
        <w:rPr>
          <w:rFonts w:eastAsia="Calibri"/>
          <w:sz w:val="22"/>
          <w:szCs w:val="22"/>
        </w:rPr>
        <w:tab/>
        <w:t xml:space="preserve">Imatinib Actavis Group nerekomenduojama vartoti nėščiosioms, nebent neišvengiama, nes tai gali pakenkti Jūsų kūdikiui. Gydytojas supažindins Jus su galima Imatinib Actavis Group vartojimo nėštumo laikotarpiu rizika. </w:t>
      </w:r>
    </w:p>
    <w:p w14:paraId="0F29C93F" w14:textId="77777777" w:rsidR="008A305D" w:rsidRPr="00BA3FBD" w:rsidRDefault="008A305D" w:rsidP="008A305D">
      <w:pPr>
        <w:autoSpaceDE w:val="0"/>
        <w:autoSpaceDN w:val="0"/>
        <w:adjustRightInd w:val="0"/>
        <w:spacing w:after="23"/>
        <w:ind w:left="720" w:hanging="720"/>
        <w:rPr>
          <w:rFonts w:eastAsia="Calibri"/>
          <w:sz w:val="22"/>
          <w:szCs w:val="22"/>
        </w:rPr>
      </w:pPr>
      <w:r w:rsidRPr="00BA3FBD">
        <w:rPr>
          <w:rFonts w:eastAsia="Calibri"/>
          <w:sz w:val="22"/>
          <w:szCs w:val="22"/>
        </w:rPr>
        <w:t>-</w:t>
      </w:r>
      <w:r w:rsidRPr="00BA3FBD">
        <w:rPr>
          <w:rFonts w:eastAsia="Calibri"/>
          <w:sz w:val="22"/>
          <w:szCs w:val="22"/>
        </w:rPr>
        <w:tab/>
        <w:t xml:space="preserve">Moterims, galinčioms pastoti, gydantis šiuo vaistu rekomenduojama taikyti efektyvias kontracepcijos priemones. </w:t>
      </w:r>
    </w:p>
    <w:p w14:paraId="511A3799" w14:textId="77777777" w:rsidR="008A305D" w:rsidRPr="00BA3FBD" w:rsidRDefault="008A305D" w:rsidP="008A305D">
      <w:pPr>
        <w:autoSpaceDE w:val="0"/>
        <w:autoSpaceDN w:val="0"/>
        <w:adjustRightInd w:val="0"/>
        <w:spacing w:after="23"/>
        <w:rPr>
          <w:rFonts w:eastAsia="Calibri"/>
          <w:sz w:val="22"/>
          <w:szCs w:val="22"/>
        </w:rPr>
      </w:pPr>
      <w:r w:rsidRPr="00BA3FBD">
        <w:rPr>
          <w:rFonts w:eastAsia="Calibri"/>
          <w:sz w:val="22"/>
          <w:szCs w:val="22"/>
        </w:rPr>
        <w:t>-</w:t>
      </w:r>
      <w:r w:rsidRPr="00BA3FBD">
        <w:rPr>
          <w:rFonts w:eastAsia="Calibri"/>
          <w:sz w:val="22"/>
          <w:szCs w:val="22"/>
        </w:rPr>
        <w:tab/>
        <w:t xml:space="preserve">Vartodama Imatinib Actavis Group, kūdikio nežindykite. </w:t>
      </w:r>
    </w:p>
    <w:p w14:paraId="75D3CDE2" w14:textId="77777777" w:rsidR="008A305D" w:rsidRPr="00BA3FBD" w:rsidRDefault="008A305D" w:rsidP="008A305D">
      <w:pPr>
        <w:autoSpaceDE w:val="0"/>
        <w:autoSpaceDN w:val="0"/>
        <w:adjustRightInd w:val="0"/>
        <w:ind w:left="720" w:hanging="720"/>
        <w:rPr>
          <w:rFonts w:eastAsia="Calibri"/>
          <w:sz w:val="22"/>
          <w:szCs w:val="22"/>
        </w:rPr>
      </w:pPr>
      <w:r w:rsidRPr="00BA3FBD">
        <w:rPr>
          <w:rFonts w:eastAsia="Calibri"/>
          <w:sz w:val="22"/>
          <w:szCs w:val="22"/>
        </w:rPr>
        <w:t>-</w:t>
      </w:r>
      <w:r w:rsidRPr="00BA3FBD">
        <w:rPr>
          <w:rFonts w:eastAsia="Calibri"/>
          <w:sz w:val="22"/>
          <w:szCs w:val="22"/>
        </w:rPr>
        <w:tab/>
        <w:t xml:space="preserve">Pacientai Imatinib Actavis Group vartojimo laikotarpiu dėl savo vaisingumo turi konsultuotis su gydytoju. </w:t>
      </w:r>
    </w:p>
    <w:p w14:paraId="598E471E" w14:textId="77777777" w:rsidR="008A305D" w:rsidRPr="00BA3FBD" w:rsidRDefault="008A305D" w:rsidP="008A305D">
      <w:pPr>
        <w:autoSpaceDE w:val="0"/>
        <w:autoSpaceDN w:val="0"/>
        <w:adjustRightInd w:val="0"/>
        <w:rPr>
          <w:rFonts w:eastAsia="Calibri"/>
          <w:sz w:val="22"/>
          <w:szCs w:val="22"/>
        </w:rPr>
      </w:pPr>
    </w:p>
    <w:p w14:paraId="424B3904"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Vairavimas ir mechanizmų valdymas </w:t>
      </w:r>
    </w:p>
    <w:p w14:paraId="5AD7369A"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Vartodami šio vaisto galite jausti galvos svaigimą ar mieguistumą arba Jums gali pasireikšti neryškus matymas. Jeigu taip atsitiktų, nevairuokite ir nevaldykite bet kokios rūšies mechanizmų, kol vėl nepasijusite gerai. </w:t>
      </w:r>
    </w:p>
    <w:p w14:paraId="0D569E38" w14:textId="77777777" w:rsidR="008A305D" w:rsidRPr="00BA3FBD" w:rsidRDefault="008A305D" w:rsidP="008A305D">
      <w:pPr>
        <w:autoSpaceDE w:val="0"/>
        <w:autoSpaceDN w:val="0"/>
        <w:adjustRightInd w:val="0"/>
        <w:rPr>
          <w:rFonts w:eastAsia="Calibri"/>
          <w:sz w:val="22"/>
          <w:szCs w:val="22"/>
        </w:rPr>
      </w:pPr>
    </w:p>
    <w:p w14:paraId="4F008FE0" w14:textId="77777777" w:rsidR="008A305D" w:rsidRPr="00BA3FBD" w:rsidRDefault="008A305D" w:rsidP="008A305D">
      <w:pPr>
        <w:autoSpaceDE w:val="0"/>
        <w:autoSpaceDN w:val="0"/>
        <w:adjustRightInd w:val="0"/>
        <w:rPr>
          <w:rFonts w:eastAsia="Calibri"/>
          <w:b/>
          <w:sz w:val="22"/>
          <w:szCs w:val="22"/>
        </w:rPr>
      </w:pPr>
      <w:r w:rsidRPr="00BA3FBD">
        <w:rPr>
          <w:rFonts w:eastAsia="Calibri"/>
          <w:b/>
          <w:sz w:val="22"/>
          <w:szCs w:val="22"/>
        </w:rPr>
        <w:t>Imatinib Actavis Group sudėtyje yra laktozės</w:t>
      </w:r>
    </w:p>
    <w:p w14:paraId="639C73CB"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Jei gydytojas Jums kada nors yra sakęs, kad Jūs netoleruojate angliavandenių, kreipkitės į savo gydytoją prieš pradėdamas vartoti šį vaistą.</w:t>
      </w:r>
    </w:p>
    <w:p w14:paraId="04131069" w14:textId="77777777" w:rsidR="008A305D" w:rsidRPr="00BA3FBD" w:rsidRDefault="008A305D" w:rsidP="008A305D">
      <w:pPr>
        <w:autoSpaceDE w:val="0"/>
        <w:autoSpaceDN w:val="0"/>
        <w:adjustRightInd w:val="0"/>
        <w:rPr>
          <w:rFonts w:eastAsia="Calibri"/>
          <w:sz w:val="22"/>
          <w:szCs w:val="22"/>
        </w:rPr>
      </w:pPr>
    </w:p>
    <w:p w14:paraId="6A694191" w14:textId="77777777" w:rsidR="008A305D" w:rsidRPr="00BA3FBD" w:rsidRDefault="008A305D" w:rsidP="008A305D">
      <w:pPr>
        <w:autoSpaceDE w:val="0"/>
        <w:autoSpaceDN w:val="0"/>
        <w:adjustRightInd w:val="0"/>
        <w:rPr>
          <w:rFonts w:eastAsia="Calibri"/>
          <w:sz w:val="22"/>
          <w:szCs w:val="22"/>
        </w:rPr>
      </w:pPr>
    </w:p>
    <w:p w14:paraId="63054512" w14:textId="77777777" w:rsidR="008A305D" w:rsidRPr="00BA3FBD" w:rsidRDefault="008A305D" w:rsidP="008A305D">
      <w:pPr>
        <w:pStyle w:val="Sraopastraipa"/>
        <w:numPr>
          <w:ilvl w:val="0"/>
          <w:numId w:val="2"/>
        </w:numPr>
        <w:autoSpaceDE w:val="0"/>
        <w:autoSpaceDN w:val="0"/>
        <w:adjustRightInd w:val="0"/>
        <w:ind w:hanging="720"/>
        <w:rPr>
          <w:rFonts w:eastAsia="Calibri"/>
          <w:b/>
          <w:bCs/>
          <w:sz w:val="22"/>
          <w:szCs w:val="22"/>
        </w:rPr>
      </w:pPr>
      <w:r w:rsidRPr="00BA3FBD">
        <w:rPr>
          <w:rFonts w:eastAsia="Calibri"/>
          <w:b/>
          <w:bCs/>
          <w:sz w:val="22"/>
          <w:szCs w:val="22"/>
        </w:rPr>
        <w:t xml:space="preserve">Kaip vartoti Imatinib Actavis Group </w:t>
      </w:r>
    </w:p>
    <w:p w14:paraId="5C37A4DF" w14:textId="77777777" w:rsidR="008A305D" w:rsidRPr="00BA3FBD" w:rsidRDefault="008A305D" w:rsidP="008A305D">
      <w:pPr>
        <w:autoSpaceDE w:val="0"/>
        <w:autoSpaceDN w:val="0"/>
        <w:adjustRightInd w:val="0"/>
        <w:rPr>
          <w:rFonts w:eastAsia="Calibri"/>
          <w:sz w:val="22"/>
          <w:szCs w:val="22"/>
        </w:rPr>
      </w:pPr>
    </w:p>
    <w:p w14:paraId="5DBCD6FA"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Jūsų gydytojas Jums paskyrė Imatinib Actavis Group, kadangi sergate sunkia liga. Imatinib Actavis Group gali Jums padėti kovojant su šia būkle. </w:t>
      </w:r>
    </w:p>
    <w:p w14:paraId="3090181A" w14:textId="77777777" w:rsidR="008A305D" w:rsidRPr="00BA3FBD" w:rsidRDefault="008A305D" w:rsidP="008A305D">
      <w:pPr>
        <w:autoSpaceDE w:val="0"/>
        <w:autoSpaceDN w:val="0"/>
        <w:adjustRightInd w:val="0"/>
        <w:rPr>
          <w:rFonts w:eastAsia="Calibri"/>
          <w:sz w:val="22"/>
          <w:szCs w:val="22"/>
        </w:rPr>
      </w:pPr>
    </w:p>
    <w:p w14:paraId="22F96AC6"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Visada vartokite šį vaistą tiksliai kaip nurodė gydytojas arba vaistininkas. Svarbu, kad vaisto vartotumėte tiek laiko, kiek nurodė Jūsų gydytojas arba vaistininkas. Jeigu abejojate, kreipkitės į gydytoją arba vaistininką. </w:t>
      </w:r>
    </w:p>
    <w:p w14:paraId="5581F2CA" w14:textId="77777777" w:rsidR="008A305D" w:rsidRPr="00BA3FBD" w:rsidRDefault="008A305D" w:rsidP="008A305D">
      <w:pPr>
        <w:autoSpaceDE w:val="0"/>
        <w:autoSpaceDN w:val="0"/>
        <w:adjustRightInd w:val="0"/>
        <w:rPr>
          <w:rFonts w:eastAsia="Calibri"/>
          <w:sz w:val="22"/>
          <w:szCs w:val="22"/>
        </w:rPr>
      </w:pPr>
    </w:p>
    <w:p w14:paraId="754C0672"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Nenustokite vartoti Imatinib Actavis Group, nebent taip nurodytų Jūsų gydytojas. Nedelsdami kreipkitės į gydytoją, jeigu negalite vartoti vaisto taip, kaip paskyrė gydytojas, arba jaučiate, kad šio vaisto Jums daugiau nereikia. </w:t>
      </w:r>
    </w:p>
    <w:p w14:paraId="00A0462B" w14:textId="77777777" w:rsidR="008A305D" w:rsidRPr="00BA3FBD" w:rsidRDefault="008A305D" w:rsidP="008A305D">
      <w:pPr>
        <w:autoSpaceDE w:val="0"/>
        <w:autoSpaceDN w:val="0"/>
        <w:adjustRightInd w:val="0"/>
        <w:rPr>
          <w:rFonts w:eastAsia="Calibri"/>
          <w:b/>
          <w:bCs/>
          <w:sz w:val="22"/>
          <w:szCs w:val="22"/>
        </w:rPr>
      </w:pPr>
    </w:p>
    <w:p w14:paraId="1FB091C0"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Kiek Imatinib Actavis Group vartoti </w:t>
      </w:r>
    </w:p>
    <w:p w14:paraId="53D43A15" w14:textId="77777777" w:rsidR="008A305D" w:rsidRPr="00BA3FBD" w:rsidRDefault="008A305D" w:rsidP="008A305D">
      <w:pPr>
        <w:autoSpaceDE w:val="0"/>
        <w:autoSpaceDN w:val="0"/>
        <w:adjustRightInd w:val="0"/>
        <w:rPr>
          <w:rFonts w:eastAsia="Calibri"/>
          <w:b/>
          <w:bCs/>
          <w:sz w:val="22"/>
          <w:szCs w:val="22"/>
        </w:rPr>
      </w:pPr>
    </w:p>
    <w:p w14:paraId="0FC519FA"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Vartojimas suaugusiesiems </w:t>
      </w:r>
    </w:p>
    <w:p w14:paraId="17823BA1"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Gydytojas Jums tiksliai nurodys, kiek Imatinib Actavis Group kapsulių gerti. </w:t>
      </w:r>
    </w:p>
    <w:p w14:paraId="7A363E9D" w14:textId="77777777" w:rsidR="008A305D" w:rsidRPr="00BA3FBD" w:rsidRDefault="008A305D" w:rsidP="008A305D">
      <w:pPr>
        <w:autoSpaceDE w:val="0"/>
        <w:autoSpaceDN w:val="0"/>
        <w:adjustRightInd w:val="0"/>
        <w:rPr>
          <w:rFonts w:eastAsia="Calibri"/>
          <w:sz w:val="22"/>
          <w:szCs w:val="22"/>
        </w:rPr>
      </w:pPr>
    </w:p>
    <w:p w14:paraId="0E0D16E8" w14:textId="77777777" w:rsidR="008A305D" w:rsidRPr="00BA3FBD" w:rsidRDefault="008A305D" w:rsidP="008A305D">
      <w:pPr>
        <w:autoSpaceDE w:val="0"/>
        <w:autoSpaceDN w:val="0"/>
        <w:adjustRightInd w:val="0"/>
        <w:ind w:left="567" w:hanging="567"/>
        <w:rPr>
          <w:rFonts w:eastAsia="Calibri"/>
          <w:color w:val="000000"/>
          <w:sz w:val="22"/>
          <w:szCs w:val="22"/>
        </w:rPr>
      </w:pPr>
      <w:r w:rsidRPr="00BA3FBD">
        <w:rPr>
          <w:rFonts w:ascii="Symbol" w:eastAsia="Calibri" w:hAnsi="Symbol" w:cs="Symbol"/>
          <w:color w:val="000000"/>
          <w:sz w:val="22"/>
          <w:szCs w:val="22"/>
        </w:rPr>
        <w:t></w:t>
      </w:r>
      <w:r w:rsidRPr="00BA3FBD">
        <w:rPr>
          <w:rFonts w:ascii="Symbol" w:eastAsia="Calibri" w:hAnsi="Symbol" w:cs="Symbol"/>
          <w:color w:val="000000"/>
          <w:sz w:val="22"/>
          <w:szCs w:val="22"/>
        </w:rPr>
        <w:t></w:t>
      </w:r>
      <w:r w:rsidRPr="00BA3FBD">
        <w:rPr>
          <w:rFonts w:ascii="Symbol" w:eastAsia="Calibri" w:hAnsi="Symbol" w:cs="Symbol"/>
          <w:color w:val="000000"/>
          <w:sz w:val="22"/>
          <w:szCs w:val="22"/>
        </w:rPr>
        <w:tab/>
      </w:r>
      <w:r w:rsidRPr="00BA3FBD">
        <w:rPr>
          <w:rFonts w:eastAsia="Calibri"/>
          <w:b/>
          <w:bCs/>
          <w:color w:val="000000"/>
          <w:sz w:val="22"/>
          <w:szCs w:val="22"/>
        </w:rPr>
        <w:t xml:space="preserve">Jei gydoma LML: </w:t>
      </w:r>
    </w:p>
    <w:p w14:paraId="27347E27" w14:textId="77777777" w:rsidR="008A305D" w:rsidRPr="00BA3FBD" w:rsidRDefault="008A305D" w:rsidP="008A305D">
      <w:pPr>
        <w:autoSpaceDE w:val="0"/>
        <w:autoSpaceDN w:val="0"/>
        <w:adjustRightInd w:val="0"/>
        <w:ind w:left="567"/>
        <w:rPr>
          <w:rFonts w:eastAsia="Calibri"/>
          <w:sz w:val="22"/>
          <w:szCs w:val="22"/>
        </w:rPr>
      </w:pPr>
      <w:r w:rsidRPr="00BA3FBD">
        <w:rPr>
          <w:rFonts w:eastAsia="Calibri"/>
          <w:sz w:val="22"/>
          <w:szCs w:val="22"/>
        </w:rPr>
        <w:lastRenderedPageBreak/>
        <w:t>Rekomenduojama pradinė dozė yra 600</w:t>
      </w:r>
      <w:r w:rsidRPr="00BA3FBD">
        <w:rPr>
          <w:rFonts w:eastAsia="Calibri"/>
        </w:rPr>
        <w:t> </w:t>
      </w:r>
      <w:r w:rsidRPr="00BA3FBD">
        <w:rPr>
          <w:rFonts w:eastAsia="Calibri"/>
          <w:sz w:val="22"/>
          <w:szCs w:val="22"/>
        </w:rPr>
        <w:t xml:space="preserve">mg, vartojant po 6 tabletes </w:t>
      </w:r>
      <w:r w:rsidRPr="00BA3FBD">
        <w:rPr>
          <w:rFonts w:eastAsia="Calibri"/>
          <w:b/>
          <w:bCs/>
          <w:sz w:val="22"/>
          <w:szCs w:val="22"/>
        </w:rPr>
        <w:t xml:space="preserve">kartą </w:t>
      </w:r>
      <w:r w:rsidRPr="00BA3FBD">
        <w:rPr>
          <w:rFonts w:eastAsia="Calibri"/>
          <w:sz w:val="22"/>
          <w:szCs w:val="22"/>
        </w:rPr>
        <w:t xml:space="preserve">per parą. </w:t>
      </w:r>
    </w:p>
    <w:p w14:paraId="23D856AA" w14:textId="77777777" w:rsidR="008A305D" w:rsidRPr="00BA3FBD" w:rsidRDefault="008A305D" w:rsidP="008A305D">
      <w:pPr>
        <w:autoSpaceDE w:val="0"/>
        <w:autoSpaceDN w:val="0"/>
        <w:adjustRightInd w:val="0"/>
        <w:ind w:left="567"/>
        <w:rPr>
          <w:rFonts w:eastAsia="Calibri"/>
          <w:sz w:val="22"/>
          <w:szCs w:val="22"/>
        </w:rPr>
      </w:pPr>
    </w:p>
    <w:p w14:paraId="3D818FF3" w14:textId="77777777" w:rsidR="008A305D" w:rsidRPr="00BA3FBD" w:rsidRDefault="008A305D" w:rsidP="008A305D">
      <w:pPr>
        <w:numPr>
          <w:ilvl w:val="0"/>
          <w:numId w:val="9"/>
        </w:numPr>
        <w:tabs>
          <w:tab w:val="clear" w:pos="360"/>
        </w:tabs>
        <w:ind w:left="540" w:hanging="540"/>
        <w:rPr>
          <w:b/>
          <w:color w:val="000000"/>
          <w:sz w:val="22"/>
          <w:szCs w:val="22"/>
        </w:rPr>
      </w:pPr>
      <w:r w:rsidRPr="00BA3FBD">
        <w:rPr>
          <w:b/>
          <w:color w:val="000000"/>
          <w:sz w:val="22"/>
          <w:szCs w:val="22"/>
        </w:rPr>
        <w:t xml:space="preserve">Jei gydoma </w:t>
      </w:r>
      <w:r>
        <w:rPr>
          <w:b/>
          <w:color w:val="000000"/>
          <w:sz w:val="22"/>
          <w:szCs w:val="22"/>
        </w:rPr>
        <w:t>GIST</w:t>
      </w:r>
      <w:r w:rsidRPr="00BA3FBD">
        <w:rPr>
          <w:b/>
          <w:color w:val="000000"/>
          <w:sz w:val="22"/>
          <w:szCs w:val="22"/>
        </w:rPr>
        <w:t>:</w:t>
      </w:r>
    </w:p>
    <w:p w14:paraId="2E7C2F1A" w14:textId="77777777" w:rsidR="008A305D" w:rsidRPr="00BA3FBD" w:rsidRDefault="008A305D" w:rsidP="008A305D">
      <w:pPr>
        <w:ind w:firstLine="540"/>
        <w:rPr>
          <w:color w:val="000000"/>
          <w:sz w:val="22"/>
          <w:szCs w:val="22"/>
        </w:rPr>
      </w:pPr>
      <w:r w:rsidRPr="00BA3FBD">
        <w:rPr>
          <w:color w:val="000000"/>
          <w:sz w:val="22"/>
          <w:szCs w:val="22"/>
        </w:rPr>
        <w:t xml:space="preserve">Pradinė dozė yra 400 mg, vartojant po 4 tabletes </w:t>
      </w:r>
      <w:r w:rsidRPr="00BA3FBD">
        <w:rPr>
          <w:b/>
          <w:color w:val="000000"/>
          <w:sz w:val="22"/>
          <w:szCs w:val="22"/>
        </w:rPr>
        <w:t>kartą</w:t>
      </w:r>
      <w:r w:rsidRPr="00BA3FBD">
        <w:rPr>
          <w:color w:val="000000"/>
          <w:sz w:val="22"/>
          <w:szCs w:val="22"/>
        </w:rPr>
        <w:t xml:space="preserve"> per parą.</w:t>
      </w:r>
    </w:p>
    <w:p w14:paraId="6D27B968" w14:textId="77777777" w:rsidR="008A305D" w:rsidRPr="00BA3FBD" w:rsidRDefault="008A305D" w:rsidP="008A305D">
      <w:pPr>
        <w:autoSpaceDE w:val="0"/>
        <w:autoSpaceDN w:val="0"/>
        <w:adjustRightInd w:val="0"/>
        <w:rPr>
          <w:rFonts w:eastAsia="Calibri"/>
          <w:sz w:val="22"/>
          <w:szCs w:val="22"/>
        </w:rPr>
      </w:pPr>
    </w:p>
    <w:p w14:paraId="2800B721"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Jūsų gydytojas gali Jums skirti didesnę ar mažesnę dozę priklausomai nuo Jūsų atsako į gydymą. Jei Jūsų paros dozė yra 800 mg (8 tabletės), vartokite po 4 tabletes ryte ir 4 tabletes vakare. </w:t>
      </w:r>
    </w:p>
    <w:p w14:paraId="3E7E397E" w14:textId="77777777" w:rsidR="008A305D" w:rsidRPr="00BA3FBD" w:rsidRDefault="008A305D" w:rsidP="008A305D">
      <w:pPr>
        <w:autoSpaceDE w:val="0"/>
        <w:autoSpaceDN w:val="0"/>
        <w:adjustRightInd w:val="0"/>
        <w:rPr>
          <w:rFonts w:ascii="Symbol" w:eastAsia="Calibri" w:hAnsi="Symbol" w:cs="Symbol"/>
          <w:color w:val="000000"/>
        </w:rPr>
      </w:pPr>
    </w:p>
    <w:p w14:paraId="0B705BB6" w14:textId="77777777" w:rsidR="008A305D" w:rsidRPr="00BA3FBD" w:rsidRDefault="008A305D" w:rsidP="008A305D">
      <w:pPr>
        <w:autoSpaceDE w:val="0"/>
        <w:autoSpaceDN w:val="0"/>
        <w:adjustRightInd w:val="0"/>
        <w:ind w:left="567" w:hanging="567"/>
        <w:rPr>
          <w:rFonts w:eastAsia="Calibri"/>
          <w:color w:val="000000"/>
          <w:sz w:val="22"/>
          <w:szCs w:val="22"/>
        </w:rPr>
      </w:pPr>
      <w:r w:rsidRPr="00BA3FBD">
        <w:rPr>
          <w:rFonts w:ascii="Symbol" w:eastAsia="Calibri" w:hAnsi="Symbol" w:cs="Symbol"/>
          <w:color w:val="000000"/>
          <w:sz w:val="22"/>
          <w:szCs w:val="22"/>
        </w:rPr>
        <w:t></w:t>
      </w:r>
      <w:r w:rsidRPr="00BA3FBD">
        <w:rPr>
          <w:rFonts w:ascii="Symbol" w:eastAsia="Calibri" w:hAnsi="Symbol" w:cs="Symbol"/>
          <w:color w:val="000000"/>
          <w:sz w:val="22"/>
          <w:szCs w:val="22"/>
        </w:rPr>
        <w:t></w:t>
      </w:r>
      <w:r w:rsidRPr="00BA3FBD">
        <w:rPr>
          <w:rFonts w:ascii="Symbol" w:eastAsia="Calibri" w:hAnsi="Symbol" w:cs="Symbol"/>
          <w:color w:val="000000"/>
          <w:sz w:val="22"/>
          <w:szCs w:val="22"/>
        </w:rPr>
        <w:tab/>
      </w:r>
      <w:r w:rsidRPr="00BA3FBD">
        <w:rPr>
          <w:rFonts w:eastAsia="Calibri"/>
          <w:b/>
          <w:bCs/>
          <w:color w:val="000000"/>
          <w:sz w:val="22"/>
          <w:szCs w:val="22"/>
        </w:rPr>
        <w:t xml:space="preserve">Jeigu gydoma Ph teigiama ŪLL: </w:t>
      </w:r>
    </w:p>
    <w:p w14:paraId="707B0CC9" w14:textId="77777777" w:rsidR="008A305D" w:rsidRPr="00BA3FBD" w:rsidRDefault="008A305D" w:rsidP="008A305D">
      <w:pPr>
        <w:autoSpaceDE w:val="0"/>
        <w:autoSpaceDN w:val="0"/>
        <w:adjustRightInd w:val="0"/>
        <w:ind w:left="567"/>
        <w:rPr>
          <w:rFonts w:eastAsia="Calibri"/>
          <w:sz w:val="22"/>
          <w:szCs w:val="22"/>
        </w:rPr>
      </w:pPr>
      <w:r w:rsidRPr="00BA3FBD">
        <w:rPr>
          <w:rFonts w:eastAsia="Calibri"/>
          <w:color w:val="000000"/>
          <w:sz w:val="22"/>
          <w:szCs w:val="22"/>
        </w:rPr>
        <w:t xml:space="preserve">Pradinė dozė yra 600 mg, vartojant po 6 tabletes </w:t>
      </w:r>
      <w:r w:rsidRPr="00BA3FBD">
        <w:rPr>
          <w:rFonts w:eastAsia="Calibri"/>
          <w:b/>
          <w:bCs/>
          <w:color w:val="000000"/>
          <w:sz w:val="22"/>
          <w:szCs w:val="22"/>
        </w:rPr>
        <w:t xml:space="preserve">kartą </w:t>
      </w:r>
      <w:r w:rsidRPr="00BA3FBD">
        <w:rPr>
          <w:rFonts w:eastAsia="Calibri"/>
          <w:color w:val="000000"/>
          <w:sz w:val="22"/>
          <w:szCs w:val="22"/>
        </w:rPr>
        <w:t>per parą.</w:t>
      </w:r>
    </w:p>
    <w:p w14:paraId="3BA679A6" w14:textId="77777777" w:rsidR="008A305D" w:rsidRPr="00BA3FBD" w:rsidRDefault="008A305D" w:rsidP="008A305D">
      <w:pPr>
        <w:autoSpaceDE w:val="0"/>
        <w:autoSpaceDN w:val="0"/>
        <w:adjustRightInd w:val="0"/>
        <w:rPr>
          <w:rFonts w:ascii="Symbol" w:eastAsia="Calibri" w:hAnsi="Symbol" w:cs="Symbol"/>
          <w:color w:val="000000"/>
        </w:rPr>
      </w:pPr>
    </w:p>
    <w:p w14:paraId="7C95AE17" w14:textId="77777777" w:rsidR="008A305D" w:rsidRPr="00BA3FBD" w:rsidRDefault="008A305D" w:rsidP="008A305D">
      <w:pPr>
        <w:autoSpaceDE w:val="0"/>
        <w:autoSpaceDN w:val="0"/>
        <w:adjustRightInd w:val="0"/>
        <w:rPr>
          <w:rFonts w:eastAsia="Calibri"/>
          <w:color w:val="000000"/>
          <w:sz w:val="22"/>
          <w:szCs w:val="22"/>
        </w:rPr>
      </w:pPr>
      <w:r w:rsidRPr="00BA3FBD">
        <w:rPr>
          <w:rFonts w:ascii="Symbol" w:eastAsia="Calibri" w:hAnsi="Symbol" w:cs="Symbol"/>
          <w:color w:val="000000"/>
          <w:sz w:val="22"/>
          <w:szCs w:val="22"/>
        </w:rPr>
        <w:t></w:t>
      </w:r>
      <w:r w:rsidRPr="00BA3FBD">
        <w:rPr>
          <w:rFonts w:ascii="Symbol" w:eastAsia="Calibri" w:hAnsi="Symbol" w:cs="Symbol"/>
          <w:color w:val="000000"/>
          <w:sz w:val="22"/>
          <w:szCs w:val="22"/>
        </w:rPr>
        <w:t></w:t>
      </w:r>
      <w:r w:rsidRPr="00BA3FBD">
        <w:rPr>
          <w:rFonts w:ascii="Symbol" w:eastAsia="Calibri" w:hAnsi="Symbol" w:cs="Symbol"/>
          <w:color w:val="000000"/>
          <w:sz w:val="22"/>
          <w:szCs w:val="22"/>
        </w:rPr>
        <w:tab/>
      </w:r>
      <w:r w:rsidRPr="00BA3FBD">
        <w:rPr>
          <w:rFonts w:eastAsia="Calibri"/>
          <w:b/>
          <w:bCs/>
          <w:color w:val="000000"/>
          <w:sz w:val="22"/>
          <w:szCs w:val="22"/>
        </w:rPr>
        <w:t xml:space="preserve">Jeigu gydoma MDS/MPL: </w:t>
      </w:r>
    </w:p>
    <w:p w14:paraId="1544B1ED" w14:textId="77777777" w:rsidR="008A305D" w:rsidRPr="00BA3FBD" w:rsidRDefault="008A305D" w:rsidP="008A305D">
      <w:pPr>
        <w:autoSpaceDE w:val="0"/>
        <w:autoSpaceDN w:val="0"/>
        <w:adjustRightInd w:val="0"/>
        <w:ind w:firstLine="720"/>
        <w:rPr>
          <w:rFonts w:eastAsia="Calibri"/>
          <w:color w:val="000000"/>
          <w:sz w:val="22"/>
          <w:szCs w:val="22"/>
        </w:rPr>
      </w:pPr>
      <w:r w:rsidRPr="00BA3FBD">
        <w:rPr>
          <w:rFonts w:eastAsia="Calibri"/>
          <w:color w:val="000000"/>
          <w:sz w:val="22"/>
          <w:szCs w:val="22"/>
        </w:rPr>
        <w:t xml:space="preserve">Pradinė dozė yra 400 mg, vartojant po 4 tabletes </w:t>
      </w:r>
      <w:r w:rsidRPr="00BA3FBD">
        <w:rPr>
          <w:rFonts w:eastAsia="Calibri"/>
          <w:b/>
          <w:bCs/>
          <w:color w:val="000000"/>
          <w:sz w:val="22"/>
          <w:szCs w:val="22"/>
        </w:rPr>
        <w:t xml:space="preserve">kartą </w:t>
      </w:r>
      <w:r w:rsidRPr="00BA3FBD">
        <w:rPr>
          <w:rFonts w:eastAsia="Calibri"/>
          <w:color w:val="000000"/>
          <w:sz w:val="22"/>
          <w:szCs w:val="22"/>
        </w:rPr>
        <w:t xml:space="preserve">per parą. </w:t>
      </w:r>
    </w:p>
    <w:p w14:paraId="076A9776" w14:textId="77777777" w:rsidR="008A305D" w:rsidRPr="00BA3FBD" w:rsidRDefault="008A305D" w:rsidP="008A305D">
      <w:pPr>
        <w:autoSpaceDE w:val="0"/>
        <w:autoSpaceDN w:val="0"/>
        <w:adjustRightInd w:val="0"/>
        <w:rPr>
          <w:rFonts w:eastAsia="Calibri"/>
          <w:color w:val="000000"/>
          <w:sz w:val="22"/>
          <w:szCs w:val="22"/>
        </w:rPr>
      </w:pPr>
    </w:p>
    <w:p w14:paraId="1F412C7D" w14:textId="77777777" w:rsidR="008A305D" w:rsidRPr="00BA3FBD" w:rsidRDefault="008A305D" w:rsidP="008A305D">
      <w:pPr>
        <w:numPr>
          <w:ilvl w:val="0"/>
          <w:numId w:val="1"/>
        </w:numPr>
        <w:autoSpaceDE w:val="0"/>
        <w:autoSpaceDN w:val="0"/>
        <w:adjustRightInd w:val="0"/>
        <w:ind w:left="567" w:hanging="567"/>
        <w:rPr>
          <w:rFonts w:eastAsia="Calibri"/>
          <w:color w:val="000000"/>
          <w:sz w:val="22"/>
          <w:szCs w:val="22"/>
        </w:rPr>
      </w:pPr>
      <w:r w:rsidRPr="00BA3FBD">
        <w:rPr>
          <w:rFonts w:eastAsia="Calibri"/>
          <w:b/>
          <w:bCs/>
          <w:color w:val="000000"/>
          <w:sz w:val="22"/>
          <w:szCs w:val="22"/>
        </w:rPr>
        <w:t xml:space="preserve">Jeigu gydoma HES/LEL: </w:t>
      </w:r>
    </w:p>
    <w:p w14:paraId="225467BE" w14:textId="77777777" w:rsidR="008A305D" w:rsidRPr="00BA3FBD" w:rsidRDefault="008A305D" w:rsidP="008A305D">
      <w:pPr>
        <w:autoSpaceDE w:val="0"/>
        <w:autoSpaceDN w:val="0"/>
        <w:adjustRightInd w:val="0"/>
        <w:ind w:left="567"/>
        <w:rPr>
          <w:rFonts w:eastAsia="Calibri"/>
          <w:color w:val="000000"/>
          <w:sz w:val="22"/>
          <w:szCs w:val="22"/>
        </w:rPr>
      </w:pPr>
      <w:r w:rsidRPr="00BA3FBD">
        <w:rPr>
          <w:rFonts w:eastAsia="Calibri"/>
          <w:color w:val="000000"/>
          <w:sz w:val="22"/>
          <w:szCs w:val="22"/>
        </w:rPr>
        <w:t xml:space="preserve">Pradinė dozė yra 100 mg, vartojant po 1 tabletę </w:t>
      </w:r>
      <w:r w:rsidRPr="00BA3FBD">
        <w:rPr>
          <w:rFonts w:eastAsia="Calibri"/>
          <w:b/>
          <w:bCs/>
          <w:color w:val="000000"/>
          <w:sz w:val="22"/>
          <w:szCs w:val="22"/>
        </w:rPr>
        <w:t xml:space="preserve">kartą </w:t>
      </w:r>
      <w:r w:rsidRPr="00BA3FBD">
        <w:rPr>
          <w:rFonts w:eastAsia="Calibri"/>
          <w:color w:val="000000"/>
          <w:sz w:val="22"/>
          <w:szCs w:val="22"/>
        </w:rPr>
        <w:t xml:space="preserve">per parą. Priklausomai nuo Jūsų atsako į gydymą, Jūsų gydytojas gali nuspręsti padidinti dozę iki 400 mg, vartojant po 4 tabletes </w:t>
      </w:r>
      <w:r w:rsidRPr="00BA3FBD">
        <w:rPr>
          <w:rFonts w:eastAsia="Calibri"/>
          <w:b/>
          <w:bCs/>
          <w:color w:val="000000"/>
          <w:sz w:val="22"/>
          <w:szCs w:val="22"/>
        </w:rPr>
        <w:t xml:space="preserve">kartą </w:t>
      </w:r>
      <w:r w:rsidRPr="00BA3FBD">
        <w:rPr>
          <w:rFonts w:eastAsia="Calibri"/>
          <w:color w:val="000000"/>
          <w:sz w:val="22"/>
          <w:szCs w:val="22"/>
        </w:rPr>
        <w:t xml:space="preserve">per parą. </w:t>
      </w:r>
    </w:p>
    <w:p w14:paraId="1B1C9D92" w14:textId="77777777" w:rsidR="008A305D" w:rsidRPr="00BA3FBD" w:rsidRDefault="008A305D" w:rsidP="008A305D">
      <w:pPr>
        <w:autoSpaceDE w:val="0"/>
        <w:autoSpaceDN w:val="0"/>
        <w:adjustRightInd w:val="0"/>
        <w:ind w:left="567" w:hanging="567"/>
        <w:rPr>
          <w:rFonts w:eastAsia="Calibri"/>
          <w:color w:val="000000"/>
          <w:sz w:val="22"/>
          <w:szCs w:val="22"/>
        </w:rPr>
      </w:pPr>
    </w:p>
    <w:p w14:paraId="33D5B0B3" w14:textId="77777777" w:rsidR="008A305D" w:rsidRPr="00BA3FBD" w:rsidRDefault="008A305D" w:rsidP="008A305D">
      <w:pPr>
        <w:numPr>
          <w:ilvl w:val="0"/>
          <w:numId w:val="1"/>
        </w:numPr>
        <w:autoSpaceDE w:val="0"/>
        <w:autoSpaceDN w:val="0"/>
        <w:adjustRightInd w:val="0"/>
        <w:ind w:left="567" w:hanging="567"/>
        <w:rPr>
          <w:rFonts w:eastAsia="Calibri"/>
          <w:color w:val="000000"/>
          <w:sz w:val="22"/>
          <w:szCs w:val="22"/>
        </w:rPr>
      </w:pPr>
      <w:r w:rsidRPr="00BA3FBD">
        <w:rPr>
          <w:rFonts w:eastAsia="Calibri"/>
          <w:b/>
          <w:bCs/>
          <w:color w:val="000000"/>
          <w:sz w:val="22"/>
          <w:szCs w:val="22"/>
        </w:rPr>
        <w:t xml:space="preserve">Jeigu gydoma DFSP: </w:t>
      </w:r>
    </w:p>
    <w:p w14:paraId="27E88185" w14:textId="77777777" w:rsidR="008A305D" w:rsidRPr="00BA3FBD" w:rsidRDefault="008A305D" w:rsidP="008A305D">
      <w:pPr>
        <w:autoSpaceDE w:val="0"/>
        <w:autoSpaceDN w:val="0"/>
        <w:adjustRightInd w:val="0"/>
        <w:ind w:left="567"/>
        <w:rPr>
          <w:rFonts w:eastAsia="Calibri"/>
          <w:color w:val="000000"/>
          <w:sz w:val="22"/>
          <w:szCs w:val="22"/>
        </w:rPr>
      </w:pPr>
      <w:r w:rsidRPr="00BA3FBD">
        <w:rPr>
          <w:rFonts w:eastAsia="Calibri"/>
          <w:color w:val="000000"/>
          <w:sz w:val="22"/>
          <w:szCs w:val="22"/>
        </w:rPr>
        <w:t>Dozė yra 800 mg per parą (8 tabletės), vartojant po 4 tabletes ryte ir 4 tabletes vakare.</w:t>
      </w:r>
    </w:p>
    <w:p w14:paraId="1DBD9187" w14:textId="77777777" w:rsidR="008A305D" w:rsidRPr="00BA3FBD" w:rsidRDefault="008A305D" w:rsidP="008A305D">
      <w:pPr>
        <w:autoSpaceDE w:val="0"/>
        <w:autoSpaceDN w:val="0"/>
        <w:adjustRightInd w:val="0"/>
        <w:ind w:firstLine="720"/>
        <w:rPr>
          <w:rFonts w:eastAsia="Calibri"/>
          <w:sz w:val="22"/>
          <w:szCs w:val="22"/>
        </w:rPr>
      </w:pPr>
    </w:p>
    <w:p w14:paraId="0C84A317"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Vartojimas vaikams ir paaugliams </w:t>
      </w:r>
    </w:p>
    <w:p w14:paraId="577161ED"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Gydytojas nurodys, kiek Imatinib Actavis Group tablečių reikia duoti gerti vaikui. Imatinib Actavis Group dozė priklausys nuo vaiko būklės, kūno masės ir ūgio. Bendroji nuo LML gydomų vaikų paros dozė neturi būti didesnė kaip 800 mg. Vaistą galima vartoti vieną kartą per parą arba paros dozę padalyti į dvi dalis (pusę dozės vartoti ryte ir kitą pusę – vakare). </w:t>
      </w:r>
    </w:p>
    <w:p w14:paraId="33C6A042" w14:textId="77777777" w:rsidR="008A305D" w:rsidRPr="00BA3FBD" w:rsidRDefault="008A305D" w:rsidP="008A305D">
      <w:pPr>
        <w:autoSpaceDE w:val="0"/>
        <w:autoSpaceDN w:val="0"/>
        <w:adjustRightInd w:val="0"/>
        <w:rPr>
          <w:rFonts w:eastAsia="Calibri"/>
          <w:sz w:val="22"/>
          <w:szCs w:val="22"/>
        </w:rPr>
      </w:pPr>
    </w:p>
    <w:p w14:paraId="65FED1AD"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Kada ir kaip vartoti Imatinib Actavis Group </w:t>
      </w:r>
    </w:p>
    <w:p w14:paraId="7BBEC18C" w14:textId="77777777" w:rsidR="008A305D" w:rsidRPr="00BA3FBD" w:rsidRDefault="008A305D" w:rsidP="008A305D">
      <w:pPr>
        <w:autoSpaceDE w:val="0"/>
        <w:autoSpaceDN w:val="0"/>
        <w:adjustRightInd w:val="0"/>
        <w:spacing w:after="21"/>
        <w:ind w:left="720" w:hanging="720"/>
        <w:rPr>
          <w:rFonts w:eastAsia="Calibri"/>
          <w:sz w:val="22"/>
          <w:szCs w:val="22"/>
        </w:rPr>
      </w:pPr>
      <w:r w:rsidRPr="00BA3FBD">
        <w:rPr>
          <w:rFonts w:eastAsia="Calibri"/>
          <w:sz w:val="22"/>
          <w:szCs w:val="22"/>
        </w:rPr>
        <w:t>-</w:t>
      </w:r>
      <w:r w:rsidRPr="00BA3FBD">
        <w:rPr>
          <w:rFonts w:eastAsia="Calibri"/>
          <w:sz w:val="22"/>
          <w:szCs w:val="22"/>
        </w:rPr>
        <w:tab/>
      </w:r>
      <w:r w:rsidRPr="00BA3FBD">
        <w:rPr>
          <w:rFonts w:eastAsia="Calibri"/>
          <w:b/>
          <w:bCs/>
          <w:sz w:val="22"/>
          <w:szCs w:val="22"/>
        </w:rPr>
        <w:t xml:space="preserve">Imatinib Actavis Group gerkite valgio metu. </w:t>
      </w:r>
      <w:r w:rsidRPr="00BA3FBD">
        <w:rPr>
          <w:rFonts w:eastAsia="Calibri"/>
          <w:sz w:val="22"/>
          <w:szCs w:val="22"/>
        </w:rPr>
        <w:t xml:space="preserve">Tai padės išvengti skrandžio sutrikimų Imatinib Actavis Group vartojimo metu. </w:t>
      </w:r>
    </w:p>
    <w:p w14:paraId="601400AF" w14:textId="77777777" w:rsidR="008A305D" w:rsidRPr="00BA3FBD" w:rsidRDefault="008A305D" w:rsidP="008A305D">
      <w:pPr>
        <w:autoSpaceDE w:val="0"/>
        <w:autoSpaceDN w:val="0"/>
        <w:adjustRightInd w:val="0"/>
        <w:spacing w:after="21"/>
        <w:ind w:left="720" w:hanging="720"/>
        <w:rPr>
          <w:rFonts w:eastAsia="Calibri"/>
          <w:sz w:val="22"/>
          <w:szCs w:val="22"/>
        </w:rPr>
      </w:pPr>
      <w:r w:rsidRPr="00BA3FBD">
        <w:rPr>
          <w:rFonts w:eastAsia="Calibri"/>
          <w:sz w:val="22"/>
          <w:szCs w:val="22"/>
        </w:rPr>
        <w:t>-</w:t>
      </w:r>
      <w:r w:rsidRPr="00BA3FBD">
        <w:rPr>
          <w:rFonts w:eastAsia="Calibri"/>
          <w:sz w:val="22"/>
          <w:szCs w:val="22"/>
        </w:rPr>
        <w:tab/>
      </w:r>
      <w:r w:rsidRPr="00BA3FBD">
        <w:rPr>
          <w:rFonts w:eastAsia="Calibri"/>
          <w:b/>
          <w:bCs/>
          <w:sz w:val="22"/>
          <w:szCs w:val="22"/>
        </w:rPr>
        <w:t xml:space="preserve">Nurykite visą tabletę užgerdami didele stikline vandens. </w:t>
      </w:r>
    </w:p>
    <w:p w14:paraId="7A6B17E8" w14:textId="77777777" w:rsidR="008A305D" w:rsidRPr="00BA3FBD" w:rsidRDefault="008A305D" w:rsidP="008A305D">
      <w:pPr>
        <w:autoSpaceDE w:val="0"/>
        <w:autoSpaceDN w:val="0"/>
        <w:adjustRightInd w:val="0"/>
        <w:spacing w:after="21"/>
        <w:ind w:left="720" w:hanging="720"/>
        <w:rPr>
          <w:rFonts w:eastAsia="Calibri"/>
          <w:sz w:val="22"/>
          <w:szCs w:val="22"/>
        </w:rPr>
      </w:pPr>
    </w:p>
    <w:p w14:paraId="7981136B" w14:textId="77777777" w:rsidR="008A305D" w:rsidRPr="00BA3FBD" w:rsidRDefault="008A305D" w:rsidP="008A305D">
      <w:pPr>
        <w:autoSpaceDE w:val="0"/>
        <w:autoSpaceDN w:val="0"/>
        <w:adjustRightInd w:val="0"/>
        <w:spacing w:after="21"/>
        <w:ind w:left="720" w:hanging="720"/>
        <w:rPr>
          <w:rFonts w:eastAsia="Calibri"/>
          <w:sz w:val="22"/>
          <w:szCs w:val="22"/>
        </w:rPr>
      </w:pPr>
      <w:r w:rsidRPr="00BA3FBD">
        <w:rPr>
          <w:rFonts w:eastAsia="Calibri"/>
          <w:sz w:val="22"/>
          <w:szCs w:val="22"/>
        </w:rPr>
        <w:t xml:space="preserve">Jeigu negalite nuryti tabletės, galite ją ištirpinti stiklinėje negazuoto vandens ar obuolių sulčių. </w:t>
      </w:r>
    </w:p>
    <w:p w14:paraId="67D2DE8A" w14:textId="77777777" w:rsidR="008A305D" w:rsidRPr="00BA3FBD" w:rsidRDefault="008A305D" w:rsidP="008A305D">
      <w:pPr>
        <w:numPr>
          <w:ilvl w:val="0"/>
          <w:numId w:val="10"/>
        </w:numPr>
        <w:ind w:left="567" w:hanging="567"/>
        <w:rPr>
          <w:color w:val="000000"/>
          <w:sz w:val="22"/>
          <w:szCs w:val="22"/>
        </w:rPr>
      </w:pPr>
      <w:r w:rsidRPr="00BA3FBD">
        <w:rPr>
          <w:color w:val="000000"/>
          <w:sz w:val="22"/>
          <w:szCs w:val="22"/>
        </w:rPr>
        <w:t>Kiekvienai 100 mg tabletei naudokite maždaug 50 ml vandens ar sulčių.</w:t>
      </w:r>
    </w:p>
    <w:p w14:paraId="1FB038EA" w14:textId="77777777" w:rsidR="008A305D" w:rsidRPr="00BA3FBD" w:rsidRDefault="008A305D" w:rsidP="008A305D">
      <w:pPr>
        <w:numPr>
          <w:ilvl w:val="0"/>
          <w:numId w:val="10"/>
        </w:numPr>
        <w:ind w:left="567" w:hanging="567"/>
        <w:rPr>
          <w:color w:val="000000"/>
          <w:sz w:val="22"/>
          <w:szCs w:val="22"/>
        </w:rPr>
      </w:pPr>
      <w:r w:rsidRPr="00BA3FBD">
        <w:rPr>
          <w:color w:val="000000"/>
          <w:sz w:val="22"/>
          <w:szCs w:val="22"/>
        </w:rPr>
        <w:t>Pamaišykite šaukštu, kol tabletė visiškai ištirps.</w:t>
      </w:r>
    </w:p>
    <w:p w14:paraId="4684283F" w14:textId="77777777" w:rsidR="008A305D" w:rsidRPr="00BA3FBD" w:rsidRDefault="008A305D" w:rsidP="008A305D">
      <w:pPr>
        <w:numPr>
          <w:ilvl w:val="0"/>
          <w:numId w:val="10"/>
        </w:numPr>
        <w:ind w:left="567" w:hanging="567"/>
        <w:rPr>
          <w:color w:val="000000"/>
          <w:sz w:val="22"/>
          <w:szCs w:val="22"/>
        </w:rPr>
      </w:pPr>
      <w:r w:rsidRPr="00BA3FBD">
        <w:rPr>
          <w:color w:val="000000"/>
          <w:sz w:val="22"/>
          <w:szCs w:val="22"/>
        </w:rPr>
        <w:lastRenderedPageBreak/>
        <w:t>Kai tabletė ištirps, nedelsdami išgerkite visą stiklinės turinį. Ištirpusios tabletės liekanų gali likti stiklinėje.</w:t>
      </w:r>
    </w:p>
    <w:p w14:paraId="5708DE6A" w14:textId="77777777" w:rsidR="008A305D" w:rsidRPr="00BA3FBD" w:rsidRDefault="008A305D" w:rsidP="008A305D">
      <w:pPr>
        <w:autoSpaceDE w:val="0"/>
        <w:autoSpaceDN w:val="0"/>
        <w:adjustRightInd w:val="0"/>
        <w:rPr>
          <w:rFonts w:eastAsia="Calibri"/>
          <w:sz w:val="22"/>
          <w:szCs w:val="22"/>
        </w:rPr>
      </w:pPr>
    </w:p>
    <w:p w14:paraId="0A496712"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Kaip ilgai vartoti Imatinib Actavis Group </w:t>
      </w:r>
    </w:p>
    <w:p w14:paraId="3D03D9DB"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Imatinib Actavis Group vartokite kasdien, tiek laiko, kiek nurodė Jūsų gydytojas. </w:t>
      </w:r>
    </w:p>
    <w:p w14:paraId="57C988DD" w14:textId="77777777" w:rsidR="008A305D" w:rsidRPr="00BA3FBD" w:rsidRDefault="008A305D" w:rsidP="008A305D">
      <w:pPr>
        <w:autoSpaceDE w:val="0"/>
        <w:autoSpaceDN w:val="0"/>
        <w:adjustRightInd w:val="0"/>
        <w:rPr>
          <w:rFonts w:eastAsia="Calibri"/>
          <w:sz w:val="22"/>
          <w:szCs w:val="22"/>
        </w:rPr>
      </w:pPr>
    </w:p>
    <w:p w14:paraId="69946C1C"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Ką daryti pavartojus per didelę Imatinib Actavis Group dozę? </w:t>
      </w:r>
    </w:p>
    <w:p w14:paraId="7E04689A"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 atsitiktinai išgėrėte per daug tablečių, </w:t>
      </w:r>
      <w:r w:rsidRPr="00BA3FBD">
        <w:rPr>
          <w:rFonts w:eastAsia="Calibri"/>
          <w:b/>
          <w:bCs/>
          <w:sz w:val="22"/>
          <w:szCs w:val="22"/>
        </w:rPr>
        <w:t xml:space="preserve">iš karto </w:t>
      </w:r>
      <w:r w:rsidRPr="00BA3FBD">
        <w:rPr>
          <w:rFonts w:eastAsia="Calibri"/>
          <w:sz w:val="22"/>
          <w:szCs w:val="22"/>
        </w:rPr>
        <w:t xml:space="preserve">kreipkitės į gydytoją. Jums gali prireikti medicininės pagalbos. Pasiimkite su savimi vaisto pakuotę. </w:t>
      </w:r>
    </w:p>
    <w:p w14:paraId="0A2DD482" w14:textId="77777777" w:rsidR="008A305D" w:rsidRPr="00BA3FBD" w:rsidRDefault="008A305D" w:rsidP="008A305D">
      <w:pPr>
        <w:autoSpaceDE w:val="0"/>
        <w:autoSpaceDN w:val="0"/>
        <w:adjustRightInd w:val="0"/>
        <w:rPr>
          <w:rFonts w:eastAsia="Calibri"/>
          <w:b/>
          <w:bCs/>
          <w:sz w:val="22"/>
          <w:szCs w:val="22"/>
        </w:rPr>
      </w:pPr>
    </w:p>
    <w:p w14:paraId="1B3E3CBF"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Pamiršus pavartoti Imatinib Actavis Group </w:t>
      </w:r>
    </w:p>
    <w:p w14:paraId="3DAD23BC" w14:textId="77777777" w:rsidR="008A305D" w:rsidRPr="00BA3FBD" w:rsidRDefault="008A305D" w:rsidP="008A305D">
      <w:pPr>
        <w:autoSpaceDE w:val="0"/>
        <w:autoSpaceDN w:val="0"/>
        <w:adjustRightInd w:val="0"/>
        <w:spacing w:after="23"/>
        <w:ind w:left="720" w:hanging="720"/>
        <w:rPr>
          <w:rFonts w:eastAsia="Calibri"/>
          <w:sz w:val="22"/>
          <w:szCs w:val="22"/>
        </w:rPr>
      </w:pPr>
      <w:r w:rsidRPr="00BA3FBD">
        <w:rPr>
          <w:rFonts w:eastAsia="Calibri"/>
          <w:sz w:val="22"/>
          <w:szCs w:val="22"/>
        </w:rPr>
        <w:t>-</w:t>
      </w:r>
      <w:r w:rsidRPr="00BA3FBD">
        <w:rPr>
          <w:rFonts w:eastAsia="Calibri"/>
          <w:sz w:val="22"/>
          <w:szCs w:val="22"/>
        </w:rPr>
        <w:tab/>
        <w:t xml:space="preserve">Pamiršus pavartoti vaisto dozę, ją išgerkite kai tik prisiminėte. Tačiau jei jau beveik laikas gerti kitą dozę, praleistos dozės nevartokite. </w:t>
      </w:r>
    </w:p>
    <w:p w14:paraId="3640AD8D" w14:textId="77777777" w:rsidR="008A305D" w:rsidRPr="00BA3FBD" w:rsidRDefault="008A305D" w:rsidP="008A305D">
      <w:pPr>
        <w:autoSpaceDE w:val="0"/>
        <w:autoSpaceDN w:val="0"/>
        <w:adjustRightInd w:val="0"/>
        <w:spacing w:after="23"/>
        <w:rPr>
          <w:rFonts w:eastAsia="Calibri"/>
          <w:sz w:val="22"/>
          <w:szCs w:val="22"/>
        </w:rPr>
      </w:pPr>
      <w:r w:rsidRPr="00BA3FBD">
        <w:rPr>
          <w:rFonts w:eastAsia="Calibri"/>
          <w:sz w:val="22"/>
          <w:szCs w:val="22"/>
        </w:rPr>
        <w:t>-</w:t>
      </w:r>
      <w:r w:rsidRPr="00BA3FBD">
        <w:rPr>
          <w:rFonts w:eastAsia="Calibri"/>
          <w:sz w:val="22"/>
          <w:szCs w:val="22"/>
        </w:rPr>
        <w:tab/>
        <w:t xml:space="preserve">Vėliau tęskite vaisto vartojimą įprastu režimu. </w:t>
      </w:r>
    </w:p>
    <w:p w14:paraId="6A4ED449"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w:t>
      </w:r>
      <w:r w:rsidRPr="00BA3FBD">
        <w:rPr>
          <w:rFonts w:eastAsia="Calibri"/>
          <w:sz w:val="22"/>
          <w:szCs w:val="22"/>
        </w:rPr>
        <w:tab/>
        <w:t xml:space="preserve">Negalima vartoti dvigubos dozės norint kompensuoti praleistą dozę. </w:t>
      </w:r>
    </w:p>
    <w:p w14:paraId="6D32DB18" w14:textId="77777777" w:rsidR="008A305D" w:rsidRPr="00BA3FBD" w:rsidRDefault="008A305D" w:rsidP="008A305D">
      <w:pPr>
        <w:autoSpaceDE w:val="0"/>
        <w:autoSpaceDN w:val="0"/>
        <w:adjustRightInd w:val="0"/>
        <w:rPr>
          <w:rFonts w:eastAsia="Calibri"/>
          <w:sz w:val="22"/>
          <w:szCs w:val="22"/>
        </w:rPr>
      </w:pPr>
    </w:p>
    <w:p w14:paraId="530C1B1C"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Jeigu kiltų daugiau klausimų dėl šio vaisto vartojimo, kreipkitės į gydytoją, vaistininką arba slaugytoją. </w:t>
      </w:r>
    </w:p>
    <w:p w14:paraId="1278D086" w14:textId="77777777" w:rsidR="008A305D" w:rsidRPr="00BA3FBD" w:rsidRDefault="008A305D" w:rsidP="008A305D">
      <w:pPr>
        <w:autoSpaceDE w:val="0"/>
        <w:autoSpaceDN w:val="0"/>
        <w:adjustRightInd w:val="0"/>
        <w:rPr>
          <w:rFonts w:eastAsia="Calibri"/>
          <w:sz w:val="22"/>
          <w:szCs w:val="22"/>
        </w:rPr>
      </w:pPr>
    </w:p>
    <w:p w14:paraId="3FE465DE" w14:textId="77777777" w:rsidR="008A305D" w:rsidRPr="00BA3FBD" w:rsidRDefault="008A305D" w:rsidP="008A305D">
      <w:pPr>
        <w:autoSpaceDE w:val="0"/>
        <w:autoSpaceDN w:val="0"/>
        <w:adjustRightInd w:val="0"/>
        <w:rPr>
          <w:rFonts w:eastAsia="Calibri"/>
          <w:sz w:val="22"/>
          <w:szCs w:val="22"/>
        </w:rPr>
      </w:pPr>
    </w:p>
    <w:p w14:paraId="3824D08A" w14:textId="77777777" w:rsidR="008A305D" w:rsidRPr="00BA3FBD" w:rsidRDefault="008A305D" w:rsidP="008A305D">
      <w:pPr>
        <w:pStyle w:val="Sraopastraipa"/>
        <w:numPr>
          <w:ilvl w:val="0"/>
          <w:numId w:val="2"/>
        </w:numPr>
        <w:autoSpaceDE w:val="0"/>
        <w:autoSpaceDN w:val="0"/>
        <w:adjustRightInd w:val="0"/>
        <w:ind w:hanging="720"/>
        <w:rPr>
          <w:rFonts w:eastAsia="Calibri"/>
          <w:b/>
          <w:sz w:val="22"/>
          <w:szCs w:val="22"/>
        </w:rPr>
      </w:pPr>
      <w:r w:rsidRPr="00BA3FBD">
        <w:rPr>
          <w:rFonts w:eastAsia="Calibri"/>
          <w:b/>
          <w:sz w:val="22"/>
          <w:szCs w:val="22"/>
        </w:rPr>
        <w:t>Galimas šalutinis poveikis</w:t>
      </w:r>
    </w:p>
    <w:p w14:paraId="7760FE45" w14:textId="77777777" w:rsidR="008A305D" w:rsidRPr="00BA3FBD" w:rsidRDefault="008A305D" w:rsidP="008A305D">
      <w:pPr>
        <w:autoSpaceDE w:val="0"/>
        <w:autoSpaceDN w:val="0"/>
        <w:adjustRightInd w:val="0"/>
        <w:rPr>
          <w:rFonts w:eastAsia="Calibri"/>
          <w:sz w:val="22"/>
          <w:szCs w:val="22"/>
        </w:rPr>
      </w:pPr>
    </w:p>
    <w:p w14:paraId="5F07897C"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Šis vaistas, kaip ir visi kiti, gali sukelti šalutinį poveikį, nors jis pasireiškia ne visiems žmonėms. Paprastai jis būna nesunkus ar vidutinio sunkumo. </w:t>
      </w:r>
    </w:p>
    <w:p w14:paraId="3F3253F5" w14:textId="77777777" w:rsidR="008A305D" w:rsidRPr="00BA3FBD" w:rsidRDefault="008A305D" w:rsidP="008A305D">
      <w:pPr>
        <w:autoSpaceDE w:val="0"/>
        <w:autoSpaceDN w:val="0"/>
        <w:adjustRightInd w:val="0"/>
        <w:rPr>
          <w:rFonts w:eastAsia="Calibri"/>
          <w:sz w:val="22"/>
          <w:szCs w:val="22"/>
        </w:rPr>
      </w:pPr>
    </w:p>
    <w:p w14:paraId="08CBA5CA"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Kai kurie šalutiniai reiškiniai gali būti sunkūs. Nedelsiant pasakykite gydytojui, jeigu Jums pasireikštų kuris nors iš toliau išvardytų reiškinių. </w:t>
      </w:r>
    </w:p>
    <w:p w14:paraId="07A3EA50" w14:textId="77777777" w:rsidR="008A305D" w:rsidRPr="00BA3FBD" w:rsidRDefault="008A305D" w:rsidP="008A305D">
      <w:pPr>
        <w:autoSpaceDE w:val="0"/>
        <w:autoSpaceDN w:val="0"/>
        <w:adjustRightInd w:val="0"/>
        <w:rPr>
          <w:rFonts w:eastAsia="Calibri"/>
          <w:b/>
          <w:bCs/>
          <w:sz w:val="22"/>
          <w:szCs w:val="22"/>
        </w:rPr>
      </w:pPr>
    </w:p>
    <w:p w14:paraId="3660ADD2"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Labai dažnas </w:t>
      </w:r>
      <w:r w:rsidRPr="00BA3FBD">
        <w:rPr>
          <w:rFonts w:eastAsia="Calibri"/>
          <w:bCs/>
          <w:sz w:val="22"/>
          <w:szCs w:val="22"/>
        </w:rPr>
        <w:t>(gali pasireikšti daugiau nei 1 žmogui iš 10)</w:t>
      </w:r>
      <w:r w:rsidRPr="00BA3FBD">
        <w:rPr>
          <w:rFonts w:eastAsia="Calibri"/>
          <w:b/>
          <w:bCs/>
          <w:sz w:val="22"/>
          <w:szCs w:val="22"/>
        </w:rPr>
        <w:t xml:space="preserve"> ar dažnas </w:t>
      </w:r>
      <w:r w:rsidRPr="00BA3FBD">
        <w:rPr>
          <w:rFonts w:eastAsia="Calibri"/>
          <w:bCs/>
          <w:sz w:val="22"/>
          <w:szCs w:val="22"/>
        </w:rPr>
        <w:t xml:space="preserve">(gali pasireikšti </w:t>
      </w:r>
      <w:r>
        <w:rPr>
          <w:rFonts w:eastAsia="Calibri"/>
          <w:bCs/>
          <w:sz w:val="22"/>
          <w:szCs w:val="22"/>
        </w:rPr>
        <w:t>mažiau kaip 1 žmogui</w:t>
      </w:r>
      <w:r w:rsidRPr="00BA3FBD">
        <w:rPr>
          <w:rFonts w:eastAsia="Calibri"/>
          <w:bCs/>
          <w:sz w:val="22"/>
          <w:szCs w:val="22"/>
        </w:rPr>
        <w:t xml:space="preserve"> iš 10) </w:t>
      </w:r>
      <w:r w:rsidRPr="00BA3FBD">
        <w:rPr>
          <w:rFonts w:eastAsia="Calibri"/>
          <w:b/>
          <w:bCs/>
          <w:sz w:val="22"/>
          <w:szCs w:val="22"/>
        </w:rPr>
        <w:t>šalutiniai reiškiniai</w:t>
      </w:r>
    </w:p>
    <w:p w14:paraId="35F911F4"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Greitai padidėjęs kūno svoris. Vartojant Imatinib Actavis Group organizme gali pradėti kauptis skystis (t.y. pasireikšti sunkus skysčių susilaikymas). </w:t>
      </w:r>
    </w:p>
    <w:p w14:paraId="2F328E1D"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Infekcijos požymiai – pavyzdžiui, karščiavimas, stiprus šaltkrėtis, gerklės skausmas ar burnos išopėjimas. Imatinib Actavis Group gali sumažinti baltųjų kraujo kūnelių skaičių, todėl galite greičiau užsikrėsti infekcinėmis ligomis. </w:t>
      </w:r>
    </w:p>
    <w:p w14:paraId="4182CB85" w14:textId="77777777" w:rsidR="008A305D" w:rsidRPr="00BA3FBD" w:rsidRDefault="008A305D" w:rsidP="008A305D">
      <w:pPr>
        <w:pStyle w:val="Sraopastraipa"/>
        <w:numPr>
          <w:ilvl w:val="0"/>
          <w:numId w:val="1"/>
        </w:numPr>
        <w:autoSpaceDE w:val="0"/>
        <w:autoSpaceDN w:val="0"/>
        <w:adjustRightInd w:val="0"/>
        <w:ind w:left="567" w:hanging="567"/>
        <w:rPr>
          <w:rFonts w:eastAsia="Calibri"/>
          <w:sz w:val="22"/>
          <w:szCs w:val="22"/>
        </w:rPr>
      </w:pPr>
      <w:r w:rsidRPr="00BA3FBD">
        <w:rPr>
          <w:rFonts w:eastAsia="Calibri"/>
          <w:sz w:val="22"/>
          <w:szCs w:val="22"/>
        </w:rPr>
        <w:t xml:space="preserve">Netikėtas kraujavimas ar mėlynių susidarymas (be jokio sužalojimo). </w:t>
      </w:r>
    </w:p>
    <w:p w14:paraId="51C6971D" w14:textId="77777777" w:rsidR="008A305D" w:rsidRPr="00BA3FBD" w:rsidRDefault="008A305D" w:rsidP="008A305D">
      <w:pPr>
        <w:autoSpaceDE w:val="0"/>
        <w:autoSpaceDN w:val="0"/>
        <w:adjustRightInd w:val="0"/>
        <w:rPr>
          <w:rFonts w:eastAsia="Calibri"/>
          <w:sz w:val="22"/>
          <w:szCs w:val="22"/>
        </w:rPr>
      </w:pPr>
    </w:p>
    <w:p w14:paraId="4AA01FA8"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Nedažnas </w:t>
      </w:r>
      <w:r w:rsidRPr="00BA3FBD">
        <w:rPr>
          <w:rFonts w:eastAsia="Calibri"/>
          <w:bCs/>
          <w:sz w:val="22"/>
          <w:szCs w:val="22"/>
        </w:rPr>
        <w:t xml:space="preserve">(gali pasireikšti </w:t>
      </w:r>
      <w:r>
        <w:rPr>
          <w:rFonts w:eastAsia="Calibri"/>
          <w:bCs/>
          <w:sz w:val="22"/>
          <w:szCs w:val="22"/>
        </w:rPr>
        <w:t>mažiau kaip 1 žmogui</w:t>
      </w:r>
      <w:r w:rsidRPr="00BA3FBD">
        <w:rPr>
          <w:rFonts w:eastAsia="Calibri"/>
          <w:bCs/>
          <w:sz w:val="22"/>
          <w:szCs w:val="22"/>
        </w:rPr>
        <w:t xml:space="preserve"> iš 100)</w:t>
      </w:r>
      <w:r w:rsidRPr="00BA3FBD">
        <w:rPr>
          <w:rFonts w:eastAsia="Calibri"/>
          <w:b/>
          <w:bCs/>
          <w:sz w:val="22"/>
          <w:szCs w:val="22"/>
        </w:rPr>
        <w:t xml:space="preserve"> ir retas šalutinis poveikis </w:t>
      </w:r>
      <w:r w:rsidRPr="00BA3FBD">
        <w:rPr>
          <w:rFonts w:eastAsia="Calibri"/>
          <w:bCs/>
          <w:sz w:val="22"/>
          <w:szCs w:val="22"/>
        </w:rPr>
        <w:t xml:space="preserve">(gali pasireikšti </w:t>
      </w:r>
      <w:r>
        <w:rPr>
          <w:rFonts w:eastAsia="Calibri"/>
          <w:bCs/>
          <w:sz w:val="22"/>
          <w:szCs w:val="22"/>
        </w:rPr>
        <w:t>mažiau kaip 1 žmogui</w:t>
      </w:r>
      <w:r w:rsidRPr="00BA3FBD">
        <w:rPr>
          <w:rFonts w:eastAsia="Calibri"/>
          <w:bCs/>
          <w:sz w:val="22"/>
          <w:szCs w:val="22"/>
        </w:rPr>
        <w:t xml:space="preserve"> iš 1 000)</w:t>
      </w:r>
      <w:r w:rsidRPr="00BA3FBD">
        <w:rPr>
          <w:rFonts w:eastAsia="Calibri"/>
          <w:b/>
          <w:bCs/>
          <w:sz w:val="22"/>
          <w:szCs w:val="22"/>
        </w:rPr>
        <w:t xml:space="preserve">: </w:t>
      </w:r>
    </w:p>
    <w:p w14:paraId="7BEB4DFD"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lastRenderedPageBreak/>
        <w:t xml:space="preserve">Skausmas krūtinėje, nereguliarus širdies ritmas (širdies sutrikimų požymiai). </w:t>
      </w:r>
    </w:p>
    <w:p w14:paraId="0D1BDA93"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Kosulys, pasunkėjęs kvėpavimas arba skausmingas kvėpavimas (plaučių sutrikimų požymiai). </w:t>
      </w:r>
    </w:p>
    <w:p w14:paraId="009CF007"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Apsvaigimas, svaigulys ar alpimas (žemo kraujospūdžio požymiai). </w:t>
      </w:r>
    </w:p>
    <w:p w14:paraId="1FB0FFFB"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Šleikštulys (pykinimas), taip pat apetito trūkumas, tamsus šlapimas, pageltusi oda ar akių baltymai (kepenų sutrikimų požymiai). </w:t>
      </w:r>
    </w:p>
    <w:p w14:paraId="645905F1"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Bėrimas, odos paraudimas, taip pat pūslių atsiradimas ant lūpų, akių, odos arba burnos gleivinės, odos pleiskanojimas, karščiavimas, pakilę raudoni arba purpuriniai odos lopai, niežulys, deginimo pojūtis, pūslinis bėrimas (odos sutrikimų požymiai). </w:t>
      </w:r>
    </w:p>
    <w:p w14:paraId="4645D803"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Stiprus pilvo skausmas, vėmimas, tuštinimasis ar šlapinimasis su kraujo priemaiša, juodos spalvos išmatos (virškinimo trakto sutrikimų požymiai). </w:t>
      </w:r>
    </w:p>
    <w:p w14:paraId="007CCB14"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Labai sumažėjęs šlapimo kiekis, troškulys (inkstų sutrikimų požymiai). </w:t>
      </w:r>
    </w:p>
    <w:p w14:paraId="4E876587"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Šleikštulys (pykinimas) kartu su viduriavimu ir vėmimu, pilvo skausmas arba karščiavimas (žarnų sutrikimų požymiai). </w:t>
      </w:r>
    </w:p>
    <w:p w14:paraId="3B4ECCC7"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Stiprus galvos skausmas, silpnumas arba galūnių ar veido paralyžius, pasunkėjusi kalba, staigus sąmonės praradimas (nervų sistemos sutrikimų, pavyzdžiui, kraujavimo kaukolės ertmėje ar galvos smegenų patinimo, požymiai). </w:t>
      </w:r>
    </w:p>
    <w:p w14:paraId="5912C057" w14:textId="77777777" w:rsidR="008A305D" w:rsidRPr="00BA3FBD" w:rsidRDefault="008A305D" w:rsidP="008A305D">
      <w:pPr>
        <w:pStyle w:val="Sraopastraipa"/>
        <w:numPr>
          <w:ilvl w:val="0"/>
          <w:numId w:val="1"/>
        </w:numPr>
        <w:autoSpaceDE w:val="0"/>
        <w:autoSpaceDN w:val="0"/>
        <w:adjustRightInd w:val="0"/>
        <w:ind w:left="567" w:hanging="567"/>
        <w:rPr>
          <w:rFonts w:eastAsia="Calibri"/>
          <w:sz w:val="22"/>
          <w:szCs w:val="22"/>
        </w:rPr>
      </w:pPr>
      <w:r w:rsidRPr="00BA3FBD">
        <w:rPr>
          <w:rFonts w:eastAsia="Calibri"/>
          <w:sz w:val="22"/>
          <w:szCs w:val="22"/>
        </w:rPr>
        <w:t xml:space="preserve">Išblyškusi oda, nuovargis ir dusulys, tamsus šlapimas (sumažėjusio raudonųjų kraujo ląstelių skaičiaus požymiai). </w:t>
      </w:r>
    </w:p>
    <w:p w14:paraId="3F699F79"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Akies skausmas ar pablogėjusi rega, kraujavimas į akies vidų. </w:t>
      </w:r>
    </w:p>
    <w:p w14:paraId="5217C4F0"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Skausmas klubo sąnariuose ar pasunkėjęs vaikščiojimas. </w:t>
      </w:r>
    </w:p>
    <w:p w14:paraId="74EB1F2C"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Kojų ir rankų pirštų nutirpimas ar šalimas (Raynaud‘s sindromo požymiai). </w:t>
      </w:r>
    </w:p>
    <w:p w14:paraId="7B17E214"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Staigus odos patinimas ir paraudimas (odos infekcijos, vadinamos celiulitu, požymiai). </w:t>
      </w:r>
    </w:p>
    <w:p w14:paraId="5E490649"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Sutrikusi klausa. </w:t>
      </w:r>
    </w:p>
    <w:p w14:paraId="32830373"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Raumenų silpnumas ir spazmas kartu su sutrikusiu širdies ritmu (požymiai, rodantys, kad pakito kalio kiekis Jūsų kraujyje). </w:t>
      </w:r>
    </w:p>
    <w:p w14:paraId="67281FF4"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Mėlynės. </w:t>
      </w:r>
    </w:p>
    <w:p w14:paraId="095EB0EE"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Skrandžio skausmas kartu su šleikštuliu (pykinimu). </w:t>
      </w:r>
    </w:p>
    <w:p w14:paraId="10B65369"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Raumenų spazmai ir kartu pasireiškiantis karščiavimas, raudonai rudos spalvos šlapimas, raumenų skausmas ar silpnumas (raumenų sutrikimų požymiai). </w:t>
      </w:r>
    </w:p>
    <w:p w14:paraId="3DAA986B"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Dubens srities skausmas, kartais kartu su pykinimu ir vėmimu, kartu su netikėtu kraujavimu iš makšties, galvos svaigimu ar alpimu dėl sumažėjusio kraujospūdžio (kiaušidžių ar gimdos sutrikimų požymiai). </w:t>
      </w:r>
    </w:p>
    <w:p w14:paraId="54A62054" w14:textId="77777777" w:rsidR="008A305D" w:rsidRPr="00BA3FBD" w:rsidRDefault="008A305D" w:rsidP="008A305D">
      <w:pPr>
        <w:pStyle w:val="Sraopastraipa"/>
        <w:numPr>
          <w:ilvl w:val="0"/>
          <w:numId w:val="1"/>
        </w:numPr>
        <w:autoSpaceDE w:val="0"/>
        <w:autoSpaceDN w:val="0"/>
        <w:adjustRightInd w:val="0"/>
        <w:ind w:left="567" w:hanging="567"/>
        <w:rPr>
          <w:rFonts w:eastAsia="Calibri"/>
          <w:sz w:val="22"/>
          <w:szCs w:val="22"/>
        </w:rPr>
      </w:pPr>
      <w:r w:rsidRPr="00BA3FBD">
        <w:rPr>
          <w:rFonts w:eastAsia="Calibri"/>
          <w:sz w:val="22"/>
          <w:szCs w:val="22"/>
        </w:rPr>
        <w:t xml:space="preserve">Pykinimas, oro trūkumas, nereguliarus širdies ritmas, drumstas šlapimas, nuovargis ir/arba sąnarių diskomfortas susijęs su anomaliais laboratorinių tyrimų rezultatais </w:t>
      </w:r>
      <w:r w:rsidRPr="00BA3FBD">
        <w:rPr>
          <w:rFonts w:eastAsia="Calibri"/>
          <w:sz w:val="22"/>
          <w:szCs w:val="22"/>
        </w:rPr>
        <w:lastRenderedPageBreak/>
        <w:t xml:space="preserve">(pvz., didelis kalio, šlapimo rūgšties ir kalcio kiekis ir mažas fosforo kiekis kraujyje). </w:t>
      </w:r>
    </w:p>
    <w:p w14:paraId="04332018" w14:textId="77777777" w:rsidR="008A305D" w:rsidRPr="00BA3FBD" w:rsidRDefault="008A305D" w:rsidP="008A305D">
      <w:pPr>
        <w:pStyle w:val="Sraopastraipa"/>
        <w:autoSpaceDE w:val="0"/>
        <w:autoSpaceDN w:val="0"/>
        <w:adjustRightInd w:val="0"/>
        <w:ind w:left="0"/>
        <w:rPr>
          <w:rFonts w:eastAsia="Calibri"/>
          <w:sz w:val="22"/>
          <w:szCs w:val="22"/>
        </w:rPr>
      </w:pPr>
    </w:p>
    <w:p w14:paraId="3862E993" w14:textId="77777777" w:rsidR="008A305D" w:rsidRPr="00BA3FBD" w:rsidRDefault="008A305D" w:rsidP="008A305D">
      <w:pPr>
        <w:pStyle w:val="Sraopastraipa"/>
        <w:autoSpaceDE w:val="0"/>
        <w:autoSpaceDN w:val="0"/>
        <w:adjustRightInd w:val="0"/>
        <w:ind w:left="0"/>
        <w:rPr>
          <w:rFonts w:eastAsia="Calibri"/>
          <w:sz w:val="22"/>
          <w:szCs w:val="22"/>
        </w:rPr>
      </w:pPr>
      <w:r w:rsidRPr="00BA3FBD">
        <w:rPr>
          <w:rFonts w:eastAsia="Calibri"/>
          <w:b/>
          <w:sz w:val="22"/>
          <w:szCs w:val="22"/>
        </w:rPr>
        <w:t xml:space="preserve">Dažnis nežinomas </w:t>
      </w:r>
      <w:r w:rsidRPr="00BA3FBD">
        <w:rPr>
          <w:rFonts w:eastAsia="Calibri"/>
          <w:sz w:val="22"/>
          <w:szCs w:val="22"/>
        </w:rPr>
        <w:t>(negali būti apskaičiuotas pagal turimus duomenis):</w:t>
      </w:r>
    </w:p>
    <w:p w14:paraId="45A7705D" w14:textId="77777777" w:rsidR="008A305D" w:rsidRPr="00BA3FBD" w:rsidRDefault="008A305D" w:rsidP="008A305D">
      <w:pPr>
        <w:pStyle w:val="Sraopastraipa"/>
        <w:numPr>
          <w:ilvl w:val="0"/>
          <w:numId w:val="1"/>
        </w:numPr>
        <w:autoSpaceDE w:val="0"/>
        <w:autoSpaceDN w:val="0"/>
        <w:adjustRightInd w:val="0"/>
        <w:ind w:left="567" w:hanging="567"/>
        <w:rPr>
          <w:rFonts w:eastAsia="Calibri"/>
          <w:sz w:val="22"/>
          <w:szCs w:val="22"/>
        </w:rPr>
      </w:pPr>
      <w:r w:rsidRPr="00BA3FBD">
        <w:rPr>
          <w:rFonts w:eastAsia="Calibri"/>
          <w:sz w:val="22"/>
          <w:szCs w:val="22"/>
        </w:rPr>
        <w:t>Plačiai išplitęs stiprus odos bėrimas kartu su pykinimu, karščiavimu, kai kurių baltųjų kraujo kūnelių skaičiaus padidėjimu arba odos ir akių pageltimu (geltos požymiai), lydimas dusulio, krūtinės skausmo/diskomforto, labai sumažėjusio šlapimo išsiskyrimo bei troškulio ir t.t. (alerginės reakcijos požymiai susiję su gydymu).</w:t>
      </w:r>
    </w:p>
    <w:p w14:paraId="438E6FF5" w14:textId="77777777" w:rsidR="008A305D" w:rsidRDefault="008A305D" w:rsidP="008A305D">
      <w:pPr>
        <w:pStyle w:val="Sraopastraipa"/>
        <w:numPr>
          <w:ilvl w:val="0"/>
          <w:numId w:val="1"/>
        </w:numPr>
        <w:autoSpaceDE w:val="0"/>
        <w:autoSpaceDN w:val="0"/>
        <w:adjustRightInd w:val="0"/>
        <w:ind w:left="567" w:hanging="567"/>
        <w:rPr>
          <w:rFonts w:eastAsia="Calibri"/>
          <w:sz w:val="22"/>
          <w:szCs w:val="22"/>
        </w:rPr>
      </w:pPr>
      <w:r w:rsidRPr="00BA3FBD">
        <w:rPr>
          <w:rFonts w:eastAsia="Calibri"/>
          <w:sz w:val="22"/>
          <w:szCs w:val="22"/>
        </w:rPr>
        <w:t>Lėtinis inkstų nepakankamumas.</w:t>
      </w:r>
    </w:p>
    <w:p w14:paraId="5D61CF9A" w14:textId="77777777" w:rsidR="008A305D" w:rsidRPr="00BA3FBD" w:rsidRDefault="008A305D" w:rsidP="008A305D">
      <w:pPr>
        <w:pStyle w:val="Sraopastraipa"/>
        <w:autoSpaceDE w:val="0"/>
        <w:autoSpaceDN w:val="0"/>
        <w:adjustRightInd w:val="0"/>
        <w:rPr>
          <w:rFonts w:eastAsia="Calibri"/>
          <w:sz w:val="22"/>
          <w:szCs w:val="22"/>
        </w:rPr>
      </w:pPr>
    </w:p>
    <w:p w14:paraId="0C663192"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Jeigu Jums pasireikštų bet kuris iš anksčiau nurodytų reiškinių, </w:t>
      </w:r>
      <w:r w:rsidRPr="00BA3FBD">
        <w:rPr>
          <w:rFonts w:eastAsia="Calibri"/>
          <w:b/>
          <w:bCs/>
          <w:sz w:val="22"/>
          <w:szCs w:val="22"/>
        </w:rPr>
        <w:t xml:space="preserve">nedelsiant pasakykite gydytojui. </w:t>
      </w:r>
    </w:p>
    <w:p w14:paraId="478873B9" w14:textId="77777777" w:rsidR="008A305D" w:rsidRPr="00BA3FBD" w:rsidRDefault="008A305D" w:rsidP="008A305D">
      <w:pPr>
        <w:autoSpaceDE w:val="0"/>
        <w:autoSpaceDN w:val="0"/>
        <w:adjustRightInd w:val="0"/>
        <w:rPr>
          <w:rFonts w:eastAsia="Calibri"/>
          <w:b/>
          <w:bCs/>
          <w:sz w:val="22"/>
          <w:szCs w:val="22"/>
        </w:rPr>
      </w:pPr>
    </w:p>
    <w:p w14:paraId="58CC5733"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Taip pat gali pasireikšti kiti šalutiniai reiškiniai: </w:t>
      </w:r>
    </w:p>
    <w:p w14:paraId="323A14F2" w14:textId="77777777" w:rsidR="008A305D" w:rsidRPr="00BA3FBD" w:rsidRDefault="008A305D" w:rsidP="008A305D">
      <w:pPr>
        <w:autoSpaceDE w:val="0"/>
        <w:autoSpaceDN w:val="0"/>
        <w:adjustRightInd w:val="0"/>
        <w:rPr>
          <w:rFonts w:eastAsia="Calibri"/>
          <w:b/>
          <w:bCs/>
          <w:sz w:val="22"/>
          <w:szCs w:val="22"/>
        </w:rPr>
      </w:pPr>
    </w:p>
    <w:p w14:paraId="79426473"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Labai dažnas šalutinis poveikis </w:t>
      </w:r>
      <w:r w:rsidRPr="00BA3FBD">
        <w:rPr>
          <w:rFonts w:eastAsia="Calibri"/>
          <w:bCs/>
          <w:sz w:val="22"/>
          <w:szCs w:val="22"/>
        </w:rPr>
        <w:t>(gali pasireikšti daugiau nei 1 žmogui iš 10)</w:t>
      </w:r>
      <w:r w:rsidRPr="00BA3FBD">
        <w:rPr>
          <w:rFonts w:eastAsia="Calibri"/>
          <w:b/>
          <w:bCs/>
          <w:sz w:val="22"/>
          <w:szCs w:val="22"/>
        </w:rPr>
        <w:t xml:space="preserve">: </w:t>
      </w:r>
    </w:p>
    <w:p w14:paraId="03147622"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Galvos skausmas ar nuovargis. </w:t>
      </w:r>
    </w:p>
    <w:p w14:paraId="4304AE79"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Šleikštulys (pykinimas), vėmimas, viduriavimas ar nevirškinimas. </w:t>
      </w:r>
    </w:p>
    <w:p w14:paraId="25A633AC"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Bėrimas. </w:t>
      </w:r>
    </w:p>
    <w:p w14:paraId="7419248C"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Raumenų mėšlungis arba sąnarių, raumenų ir kaulų skausmas. </w:t>
      </w:r>
    </w:p>
    <w:p w14:paraId="039C119D"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Tinimas, pavyzdžiui, patinusios kulkšnys ar paburkę akių vokai. </w:t>
      </w:r>
    </w:p>
    <w:p w14:paraId="155C662A" w14:textId="77777777" w:rsidR="008A305D" w:rsidRPr="00BA3FBD" w:rsidRDefault="008A305D" w:rsidP="008A305D">
      <w:pPr>
        <w:pStyle w:val="Sraopastraipa"/>
        <w:numPr>
          <w:ilvl w:val="0"/>
          <w:numId w:val="1"/>
        </w:numPr>
        <w:autoSpaceDE w:val="0"/>
        <w:autoSpaceDN w:val="0"/>
        <w:adjustRightInd w:val="0"/>
        <w:ind w:left="567" w:hanging="567"/>
        <w:rPr>
          <w:rFonts w:eastAsia="Calibri"/>
          <w:sz w:val="22"/>
          <w:szCs w:val="22"/>
        </w:rPr>
      </w:pPr>
      <w:r w:rsidRPr="00BA3FBD">
        <w:rPr>
          <w:rFonts w:eastAsia="Calibri"/>
          <w:sz w:val="22"/>
          <w:szCs w:val="22"/>
        </w:rPr>
        <w:t xml:space="preserve">Padidėjęs kūno svoris. </w:t>
      </w:r>
    </w:p>
    <w:p w14:paraId="14C82098"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 bet kuris iš šių reiškinių tampa sunkiu, </w:t>
      </w:r>
      <w:r w:rsidRPr="00BA3FBD">
        <w:rPr>
          <w:rFonts w:eastAsia="Calibri"/>
          <w:b/>
          <w:bCs/>
          <w:sz w:val="22"/>
          <w:szCs w:val="22"/>
        </w:rPr>
        <w:t>pasakykite gydytojui</w:t>
      </w:r>
      <w:r w:rsidRPr="00BA3FBD">
        <w:rPr>
          <w:rFonts w:eastAsia="Calibri"/>
          <w:sz w:val="22"/>
          <w:szCs w:val="22"/>
        </w:rPr>
        <w:t xml:space="preserve">. </w:t>
      </w:r>
    </w:p>
    <w:p w14:paraId="5C9717B2" w14:textId="77777777" w:rsidR="008A305D" w:rsidRPr="00BA3FBD" w:rsidRDefault="008A305D" w:rsidP="008A305D">
      <w:pPr>
        <w:autoSpaceDE w:val="0"/>
        <w:autoSpaceDN w:val="0"/>
        <w:adjustRightInd w:val="0"/>
        <w:rPr>
          <w:rFonts w:eastAsia="Calibri"/>
          <w:b/>
          <w:bCs/>
          <w:sz w:val="22"/>
          <w:szCs w:val="22"/>
        </w:rPr>
      </w:pPr>
    </w:p>
    <w:p w14:paraId="2B74F583"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Dažnas šalutinis poveikis </w:t>
      </w:r>
      <w:r w:rsidRPr="00BA3FBD">
        <w:rPr>
          <w:rFonts w:eastAsia="Calibri"/>
          <w:bCs/>
          <w:sz w:val="22"/>
          <w:szCs w:val="22"/>
        </w:rPr>
        <w:t xml:space="preserve">(gali pasireikšti </w:t>
      </w:r>
      <w:r>
        <w:rPr>
          <w:rFonts w:eastAsia="Calibri"/>
          <w:bCs/>
          <w:sz w:val="22"/>
          <w:szCs w:val="22"/>
        </w:rPr>
        <w:t>mažiau kaip</w:t>
      </w:r>
      <w:r w:rsidRPr="00BA3FBD">
        <w:rPr>
          <w:rFonts w:eastAsia="Calibri"/>
          <w:bCs/>
          <w:sz w:val="22"/>
          <w:szCs w:val="22"/>
        </w:rPr>
        <w:t xml:space="preserve"> 1 iš 10 žmonių)</w:t>
      </w:r>
      <w:r w:rsidRPr="00BA3FBD">
        <w:rPr>
          <w:rFonts w:eastAsia="Calibri"/>
          <w:b/>
          <w:bCs/>
          <w:sz w:val="22"/>
          <w:szCs w:val="22"/>
        </w:rPr>
        <w:t xml:space="preserve">: </w:t>
      </w:r>
    </w:p>
    <w:p w14:paraId="40FB6101"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Anoreksija, sumažėjęs kūno svoris, sutrikęs skonio jutimas. </w:t>
      </w:r>
    </w:p>
    <w:p w14:paraId="06C548F8"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Galvos svaigimas, silpnumas. </w:t>
      </w:r>
    </w:p>
    <w:p w14:paraId="598D1142"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Sunkumas užmigti (nemiga). </w:t>
      </w:r>
    </w:p>
    <w:p w14:paraId="13DBEF8A"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Išskyros iš akies kartu su niežuliu, paraudimu ir patinimu (konjunktyvitas), ašarojimas, neryškus matymas. </w:t>
      </w:r>
    </w:p>
    <w:p w14:paraId="77813D72"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Kraujavimas iš nosies. </w:t>
      </w:r>
    </w:p>
    <w:p w14:paraId="341F4716"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Pilvo skausmas ar patinimas, vidurių pūtimas, rėmuo, vidurių užkietėjimas. </w:t>
      </w:r>
    </w:p>
    <w:p w14:paraId="2EF6D675"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Niežulys. </w:t>
      </w:r>
    </w:p>
    <w:p w14:paraId="4E8E1A93"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Neįprastas plaukų slinkimas ar plonėjimas. </w:t>
      </w:r>
    </w:p>
    <w:p w14:paraId="3C9E4B99"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Plaštakų ar pėdų tirpimas. </w:t>
      </w:r>
    </w:p>
    <w:p w14:paraId="1FC71064"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Burnos išopėjimas. </w:t>
      </w:r>
    </w:p>
    <w:p w14:paraId="32CC7DB5"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Sąnarių skausmas ir patinimas. </w:t>
      </w:r>
    </w:p>
    <w:p w14:paraId="69FF5720"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Burnos, odos ar akių džiūvimas. </w:t>
      </w:r>
    </w:p>
    <w:p w14:paraId="03BE66AE"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Sumažėjęs arba padidėjęs odos jautrumas. </w:t>
      </w:r>
    </w:p>
    <w:p w14:paraId="3A75E4F2" w14:textId="77777777" w:rsidR="008A305D" w:rsidRPr="00BA3FBD" w:rsidRDefault="008A305D" w:rsidP="008A305D">
      <w:pPr>
        <w:pStyle w:val="Sraopastraipa"/>
        <w:numPr>
          <w:ilvl w:val="0"/>
          <w:numId w:val="1"/>
        </w:numPr>
        <w:autoSpaceDE w:val="0"/>
        <w:autoSpaceDN w:val="0"/>
        <w:adjustRightInd w:val="0"/>
        <w:ind w:left="567" w:hanging="567"/>
        <w:rPr>
          <w:rFonts w:eastAsia="Calibri"/>
          <w:sz w:val="22"/>
          <w:szCs w:val="22"/>
        </w:rPr>
      </w:pPr>
      <w:r w:rsidRPr="00BA3FBD">
        <w:rPr>
          <w:rFonts w:eastAsia="Calibri"/>
          <w:sz w:val="22"/>
          <w:szCs w:val="22"/>
        </w:rPr>
        <w:t xml:space="preserve">Karščio pylimai, drebulys, naktinis prakaitavimas. </w:t>
      </w:r>
    </w:p>
    <w:p w14:paraId="57DCF98B" w14:textId="77777777" w:rsidR="008A305D" w:rsidRPr="00BA3FBD" w:rsidRDefault="008A305D" w:rsidP="008A305D">
      <w:pPr>
        <w:autoSpaceDE w:val="0"/>
        <w:autoSpaceDN w:val="0"/>
        <w:adjustRightInd w:val="0"/>
        <w:rPr>
          <w:rFonts w:ascii="Arial" w:eastAsia="Calibri" w:hAnsi="Arial" w:cs="Arial"/>
          <w:sz w:val="16"/>
          <w:szCs w:val="16"/>
        </w:rPr>
      </w:pPr>
      <w:r w:rsidRPr="00BA3FBD">
        <w:rPr>
          <w:rFonts w:eastAsia="Calibri"/>
          <w:sz w:val="22"/>
          <w:szCs w:val="22"/>
        </w:rPr>
        <w:lastRenderedPageBreak/>
        <w:t xml:space="preserve">Jei bet kuris iš šių reiškinių tampa sunkiu, </w:t>
      </w:r>
      <w:r w:rsidRPr="00BA3FBD">
        <w:rPr>
          <w:rFonts w:eastAsia="Calibri"/>
          <w:b/>
          <w:bCs/>
          <w:sz w:val="22"/>
          <w:szCs w:val="22"/>
        </w:rPr>
        <w:t>pasakykite gydytojui</w:t>
      </w:r>
      <w:r w:rsidRPr="00BA3FBD">
        <w:rPr>
          <w:rFonts w:eastAsia="Calibri"/>
          <w:sz w:val="22"/>
          <w:szCs w:val="22"/>
        </w:rPr>
        <w:t>.</w:t>
      </w:r>
    </w:p>
    <w:p w14:paraId="535E3D56" w14:textId="77777777" w:rsidR="008A305D" w:rsidRPr="00BA3FBD" w:rsidRDefault="008A305D" w:rsidP="008A305D">
      <w:pPr>
        <w:autoSpaceDE w:val="0"/>
        <w:autoSpaceDN w:val="0"/>
        <w:adjustRightInd w:val="0"/>
        <w:rPr>
          <w:rFonts w:eastAsia="Calibri"/>
        </w:rPr>
      </w:pPr>
    </w:p>
    <w:p w14:paraId="6163DF09"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Šalutinis poveikis, kurio dažnis nežinomas </w:t>
      </w:r>
      <w:r w:rsidRPr="00BA3FBD">
        <w:rPr>
          <w:rFonts w:eastAsia="Calibri"/>
          <w:bCs/>
          <w:sz w:val="22"/>
          <w:szCs w:val="22"/>
        </w:rPr>
        <w:t>(negali būti apskaičiuotas pagal turimus duomenis)</w:t>
      </w:r>
      <w:r w:rsidRPr="00BA3FBD">
        <w:rPr>
          <w:rFonts w:eastAsia="Calibri"/>
          <w:b/>
          <w:bCs/>
          <w:sz w:val="22"/>
          <w:szCs w:val="22"/>
        </w:rPr>
        <w:t xml:space="preserve">: </w:t>
      </w:r>
    </w:p>
    <w:p w14:paraId="4F705175" w14:textId="77777777" w:rsidR="008A305D" w:rsidRPr="00BA3FBD" w:rsidRDefault="008A305D" w:rsidP="008A305D">
      <w:pPr>
        <w:pStyle w:val="Sraopastraipa"/>
        <w:numPr>
          <w:ilvl w:val="0"/>
          <w:numId w:val="1"/>
        </w:numPr>
        <w:autoSpaceDE w:val="0"/>
        <w:autoSpaceDN w:val="0"/>
        <w:adjustRightInd w:val="0"/>
        <w:spacing w:after="35"/>
        <w:ind w:left="567" w:hanging="567"/>
        <w:rPr>
          <w:rFonts w:eastAsia="Calibri"/>
          <w:sz w:val="22"/>
          <w:szCs w:val="22"/>
        </w:rPr>
      </w:pPr>
      <w:r w:rsidRPr="00BA3FBD">
        <w:rPr>
          <w:rFonts w:eastAsia="Calibri"/>
          <w:sz w:val="22"/>
          <w:szCs w:val="22"/>
        </w:rPr>
        <w:t xml:space="preserve">Delnų ir padų paraudimas ir (arba) patinimas, kurie gali pasireikšti kartu su dilgčiojimo pojūčiu ir deginančiu skausmu. </w:t>
      </w:r>
    </w:p>
    <w:p w14:paraId="22F1D2A4" w14:textId="38ECB04F" w:rsidR="008A305D" w:rsidRDefault="008A305D" w:rsidP="008A305D">
      <w:pPr>
        <w:pStyle w:val="Sraopastraipa"/>
        <w:numPr>
          <w:ilvl w:val="0"/>
          <w:numId w:val="1"/>
        </w:numPr>
        <w:autoSpaceDE w:val="0"/>
        <w:autoSpaceDN w:val="0"/>
        <w:adjustRightInd w:val="0"/>
        <w:ind w:left="567" w:hanging="567"/>
        <w:rPr>
          <w:rFonts w:eastAsia="Calibri"/>
          <w:sz w:val="22"/>
          <w:szCs w:val="22"/>
        </w:rPr>
      </w:pPr>
      <w:r w:rsidRPr="00BA3FBD">
        <w:rPr>
          <w:rFonts w:eastAsia="Calibri"/>
          <w:sz w:val="22"/>
          <w:szCs w:val="22"/>
        </w:rPr>
        <w:t>Sulėtėjęs vaikų ir paauglių augimas.</w:t>
      </w:r>
    </w:p>
    <w:p w14:paraId="0BF2D7FD" w14:textId="2F3EED0F" w:rsidR="00212F7C" w:rsidRPr="00212F7C" w:rsidRDefault="00212F7C" w:rsidP="00212F7C">
      <w:pPr>
        <w:pStyle w:val="Sraopastraipa"/>
        <w:numPr>
          <w:ilvl w:val="0"/>
          <w:numId w:val="1"/>
        </w:numPr>
        <w:ind w:left="567" w:hanging="567"/>
        <w:rPr>
          <w:rFonts w:eastAsia="Calibri"/>
          <w:sz w:val="22"/>
          <w:szCs w:val="22"/>
        </w:rPr>
      </w:pPr>
      <w:r w:rsidRPr="00212F7C">
        <w:rPr>
          <w:rFonts w:eastAsia="Calibri"/>
          <w:sz w:val="22"/>
          <w:szCs w:val="22"/>
        </w:rPr>
        <w:t>Hepatito B infekcijos atsinaujinimas (reaktyvacija), jeigu praeityje jums buvo diagnozuotas hepatitas B (kepenų infekcija).</w:t>
      </w:r>
    </w:p>
    <w:p w14:paraId="322AAEF4"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 bet kuris iš šių reiškinių tampa sunkiu, </w:t>
      </w:r>
      <w:r w:rsidRPr="00BA3FBD">
        <w:rPr>
          <w:rFonts w:eastAsia="Calibri"/>
          <w:b/>
          <w:bCs/>
          <w:sz w:val="22"/>
          <w:szCs w:val="22"/>
        </w:rPr>
        <w:t>pasakykite gydytojui</w:t>
      </w:r>
      <w:r w:rsidRPr="00BA3FBD">
        <w:rPr>
          <w:rFonts w:eastAsia="Calibri"/>
          <w:sz w:val="22"/>
          <w:szCs w:val="22"/>
        </w:rPr>
        <w:t xml:space="preserve">. </w:t>
      </w:r>
    </w:p>
    <w:p w14:paraId="2A868429" w14:textId="77777777" w:rsidR="008A305D" w:rsidRPr="00BA3FBD" w:rsidRDefault="008A305D" w:rsidP="008A305D">
      <w:pPr>
        <w:autoSpaceDE w:val="0"/>
        <w:autoSpaceDN w:val="0"/>
        <w:adjustRightInd w:val="0"/>
        <w:rPr>
          <w:rFonts w:eastAsia="Calibri"/>
          <w:b/>
          <w:bCs/>
          <w:sz w:val="22"/>
          <w:szCs w:val="22"/>
        </w:rPr>
      </w:pPr>
    </w:p>
    <w:p w14:paraId="0588D13F" w14:textId="77777777" w:rsidR="008A305D" w:rsidRPr="00BA3FBD" w:rsidRDefault="008A305D" w:rsidP="008A305D">
      <w:pPr>
        <w:rPr>
          <w:b/>
          <w:sz w:val="22"/>
          <w:szCs w:val="22"/>
        </w:rPr>
      </w:pPr>
      <w:r w:rsidRPr="00BA3FBD">
        <w:rPr>
          <w:b/>
          <w:sz w:val="22"/>
          <w:szCs w:val="22"/>
        </w:rPr>
        <w:t>Pranešimas apie šalutinį poveikį</w:t>
      </w:r>
    </w:p>
    <w:p w14:paraId="6CD001C6" w14:textId="77777777" w:rsidR="008A305D" w:rsidRPr="00BA3FBD" w:rsidRDefault="008A305D" w:rsidP="008A305D">
      <w:pPr>
        <w:autoSpaceDE w:val="0"/>
        <w:autoSpaceDN w:val="0"/>
        <w:adjustRightInd w:val="0"/>
        <w:rPr>
          <w:rFonts w:eastAsia="Calibri"/>
          <w:sz w:val="22"/>
          <w:szCs w:val="22"/>
        </w:rPr>
      </w:pPr>
      <w:r w:rsidRPr="00BA3FBD">
        <w:rPr>
          <w:sz w:val="22"/>
          <w:szCs w:val="22"/>
        </w:rPr>
        <w:t xml:space="preserve">Jeigu pasireiškė šalutinis poveikis, įskaitant šiame lapelyje nenurodytą, pasakykite gydytojui, vaistininkui arba slaugytojai. </w:t>
      </w:r>
      <w:r w:rsidRPr="00BA3FBD">
        <w:rPr>
          <w:snapToGrid w:val="0"/>
          <w:sz w:val="22"/>
          <w:szCs w:val="20"/>
        </w:rPr>
        <w:t>Apie šalutinį poveikį taip pat galite pranešti Valstybinei vaistų kontrolės tarnybai prie Lietuvos Respublikos sveikatos apsaugos ministerijos nemokamu t</w:t>
      </w:r>
      <w:r w:rsidRPr="00BA3FBD">
        <w:rPr>
          <w:snapToGrid w:val="0"/>
          <w:sz w:val="22"/>
          <w:szCs w:val="20"/>
          <w:lang w:eastAsia="zh-CN"/>
        </w:rPr>
        <w:t>elefonu 8 800 73568</w:t>
      </w:r>
      <w:r w:rsidRPr="00BA3FBD">
        <w:rPr>
          <w:snapToGrid w:val="0"/>
          <w:sz w:val="22"/>
          <w:szCs w:val="20"/>
        </w:rPr>
        <w:t xml:space="preserve"> arba užpildyti interneto svetainėje </w:t>
      </w:r>
      <w:hyperlink r:id="rId12" w:history="1">
        <w:r w:rsidRPr="00BA3FBD">
          <w:rPr>
            <w:rFonts w:eastAsia="SimSun"/>
            <w:snapToGrid w:val="0"/>
            <w:color w:val="0000FF"/>
            <w:sz w:val="22"/>
            <w:szCs w:val="20"/>
            <w:u w:val="single"/>
          </w:rPr>
          <w:t>www.vvkt.lt</w:t>
        </w:r>
      </w:hyperlink>
      <w:r w:rsidRPr="00BA3FBD">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BA3FBD">
        <w:rPr>
          <w:snapToGrid w:val="0"/>
          <w:sz w:val="22"/>
          <w:szCs w:val="20"/>
          <w:lang w:eastAsia="zh-CN"/>
        </w:rPr>
        <w:t xml:space="preserve">nemokamu </w:t>
      </w:r>
      <w:r w:rsidRPr="00BA3FBD">
        <w:rPr>
          <w:snapToGrid w:val="0"/>
          <w:sz w:val="22"/>
          <w:szCs w:val="20"/>
        </w:rPr>
        <w:t>fakso numeriu 8 800 20131</w:t>
      </w:r>
      <w:r w:rsidRPr="00BA3FBD">
        <w:rPr>
          <w:snapToGrid w:val="0"/>
          <w:sz w:val="22"/>
          <w:szCs w:val="20"/>
          <w:lang w:eastAsia="zh-CN"/>
        </w:rPr>
        <w:t xml:space="preserve">, </w:t>
      </w:r>
      <w:r w:rsidRPr="00BA3FBD">
        <w:rPr>
          <w:snapToGrid w:val="0"/>
          <w:sz w:val="22"/>
          <w:szCs w:val="20"/>
        </w:rPr>
        <w:t xml:space="preserve">el. paštu </w:t>
      </w:r>
      <w:hyperlink r:id="rId13" w:history="1">
        <w:r w:rsidRPr="00BA3FBD">
          <w:rPr>
            <w:rFonts w:eastAsia="SimSun"/>
            <w:snapToGrid w:val="0"/>
            <w:color w:val="0000FF"/>
            <w:sz w:val="22"/>
            <w:szCs w:val="20"/>
            <w:u w:val="single"/>
          </w:rPr>
          <w:t>NepageidaujamaR@vvkt.lt</w:t>
        </w:r>
      </w:hyperlink>
      <w:r w:rsidRPr="00BA3FBD">
        <w:rPr>
          <w:snapToGrid w:val="0"/>
          <w:sz w:val="22"/>
          <w:szCs w:val="20"/>
        </w:rPr>
        <w:t xml:space="preserve">, taip pat per Valstybinės vaistų kontrolės tarnybos prie Lietuvos Respublikos sveikatos apsaugos ministerijos interneto svetainę (adresu </w:t>
      </w:r>
      <w:hyperlink r:id="rId14" w:history="1">
        <w:r w:rsidRPr="00BA3FBD">
          <w:rPr>
            <w:rFonts w:eastAsia="SimSun"/>
            <w:snapToGrid w:val="0"/>
            <w:color w:val="0000FF"/>
            <w:sz w:val="22"/>
            <w:szCs w:val="20"/>
            <w:u w:val="single"/>
          </w:rPr>
          <w:t>http://www.vvkt.lt</w:t>
        </w:r>
      </w:hyperlink>
      <w:r w:rsidRPr="00BA3FBD">
        <w:rPr>
          <w:snapToGrid w:val="0"/>
          <w:sz w:val="22"/>
          <w:szCs w:val="20"/>
        </w:rPr>
        <w:t>). Pranešdami apie šalutinį poveikį galite mums padėti gauti daugiau informacijos apie šio vaisto saugumą.</w:t>
      </w:r>
    </w:p>
    <w:p w14:paraId="02E1095C" w14:textId="77777777" w:rsidR="008A305D" w:rsidRPr="00BA3FBD" w:rsidRDefault="008A305D" w:rsidP="008A305D">
      <w:pPr>
        <w:autoSpaceDE w:val="0"/>
        <w:autoSpaceDN w:val="0"/>
        <w:adjustRightInd w:val="0"/>
        <w:rPr>
          <w:rFonts w:eastAsia="Calibri"/>
          <w:sz w:val="22"/>
          <w:szCs w:val="22"/>
        </w:rPr>
      </w:pPr>
    </w:p>
    <w:p w14:paraId="0E30CEA4" w14:textId="77777777" w:rsidR="008A305D" w:rsidRPr="00BA3FBD" w:rsidRDefault="008A305D" w:rsidP="008A305D">
      <w:pPr>
        <w:autoSpaceDE w:val="0"/>
        <w:autoSpaceDN w:val="0"/>
        <w:adjustRightInd w:val="0"/>
        <w:rPr>
          <w:rFonts w:eastAsia="Calibri"/>
          <w:sz w:val="22"/>
          <w:szCs w:val="22"/>
        </w:rPr>
      </w:pPr>
    </w:p>
    <w:p w14:paraId="0174103F" w14:textId="77777777" w:rsidR="008A305D" w:rsidRPr="00BA3FBD" w:rsidRDefault="008A305D" w:rsidP="008A305D">
      <w:pPr>
        <w:pStyle w:val="Sraopastraipa"/>
        <w:numPr>
          <w:ilvl w:val="0"/>
          <w:numId w:val="2"/>
        </w:numPr>
        <w:autoSpaceDE w:val="0"/>
        <w:autoSpaceDN w:val="0"/>
        <w:adjustRightInd w:val="0"/>
        <w:ind w:left="567" w:hanging="567"/>
        <w:rPr>
          <w:rFonts w:eastAsia="Calibri"/>
          <w:b/>
          <w:sz w:val="22"/>
          <w:szCs w:val="22"/>
        </w:rPr>
      </w:pPr>
      <w:r w:rsidRPr="00BA3FBD">
        <w:rPr>
          <w:rFonts w:eastAsia="Calibri"/>
          <w:b/>
          <w:bCs/>
          <w:sz w:val="22"/>
          <w:szCs w:val="22"/>
        </w:rPr>
        <w:t xml:space="preserve">Kaip laikyti Imatinib Actavis Group </w:t>
      </w:r>
    </w:p>
    <w:p w14:paraId="5CA000E0" w14:textId="77777777" w:rsidR="008A305D" w:rsidRPr="00BA3FBD" w:rsidRDefault="008A305D" w:rsidP="008A305D">
      <w:pPr>
        <w:autoSpaceDE w:val="0"/>
        <w:autoSpaceDN w:val="0"/>
        <w:adjustRightInd w:val="0"/>
        <w:spacing w:after="38"/>
        <w:rPr>
          <w:rFonts w:eastAsia="Calibri"/>
          <w:sz w:val="22"/>
          <w:szCs w:val="22"/>
        </w:rPr>
      </w:pPr>
    </w:p>
    <w:p w14:paraId="014E6FDD" w14:textId="77777777" w:rsidR="008A305D" w:rsidRDefault="008A305D" w:rsidP="008A305D">
      <w:pPr>
        <w:autoSpaceDE w:val="0"/>
        <w:autoSpaceDN w:val="0"/>
        <w:adjustRightInd w:val="0"/>
        <w:rPr>
          <w:rFonts w:eastAsia="Calibri"/>
          <w:sz w:val="22"/>
          <w:szCs w:val="22"/>
        </w:rPr>
      </w:pPr>
      <w:r w:rsidRPr="00BA3FBD">
        <w:rPr>
          <w:rFonts w:eastAsia="Calibri"/>
          <w:sz w:val="22"/>
          <w:szCs w:val="22"/>
        </w:rPr>
        <w:t xml:space="preserve">Šį vaistą laikykite vaikams nepastebimoje ir nepasiekiamoje vietoje. </w:t>
      </w:r>
    </w:p>
    <w:p w14:paraId="39263219" w14:textId="77777777" w:rsidR="008A305D" w:rsidRPr="00BA3FBD" w:rsidRDefault="008A305D" w:rsidP="008A305D">
      <w:pPr>
        <w:rPr>
          <w:sz w:val="22"/>
          <w:szCs w:val="22"/>
        </w:rPr>
      </w:pPr>
      <w:r w:rsidRPr="00BA3FBD">
        <w:rPr>
          <w:rFonts w:eastAsia="Calibri"/>
          <w:sz w:val="22"/>
          <w:szCs w:val="22"/>
        </w:rPr>
        <w:t xml:space="preserve">Ant dėžutės ir lizdinės plokštelės po “Tinka iki/EXP” nurodytam tinkamumo laikui pasibaigus, šio vaisto vartoti negalima. </w:t>
      </w:r>
      <w:r w:rsidRPr="00BA3FBD">
        <w:rPr>
          <w:sz w:val="22"/>
          <w:szCs w:val="22"/>
        </w:rPr>
        <w:t>Vaistas tinkamas vartoti iki paskutinės nurodyto mėnesio dienos.</w:t>
      </w:r>
    </w:p>
    <w:p w14:paraId="095CC77F" w14:textId="77777777" w:rsidR="008A305D" w:rsidRDefault="008A305D" w:rsidP="008A305D">
      <w:pPr>
        <w:autoSpaceDE w:val="0"/>
        <w:autoSpaceDN w:val="0"/>
        <w:adjustRightInd w:val="0"/>
        <w:rPr>
          <w:rFonts w:eastAsia="Calibri"/>
          <w:sz w:val="22"/>
          <w:szCs w:val="22"/>
        </w:rPr>
      </w:pPr>
      <w:r>
        <w:rPr>
          <w:rFonts w:eastAsia="Calibri"/>
          <w:sz w:val="22"/>
          <w:szCs w:val="22"/>
        </w:rPr>
        <w:t>Šiam vaistui specialių laikymo sąlygų nereikia.</w:t>
      </w:r>
    </w:p>
    <w:p w14:paraId="475E0CFB"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Negalima vartoti vaisto iš pakuotės, kuri yra pažeista ar yra sugedimo požymių. </w:t>
      </w:r>
    </w:p>
    <w:p w14:paraId="7E24DBB6" w14:textId="77777777" w:rsidR="008A305D" w:rsidRPr="00BA3FBD" w:rsidRDefault="008A305D" w:rsidP="008A305D">
      <w:pPr>
        <w:autoSpaceDE w:val="0"/>
        <w:autoSpaceDN w:val="0"/>
        <w:adjustRightInd w:val="0"/>
        <w:rPr>
          <w:sz w:val="22"/>
          <w:szCs w:val="22"/>
        </w:rPr>
      </w:pPr>
    </w:p>
    <w:p w14:paraId="670DCFD9" w14:textId="77777777" w:rsidR="008A305D" w:rsidRPr="00BA3FBD" w:rsidRDefault="008A305D" w:rsidP="008A305D">
      <w:pPr>
        <w:autoSpaceDE w:val="0"/>
        <w:autoSpaceDN w:val="0"/>
        <w:adjustRightInd w:val="0"/>
        <w:rPr>
          <w:rFonts w:eastAsia="Calibri"/>
          <w:sz w:val="22"/>
          <w:szCs w:val="22"/>
        </w:rPr>
      </w:pPr>
      <w:r w:rsidRPr="00BA3FBD">
        <w:rPr>
          <w:sz w:val="22"/>
          <w:szCs w:val="22"/>
        </w:rPr>
        <w:t>Vaistų negalima išmesti į kanalizaciją arba su buitinėmis atliekomis. Kaip išmesti nereikalingus vaistus, klauskite vaistininko. Šios priemonės padės apsaugoti aplinką.</w:t>
      </w:r>
    </w:p>
    <w:p w14:paraId="17EBA5E8" w14:textId="77777777" w:rsidR="008A305D" w:rsidRPr="00BA3FBD" w:rsidRDefault="008A305D" w:rsidP="008A305D">
      <w:pPr>
        <w:autoSpaceDE w:val="0"/>
        <w:autoSpaceDN w:val="0"/>
        <w:adjustRightInd w:val="0"/>
        <w:rPr>
          <w:rFonts w:eastAsia="Calibri"/>
          <w:sz w:val="22"/>
          <w:szCs w:val="22"/>
        </w:rPr>
      </w:pPr>
    </w:p>
    <w:p w14:paraId="4648623D" w14:textId="77777777" w:rsidR="008A305D" w:rsidRPr="00BA3FBD" w:rsidRDefault="008A305D" w:rsidP="008A305D">
      <w:pPr>
        <w:autoSpaceDE w:val="0"/>
        <w:autoSpaceDN w:val="0"/>
        <w:adjustRightInd w:val="0"/>
        <w:rPr>
          <w:rFonts w:eastAsia="Calibri"/>
          <w:sz w:val="22"/>
          <w:szCs w:val="22"/>
        </w:rPr>
      </w:pPr>
    </w:p>
    <w:p w14:paraId="61ED9766" w14:textId="77777777" w:rsidR="008A305D" w:rsidRPr="00BA3FBD" w:rsidRDefault="008A305D" w:rsidP="008A305D">
      <w:pPr>
        <w:pStyle w:val="Sraopastraipa"/>
        <w:numPr>
          <w:ilvl w:val="0"/>
          <w:numId w:val="2"/>
        </w:numPr>
        <w:autoSpaceDE w:val="0"/>
        <w:autoSpaceDN w:val="0"/>
        <w:adjustRightInd w:val="0"/>
        <w:ind w:hanging="720"/>
        <w:rPr>
          <w:rFonts w:eastAsia="Calibri"/>
          <w:sz w:val="22"/>
          <w:szCs w:val="22"/>
        </w:rPr>
      </w:pPr>
      <w:r w:rsidRPr="00BA3FBD">
        <w:rPr>
          <w:rFonts w:eastAsia="Calibri"/>
          <w:b/>
          <w:bCs/>
          <w:sz w:val="22"/>
          <w:szCs w:val="22"/>
        </w:rPr>
        <w:t xml:space="preserve">Pakuotės turinys ir kita informacija </w:t>
      </w:r>
    </w:p>
    <w:p w14:paraId="72D60AB4" w14:textId="77777777" w:rsidR="008A305D" w:rsidRPr="00BA3FBD" w:rsidRDefault="008A305D" w:rsidP="008A305D">
      <w:pPr>
        <w:autoSpaceDE w:val="0"/>
        <w:autoSpaceDN w:val="0"/>
        <w:adjustRightInd w:val="0"/>
        <w:rPr>
          <w:rFonts w:eastAsia="Calibri"/>
          <w:sz w:val="22"/>
          <w:szCs w:val="22"/>
        </w:rPr>
      </w:pPr>
    </w:p>
    <w:p w14:paraId="186595C0" w14:textId="77777777" w:rsidR="008A305D" w:rsidRPr="00BA3FBD" w:rsidRDefault="008A305D" w:rsidP="008A305D">
      <w:pPr>
        <w:autoSpaceDE w:val="0"/>
        <w:autoSpaceDN w:val="0"/>
        <w:adjustRightInd w:val="0"/>
        <w:rPr>
          <w:rFonts w:eastAsia="Calibri"/>
          <w:b/>
          <w:bCs/>
          <w:sz w:val="22"/>
          <w:szCs w:val="22"/>
        </w:rPr>
      </w:pPr>
      <w:r w:rsidRPr="00BA3FBD">
        <w:rPr>
          <w:rFonts w:eastAsia="Calibri"/>
          <w:b/>
          <w:bCs/>
          <w:sz w:val="22"/>
          <w:szCs w:val="22"/>
        </w:rPr>
        <w:lastRenderedPageBreak/>
        <w:t xml:space="preserve">Imatinib Actavis Group sudėtis </w:t>
      </w:r>
    </w:p>
    <w:p w14:paraId="0C2EB20E" w14:textId="77777777" w:rsidR="008A305D" w:rsidRPr="00BA3FBD" w:rsidRDefault="008A305D" w:rsidP="008A305D">
      <w:pPr>
        <w:autoSpaceDE w:val="0"/>
        <w:autoSpaceDN w:val="0"/>
        <w:adjustRightInd w:val="0"/>
        <w:ind w:left="720" w:hanging="720"/>
        <w:rPr>
          <w:rFonts w:eastAsia="Calibri"/>
          <w:sz w:val="22"/>
          <w:szCs w:val="22"/>
        </w:rPr>
      </w:pPr>
      <w:r w:rsidRPr="00BA3FBD">
        <w:rPr>
          <w:rFonts w:eastAsia="Calibri"/>
          <w:sz w:val="22"/>
          <w:szCs w:val="22"/>
        </w:rPr>
        <w:t>-</w:t>
      </w:r>
      <w:r w:rsidRPr="00BA3FBD">
        <w:rPr>
          <w:rFonts w:eastAsia="Calibri"/>
          <w:sz w:val="22"/>
          <w:szCs w:val="22"/>
        </w:rPr>
        <w:tab/>
        <w:t>Veiklioji medžiaga yra imatinib</w:t>
      </w:r>
      <w:r>
        <w:rPr>
          <w:rFonts w:eastAsia="Calibri"/>
          <w:sz w:val="22"/>
          <w:szCs w:val="22"/>
        </w:rPr>
        <w:t>as</w:t>
      </w:r>
      <w:r w:rsidRPr="00BA3FBD">
        <w:rPr>
          <w:rFonts w:eastAsia="Calibri"/>
          <w:sz w:val="22"/>
          <w:szCs w:val="22"/>
        </w:rPr>
        <w:t xml:space="preserve"> </w:t>
      </w:r>
      <w:r>
        <w:rPr>
          <w:rFonts w:eastAsia="Calibri"/>
          <w:sz w:val="22"/>
          <w:szCs w:val="22"/>
        </w:rPr>
        <w:t>(</w:t>
      </w:r>
      <w:r w:rsidRPr="00BA3FBD">
        <w:rPr>
          <w:rFonts w:eastAsia="Calibri"/>
          <w:sz w:val="22"/>
          <w:szCs w:val="22"/>
        </w:rPr>
        <w:t>mesilat</w:t>
      </w:r>
      <w:r>
        <w:rPr>
          <w:rFonts w:eastAsia="Calibri"/>
          <w:sz w:val="22"/>
          <w:szCs w:val="22"/>
        </w:rPr>
        <w:t>o pavidalu)</w:t>
      </w:r>
      <w:r w:rsidRPr="00BA3FBD">
        <w:rPr>
          <w:rFonts w:eastAsia="Calibri"/>
          <w:sz w:val="22"/>
          <w:szCs w:val="22"/>
        </w:rPr>
        <w:t xml:space="preserve">. Kiekvienoje plėvele dengtoje tabletėje yra 119,5 mg imatinibo mesilato, kas atitinka 100 mg imatinibo. </w:t>
      </w:r>
    </w:p>
    <w:p w14:paraId="76718B9D" w14:textId="77777777" w:rsidR="008A305D" w:rsidRPr="00BA3FBD" w:rsidRDefault="008A305D" w:rsidP="008A305D">
      <w:pPr>
        <w:autoSpaceDE w:val="0"/>
        <w:autoSpaceDN w:val="0"/>
        <w:adjustRightInd w:val="0"/>
        <w:ind w:left="720" w:hanging="720"/>
        <w:rPr>
          <w:rFonts w:eastAsia="Calibri"/>
          <w:color w:val="000000"/>
          <w:sz w:val="22"/>
          <w:szCs w:val="22"/>
        </w:rPr>
      </w:pPr>
      <w:r w:rsidRPr="00BA3FBD">
        <w:rPr>
          <w:rFonts w:eastAsia="Calibri"/>
          <w:sz w:val="22"/>
          <w:szCs w:val="22"/>
        </w:rPr>
        <w:t>-</w:t>
      </w:r>
      <w:r w:rsidRPr="00BA3FBD">
        <w:rPr>
          <w:rFonts w:eastAsia="Calibri"/>
          <w:sz w:val="22"/>
          <w:szCs w:val="22"/>
        </w:rPr>
        <w:tab/>
        <w:t>Pagalbinės medžiagos yra hipromeliozė</w:t>
      </w:r>
      <w:r>
        <w:rPr>
          <w:rFonts w:eastAsia="Calibri"/>
          <w:sz w:val="22"/>
          <w:szCs w:val="22"/>
        </w:rPr>
        <w:t xml:space="preserve"> (E464)</w:t>
      </w:r>
      <w:r w:rsidRPr="00BA3FBD">
        <w:rPr>
          <w:rFonts w:eastAsia="Calibri"/>
          <w:sz w:val="22"/>
          <w:szCs w:val="22"/>
        </w:rPr>
        <w:t xml:space="preserve">, </w:t>
      </w:r>
      <w:r w:rsidRPr="00BA3FBD">
        <w:rPr>
          <w:rFonts w:eastAsia="Calibri"/>
          <w:color w:val="000000"/>
          <w:sz w:val="22"/>
          <w:szCs w:val="22"/>
        </w:rPr>
        <w:t xml:space="preserve">mikrokristalinė celiuliozė, laktozė monohidratas, krospovidonas, koloidinis bevandenis silicio dioksidas, magnio stearatas, makrogolis (E1521), talkas (E553b), geltonasis geležies oksidas (E172) ir raudonasis geležies oksidas (E172). </w:t>
      </w:r>
    </w:p>
    <w:p w14:paraId="7D05FFA4" w14:textId="77777777" w:rsidR="008A305D" w:rsidRPr="00BA3FBD" w:rsidRDefault="008A305D" w:rsidP="008A305D">
      <w:pPr>
        <w:autoSpaceDE w:val="0"/>
        <w:autoSpaceDN w:val="0"/>
        <w:adjustRightInd w:val="0"/>
        <w:rPr>
          <w:rFonts w:eastAsia="Calibri"/>
          <w:color w:val="000000"/>
          <w:sz w:val="22"/>
          <w:szCs w:val="22"/>
        </w:rPr>
      </w:pPr>
    </w:p>
    <w:p w14:paraId="6A2D2F49"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Imatinib Actavis Group išvaizda ir kiekis pakuotėje </w:t>
      </w:r>
    </w:p>
    <w:p w14:paraId="627BF555" w14:textId="77777777" w:rsidR="008A305D" w:rsidRPr="00BA3FBD" w:rsidRDefault="008A305D" w:rsidP="008A305D">
      <w:pPr>
        <w:pStyle w:val="Default"/>
        <w:rPr>
          <w:rFonts w:ascii="Times New Roman" w:hAnsi="Times New Roman" w:cs="Times New Roman"/>
          <w:color w:val="auto"/>
          <w:sz w:val="22"/>
          <w:szCs w:val="22"/>
          <w:lang w:val="lt-LT"/>
        </w:rPr>
      </w:pPr>
      <w:r w:rsidRPr="00BA3FBD">
        <w:rPr>
          <w:rFonts w:ascii="Times New Roman" w:hAnsi="Times New Roman" w:cs="Times New Roman"/>
          <w:color w:val="auto"/>
          <w:sz w:val="22"/>
          <w:szCs w:val="22"/>
          <w:lang w:val="lt-LT"/>
        </w:rPr>
        <w:t>Rusvai oranžinės spalvos, apvali</w:t>
      </w:r>
      <w:r>
        <w:rPr>
          <w:rFonts w:ascii="Times New Roman" w:hAnsi="Times New Roman" w:cs="Times New Roman"/>
          <w:color w:val="auto"/>
          <w:sz w:val="22"/>
          <w:szCs w:val="22"/>
          <w:lang w:val="lt-LT"/>
        </w:rPr>
        <w:t>os</w:t>
      </w:r>
      <w:r w:rsidRPr="00BA3FBD">
        <w:rPr>
          <w:rFonts w:ascii="Times New Roman" w:hAnsi="Times New Roman" w:cs="Times New Roman"/>
          <w:color w:val="auto"/>
          <w:sz w:val="22"/>
          <w:szCs w:val="22"/>
          <w:lang w:val="lt-LT"/>
        </w:rPr>
        <w:t>, 10,5 mm diametro, abipusiai išgaubt</w:t>
      </w:r>
      <w:r>
        <w:rPr>
          <w:rFonts w:ascii="Times New Roman" w:hAnsi="Times New Roman" w:cs="Times New Roman"/>
          <w:color w:val="auto"/>
          <w:sz w:val="22"/>
          <w:szCs w:val="22"/>
          <w:lang w:val="lt-LT"/>
        </w:rPr>
        <w:t>os</w:t>
      </w:r>
      <w:r w:rsidRPr="00BA3FBD">
        <w:rPr>
          <w:rFonts w:ascii="Times New Roman" w:hAnsi="Times New Roman" w:cs="Times New Roman"/>
          <w:color w:val="auto"/>
          <w:sz w:val="22"/>
          <w:szCs w:val="22"/>
          <w:lang w:val="lt-LT"/>
        </w:rPr>
        <w:t xml:space="preserve"> plėvele dengtos tabletė</w:t>
      </w:r>
      <w:r>
        <w:rPr>
          <w:rFonts w:ascii="Times New Roman" w:hAnsi="Times New Roman" w:cs="Times New Roman"/>
          <w:color w:val="auto"/>
          <w:sz w:val="22"/>
          <w:szCs w:val="22"/>
          <w:lang w:val="lt-LT"/>
        </w:rPr>
        <w:t>s</w:t>
      </w:r>
      <w:r w:rsidRPr="00BA3FBD">
        <w:rPr>
          <w:rFonts w:ascii="Times New Roman" w:hAnsi="Times New Roman" w:cs="Times New Roman"/>
          <w:color w:val="auto"/>
          <w:sz w:val="22"/>
          <w:szCs w:val="22"/>
          <w:lang w:val="lt-LT"/>
        </w:rPr>
        <w:t xml:space="preserve"> be vagelių ar ženklinimo. </w:t>
      </w:r>
    </w:p>
    <w:p w14:paraId="487FBAB6" w14:textId="77777777" w:rsidR="008A305D" w:rsidRPr="00BA3FBD" w:rsidRDefault="008A305D" w:rsidP="008A305D">
      <w:pPr>
        <w:pStyle w:val="Default"/>
        <w:rPr>
          <w:rFonts w:ascii="Times New Roman" w:hAnsi="Times New Roman" w:cs="Times New Roman"/>
          <w:color w:val="auto"/>
          <w:sz w:val="22"/>
          <w:szCs w:val="22"/>
          <w:lang w:val="lt-LT"/>
        </w:rPr>
      </w:pPr>
    </w:p>
    <w:p w14:paraId="672AA31E" w14:textId="77777777" w:rsidR="008A305D" w:rsidRPr="00BA3FBD" w:rsidRDefault="008A305D" w:rsidP="008A305D">
      <w:pPr>
        <w:autoSpaceDE w:val="0"/>
        <w:autoSpaceDN w:val="0"/>
        <w:adjustRightInd w:val="0"/>
        <w:rPr>
          <w:rFonts w:eastAsia="Calibri"/>
          <w:i/>
          <w:sz w:val="22"/>
          <w:szCs w:val="22"/>
        </w:rPr>
      </w:pPr>
      <w:r w:rsidRPr="00BA3FBD">
        <w:rPr>
          <w:rFonts w:eastAsia="Calibri"/>
          <w:i/>
          <w:sz w:val="22"/>
          <w:szCs w:val="22"/>
        </w:rPr>
        <w:t>Pakuočių dydžiai:</w:t>
      </w:r>
    </w:p>
    <w:p w14:paraId="69C0AF48"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Plėvele dengtos tabletės supakuotos į lizdines plokšteles po 30, 60, 90 ir 120 </w:t>
      </w:r>
      <w:r>
        <w:rPr>
          <w:rFonts w:eastAsia="Calibri"/>
          <w:sz w:val="22"/>
          <w:szCs w:val="22"/>
        </w:rPr>
        <w:t xml:space="preserve">plėve dengtų </w:t>
      </w:r>
      <w:r w:rsidRPr="00BA3FBD">
        <w:rPr>
          <w:rFonts w:eastAsia="Calibri"/>
          <w:sz w:val="22"/>
          <w:szCs w:val="22"/>
        </w:rPr>
        <w:t>tablečių pakuotėje.</w:t>
      </w:r>
    </w:p>
    <w:p w14:paraId="201140E3" w14:textId="77777777" w:rsidR="008A305D" w:rsidRPr="00BA3FBD" w:rsidRDefault="008A305D" w:rsidP="008A305D">
      <w:pPr>
        <w:autoSpaceDE w:val="0"/>
        <w:autoSpaceDN w:val="0"/>
        <w:adjustRightInd w:val="0"/>
        <w:rPr>
          <w:rFonts w:eastAsia="Calibri"/>
          <w:sz w:val="22"/>
          <w:szCs w:val="22"/>
        </w:rPr>
      </w:pPr>
    </w:p>
    <w:p w14:paraId="50F3153D"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Gali būti tiekiamos ne visų dydžių pakuotės.</w:t>
      </w:r>
    </w:p>
    <w:p w14:paraId="188297A9" w14:textId="77777777" w:rsidR="008A305D" w:rsidRPr="00BA3FBD" w:rsidRDefault="008A305D" w:rsidP="008A305D">
      <w:pPr>
        <w:pStyle w:val="Default"/>
        <w:rPr>
          <w:rFonts w:ascii="Times New Roman" w:hAnsi="Times New Roman" w:cs="Times New Roman"/>
          <w:color w:val="auto"/>
          <w:sz w:val="22"/>
          <w:szCs w:val="22"/>
          <w:lang w:val="lt-LT"/>
        </w:rPr>
      </w:pPr>
    </w:p>
    <w:p w14:paraId="6500E158" w14:textId="77777777" w:rsidR="008A305D" w:rsidRPr="00BA3FBD" w:rsidRDefault="008A305D" w:rsidP="008A305D">
      <w:pPr>
        <w:autoSpaceDE w:val="0"/>
        <w:autoSpaceDN w:val="0"/>
        <w:adjustRightInd w:val="0"/>
        <w:rPr>
          <w:rFonts w:eastAsia="Calibri"/>
          <w:b/>
          <w:bCs/>
          <w:sz w:val="22"/>
          <w:szCs w:val="22"/>
        </w:rPr>
      </w:pPr>
      <w:r w:rsidRPr="00BA3FBD">
        <w:rPr>
          <w:rFonts w:eastAsia="Calibri"/>
          <w:b/>
          <w:bCs/>
          <w:sz w:val="22"/>
          <w:szCs w:val="22"/>
        </w:rPr>
        <w:t>Registruotojas ir gamintojas</w:t>
      </w:r>
    </w:p>
    <w:p w14:paraId="6DD1DA96" w14:textId="77777777" w:rsidR="008A305D" w:rsidRPr="00BA3FBD" w:rsidRDefault="008A305D" w:rsidP="008A305D">
      <w:pPr>
        <w:autoSpaceDE w:val="0"/>
        <w:autoSpaceDN w:val="0"/>
        <w:adjustRightInd w:val="0"/>
        <w:rPr>
          <w:rFonts w:eastAsia="Calibri"/>
          <w:b/>
          <w:bCs/>
          <w:sz w:val="22"/>
          <w:szCs w:val="22"/>
        </w:rPr>
      </w:pPr>
    </w:p>
    <w:p w14:paraId="26BBA2BB" w14:textId="77777777" w:rsidR="008A305D" w:rsidRPr="00BA3FBD" w:rsidRDefault="008A305D" w:rsidP="008A305D">
      <w:pPr>
        <w:autoSpaceDE w:val="0"/>
        <w:autoSpaceDN w:val="0"/>
        <w:adjustRightInd w:val="0"/>
        <w:rPr>
          <w:rFonts w:eastAsia="Calibri"/>
          <w:i/>
          <w:sz w:val="22"/>
          <w:szCs w:val="22"/>
        </w:rPr>
      </w:pPr>
      <w:r w:rsidRPr="00BA3FBD">
        <w:rPr>
          <w:rFonts w:eastAsia="Calibri"/>
          <w:bCs/>
          <w:i/>
          <w:sz w:val="22"/>
          <w:szCs w:val="22"/>
        </w:rPr>
        <w:t>Registruotojas</w:t>
      </w:r>
    </w:p>
    <w:p w14:paraId="075EAB8A" w14:textId="77777777" w:rsidR="008A305D" w:rsidRPr="00BA3FBD" w:rsidRDefault="008A305D" w:rsidP="008A305D">
      <w:pPr>
        <w:autoSpaceDE w:val="0"/>
        <w:autoSpaceDN w:val="0"/>
        <w:adjustRightInd w:val="0"/>
        <w:rPr>
          <w:sz w:val="22"/>
          <w:szCs w:val="22"/>
        </w:rPr>
      </w:pPr>
      <w:r w:rsidRPr="00BA3FBD">
        <w:rPr>
          <w:sz w:val="22"/>
          <w:szCs w:val="22"/>
        </w:rPr>
        <w:t>Actavis Group PTC ehf.</w:t>
      </w:r>
    </w:p>
    <w:p w14:paraId="55E78B2C" w14:textId="77777777" w:rsidR="008A305D" w:rsidRPr="00BA3FBD" w:rsidRDefault="008A305D" w:rsidP="008A305D">
      <w:pPr>
        <w:autoSpaceDE w:val="0"/>
        <w:autoSpaceDN w:val="0"/>
        <w:adjustRightInd w:val="0"/>
        <w:rPr>
          <w:sz w:val="22"/>
          <w:szCs w:val="22"/>
        </w:rPr>
      </w:pPr>
      <w:r w:rsidRPr="00BA3FBD">
        <w:rPr>
          <w:sz w:val="22"/>
          <w:szCs w:val="22"/>
        </w:rPr>
        <w:t>Reykjavíkurvegi 76-78</w:t>
      </w:r>
    </w:p>
    <w:p w14:paraId="2ED3001C" w14:textId="77777777" w:rsidR="008A305D" w:rsidRPr="00BA3FBD" w:rsidRDefault="008A305D" w:rsidP="008A305D">
      <w:pPr>
        <w:autoSpaceDE w:val="0"/>
        <w:autoSpaceDN w:val="0"/>
        <w:adjustRightInd w:val="0"/>
        <w:rPr>
          <w:sz w:val="22"/>
          <w:szCs w:val="22"/>
        </w:rPr>
      </w:pPr>
      <w:r w:rsidRPr="00BA3FBD">
        <w:rPr>
          <w:sz w:val="22"/>
          <w:szCs w:val="22"/>
        </w:rPr>
        <w:t>220 Hafnarfjörður</w:t>
      </w:r>
    </w:p>
    <w:p w14:paraId="6FB805F0" w14:textId="77777777" w:rsidR="008A305D" w:rsidRPr="00BA3FBD" w:rsidRDefault="008A305D" w:rsidP="008A305D">
      <w:pPr>
        <w:autoSpaceDE w:val="0"/>
        <w:autoSpaceDN w:val="0"/>
        <w:adjustRightInd w:val="0"/>
        <w:rPr>
          <w:sz w:val="22"/>
          <w:szCs w:val="22"/>
        </w:rPr>
      </w:pPr>
      <w:r w:rsidRPr="00BA3FBD">
        <w:rPr>
          <w:sz w:val="22"/>
          <w:szCs w:val="22"/>
        </w:rPr>
        <w:t>Islandija</w:t>
      </w:r>
    </w:p>
    <w:p w14:paraId="01C8CB3E" w14:textId="77777777" w:rsidR="008A305D" w:rsidRPr="00BA3FBD" w:rsidRDefault="008A305D" w:rsidP="008A305D">
      <w:pPr>
        <w:autoSpaceDE w:val="0"/>
        <w:autoSpaceDN w:val="0"/>
        <w:adjustRightInd w:val="0"/>
        <w:rPr>
          <w:rFonts w:eastAsia="Calibri"/>
          <w:b/>
          <w:bCs/>
          <w:sz w:val="22"/>
          <w:szCs w:val="22"/>
        </w:rPr>
      </w:pPr>
    </w:p>
    <w:p w14:paraId="0F29B12A" w14:textId="77777777" w:rsidR="008A305D" w:rsidRPr="00BA3FBD" w:rsidRDefault="008A305D" w:rsidP="008A305D">
      <w:pPr>
        <w:autoSpaceDE w:val="0"/>
        <w:autoSpaceDN w:val="0"/>
        <w:adjustRightInd w:val="0"/>
        <w:rPr>
          <w:rFonts w:eastAsia="Calibri"/>
          <w:i/>
          <w:sz w:val="22"/>
          <w:szCs w:val="22"/>
        </w:rPr>
      </w:pPr>
      <w:r w:rsidRPr="00BA3FBD">
        <w:rPr>
          <w:rFonts w:eastAsia="Calibri"/>
          <w:bCs/>
          <w:i/>
          <w:sz w:val="22"/>
          <w:szCs w:val="22"/>
        </w:rPr>
        <w:t xml:space="preserve">Gamintojas </w:t>
      </w:r>
    </w:p>
    <w:p w14:paraId="4D7E4F1B" w14:textId="77777777" w:rsidR="008A305D" w:rsidRPr="00BA3FBD" w:rsidRDefault="008A305D" w:rsidP="008A305D">
      <w:pPr>
        <w:rPr>
          <w:rFonts w:eastAsia="Calibri"/>
          <w:sz w:val="22"/>
          <w:szCs w:val="22"/>
        </w:rPr>
      </w:pPr>
      <w:r w:rsidRPr="00BA3FBD">
        <w:rPr>
          <w:rFonts w:eastAsia="Calibri"/>
          <w:sz w:val="22"/>
          <w:szCs w:val="22"/>
        </w:rPr>
        <w:t xml:space="preserve">Actavis Group PTC ehf. </w:t>
      </w:r>
    </w:p>
    <w:p w14:paraId="01ADAE28" w14:textId="77777777" w:rsidR="008A305D" w:rsidRPr="00BA3FBD" w:rsidRDefault="008A305D" w:rsidP="008A305D">
      <w:pPr>
        <w:rPr>
          <w:rFonts w:eastAsia="Calibri"/>
          <w:sz w:val="22"/>
          <w:szCs w:val="22"/>
        </w:rPr>
      </w:pPr>
      <w:r w:rsidRPr="00BA3FBD">
        <w:rPr>
          <w:rFonts w:eastAsia="Calibri"/>
          <w:sz w:val="22"/>
          <w:szCs w:val="22"/>
        </w:rPr>
        <w:t>Reykjavíkurvegur 76-78</w:t>
      </w:r>
    </w:p>
    <w:p w14:paraId="7EFEE4DB" w14:textId="77777777" w:rsidR="008A305D" w:rsidRPr="00BA3FBD" w:rsidRDefault="008A305D" w:rsidP="008A305D">
      <w:pPr>
        <w:rPr>
          <w:rFonts w:eastAsia="Calibri"/>
          <w:sz w:val="22"/>
          <w:szCs w:val="22"/>
        </w:rPr>
      </w:pPr>
      <w:r w:rsidRPr="00BA3FBD">
        <w:rPr>
          <w:rFonts w:eastAsia="Calibri"/>
          <w:sz w:val="22"/>
          <w:szCs w:val="22"/>
        </w:rPr>
        <w:t>IS-220 Hafnarfjörður</w:t>
      </w:r>
    </w:p>
    <w:p w14:paraId="139EABD6" w14:textId="77777777" w:rsidR="008A305D" w:rsidRPr="00BA3FBD" w:rsidRDefault="008A305D" w:rsidP="008A305D">
      <w:pPr>
        <w:rPr>
          <w:rFonts w:eastAsia="Calibri"/>
          <w:sz w:val="22"/>
          <w:szCs w:val="22"/>
        </w:rPr>
      </w:pPr>
      <w:r w:rsidRPr="00BA3FBD">
        <w:rPr>
          <w:rFonts w:eastAsia="Calibri"/>
          <w:sz w:val="22"/>
          <w:szCs w:val="22"/>
        </w:rPr>
        <w:t>Islandija</w:t>
      </w:r>
    </w:p>
    <w:p w14:paraId="4932E7F7" w14:textId="77777777" w:rsidR="008A305D" w:rsidRPr="00BA3FBD" w:rsidRDefault="008A305D" w:rsidP="008A305D">
      <w:pPr>
        <w:numPr>
          <w:ilvl w:val="12"/>
          <w:numId w:val="0"/>
        </w:numPr>
        <w:ind w:right="-2"/>
        <w:rPr>
          <w:sz w:val="22"/>
          <w:szCs w:val="22"/>
        </w:rPr>
      </w:pPr>
    </w:p>
    <w:p w14:paraId="40F9C38D" w14:textId="77777777" w:rsidR="008A305D" w:rsidRPr="00BA3FBD" w:rsidRDefault="008A305D" w:rsidP="008A305D">
      <w:pPr>
        <w:numPr>
          <w:ilvl w:val="12"/>
          <w:numId w:val="0"/>
        </w:numPr>
        <w:ind w:right="-2"/>
        <w:rPr>
          <w:sz w:val="22"/>
          <w:szCs w:val="22"/>
        </w:rPr>
      </w:pPr>
      <w:r w:rsidRPr="00BA3FBD">
        <w:rPr>
          <w:sz w:val="22"/>
          <w:szCs w:val="22"/>
        </w:rPr>
        <w:t>Jeigu apie šį vaistą norite sužinoti daugiau, kreipkitės į vietinį registruotojo atstovą.</w:t>
      </w:r>
    </w:p>
    <w:p w14:paraId="48CFC360" w14:textId="77777777" w:rsidR="008A305D" w:rsidRPr="00BA3FBD" w:rsidRDefault="008A305D" w:rsidP="008A305D">
      <w:pPr>
        <w:numPr>
          <w:ilvl w:val="12"/>
          <w:numId w:val="0"/>
        </w:numPr>
        <w:ind w:right="-2"/>
        <w:rPr>
          <w:sz w:val="22"/>
          <w:szCs w:val="22"/>
        </w:rPr>
      </w:pPr>
      <w:r w:rsidRPr="00BA3FBD">
        <w:rPr>
          <w:sz w:val="22"/>
          <w:szCs w:val="22"/>
        </w:rPr>
        <w:t>UAB „Actavis Baltics“</w:t>
      </w:r>
    </w:p>
    <w:p w14:paraId="65871AD5" w14:textId="77777777" w:rsidR="008A305D" w:rsidRPr="00BA3FBD" w:rsidRDefault="008A305D" w:rsidP="008A305D">
      <w:pPr>
        <w:numPr>
          <w:ilvl w:val="12"/>
          <w:numId w:val="0"/>
        </w:numPr>
        <w:ind w:right="-2"/>
        <w:rPr>
          <w:sz w:val="22"/>
          <w:szCs w:val="22"/>
        </w:rPr>
      </w:pPr>
      <w:r w:rsidRPr="00BA3FBD">
        <w:rPr>
          <w:sz w:val="22"/>
          <w:szCs w:val="22"/>
        </w:rPr>
        <w:t>Senasis Ukmergės kelias 4</w:t>
      </w:r>
    </w:p>
    <w:p w14:paraId="0B1D38DF" w14:textId="77777777" w:rsidR="008A305D" w:rsidRPr="00BA3FBD" w:rsidRDefault="008A305D" w:rsidP="008A305D">
      <w:pPr>
        <w:numPr>
          <w:ilvl w:val="12"/>
          <w:numId w:val="0"/>
        </w:numPr>
        <w:ind w:right="-2"/>
        <w:rPr>
          <w:sz w:val="22"/>
          <w:szCs w:val="22"/>
        </w:rPr>
      </w:pPr>
      <w:r w:rsidRPr="00BA3FBD">
        <w:rPr>
          <w:sz w:val="22"/>
          <w:szCs w:val="22"/>
        </w:rPr>
        <w:t>Užubalių k., Avižienių sen.,</w:t>
      </w:r>
    </w:p>
    <w:p w14:paraId="7B1B6E2B" w14:textId="77777777" w:rsidR="008A305D" w:rsidRPr="00BA3FBD" w:rsidRDefault="008A305D" w:rsidP="008A305D">
      <w:pPr>
        <w:numPr>
          <w:ilvl w:val="12"/>
          <w:numId w:val="0"/>
        </w:numPr>
        <w:ind w:right="-2"/>
        <w:rPr>
          <w:sz w:val="22"/>
          <w:szCs w:val="22"/>
        </w:rPr>
      </w:pPr>
      <w:r w:rsidRPr="00BA3FBD">
        <w:rPr>
          <w:sz w:val="22"/>
          <w:szCs w:val="22"/>
        </w:rPr>
        <w:t>LT-14130 Vilniaus ra</w:t>
      </w:r>
      <w:r>
        <w:rPr>
          <w:sz w:val="22"/>
          <w:szCs w:val="22"/>
        </w:rPr>
        <w:t>j.</w:t>
      </w:r>
    </w:p>
    <w:p w14:paraId="665E596F" w14:textId="77777777" w:rsidR="008A305D" w:rsidRPr="00BA3FBD" w:rsidRDefault="008A305D" w:rsidP="008A305D">
      <w:pPr>
        <w:numPr>
          <w:ilvl w:val="12"/>
          <w:numId w:val="0"/>
        </w:numPr>
        <w:ind w:right="-2"/>
        <w:rPr>
          <w:sz w:val="22"/>
          <w:szCs w:val="22"/>
        </w:rPr>
      </w:pPr>
      <w:r w:rsidRPr="00BA3FBD">
        <w:rPr>
          <w:sz w:val="22"/>
          <w:szCs w:val="22"/>
        </w:rPr>
        <w:t>Tel.: +370 5 260 9615</w:t>
      </w:r>
    </w:p>
    <w:p w14:paraId="4C99F43B" w14:textId="77777777" w:rsidR="008A305D" w:rsidRPr="00BA3FBD" w:rsidRDefault="008A305D" w:rsidP="008A305D">
      <w:pPr>
        <w:autoSpaceDE w:val="0"/>
        <w:autoSpaceDN w:val="0"/>
        <w:adjustRightInd w:val="0"/>
        <w:rPr>
          <w:sz w:val="22"/>
          <w:szCs w:val="22"/>
        </w:rPr>
      </w:pPr>
    </w:p>
    <w:p w14:paraId="493B4D68" w14:textId="77777777" w:rsidR="008A305D" w:rsidRPr="00BA3FBD" w:rsidRDefault="008A305D" w:rsidP="008A305D">
      <w:pPr>
        <w:autoSpaceDE w:val="0"/>
        <w:autoSpaceDN w:val="0"/>
        <w:adjustRightInd w:val="0"/>
        <w:rPr>
          <w:sz w:val="22"/>
          <w:szCs w:val="22"/>
        </w:rPr>
      </w:pPr>
      <w:r w:rsidRPr="00BA3FBD">
        <w:rPr>
          <w:b/>
          <w:sz w:val="22"/>
          <w:szCs w:val="22"/>
        </w:rPr>
        <w:t>Šis vaistas EEE valstybėse narėse registruotas tokiais pavadinimais</w:t>
      </w:r>
      <w:r w:rsidRPr="00BA3FBD">
        <w:rPr>
          <w:sz w:val="22"/>
          <w:szCs w:val="22"/>
        </w:rPr>
        <w:t>:</w:t>
      </w:r>
    </w:p>
    <w:p w14:paraId="03155DAF" w14:textId="340129F9" w:rsidR="008A305D" w:rsidRPr="00BA3FBD" w:rsidRDefault="008A305D" w:rsidP="008A305D">
      <w:pPr>
        <w:autoSpaceDE w:val="0"/>
        <w:autoSpaceDN w:val="0"/>
        <w:adjustRightInd w:val="0"/>
        <w:rPr>
          <w:sz w:val="22"/>
          <w:szCs w:val="22"/>
        </w:rPr>
      </w:pPr>
      <w:r w:rsidRPr="00BA3FBD">
        <w:rPr>
          <w:sz w:val="22"/>
          <w:szCs w:val="22"/>
        </w:rPr>
        <w:t>A</w:t>
      </w:r>
      <w:r>
        <w:rPr>
          <w:sz w:val="22"/>
          <w:szCs w:val="22"/>
        </w:rPr>
        <w:t>ustrija</w:t>
      </w:r>
      <w:r w:rsidR="00C7290D">
        <w:rPr>
          <w:sz w:val="22"/>
          <w:szCs w:val="22"/>
        </w:rPr>
        <w:tab/>
      </w:r>
      <w:r w:rsidRPr="00BA3FBD">
        <w:rPr>
          <w:sz w:val="22"/>
          <w:szCs w:val="22"/>
        </w:rPr>
        <w:t>Imatinib Actavis Group 100 mg Filmtabletten</w:t>
      </w:r>
    </w:p>
    <w:p w14:paraId="65B7C050" w14:textId="2BB408DB" w:rsidR="008A305D" w:rsidRPr="00BA3FBD" w:rsidRDefault="008A305D" w:rsidP="008A305D">
      <w:pPr>
        <w:autoSpaceDE w:val="0"/>
        <w:autoSpaceDN w:val="0"/>
        <w:adjustRightInd w:val="0"/>
        <w:rPr>
          <w:sz w:val="22"/>
          <w:szCs w:val="22"/>
        </w:rPr>
      </w:pPr>
      <w:r w:rsidRPr="00BA3FBD">
        <w:rPr>
          <w:sz w:val="22"/>
          <w:szCs w:val="22"/>
        </w:rPr>
        <w:t>B</w:t>
      </w:r>
      <w:r>
        <w:rPr>
          <w:sz w:val="22"/>
          <w:szCs w:val="22"/>
        </w:rPr>
        <w:t>ulgarija</w:t>
      </w:r>
      <w:r w:rsidRPr="00BA3FBD">
        <w:rPr>
          <w:sz w:val="22"/>
          <w:szCs w:val="22"/>
        </w:rPr>
        <w:tab/>
        <w:t>Imatinib Actavis Group (100 mg, 400 mg)</w:t>
      </w:r>
    </w:p>
    <w:p w14:paraId="5559B0AE" w14:textId="6F8C18F2" w:rsidR="008A305D" w:rsidRPr="00BA3FBD" w:rsidRDefault="008A305D" w:rsidP="008A305D">
      <w:pPr>
        <w:autoSpaceDE w:val="0"/>
        <w:autoSpaceDN w:val="0"/>
        <w:adjustRightInd w:val="0"/>
        <w:rPr>
          <w:sz w:val="22"/>
          <w:szCs w:val="22"/>
        </w:rPr>
      </w:pPr>
      <w:r>
        <w:rPr>
          <w:sz w:val="22"/>
          <w:szCs w:val="22"/>
        </w:rPr>
        <w:t>Kipras</w:t>
      </w:r>
      <w:r w:rsidR="00C7290D">
        <w:rPr>
          <w:sz w:val="22"/>
          <w:szCs w:val="22"/>
        </w:rPr>
        <w:tab/>
      </w:r>
      <w:r w:rsidRPr="00BA3FBD">
        <w:rPr>
          <w:sz w:val="22"/>
          <w:szCs w:val="22"/>
        </w:rPr>
        <w:t>Imatinib Actavis Group (100 mg, 200 mg, 300 mg, 400 mg)</w:t>
      </w:r>
    </w:p>
    <w:p w14:paraId="6CDBD81A" w14:textId="35F40629" w:rsidR="008A305D" w:rsidRPr="00BA3FBD" w:rsidRDefault="008A305D" w:rsidP="008A305D">
      <w:pPr>
        <w:autoSpaceDE w:val="0"/>
        <w:autoSpaceDN w:val="0"/>
        <w:adjustRightInd w:val="0"/>
        <w:rPr>
          <w:sz w:val="22"/>
          <w:szCs w:val="22"/>
        </w:rPr>
      </w:pPr>
      <w:r>
        <w:rPr>
          <w:sz w:val="22"/>
          <w:szCs w:val="22"/>
        </w:rPr>
        <w:t>Čekija</w:t>
      </w:r>
      <w:r w:rsidR="00C7290D">
        <w:rPr>
          <w:sz w:val="22"/>
          <w:szCs w:val="22"/>
        </w:rPr>
        <w:tab/>
      </w:r>
      <w:r w:rsidRPr="00BA3FBD">
        <w:rPr>
          <w:sz w:val="22"/>
          <w:szCs w:val="22"/>
        </w:rPr>
        <w:t>Imatinib Actavis Group (100 mg, 400 mg)</w:t>
      </w:r>
    </w:p>
    <w:p w14:paraId="48FE55EE" w14:textId="42E96D09" w:rsidR="008A305D" w:rsidRPr="00BA3FBD" w:rsidRDefault="008A305D" w:rsidP="008A305D">
      <w:pPr>
        <w:autoSpaceDE w:val="0"/>
        <w:autoSpaceDN w:val="0"/>
        <w:adjustRightInd w:val="0"/>
        <w:rPr>
          <w:sz w:val="22"/>
          <w:szCs w:val="22"/>
        </w:rPr>
      </w:pPr>
      <w:r w:rsidRPr="00BA3FBD">
        <w:rPr>
          <w:sz w:val="22"/>
          <w:szCs w:val="22"/>
        </w:rPr>
        <w:lastRenderedPageBreak/>
        <w:t>D</w:t>
      </w:r>
      <w:r>
        <w:rPr>
          <w:sz w:val="22"/>
          <w:szCs w:val="22"/>
        </w:rPr>
        <w:t>anija</w:t>
      </w:r>
      <w:r w:rsidR="00C7290D">
        <w:rPr>
          <w:sz w:val="22"/>
          <w:szCs w:val="22"/>
        </w:rPr>
        <w:tab/>
      </w:r>
      <w:r w:rsidRPr="00BA3FBD">
        <w:rPr>
          <w:sz w:val="22"/>
          <w:szCs w:val="22"/>
        </w:rPr>
        <w:t>Imatinib Actavis Group (100 mg, 200 mg, 300 mg, 400 mg)</w:t>
      </w:r>
    </w:p>
    <w:p w14:paraId="6033684C" w14:textId="3DFB0F4A" w:rsidR="008A305D" w:rsidRPr="00BA3FBD" w:rsidRDefault="008A305D" w:rsidP="008A305D">
      <w:pPr>
        <w:autoSpaceDE w:val="0"/>
        <w:autoSpaceDN w:val="0"/>
        <w:adjustRightInd w:val="0"/>
        <w:rPr>
          <w:sz w:val="22"/>
          <w:szCs w:val="22"/>
        </w:rPr>
      </w:pPr>
      <w:r w:rsidRPr="00BA3FBD">
        <w:rPr>
          <w:sz w:val="22"/>
          <w:szCs w:val="22"/>
        </w:rPr>
        <w:t>E</w:t>
      </w:r>
      <w:r>
        <w:rPr>
          <w:sz w:val="22"/>
          <w:szCs w:val="22"/>
        </w:rPr>
        <w:t>stija</w:t>
      </w:r>
      <w:r w:rsidR="00C7290D">
        <w:rPr>
          <w:sz w:val="22"/>
          <w:szCs w:val="22"/>
        </w:rPr>
        <w:tab/>
      </w:r>
      <w:r w:rsidRPr="00BA3FBD">
        <w:rPr>
          <w:sz w:val="22"/>
          <w:szCs w:val="22"/>
        </w:rPr>
        <w:t>Imatinib Actavis Group (100 mg, 200 mg, 300 mg, 400 mg)</w:t>
      </w:r>
    </w:p>
    <w:p w14:paraId="2F350779" w14:textId="63866CDC" w:rsidR="008A305D" w:rsidRPr="00BA3FBD" w:rsidRDefault="008A305D" w:rsidP="008A305D">
      <w:pPr>
        <w:autoSpaceDE w:val="0"/>
        <w:autoSpaceDN w:val="0"/>
        <w:adjustRightInd w:val="0"/>
        <w:rPr>
          <w:sz w:val="22"/>
          <w:szCs w:val="22"/>
        </w:rPr>
      </w:pPr>
      <w:r>
        <w:rPr>
          <w:sz w:val="22"/>
          <w:szCs w:val="22"/>
        </w:rPr>
        <w:t>Graikija</w:t>
      </w:r>
      <w:r w:rsidRPr="00BA3FBD">
        <w:rPr>
          <w:sz w:val="22"/>
          <w:szCs w:val="22"/>
        </w:rPr>
        <w:tab/>
        <w:t>Imatinib Actavis Group (100 mg, 200 mg, 300 mg, 400 mg)</w:t>
      </w:r>
    </w:p>
    <w:p w14:paraId="206C7AF6" w14:textId="370B321A" w:rsidR="008A305D" w:rsidRPr="00BA3FBD" w:rsidRDefault="008A305D" w:rsidP="008A305D">
      <w:pPr>
        <w:autoSpaceDE w:val="0"/>
        <w:autoSpaceDN w:val="0"/>
        <w:adjustRightInd w:val="0"/>
        <w:rPr>
          <w:sz w:val="22"/>
          <w:szCs w:val="22"/>
        </w:rPr>
      </w:pPr>
      <w:r>
        <w:rPr>
          <w:sz w:val="22"/>
          <w:szCs w:val="22"/>
        </w:rPr>
        <w:t>Suomija</w:t>
      </w:r>
      <w:r w:rsidRPr="00BA3FBD">
        <w:rPr>
          <w:sz w:val="22"/>
          <w:szCs w:val="22"/>
        </w:rPr>
        <w:tab/>
        <w:t>Imatinib Actavis Group (100 mg, 200 mg, 300 mg, 400 mg)</w:t>
      </w:r>
    </w:p>
    <w:p w14:paraId="7CB5E636" w14:textId="438DE4CA" w:rsidR="008A305D" w:rsidRPr="00BA3FBD" w:rsidRDefault="008A305D" w:rsidP="008A305D">
      <w:pPr>
        <w:autoSpaceDE w:val="0"/>
        <w:autoSpaceDN w:val="0"/>
        <w:adjustRightInd w:val="0"/>
        <w:rPr>
          <w:sz w:val="22"/>
          <w:szCs w:val="22"/>
        </w:rPr>
      </w:pPr>
      <w:r>
        <w:rPr>
          <w:sz w:val="22"/>
          <w:szCs w:val="22"/>
        </w:rPr>
        <w:t>Chorvatija</w:t>
      </w:r>
      <w:r w:rsidRPr="00BA3FBD">
        <w:rPr>
          <w:sz w:val="22"/>
          <w:szCs w:val="22"/>
        </w:rPr>
        <w:tab/>
        <w:t xml:space="preserve">Imatinib Actavis Group 100 mg filmom obložene tablete </w:t>
      </w:r>
    </w:p>
    <w:p w14:paraId="694DA452" w14:textId="358EEEF4" w:rsidR="008A305D" w:rsidRPr="00BA3FBD" w:rsidRDefault="008A305D" w:rsidP="008A305D">
      <w:pPr>
        <w:autoSpaceDE w:val="0"/>
        <w:autoSpaceDN w:val="0"/>
        <w:adjustRightInd w:val="0"/>
        <w:rPr>
          <w:sz w:val="22"/>
          <w:szCs w:val="22"/>
        </w:rPr>
      </w:pPr>
      <w:r>
        <w:rPr>
          <w:sz w:val="22"/>
          <w:szCs w:val="22"/>
        </w:rPr>
        <w:t>Vengrija</w:t>
      </w:r>
      <w:r w:rsidRPr="00BA3FBD">
        <w:rPr>
          <w:sz w:val="22"/>
          <w:szCs w:val="22"/>
        </w:rPr>
        <w:tab/>
        <w:t>Imatinib Actavis Group 100 mg, 200 mg, 300 mg, 400 mg filmtabletta</w:t>
      </w:r>
    </w:p>
    <w:p w14:paraId="62A5BD9F" w14:textId="737C05DB" w:rsidR="008A305D" w:rsidRPr="00BA3FBD" w:rsidRDefault="008A305D" w:rsidP="008A305D">
      <w:pPr>
        <w:autoSpaceDE w:val="0"/>
        <w:autoSpaceDN w:val="0"/>
        <w:adjustRightInd w:val="0"/>
        <w:rPr>
          <w:sz w:val="22"/>
          <w:szCs w:val="22"/>
        </w:rPr>
      </w:pPr>
      <w:r>
        <w:rPr>
          <w:sz w:val="22"/>
          <w:szCs w:val="22"/>
        </w:rPr>
        <w:t>Airija</w:t>
      </w:r>
      <w:r w:rsidR="00C7290D">
        <w:rPr>
          <w:sz w:val="22"/>
          <w:szCs w:val="22"/>
        </w:rPr>
        <w:tab/>
      </w:r>
      <w:r w:rsidRPr="00BA3FBD">
        <w:rPr>
          <w:sz w:val="22"/>
          <w:szCs w:val="22"/>
        </w:rPr>
        <w:t>Imatinib Actavis Group (100 mg, 400 mg)</w:t>
      </w:r>
    </w:p>
    <w:p w14:paraId="0B6862D1" w14:textId="77F9A827" w:rsidR="008A305D" w:rsidRPr="00BA3FBD" w:rsidRDefault="008A305D" w:rsidP="008A305D">
      <w:pPr>
        <w:autoSpaceDE w:val="0"/>
        <w:autoSpaceDN w:val="0"/>
        <w:adjustRightInd w:val="0"/>
        <w:rPr>
          <w:sz w:val="22"/>
          <w:szCs w:val="22"/>
        </w:rPr>
      </w:pPr>
      <w:r w:rsidRPr="00BA3FBD">
        <w:rPr>
          <w:sz w:val="22"/>
          <w:szCs w:val="22"/>
        </w:rPr>
        <w:t>I</w:t>
      </w:r>
      <w:r>
        <w:rPr>
          <w:sz w:val="22"/>
          <w:szCs w:val="22"/>
        </w:rPr>
        <w:t>slandija</w:t>
      </w:r>
      <w:r w:rsidRPr="00BA3FBD">
        <w:rPr>
          <w:sz w:val="22"/>
          <w:szCs w:val="22"/>
        </w:rPr>
        <w:tab/>
        <w:t>Imatinib Actavis Group (100 mg, 200 mg, 300 mg, 400 mg)</w:t>
      </w:r>
    </w:p>
    <w:p w14:paraId="3EA3AE8A" w14:textId="184CF70E" w:rsidR="008A305D" w:rsidRPr="00BA3FBD" w:rsidRDefault="008A305D" w:rsidP="008A305D">
      <w:pPr>
        <w:autoSpaceDE w:val="0"/>
        <w:autoSpaceDN w:val="0"/>
        <w:adjustRightInd w:val="0"/>
        <w:rPr>
          <w:sz w:val="22"/>
          <w:szCs w:val="22"/>
        </w:rPr>
      </w:pPr>
      <w:r>
        <w:rPr>
          <w:sz w:val="22"/>
          <w:szCs w:val="22"/>
        </w:rPr>
        <w:t>Lietuva</w:t>
      </w:r>
      <w:r w:rsidR="00C7290D">
        <w:rPr>
          <w:sz w:val="22"/>
          <w:szCs w:val="22"/>
        </w:rPr>
        <w:tab/>
      </w:r>
      <w:r w:rsidRPr="00BA3FBD">
        <w:rPr>
          <w:sz w:val="22"/>
          <w:szCs w:val="22"/>
        </w:rPr>
        <w:t>Imatinib Actavis Group 100 mg plėvele dengtos tabletės</w:t>
      </w:r>
    </w:p>
    <w:p w14:paraId="286BA9F8" w14:textId="544DF18F" w:rsidR="008A305D" w:rsidRPr="00BA3FBD" w:rsidRDefault="008A305D" w:rsidP="008A305D">
      <w:pPr>
        <w:autoSpaceDE w:val="0"/>
        <w:autoSpaceDN w:val="0"/>
        <w:adjustRightInd w:val="0"/>
        <w:rPr>
          <w:sz w:val="22"/>
          <w:szCs w:val="22"/>
        </w:rPr>
      </w:pPr>
      <w:r>
        <w:rPr>
          <w:sz w:val="22"/>
          <w:szCs w:val="22"/>
        </w:rPr>
        <w:t>Latvija</w:t>
      </w:r>
      <w:r w:rsidR="00C7290D">
        <w:rPr>
          <w:sz w:val="22"/>
          <w:szCs w:val="22"/>
        </w:rPr>
        <w:tab/>
      </w:r>
      <w:r w:rsidRPr="00BA3FBD">
        <w:rPr>
          <w:sz w:val="22"/>
          <w:szCs w:val="22"/>
        </w:rPr>
        <w:t>Imatinib Actavis Group 100 mg apvalkotās tabletes</w:t>
      </w:r>
    </w:p>
    <w:p w14:paraId="45644DA9" w14:textId="179E82B0" w:rsidR="008A305D" w:rsidRPr="00BA3FBD" w:rsidRDefault="008A305D" w:rsidP="008A305D">
      <w:pPr>
        <w:autoSpaceDE w:val="0"/>
        <w:autoSpaceDN w:val="0"/>
        <w:adjustRightInd w:val="0"/>
        <w:rPr>
          <w:sz w:val="22"/>
          <w:szCs w:val="22"/>
        </w:rPr>
      </w:pPr>
      <w:r>
        <w:rPr>
          <w:sz w:val="22"/>
          <w:szCs w:val="22"/>
        </w:rPr>
        <w:t>Malta</w:t>
      </w:r>
      <w:r w:rsidR="00C7290D">
        <w:rPr>
          <w:sz w:val="22"/>
          <w:szCs w:val="22"/>
        </w:rPr>
        <w:tab/>
      </w:r>
      <w:r w:rsidRPr="00BA3FBD">
        <w:rPr>
          <w:sz w:val="22"/>
          <w:szCs w:val="22"/>
        </w:rPr>
        <w:t>Imatinib Actavis Group (100 mg, 200 mg, 300 mg, 400 mg)</w:t>
      </w:r>
    </w:p>
    <w:p w14:paraId="34041992" w14:textId="370859ED" w:rsidR="008A305D" w:rsidRPr="00BA3FBD" w:rsidRDefault="008A305D" w:rsidP="008A305D">
      <w:pPr>
        <w:autoSpaceDE w:val="0"/>
        <w:autoSpaceDN w:val="0"/>
        <w:adjustRightInd w:val="0"/>
        <w:rPr>
          <w:sz w:val="22"/>
          <w:szCs w:val="22"/>
        </w:rPr>
      </w:pPr>
      <w:r>
        <w:rPr>
          <w:sz w:val="22"/>
          <w:szCs w:val="22"/>
        </w:rPr>
        <w:t>Norvegija</w:t>
      </w:r>
      <w:r w:rsidRPr="00BA3FBD">
        <w:rPr>
          <w:sz w:val="22"/>
          <w:szCs w:val="22"/>
        </w:rPr>
        <w:tab/>
        <w:t>Imatinib Actavis Group (100 mg, 200 mg, 300 mg, 400 mg)</w:t>
      </w:r>
    </w:p>
    <w:p w14:paraId="1C55D354" w14:textId="7085AAD7" w:rsidR="008A305D" w:rsidRPr="00BA3FBD" w:rsidRDefault="008A305D" w:rsidP="008A305D">
      <w:pPr>
        <w:autoSpaceDE w:val="0"/>
        <w:autoSpaceDN w:val="0"/>
        <w:adjustRightInd w:val="0"/>
        <w:rPr>
          <w:sz w:val="22"/>
          <w:szCs w:val="22"/>
        </w:rPr>
      </w:pPr>
      <w:r>
        <w:rPr>
          <w:sz w:val="22"/>
          <w:szCs w:val="22"/>
        </w:rPr>
        <w:t>Lenkija</w:t>
      </w:r>
      <w:r w:rsidR="00C7290D">
        <w:rPr>
          <w:sz w:val="22"/>
          <w:szCs w:val="22"/>
        </w:rPr>
        <w:tab/>
      </w:r>
      <w:r w:rsidRPr="00BA3FBD">
        <w:rPr>
          <w:sz w:val="22"/>
          <w:szCs w:val="22"/>
        </w:rPr>
        <w:t>Imatinib Actavis Group (100 mg, 200 mg, 300 mg, 400 mg)</w:t>
      </w:r>
    </w:p>
    <w:p w14:paraId="2398F677" w14:textId="52F7E088" w:rsidR="008A305D" w:rsidRPr="00BA3FBD" w:rsidRDefault="008A305D" w:rsidP="008A305D">
      <w:pPr>
        <w:autoSpaceDE w:val="0"/>
        <w:autoSpaceDN w:val="0"/>
        <w:adjustRightInd w:val="0"/>
        <w:rPr>
          <w:sz w:val="22"/>
          <w:szCs w:val="22"/>
        </w:rPr>
      </w:pPr>
      <w:r>
        <w:rPr>
          <w:sz w:val="22"/>
          <w:szCs w:val="22"/>
        </w:rPr>
        <w:t>Rumunija</w:t>
      </w:r>
      <w:r w:rsidRPr="00BA3FBD">
        <w:rPr>
          <w:sz w:val="22"/>
          <w:szCs w:val="22"/>
        </w:rPr>
        <w:tab/>
        <w:t>Imatinib Actavis Group 100 mg, 400 mg comprimate filmate</w:t>
      </w:r>
    </w:p>
    <w:p w14:paraId="3E33E881" w14:textId="0A6DA6F0" w:rsidR="008A305D" w:rsidRPr="00BA3FBD" w:rsidRDefault="008A305D" w:rsidP="008A305D">
      <w:pPr>
        <w:autoSpaceDE w:val="0"/>
        <w:autoSpaceDN w:val="0"/>
        <w:adjustRightInd w:val="0"/>
        <w:rPr>
          <w:sz w:val="22"/>
          <w:szCs w:val="22"/>
        </w:rPr>
      </w:pPr>
      <w:r>
        <w:rPr>
          <w:sz w:val="22"/>
          <w:szCs w:val="22"/>
        </w:rPr>
        <w:t>Slovėnija</w:t>
      </w:r>
      <w:r w:rsidRPr="00BA3FBD">
        <w:rPr>
          <w:sz w:val="22"/>
          <w:szCs w:val="22"/>
        </w:rPr>
        <w:tab/>
        <w:t>Imatinib Actavis Group, Filmsko obložene tablete (100 mg, 200 mg, 300 mg, 400 mg)</w:t>
      </w:r>
    </w:p>
    <w:p w14:paraId="686B7C52" w14:textId="77777777" w:rsidR="008A305D" w:rsidRPr="00BA3FBD" w:rsidRDefault="008A305D" w:rsidP="008A305D">
      <w:pPr>
        <w:autoSpaceDE w:val="0"/>
        <w:autoSpaceDN w:val="0"/>
        <w:adjustRightInd w:val="0"/>
        <w:rPr>
          <w:sz w:val="22"/>
          <w:szCs w:val="22"/>
        </w:rPr>
      </w:pPr>
      <w:r>
        <w:rPr>
          <w:sz w:val="22"/>
          <w:szCs w:val="22"/>
        </w:rPr>
        <w:t>Slovakija</w:t>
      </w:r>
      <w:r w:rsidRPr="00BA3FBD">
        <w:rPr>
          <w:sz w:val="22"/>
          <w:szCs w:val="22"/>
        </w:rPr>
        <w:tab/>
        <w:t>Imatinib Actavis Group 100 mg</w:t>
      </w:r>
    </w:p>
    <w:p w14:paraId="7E8D3F5C" w14:textId="336A7B49" w:rsidR="008A305D" w:rsidRPr="00BA3FBD" w:rsidRDefault="008A305D" w:rsidP="008A305D">
      <w:pPr>
        <w:autoSpaceDE w:val="0"/>
        <w:autoSpaceDN w:val="0"/>
        <w:adjustRightInd w:val="0"/>
        <w:rPr>
          <w:sz w:val="22"/>
          <w:szCs w:val="22"/>
        </w:rPr>
      </w:pPr>
      <w:r>
        <w:rPr>
          <w:sz w:val="22"/>
          <w:szCs w:val="22"/>
        </w:rPr>
        <w:t>Jungtinė Karalystė</w:t>
      </w:r>
      <w:r w:rsidR="00C7290D">
        <w:rPr>
          <w:sz w:val="22"/>
          <w:szCs w:val="22"/>
        </w:rPr>
        <w:t xml:space="preserve"> </w:t>
      </w:r>
      <w:r w:rsidRPr="00BA3FBD">
        <w:rPr>
          <w:sz w:val="22"/>
          <w:szCs w:val="22"/>
        </w:rPr>
        <w:t xml:space="preserve">Imatinib Actavis Group 100mg Film-coated Tablets </w:t>
      </w:r>
    </w:p>
    <w:p w14:paraId="0BC4AA01" w14:textId="77777777" w:rsidR="008A305D" w:rsidRDefault="008A305D" w:rsidP="008A305D">
      <w:pPr>
        <w:autoSpaceDE w:val="0"/>
        <w:autoSpaceDN w:val="0"/>
        <w:adjustRightInd w:val="0"/>
        <w:contextualSpacing/>
        <w:rPr>
          <w:bCs/>
          <w:sz w:val="22"/>
          <w:szCs w:val="22"/>
        </w:rPr>
      </w:pPr>
    </w:p>
    <w:p w14:paraId="12BAAC54" w14:textId="77777777" w:rsidR="008A305D" w:rsidRPr="00E93274" w:rsidRDefault="008A305D" w:rsidP="008A305D">
      <w:pPr>
        <w:autoSpaceDE w:val="0"/>
        <w:autoSpaceDN w:val="0"/>
        <w:adjustRightInd w:val="0"/>
        <w:contextualSpacing/>
        <w:rPr>
          <w:bCs/>
          <w:sz w:val="22"/>
          <w:szCs w:val="22"/>
        </w:rPr>
      </w:pPr>
    </w:p>
    <w:p w14:paraId="1E71BC54" w14:textId="7C796079" w:rsidR="008A305D" w:rsidRPr="00BA3FBD" w:rsidRDefault="008A305D" w:rsidP="008A305D">
      <w:pPr>
        <w:autoSpaceDE w:val="0"/>
        <w:autoSpaceDN w:val="0"/>
        <w:adjustRightInd w:val="0"/>
        <w:contextualSpacing/>
        <w:rPr>
          <w:b/>
          <w:bCs/>
          <w:sz w:val="22"/>
          <w:szCs w:val="22"/>
        </w:rPr>
      </w:pPr>
      <w:r w:rsidRPr="00BA3FBD">
        <w:rPr>
          <w:b/>
          <w:bCs/>
          <w:sz w:val="22"/>
          <w:szCs w:val="22"/>
        </w:rPr>
        <w:t>Šis pakuotės lapelis paskutinį kartą peržiūrėtas</w:t>
      </w:r>
      <w:r>
        <w:rPr>
          <w:b/>
          <w:bCs/>
          <w:sz w:val="22"/>
          <w:szCs w:val="22"/>
        </w:rPr>
        <w:t xml:space="preserve"> </w:t>
      </w:r>
      <w:r w:rsidR="00C55C73">
        <w:rPr>
          <w:b/>
          <w:bCs/>
          <w:sz w:val="22"/>
          <w:szCs w:val="22"/>
        </w:rPr>
        <w:t>2016-10-31.</w:t>
      </w:r>
    </w:p>
    <w:p w14:paraId="0C52A3A2" w14:textId="77777777" w:rsidR="008A305D" w:rsidRDefault="008A305D" w:rsidP="008A305D">
      <w:pPr>
        <w:autoSpaceDE w:val="0"/>
        <w:autoSpaceDN w:val="0"/>
        <w:adjustRightInd w:val="0"/>
        <w:contextualSpacing/>
        <w:rPr>
          <w:bCs/>
          <w:sz w:val="22"/>
          <w:szCs w:val="22"/>
        </w:rPr>
      </w:pPr>
    </w:p>
    <w:p w14:paraId="595C2B68" w14:textId="77777777" w:rsidR="008A305D" w:rsidRPr="00BA3FBD" w:rsidRDefault="008A305D" w:rsidP="008A305D">
      <w:pPr>
        <w:autoSpaceDE w:val="0"/>
        <w:autoSpaceDN w:val="0"/>
        <w:adjustRightInd w:val="0"/>
        <w:contextualSpacing/>
        <w:rPr>
          <w:bCs/>
          <w:sz w:val="22"/>
          <w:szCs w:val="22"/>
        </w:rPr>
      </w:pPr>
    </w:p>
    <w:p w14:paraId="3FFA1F68" w14:textId="77777777" w:rsidR="008A305D" w:rsidRPr="00BA3FBD" w:rsidRDefault="008A305D" w:rsidP="008A305D">
      <w:pPr>
        <w:numPr>
          <w:ilvl w:val="12"/>
          <w:numId w:val="0"/>
        </w:numPr>
        <w:tabs>
          <w:tab w:val="left" w:pos="567"/>
        </w:tabs>
        <w:ind w:right="-2"/>
        <w:rPr>
          <w:snapToGrid w:val="0"/>
          <w:sz w:val="22"/>
        </w:rPr>
      </w:pPr>
      <w:r w:rsidRPr="00BA3FBD">
        <w:rPr>
          <w:snapToGrid w:val="0"/>
          <w:sz w:val="22"/>
          <w:szCs w:val="20"/>
        </w:rPr>
        <w:t xml:space="preserve">Išsami informacija apie šį </w:t>
      </w:r>
      <w:r w:rsidRPr="00BA3FBD">
        <w:rPr>
          <w:snapToGrid w:val="0"/>
          <w:sz w:val="22"/>
        </w:rPr>
        <w:t>vaistą</w:t>
      </w:r>
      <w:r w:rsidRPr="00BA3FBD">
        <w:rPr>
          <w:snapToGrid w:val="0"/>
          <w:sz w:val="22"/>
          <w:szCs w:val="20"/>
        </w:rPr>
        <w:t xml:space="preserve"> pateikiama Valstybinės vaistų kontrolės tarnybos prie Lietuvos Respublikos sveikatos apsaugos ministerijos tinklalapyje</w:t>
      </w:r>
      <w:r w:rsidRPr="00BA3FBD">
        <w:rPr>
          <w:i/>
          <w:snapToGrid w:val="0"/>
          <w:sz w:val="22"/>
        </w:rPr>
        <w:t xml:space="preserve"> </w:t>
      </w:r>
      <w:hyperlink r:id="rId15" w:history="1">
        <w:r w:rsidRPr="00BA3FBD">
          <w:rPr>
            <w:rFonts w:eastAsia="SimSun"/>
            <w:snapToGrid w:val="0"/>
            <w:color w:val="0000FF"/>
            <w:sz w:val="22"/>
            <w:szCs w:val="20"/>
            <w:u w:val="single"/>
          </w:rPr>
          <w:t>http://www.vvkt.lt/</w:t>
        </w:r>
      </w:hyperlink>
      <w:r w:rsidRPr="00BA3FBD">
        <w:rPr>
          <w:snapToGrid w:val="0"/>
          <w:sz w:val="22"/>
          <w:szCs w:val="20"/>
        </w:rPr>
        <w:t>.</w:t>
      </w:r>
    </w:p>
    <w:p w14:paraId="79939E76" w14:textId="77777777" w:rsidR="008A305D" w:rsidRPr="00BA3FBD" w:rsidRDefault="008A305D" w:rsidP="008A305D">
      <w:pPr>
        <w:pStyle w:val="Default"/>
        <w:jc w:val="center"/>
        <w:rPr>
          <w:rFonts w:ascii="Times New Roman" w:hAnsi="Times New Roman" w:cs="Times New Roman"/>
          <w:b/>
          <w:bCs/>
          <w:sz w:val="22"/>
          <w:szCs w:val="22"/>
          <w:lang w:val="lt-LT"/>
        </w:rPr>
      </w:pPr>
      <w:r w:rsidRPr="00BA3FBD">
        <w:rPr>
          <w:b/>
          <w:sz w:val="22"/>
          <w:szCs w:val="22"/>
          <w:lang w:val="lt-LT"/>
        </w:rPr>
        <w:br w:type="page"/>
      </w:r>
      <w:r w:rsidRPr="00BA3FBD">
        <w:rPr>
          <w:rFonts w:ascii="Times New Roman" w:hAnsi="Times New Roman" w:cs="Times New Roman"/>
          <w:b/>
          <w:bCs/>
          <w:sz w:val="22"/>
          <w:szCs w:val="22"/>
          <w:lang w:val="lt-LT"/>
        </w:rPr>
        <w:lastRenderedPageBreak/>
        <w:t>Pakuotės lapelis: informacija vartotojui</w:t>
      </w:r>
    </w:p>
    <w:p w14:paraId="2F331239" w14:textId="77777777" w:rsidR="008A305D" w:rsidRPr="00BA3FBD" w:rsidRDefault="008A305D" w:rsidP="008A305D">
      <w:pPr>
        <w:pStyle w:val="Default"/>
        <w:jc w:val="center"/>
        <w:rPr>
          <w:rFonts w:ascii="Times New Roman" w:hAnsi="Times New Roman" w:cs="Times New Roman"/>
          <w:sz w:val="22"/>
          <w:szCs w:val="22"/>
          <w:lang w:val="lt-LT"/>
        </w:rPr>
      </w:pPr>
    </w:p>
    <w:p w14:paraId="554EEA33" w14:textId="77777777" w:rsidR="008A305D" w:rsidRPr="00BA3FBD" w:rsidRDefault="008A305D" w:rsidP="008A305D">
      <w:pPr>
        <w:autoSpaceDE w:val="0"/>
        <w:autoSpaceDN w:val="0"/>
        <w:adjustRightInd w:val="0"/>
        <w:jc w:val="center"/>
        <w:rPr>
          <w:b/>
          <w:bCs/>
          <w:sz w:val="22"/>
          <w:szCs w:val="22"/>
        </w:rPr>
      </w:pPr>
      <w:r w:rsidRPr="00BA3FBD">
        <w:rPr>
          <w:b/>
          <w:bCs/>
          <w:spacing w:val="-1"/>
          <w:sz w:val="22"/>
          <w:szCs w:val="22"/>
        </w:rPr>
        <w:t>Imatinib Actavis Group</w:t>
      </w:r>
      <w:r w:rsidRPr="00BA3FBD">
        <w:rPr>
          <w:b/>
          <w:bCs/>
          <w:spacing w:val="1"/>
          <w:sz w:val="22"/>
          <w:szCs w:val="22"/>
        </w:rPr>
        <w:t xml:space="preserve"> 2</w:t>
      </w:r>
      <w:r w:rsidRPr="00BA3FBD">
        <w:rPr>
          <w:b/>
          <w:bCs/>
          <w:sz w:val="22"/>
          <w:szCs w:val="22"/>
        </w:rPr>
        <w:t>00 </w:t>
      </w:r>
      <w:r w:rsidRPr="00BA3FBD">
        <w:rPr>
          <w:b/>
          <w:bCs/>
          <w:spacing w:val="1"/>
          <w:sz w:val="22"/>
          <w:szCs w:val="22"/>
        </w:rPr>
        <w:t>m</w:t>
      </w:r>
      <w:r w:rsidRPr="00BA3FBD">
        <w:rPr>
          <w:b/>
          <w:bCs/>
          <w:sz w:val="22"/>
          <w:szCs w:val="22"/>
        </w:rPr>
        <w:t>g plėvele dengtos tabletės</w:t>
      </w:r>
    </w:p>
    <w:p w14:paraId="4F7B8A08" w14:textId="77777777" w:rsidR="008A305D" w:rsidRPr="00BA3FBD" w:rsidRDefault="008A305D" w:rsidP="008A305D">
      <w:pPr>
        <w:autoSpaceDE w:val="0"/>
        <w:autoSpaceDN w:val="0"/>
        <w:adjustRightInd w:val="0"/>
        <w:jc w:val="center"/>
        <w:rPr>
          <w:rFonts w:eastAsia="Calibri"/>
          <w:color w:val="000000"/>
          <w:sz w:val="22"/>
          <w:szCs w:val="22"/>
        </w:rPr>
      </w:pPr>
      <w:r w:rsidRPr="00BA3FBD">
        <w:rPr>
          <w:rFonts w:eastAsia="Calibri"/>
          <w:color w:val="000000"/>
          <w:sz w:val="22"/>
          <w:szCs w:val="22"/>
        </w:rPr>
        <w:t>Imatinibas</w:t>
      </w:r>
    </w:p>
    <w:p w14:paraId="516B3723" w14:textId="77777777" w:rsidR="008A305D" w:rsidRPr="00BA3FBD" w:rsidRDefault="008A305D" w:rsidP="008A305D">
      <w:pPr>
        <w:autoSpaceDE w:val="0"/>
        <w:autoSpaceDN w:val="0"/>
        <w:adjustRightInd w:val="0"/>
        <w:jc w:val="center"/>
        <w:rPr>
          <w:rFonts w:eastAsia="Calibri"/>
          <w:color w:val="000000"/>
          <w:sz w:val="22"/>
          <w:szCs w:val="22"/>
        </w:rPr>
      </w:pPr>
    </w:p>
    <w:p w14:paraId="192F1894"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b/>
          <w:bCs/>
          <w:color w:val="000000"/>
          <w:sz w:val="22"/>
          <w:szCs w:val="22"/>
        </w:rPr>
        <w:t xml:space="preserve">Atidžiai perskaitykite visą šį lapelį, prieš pradėdami vartoti vaistą, nes jame pateikiama Jums svarbi informacija. </w:t>
      </w:r>
    </w:p>
    <w:p w14:paraId="3ECE9798"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w:t>
      </w:r>
      <w:r w:rsidRPr="00BA3FBD">
        <w:rPr>
          <w:rFonts w:eastAsia="Calibri"/>
          <w:color w:val="000000"/>
          <w:sz w:val="22"/>
          <w:szCs w:val="22"/>
        </w:rPr>
        <w:tab/>
        <w:t xml:space="preserve">Neišmeskite šio lapelio, nes vėl gali prireikti jį perskaityti. </w:t>
      </w:r>
    </w:p>
    <w:p w14:paraId="169A740B" w14:textId="77777777" w:rsidR="008A305D" w:rsidRPr="00BA3FBD" w:rsidRDefault="008A305D" w:rsidP="008A305D">
      <w:pPr>
        <w:autoSpaceDE w:val="0"/>
        <w:autoSpaceDN w:val="0"/>
        <w:adjustRightInd w:val="0"/>
        <w:spacing w:after="23"/>
        <w:rPr>
          <w:rFonts w:eastAsia="Calibri"/>
          <w:color w:val="000000"/>
          <w:sz w:val="22"/>
          <w:szCs w:val="22"/>
        </w:rPr>
      </w:pPr>
      <w:r w:rsidRPr="00BA3FBD">
        <w:rPr>
          <w:rFonts w:eastAsia="Calibri"/>
          <w:color w:val="000000"/>
          <w:sz w:val="22"/>
          <w:szCs w:val="22"/>
        </w:rPr>
        <w:t>-</w:t>
      </w:r>
      <w:r w:rsidRPr="00BA3FBD">
        <w:rPr>
          <w:rFonts w:eastAsia="Calibri"/>
          <w:color w:val="000000"/>
          <w:sz w:val="22"/>
          <w:szCs w:val="22"/>
        </w:rPr>
        <w:tab/>
        <w:t xml:space="preserve">Jeigu kiltų daugiau klausimų, kreipkitės į gydytoją, vaistininką arba slaugytoją. </w:t>
      </w:r>
    </w:p>
    <w:p w14:paraId="3E628AF6" w14:textId="77777777" w:rsidR="008A305D" w:rsidRPr="00BA3FBD" w:rsidRDefault="008A305D" w:rsidP="008A305D">
      <w:pPr>
        <w:autoSpaceDE w:val="0"/>
        <w:autoSpaceDN w:val="0"/>
        <w:adjustRightInd w:val="0"/>
        <w:spacing w:after="23"/>
        <w:ind w:left="720" w:hanging="720"/>
        <w:rPr>
          <w:rFonts w:eastAsia="Calibri"/>
          <w:color w:val="000000"/>
          <w:sz w:val="22"/>
          <w:szCs w:val="22"/>
        </w:rPr>
      </w:pPr>
      <w:r w:rsidRPr="00BA3FBD">
        <w:rPr>
          <w:rFonts w:eastAsia="Calibri"/>
          <w:color w:val="000000"/>
          <w:sz w:val="22"/>
          <w:szCs w:val="22"/>
        </w:rPr>
        <w:t>-</w:t>
      </w:r>
      <w:r w:rsidRPr="00BA3FBD">
        <w:rPr>
          <w:rFonts w:eastAsia="Calibri"/>
          <w:color w:val="000000"/>
          <w:sz w:val="22"/>
          <w:szCs w:val="22"/>
        </w:rPr>
        <w:tab/>
        <w:t xml:space="preserve">Šis vaistas skirtas tik Jums, todėl kitiems žmonėms jo duoti negalima. Vaistas gali jiems pakenkti (net tiems, kurių ligos požymiai yra tokie patys kaip Jūsų). </w:t>
      </w:r>
    </w:p>
    <w:p w14:paraId="6579C559" w14:textId="77777777" w:rsidR="008A305D" w:rsidRPr="00BA3FBD" w:rsidRDefault="008A305D" w:rsidP="008A305D">
      <w:pPr>
        <w:autoSpaceDE w:val="0"/>
        <w:autoSpaceDN w:val="0"/>
        <w:adjustRightInd w:val="0"/>
        <w:ind w:left="720" w:hanging="720"/>
        <w:rPr>
          <w:rFonts w:eastAsia="Calibri"/>
          <w:color w:val="000000"/>
          <w:sz w:val="22"/>
          <w:szCs w:val="22"/>
        </w:rPr>
      </w:pPr>
      <w:r w:rsidRPr="00BA3FBD">
        <w:rPr>
          <w:rFonts w:eastAsia="Calibri"/>
          <w:color w:val="000000"/>
          <w:sz w:val="22"/>
          <w:szCs w:val="22"/>
        </w:rPr>
        <w:t>-</w:t>
      </w:r>
      <w:r w:rsidRPr="00BA3FBD">
        <w:rPr>
          <w:rFonts w:eastAsia="Calibri"/>
          <w:color w:val="000000"/>
          <w:sz w:val="22"/>
          <w:szCs w:val="22"/>
        </w:rPr>
        <w:tab/>
        <w:t>Jeigu pasireiškė šalutinis poveikis (net jeigu jis šiame lapelyje nenurodytas), kreipkitės į gydytoją, vaistininką arba slaugytoją. Žr. 4 skyrių.</w:t>
      </w:r>
    </w:p>
    <w:p w14:paraId="0B94DA33" w14:textId="77777777" w:rsidR="008A305D" w:rsidRPr="00BA3FBD" w:rsidRDefault="008A305D" w:rsidP="008A305D">
      <w:pPr>
        <w:autoSpaceDE w:val="0"/>
        <w:autoSpaceDN w:val="0"/>
        <w:adjustRightInd w:val="0"/>
        <w:rPr>
          <w:rFonts w:eastAsia="Calibri"/>
          <w:color w:val="000000"/>
          <w:sz w:val="22"/>
          <w:szCs w:val="22"/>
        </w:rPr>
      </w:pPr>
    </w:p>
    <w:p w14:paraId="68839B76" w14:textId="77777777" w:rsidR="008A305D" w:rsidRPr="00BA3FBD" w:rsidRDefault="008A305D" w:rsidP="008A305D">
      <w:pPr>
        <w:autoSpaceDE w:val="0"/>
        <w:autoSpaceDN w:val="0"/>
        <w:adjustRightInd w:val="0"/>
        <w:rPr>
          <w:rFonts w:eastAsia="Calibri"/>
          <w:b/>
          <w:bCs/>
          <w:color w:val="000000"/>
          <w:sz w:val="22"/>
          <w:szCs w:val="22"/>
        </w:rPr>
      </w:pPr>
      <w:r w:rsidRPr="00BA3FBD">
        <w:rPr>
          <w:rFonts w:eastAsia="Calibri"/>
          <w:b/>
          <w:bCs/>
          <w:color w:val="000000"/>
          <w:sz w:val="22"/>
          <w:szCs w:val="22"/>
        </w:rPr>
        <w:t xml:space="preserve">Apie ką rašoma šiame lapelyje? </w:t>
      </w:r>
    </w:p>
    <w:p w14:paraId="1BEFDBE8" w14:textId="77777777" w:rsidR="008A305D" w:rsidRPr="00BA3FBD" w:rsidRDefault="008A305D" w:rsidP="008A305D">
      <w:pPr>
        <w:autoSpaceDE w:val="0"/>
        <w:autoSpaceDN w:val="0"/>
        <w:adjustRightInd w:val="0"/>
        <w:rPr>
          <w:rFonts w:eastAsia="Calibri"/>
          <w:color w:val="000000"/>
          <w:sz w:val="22"/>
          <w:szCs w:val="22"/>
        </w:rPr>
      </w:pPr>
    </w:p>
    <w:p w14:paraId="5BD4052F"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 xml:space="preserve">1. Kas yra Imatinib Actavis Group ir kam jis vartojamas </w:t>
      </w:r>
    </w:p>
    <w:p w14:paraId="6FD7B4DD"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 xml:space="preserve">2. Kas žinotina prieš vartojant Imatinib Actavis Group </w:t>
      </w:r>
    </w:p>
    <w:p w14:paraId="4142657E"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 xml:space="preserve">3. Kaip vartoti Imatinib Actavis Group </w:t>
      </w:r>
    </w:p>
    <w:p w14:paraId="2B3C5922"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 xml:space="preserve">4. Galimas šalutinis poveikis </w:t>
      </w:r>
    </w:p>
    <w:p w14:paraId="45343655"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5. Kaip laikyti Imatinib Actavis Group</w:t>
      </w:r>
    </w:p>
    <w:p w14:paraId="7F153191"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 xml:space="preserve">6. Pakuotės turinys ir kita informacija </w:t>
      </w:r>
    </w:p>
    <w:p w14:paraId="6B1B8DF2" w14:textId="77777777" w:rsidR="008A305D" w:rsidRPr="00BA3FBD" w:rsidRDefault="008A305D" w:rsidP="008A305D">
      <w:pPr>
        <w:autoSpaceDE w:val="0"/>
        <w:autoSpaceDN w:val="0"/>
        <w:adjustRightInd w:val="0"/>
        <w:rPr>
          <w:rFonts w:eastAsia="Calibri"/>
          <w:color w:val="000000"/>
          <w:sz w:val="22"/>
          <w:szCs w:val="22"/>
        </w:rPr>
      </w:pPr>
    </w:p>
    <w:p w14:paraId="1B2169F0" w14:textId="77777777" w:rsidR="008A305D" w:rsidRPr="00BA3FBD" w:rsidRDefault="008A305D" w:rsidP="008A305D">
      <w:pPr>
        <w:autoSpaceDE w:val="0"/>
        <w:autoSpaceDN w:val="0"/>
        <w:adjustRightInd w:val="0"/>
        <w:rPr>
          <w:rFonts w:eastAsia="Calibri"/>
          <w:color w:val="000000"/>
          <w:sz w:val="22"/>
          <w:szCs w:val="22"/>
        </w:rPr>
      </w:pPr>
    </w:p>
    <w:p w14:paraId="6BE9DAC0" w14:textId="77777777" w:rsidR="008A305D" w:rsidRPr="00BA3FBD" w:rsidRDefault="008A305D" w:rsidP="008A305D">
      <w:pPr>
        <w:pStyle w:val="Sraopastraipa"/>
        <w:numPr>
          <w:ilvl w:val="0"/>
          <w:numId w:val="6"/>
        </w:numPr>
        <w:autoSpaceDE w:val="0"/>
        <w:autoSpaceDN w:val="0"/>
        <w:adjustRightInd w:val="0"/>
        <w:ind w:left="567" w:hanging="567"/>
        <w:rPr>
          <w:rFonts w:eastAsia="Calibri"/>
          <w:b/>
          <w:bCs/>
          <w:color w:val="000000"/>
          <w:sz w:val="22"/>
          <w:szCs w:val="22"/>
        </w:rPr>
      </w:pPr>
      <w:r w:rsidRPr="00BA3FBD">
        <w:rPr>
          <w:rFonts w:eastAsia="Calibri"/>
          <w:b/>
          <w:bCs/>
          <w:color w:val="000000"/>
          <w:sz w:val="22"/>
          <w:szCs w:val="22"/>
        </w:rPr>
        <w:t xml:space="preserve">Kas yra Imatinib Actavis Group ir kam jis vartojamas </w:t>
      </w:r>
    </w:p>
    <w:p w14:paraId="0579EB4B" w14:textId="77777777" w:rsidR="008A305D" w:rsidRPr="00BA3FBD" w:rsidRDefault="008A305D" w:rsidP="008A305D">
      <w:pPr>
        <w:autoSpaceDE w:val="0"/>
        <w:autoSpaceDN w:val="0"/>
        <w:adjustRightInd w:val="0"/>
        <w:rPr>
          <w:rFonts w:eastAsia="Calibri"/>
          <w:color w:val="000000"/>
          <w:sz w:val="22"/>
          <w:szCs w:val="22"/>
        </w:rPr>
      </w:pPr>
    </w:p>
    <w:p w14:paraId="3144532B"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 xml:space="preserve">Imatinib Actavis Group yra vaistas, kurio sudėtyje yra veikliosios medžiagos imatinibo. Šis vaistas veikia slopindamas nenormalių ląstelių augimą, sergant </w:t>
      </w:r>
      <w:r w:rsidRPr="00BA3FBD">
        <w:rPr>
          <w:sz w:val="22"/>
          <w:szCs w:val="22"/>
        </w:rPr>
        <w:t xml:space="preserve">toliau išvardytomis ligomis. Jos apima ir kai kurių tipų vėžinius susirgimus. </w:t>
      </w:r>
    </w:p>
    <w:p w14:paraId="253777EF" w14:textId="77777777" w:rsidR="008A305D" w:rsidRPr="00BA3FBD" w:rsidRDefault="008A305D" w:rsidP="008A305D">
      <w:pPr>
        <w:autoSpaceDE w:val="0"/>
        <w:autoSpaceDN w:val="0"/>
        <w:adjustRightInd w:val="0"/>
        <w:rPr>
          <w:rFonts w:eastAsia="Calibri"/>
          <w:color w:val="000000"/>
          <w:sz w:val="22"/>
          <w:szCs w:val="22"/>
        </w:rPr>
      </w:pPr>
    </w:p>
    <w:p w14:paraId="5C00C119" w14:textId="77777777" w:rsidR="008A305D" w:rsidRPr="00BA3FBD" w:rsidRDefault="008A305D" w:rsidP="008A305D">
      <w:pPr>
        <w:autoSpaceDE w:val="0"/>
        <w:autoSpaceDN w:val="0"/>
        <w:adjustRightInd w:val="0"/>
        <w:rPr>
          <w:rFonts w:eastAsia="Calibri"/>
          <w:b/>
          <w:bCs/>
          <w:sz w:val="22"/>
          <w:szCs w:val="22"/>
        </w:rPr>
      </w:pPr>
      <w:r w:rsidRPr="00BA3FBD">
        <w:rPr>
          <w:rFonts w:eastAsia="Calibri"/>
          <w:b/>
          <w:bCs/>
          <w:sz w:val="22"/>
          <w:szCs w:val="22"/>
        </w:rPr>
        <w:t>Imatinib Actavis Group vartojamas gydyti:</w:t>
      </w:r>
    </w:p>
    <w:p w14:paraId="23FCBB8B" w14:textId="77777777" w:rsidR="008A305D" w:rsidRPr="00BA3FBD" w:rsidRDefault="008A305D" w:rsidP="008A305D">
      <w:pPr>
        <w:numPr>
          <w:ilvl w:val="0"/>
          <w:numId w:val="1"/>
        </w:numPr>
        <w:autoSpaceDE w:val="0"/>
        <w:autoSpaceDN w:val="0"/>
        <w:adjustRightInd w:val="0"/>
        <w:ind w:left="567" w:hanging="567"/>
        <w:rPr>
          <w:rFonts w:eastAsia="Calibri"/>
          <w:color w:val="000000"/>
          <w:sz w:val="22"/>
          <w:szCs w:val="22"/>
        </w:rPr>
      </w:pPr>
      <w:r>
        <w:rPr>
          <w:rFonts w:eastAsia="Calibri"/>
          <w:b/>
          <w:bCs/>
          <w:sz w:val="22"/>
          <w:szCs w:val="22"/>
        </w:rPr>
        <w:t>l</w:t>
      </w:r>
      <w:r w:rsidRPr="00BA3FBD">
        <w:rPr>
          <w:rFonts w:eastAsia="Calibri"/>
          <w:b/>
          <w:bCs/>
          <w:sz w:val="22"/>
          <w:szCs w:val="22"/>
        </w:rPr>
        <w:t xml:space="preserve">ėtinę mieloleukemiją (LML). </w:t>
      </w:r>
      <w:r w:rsidRPr="00BA3FBD">
        <w:rPr>
          <w:rFonts w:eastAsia="Calibri"/>
          <w:bCs/>
          <w:sz w:val="22"/>
          <w:szCs w:val="22"/>
        </w:rPr>
        <w:t>Leukemija – tai baltųjų kraujo</w:t>
      </w:r>
      <w:r w:rsidRPr="00BA3FBD">
        <w:rPr>
          <w:rFonts w:eastAsia="Calibri"/>
          <w:b/>
          <w:bCs/>
          <w:color w:val="000000"/>
          <w:sz w:val="22"/>
          <w:szCs w:val="22"/>
        </w:rPr>
        <w:t xml:space="preserve"> </w:t>
      </w:r>
      <w:r w:rsidRPr="00BA3FBD">
        <w:rPr>
          <w:rFonts w:eastAsia="Calibri"/>
          <w:color w:val="000000"/>
          <w:sz w:val="22"/>
          <w:szCs w:val="22"/>
        </w:rPr>
        <w:t xml:space="preserve">kūnelių vėžys. Paprastai šios baltosios ląstelės padeda organizmui kovoti su infekcija. Lėtinė mieloleukemija yra tokia leukemijos forma, kai dažniausiai nenormalios ląstelės (vadinamos mieloidinėmis ląstelėmis), pradeda nekontroliuojamai augti. </w:t>
      </w:r>
    </w:p>
    <w:p w14:paraId="31B386B5" w14:textId="77777777" w:rsidR="008A305D" w:rsidRPr="00BA3FBD" w:rsidRDefault="008A305D" w:rsidP="008A305D">
      <w:pPr>
        <w:autoSpaceDE w:val="0"/>
        <w:autoSpaceDN w:val="0"/>
        <w:adjustRightInd w:val="0"/>
        <w:rPr>
          <w:rFonts w:eastAsia="Calibri"/>
          <w:color w:val="000000"/>
          <w:sz w:val="22"/>
          <w:szCs w:val="22"/>
        </w:rPr>
      </w:pPr>
    </w:p>
    <w:p w14:paraId="4F43A4F8"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Suaugusiesiems Imatinib Actavis Group naudojamas toliausiai pažengusiai ligos fazei (blastinei krizei) gydyti. Vaikams ir paaugliams Imatinib Actavis Group gali būti vartojamas įvairioms ligos stadijoms gydyti (chroniškai, ūminei ir blastinei krizei).</w:t>
      </w:r>
    </w:p>
    <w:p w14:paraId="711CA86A" w14:textId="77777777" w:rsidR="008A305D" w:rsidRPr="00BA3FBD" w:rsidRDefault="008A305D" w:rsidP="008A305D">
      <w:pPr>
        <w:autoSpaceDE w:val="0"/>
        <w:autoSpaceDN w:val="0"/>
        <w:adjustRightInd w:val="0"/>
        <w:rPr>
          <w:rFonts w:eastAsia="Calibri"/>
          <w:color w:val="000000"/>
          <w:sz w:val="22"/>
          <w:szCs w:val="22"/>
        </w:rPr>
      </w:pPr>
    </w:p>
    <w:p w14:paraId="7375E10B" w14:textId="77777777" w:rsidR="008A305D" w:rsidRPr="00BA3FBD" w:rsidRDefault="008A305D" w:rsidP="008A305D">
      <w:pPr>
        <w:autoSpaceDE w:val="0"/>
        <w:autoSpaceDN w:val="0"/>
        <w:adjustRightInd w:val="0"/>
        <w:rPr>
          <w:rFonts w:eastAsia="Calibri"/>
          <w:b/>
          <w:color w:val="000000"/>
          <w:sz w:val="22"/>
          <w:szCs w:val="22"/>
        </w:rPr>
      </w:pPr>
      <w:r w:rsidRPr="00BA3FBD">
        <w:rPr>
          <w:rFonts w:eastAsia="Calibri"/>
          <w:b/>
          <w:color w:val="000000"/>
          <w:sz w:val="22"/>
          <w:szCs w:val="22"/>
        </w:rPr>
        <w:t>Imatinib Actavis Group taip pat vartojamas</w:t>
      </w:r>
      <w:r>
        <w:rPr>
          <w:rFonts w:eastAsia="Calibri"/>
          <w:b/>
          <w:color w:val="000000"/>
          <w:sz w:val="22"/>
          <w:szCs w:val="22"/>
        </w:rPr>
        <w:t xml:space="preserve"> suaugusiųjų</w:t>
      </w:r>
      <w:r w:rsidRPr="00BA3FBD">
        <w:rPr>
          <w:rFonts w:eastAsia="Calibri"/>
          <w:b/>
          <w:color w:val="000000"/>
          <w:sz w:val="22"/>
          <w:szCs w:val="22"/>
        </w:rPr>
        <w:t>:</w:t>
      </w:r>
    </w:p>
    <w:p w14:paraId="0C474A7A" w14:textId="77777777" w:rsidR="008A305D" w:rsidRPr="00BA3FBD" w:rsidRDefault="008A305D" w:rsidP="008A305D">
      <w:pPr>
        <w:autoSpaceDE w:val="0"/>
        <w:autoSpaceDN w:val="0"/>
        <w:adjustRightInd w:val="0"/>
        <w:rPr>
          <w:rFonts w:eastAsia="Calibri"/>
          <w:color w:val="000000"/>
          <w:sz w:val="22"/>
          <w:szCs w:val="22"/>
        </w:rPr>
      </w:pPr>
    </w:p>
    <w:p w14:paraId="2600D7F4" w14:textId="77777777" w:rsidR="008A305D" w:rsidRPr="00BA3FBD" w:rsidRDefault="008A305D" w:rsidP="008A305D">
      <w:pPr>
        <w:numPr>
          <w:ilvl w:val="0"/>
          <w:numId w:val="1"/>
        </w:numPr>
        <w:autoSpaceDE w:val="0"/>
        <w:autoSpaceDN w:val="0"/>
        <w:adjustRightInd w:val="0"/>
        <w:ind w:left="567" w:hanging="567"/>
        <w:rPr>
          <w:rFonts w:eastAsia="Calibri"/>
          <w:color w:val="000000"/>
          <w:sz w:val="22"/>
          <w:szCs w:val="22"/>
        </w:rPr>
      </w:pPr>
      <w:r w:rsidRPr="00BA3FBD">
        <w:rPr>
          <w:rFonts w:eastAsia="Calibri"/>
          <w:b/>
          <w:bCs/>
          <w:i/>
          <w:iCs/>
          <w:color w:val="000000"/>
          <w:sz w:val="22"/>
          <w:szCs w:val="22"/>
        </w:rPr>
        <w:lastRenderedPageBreak/>
        <w:t xml:space="preserve">Philadelphia </w:t>
      </w:r>
      <w:r w:rsidRPr="00BA3FBD">
        <w:rPr>
          <w:rFonts w:eastAsia="Calibri"/>
          <w:b/>
          <w:bCs/>
          <w:color w:val="000000"/>
          <w:sz w:val="22"/>
          <w:szCs w:val="22"/>
        </w:rPr>
        <w:t xml:space="preserve">chromosomai teigiamai ūminei limfoleukemijai (Ph teigiama ŪLL) gydyti. </w:t>
      </w:r>
      <w:r w:rsidRPr="00BA3FBD">
        <w:rPr>
          <w:rFonts w:eastAsia="Calibri"/>
          <w:color w:val="000000"/>
          <w:sz w:val="22"/>
          <w:szCs w:val="22"/>
        </w:rPr>
        <w:t>Leukemija – tai baltųjų kraujo kūnelių vėžys. Paprastai šios baltosios ląstelės padeda organizmui kovoti su infekcija. Ūminė limfoleukemija yra tokia leukemijos forma, kai tam tikros nenormalios ląstelės (vadinamos limfoblastais) pradeda nekontroliuojamai augti. Imatinib Actavis Group slopina šių ląstelių augimą</w:t>
      </w:r>
      <w:r>
        <w:rPr>
          <w:rFonts w:eastAsia="Calibri"/>
          <w:color w:val="000000"/>
          <w:sz w:val="22"/>
          <w:szCs w:val="22"/>
        </w:rPr>
        <w:t>;</w:t>
      </w:r>
      <w:r w:rsidRPr="00BA3FBD">
        <w:rPr>
          <w:rFonts w:eastAsia="Calibri"/>
          <w:color w:val="000000"/>
          <w:sz w:val="22"/>
          <w:szCs w:val="22"/>
        </w:rPr>
        <w:t xml:space="preserve"> </w:t>
      </w:r>
    </w:p>
    <w:p w14:paraId="096976DF" w14:textId="77777777" w:rsidR="008A305D" w:rsidRPr="00BA3FBD" w:rsidRDefault="008A305D" w:rsidP="008A305D">
      <w:pPr>
        <w:numPr>
          <w:ilvl w:val="0"/>
          <w:numId w:val="1"/>
        </w:numPr>
        <w:autoSpaceDE w:val="0"/>
        <w:autoSpaceDN w:val="0"/>
        <w:adjustRightInd w:val="0"/>
        <w:ind w:left="567" w:hanging="567"/>
        <w:rPr>
          <w:rFonts w:eastAsia="Calibri"/>
          <w:color w:val="000000"/>
          <w:sz w:val="22"/>
          <w:szCs w:val="22"/>
        </w:rPr>
      </w:pPr>
      <w:r>
        <w:rPr>
          <w:rFonts w:eastAsia="Calibri"/>
          <w:b/>
          <w:bCs/>
          <w:color w:val="000000"/>
          <w:sz w:val="22"/>
          <w:szCs w:val="22"/>
        </w:rPr>
        <w:t>m</w:t>
      </w:r>
      <w:r w:rsidRPr="00BA3FBD">
        <w:rPr>
          <w:rFonts w:eastAsia="Calibri"/>
          <w:b/>
          <w:bCs/>
          <w:color w:val="000000"/>
          <w:sz w:val="22"/>
          <w:szCs w:val="22"/>
        </w:rPr>
        <w:t xml:space="preserve">ielodisplazinėms ar mieloproliferacinėms ligoms (MDS/MPL) gydyti. </w:t>
      </w:r>
      <w:r w:rsidRPr="00BA3FBD">
        <w:rPr>
          <w:rFonts w:eastAsia="Calibri"/>
          <w:color w:val="000000"/>
          <w:sz w:val="22"/>
          <w:szCs w:val="22"/>
        </w:rPr>
        <w:t>Tai kraujo ligos, kurių metu kai kurios kraujo ląstelės pradeda daugintis nekontroliuojamos. Imatinib Actavis Group slopina šių ląstelių augimą, sergant tam tikrais šių ligų potipiais</w:t>
      </w:r>
      <w:r>
        <w:rPr>
          <w:rFonts w:eastAsia="Calibri"/>
          <w:color w:val="000000"/>
          <w:sz w:val="22"/>
          <w:szCs w:val="22"/>
        </w:rPr>
        <w:t>;</w:t>
      </w:r>
      <w:r w:rsidRPr="00BA3FBD">
        <w:rPr>
          <w:rFonts w:eastAsia="Calibri"/>
          <w:color w:val="000000"/>
          <w:sz w:val="22"/>
          <w:szCs w:val="22"/>
        </w:rPr>
        <w:t xml:space="preserve"> </w:t>
      </w:r>
    </w:p>
    <w:p w14:paraId="2E020A93" w14:textId="77777777" w:rsidR="008A305D" w:rsidRPr="00BA3FBD" w:rsidRDefault="008A305D" w:rsidP="008A305D">
      <w:pPr>
        <w:numPr>
          <w:ilvl w:val="0"/>
          <w:numId w:val="1"/>
        </w:numPr>
        <w:autoSpaceDE w:val="0"/>
        <w:autoSpaceDN w:val="0"/>
        <w:adjustRightInd w:val="0"/>
        <w:ind w:left="567" w:hanging="567"/>
        <w:rPr>
          <w:rFonts w:eastAsia="Calibri"/>
          <w:color w:val="000000"/>
          <w:sz w:val="22"/>
          <w:szCs w:val="22"/>
        </w:rPr>
      </w:pPr>
      <w:r>
        <w:rPr>
          <w:rFonts w:eastAsia="Calibri"/>
          <w:b/>
          <w:bCs/>
          <w:color w:val="000000"/>
          <w:sz w:val="22"/>
          <w:szCs w:val="22"/>
        </w:rPr>
        <w:t>h</w:t>
      </w:r>
      <w:r w:rsidRPr="00BA3FBD">
        <w:rPr>
          <w:rFonts w:eastAsia="Calibri"/>
          <w:b/>
          <w:bCs/>
          <w:color w:val="000000"/>
          <w:sz w:val="22"/>
          <w:szCs w:val="22"/>
        </w:rPr>
        <w:t xml:space="preserve">ipereozinofilijos sindromui (HES) ir (arba) lėtinei eozinofilinei leukemijai (LEL) gydyti. </w:t>
      </w:r>
      <w:r w:rsidRPr="00BA3FBD">
        <w:rPr>
          <w:rFonts w:eastAsia="Calibri"/>
          <w:color w:val="000000"/>
          <w:sz w:val="22"/>
          <w:szCs w:val="22"/>
        </w:rPr>
        <w:t>Tai yra kraujo ligos, kurių metu kai kurios kraujo ląstelės (vadinamos eozinofilais) pradeda daugintis nekontroliuojamos. Imatinib Actavis Group slopina šių ląstelių augimą, sergant tam tikrais šių ligų potipiais</w:t>
      </w:r>
      <w:r>
        <w:rPr>
          <w:rFonts w:eastAsia="Calibri"/>
          <w:color w:val="000000"/>
          <w:sz w:val="22"/>
          <w:szCs w:val="22"/>
        </w:rPr>
        <w:t>;</w:t>
      </w:r>
      <w:r w:rsidRPr="00BA3FBD">
        <w:rPr>
          <w:rFonts w:eastAsia="Calibri"/>
          <w:color w:val="000000"/>
          <w:sz w:val="22"/>
          <w:szCs w:val="22"/>
        </w:rPr>
        <w:t xml:space="preserve"> </w:t>
      </w:r>
    </w:p>
    <w:p w14:paraId="1F5C80C5" w14:textId="77777777" w:rsidR="008A305D" w:rsidRPr="00BA3FBD" w:rsidRDefault="008A305D" w:rsidP="008A305D">
      <w:pPr>
        <w:numPr>
          <w:ilvl w:val="0"/>
          <w:numId w:val="1"/>
        </w:numPr>
        <w:autoSpaceDE w:val="0"/>
        <w:autoSpaceDN w:val="0"/>
        <w:adjustRightInd w:val="0"/>
        <w:rPr>
          <w:rFonts w:eastAsia="Calibri"/>
          <w:color w:val="000000"/>
          <w:sz w:val="22"/>
          <w:szCs w:val="22"/>
        </w:rPr>
      </w:pPr>
      <w:r>
        <w:rPr>
          <w:b/>
          <w:color w:val="000000"/>
          <w:sz w:val="22"/>
          <w:szCs w:val="22"/>
        </w:rPr>
        <w:t>v</w:t>
      </w:r>
      <w:r w:rsidRPr="00BA3FBD">
        <w:rPr>
          <w:b/>
          <w:color w:val="000000"/>
          <w:sz w:val="22"/>
          <w:szCs w:val="22"/>
        </w:rPr>
        <w:t xml:space="preserve">irškinimo trakto stromos navikui </w:t>
      </w:r>
      <w:r w:rsidRPr="0045031A">
        <w:rPr>
          <w:b/>
          <w:color w:val="000000"/>
          <w:sz w:val="22"/>
          <w:szCs w:val="22"/>
        </w:rPr>
        <w:t>(ang. gastrointestinal stromal tumor, GIST)</w:t>
      </w:r>
      <w:r w:rsidRPr="00BA3FBD">
        <w:rPr>
          <w:b/>
          <w:color w:val="000000"/>
          <w:sz w:val="22"/>
          <w:szCs w:val="22"/>
        </w:rPr>
        <w:t xml:space="preserve"> </w:t>
      </w:r>
      <w:r w:rsidRPr="00BA3FBD">
        <w:rPr>
          <w:color w:val="000000"/>
          <w:sz w:val="22"/>
          <w:szCs w:val="22"/>
        </w:rPr>
        <w:t>gydyti</w:t>
      </w:r>
      <w:r w:rsidRPr="00BA3FBD">
        <w:rPr>
          <w:b/>
          <w:color w:val="000000"/>
          <w:sz w:val="22"/>
          <w:szCs w:val="22"/>
        </w:rPr>
        <w:t>.</w:t>
      </w:r>
      <w:r w:rsidRPr="00BA3FBD">
        <w:rPr>
          <w:color w:val="000000"/>
          <w:sz w:val="22"/>
          <w:szCs w:val="22"/>
        </w:rPr>
        <w:t xml:space="preserve"> </w:t>
      </w:r>
      <w:r>
        <w:rPr>
          <w:color w:val="000000"/>
          <w:sz w:val="22"/>
          <w:szCs w:val="22"/>
        </w:rPr>
        <w:t>GIST</w:t>
      </w:r>
      <w:r w:rsidRPr="00BA3FBD">
        <w:rPr>
          <w:color w:val="000000"/>
          <w:sz w:val="22"/>
          <w:szCs w:val="22"/>
        </w:rPr>
        <w:t xml:space="preserve"> – tai skrandžio ir žarnyno vėžys. Jis atsiranda dėl nekontroliuojamo šių organų pagalbinio audinio ląstelių augimo</w:t>
      </w:r>
      <w:r>
        <w:rPr>
          <w:color w:val="000000"/>
          <w:sz w:val="22"/>
          <w:szCs w:val="22"/>
        </w:rPr>
        <w:t>;</w:t>
      </w:r>
    </w:p>
    <w:p w14:paraId="3AC4D777" w14:textId="77777777" w:rsidR="008A305D" w:rsidRPr="00BA3FBD" w:rsidRDefault="008A305D" w:rsidP="008A305D">
      <w:pPr>
        <w:numPr>
          <w:ilvl w:val="0"/>
          <w:numId w:val="1"/>
        </w:numPr>
        <w:autoSpaceDE w:val="0"/>
        <w:autoSpaceDN w:val="0"/>
        <w:adjustRightInd w:val="0"/>
        <w:ind w:left="567" w:hanging="567"/>
        <w:rPr>
          <w:rFonts w:eastAsia="Calibri"/>
          <w:color w:val="000000"/>
          <w:sz w:val="22"/>
          <w:szCs w:val="22"/>
        </w:rPr>
      </w:pPr>
      <w:r>
        <w:rPr>
          <w:rFonts w:eastAsia="Calibri"/>
          <w:b/>
          <w:bCs/>
          <w:color w:val="000000"/>
          <w:sz w:val="22"/>
          <w:szCs w:val="22"/>
        </w:rPr>
        <w:t>i</w:t>
      </w:r>
      <w:r w:rsidRPr="00BA3FBD">
        <w:rPr>
          <w:rFonts w:eastAsia="Calibri"/>
          <w:b/>
          <w:bCs/>
          <w:color w:val="000000"/>
          <w:sz w:val="22"/>
          <w:szCs w:val="22"/>
        </w:rPr>
        <w:t xml:space="preserve">škiliajai dermatofibrosarkomai </w:t>
      </w:r>
      <w:r w:rsidRPr="00BA3FBD">
        <w:rPr>
          <w:rFonts w:eastAsia="Calibri"/>
          <w:i/>
          <w:iCs/>
          <w:color w:val="000000"/>
          <w:sz w:val="22"/>
          <w:szCs w:val="22"/>
        </w:rPr>
        <w:t xml:space="preserve">(dermatofibrosarcoma protuberans </w:t>
      </w:r>
      <w:r w:rsidRPr="00BA3FBD">
        <w:rPr>
          <w:rFonts w:eastAsia="Calibri"/>
          <w:color w:val="000000"/>
          <w:sz w:val="22"/>
          <w:szCs w:val="22"/>
        </w:rPr>
        <w:t xml:space="preserve">- </w:t>
      </w:r>
      <w:r w:rsidRPr="00BA3FBD">
        <w:rPr>
          <w:rFonts w:eastAsia="Calibri"/>
          <w:b/>
          <w:bCs/>
          <w:color w:val="000000"/>
          <w:sz w:val="22"/>
          <w:szCs w:val="22"/>
        </w:rPr>
        <w:t>DFSP</w:t>
      </w:r>
      <w:r w:rsidRPr="00BA3FBD">
        <w:rPr>
          <w:rFonts w:eastAsia="Calibri"/>
          <w:color w:val="000000"/>
          <w:sz w:val="22"/>
          <w:szCs w:val="22"/>
        </w:rPr>
        <w:t xml:space="preserve">) gydyti. DFSP - tai po oda esančio audinio vėžys, kurio metu kai kurios ląstelės pradeda nekontroliuojamai augti. Imatinib Actavis Group slopina šių ląstelių augimą. </w:t>
      </w:r>
    </w:p>
    <w:p w14:paraId="2C8AB82A" w14:textId="77777777" w:rsidR="008A305D" w:rsidRPr="00BA3FBD" w:rsidRDefault="008A305D" w:rsidP="008A305D">
      <w:pPr>
        <w:autoSpaceDE w:val="0"/>
        <w:autoSpaceDN w:val="0"/>
        <w:adjustRightInd w:val="0"/>
        <w:rPr>
          <w:sz w:val="22"/>
          <w:szCs w:val="22"/>
        </w:rPr>
      </w:pPr>
      <w:r w:rsidRPr="00BA3FBD">
        <w:rPr>
          <w:sz w:val="22"/>
          <w:szCs w:val="22"/>
        </w:rPr>
        <w:t>Toliau šiame lapelyje apibūdinant minėtas ligas bus naudojamos nurodytos santrumpos.</w:t>
      </w:r>
    </w:p>
    <w:p w14:paraId="60C7E51E" w14:textId="77777777" w:rsidR="008A305D" w:rsidRPr="00BA3FBD" w:rsidRDefault="008A305D" w:rsidP="008A305D">
      <w:pPr>
        <w:autoSpaceDE w:val="0"/>
        <w:autoSpaceDN w:val="0"/>
        <w:adjustRightInd w:val="0"/>
        <w:rPr>
          <w:rFonts w:eastAsia="Calibri"/>
          <w:color w:val="000000"/>
          <w:sz w:val="22"/>
          <w:szCs w:val="22"/>
        </w:rPr>
      </w:pPr>
    </w:p>
    <w:p w14:paraId="6FADA323"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 Jums kiltų kokių nors klausimų apie Imatinib Actavis Group veikimą arba kodėl Jums jį paskyrė, klauskite gydytojo. </w:t>
      </w:r>
    </w:p>
    <w:p w14:paraId="73585D7D" w14:textId="77777777" w:rsidR="008A305D" w:rsidRPr="00BA3FBD" w:rsidRDefault="008A305D" w:rsidP="008A305D">
      <w:pPr>
        <w:autoSpaceDE w:val="0"/>
        <w:autoSpaceDN w:val="0"/>
        <w:adjustRightInd w:val="0"/>
        <w:rPr>
          <w:rFonts w:eastAsia="Calibri"/>
          <w:sz w:val="22"/>
          <w:szCs w:val="22"/>
        </w:rPr>
      </w:pPr>
    </w:p>
    <w:p w14:paraId="20077448" w14:textId="77777777" w:rsidR="008A305D" w:rsidRPr="00BA3FBD" w:rsidRDefault="008A305D" w:rsidP="008A305D">
      <w:pPr>
        <w:autoSpaceDE w:val="0"/>
        <w:autoSpaceDN w:val="0"/>
        <w:adjustRightInd w:val="0"/>
        <w:rPr>
          <w:rFonts w:eastAsia="Calibri"/>
          <w:sz w:val="22"/>
          <w:szCs w:val="22"/>
        </w:rPr>
      </w:pPr>
    </w:p>
    <w:p w14:paraId="5904A8F9" w14:textId="77777777" w:rsidR="008A305D" w:rsidRPr="00BA3FBD" w:rsidRDefault="008A305D" w:rsidP="008A305D">
      <w:pPr>
        <w:pStyle w:val="Sraopastraipa"/>
        <w:numPr>
          <w:ilvl w:val="0"/>
          <w:numId w:val="6"/>
        </w:numPr>
        <w:autoSpaceDE w:val="0"/>
        <w:autoSpaceDN w:val="0"/>
        <w:adjustRightInd w:val="0"/>
        <w:ind w:left="567" w:hanging="567"/>
        <w:rPr>
          <w:rFonts w:eastAsia="Calibri"/>
          <w:b/>
          <w:sz w:val="22"/>
          <w:szCs w:val="22"/>
        </w:rPr>
      </w:pPr>
      <w:r w:rsidRPr="00BA3FBD">
        <w:rPr>
          <w:rFonts w:eastAsia="Calibri"/>
          <w:b/>
          <w:bCs/>
          <w:sz w:val="22"/>
          <w:szCs w:val="22"/>
        </w:rPr>
        <w:t xml:space="preserve">Kas žinotina prieš vartojant Imatinib Actavis Group </w:t>
      </w:r>
    </w:p>
    <w:p w14:paraId="22D348DA" w14:textId="77777777" w:rsidR="008A305D" w:rsidRPr="00BA3FBD" w:rsidRDefault="008A305D" w:rsidP="008A305D">
      <w:pPr>
        <w:autoSpaceDE w:val="0"/>
        <w:autoSpaceDN w:val="0"/>
        <w:adjustRightInd w:val="0"/>
        <w:rPr>
          <w:rFonts w:eastAsia="Calibri"/>
          <w:sz w:val="22"/>
          <w:szCs w:val="22"/>
        </w:rPr>
      </w:pPr>
    </w:p>
    <w:p w14:paraId="1E9E985B"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Imatinib Actavis Group Jums paskirs tik gydytojas, turintis kraujo vėžių arba solidinių navikų gydymo vaistais patirties. </w:t>
      </w:r>
    </w:p>
    <w:p w14:paraId="4547A7A3" w14:textId="77777777" w:rsidR="008A305D" w:rsidRPr="00BA3FBD" w:rsidRDefault="008A305D" w:rsidP="008A305D">
      <w:pPr>
        <w:autoSpaceDE w:val="0"/>
        <w:autoSpaceDN w:val="0"/>
        <w:adjustRightInd w:val="0"/>
        <w:rPr>
          <w:rFonts w:eastAsia="Calibri"/>
          <w:sz w:val="22"/>
          <w:szCs w:val="22"/>
        </w:rPr>
      </w:pPr>
    </w:p>
    <w:p w14:paraId="68F6E41D"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Tiksliai laikykitės visų gydytojo nurodymų, net jei jie skiriasi nuo bendrosios šiame lapelyje esančios informacijos. </w:t>
      </w:r>
    </w:p>
    <w:p w14:paraId="629A2CD0" w14:textId="77777777" w:rsidR="008A305D" w:rsidRPr="00BA3FBD" w:rsidRDefault="008A305D" w:rsidP="008A305D">
      <w:pPr>
        <w:autoSpaceDE w:val="0"/>
        <w:autoSpaceDN w:val="0"/>
        <w:adjustRightInd w:val="0"/>
        <w:rPr>
          <w:rFonts w:eastAsia="Calibri"/>
          <w:b/>
          <w:bCs/>
          <w:sz w:val="22"/>
          <w:szCs w:val="22"/>
        </w:rPr>
      </w:pPr>
    </w:p>
    <w:p w14:paraId="4FB60034"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Imatinib Actavis Group vartoti negalima: </w:t>
      </w:r>
    </w:p>
    <w:p w14:paraId="1432A029" w14:textId="77777777" w:rsidR="008A305D" w:rsidRPr="00BA3FBD" w:rsidRDefault="008A305D" w:rsidP="008A305D">
      <w:pPr>
        <w:pStyle w:val="Sraopastraipa"/>
        <w:numPr>
          <w:ilvl w:val="0"/>
          <w:numId w:val="1"/>
        </w:numPr>
        <w:autoSpaceDE w:val="0"/>
        <w:autoSpaceDN w:val="0"/>
        <w:adjustRightInd w:val="0"/>
        <w:ind w:left="567" w:hanging="567"/>
        <w:rPr>
          <w:rFonts w:eastAsia="Calibri"/>
          <w:sz w:val="22"/>
          <w:szCs w:val="22"/>
        </w:rPr>
      </w:pPr>
      <w:r w:rsidRPr="00BA3FBD">
        <w:rPr>
          <w:rFonts w:eastAsia="Calibri"/>
          <w:sz w:val="22"/>
          <w:szCs w:val="22"/>
        </w:rPr>
        <w:t xml:space="preserve">jeigu yra alergija imatinibui arba bet kuriai pagalbinei šio vaisto medžiagai (jos išvardytos 6 skyriuje). </w:t>
      </w:r>
    </w:p>
    <w:p w14:paraId="7537137E" w14:textId="77777777" w:rsidR="008A305D" w:rsidRPr="00BA3FBD" w:rsidRDefault="008A305D" w:rsidP="008A305D">
      <w:pPr>
        <w:autoSpaceDE w:val="0"/>
        <w:autoSpaceDN w:val="0"/>
        <w:adjustRightInd w:val="0"/>
        <w:rPr>
          <w:rFonts w:eastAsia="Calibri"/>
          <w:sz w:val="22"/>
          <w:szCs w:val="22"/>
        </w:rPr>
      </w:pPr>
    </w:p>
    <w:p w14:paraId="5CF3B75E"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 ši sąlyga Jums tinka, </w:t>
      </w:r>
      <w:r w:rsidRPr="00BA3FBD">
        <w:rPr>
          <w:rFonts w:eastAsia="Calibri"/>
          <w:b/>
          <w:bCs/>
          <w:sz w:val="22"/>
          <w:szCs w:val="22"/>
        </w:rPr>
        <w:t xml:space="preserve">nevartokite Imatinib Actavis Group ir apie tai pasakykite gydytojui. </w:t>
      </w:r>
    </w:p>
    <w:p w14:paraId="0CCE6EE3" w14:textId="77777777" w:rsidR="008A305D" w:rsidRPr="00BA3FBD" w:rsidRDefault="008A305D" w:rsidP="008A305D">
      <w:pPr>
        <w:autoSpaceDE w:val="0"/>
        <w:autoSpaceDN w:val="0"/>
        <w:adjustRightInd w:val="0"/>
        <w:rPr>
          <w:rFonts w:eastAsia="Calibri"/>
          <w:sz w:val="22"/>
          <w:szCs w:val="22"/>
        </w:rPr>
      </w:pPr>
    </w:p>
    <w:p w14:paraId="6680B6DB"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Jeigu manote, kad galite būti alergiškas, bet nesate tikras, kreipkitės patarimo į gydytoją. </w:t>
      </w:r>
    </w:p>
    <w:p w14:paraId="72F3D8D4" w14:textId="77777777" w:rsidR="008A305D" w:rsidRPr="00BA3FBD" w:rsidRDefault="008A305D" w:rsidP="008A305D">
      <w:pPr>
        <w:autoSpaceDE w:val="0"/>
        <w:autoSpaceDN w:val="0"/>
        <w:adjustRightInd w:val="0"/>
        <w:rPr>
          <w:rFonts w:eastAsia="Calibri"/>
          <w:b/>
          <w:bCs/>
          <w:sz w:val="22"/>
          <w:szCs w:val="22"/>
        </w:rPr>
      </w:pPr>
    </w:p>
    <w:p w14:paraId="0FD24517"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Įspėjimai ir atsargumo priemonės </w:t>
      </w:r>
    </w:p>
    <w:p w14:paraId="10B13171"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Pasitarkite su gydytoju,</w:t>
      </w:r>
      <w:r w:rsidR="00EF2EAE">
        <w:rPr>
          <w:rFonts w:eastAsia="Calibri"/>
          <w:sz w:val="22"/>
          <w:szCs w:val="22"/>
        </w:rPr>
        <w:t xml:space="preserve"> vaistininku arba slaugytoju,</w:t>
      </w:r>
      <w:r w:rsidRPr="00BA3FBD">
        <w:rPr>
          <w:rFonts w:eastAsia="Calibri"/>
          <w:sz w:val="22"/>
          <w:szCs w:val="22"/>
        </w:rPr>
        <w:t xml:space="preserve"> prieš pradėdami vartoti Imatinib Actavis Group: </w:t>
      </w:r>
    </w:p>
    <w:p w14:paraId="78C2645C"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w:t>
      </w:r>
      <w:r w:rsidRPr="00BA3FBD">
        <w:rPr>
          <w:rFonts w:eastAsia="Calibri"/>
          <w:sz w:val="22"/>
          <w:szCs w:val="22"/>
        </w:rPr>
        <w:tab/>
        <w:t xml:space="preserve">jeigu Jums yra ar kada nors yra buvę kepenų, inkstų ar širdies sutrikimų, </w:t>
      </w:r>
    </w:p>
    <w:p w14:paraId="549112FC" w14:textId="77777777" w:rsidR="008A305D" w:rsidRDefault="008A305D" w:rsidP="008A305D">
      <w:pPr>
        <w:autoSpaceDE w:val="0"/>
        <w:autoSpaceDN w:val="0"/>
        <w:adjustRightInd w:val="0"/>
        <w:rPr>
          <w:rFonts w:eastAsia="Calibri"/>
          <w:sz w:val="22"/>
          <w:szCs w:val="22"/>
        </w:rPr>
      </w:pPr>
      <w:r w:rsidRPr="00BA3FBD">
        <w:rPr>
          <w:rFonts w:eastAsia="Calibri"/>
          <w:sz w:val="22"/>
          <w:szCs w:val="22"/>
        </w:rPr>
        <w:t>-</w:t>
      </w:r>
      <w:r w:rsidRPr="00BA3FBD">
        <w:rPr>
          <w:rFonts w:eastAsia="Calibri"/>
          <w:sz w:val="22"/>
          <w:szCs w:val="22"/>
        </w:rPr>
        <w:tab/>
        <w:t xml:space="preserve">jeigu dėl pašalintos skydliaukės vartojate vaistinio preparato levotiroksino. </w:t>
      </w:r>
    </w:p>
    <w:p w14:paraId="5C92273C" w14:textId="77777777" w:rsidR="00EF2EAE" w:rsidRPr="00BA3FBD" w:rsidRDefault="00EF2EAE" w:rsidP="009E05E3">
      <w:pPr>
        <w:autoSpaceDE w:val="0"/>
        <w:autoSpaceDN w:val="0"/>
        <w:adjustRightInd w:val="0"/>
        <w:ind w:left="1290" w:hanging="1290"/>
        <w:rPr>
          <w:rFonts w:eastAsia="Calibri"/>
          <w:sz w:val="22"/>
          <w:szCs w:val="22"/>
        </w:rPr>
      </w:pPr>
      <w:r w:rsidRPr="00EF2EAE">
        <w:rPr>
          <w:rFonts w:eastAsia="Calibri"/>
          <w:sz w:val="22"/>
          <w:szCs w:val="22"/>
        </w:rPr>
        <w:t>-</w:t>
      </w:r>
      <w:r w:rsidRPr="00EF2EAE">
        <w:rPr>
          <w:rFonts w:eastAsia="Calibri"/>
          <w:sz w:val="22"/>
          <w:szCs w:val="22"/>
        </w:rPr>
        <w:tab/>
        <w:t>jums kada nors buvo diagnozuota hepatito B infekcija arba šiuo metu galite būti užsikrėtę šiuo virusu. Tai būtina, nes Imatinib Actavis Group gali vėl suaktyvinti hepatito B virusą, o kai kuriais atvejais tai gali būti mirtina. Prieš pradedant gydymą, gydytojas atidžiai patikrins, ar pacientas neturi šios infekcijos požymių.</w:t>
      </w:r>
    </w:p>
    <w:p w14:paraId="6DF812E5"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 bet kuri šių sąlygų Jums tinka, </w:t>
      </w:r>
      <w:r w:rsidRPr="00BA3FBD">
        <w:rPr>
          <w:rFonts w:eastAsia="Calibri"/>
          <w:b/>
          <w:bCs/>
          <w:sz w:val="22"/>
          <w:szCs w:val="22"/>
        </w:rPr>
        <w:t>prieš pradėdami vartoti Imatinib Actavis Group, pasakykite gydytojui</w:t>
      </w:r>
      <w:r w:rsidRPr="00BA3FBD">
        <w:rPr>
          <w:rFonts w:eastAsia="Calibri"/>
          <w:sz w:val="22"/>
          <w:szCs w:val="22"/>
        </w:rPr>
        <w:t xml:space="preserve">. </w:t>
      </w:r>
    </w:p>
    <w:p w14:paraId="60F9BCD2" w14:textId="77777777" w:rsidR="008A305D" w:rsidRPr="00BA3FBD" w:rsidRDefault="008A305D" w:rsidP="008A305D">
      <w:pPr>
        <w:autoSpaceDE w:val="0"/>
        <w:autoSpaceDN w:val="0"/>
        <w:adjustRightInd w:val="0"/>
        <w:rPr>
          <w:rFonts w:eastAsia="Calibri"/>
          <w:b/>
          <w:bCs/>
          <w:sz w:val="22"/>
          <w:szCs w:val="22"/>
        </w:rPr>
      </w:pPr>
    </w:p>
    <w:p w14:paraId="67CDB833"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Imatinib Actavis Group vartojimo metu nedelsdami kreipkitės į gydytoją, </w:t>
      </w:r>
      <w:r w:rsidRPr="00BA3FBD">
        <w:rPr>
          <w:rFonts w:eastAsia="Calibri"/>
          <w:sz w:val="22"/>
          <w:szCs w:val="22"/>
        </w:rPr>
        <w:t xml:space="preserve">jeigu Jums labai greitai padidėjo kūno svoris. Dėl Imatinib Actavis Group poveikio Jūsų kūne gali kauptis skysčių (pasireikšti sunkus skysčių susilaikymas). </w:t>
      </w:r>
    </w:p>
    <w:p w14:paraId="5A207CA7" w14:textId="77777777" w:rsidR="008A305D" w:rsidRPr="00BA3FBD" w:rsidRDefault="008A305D" w:rsidP="008A305D">
      <w:pPr>
        <w:autoSpaceDE w:val="0"/>
        <w:autoSpaceDN w:val="0"/>
        <w:adjustRightInd w:val="0"/>
        <w:rPr>
          <w:rFonts w:eastAsia="Calibri"/>
          <w:sz w:val="22"/>
          <w:szCs w:val="22"/>
        </w:rPr>
      </w:pPr>
    </w:p>
    <w:p w14:paraId="2B5B03BD"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Jums vartojant Imatinib Actavis Group, gydytojas reguliariai tikrins, ar vaistinis preparatas veikia. Jums taip pat reguliariai tirs kraują ir kūno svorį. </w:t>
      </w:r>
    </w:p>
    <w:p w14:paraId="5DAB20CE" w14:textId="77777777" w:rsidR="008A305D" w:rsidRPr="00BA3FBD" w:rsidRDefault="008A305D" w:rsidP="008A305D">
      <w:pPr>
        <w:autoSpaceDE w:val="0"/>
        <w:autoSpaceDN w:val="0"/>
        <w:adjustRightInd w:val="0"/>
        <w:rPr>
          <w:rFonts w:eastAsia="Calibri"/>
          <w:b/>
          <w:bCs/>
          <w:sz w:val="22"/>
          <w:szCs w:val="22"/>
        </w:rPr>
      </w:pPr>
    </w:p>
    <w:p w14:paraId="0916730E"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Vaikams ir paaugliams </w:t>
      </w:r>
    </w:p>
    <w:p w14:paraId="3D4888FF"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Imatinib Actavis Group taip pat gydomi vaikai ir paaugliai, sergantys LML. Vartojimo patirties vaikams, jaunesniems kaip 2 metų ir sergantiems LML, nėra. </w:t>
      </w:r>
      <w:r w:rsidRPr="00BA3FBD">
        <w:rPr>
          <w:sz w:val="22"/>
          <w:szCs w:val="22"/>
        </w:rPr>
        <w:t xml:space="preserve">Vartojimo patirties vaikams ir paaugliams, sergantiems Ph teigiama ŪLL, yra nedaug, o vartojimo patirties vaikams ir paaugliams, sergantiems MDS/MPL, DFSP, </w:t>
      </w:r>
      <w:r>
        <w:rPr>
          <w:sz w:val="22"/>
          <w:szCs w:val="22"/>
        </w:rPr>
        <w:t>GIST</w:t>
      </w:r>
      <w:r w:rsidRPr="00BA3FBD">
        <w:rPr>
          <w:sz w:val="22"/>
          <w:szCs w:val="22"/>
        </w:rPr>
        <w:t xml:space="preserve"> ir HES/LEL, yra labai nedaug.</w:t>
      </w:r>
    </w:p>
    <w:p w14:paraId="22BC7F39" w14:textId="77777777" w:rsidR="008A305D" w:rsidRPr="00BA3FBD" w:rsidRDefault="008A305D" w:rsidP="008A305D">
      <w:pPr>
        <w:autoSpaceDE w:val="0"/>
        <w:autoSpaceDN w:val="0"/>
        <w:adjustRightInd w:val="0"/>
        <w:rPr>
          <w:rFonts w:eastAsia="Calibri"/>
          <w:sz w:val="22"/>
          <w:szCs w:val="22"/>
        </w:rPr>
      </w:pPr>
    </w:p>
    <w:p w14:paraId="3469665B"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Kai kurių vaikų ir paauglių, vartojančių Imatinib Actavis Group, augimas gali būti lėtesnis nei įprasta. Todėl gydytojas tikrins augimą įprastų vizitų metu. </w:t>
      </w:r>
    </w:p>
    <w:p w14:paraId="4A8870D2" w14:textId="77777777" w:rsidR="008A305D" w:rsidRPr="00BA3FBD" w:rsidRDefault="008A305D" w:rsidP="008A305D">
      <w:pPr>
        <w:autoSpaceDE w:val="0"/>
        <w:autoSpaceDN w:val="0"/>
        <w:adjustRightInd w:val="0"/>
        <w:rPr>
          <w:rFonts w:eastAsia="Calibri"/>
          <w:b/>
          <w:sz w:val="22"/>
          <w:szCs w:val="22"/>
        </w:rPr>
      </w:pPr>
    </w:p>
    <w:p w14:paraId="6F5D183B" w14:textId="77777777" w:rsidR="008A305D" w:rsidRPr="00BA3FBD" w:rsidRDefault="008A305D" w:rsidP="008A305D">
      <w:pPr>
        <w:autoSpaceDE w:val="0"/>
        <w:autoSpaceDN w:val="0"/>
        <w:adjustRightInd w:val="0"/>
        <w:rPr>
          <w:rFonts w:eastAsia="Calibri"/>
          <w:b/>
          <w:sz w:val="22"/>
          <w:szCs w:val="22"/>
        </w:rPr>
      </w:pPr>
      <w:r w:rsidRPr="00BA3FBD">
        <w:rPr>
          <w:rFonts w:eastAsia="Calibri"/>
          <w:b/>
          <w:sz w:val="22"/>
          <w:szCs w:val="22"/>
        </w:rPr>
        <w:t>Kiti vaistai ir Imatinib Actavis Group</w:t>
      </w:r>
    </w:p>
    <w:p w14:paraId="61777782"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Jeigu vartojate ar neseniai vartojote kitų vaistų arba dėl to nesate tikri, įskaitant įsigytus be recepto (tokių kaip paracetamolio) ir taip pat augalinių (tokių kaip jonažolės preparatų), apie tai pasakykite gydytojui arba vaistininkui. Kai kurie vaistiniai preparatai vartojami kartu gali sąveikauti su Imatinib Actavis Group. Jie gali padidinti arba sumažinti Imatinib Actavis Group poveikį, arba padidindami nepageidaujamų reiškinių pasireiškimo dažnį, arba mažindami Imatinib Actavis Group veiksmingumą. Imatinib Actavis Group gali panašiai veikti kai kuriuos kitus vaistinius preparatus. </w:t>
      </w:r>
    </w:p>
    <w:p w14:paraId="3F309B9B" w14:textId="77777777" w:rsidR="008A305D" w:rsidRPr="00BA3FBD" w:rsidRDefault="008A305D" w:rsidP="008A305D">
      <w:pPr>
        <w:autoSpaceDE w:val="0"/>
        <w:autoSpaceDN w:val="0"/>
        <w:adjustRightInd w:val="0"/>
        <w:rPr>
          <w:rFonts w:eastAsia="Calibri"/>
          <w:b/>
          <w:sz w:val="22"/>
          <w:szCs w:val="22"/>
        </w:rPr>
      </w:pPr>
      <w:r w:rsidRPr="00BA3FBD">
        <w:rPr>
          <w:rFonts w:eastAsia="Calibri"/>
          <w:sz w:val="22"/>
          <w:szCs w:val="22"/>
        </w:rPr>
        <w:t>Pasakykite gydytojui, jei vartojate vaistų, kurie apsaugo nuo kraujo krešulių susidarymo.</w:t>
      </w:r>
    </w:p>
    <w:p w14:paraId="46CE59EE" w14:textId="77777777" w:rsidR="008A305D" w:rsidRPr="00BA3FBD" w:rsidRDefault="008A305D" w:rsidP="008A305D">
      <w:pPr>
        <w:autoSpaceDE w:val="0"/>
        <w:autoSpaceDN w:val="0"/>
        <w:adjustRightInd w:val="0"/>
        <w:rPr>
          <w:rFonts w:eastAsia="Calibri"/>
          <w:sz w:val="22"/>
          <w:szCs w:val="22"/>
        </w:rPr>
      </w:pPr>
    </w:p>
    <w:p w14:paraId="755CEA61"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lastRenderedPageBreak/>
        <w:t xml:space="preserve">Nėštumas, žindymo laikotarpis ir vaisingumas </w:t>
      </w:r>
    </w:p>
    <w:p w14:paraId="08989329" w14:textId="77777777" w:rsidR="008A305D" w:rsidRPr="00BA3FBD" w:rsidRDefault="008A305D" w:rsidP="008A305D">
      <w:pPr>
        <w:autoSpaceDE w:val="0"/>
        <w:autoSpaceDN w:val="0"/>
        <w:adjustRightInd w:val="0"/>
        <w:spacing w:after="23"/>
        <w:ind w:left="720" w:hanging="720"/>
        <w:rPr>
          <w:rFonts w:eastAsia="Calibri"/>
          <w:sz w:val="22"/>
          <w:szCs w:val="22"/>
        </w:rPr>
      </w:pPr>
      <w:r w:rsidRPr="00BA3FBD">
        <w:rPr>
          <w:rFonts w:eastAsia="Calibri"/>
          <w:sz w:val="22"/>
          <w:szCs w:val="22"/>
        </w:rPr>
        <w:t>-</w:t>
      </w:r>
      <w:r w:rsidRPr="00BA3FBD">
        <w:rPr>
          <w:rFonts w:eastAsia="Calibri"/>
          <w:sz w:val="22"/>
          <w:szCs w:val="22"/>
        </w:rPr>
        <w:tab/>
        <w:t xml:space="preserve">Jeigu esate nėščia, žindote kūdikį, manote, kad galbūt esate nėščia arba planuojate pastoti, tai prieš vartodama šį vaistą pasitarkite su gydytoju. </w:t>
      </w:r>
    </w:p>
    <w:p w14:paraId="60525267" w14:textId="77777777" w:rsidR="008A305D" w:rsidRPr="00BA3FBD" w:rsidRDefault="008A305D" w:rsidP="008A305D">
      <w:pPr>
        <w:autoSpaceDE w:val="0"/>
        <w:autoSpaceDN w:val="0"/>
        <w:adjustRightInd w:val="0"/>
        <w:spacing w:after="23"/>
        <w:ind w:left="720" w:hanging="720"/>
        <w:rPr>
          <w:rFonts w:eastAsia="Calibri"/>
          <w:sz w:val="22"/>
          <w:szCs w:val="22"/>
        </w:rPr>
      </w:pPr>
      <w:r w:rsidRPr="00BA3FBD">
        <w:rPr>
          <w:rFonts w:eastAsia="Calibri"/>
          <w:sz w:val="22"/>
          <w:szCs w:val="22"/>
        </w:rPr>
        <w:t>-</w:t>
      </w:r>
      <w:r w:rsidRPr="00BA3FBD">
        <w:rPr>
          <w:rFonts w:eastAsia="Calibri"/>
          <w:sz w:val="22"/>
          <w:szCs w:val="22"/>
        </w:rPr>
        <w:tab/>
        <w:t xml:space="preserve">Imatinib Actavis Group nerekomenduojama vartoti nėščiosioms, nebent neišvengiama, nes tai gali pakenkti Jūsų kūdikiui. Gydytojas supažindins Jus su galima Imatinib Actavis Group vartojimo nėštumo laikotarpiu rizika. </w:t>
      </w:r>
    </w:p>
    <w:p w14:paraId="51301056" w14:textId="77777777" w:rsidR="008A305D" w:rsidRPr="00BA3FBD" w:rsidRDefault="008A305D" w:rsidP="008A305D">
      <w:pPr>
        <w:autoSpaceDE w:val="0"/>
        <w:autoSpaceDN w:val="0"/>
        <w:adjustRightInd w:val="0"/>
        <w:spacing w:after="23"/>
        <w:ind w:left="720" w:hanging="720"/>
        <w:rPr>
          <w:rFonts w:eastAsia="Calibri"/>
          <w:sz w:val="22"/>
          <w:szCs w:val="22"/>
        </w:rPr>
      </w:pPr>
      <w:r w:rsidRPr="00BA3FBD">
        <w:rPr>
          <w:rFonts w:eastAsia="Calibri"/>
          <w:sz w:val="22"/>
          <w:szCs w:val="22"/>
        </w:rPr>
        <w:t>-</w:t>
      </w:r>
      <w:r w:rsidRPr="00BA3FBD">
        <w:rPr>
          <w:rFonts w:eastAsia="Calibri"/>
          <w:sz w:val="22"/>
          <w:szCs w:val="22"/>
        </w:rPr>
        <w:tab/>
        <w:t xml:space="preserve">Moterims, galinčioms pastoti, gydantis šiuo vaistu rekomenduojama taikyti efektyvias kontracepcijos priemones. </w:t>
      </w:r>
    </w:p>
    <w:p w14:paraId="3BEF81B1" w14:textId="77777777" w:rsidR="008A305D" w:rsidRPr="00BA3FBD" w:rsidRDefault="008A305D" w:rsidP="008A305D">
      <w:pPr>
        <w:autoSpaceDE w:val="0"/>
        <w:autoSpaceDN w:val="0"/>
        <w:adjustRightInd w:val="0"/>
        <w:spacing w:after="23"/>
        <w:rPr>
          <w:rFonts w:eastAsia="Calibri"/>
          <w:sz w:val="22"/>
          <w:szCs w:val="22"/>
        </w:rPr>
      </w:pPr>
      <w:r w:rsidRPr="00BA3FBD">
        <w:rPr>
          <w:rFonts w:eastAsia="Calibri"/>
          <w:sz w:val="22"/>
          <w:szCs w:val="22"/>
        </w:rPr>
        <w:t>-</w:t>
      </w:r>
      <w:r w:rsidRPr="00BA3FBD">
        <w:rPr>
          <w:rFonts w:eastAsia="Calibri"/>
          <w:sz w:val="22"/>
          <w:szCs w:val="22"/>
        </w:rPr>
        <w:tab/>
        <w:t xml:space="preserve">Vartodama Imatinib Actavis Group, kūdikio nežindykite. </w:t>
      </w:r>
    </w:p>
    <w:p w14:paraId="6E4F43F5" w14:textId="77777777" w:rsidR="008A305D" w:rsidRPr="00BA3FBD" w:rsidRDefault="008A305D" w:rsidP="008A305D">
      <w:pPr>
        <w:autoSpaceDE w:val="0"/>
        <w:autoSpaceDN w:val="0"/>
        <w:adjustRightInd w:val="0"/>
        <w:ind w:left="720" w:hanging="720"/>
        <w:rPr>
          <w:rFonts w:eastAsia="Calibri"/>
          <w:sz w:val="22"/>
          <w:szCs w:val="22"/>
        </w:rPr>
      </w:pPr>
      <w:r w:rsidRPr="00BA3FBD">
        <w:rPr>
          <w:rFonts w:eastAsia="Calibri"/>
          <w:sz w:val="22"/>
          <w:szCs w:val="22"/>
        </w:rPr>
        <w:t>-</w:t>
      </w:r>
      <w:r w:rsidRPr="00BA3FBD">
        <w:rPr>
          <w:rFonts w:eastAsia="Calibri"/>
          <w:sz w:val="22"/>
          <w:szCs w:val="22"/>
        </w:rPr>
        <w:tab/>
        <w:t xml:space="preserve">Pacientai Imatinib Actavis Group vartojimo laikotarpiu dėl savo vaisingumo turi konsultuotis su gydytoju. </w:t>
      </w:r>
    </w:p>
    <w:p w14:paraId="71EEF3FB" w14:textId="77777777" w:rsidR="008A305D" w:rsidRPr="00BA3FBD" w:rsidRDefault="008A305D" w:rsidP="008A305D">
      <w:pPr>
        <w:autoSpaceDE w:val="0"/>
        <w:autoSpaceDN w:val="0"/>
        <w:adjustRightInd w:val="0"/>
        <w:rPr>
          <w:rFonts w:eastAsia="Calibri"/>
          <w:sz w:val="22"/>
          <w:szCs w:val="22"/>
        </w:rPr>
      </w:pPr>
    </w:p>
    <w:p w14:paraId="7712C643"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Vairavimas ir mechanizmų valdymas </w:t>
      </w:r>
    </w:p>
    <w:p w14:paraId="264CEFB4"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Vartodami šio vaisto galite jausti galvos svaigimą ar mieguistumą arba Jums gali pasireikšti neryškus matymas. Jeigu taip atsitiktų, nevairuokite ir nevaldykite bet kokios rūšies mechanizmų, kol vėl nepasijusite gerai. </w:t>
      </w:r>
    </w:p>
    <w:p w14:paraId="70948D80" w14:textId="77777777" w:rsidR="008A305D" w:rsidRPr="00BA3FBD" w:rsidRDefault="008A305D" w:rsidP="008A305D">
      <w:pPr>
        <w:autoSpaceDE w:val="0"/>
        <w:autoSpaceDN w:val="0"/>
        <w:adjustRightInd w:val="0"/>
        <w:rPr>
          <w:rFonts w:eastAsia="Calibri"/>
          <w:sz w:val="22"/>
          <w:szCs w:val="22"/>
        </w:rPr>
      </w:pPr>
    </w:p>
    <w:p w14:paraId="0E0561C9" w14:textId="77777777" w:rsidR="008A305D" w:rsidRPr="00BA3FBD" w:rsidRDefault="008A305D" w:rsidP="008A305D">
      <w:pPr>
        <w:autoSpaceDE w:val="0"/>
        <w:autoSpaceDN w:val="0"/>
        <w:adjustRightInd w:val="0"/>
        <w:rPr>
          <w:rFonts w:eastAsia="Calibri"/>
          <w:b/>
          <w:sz w:val="22"/>
          <w:szCs w:val="22"/>
        </w:rPr>
      </w:pPr>
      <w:r w:rsidRPr="00BA3FBD">
        <w:rPr>
          <w:rFonts w:eastAsia="Calibri"/>
          <w:b/>
          <w:sz w:val="22"/>
          <w:szCs w:val="22"/>
        </w:rPr>
        <w:t>Imatinib Actavis Group sudėtyje yra laktozės</w:t>
      </w:r>
    </w:p>
    <w:p w14:paraId="7F852047"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Jei gydytojas Jums kada nors yra sakęs, kad Jūs netoleruojate angliavandenių, kreipkitės į savo gydytoją prieš pradėdamas vartoti šį vaistą.</w:t>
      </w:r>
    </w:p>
    <w:p w14:paraId="31342FD7" w14:textId="77777777" w:rsidR="008A305D" w:rsidRPr="00BA3FBD" w:rsidRDefault="008A305D" w:rsidP="008A305D">
      <w:pPr>
        <w:autoSpaceDE w:val="0"/>
        <w:autoSpaceDN w:val="0"/>
        <w:adjustRightInd w:val="0"/>
        <w:rPr>
          <w:rFonts w:eastAsia="Calibri"/>
          <w:sz w:val="22"/>
          <w:szCs w:val="22"/>
        </w:rPr>
      </w:pPr>
    </w:p>
    <w:p w14:paraId="3A1C2219" w14:textId="77777777" w:rsidR="008A305D" w:rsidRPr="00BA3FBD" w:rsidRDefault="008A305D" w:rsidP="008A305D">
      <w:pPr>
        <w:autoSpaceDE w:val="0"/>
        <w:autoSpaceDN w:val="0"/>
        <w:adjustRightInd w:val="0"/>
        <w:rPr>
          <w:rFonts w:eastAsia="Calibri"/>
          <w:sz w:val="22"/>
          <w:szCs w:val="22"/>
        </w:rPr>
      </w:pPr>
    </w:p>
    <w:p w14:paraId="6454EE80" w14:textId="77777777" w:rsidR="008A305D" w:rsidRPr="00BA3FBD" w:rsidRDefault="008A305D" w:rsidP="008A305D">
      <w:pPr>
        <w:pStyle w:val="Sraopastraipa"/>
        <w:numPr>
          <w:ilvl w:val="0"/>
          <w:numId w:val="6"/>
        </w:numPr>
        <w:autoSpaceDE w:val="0"/>
        <w:autoSpaceDN w:val="0"/>
        <w:adjustRightInd w:val="0"/>
        <w:ind w:left="567" w:hanging="567"/>
        <w:rPr>
          <w:rFonts w:eastAsia="Calibri"/>
          <w:b/>
          <w:bCs/>
          <w:sz w:val="22"/>
          <w:szCs w:val="22"/>
        </w:rPr>
      </w:pPr>
      <w:r w:rsidRPr="00BA3FBD">
        <w:rPr>
          <w:rFonts w:eastAsia="Calibri"/>
          <w:b/>
          <w:bCs/>
          <w:sz w:val="22"/>
          <w:szCs w:val="22"/>
        </w:rPr>
        <w:t xml:space="preserve">Kaip vartoti Imatinib Actavis Group </w:t>
      </w:r>
    </w:p>
    <w:p w14:paraId="294E810A" w14:textId="77777777" w:rsidR="008A305D" w:rsidRPr="00BA3FBD" w:rsidRDefault="008A305D" w:rsidP="008A305D">
      <w:pPr>
        <w:autoSpaceDE w:val="0"/>
        <w:autoSpaceDN w:val="0"/>
        <w:adjustRightInd w:val="0"/>
        <w:rPr>
          <w:rFonts w:eastAsia="Calibri"/>
          <w:sz w:val="22"/>
          <w:szCs w:val="22"/>
        </w:rPr>
      </w:pPr>
    </w:p>
    <w:p w14:paraId="43B91C9F"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Jūsų gydytojas Jums paskyrė Imatinib Actavis Group, kadangi sergate sunkia liga. Imatinib Actavis Group gali Jums padėti kovojant su šia būkle. </w:t>
      </w:r>
    </w:p>
    <w:p w14:paraId="2F8BDE3F" w14:textId="77777777" w:rsidR="008A305D" w:rsidRPr="00BA3FBD" w:rsidRDefault="008A305D" w:rsidP="008A305D">
      <w:pPr>
        <w:autoSpaceDE w:val="0"/>
        <w:autoSpaceDN w:val="0"/>
        <w:adjustRightInd w:val="0"/>
        <w:rPr>
          <w:rFonts w:eastAsia="Calibri"/>
          <w:sz w:val="22"/>
          <w:szCs w:val="22"/>
        </w:rPr>
      </w:pPr>
    </w:p>
    <w:p w14:paraId="23D9F29A"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Tačiau visada vartokite šį vaistą tiksliai kaip nurodė gydytojas arba vaistininkas. Svarbu, kad vaisto vartotumėte tiek laiko, kiek nurodė Jūsų gydytojas arba vaistininkas. Jeigu abejojate, kreipkitės į gydytoją arba vaistininką. </w:t>
      </w:r>
    </w:p>
    <w:p w14:paraId="7B3CBE01" w14:textId="77777777" w:rsidR="008A305D" w:rsidRPr="00BA3FBD" w:rsidRDefault="008A305D" w:rsidP="008A305D">
      <w:pPr>
        <w:autoSpaceDE w:val="0"/>
        <w:autoSpaceDN w:val="0"/>
        <w:adjustRightInd w:val="0"/>
        <w:rPr>
          <w:rFonts w:eastAsia="Calibri"/>
          <w:sz w:val="22"/>
          <w:szCs w:val="22"/>
        </w:rPr>
      </w:pPr>
    </w:p>
    <w:p w14:paraId="6452382D"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Nenustokite vartoti Imatinib Actavis Group, nebent taip nurodytų Jūsų gydytojas. Nedelsdami kreipkitės į gydytoją, jeigu negalite vartoti vaisto taip, kaip paskyrė gydytojas, arba jaučiate, kad šio vaisto Jums daugiau nereikia. </w:t>
      </w:r>
    </w:p>
    <w:p w14:paraId="4142144D" w14:textId="77777777" w:rsidR="008A305D" w:rsidRPr="00BA3FBD" w:rsidRDefault="008A305D" w:rsidP="008A305D">
      <w:pPr>
        <w:autoSpaceDE w:val="0"/>
        <w:autoSpaceDN w:val="0"/>
        <w:adjustRightInd w:val="0"/>
        <w:rPr>
          <w:rFonts w:eastAsia="Calibri"/>
          <w:b/>
          <w:bCs/>
          <w:sz w:val="22"/>
          <w:szCs w:val="22"/>
        </w:rPr>
      </w:pPr>
    </w:p>
    <w:p w14:paraId="1F11B4C7"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Kiek Imatinib Actavis Group vartoti </w:t>
      </w:r>
    </w:p>
    <w:p w14:paraId="0550F1DD" w14:textId="77777777" w:rsidR="008A305D" w:rsidRPr="00BA3FBD" w:rsidRDefault="008A305D" w:rsidP="008A305D">
      <w:pPr>
        <w:autoSpaceDE w:val="0"/>
        <w:autoSpaceDN w:val="0"/>
        <w:adjustRightInd w:val="0"/>
        <w:rPr>
          <w:rFonts w:eastAsia="Calibri"/>
          <w:b/>
          <w:bCs/>
          <w:sz w:val="22"/>
          <w:szCs w:val="22"/>
        </w:rPr>
      </w:pPr>
    </w:p>
    <w:p w14:paraId="0D5B6E46" w14:textId="77777777" w:rsidR="008A305D" w:rsidRPr="00BA3FBD" w:rsidRDefault="008A305D" w:rsidP="008A305D">
      <w:pPr>
        <w:autoSpaceDE w:val="0"/>
        <w:autoSpaceDN w:val="0"/>
        <w:adjustRightInd w:val="0"/>
        <w:rPr>
          <w:rFonts w:eastAsia="Calibri"/>
          <w:b/>
          <w:bCs/>
          <w:sz w:val="22"/>
          <w:szCs w:val="22"/>
        </w:rPr>
      </w:pPr>
      <w:r w:rsidRPr="00BA3FBD">
        <w:rPr>
          <w:rFonts w:eastAsia="Calibri"/>
          <w:b/>
          <w:bCs/>
          <w:sz w:val="22"/>
          <w:szCs w:val="22"/>
        </w:rPr>
        <w:t xml:space="preserve">Vartojimas suaugusiesiems </w:t>
      </w:r>
    </w:p>
    <w:p w14:paraId="07A235BF"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Gydytojas Jums tiksliai nurodys, kiek Imatinib Actavis Group tablečių gerti. </w:t>
      </w:r>
    </w:p>
    <w:p w14:paraId="74F48A58" w14:textId="77777777" w:rsidR="008A305D" w:rsidRPr="00BA3FBD" w:rsidRDefault="008A305D" w:rsidP="008A305D">
      <w:pPr>
        <w:autoSpaceDE w:val="0"/>
        <w:autoSpaceDN w:val="0"/>
        <w:adjustRightInd w:val="0"/>
        <w:rPr>
          <w:rFonts w:eastAsia="Calibri"/>
          <w:b/>
          <w:bCs/>
          <w:sz w:val="22"/>
          <w:szCs w:val="22"/>
        </w:rPr>
      </w:pPr>
    </w:p>
    <w:p w14:paraId="646C4761" w14:textId="77777777" w:rsidR="008A305D" w:rsidRPr="00BA3FBD" w:rsidRDefault="008A305D" w:rsidP="008A305D">
      <w:pPr>
        <w:numPr>
          <w:ilvl w:val="0"/>
          <w:numId w:val="1"/>
        </w:numPr>
        <w:autoSpaceDE w:val="0"/>
        <w:autoSpaceDN w:val="0"/>
        <w:adjustRightInd w:val="0"/>
        <w:ind w:left="567" w:hanging="567"/>
        <w:rPr>
          <w:rFonts w:eastAsia="Calibri"/>
          <w:sz w:val="22"/>
          <w:szCs w:val="22"/>
        </w:rPr>
      </w:pPr>
      <w:r w:rsidRPr="00BA3FBD">
        <w:rPr>
          <w:rFonts w:eastAsia="Calibri"/>
          <w:b/>
          <w:bCs/>
          <w:sz w:val="22"/>
          <w:szCs w:val="22"/>
        </w:rPr>
        <w:t>Jei gydoma LML:</w:t>
      </w:r>
    </w:p>
    <w:p w14:paraId="28FB465B" w14:textId="77777777" w:rsidR="008A305D" w:rsidRPr="00BA3FBD" w:rsidRDefault="008A305D" w:rsidP="008A305D">
      <w:pPr>
        <w:autoSpaceDE w:val="0"/>
        <w:autoSpaceDN w:val="0"/>
        <w:adjustRightInd w:val="0"/>
        <w:ind w:firstLine="720"/>
        <w:rPr>
          <w:rFonts w:eastAsia="Calibri"/>
          <w:sz w:val="22"/>
          <w:szCs w:val="22"/>
        </w:rPr>
      </w:pPr>
      <w:r w:rsidRPr="00BA3FBD">
        <w:rPr>
          <w:rFonts w:eastAsia="Calibri"/>
          <w:sz w:val="22"/>
          <w:szCs w:val="22"/>
        </w:rPr>
        <w:lastRenderedPageBreak/>
        <w:t xml:space="preserve">Rekomenduojama pradinė dozė yra 600 mg, vartojant po 3 tabletes </w:t>
      </w:r>
      <w:r w:rsidRPr="00BA3FBD">
        <w:rPr>
          <w:rFonts w:eastAsia="Calibri"/>
          <w:b/>
          <w:bCs/>
          <w:sz w:val="22"/>
          <w:szCs w:val="22"/>
        </w:rPr>
        <w:t xml:space="preserve">kartą </w:t>
      </w:r>
      <w:r w:rsidRPr="00BA3FBD">
        <w:rPr>
          <w:rFonts w:eastAsia="Calibri"/>
          <w:sz w:val="22"/>
          <w:szCs w:val="22"/>
        </w:rPr>
        <w:t xml:space="preserve">per parą. </w:t>
      </w:r>
    </w:p>
    <w:p w14:paraId="4AC6DD09" w14:textId="77777777" w:rsidR="008A305D" w:rsidRPr="00BA3FBD" w:rsidRDefault="008A305D" w:rsidP="008A305D">
      <w:pPr>
        <w:numPr>
          <w:ilvl w:val="0"/>
          <w:numId w:val="9"/>
        </w:numPr>
        <w:tabs>
          <w:tab w:val="clear" w:pos="360"/>
        </w:tabs>
        <w:autoSpaceDE w:val="0"/>
        <w:autoSpaceDN w:val="0"/>
        <w:adjustRightInd w:val="0"/>
        <w:ind w:left="709" w:hanging="709"/>
        <w:rPr>
          <w:rFonts w:eastAsia="Calibri"/>
          <w:b/>
          <w:sz w:val="22"/>
          <w:szCs w:val="22"/>
        </w:rPr>
      </w:pPr>
      <w:r w:rsidRPr="00BA3FBD">
        <w:rPr>
          <w:rFonts w:eastAsia="Calibri"/>
          <w:b/>
          <w:sz w:val="22"/>
          <w:szCs w:val="22"/>
        </w:rPr>
        <w:t xml:space="preserve">Jei gydoma </w:t>
      </w:r>
      <w:r>
        <w:rPr>
          <w:rFonts w:eastAsia="Calibri"/>
          <w:b/>
          <w:sz w:val="22"/>
          <w:szCs w:val="22"/>
        </w:rPr>
        <w:t>GIST</w:t>
      </w:r>
      <w:r w:rsidRPr="00BA3FBD">
        <w:rPr>
          <w:rFonts w:eastAsia="Calibri"/>
          <w:b/>
          <w:sz w:val="22"/>
          <w:szCs w:val="22"/>
        </w:rPr>
        <w:t>:</w:t>
      </w:r>
    </w:p>
    <w:p w14:paraId="4A1A8327" w14:textId="77777777" w:rsidR="008A305D" w:rsidRPr="00BA3FBD" w:rsidRDefault="008A305D" w:rsidP="008A305D">
      <w:pPr>
        <w:autoSpaceDE w:val="0"/>
        <w:autoSpaceDN w:val="0"/>
        <w:adjustRightInd w:val="0"/>
        <w:ind w:firstLine="709"/>
        <w:rPr>
          <w:rFonts w:eastAsia="Calibri"/>
          <w:sz w:val="22"/>
          <w:szCs w:val="22"/>
        </w:rPr>
      </w:pPr>
      <w:r w:rsidRPr="00BA3FBD">
        <w:rPr>
          <w:rFonts w:eastAsia="Calibri"/>
          <w:sz w:val="22"/>
          <w:szCs w:val="22"/>
        </w:rPr>
        <w:t xml:space="preserve">Pradinė dozė yra 400 mg, vartojant po 2 tabletes </w:t>
      </w:r>
      <w:r w:rsidRPr="00BA3FBD">
        <w:rPr>
          <w:rFonts w:eastAsia="Calibri"/>
          <w:b/>
          <w:sz w:val="22"/>
          <w:szCs w:val="22"/>
        </w:rPr>
        <w:t>kartą</w:t>
      </w:r>
      <w:r w:rsidRPr="00BA3FBD">
        <w:rPr>
          <w:rFonts w:eastAsia="Calibri"/>
          <w:sz w:val="22"/>
          <w:szCs w:val="22"/>
        </w:rPr>
        <w:t xml:space="preserve"> per parą.</w:t>
      </w:r>
    </w:p>
    <w:p w14:paraId="762643AF" w14:textId="77777777" w:rsidR="008A305D" w:rsidRPr="00BA3FBD" w:rsidRDefault="008A305D" w:rsidP="008A305D">
      <w:pPr>
        <w:autoSpaceDE w:val="0"/>
        <w:autoSpaceDN w:val="0"/>
        <w:adjustRightInd w:val="0"/>
        <w:rPr>
          <w:rFonts w:eastAsia="Calibri"/>
          <w:sz w:val="22"/>
          <w:szCs w:val="22"/>
        </w:rPr>
      </w:pPr>
    </w:p>
    <w:p w14:paraId="34FF8C95"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Jūsų gydytojas gali Jums skirti didesnę ar mažesnę dozę priklausomai nuo Jūsų atsako į gydymą. Jei Jūsų paros dozė yra 800 mg (4 tabletės), vartokite po 2 tabletes ryte ir 2 tabletes vakare. </w:t>
      </w:r>
    </w:p>
    <w:p w14:paraId="4AC0FB48" w14:textId="77777777" w:rsidR="008A305D" w:rsidRPr="00BA3FBD" w:rsidRDefault="008A305D" w:rsidP="008A305D">
      <w:pPr>
        <w:autoSpaceDE w:val="0"/>
        <w:autoSpaceDN w:val="0"/>
        <w:adjustRightInd w:val="0"/>
        <w:rPr>
          <w:rFonts w:ascii="Symbol" w:eastAsia="Calibri" w:hAnsi="Symbol" w:cs="Symbol"/>
          <w:color w:val="000000"/>
        </w:rPr>
      </w:pPr>
    </w:p>
    <w:p w14:paraId="6874DA1C" w14:textId="77777777" w:rsidR="008A305D" w:rsidRPr="00BA3FBD" w:rsidRDefault="008A305D" w:rsidP="008A305D">
      <w:pPr>
        <w:autoSpaceDE w:val="0"/>
        <w:autoSpaceDN w:val="0"/>
        <w:adjustRightInd w:val="0"/>
        <w:ind w:left="709" w:hanging="709"/>
        <w:rPr>
          <w:rFonts w:eastAsia="Calibri"/>
          <w:color w:val="000000"/>
          <w:sz w:val="22"/>
          <w:szCs w:val="22"/>
        </w:rPr>
      </w:pPr>
      <w:r w:rsidRPr="00BA3FBD">
        <w:rPr>
          <w:rFonts w:ascii="Symbol" w:eastAsia="Calibri" w:hAnsi="Symbol" w:cs="Symbol"/>
          <w:color w:val="000000"/>
          <w:sz w:val="22"/>
          <w:szCs w:val="22"/>
        </w:rPr>
        <w:t></w:t>
      </w:r>
      <w:r w:rsidRPr="00BA3FBD">
        <w:rPr>
          <w:rFonts w:ascii="Symbol" w:eastAsia="Calibri" w:hAnsi="Symbol" w:cs="Symbol"/>
          <w:color w:val="000000"/>
          <w:sz w:val="22"/>
          <w:szCs w:val="22"/>
        </w:rPr>
        <w:t></w:t>
      </w:r>
      <w:r w:rsidRPr="00BA3FBD">
        <w:rPr>
          <w:rFonts w:ascii="Symbol" w:eastAsia="Calibri" w:hAnsi="Symbol" w:cs="Symbol"/>
          <w:color w:val="000000"/>
          <w:sz w:val="22"/>
          <w:szCs w:val="22"/>
        </w:rPr>
        <w:tab/>
      </w:r>
      <w:r w:rsidRPr="00BA3FBD">
        <w:rPr>
          <w:rFonts w:eastAsia="Calibri"/>
          <w:b/>
          <w:bCs/>
          <w:color w:val="000000"/>
          <w:sz w:val="22"/>
          <w:szCs w:val="22"/>
        </w:rPr>
        <w:t xml:space="preserve">Jeigu gydoma Ph teigiama ŪLL: </w:t>
      </w:r>
    </w:p>
    <w:p w14:paraId="65E06605" w14:textId="77777777" w:rsidR="008A305D" w:rsidRPr="00BA3FBD" w:rsidRDefault="008A305D" w:rsidP="008A305D">
      <w:pPr>
        <w:autoSpaceDE w:val="0"/>
        <w:autoSpaceDN w:val="0"/>
        <w:adjustRightInd w:val="0"/>
        <w:ind w:left="709"/>
        <w:rPr>
          <w:rFonts w:eastAsia="Calibri"/>
          <w:sz w:val="22"/>
          <w:szCs w:val="22"/>
        </w:rPr>
      </w:pPr>
      <w:r w:rsidRPr="00BA3FBD">
        <w:rPr>
          <w:rFonts w:eastAsia="Calibri"/>
          <w:color w:val="000000"/>
          <w:sz w:val="22"/>
          <w:szCs w:val="22"/>
        </w:rPr>
        <w:t xml:space="preserve">Pradinė dozė yra 600 mg, vartojant po 3 tabletes </w:t>
      </w:r>
      <w:r w:rsidRPr="00BA3FBD">
        <w:rPr>
          <w:rFonts w:eastAsia="Calibri"/>
          <w:b/>
          <w:bCs/>
          <w:color w:val="000000"/>
          <w:sz w:val="22"/>
          <w:szCs w:val="22"/>
        </w:rPr>
        <w:t xml:space="preserve">kartą </w:t>
      </w:r>
      <w:r w:rsidRPr="00BA3FBD">
        <w:rPr>
          <w:rFonts w:eastAsia="Calibri"/>
          <w:color w:val="000000"/>
          <w:sz w:val="22"/>
          <w:szCs w:val="22"/>
        </w:rPr>
        <w:t>per parą.</w:t>
      </w:r>
    </w:p>
    <w:p w14:paraId="6CB6C5B3" w14:textId="77777777" w:rsidR="008A305D" w:rsidRPr="00BA3FBD" w:rsidRDefault="008A305D" w:rsidP="008A305D">
      <w:pPr>
        <w:autoSpaceDE w:val="0"/>
        <w:autoSpaceDN w:val="0"/>
        <w:adjustRightInd w:val="0"/>
        <w:rPr>
          <w:rFonts w:ascii="Symbol" w:eastAsia="Calibri" w:hAnsi="Symbol" w:cs="Symbol"/>
          <w:color w:val="000000"/>
        </w:rPr>
      </w:pPr>
    </w:p>
    <w:p w14:paraId="3ACB55D8" w14:textId="77777777" w:rsidR="008A305D" w:rsidRPr="00BA3FBD" w:rsidRDefault="008A305D" w:rsidP="008A305D">
      <w:pPr>
        <w:autoSpaceDE w:val="0"/>
        <w:autoSpaceDN w:val="0"/>
        <w:adjustRightInd w:val="0"/>
        <w:rPr>
          <w:rFonts w:eastAsia="Calibri"/>
          <w:color w:val="000000"/>
          <w:sz w:val="22"/>
          <w:szCs w:val="22"/>
        </w:rPr>
      </w:pPr>
      <w:r w:rsidRPr="00BA3FBD">
        <w:rPr>
          <w:rFonts w:ascii="Symbol" w:eastAsia="Calibri" w:hAnsi="Symbol" w:cs="Symbol"/>
          <w:color w:val="000000"/>
          <w:sz w:val="22"/>
          <w:szCs w:val="22"/>
        </w:rPr>
        <w:t></w:t>
      </w:r>
      <w:r w:rsidRPr="00BA3FBD">
        <w:rPr>
          <w:rFonts w:ascii="Symbol" w:eastAsia="Calibri" w:hAnsi="Symbol" w:cs="Symbol"/>
          <w:color w:val="000000"/>
          <w:sz w:val="22"/>
          <w:szCs w:val="22"/>
        </w:rPr>
        <w:t></w:t>
      </w:r>
      <w:r w:rsidRPr="00BA3FBD">
        <w:rPr>
          <w:rFonts w:ascii="Symbol" w:eastAsia="Calibri" w:hAnsi="Symbol" w:cs="Symbol"/>
          <w:color w:val="000000"/>
          <w:sz w:val="22"/>
          <w:szCs w:val="22"/>
        </w:rPr>
        <w:tab/>
      </w:r>
      <w:r w:rsidRPr="00BA3FBD">
        <w:rPr>
          <w:rFonts w:eastAsia="Calibri"/>
          <w:b/>
          <w:bCs/>
          <w:color w:val="000000"/>
          <w:sz w:val="22"/>
          <w:szCs w:val="22"/>
        </w:rPr>
        <w:t xml:space="preserve">Jeigu gydoma MDS/MPL: </w:t>
      </w:r>
    </w:p>
    <w:p w14:paraId="25A91603" w14:textId="77777777" w:rsidR="008A305D" w:rsidRPr="00BA3FBD" w:rsidRDefault="008A305D" w:rsidP="008A305D">
      <w:pPr>
        <w:autoSpaceDE w:val="0"/>
        <w:autoSpaceDN w:val="0"/>
        <w:adjustRightInd w:val="0"/>
        <w:ind w:firstLine="720"/>
        <w:rPr>
          <w:rFonts w:eastAsia="Calibri"/>
          <w:color w:val="000000"/>
          <w:sz w:val="22"/>
          <w:szCs w:val="22"/>
        </w:rPr>
      </w:pPr>
      <w:r w:rsidRPr="00BA3FBD">
        <w:rPr>
          <w:rFonts w:eastAsia="Calibri"/>
          <w:color w:val="000000"/>
          <w:sz w:val="22"/>
          <w:szCs w:val="22"/>
        </w:rPr>
        <w:t xml:space="preserve">Pradinė dozė yra 400 mg, vartojant po 2 tabletes </w:t>
      </w:r>
      <w:r w:rsidRPr="00BA3FBD">
        <w:rPr>
          <w:rFonts w:eastAsia="Calibri"/>
          <w:b/>
          <w:bCs/>
          <w:color w:val="000000"/>
          <w:sz w:val="22"/>
          <w:szCs w:val="22"/>
        </w:rPr>
        <w:t xml:space="preserve">kartą </w:t>
      </w:r>
      <w:r w:rsidRPr="00BA3FBD">
        <w:rPr>
          <w:rFonts w:eastAsia="Calibri"/>
          <w:color w:val="000000"/>
          <w:sz w:val="22"/>
          <w:szCs w:val="22"/>
        </w:rPr>
        <w:t xml:space="preserve">per parą. </w:t>
      </w:r>
    </w:p>
    <w:p w14:paraId="62BE430F" w14:textId="77777777" w:rsidR="008A305D" w:rsidRPr="00BA3FBD" w:rsidRDefault="008A305D" w:rsidP="008A305D">
      <w:pPr>
        <w:autoSpaceDE w:val="0"/>
        <w:autoSpaceDN w:val="0"/>
        <w:adjustRightInd w:val="0"/>
        <w:rPr>
          <w:rFonts w:eastAsia="Calibri"/>
          <w:color w:val="000000"/>
          <w:sz w:val="22"/>
          <w:szCs w:val="22"/>
        </w:rPr>
      </w:pPr>
    </w:p>
    <w:p w14:paraId="381F8BB6" w14:textId="77777777" w:rsidR="008A305D" w:rsidRPr="00BA3FBD" w:rsidRDefault="008A305D" w:rsidP="008A305D">
      <w:pPr>
        <w:numPr>
          <w:ilvl w:val="0"/>
          <w:numId w:val="1"/>
        </w:numPr>
        <w:autoSpaceDE w:val="0"/>
        <w:autoSpaceDN w:val="0"/>
        <w:adjustRightInd w:val="0"/>
        <w:ind w:left="567" w:hanging="567"/>
        <w:rPr>
          <w:rFonts w:eastAsia="Calibri"/>
          <w:color w:val="000000"/>
          <w:sz w:val="22"/>
          <w:szCs w:val="22"/>
        </w:rPr>
      </w:pPr>
      <w:r w:rsidRPr="00BA3FBD">
        <w:rPr>
          <w:rFonts w:eastAsia="Calibri"/>
          <w:b/>
          <w:bCs/>
          <w:color w:val="000000"/>
          <w:sz w:val="22"/>
          <w:szCs w:val="22"/>
        </w:rPr>
        <w:t xml:space="preserve">Jeigu gydoma HES/LEL: </w:t>
      </w:r>
    </w:p>
    <w:p w14:paraId="2D3FA939" w14:textId="77777777" w:rsidR="008A305D" w:rsidRPr="00BA3FBD" w:rsidRDefault="008A305D" w:rsidP="008A305D">
      <w:pPr>
        <w:autoSpaceDE w:val="0"/>
        <w:autoSpaceDN w:val="0"/>
        <w:adjustRightInd w:val="0"/>
        <w:ind w:left="720"/>
        <w:rPr>
          <w:rFonts w:eastAsia="Calibri"/>
          <w:color w:val="000000"/>
          <w:sz w:val="22"/>
          <w:szCs w:val="22"/>
        </w:rPr>
      </w:pPr>
      <w:r w:rsidRPr="00BA3FBD">
        <w:rPr>
          <w:rFonts w:eastAsia="Calibri"/>
          <w:color w:val="000000"/>
          <w:sz w:val="22"/>
          <w:szCs w:val="22"/>
        </w:rPr>
        <w:t xml:space="preserve">Pradinė dozė yra 100 mg, vartojant po 1 100 mg tabletę </w:t>
      </w:r>
      <w:r w:rsidRPr="00BA3FBD">
        <w:rPr>
          <w:rFonts w:eastAsia="Calibri"/>
          <w:b/>
          <w:bCs/>
          <w:color w:val="000000"/>
          <w:sz w:val="22"/>
          <w:szCs w:val="22"/>
        </w:rPr>
        <w:t xml:space="preserve">kartą </w:t>
      </w:r>
      <w:r w:rsidRPr="00BA3FBD">
        <w:rPr>
          <w:rFonts w:eastAsia="Calibri"/>
          <w:color w:val="000000"/>
          <w:sz w:val="22"/>
          <w:szCs w:val="22"/>
        </w:rPr>
        <w:t xml:space="preserve">per parą. Priklausomai nuo Jūsų atsako į gydymą, Jūsų gydytojas gali nuspręsti padidinti dozę iki 400 mg, vartojant po 2 tabletes </w:t>
      </w:r>
      <w:r w:rsidRPr="00BA3FBD">
        <w:rPr>
          <w:rFonts w:eastAsia="Calibri"/>
          <w:b/>
          <w:bCs/>
          <w:color w:val="000000"/>
          <w:sz w:val="22"/>
          <w:szCs w:val="22"/>
        </w:rPr>
        <w:t xml:space="preserve">kartą </w:t>
      </w:r>
      <w:r w:rsidRPr="00BA3FBD">
        <w:rPr>
          <w:rFonts w:eastAsia="Calibri"/>
          <w:color w:val="000000"/>
          <w:sz w:val="22"/>
          <w:szCs w:val="22"/>
        </w:rPr>
        <w:t xml:space="preserve">per parą. </w:t>
      </w:r>
    </w:p>
    <w:p w14:paraId="7E4BBCF4" w14:textId="77777777" w:rsidR="008A305D" w:rsidRPr="00BA3FBD" w:rsidRDefault="008A305D" w:rsidP="008A305D">
      <w:pPr>
        <w:autoSpaceDE w:val="0"/>
        <w:autoSpaceDN w:val="0"/>
        <w:adjustRightInd w:val="0"/>
        <w:ind w:left="720"/>
        <w:rPr>
          <w:rFonts w:eastAsia="Calibri"/>
          <w:color w:val="000000"/>
          <w:sz w:val="22"/>
          <w:szCs w:val="22"/>
        </w:rPr>
      </w:pPr>
    </w:p>
    <w:p w14:paraId="3A9CE742" w14:textId="77777777" w:rsidR="008A305D" w:rsidRPr="00BA3FBD" w:rsidRDefault="008A305D" w:rsidP="008A305D">
      <w:pPr>
        <w:numPr>
          <w:ilvl w:val="0"/>
          <w:numId w:val="1"/>
        </w:numPr>
        <w:autoSpaceDE w:val="0"/>
        <w:autoSpaceDN w:val="0"/>
        <w:adjustRightInd w:val="0"/>
        <w:ind w:left="567" w:hanging="567"/>
        <w:rPr>
          <w:rFonts w:eastAsia="Calibri"/>
          <w:color w:val="000000"/>
          <w:sz w:val="22"/>
          <w:szCs w:val="22"/>
        </w:rPr>
      </w:pPr>
      <w:r w:rsidRPr="00BA3FBD">
        <w:rPr>
          <w:rFonts w:eastAsia="Calibri"/>
          <w:b/>
          <w:bCs/>
          <w:color w:val="000000"/>
          <w:sz w:val="22"/>
          <w:szCs w:val="22"/>
        </w:rPr>
        <w:t xml:space="preserve">Jeigu gydoma DFSP: </w:t>
      </w:r>
    </w:p>
    <w:p w14:paraId="3060AA2A" w14:textId="77777777" w:rsidR="008A305D" w:rsidRPr="00BA3FBD" w:rsidRDefault="008A305D" w:rsidP="008A305D">
      <w:pPr>
        <w:autoSpaceDE w:val="0"/>
        <w:autoSpaceDN w:val="0"/>
        <w:adjustRightInd w:val="0"/>
        <w:ind w:firstLine="720"/>
        <w:rPr>
          <w:rFonts w:eastAsia="Calibri"/>
          <w:color w:val="000000"/>
          <w:sz w:val="22"/>
          <w:szCs w:val="22"/>
        </w:rPr>
      </w:pPr>
      <w:r w:rsidRPr="00BA3FBD">
        <w:rPr>
          <w:rFonts w:eastAsia="Calibri"/>
          <w:color w:val="000000"/>
          <w:sz w:val="22"/>
          <w:szCs w:val="22"/>
        </w:rPr>
        <w:t>Dozė yra 800 mg per parą (4 tabletės), vartojant po 2 tabletes ryte ir 2 tabletes vakare.</w:t>
      </w:r>
    </w:p>
    <w:p w14:paraId="076CE946" w14:textId="77777777" w:rsidR="008A305D" w:rsidRPr="00BA3FBD" w:rsidRDefault="008A305D" w:rsidP="008A305D">
      <w:pPr>
        <w:autoSpaceDE w:val="0"/>
        <w:autoSpaceDN w:val="0"/>
        <w:adjustRightInd w:val="0"/>
        <w:rPr>
          <w:rFonts w:eastAsia="Calibri"/>
          <w:sz w:val="22"/>
          <w:szCs w:val="22"/>
        </w:rPr>
      </w:pPr>
    </w:p>
    <w:p w14:paraId="783DD800"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Vartojimas vaikams ir paaugliams </w:t>
      </w:r>
    </w:p>
    <w:p w14:paraId="77947354"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Gydytojas nurodys, kiek Imatinib Actavis Group kapsulių reikia duoti gerti vaikui. Imatinib Actavis Group dozė priklausys nuo vaiko būklės, kūno masės ir ūgio. Bendroji nuo LML gydomų vaikų paros dozė neturi būti didesnė kaip 800 mg. Vaistą galima vartoti vieną kartą per parą arba paros dozę padalyti į dvi dalis (pusę dozės vartoti ryte ir kitą pusę – vakare). </w:t>
      </w:r>
    </w:p>
    <w:p w14:paraId="15195CF9" w14:textId="77777777" w:rsidR="008A305D" w:rsidRPr="00BA3FBD" w:rsidRDefault="008A305D" w:rsidP="008A305D">
      <w:pPr>
        <w:autoSpaceDE w:val="0"/>
        <w:autoSpaceDN w:val="0"/>
        <w:adjustRightInd w:val="0"/>
        <w:rPr>
          <w:rFonts w:eastAsia="Calibri"/>
          <w:sz w:val="22"/>
          <w:szCs w:val="22"/>
        </w:rPr>
      </w:pPr>
    </w:p>
    <w:p w14:paraId="09106EE3"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Kada ir kaip vartoti Imatinib Actavis Group </w:t>
      </w:r>
    </w:p>
    <w:p w14:paraId="567AB74E" w14:textId="77777777" w:rsidR="008A305D" w:rsidRPr="00BA3FBD" w:rsidRDefault="008A305D" w:rsidP="008A305D">
      <w:pPr>
        <w:autoSpaceDE w:val="0"/>
        <w:autoSpaceDN w:val="0"/>
        <w:adjustRightInd w:val="0"/>
        <w:spacing w:after="21"/>
        <w:ind w:left="720" w:hanging="720"/>
        <w:rPr>
          <w:rFonts w:eastAsia="Calibri"/>
          <w:sz w:val="22"/>
          <w:szCs w:val="22"/>
        </w:rPr>
      </w:pPr>
      <w:r w:rsidRPr="00BA3FBD">
        <w:rPr>
          <w:rFonts w:eastAsia="Calibri"/>
          <w:sz w:val="22"/>
          <w:szCs w:val="22"/>
        </w:rPr>
        <w:t>-</w:t>
      </w:r>
      <w:r w:rsidRPr="00BA3FBD">
        <w:rPr>
          <w:rFonts w:eastAsia="Calibri"/>
          <w:sz w:val="22"/>
          <w:szCs w:val="22"/>
        </w:rPr>
        <w:tab/>
      </w:r>
      <w:r w:rsidRPr="00BA3FBD">
        <w:rPr>
          <w:rFonts w:eastAsia="Calibri"/>
          <w:b/>
          <w:bCs/>
          <w:sz w:val="22"/>
          <w:szCs w:val="22"/>
        </w:rPr>
        <w:t xml:space="preserve">Imatinib Actavis Group gerkite valgio metu. </w:t>
      </w:r>
      <w:r w:rsidRPr="00BA3FBD">
        <w:rPr>
          <w:rFonts w:eastAsia="Calibri"/>
          <w:sz w:val="22"/>
          <w:szCs w:val="22"/>
        </w:rPr>
        <w:t xml:space="preserve">Tai padės išvengti skrandžio sutrikimų Imatinib Actavis Group vartojimo metu. </w:t>
      </w:r>
    </w:p>
    <w:p w14:paraId="3CD7180F" w14:textId="77777777" w:rsidR="008A305D" w:rsidRPr="00BA3FBD" w:rsidRDefault="008A305D" w:rsidP="008A305D">
      <w:pPr>
        <w:autoSpaceDE w:val="0"/>
        <w:autoSpaceDN w:val="0"/>
        <w:adjustRightInd w:val="0"/>
        <w:spacing w:after="21"/>
        <w:ind w:left="720" w:hanging="720"/>
        <w:rPr>
          <w:rFonts w:eastAsia="Calibri"/>
          <w:sz w:val="22"/>
          <w:szCs w:val="22"/>
        </w:rPr>
      </w:pPr>
      <w:r w:rsidRPr="00BA3FBD">
        <w:rPr>
          <w:rFonts w:eastAsia="Calibri"/>
          <w:sz w:val="22"/>
          <w:szCs w:val="22"/>
        </w:rPr>
        <w:t>-</w:t>
      </w:r>
      <w:r w:rsidRPr="00BA3FBD">
        <w:rPr>
          <w:rFonts w:eastAsia="Calibri"/>
          <w:sz w:val="22"/>
          <w:szCs w:val="22"/>
        </w:rPr>
        <w:tab/>
      </w:r>
      <w:r w:rsidRPr="00BA3FBD">
        <w:rPr>
          <w:rFonts w:eastAsia="Calibri"/>
          <w:b/>
          <w:bCs/>
          <w:sz w:val="22"/>
          <w:szCs w:val="22"/>
        </w:rPr>
        <w:t>Nurykite visą tabletę užgerdami didele stikline vandens</w:t>
      </w:r>
      <w:r w:rsidRPr="00BA3FBD">
        <w:rPr>
          <w:rFonts w:eastAsia="Calibri"/>
          <w:sz w:val="22"/>
          <w:szCs w:val="22"/>
        </w:rPr>
        <w:t xml:space="preserve">. Vienoje Imatinib Actavis Group </w:t>
      </w:r>
      <w:r>
        <w:rPr>
          <w:rFonts w:eastAsia="Calibri"/>
          <w:sz w:val="22"/>
          <w:szCs w:val="22"/>
        </w:rPr>
        <w:t xml:space="preserve">200 mg </w:t>
      </w:r>
      <w:r w:rsidRPr="00BA3FBD">
        <w:rPr>
          <w:rFonts w:eastAsia="Calibri"/>
          <w:sz w:val="22"/>
          <w:szCs w:val="22"/>
        </w:rPr>
        <w:t>tabletės pusėje yra vagelė. Vagelė nėra skirta tabletei padalinti.</w:t>
      </w:r>
    </w:p>
    <w:p w14:paraId="22C2C06E" w14:textId="77777777" w:rsidR="008A305D" w:rsidRPr="00BA3FBD" w:rsidRDefault="008A305D" w:rsidP="008A305D">
      <w:pPr>
        <w:autoSpaceDE w:val="0"/>
        <w:autoSpaceDN w:val="0"/>
        <w:adjustRightInd w:val="0"/>
        <w:spacing w:after="21"/>
        <w:ind w:left="720" w:hanging="720"/>
        <w:rPr>
          <w:rFonts w:eastAsia="Calibri"/>
          <w:sz w:val="22"/>
          <w:szCs w:val="22"/>
        </w:rPr>
      </w:pPr>
    </w:p>
    <w:p w14:paraId="245D12A8" w14:textId="77777777" w:rsidR="008A305D" w:rsidRPr="00BA3FBD" w:rsidRDefault="008A305D" w:rsidP="008A305D">
      <w:pPr>
        <w:autoSpaceDE w:val="0"/>
        <w:autoSpaceDN w:val="0"/>
        <w:adjustRightInd w:val="0"/>
        <w:spacing w:after="21"/>
        <w:ind w:left="720" w:hanging="720"/>
        <w:rPr>
          <w:rFonts w:eastAsia="Calibri"/>
          <w:sz w:val="22"/>
          <w:szCs w:val="22"/>
        </w:rPr>
      </w:pPr>
      <w:r w:rsidRPr="00BA3FBD">
        <w:rPr>
          <w:rFonts w:eastAsia="Calibri"/>
          <w:sz w:val="22"/>
          <w:szCs w:val="22"/>
        </w:rPr>
        <w:t>Jei negalite tablečių nuryti, galite jas ištirpinti stiklinėje negazuoto vandens ar obuolių sulčių:</w:t>
      </w:r>
    </w:p>
    <w:p w14:paraId="21A17094" w14:textId="77777777" w:rsidR="008A305D" w:rsidRPr="00BA3FBD" w:rsidRDefault="008A305D" w:rsidP="008A305D">
      <w:pPr>
        <w:numPr>
          <w:ilvl w:val="0"/>
          <w:numId w:val="10"/>
        </w:numPr>
        <w:ind w:left="709" w:hanging="709"/>
        <w:rPr>
          <w:color w:val="000000"/>
          <w:sz w:val="22"/>
          <w:szCs w:val="22"/>
        </w:rPr>
      </w:pPr>
      <w:r w:rsidRPr="00BA3FBD">
        <w:rPr>
          <w:color w:val="000000"/>
          <w:sz w:val="22"/>
          <w:szCs w:val="22"/>
        </w:rPr>
        <w:t>Kiekvienai 200 mg tabletei naudokite maždaug 100 ml vandens ar sulčių.</w:t>
      </w:r>
    </w:p>
    <w:p w14:paraId="4968A46C" w14:textId="77777777" w:rsidR="008A305D" w:rsidRPr="00BA3FBD" w:rsidRDefault="008A305D" w:rsidP="008A305D">
      <w:pPr>
        <w:numPr>
          <w:ilvl w:val="0"/>
          <w:numId w:val="10"/>
        </w:numPr>
        <w:ind w:left="709" w:hanging="709"/>
        <w:rPr>
          <w:color w:val="000000"/>
          <w:sz w:val="22"/>
          <w:szCs w:val="22"/>
        </w:rPr>
      </w:pPr>
      <w:r w:rsidRPr="00BA3FBD">
        <w:rPr>
          <w:color w:val="000000"/>
          <w:sz w:val="22"/>
          <w:szCs w:val="22"/>
        </w:rPr>
        <w:t>Pamaišykite šaukštu, kol tabletė visiškai ištirps.</w:t>
      </w:r>
    </w:p>
    <w:p w14:paraId="4E78A816" w14:textId="77777777" w:rsidR="008A305D" w:rsidRPr="00BA3FBD" w:rsidRDefault="008A305D" w:rsidP="008A305D">
      <w:pPr>
        <w:numPr>
          <w:ilvl w:val="0"/>
          <w:numId w:val="10"/>
        </w:numPr>
        <w:ind w:left="709" w:hanging="709"/>
        <w:rPr>
          <w:color w:val="000000"/>
          <w:sz w:val="22"/>
          <w:szCs w:val="22"/>
        </w:rPr>
      </w:pPr>
      <w:r w:rsidRPr="00BA3FBD">
        <w:rPr>
          <w:color w:val="000000"/>
          <w:sz w:val="22"/>
          <w:szCs w:val="22"/>
        </w:rPr>
        <w:lastRenderedPageBreak/>
        <w:t>Kai tabletė ištirps, nedelsdami išgerkite visą stiklinės turinį. Ištirpusios tabletės liekanų gali likti stiklinėje.</w:t>
      </w:r>
    </w:p>
    <w:p w14:paraId="05D54091" w14:textId="77777777" w:rsidR="008A305D" w:rsidRPr="00BA3FBD" w:rsidRDefault="008A305D" w:rsidP="008A305D">
      <w:pPr>
        <w:autoSpaceDE w:val="0"/>
        <w:autoSpaceDN w:val="0"/>
        <w:adjustRightInd w:val="0"/>
        <w:rPr>
          <w:rFonts w:eastAsia="Calibri"/>
          <w:sz w:val="22"/>
          <w:szCs w:val="22"/>
        </w:rPr>
      </w:pPr>
    </w:p>
    <w:p w14:paraId="611AB5B8"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Kaip ilgai vartoti Imatinib Actavis Group </w:t>
      </w:r>
    </w:p>
    <w:p w14:paraId="58BA32C7"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Imatinib Actavis Group vartokite kasdien, tiek laiko, kiek nurodė Jūsų gydytojas. </w:t>
      </w:r>
    </w:p>
    <w:p w14:paraId="7A3ADB73" w14:textId="77777777" w:rsidR="008A305D" w:rsidRPr="00BA3FBD" w:rsidRDefault="008A305D" w:rsidP="008A305D">
      <w:pPr>
        <w:autoSpaceDE w:val="0"/>
        <w:autoSpaceDN w:val="0"/>
        <w:adjustRightInd w:val="0"/>
        <w:rPr>
          <w:rFonts w:eastAsia="Calibri"/>
          <w:sz w:val="22"/>
          <w:szCs w:val="22"/>
        </w:rPr>
      </w:pPr>
    </w:p>
    <w:p w14:paraId="3F01BED7"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Ką daryti pavartojus per didelę Imatinib Actavis Group dozę? </w:t>
      </w:r>
    </w:p>
    <w:p w14:paraId="410325E2"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 atsitiktinai išgėrėte per daug kapsulių, </w:t>
      </w:r>
      <w:r w:rsidRPr="00BA3FBD">
        <w:rPr>
          <w:rFonts w:eastAsia="Calibri"/>
          <w:b/>
          <w:bCs/>
          <w:sz w:val="22"/>
          <w:szCs w:val="22"/>
        </w:rPr>
        <w:t xml:space="preserve">iš karto </w:t>
      </w:r>
      <w:r w:rsidRPr="00BA3FBD">
        <w:rPr>
          <w:rFonts w:eastAsia="Calibri"/>
          <w:sz w:val="22"/>
          <w:szCs w:val="22"/>
        </w:rPr>
        <w:t xml:space="preserve">kreipkitės į gydytoją. Jums gali prireikti medicininės pagalbos. Pasiimkite su savimi vaisto pakuotę. </w:t>
      </w:r>
    </w:p>
    <w:p w14:paraId="30D11888" w14:textId="77777777" w:rsidR="008A305D" w:rsidRPr="00BA3FBD" w:rsidRDefault="008A305D" w:rsidP="008A305D">
      <w:pPr>
        <w:autoSpaceDE w:val="0"/>
        <w:autoSpaceDN w:val="0"/>
        <w:adjustRightInd w:val="0"/>
        <w:rPr>
          <w:rFonts w:eastAsia="Calibri"/>
          <w:b/>
          <w:bCs/>
          <w:sz w:val="22"/>
          <w:szCs w:val="22"/>
        </w:rPr>
      </w:pPr>
    </w:p>
    <w:p w14:paraId="60A6F38B"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Pamiršus pavartoti Imatinib Actavis Group </w:t>
      </w:r>
    </w:p>
    <w:p w14:paraId="7FDA090A" w14:textId="77777777" w:rsidR="008A305D" w:rsidRPr="00BA3FBD" w:rsidRDefault="008A305D" w:rsidP="008A305D">
      <w:pPr>
        <w:autoSpaceDE w:val="0"/>
        <w:autoSpaceDN w:val="0"/>
        <w:adjustRightInd w:val="0"/>
        <w:spacing w:after="23"/>
        <w:ind w:left="720" w:hanging="720"/>
        <w:rPr>
          <w:rFonts w:eastAsia="Calibri"/>
          <w:sz w:val="22"/>
          <w:szCs w:val="22"/>
        </w:rPr>
      </w:pPr>
      <w:r w:rsidRPr="00BA3FBD">
        <w:rPr>
          <w:rFonts w:eastAsia="Calibri"/>
          <w:sz w:val="22"/>
          <w:szCs w:val="22"/>
        </w:rPr>
        <w:t>-</w:t>
      </w:r>
      <w:r w:rsidRPr="00BA3FBD">
        <w:rPr>
          <w:rFonts w:eastAsia="Calibri"/>
          <w:sz w:val="22"/>
          <w:szCs w:val="22"/>
        </w:rPr>
        <w:tab/>
        <w:t xml:space="preserve">Pamiršus pavartoti vaisto dozę, ją išgerkite kai tik prisiminėte. Tačiau jei jau beveik laikas gerti kitą dozę, praleistos dozės nevartokite. </w:t>
      </w:r>
    </w:p>
    <w:p w14:paraId="6A99B3E6" w14:textId="77777777" w:rsidR="008A305D" w:rsidRPr="00BA3FBD" w:rsidRDefault="008A305D" w:rsidP="008A305D">
      <w:pPr>
        <w:autoSpaceDE w:val="0"/>
        <w:autoSpaceDN w:val="0"/>
        <w:adjustRightInd w:val="0"/>
        <w:spacing w:after="23"/>
        <w:rPr>
          <w:rFonts w:eastAsia="Calibri"/>
          <w:sz w:val="22"/>
          <w:szCs w:val="22"/>
        </w:rPr>
      </w:pPr>
      <w:r w:rsidRPr="00BA3FBD">
        <w:rPr>
          <w:rFonts w:eastAsia="Calibri"/>
          <w:sz w:val="22"/>
          <w:szCs w:val="22"/>
        </w:rPr>
        <w:t>-</w:t>
      </w:r>
      <w:r w:rsidRPr="00BA3FBD">
        <w:rPr>
          <w:rFonts w:eastAsia="Calibri"/>
          <w:sz w:val="22"/>
          <w:szCs w:val="22"/>
        </w:rPr>
        <w:tab/>
        <w:t xml:space="preserve">Vėliau tęskite vaisto vartojimą įprastu režimu. </w:t>
      </w:r>
    </w:p>
    <w:p w14:paraId="259774B8"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w:t>
      </w:r>
      <w:r w:rsidRPr="00BA3FBD">
        <w:rPr>
          <w:rFonts w:eastAsia="Calibri"/>
          <w:sz w:val="22"/>
          <w:szCs w:val="22"/>
        </w:rPr>
        <w:tab/>
        <w:t xml:space="preserve">Negalima vartoti dvigubos dozės norint kompensuoti praleistą dozę. </w:t>
      </w:r>
    </w:p>
    <w:p w14:paraId="3E657B7A" w14:textId="77777777" w:rsidR="008A305D" w:rsidRPr="00BA3FBD" w:rsidRDefault="008A305D" w:rsidP="008A305D">
      <w:pPr>
        <w:autoSpaceDE w:val="0"/>
        <w:autoSpaceDN w:val="0"/>
        <w:adjustRightInd w:val="0"/>
        <w:rPr>
          <w:rFonts w:eastAsia="Calibri"/>
          <w:sz w:val="22"/>
          <w:szCs w:val="22"/>
        </w:rPr>
      </w:pPr>
    </w:p>
    <w:p w14:paraId="563EDFD8"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Jeigu kiltų daugiau klausimų dėl šio vaisto vartojimo, kreipkitės į gydytoją, vaistininką arba slaugytoją. </w:t>
      </w:r>
    </w:p>
    <w:p w14:paraId="451E4A38" w14:textId="77777777" w:rsidR="008A305D" w:rsidRPr="00BA3FBD" w:rsidRDefault="008A305D" w:rsidP="008A305D">
      <w:pPr>
        <w:autoSpaceDE w:val="0"/>
        <w:autoSpaceDN w:val="0"/>
        <w:adjustRightInd w:val="0"/>
        <w:rPr>
          <w:rFonts w:eastAsia="Calibri"/>
          <w:sz w:val="22"/>
          <w:szCs w:val="22"/>
        </w:rPr>
      </w:pPr>
    </w:p>
    <w:p w14:paraId="36121DA3" w14:textId="77777777" w:rsidR="008A305D" w:rsidRPr="00BA3FBD" w:rsidRDefault="008A305D" w:rsidP="008A305D">
      <w:pPr>
        <w:autoSpaceDE w:val="0"/>
        <w:autoSpaceDN w:val="0"/>
        <w:adjustRightInd w:val="0"/>
        <w:rPr>
          <w:rFonts w:eastAsia="Calibri"/>
          <w:sz w:val="22"/>
          <w:szCs w:val="22"/>
        </w:rPr>
      </w:pPr>
    </w:p>
    <w:p w14:paraId="7007C124" w14:textId="77777777" w:rsidR="008A305D" w:rsidRPr="00BA3FBD" w:rsidRDefault="008A305D" w:rsidP="008A305D">
      <w:pPr>
        <w:pStyle w:val="Sraopastraipa"/>
        <w:numPr>
          <w:ilvl w:val="0"/>
          <w:numId w:val="6"/>
        </w:numPr>
        <w:autoSpaceDE w:val="0"/>
        <w:autoSpaceDN w:val="0"/>
        <w:adjustRightInd w:val="0"/>
        <w:ind w:left="567" w:hanging="567"/>
        <w:rPr>
          <w:rFonts w:eastAsia="Calibri"/>
          <w:b/>
          <w:sz w:val="22"/>
          <w:szCs w:val="22"/>
        </w:rPr>
      </w:pPr>
      <w:r w:rsidRPr="00BA3FBD">
        <w:rPr>
          <w:rFonts w:eastAsia="Calibri"/>
          <w:b/>
          <w:sz w:val="22"/>
          <w:szCs w:val="22"/>
        </w:rPr>
        <w:t>Galimas šalutinis poveikis</w:t>
      </w:r>
    </w:p>
    <w:p w14:paraId="7489747E" w14:textId="77777777" w:rsidR="008A305D" w:rsidRPr="00BA3FBD" w:rsidRDefault="008A305D" w:rsidP="008A305D">
      <w:pPr>
        <w:autoSpaceDE w:val="0"/>
        <w:autoSpaceDN w:val="0"/>
        <w:adjustRightInd w:val="0"/>
        <w:rPr>
          <w:rFonts w:eastAsia="Calibri"/>
          <w:sz w:val="22"/>
          <w:szCs w:val="22"/>
        </w:rPr>
      </w:pPr>
    </w:p>
    <w:p w14:paraId="5846EDB3"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Šis vaistas, kaip ir visi kiti, gali sukelti šalutinį poveikį, nors jis pasireiškia ne visiems žmonėms. Paprastai jis būna nesunkus ar vidutinio sunkumo. </w:t>
      </w:r>
    </w:p>
    <w:p w14:paraId="3419C378" w14:textId="77777777" w:rsidR="008A305D" w:rsidRPr="00BA3FBD" w:rsidRDefault="008A305D" w:rsidP="008A305D">
      <w:pPr>
        <w:autoSpaceDE w:val="0"/>
        <w:autoSpaceDN w:val="0"/>
        <w:adjustRightInd w:val="0"/>
        <w:rPr>
          <w:rFonts w:eastAsia="Calibri"/>
          <w:sz w:val="22"/>
          <w:szCs w:val="22"/>
        </w:rPr>
      </w:pPr>
    </w:p>
    <w:p w14:paraId="5B6CAB75"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Kai kurie šalutiniai reiškiniai gali būti sunkūs. Nedelsiant pasakykite gydytojui, jeigu Jums pasireikštų kuris nors iš toliau išvardytų reiškinių. </w:t>
      </w:r>
    </w:p>
    <w:p w14:paraId="72FA91AD" w14:textId="77777777" w:rsidR="008A305D" w:rsidRPr="00BA3FBD" w:rsidRDefault="008A305D" w:rsidP="008A305D">
      <w:pPr>
        <w:autoSpaceDE w:val="0"/>
        <w:autoSpaceDN w:val="0"/>
        <w:adjustRightInd w:val="0"/>
        <w:rPr>
          <w:rFonts w:eastAsia="Calibri"/>
          <w:b/>
          <w:bCs/>
          <w:sz w:val="22"/>
          <w:szCs w:val="22"/>
        </w:rPr>
      </w:pPr>
    </w:p>
    <w:p w14:paraId="11B38273"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Labai dažnas </w:t>
      </w:r>
      <w:r w:rsidRPr="00BA3FBD">
        <w:rPr>
          <w:rFonts w:eastAsia="Calibri"/>
          <w:bCs/>
          <w:sz w:val="22"/>
          <w:szCs w:val="22"/>
        </w:rPr>
        <w:t>(gali pasireikšti daugiau nei 1 žmogui iš 10)</w:t>
      </w:r>
      <w:r w:rsidRPr="00BA3FBD">
        <w:rPr>
          <w:rFonts w:eastAsia="Calibri"/>
          <w:b/>
          <w:bCs/>
          <w:sz w:val="22"/>
          <w:szCs w:val="22"/>
        </w:rPr>
        <w:t xml:space="preserve"> ir dažnas </w:t>
      </w:r>
      <w:r w:rsidRPr="00BA3FBD">
        <w:rPr>
          <w:rFonts w:eastAsia="Calibri"/>
          <w:bCs/>
          <w:sz w:val="22"/>
          <w:szCs w:val="22"/>
        </w:rPr>
        <w:t xml:space="preserve">(gali pasireikšti </w:t>
      </w:r>
      <w:r>
        <w:rPr>
          <w:rFonts w:eastAsia="Calibri"/>
          <w:bCs/>
          <w:sz w:val="22"/>
          <w:szCs w:val="22"/>
        </w:rPr>
        <w:t>mažiau kaip</w:t>
      </w:r>
      <w:r w:rsidRPr="00BA3FBD">
        <w:rPr>
          <w:rFonts w:eastAsia="Calibri"/>
          <w:bCs/>
          <w:sz w:val="22"/>
          <w:szCs w:val="22"/>
        </w:rPr>
        <w:t xml:space="preserve"> 1 žmogaus iš 10) </w:t>
      </w:r>
      <w:r w:rsidRPr="00BA3FBD">
        <w:rPr>
          <w:rFonts w:eastAsia="Calibri"/>
          <w:b/>
          <w:bCs/>
          <w:sz w:val="22"/>
          <w:szCs w:val="22"/>
        </w:rPr>
        <w:t xml:space="preserve">šalutinis poveikis: </w:t>
      </w:r>
    </w:p>
    <w:p w14:paraId="2EA03F22"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Greitai padidėjęs kūno svoris. Vartojant Imatinib Actavis Group organizme gali pradėti kauptis skystis (t.y. pasireikšti sunkus skysčių susilaikymas). </w:t>
      </w:r>
    </w:p>
    <w:p w14:paraId="54A2CE85"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Infekcijos požymiai – pavyzdžiui, karščiavimas, stiprus šaltkrėtis, gerklės skausmas ar burnos išopėjimas. Imatinib Actavis Group gali sumažinti baltųjų kraujo kūnelių skaičių, todėl galite greičiau užsikrėsti infekcinėmis ligomis. </w:t>
      </w:r>
    </w:p>
    <w:p w14:paraId="04D9B5FD" w14:textId="77777777" w:rsidR="008A305D" w:rsidRPr="00BA3FBD" w:rsidRDefault="008A305D" w:rsidP="008A305D">
      <w:pPr>
        <w:pStyle w:val="Sraopastraipa"/>
        <w:numPr>
          <w:ilvl w:val="0"/>
          <w:numId w:val="1"/>
        </w:numPr>
        <w:autoSpaceDE w:val="0"/>
        <w:autoSpaceDN w:val="0"/>
        <w:adjustRightInd w:val="0"/>
        <w:ind w:left="567" w:hanging="567"/>
        <w:rPr>
          <w:rFonts w:eastAsia="Calibri"/>
          <w:sz w:val="22"/>
          <w:szCs w:val="22"/>
        </w:rPr>
      </w:pPr>
      <w:r w:rsidRPr="00BA3FBD">
        <w:rPr>
          <w:rFonts w:eastAsia="Calibri"/>
          <w:sz w:val="22"/>
          <w:szCs w:val="22"/>
        </w:rPr>
        <w:t xml:space="preserve">Netikėtas kraujavimas ar mėlynių susidarymas (be jokio sužalojimo). </w:t>
      </w:r>
    </w:p>
    <w:p w14:paraId="2F274D14" w14:textId="77777777" w:rsidR="008A305D" w:rsidRPr="00BA3FBD" w:rsidRDefault="008A305D" w:rsidP="008A305D">
      <w:pPr>
        <w:autoSpaceDE w:val="0"/>
        <w:autoSpaceDN w:val="0"/>
        <w:adjustRightInd w:val="0"/>
        <w:rPr>
          <w:rFonts w:eastAsia="Calibri"/>
          <w:sz w:val="22"/>
          <w:szCs w:val="22"/>
        </w:rPr>
      </w:pPr>
    </w:p>
    <w:p w14:paraId="11C4CB84"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Nedažnas </w:t>
      </w:r>
      <w:r w:rsidRPr="00BA3FBD">
        <w:rPr>
          <w:rFonts w:eastAsia="Calibri"/>
          <w:bCs/>
          <w:sz w:val="22"/>
          <w:szCs w:val="22"/>
        </w:rPr>
        <w:t xml:space="preserve">(gali pasireikšti </w:t>
      </w:r>
      <w:r>
        <w:rPr>
          <w:rFonts w:eastAsia="Calibri"/>
          <w:bCs/>
          <w:sz w:val="22"/>
          <w:szCs w:val="22"/>
        </w:rPr>
        <w:t>mažiau kaip</w:t>
      </w:r>
      <w:r w:rsidRPr="00BA3FBD">
        <w:rPr>
          <w:rFonts w:eastAsia="Calibri"/>
          <w:bCs/>
          <w:sz w:val="22"/>
          <w:szCs w:val="22"/>
        </w:rPr>
        <w:t xml:space="preserve"> 1 žmogaus iš 100)</w:t>
      </w:r>
      <w:r w:rsidRPr="00BA3FBD">
        <w:rPr>
          <w:rFonts w:eastAsia="Calibri"/>
          <w:b/>
          <w:bCs/>
          <w:sz w:val="22"/>
          <w:szCs w:val="22"/>
        </w:rPr>
        <w:t xml:space="preserve"> ir retas šalutiniai reiškiniai </w:t>
      </w:r>
      <w:r w:rsidRPr="00BA3FBD">
        <w:rPr>
          <w:rFonts w:eastAsia="Calibri"/>
          <w:bCs/>
          <w:sz w:val="22"/>
          <w:szCs w:val="22"/>
        </w:rPr>
        <w:t xml:space="preserve">(gali pasireikšti </w:t>
      </w:r>
      <w:r>
        <w:rPr>
          <w:rFonts w:eastAsia="Calibri"/>
          <w:bCs/>
          <w:sz w:val="22"/>
          <w:szCs w:val="22"/>
        </w:rPr>
        <w:t>mažiau kaip</w:t>
      </w:r>
      <w:r w:rsidRPr="00BA3FBD">
        <w:rPr>
          <w:rFonts w:eastAsia="Calibri"/>
          <w:bCs/>
          <w:sz w:val="22"/>
          <w:szCs w:val="22"/>
        </w:rPr>
        <w:t xml:space="preserve"> 1 žmogaus iš 1 000)</w:t>
      </w:r>
      <w:r w:rsidRPr="00BA3FBD">
        <w:rPr>
          <w:rFonts w:eastAsia="Calibri"/>
          <w:b/>
          <w:bCs/>
          <w:sz w:val="22"/>
          <w:szCs w:val="22"/>
        </w:rPr>
        <w:t xml:space="preserve">: </w:t>
      </w:r>
    </w:p>
    <w:p w14:paraId="45C032DC"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lastRenderedPageBreak/>
        <w:t xml:space="preserve">Skausmas krūtinėje, nereguliarus širdies ritmas (širdies sutrikimų požymiai). </w:t>
      </w:r>
    </w:p>
    <w:p w14:paraId="796C0CB1"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Kosulys, pasunkėjęs kvėpavimas arba skausmingas kvėpavimas (plaučių sutrikimų požymiai). </w:t>
      </w:r>
    </w:p>
    <w:p w14:paraId="412FDC49"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Apsvaigimas, svaigulys ar alpimas (žemo kraujospūdžio požymiai). </w:t>
      </w:r>
    </w:p>
    <w:p w14:paraId="6422AB44"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Šleikštulys (pykinimas), taip pat apetito trūkumas, tamsus šlapimas, pageltusi oda ar akių baltymai (kepenų sutrikimų požymiai). </w:t>
      </w:r>
    </w:p>
    <w:p w14:paraId="21114C3C"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Bėrimas, odos paraudimas, taip pat pūslių atsiradimas ant lūpų, akių, odos arba burnos gleivinės, odos pleiskanojimas, karščiavimas, pakilę raudoni arba purpuriniai odos lopai, niežulys, deginimo pojūtis, pūslinis bėrimas (odos sutrikimų požymiai). </w:t>
      </w:r>
    </w:p>
    <w:p w14:paraId="2FA66F4B"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Stiprus pilvo skausmas, vėmimas, tuštinimasis ar šlapinimasis su kraujo priemaiša, juodos spalvos išmatos (virškinimo trakto sutrikimų požymiai). </w:t>
      </w:r>
    </w:p>
    <w:p w14:paraId="1F084D64"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Labai sumažėjęs šlapimo kiekis, troškulys (inkstų sutrikimų požymiai). </w:t>
      </w:r>
    </w:p>
    <w:p w14:paraId="1C8DB133"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Šleikštulys (pykinimas) kartu su viduriavimu ir vėmimu, pilvo skausmas arba karščiavimas (žarnų sutrikimų požymiai). </w:t>
      </w:r>
    </w:p>
    <w:p w14:paraId="02D3AA07"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Stiprus galvos skausmas, silpnumas arba galūnių ar veido paralyžius, pasunkėjusi kalba, staigus sąmonės praradimas (nervų sistemos sutrikimų, pavyzdžiui, kraujavimo kaukolės ertmėje ar galvos smegenų patinimo, požymiai). </w:t>
      </w:r>
    </w:p>
    <w:p w14:paraId="0D2E8060" w14:textId="77777777" w:rsidR="008A305D" w:rsidRPr="00BA3FBD" w:rsidRDefault="008A305D" w:rsidP="008A305D">
      <w:pPr>
        <w:pStyle w:val="Sraopastraipa"/>
        <w:numPr>
          <w:ilvl w:val="0"/>
          <w:numId w:val="1"/>
        </w:numPr>
        <w:autoSpaceDE w:val="0"/>
        <w:autoSpaceDN w:val="0"/>
        <w:adjustRightInd w:val="0"/>
        <w:ind w:left="567" w:hanging="567"/>
        <w:rPr>
          <w:rFonts w:eastAsia="Calibri"/>
          <w:sz w:val="22"/>
          <w:szCs w:val="22"/>
        </w:rPr>
      </w:pPr>
      <w:r w:rsidRPr="00BA3FBD">
        <w:rPr>
          <w:rFonts w:eastAsia="Calibri"/>
          <w:sz w:val="22"/>
          <w:szCs w:val="22"/>
        </w:rPr>
        <w:t xml:space="preserve">Išblyškusi oda, nuovargis ir dusulys, tamsus šlapimas (sumažėjusio raudonųjų kraujo ląstelių skaičiaus požymiai). </w:t>
      </w:r>
    </w:p>
    <w:p w14:paraId="4BFF8E56"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Akies skausmas ar pablogėjusi rega, kraujavimas į akies vidų. </w:t>
      </w:r>
    </w:p>
    <w:p w14:paraId="26045133"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Skausmas klubo sąnariuose ar pasunkėjęs vaikščiojimas. </w:t>
      </w:r>
    </w:p>
    <w:p w14:paraId="0EABE586"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Kojų ir rankų pirštų nutirpimas ar šalimas (Raynaud‘s sindromo požymiai). </w:t>
      </w:r>
    </w:p>
    <w:p w14:paraId="739110E8"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Staigus odos patinimas ir paraudimas (odos infekcijos, vadinamos celiulitu, požymiai). </w:t>
      </w:r>
    </w:p>
    <w:p w14:paraId="1F427C36"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Sutrikusi klausa. </w:t>
      </w:r>
    </w:p>
    <w:p w14:paraId="54A3D4B2"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Raumenų silpnumas ir spazmas kartu su sutrikusiu širdies ritmu (požymiai, rodantys, kad pakito kalio kiekis Jūsų kraujyje). </w:t>
      </w:r>
    </w:p>
    <w:p w14:paraId="2C238988"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Mėlynės. </w:t>
      </w:r>
    </w:p>
    <w:p w14:paraId="6A5FEA37"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Skrandžio skausmas kartu su šleikštuliu (pykinimu). </w:t>
      </w:r>
    </w:p>
    <w:p w14:paraId="7CA92894"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Raumenų spazmai ir kartu pasireiškiantis karščiavimas, raudonai rudos spalvos šlapimas, raumenų skausmas ar silpnumas (raumenų sutrikimų požymiai). </w:t>
      </w:r>
    </w:p>
    <w:p w14:paraId="0086A57D"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Dubens srities skausmas, kartais kartu su pykinimu ir vėmimu, kartu su netikėtu kraujavimu iš makšties, galvos svaigimu ar alpimu dėl sumažėjusio kraujospūdžio (kiaušidžių ar gimdos sutrikimų požymiai). </w:t>
      </w:r>
    </w:p>
    <w:p w14:paraId="4887594B" w14:textId="77777777" w:rsidR="008A305D" w:rsidRPr="00BA3FBD" w:rsidRDefault="008A305D" w:rsidP="008A305D">
      <w:pPr>
        <w:pStyle w:val="Sraopastraipa"/>
        <w:numPr>
          <w:ilvl w:val="0"/>
          <w:numId w:val="1"/>
        </w:numPr>
        <w:autoSpaceDE w:val="0"/>
        <w:autoSpaceDN w:val="0"/>
        <w:adjustRightInd w:val="0"/>
        <w:ind w:left="567" w:hanging="567"/>
        <w:rPr>
          <w:rFonts w:eastAsia="Calibri"/>
          <w:sz w:val="22"/>
          <w:szCs w:val="22"/>
        </w:rPr>
      </w:pPr>
      <w:r w:rsidRPr="00BA3FBD">
        <w:rPr>
          <w:rFonts w:eastAsia="Calibri"/>
          <w:sz w:val="22"/>
          <w:szCs w:val="22"/>
        </w:rPr>
        <w:t xml:space="preserve">Pykinimas, oro trūkumas, nereguliarus širdies ritmas, drumstas šlapimas, nuovargis ir/arba sąnarių diskomfortas susijęs su anomaliais laboratorinių tyrimų rezultatais </w:t>
      </w:r>
      <w:r w:rsidRPr="00BA3FBD">
        <w:rPr>
          <w:rFonts w:eastAsia="Calibri"/>
          <w:sz w:val="22"/>
          <w:szCs w:val="22"/>
        </w:rPr>
        <w:lastRenderedPageBreak/>
        <w:t xml:space="preserve">(pvz., didelis kalio, šlapimo rūgšties ir kalcio kiekis ir mažas fosforo kiekis kraujyje). </w:t>
      </w:r>
    </w:p>
    <w:p w14:paraId="0B796486" w14:textId="77777777" w:rsidR="008A305D" w:rsidRPr="00BA3FBD" w:rsidRDefault="008A305D" w:rsidP="008A305D">
      <w:pPr>
        <w:pStyle w:val="Sraopastraipa"/>
        <w:autoSpaceDE w:val="0"/>
        <w:autoSpaceDN w:val="0"/>
        <w:adjustRightInd w:val="0"/>
        <w:ind w:left="0"/>
        <w:rPr>
          <w:rFonts w:eastAsia="Calibri"/>
          <w:sz w:val="22"/>
          <w:szCs w:val="22"/>
        </w:rPr>
      </w:pPr>
    </w:p>
    <w:p w14:paraId="4B121231" w14:textId="77777777" w:rsidR="008A305D" w:rsidRPr="00BA3FBD" w:rsidRDefault="008A305D" w:rsidP="008A305D">
      <w:pPr>
        <w:pStyle w:val="Sraopastraipa"/>
        <w:autoSpaceDE w:val="0"/>
        <w:autoSpaceDN w:val="0"/>
        <w:adjustRightInd w:val="0"/>
        <w:ind w:left="0"/>
        <w:rPr>
          <w:rFonts w:eastAsia="Calibri"/>
          <w:sz w:val="22"/>
          <w:szCs w:val="22"/>
        </w:rPr>
      </w:pPr>
      <w:r w:rsidRPr="00BA3FBD">
        <w:rPr>
          <w:rFonts w:eastAsia="Calibri"/>
          <w:b/>
          <w:sz w:val="22"/>
          <w:szCs w:val="22"/>
        </w:rPr>
        <w:t xml:space="preserve">Dažnis nežinomas </w:t>
      </w:r>
      <w:r w:rsidRPr="00BA3FBD">
        <w:rPr>
          <w:rFonts w:eastAsia="Calibri"/>
          <w:sz w:val="22"/>
          <w:szCs w:val="22"/>
        </w:rPr>
        <w:t>(negali būti apskaičiuotas pagal turimus duomenis):</w:t>
      </w:r>
    </w:p>
    <w:p w14:paraId="0F50AD68" w14:textId="77777777" w:rsidR="008A305D" w:rsidRPr="00BA3FBD" w:rsidRDefault="008A305D" w:rsidP="008A305D">
      <w:pPr>
        <w:pStyle w:val="Sraopastraipa"/>
        <w:numPr>
          <w:ilvl w:val="0"/>
          <w:numId w:val="1"/>
        </w:numPr>
        <w:autoSpaceDE w:val="0"/>
        <w:autoSpaceDN w:val="0"/>
        <w:adjustRightInd w:val="0"/>
        <w:ind w:left="567" w:hanging="567"/>
        <w:rPr>
          <w:rFonts w:eastAsia="Calibri"/>
          <w:sz w:val="22"/>
          <w:szCs w:val="22"/>
        </w:rPr>
      </w:pPr>
      <w:r w:rsidRPr="00BA3FBD">
        <w:rPr>
          <w:rFonts w:eastAsia="Calibri"/>
          <w:sz w:val="22"/>
          <w:szCs w:val="22"/>
        </w:rPr>
        <w:t>Plačiai išplitęs stiprus odos bėrimas kartu su pykinimu, karščiavimu, kai kurių baltųjų kraujo kūnelių skaičiaus padidėjimu arba odos ir akių pageltimu (geltos požymiai), lydimas dusulio, krūtinės skausmo/diskomforto, labai sumažėjusio šlapimo išsiskyrimo bei troškulio ir t.t. (alerginės reakcijos požymiai susiję su gydymu).</w:t>
      </w:r>
    </w:p>
    <w:p w14:paraId="25192CD3" w14:textId="77777777" w:rsidR="008A305D" w:rsidRDefault="008A305D" w:rsidP="008A305D">
      <w:pPr>
        <w:pStyle w:val="Sraopastraipa"/>
        <w:numPr>
          <w:ilvl w:val="0"/>
          <w:numId w:val="1"/>
        </w:numPr>
        <w:autoSpaceDE w:val="0"/>
        <w:autoSpaceDN w:val="0"/>
        <w:adjustRightInd w:val="0"/>
        <w:ind w:left="567" w:hanging="567"/>
        <w:rPr>
          <w:rFonts w:eastAsia="Calibri"/>
          <w:sz w:val="22"/>
          <w:szCs w:val="22"/>
        </w:rPr>
      </w:pPr>
      <w:r w:rsidRPr="00BA3FBD">
        <w:rPr>
          <w:rFonts w:eastAsia="Calibri"/>
          <w:sz w:val="22"/>
          <w:szCs w:val="22"/>
        </w:rPr>
        <w:t>Lėtinis inkstų nepakankamumas.</w:t>
      </w:r>
    </w:p>
    <w:p w14:paraId="1AE17F48" w14:textId="77777777" w:rsidR="008A305D" w:rsidRPr="00BA3FBD" w:rsidRDefault="008A305D" w:rsidP="008A305D">
      <w:pPr>
        <w:pStyle w:val="Sraopastraipa"/>
        <w:autoSpaceDE w:val="0"/>
        <w:autoSpaceDN w:val="0"/>
        <w:adjustRightInd w:val="0"/>
        <w:rPr>
          <w:rFonts w:eastAsia="Calibri"/>
          <w:sz w:val="22"/>
          <w:szCs w:val="22"/>
        </w:rPr>
      </w:pPr>
    </w:p>
    <w:p w14:paraId="57DCA37A"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Jeigu Jums pasireikštų bet kuris iš anksčiau nurodytų reiškinių, </w:t>
      </w:r>
      <w:r w:rsidRPr="00BA3FBD">
        <w:rPr>
          <w:rFonts w:eastAsia="Calibri"/>
          <w:b/>
          <w:bCs/>
          <w:sz w:val="22"/>
          <w:szCs w:val="22"/>
        </w:rPr>
        <w:t xml:space="preserve">nedelsiant pasakykite gydytojui. </w:t>
      </w:r>
    </w:p>
    <w:p w14:paraId="4678739C" w14:textId="77777777" w:rsidR="008A305D" w:rsidRPr="00BA3FBD" w:rsidRDefault="008A305D" w:rsidP="008A305D">
      <w:pPr>
        <w:autoSpaceDE w:val="0"/>
        <w:autoSpaceDN w:val="0"/>
        <w:adjustRightInd w:val="0"/>
        <w:rPr>
          <w:rFonts w:eastAsia="Calibri"/>
          <w:b/>
          <w:bCs/>
          <w:sz w:val="22"/>
          <w:szCs w:val="22"/>
        </w:rPr>
      </w:pPr>
    </w:p>
    <w:p w14:paraId="15F7FDEB"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Taip pat gali pasireikšti kitas šalutiniai poveikis </w:t>
      </w:r>
    </w:p>
    <w:p w14:paraId="65D4D678" w14:textId="77777777" w:rsidR="008A305D" w:rsidRPr="00BA3FBD" w:rsidRDefault="008A305D" w:rsidP="008A305D">
      <w:pPr>
        <w:autoSpaceDE w:val="0"/>
        <w:autoSpaceDN w:val="0"/>
        <w:adjustRightInd w:val="0"/>
        <w:rPr>
          <w:rFonts w:eastAsia="Calibri"/>
          <w:b/>
          <w:bCs/>
          <w:sz w:val="22"/>
          <w:szCs w:val="22"/>
        </w:rPr>
      </w:pPr>
    </w:p>
    <w:p w14:paraId="313498FB"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Labai dažnas šalutinis poveikis </w:t>
      </w:r>
      <w:r w:rsidRPr="00BA3FBD">
        <w:rPr>
          <w:rFonts w:eastAsia="Calibri"/>
          <w:bCs/>
          <w:sz w:val="22"/>
          <w:szCs w:val="22"/>
        </w:rPr>
        <w:t>(gali pasireikšti daugiau nei 1 žmogui iš 10)</w:t>
      </w:r>
      <w:r w:rsidRPr="00BA3FBD">
        <w:rPr>
          <w:rFonts w:eastAsia="Calibri"/>
          <w:b/>
          <w:bCs/>
          <w:sz w:val="22"/>
          <w:szCs w:val="22"/>
        </w:rPr>
        <w:t xml:space="preserve">: </w:t>
      </w:r>
    </w:p>
    <w:p w14:paraId="49DD916D"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Galvos skausmas ar nuovargis. </w:t>
      </w:r>
    </w:p>
    <w:p w14:paraId="5420DDEF"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Šleikštulys (pykinimas), vėmimas, viduriavimas ar nevirškinimas. </w:t>
      </w:r>
    </w:p>
    <w:p w14:paraId="0BEF03C7"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Bėrimas. </w:t>
      </w:r>
    </w:p>
    <w:p w14:paraId="6B70969F"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Raumenų mėšlungis arba sąnarių, raumenų ir kaulų skausmas. </w:t>
      </w:r>
    </w:p>
    <w:p w14:paraId="594F4DD7"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Tinimas, pavyzdžiui, patinusios kulkšnys ar paburkę akių vokai. </w:t>
      </w:r>
    </w:p>
    <w:p w14:paraId="526A2984" w14:textId="77777777" w:rsidR="008A305D" w:rsidRPr="00BA3FBD" w:rsidRDefault="008A305D" w:rsidP="008A305D">
      <w:pPr>
        <w:pStyle w:val="Sraopastraipa"/>
        <w:numPr>
          <w:ilvl w:val="0"/>
          <w:numId w:val="1"/>
        </w:numPr>
        <w:autoSpaceDE w:val="0"/>
        <w:autoSpaceDN w:val="0"/>
        <w:adjustRightInd w:val="0"/>
        <w:ind w:left="567" w:hanging="567"/>
        <w:rPr>
          <w:rFonts w:eastAsia="Calibri"/>
          <w:sz w:val="22"/>
          <w:szCs w:val="22"/>
        </w:rPr>
      </w:pPr>
      <w:r w:rsidRPr="00BA3FBD">
        <w:rPr>
          <w:rFonts w:eastAsia="Calibri"/>
          <w:sz w:val="22"/>
          <w:szCs w:val="22"/>
        </w:rPr>
        <w:t xml:space="preserve">Padidėjęs kūno svoris. </w:t>
      </w:r>
    </w:p>
    <w:p w14:paraId="4DC782D2"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 bet kuris iš šių reiškinių tampa sunkiu, </w:t>
      </w:r>
      <w:r w:rsidRPr="00BA3FBD">
        <w:rPr>
          <w:rFonts w:eastAsia="Calibri"/>
          <w:b/>
          <w:bCs/>
          <w:sz w:val="22"/>
          <w:szCs w:val="22"/>
        </w:rPr>
        <w:t>pasakykite gydytojui</w:t>
      </w:r>
      <w:r w:rsidRPr="00BA3FBD">
        <w:rPr>
          <w:rFonts w:eastAsia="Calibri"/>
          <w:sz w:val="22"/>
          <w:szCs w:val="22"/>
        </w:rPr>
        <w:t xml:space="preserve">. </w:t>
      </w:r>
    </w:p>
    <w:p w14:paraId="79F29245" w14:textId="77777777" w:rsidR="008A305D" w:rsidRPr="00BA3FBD" w:rsidRDefault="008A305D" w:rsidP="008A305D">
      <w:pPr>
        <w:autoSpaceDE w:val="0"/>
        <w:autoSpaceDN w:val="0"/>
        <w:adjustRightInd w:val="0"/>
        <w:rPr>
          <w:rFonts w:eastAsia="Calibri"/>
          <w:b/>
          <w:bCs/>
          <w:sz w:val="22"/>
          <w:szCs w:val="22"/>
        </w:rPr>
      </w:pPr>
    </w:p>
    <w:p w14:paraId="69E2550E"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Dažnas šalutinis poveikis </w:t>
      </w:r>
      <w:r w:rsidRPr="00BA3FBD">
        <w:rPr>
          <w:rFonts w:eastAsia="Calibri"/>
          <w:bCs/>
          <w:sz w:val="22"/>
          <w:szCs w:val="22"/>
        </w:rPr>
        <w:t xml:space="preserve">(gali pasireikšti </w:t>
      </w:r>
      <w:r>
        <w:rPr>
          <w:rFonts w:eastAsia="Calibri"/>
          <w:bCs/>
          <w:sz w:val="22"/>
          <w:szCs w:val="22"/>
        </w:rPr>
        <w:t>mažiau kaip</w:t>
      </w:r>
      <w:r w:rsidRPr="00BA3FBD">
        <w:rPr>
          <w:rFonts w:eastAsia="Calibri"/>
          <w:bCs/>
          <w:sz w:val="22"/>
          <w:szCs w:val="22"/>
        </w:rPr>
        <w:t xml:space="preserve"> 1 iš 10 žmonių)</w:t>
      </w:r>
      <w:r w:rsidRPr="00BA3FBD">
        <w:rPr>
          <w:rFonts w:eastAsia="Calibri"/>
          <w:b/>
          <w:bCs/>
          <w:sz w:val="22"/>
          <w:szCs w:val="22"/>
        </w:rPr>
        <w:t xml:space="preserve">: </w:t>
      </w:r>
    </w:p>
    <w:p w14:paraId="2AE5DAD2"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Anoreksija, sumažėjęs kūno svoris, sutrikęs skonio jutimas. </w:t>
      </w:r>
    </w:p>
    <w:p w14:paraId="4F0870DF"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Galvos svaigimas, silpnumas. </w:t>
      </w:r>
    </w:p>
    <w:p w14:paraId="11DEF8E6"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Sunkumas užmigti (nemiga). </w:t>
      </w:r>
    </w:p>
    <w:p w14:paraId="31FF59E2"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Išskyros iš akies kartu su niežuliu, paraudimu ir patinimu (konjunktyvitas), ašarojimas, neryškus matymas. </w:t>
      </w:r>
    </w:p>
    <w:p w14:paraId="2C281423"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Kraujavimas iš nosies. </w:t>
      </w:r>
    </w:p>
    <w:p w14:paraId="18993ECF"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Pilvo skausmas ar patinimas, vidurių pūtimas, rėmuo, vidurių užkietėjimas. </w:t>
      </w:r>
    </w:p>
    <w:p w14:paraId="4A0B589A"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Niežulys. </w:t>
      </w:r>
    </w:p>
    <w:p w14:paraId="3052D7C6"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Neįprastas plaukų slinkimas ar plonėjimas. </w:t>
      </w:r>
    </w:p>
    <w:p w14:paraId="752C99DF"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Plaštakų ar pėdų tirpimas. </w:t>
      </w:r>
    </w:p>
    <w:p w14:paraId="4B180323"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Burnos išopėjimas. </w:t>
      </w:r>
    </w:p>
    <w:p w14:paraId="733D2A9B"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Sąnarių skausmas ir patinimas. </w:t>
      </w:r>
    </w:p>
    <w:p w14:paraId="0C9874CC"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Burnos, odos ar akių džiūvimas. </w:t>
      </w:r>
    </w:p>
    <w:p w14:paraId="4FC56C95"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Sumažėjęs arba padidėjęs odos jautrumas. </w:t>
      </w:r>
    </w:p>
    <w:p w14:paraId="63E36BFD" w14:textId="77777777" w:rsidR="008A305D" w:rsidRPr="00BA3FBD" w:rsidRDefault="008A305D" w:rsidP="008A305D">
      <w:pPr>
        <w:pStyle w:val="Sraopastraipa"/>
        <w:numPr>
          <w:ilvl w:val="0"/>
          <w:numId w:val="1"/>
        </w:numPr>
        <w:autoSpaceDE w:val="0"/>
        <w:autoSpaceDN w:val="0"/>
        <w:adjustRightInd w:val="0"/>
        <w:ind w:left="567" w:hanging="567"/>
        <w:rPr>
          <w:rFonts w:eastAsia="Calibri"/>
          <w:sz w:val="22"/>
          <w:szCs w:val="22"/>
        </w:rPr>
      </w:pPr>
      <w:r w:rsidRPr="00BA3FBD">
        <w:rPr>
          <w:rFonts w:eastAsia="Calibri"/>
          <w:sz w:val="22"/>
          <w:szCs w:val="22"/>
        </w:rPr>
        <w:t xml:space="preserve">Karščio pylimai, drebulys, naktinis prakaitavimas. </w:t>
      </w:r>
    </w:p>
    <w:p w14:paraId="26B2BD47" w14:textId="77777777" w:rsidR="008A305D" w:rsidRPr="00BA3FBD" w:rsidRDefault="008A305D" w:rsidP="008A305D">
      <w:pPr>
        <w:autoSpaceDE w:val="0"/>
        <w:autoSpaceDN w:val="0"/>
        <w:adjustRightInd w:val="0"/>
        <w:rPr>
          <w:rFonts w:ascii="Arial" w:eastAsia="Calibri" w:hAnsi="Arial" w:cs="Arial"/>
          <w:sz w:val="16"/>
          <w:szCs w:val="16"/>
        </w:rPr>
      </w:pPr>
      <w:r w:rsidRPr="00BA3FBD">
        <w:rPr>
          <w:rFonts w:eastAsia="Calibri"/>
          <w:sz w:val="22"/>
          <w:szCs w:val="22"/>
        </w:rPr>
        <w:lastRenderedPageBreak/>
        <w:t xml:space="preserve">Jei bet kuris iš šių reiškinių tampa sunkiu, </w:t>
      </w:r>
      <w:r w:rsidRPr="00BA3FBD">
        <w:rPr>
          <w:rFonts w:eastAsia="Calibri"/>
          <w:b/>
          <w:bCs/>
          <w:sz w:val="22"/>
          <w:szCs w:val="22"/>
        </w:rPr>
        <w:t>pasakykite gydytojui</w:t>
      </w:r>
      <w:r w:rsidRPr="00BA3FBD">
        <w:rPr>
          <w:rFonts w:eastAsia="Calibri"/>
          <w:sz w:val="22"/>
          <w:szCs w:val="22"/>
        </w:rPr>
        <w:t>.</w:t>
      </w:r>
    </w:p>
    <w:p w14:paraId="321403A4" w14:textId="77777777" w:rsidR="008A305D" w:rsidRPr="00BA3FBD" w:rsidRDefault="008A305D" w:rsidP="008A305D">
      <w:pPr>
        <w:autoSpaceDE w:val="0"/>
        <w:autoSpaceDN w:val="0"/>
        <w:adjustRightInd w:val="0"/>
        <w:rPr>
          <w:rFonts w:eastAsia="Calibri"/>
        </w:rPr>
      </w:pPr>
    </w:p>
    <w:p w14:paraId="44DC82EB"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Šalutinis poveikis, kurio dažnis nežinomas </w:t>
      </w:r>
      <w:r w:rsidRPr="00BA3FBD">
        <w:rPr>
          <w:rFonts w:eastAsia="Calibri"/>
          <w:bCs/>
          <w:sz w:val="22"/>
          <w:szCs w:val="22"/>
        </w:rPr>
        <w:t>(negali būti apskaičiuotas pagal turimus duomenis)</w:t>
      </w:r>
      <w:r w:rsidRPr="00BA3FBD">
        <w:rPr>
          <w:rFonts w:eastAsia="Calibri"/>
          <w:b/>
          <w:bCs/>
          <w:sz w:val="22"/>
          <w:szCs w:val="22"/>
        </w:rPr>
        <w:t xml:space="preserve">: </w:t>
      </w:r>
    </w:p>
    <w:p w14:paraId="5A975121" w14:textId="77777777" w:rsidR="008A305D" w:rsidRPr="00BA3FBD" w:rsidRDefault="008A305D" w:rsidP="008A305D">
      <w:pPr>
        <w:pStyle w:val="Sraopastraipa"/>
        <w:numPr>
          <w:ilvl w:val="0"/>
          <w:numId w:val="1"/>
        </w:numPr>
        <w:autoSpaceDE w:val="0"/>
        <w:autoSpaceDN w:val="0"/>
        <w:adjustRightInd w:val="0"/>
        <w:spacing w:after="35"/>
        <w:rPr>
          <w:rFonts w:eastAsia="Calibri"/>
          <w:sz w:val="22"/>
          <w:szCs w:val="22"/>
        </w:rPr>
      </w:pPr>
      <w:r w:rsidRPr="00BA3FBD">
        <w:rPr>
          <w:rFonts w:eastAsia="Calibri"/>
          <w:sz w:val="22"/>
          <w:szCs w:val="22"/>
        </w:rPr>
        <w:t xml:space="preserve">Delnų ir padų paraudimas ir (arba) patinimas, kurie gali pasireikšti kartu su dilgčiojimo pojūčiu ir deginančiu skausmu. </w:t>
      </w:r>
    </w:p>
    <w:p w14:paraId="7A103E12" w14:textId="5D5B9BAA" w:rsidR="008A305D" w:rsidRDefault="008A305D" w:rsidP="008A305D">
      <w:pPr>
        <w:pStyle w:val="Sraopastraipa"/>
        <w:numPr>
          <w:ilvl w:val="0"/>
          <w:numId w:val="1"/>
        </w:numPr>
        <w:autoSpaceDE w:val="0"/>
        <w:autoSpaceDN w:val="0"/>
        <w:adjustRightInd w:val="0"/>
        <w:rPr>
          <w:rFonts w:eastAsia="Calibri"/>
          <w:sz w:val="22"/>
          <w:szCs w:val="22"/>
        </w:rPr>
      </w:pPr>
      <w:r w:rsidRPr="00BA3FBD">
        <w:rPr>
          <w:rFonts w:eastAsia="Calibri"/>
          <w:sz w:val="22"/>
          <w:szCs w:val="22"/>
        </w:rPr>
        <w:t>Sulėtėjęs vaikų ir paauglių augimas.</w:t>
      </w:r>
    </w:p>
    <w:p w14:paraId="6D8FAB00" w14:textId="1007E7AA" w:rsidR="005E4E29" w:rsidRPr="005E4E29" w:rsidRDefault="005E4E29" w:rsidP="005E4E29">
      <w:pPr>
        <w:pStyle w:val="Sraopastraipa"/>
        <w:numPr>
          <w:ilvl w:val="0"/>
          <w:numId w:val="1"/>
        </w:numPr>
        <w:autoSpaceDE w:val="0"/>
        <w:autoSpaceDN w:val="0"/>
        <w:adjustRightInd w:val="0"/>
        <w:rPr>
          <w:rFonts w:eastAsia="Calibri"/>
          <w:sz w:val="22"/>
          <w:szCs w:val="22"/>
        </w:rPr>
      </w:pPr>
      <w:r w:rsidRPr="005E4E29">
        <w:rPr>
          <w:rFonts w:eastAsia="Calibri"/>
          <w:sz w:val="22"/>
          <w:szCs w:val="22"/>
        </w:rPr>
        <w:t>Hepatito B infekcijos atsinaujinimas (reaktyvacija), jeigu praeityje jums buvo diagnozuotas hepatitas B (kepenų infekcija).</w:t>
      </w:r>
    </w:p>
    <w:p w14:paraId="5C2A25A2"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 bet kuris iš šių reiškinių tampa sunkiu, </w:t>
      </w:r>
      <w:r w:rsidRPr="00BA3FBD">
        <w:rPr>
          <w:rFonts w:eastAsia="Calibri"/>
          <w:b/>
          <w:bCs/>
          <w:sz w:val="22"/>
          <w:szCs w:val="22"/>
        </w:rPr>
        <w:t>pasakykite gydytojui</w:t>
      </w:r>
      <w:r w:rsidRPr="00BA3FBD">
        <w:rPr>
          <w:rFonts w:eastAsia="Calibri"/>
          <w:sz w:val="22"/>
          <w:szCs w:val="22"/>
        </w:rPr>
        <w:t xml:space="preserve">. </w:t>
      </w:r>
    </w:p>
    <w:p w14:paraId="57F2A3AC" w14:textId="77777777" w:rsidR="008A305D" w:rsidRPr="00BA3FBD" w:rsidRDefault="008A305D" w:rsidP="008A305D">
      <w:pPr>
        <w:autoSpaceDE w:val="0"/>
        <w:autoSpaceDN w:val="0"/>
        <w:adjustRightInd w:val="0"/>
        <w:rPr>
          <w:rFonts w:eastAsia="Calibri"/>
          <w:b/>
          <w:bCs/>
          <w:sz w:val="22"/>
          <w:szCs w:val="22"/>
        </w:rPr>
      </w:pPr>
    </w:p>
    <w:p w14:paraId="127DE5F0" w14:textId="77777777" w:rsidR="008A305D" w:rsidRPr="00BA3FBD" w:rsidRDefault="008A305D" w:rsidP="008A305D">
      <w:pPr>
        <w:rPr>
          <w:b/>
          <w:sz w:val="22"/>
          <w:szCs w:val="22"/>
        </w:rPr>
      </w:pPr>
      <w:r w:rsidRPr="00BA3FBD">
        <w:rPr>
          <w:b/>
          <w:sz w:val="22"/>
          <w:szCs w:val="22"/>
        </w:rPr>
        <w:t>Pranešimas apie šalutinį poveikį</w:t>
      </w:r>
    </w:p>
    <w:p w14:paraId="02EAE39C" w14:textId="77777777" w:rsidR="008A305D" w:rsidRPr="00BA3FBD" w:rsidRDefault="008A305D" w:rsidP="008A305D">
      <w:pPr>
        <w:autoSpaceDE w:val="0"/>
        <w:autoSpaceDN w:val="0"/>
        <w:adjustRightInd w:val="0"/>
        <w:rPr>
          <w:rFonts w:eastAsia="Calibri"/>
          <w:b/>
          <w:bCs/>
          <w:sz w:val="22"/>
          <w:szCs w:val="22"/>
        </w:rPr>
      </w:pPr>
      <w:r w:rsidRPr="00BA3FBD">
        <w:rPr>
          <w:sz w:val="22"/>
          <w:szCs w:val="22"/>
        </w:rPr>
        <w:t xml:space="preserve">Jeigu pasireiškė šalutinis poveikis, įskaitant šiame lapelyje nenurodytą, pasakykite gydytojui, vaistininkui arba slaugytojai. Apie šalutinį poveikį taip pat galite pranešti Valstybinei vaistų kontrolės tarnybai prie Lietuvos Respublikos sveikatos apsaugos ministerijos nemokamu telefonu 8 800 73568 arba užpildyti interneto svetainėje </w:t>
      </w:r>
      <w:hyperlink r:id="rId16" w:history="1">
        <w:r w:rsidRPr="00BA3FBD">
          <w:rPr>
            <w:rStyle w:val="Hipersaitas"/>
            <w:sz w:val="22"/>
            <w:szCs w:val="22"/>
          </w:rPr>
          <w:t>www.vvkt.lt</w:t>
        </w:r>
      </w:hyperlink>
      <w:r w:rsidRPr="00BA3FBD">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7" w:history="1">
        <w:r w:rsidRPr="00BA3FBD">
          <w:rPr>
            <w:rStyle w:val="Hipersaitas"/>
            <w:sz w:val="22"/>
            <w:szCs w:val="22"/>
          </w:rPr>
          <w:t>NepageidaujamaR@vvkt.lt</w:t>
        </w:r>
      </w:hyperlink>
      <w:r w:rsidRPr="00BA3FBD">
        <w:rPr>
          <w:sz w:val="22"/>
          <w:szCs w:val="22"/>
        </w:rPr>
        <w:t xml:space="preserve">, taip pat per Valstybinės vaistų kontrolės tarnybos prie Lietuvos Respublikos sveikatos apsaugos ministerijos interneto svetainę (adresu </w:t>
      </w:r>
      <w:hyperlink r:id="rId18" w:history="1">
        <w:r w:rsidRPr="00BA3FBD">
          <w:rPr>
            <w:rStyle w:val="Hipersaitas"/>
            <w:sz w:val="22"/>
            <w:szCs w:val="22"/>
          </w:rPr>
          <w:t>http://www.vvkt.lt</w:t>
        </w:r>
      </w:hyperlink>
      <w:r w:rsidRPr="00BA3FBD">
        <w:rPr>
          <w:sz w:val="22"/>
          <w:szCs w:val="22"/>
        </w:rPr>
        <w:t>). Pranešdami apie šalutinį poveikį galite mums padėti gauti daugiau informacijos apie šio vaisto saugumą.</w:t>
      </w:r>
    </w:p>
    <w:p w14:paraId="082A8CBA" w14:textId="77777777" w:rsidR="008A305D" w:rsidRPr="00BA3FBD" w:rsidRDefault="008A305D" w:rsidP="008A305D">
      <w:pPr>
        <w:autoSpaceDE w:val="0"/>
        <w:autoSpaceDN w:val="0"/>
        <w:adjustRightInd w:val="0"/>
        <w:rPr>
          <w:rFonts w:eastAsia="Calibri"/>
          <w:b/>
          <w:bCs/>
          <w:sz w:val="22"/>
          <w:szCs w:val="22"/>
        </w:rPr>
      </w:pPr>
    </w:p>
    <w:p w14:paraId="63655FC3" w14:textId="77777777" w:rsidR="008A305D" w:rsidRPr="00BA3FBD" w:rsidRDefault="008A305D" w:rsidP="008A305D">
      <w:pPr>
        <w:autoSpaceDE w:val="0"/>
        <w:autoSpaceDN w:val="0"/>
        <w:adjustRightInd w:val="0"/>
        <w:rPr>
          <w:rFonts w:eastAsia="Calibri"/>
          <w:sz w:val="22"/>
          <w:szCs w:val="22"/>
        </w:rPr>
      </w:pPr>
    </w:p>
    <w:p w14:paraId="4317A268" w14:textId="77777777" w:rsidR="008A305D" w:rsidRPr="00BA3FBD" w:rsidRDefault="008A305D" w:rsidP="008A305D">
      <w:pPr>
        <w:pStyle w:val="Sraopastraipa"/>
        <w:numPr>
          <w:ilvl w:val="0"/>
          <w:numId w:val="6"/>
        </w:numPr>
        <w:autoSpaceDE w:val="0"/>
        <w:autoSpaceDN w:val="0"/>
        <w:adjustRightInd w:val="0"/>
        <w:ind w:left="567" w:hanging="567"/>
        <w:rPr>
          <w:rFonts w:eastAsia="Calibri"/>
          <w:b/>
          <w:sz w:val="22"/>
          <w:szCs w:val="22"/>
        </w:rPr>
      </w:pPr>
      <w:r w:rsidRPr="00BA3FBD">
        <w:rPr>
          <w:rFonts w:eastAsia="Calibri"/>
          <w:b/>
          <w:bCs/>
          <w:sz w:val="22"/>
          <w:szCs w:val="22"/>
        </w:rPr>
        <w:t xml:space="preserve">Kaip laikyti Imatinib Actavis Group </w:t>
      </w:r>
    </w:p>
    <w:p w14:paraId="7CBE53E2" w14:textId="77777777" w:rsidR="008A305D" w:rsidRPr="00BA3FBD" w:rsidRDefault="008A305D" w:rsidP="008A305D">
      <w:pPr>
        <w:autoSpaceDE w:val="0"/>
        <w:autoSpaceDN w:val="0"/>
        <w:adjustRightInd w:val="0"/>
        <w:spacing w:after="38"/>
        <w:rPr>
          <w:rFonts w:eastAsia="Calibri"/>
          <w:sz w:val="22"/>
          <w:szCs w:val="22"/>
        </w:rPr>
      </w:pPr>
    </w:p>
    <w:p w14:paraId="2CA4F8B8" w14:textId="77777777" w:rsidR="008A305D" w:rsidRDefault="008A305D" w:rsidP="008A305D">
      <w:pPr>
        <w:autoSpaceDE w:val="0"/>
        <w:autoSpaceDN w:val="0"/>
        <w:adjustRightInd w:val="0"/>
        <w:rPr>
          <w:rFonts w:eastAsia="Calibri"/>
          <w:sz w:val="22"/>
          <w:szCs w:val="22"/>
        </w:rPr>
      </w:pPr>
      <w:r w:rsidRPr="00BA3FBD">
        <w:rPr>
          <w:rFonts w:eastAsia="Calibri"/>
          <w:sz w:val="22"/>
          <w:szCs w:val="22"/>
        </w:rPr>
        <w:t xml:space="preserve">Šį vaistą laikykite vaikams nepastebimoje ir nepasiekiamoje vietoje. </w:t>
      </w:r>
    </w:p>
    <w:p w14:paraId="4FE668CF" w14:textId="77777777" w:rsidR="008A305D" w:rsidRPr="00BA3FBD" w:rsidRDefault="008A305D" w:rsidP="008A305D">
      <w:pPr>
        <w:rPr>
          <w:sz w:val="22"/>
          <w:szCs w:val="22"/>
        </w:rPr>
      </w:pPr>
      <w:r w:rsidRPr="00BA3FBD">
        <w:rPr>
          <w:rFonts w:eastAsia="Calibri"/>
          <w:sz w:val="22"/>
          <w:szCs w:val="22"/>
        </w:rPr>
        <w:t xml:space="preserve">Ant dėžutės ir lizdinės plokštelės po “Tinka iki/EXP” nurodytam tinkamumo laikui pasibaigus, šio vaisto vartoti negalima. </w:t>
      </w:r>
      <w:r w:rsidRPr="00BA3FBD">
        <w:rPr>
          <w:sz w:val="22"/>
          <w:szCs w:val="22"/>
        </w:rPr>
        <w:t>Vaistas tinkamas vartoti iki paskutinės nurodyto mėnesio dienos.</w:t>
      </w:r>
    </w:p>
    <w:p w14:paraId="554FAF5B" w14:textId="77777777" w:rsidR="008A305D" w:rsidRDefault="008A305D" w:rsidP="008A305D">
      <w:pPr>
        <w:autoSpaceDE w:val="0"/>
        <w:autoSpaceDN w:val="0"/>
        <w:adjustRightInd w:val="0"/>
        <w:rPr>
          <w:rFonts w:eastAsia="Calibri"/>
          <w:sz w:val="22"/>
          <w:szCs w:val="22"/>
        </w:rPr>
      </w:pPr>
      <w:r w:rsidRPr="00BA3FBD">
        <w:rPr>
          <w:rFonts w:eastAsia="Calibri"/>
          <w:sz w:val="22"/>
          <w:szCs w:val="22"/>
        </w:rPr>
        <w:t>Šiam vaistui specialių laikymo sąlygų nereikia.</w:t>
      </w:r>
    </w:p>
    <w:p w14:paraId="6D070DF2"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Negalima vartoti vaisto iš pakuotės, kuri yra pažeista ar yra sugedimo požymių. </w:t>
      </w:r>
    </w:p>
    <w:p w14:paraId="42AEFF97" w14:textId="77777777" w:rsidR="008A305D" w:rsidRPr="00BA3FBD" w:rsidRDefault="008A305D" w:rsidP="008A305D">
      <w:pPr>
        <w:autoSpaceDE w:val="0"/>
        <w:autoSpaceDN w:val="0"/>
        <w:adjustRightInd w:val="0"/>
        <w:rPr>
          <w:sz w:val="22"/>
          <w:szCs w:val="22"/>
        </w:rPr>
      </w:pPr>
    </w:p>
    <w:p w14:paraId="4E90154D" w14:textId="77777777" w:rsidR="008A305D" w:rsidRPr="00BA3FBD" w:rsidRDefault="008A305D" w:rsidP="008A305D">
      <w:pPr>
        <w:autoSpaceDE w:val="0"/>
        <w:autoSpaceDN w:val="0"/>
        <w:adjustRightInd w:val="0"/>
        <w:rPr>
          <w:rFonts w:eastAsia="Calibri"/>
          <w:sz w:val="22"/>
          <w:szCs w:val="22"/>
        </w:rPr>
      </w:pPr>
      <w:r w:rsidRPr="00BA3FBD">
        <w:rPr>
          <w:sz w:val="22"/>
          <w:szCs w:val="22"/>
        </w:rPr>
        <w:t>Vaistų negalima išmesti į kanalizaciją arba su buitinėmis atliekomis. Kaip išmesti nereikalingus vaistus, klauskite vaistininko. Šios priemonės padės apsaugoti aplinką.</w:t>
      </w:r>
    </w:p>
    <w:p w14:paraId="088E15D3" w14:textId="77777777" w:rsidR="008A305D" w:rsidRPr="00BA3FBD" w:rsidRDefault="008A305D" w:rsidP="008A305D">
      <w:pPr>
        <w:autoSpaceDE w:val="0"/>
        <w:autoSpaceDN w:val="0"/>
        <w:adjustRightInd w:val="0"/>
        <w:rPr>
          <w:rFonts w:eastAsia="Calibri"/>
          <w:sz w:val="22"/>
          <w:szCs w:val="22"/>
        </w:rPr>
      </w:pPr>
    </w:p>
    <w:p w14:paraId="4DE7F3E0" w14:textId="77777777" w:rsidR="008A305D" w:rsidRPr="00BA3FBD" w:rsidRDefault="008A305D" w:rsidP="008A305D">
      <w:pPr>
        <w:autoSpaceDE w:val="0"/>
        <w:autoSpaceDN w:val="0"/>
        <w:adjustRightInd w:val="0"/>
        <w:rPr>
          <w:rFonts w:eastAsia="Calibri"/>
          <w:sz w:val="22"/>
          <w:szCs w:val="22"/>
        </w:rPr>
      </w:pPr>
    </w:p>
    <w:p w14:paraId="5683C95E" w14:textId="77777777" w:rsidR="008A305D" w:rsidRPr="00BA3FBD" w:rsidRDefault="008A305D" w:rsidP="008A305D">
      <w:pPr>
        <w:pStyle w:val="Sraopastraipa"/>
        <w:numPr>
          <w:ilvl w:val="0"/>
          <w:numId w:val="6"/>
        </w:numPr>
        <w:autoSpaceDE w:val="0"/>
        <w:autoSpaceDN w:val="0"/>
        <w:adjustRightInd w:val="0"/>
        <w:ind w:left="567" w:hanging="567"/>
        <w:rPr>
          <w:rFonts w:eastAsia="Calibri"/>
          <w:sz w:val="22"/>
          <w:szCs w:val="22"/>
        </w:rPr>
      </w:pPr>
      <w:r w:rsidRPr="00BA3FBD">
        <w:rPr>
          <w:rFonts w:eastAsia="Calibri"/>
          <w:b/>
          <w:bCs/>
          <w:sz w:val="22"/>
          <w:szCs w:val="22"/>
        </w:rPr>
        <w:t xml:space="preserve">Pakuotės turinys ir kita informacija </w:t>
      </w:r>
    </w:p>
    <w:p w14:paraId="18D0F1B1" w14:textId="77777777" w:rsidR="008A305D" w:rsidRPr="00BA3FBD" w:rsidRDefault="008A305D" w:rsidP="008A305D">
      <w:pPr>
        <w:autoSpaceDE w:val="0"/>
        <w:autoSpaceDN w:val="0"/>
        <w:adjustRightInd w:val="0"/>
        <w:rPr>
          <w:rFonts w:eastAsia="Calibri"/>
          <w:sz w:val="22"/>
          <w:szCs w:val="22"/>
        </w:rPr>
      </w:pPr>
    </w:p>
    <w:p w14:paraId="22D4E546" w14:textId="77777777" w:rsidR="008A305D" w:rsidRPr="00BA3FBD" w:rsidRDefault="008A305D" w:rsidP="008A305D">
      <w:pPr>
        <w:autoSpaceDE w:val="0"/>
        <w:autoSpaceDN w:val="0"/>
        <w:adjustRightInd w:val="0"/>
        <w:rPr>
          <w:rFonts w:eastAsia="Calibri"/>
          <w:b/>
          <w:bCs/>
          <w:sz w:val="22"/>
          <w:szCs w:val="22"/>
        </w:rPr>
      </w:pPr>
      <w:r w:rsidRPr="00BA3FBD">
        <w:rPr>
          <w:rFonts w:eastAsia="Calibri"/>
          <w:b/>
          <w:bCs/>
          <w:sz w:val="22"/>
          <w:szCs w:val="22"/>
        </w:rPr>
        <w:lastRenderedPageBreak/>
        <w:t xml:space="preserve">Imatinib Actavis Group sudėtis </w:t>
      </w:r>
    </w:p>
    <w:p w14:paraId="5C6C7D54" w14:textId="77777777" w:rsidR="008A305D" w:rsidRPr="00BA3FBD" w:rsidRDefault="008A305D" w:rsidP="008A305D">
      <w:pPr>
        <w:autoSpaceDE w:val="0"/>
        <w:autoSpaceDN w:val="0"/>
        <w:adjustRightInd w:val="0"/>
        <w:ind w:left="720" w:hanging="720"/>
        <w:rPr>
          <w:rFonts w:eastAsia="Calibri"/>
          <w:sz w:val="22"/>
          <w:szCs w:val="22"/>
        </w:rPr>
      </w:pPr>
      <w:r w:rsidRPr="00BA3FBD">
        <w:rPr>
          <w:rFonts w:eastAsia="Calibri"/>
          <w:sz w:val="22"/>
          <w:szCs w:val="22"/>
        </w:rPr>
        <w:t>-</w:t>
      </w:r>
      <w:r w:rsidRPr="00BA3FBD">
        <w:rPr>
          <w:rFonts w:eastAsia="Calibri"/>
          <w:sz w:val="22"/>
          <w:szCs w:val="22"/>
        </w:rPr>
        <w:tab/>
        <w:t>Veiklioji medžiaga yra imatinib</w:t>
      </w:r>
      <w:r>
        <w:rPr>
          <w:rFonts w:eastAsia="Calibri"/>
          <w:sz w:val="22"/>
          <w:szCs w:val="22"/>
        </w:rPr>
        <w:t>as</w:t>
      </w:r>
      <w:r w:rsidRPr="00BA3FBD">
        <w:rPr>
          <w:rFonts w:eastAsia="Calibri"/>
          <w:sz w:val="22"/>
          <w:szCs w:val="22"/>
        </w:rPr>
        <w:t xml:space="preserve"> </w:t>
      </w:r>
      <w:r>
        <w:rPr>
          <w:rFonts w:eastAsia="Calibri"/>
          <w:sz w:val="22"/>
          <w:szCs w:val="22"/>
        </w:rPr>
        <w:t>(</w:t>
      </w:r>
      <w:r w:rsidRPr="00BA3FBD">
        <w:rPr>
          <w:rFonts w:eastAsia="Calibri"/>
          <w:sz w:val="22"/>
          <w:szCs w:val="22"/>
        </w:rPr>
        <w:t>mesilat</w:t>
      </w:r>
      <w:r>
        <w:rPr>
          <w:rFonts w:eastAsia="Calibri"/>
          <w:sz w:val="22"/>
          <w:szCs w:val="22"/>
        </w:rPr>
        <w:t>o pavidalu)</w:t>
      </w:r>
      <w:r w:rsidRPr="00BA3FBD">
        <w:rPr>
          <w:rFonts w:eastAsia="Calibri"/>
          <w:sz w:val="22"/>
          <w:szCs w:val="22"/>
        </w:rPr>
        <w:t xml:space="preserve">. Kiekvienoje plėvele dengtoje tabletėje yra 239 mg imatinibo mesilato, kas atitinka 200 mg imatinibo. </w:t>
      </w:r>
    </w:p>
    <w:p w14:paraId="4910E39F" w14:textId="77777777" w:rsidR="008A305D" w:rsidRPr="00BA3FBD" w:rsidRDefault="008A305D" w:rsidP="008A305D">
      <w:pPr>
        <w:autoSpaceDE w:val="0"/>
        <w:autoSpaceDN w:val="0"/>
        <w:adjustRightInd w:val="0"/>
        <w:ind w:left="720" w:hanging="720"/>
        <w:rPr>
          <w:rFonts w:eastAsia="Calibri"/>
          <w:sz w:val="22"/>
          <w:szCs w:val="22"/>
        </w:rPr>
      </w:pPr>
      <w:r w:rsidRPr="00BA3FBD">
        <w:rPr>
          <w:rFonts w:eastAsia="Calibri"/>
          <w:sz w:val="22"/>
          <w:szCs w:val="22"/>
        </w:rPr>
        <w:t>-</w:t>
      </w:r>
      <w:r w:rsidRPr="00BA3FBD">
        <w:rPr>
          <w:rFonts w:eastAsia="Calibri"/>
          <w:sz w:val="22"/>
          <w:szCs w:val="22"/>
        </w:rPr>
        <w:tab/>
        <w:t>Pagalbinės medžiagos yra hipromeliozė</w:t>
      </w:r>
      <w:r>
        <w:rPr>
          <w:rFonts w:eastAsia="Calibri"/>
          <w:sz w:val="22"/>
          <w:szCs w:val="22"/>
        </w:rPr>
        <w:t xml:space="preserve"> (E464)</w:t>
      </w:r>
      <w:r w:rsidRPr="00BA3FBD">
        <w:rPr>
          <w:rFonts w:eastAsia="Calibri"/>
          <w:sz w:val="22"/>
          <w:szCs w:val="22"/>
        </w:rPr>
        <w:t xml:space="preserve">, mikrokristalinė celiuliozė, laktozė monohidratas, krospovidonas, koloidinis bevandenis silicio dioksidas, magnio stearatas, makrogolis (E1521), talkas (E553b), geltonasis geležies oksidas (E172) ir raudonasis geležies oksidas (E172). </w:t>
      </w:r>
    </w:p>
    <w:p w14:paraId="27F91804" w14:textId="77777777" w:rsidR="008A305D" w:rsidRPr="00BA3FBD" w:rsidRDefault="008A305D" w:rsidP="008A305D">
      <w:pPr>
        <w:autoSpaceDE w:val="0"/>
        <w:autoSpaceDN w:val="0"/>
        <w:adjustRightInd w:val="0"/>
        <w:ind w:left="720" w:hanging="720"/>
        <w:rPr>
          <w:rFonts w:eastAsia="Calibri"/>
          <w:color w:val="000000"/>
          <w:sz w:val="22"/>
          <w:szCs w:val="22"/>
        </w:rPr>
      </w:pPr>
    </w:p>
    <w:p w14:paraId="1A1B0F59"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Imatinib Actavis Group išvaizda ir kiekis pakuotėje </w:t>
      </w:r>
    </w:p>
    <w:p w14:paraId="1B287E29" w14:textId="77777777" w:rsidR="008A305D" w:rsidRPr="00BA3FBD" w:rsidRDefault="008A305D" w:rsidP="008A305D">
      <w:pPr>
        <w:pStyle w:val="Default"/>
        <w:rPr>
          <w:rFonts w:ascii="Times New Roman" w:hAnsi="Times New Roman" w:cs="Times New Roman"/>
          <w:color w:val="auto"/>
          <w:sz w:val="22"/>
          <w:szCs w:val="22"/>
          <w:lang w:val="lt-LT"/>
        </w:rPr>
      </w:pPr>
      <w:r w:rsidRPr="00BA3FBD">
        <w:rPr>
          <w:rFonts w:ascii="Times New Roman" w:hAnsi="Times New Roman" w:cs="Times New Roman"/>
          <w:color w:val="auto"/>
          <w:sz w:val="22"/>
          <w:szCs w:val="22"/>
          <w:lang w:val="lt-LT"/>
        </w:rPr>
        <w:t>Rusvai oranžinės spalvos, ovali</w:t>
      </w:r>
      <w:r>
        <w:rPr>
          <w:rFonts w:ascii="Times New Roman" w:hAnsi="Times New Roman" w:cs="Times New Roman"/>
          <w:color w:val="auto"/>
          <w:sz w:val="22"/>
          <w:szCs w:val="22"/>
          <w:lang w:val="lt-LT"/>
        </w:rPr>
        <w:t>os</w:t>
      </w:r>
      <w:r w:rsidRPr="00BA3FBD">
        <w:rPr>
          <w:rFonts w:ascii="Times New Roman" w:hAnsi="Times New Roman" w:cs="Times New Roman"/>
          <w:color w:val="auto"/>
          <w:sz w:val="22"/>
          <w:szCs w:val="22"/>
          <w:lang w:val="lt-LT"/>
        </w:rPr>
        <w:t xml:space="preserve">, </w:t>
      </w:r>
      <w:r>
        <w:rPr>
          <w:rFonts w:ascii="Times New Roman" w:hAnsi="Times New Roman" w:cs="Times New Roman"/>
          <w:color w:val="auto"/>
          <w:sz w:val="22"/>
          <w:szCs w:val="22"/>
          <w:lang w:val="lt-LT"/>
        </w:rPr>
        <w:t>17</w:t>
      </w:r>
      <w:r w:rsidRPr="00BA3FBD">
        <w:rPr>
          <w:rFonts w:ascii="Times New Roman" w:hAnsi="Times New Roman" w:cs="Times New Roman"/>
          <w:color w:val="auto"/>
          <w:sz w:val="22"/>
          <w:szCs w:val="22"/>
          <w:lang w:val="lt-LT"/>
        </w:rPr>
        <w:t> mm ilgio ir 8 mm pločio, abipusiai išgaubt</w:t>
      </w:r>
      <w:r>
        <w:rPr>
          <w:rFonts w:ascii="Times New Roman" w:hAnsi="Times New Roman" w:cs="Times New Roman"/>
          <w:color w:val="auto"/>
          <w:sz w:val="22"/>
          <w:szCs w:val="22"/>
          <w:lang w:val="lt-LT"/>
        </w:rPr>
        <w:t>os</w:t>
      </w:r>
      <w:r w:rsidRPr="00BA3FBD">
        <w:rPr>
          <w:rFonts w:ascii="Times New Roman" w:hAnsi="Times New Roman" w:cs="Times New Roman"/>
          <w:color w:val="auto"/>
          <w:sz w:val="22"/>
          <w:szCs w:val="22"/>
          <w:lang w:val="lt-LT"/>
        </w:rPr>
        <w:t xml:space="preserve"> plėvele dengt</w:t>
      </w:r>
      <w:r>
        <w:rPr>
          <w:rFonts w:ascii="Times New Roman" w:hAnsi="Times New Roman" w:cs="Times New Roman"/>
          <w:color w:val="auto"/>
          <w:sz w:val="22"/>
          <w:szCs w:val="22"/>
          <w:lang w:val="lt-LT"/>
        </w:rPr>
        <w:t>os</w:t>
      </w:r>
      <w:r w:rsidRPr="00BA3FBD">
        <w:rPr>
          <w:rFonts w:ascii="Times New Roman" w:hAnsi="Times New Roman" w:cs="Times New Roman"/>
          <w:color w:val="auto"/>
          <w:sz w:val="22"/>
          <w:szCs w:val="22"/>
          <w:lang w:val="lt-LT"/>
        </w:rPr>
        <w:t xml:space="preserve"> tabletė</w:t>
      </w:r>
      <w:r>
        <w:rPr>
          <w:rFonts w:ascii="Times New Roman" w:hAnsi="Times New Roman" w:cs="Times New Roman"/>
          <w:color w:val="auto"/>
          <w:sz w:val="22"/>
          <w:szCs w:val="22"/>
          <w:lang w:val="lt-LT"/>
        </w:rPr>
        <w:t>s</w:t>
      </w:r>
      <w:r w:rsidRPr="00BA3FBD">
        <w:rPr>
          <w:rFonts w:ascii="Times New Roman" w:hAnsi="Times New Roman" w:cs="Times New Roman"/>
          <w:color w:val="auto"/>
          <w:sz w:val="22"/>
          <w:szCs w:val="22"/>
          <w:lang w:val="lt-LT"/>
        </w:rPr>
        <w:t xml:space="preserve"> su vagele vienoje pusėje ir žyme “200” kitoje.</w:t>
      </w:r>
    </w:p>
    <w:p w14:paraId="7B7CA08A" w14:textId="77777777" w:rsidR="008A305D" w:rsidRPr="00BA3FBD" w:rsidRDefault="008A305D" w:rsidP="008A305D">
      <w:pPr>
        <w:pStyle w:val="Default"/>
        <w:rPr>
          <w:rFonts w:ascii="Times New Roman" w:hAnsi="Times New Roman" w:cs="Times New Roman"/>
          <w:color w:val="auto"/>
          <w:sz w:val="22"/>
          <w:szCs w:val="22"/>
          <w:lang w:val="lt-LT"/>
        </w:rPr>
      </w:pPr>
    </w:p>
    <w:p w14:paraId="7727D06E" w14:textId="77777777" w:rsidR="008A305D" w:rsidRPr="00BA3FBD" w:rsidRDefault="008A305D" w:rsidP="008A305D">
      <w:pPr>
        <w:autoSpaceDE w:val="0"/>
        <w:autoSpaceDN w:val="0"/>
        <w:adjustRightInd w:val="0"/>
        <w:rPr>
          <w:rFonts w:eastAsia="Calibri"/>
          <w:i/>
          <w:sz w:val="22"/>
          <w:szCs w:val="22"/>
        </w:rPr>
      </w:pPr>
      <w:r w:rsidRPr="00BA3FBD">
        <w:rPr>
          <w:rFonts w:eastAsia="Calibri"/>
          <w:i/>
          <w:sz w:val="22"/>
          <w:szCs w:val="22"/>
        </w:rPr>
        <w:t>Pakuočių dydžiai:</w:t>
      </w:r>
    </w:p>
    <w:p w14:paraId="4D74075E" w14:textId="77777777" w:rsidR="008A305D" w:rsidRPr="00BA3FBD" w:rsidRDefault="008A305D" w:rsidP="008A305D">
      <w:pPr>
        <w:autoSpaceDE w:val="0"/>
        <w:autoSpaceDN w:val="0"/>
        <w:adjustRightInd w:val="0"/>
        <w:rPr>
          <w:rFonts w:eastAsia="Calibri"/>
          <w:sz w:val="22"/>
          <w:szCs w:val="22"/>
        </w:rPr>
      </w:pPr>
      <w:r w:rsidRPr="00BA3FBD">
        <w:rPr>
          <w:sz w:val="22"/>
          <w:szCs w:val="22"/>
        </w:rPr>
        <w:t xml:space="preserve">Plėvele dengtos tabletės supakuotos į lizdines plokšteles, po 30, 60, 90 ir 120 </w:t>
      </w:r>
      <w:r>
        <w:rPr>
          <w:sz w:val="22"/>
          <w:szCs w:val="22"/>
        </w:rPr>
        <w:t xml:space="preserve">plėvele dengtų </w:t>
      </w:r>
      <w:r w:rsidRPr="00BA3FBD">
        <w:rPr>
          <w:sz w:val="22"/>
          <w:szCs w:val="22"/>
        </w:rPr>
        <w:t>tablečių pakuotėje.</w:t>
      </w:r>
    </w:p>
    <w:p w14:paraId="774B8147" w14:textId="77777777" w:rsidR="008A305D" w:rsidRPr="00BA3FBD" w:rsidRDefault="008A305D" w:rsidP="008A305D">
      <w:pPr>
        <w:autoSpaceDE w:val="0"/>
        <w:autoSpaceDN w:val="0"/>
        <w:adjustRightInd w:val="0"/>
        <w:rPr>
          <w:rFonts w:eastAsia="Calibri"/>
          <w:sz w:val="22"/>
          <w:szCs w:val="22"/>
        </w:rPr>
      </w:pPr>
    </w:p>
    <w:p w14:paraId="26AB82B8"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Gali būti tiekiamos ne visų dydžių pakuotės.</w:t>
      </w:r>
    </w:p>
    <w:p w14:paraId="1CC2A556" w14:textId="77777777" w:rsidR="008A305D" w:rsidRPr="00BA3FBD" w:rsidRDefault="008A305D" w:rsidP="008A305D">
      <w:pPr>
        <w:pStyle w:val="Default"/>
        <w:rPr>
          <w:rFonts w:ascii="Times New Roman" w:hAnsi="Times New Roman" w:cs="Times New Roman"/>
          <w:color w:val="auto"/>
          <w:sz w:val="22"/>
          <w:szCs w:val="22"/>
          <w:lang w:val="lt-LT"/>
        </w:rPr>
      </w:pPr>
    </w:p>
    <w:p w14:paraId="724D9B92" w14:textId="77777777" w:rsidR="008A305D" w:rsidRPr="00BA3FBD" w:rsidRDefault="008A305D" w:rsidP="008A305D">
      <w:pPr>
        <w:autoSpaceDE w:val="0"/>
        <w:autoSpaceDN w:val="0"/>
        <w:adjustRightInd w:val="0"/>
        <w:rPr>
          <w:rFonts w:eastAsia="Calibri"/>
          <w:b/>
          <w:bCs/>
          <w:sz w:val="22"/>
          <w:szCs w:val="22"/>
        </w:rPr>
      </w:pPr>
      <w:r w:rsidRPr="00BA3FBD">
        <w:rPr>
          <w:rFonts w:eastAsia="Calibri"/>
          <w:b/>
          <w:bCs/>
          <w:sz w:val="22"/>
          <w:szCs w:val="22"/>
        </w:rPr>
        <w:t>Registruotojas ir gamintojas</w:t>
      </w:r>
    </w:p>
    <w:p w14:paraId="26562D3F" w14:textId="77777777" w:rsidR="008A305D" w:rsidRPr="00BA3FBD" w:rsidRDefault="008A305D" w:rsidP="008A305D">
      <w:pPr>
        <w:autoSpaceDE w:val="0"/>
        <w:autoSpaceDN w:val="0"/>
        <w:adjustRightInd w:val="0"/>
        <w:rPr>
          <w:rFonts w:eastAsia="Calibri"/>
          <w:b/>
          <w:bCs/>
          <w:sz w:val="22"/>
          <w:szCs w:val="22"/>
        </w:rPr>
      </w:pPr>
    </w:p>
    <w:p w14:paraId="53129171" w14:textId="77777777" w:rsidR="008A305D" w:rsidRPr="00BA3FBD" w:rsidRDefault="008A305D" w:rsidP="008A305D">
      <w:pPr>
        <w:autoSpaceDE w:val="0"/>
        <w:autoSpaceDN w:val="0"/>
        <w:adjustRightInd w:val="0"/>
        <w:rPr>
          <w:rFonts w:eastAsia="Calibri"/>
          <w:i/>
          <w:sz w:val="22"/>
          <w:szCs w:val="22"/>
        </w:rPr>
      </w:pPr>
      <w:r w:rsidRPr="00BA3FBD">
        <w:rPr>
          <w:rFonts w:eastAsia="Calibri"/>
          <w:bCs/>
          <w:i/>
          <w:sz w:val="22"/>
          <w:szCs w:val="22"/>
        </w:rPr>
        <w:t>Registruotojas</w:t>
      </w:r>
    </w:p>
    <w:p w14:paraId="0A6287CD" w14:textId="77777777" w:rsidR="008A305D" w:rsidRPr="00BA3FBD" w:rsidRDefault="008A305D" w:rsidP="008A305D">
      <w:pPr>
        <w:autoSpaceDE w:val="0"/>
        <w:autoSpaceDN w:val="0"/>
        <w:adjustRightInd w:val="0"/>
        <w:rPr>
          <w:sz w:val="22"/>
          <w:szCs w:val="22"/>
        </w:rPr>
      </w:pPr>
      <w:r w:rsidRPr="00BA3FBD">
        <w:rPr>
          <w:sz w:val="22"/>
          <w:szCs w:val="22"/>
        </w:rPr>
        <w:t>Actavis Group PTC ehf.</w:t>
      </w:r>
    </w:p>
    <w:p w14:paraId="01007E98" w14:textId="77777777" w:rsidR="008A305D" w:rsidRPr="00BA3FBD" w:rsidRDefault="008A305D" w:rsidP="008A305D">
      <w:pPr>
        <w:autoSpaceDE w:val="0"/>
        <w:autoSpaceDN w:val="0"/>
        <w:adjustRightInd w:val="0"/>
        <w:rPr>
          <w:sz w:val="22"/>
          <w:szCs w:val="22"/>
        </w:rPr>
      </w:pPr>
      <w:r w:rsidRPr="00BA3FBD">
        <w:rPr>
          <w:sz w:val="22"/>
          <w:szCs w:val="22"/>
        </w:rPr>
        <w:t>Reykjavíkurvegi 76-78</w:t>
      </w:r>
    </w:p>
    <w:p w14:paraId="0B054CC3" w14:textId="77777777" w:rsidR="008A305D" w:rsidRPr="00BA3FBD" w:rsidRDefault="008A305D" w:rsidP="008A305D">
      <w:pPr>
        <w:autoSpaceDE w:val="0"/>
        <w:autoSpaceDN w:val="0"/>
        <w:adjustRightInd w:val="0"/>
        <w:rPr>
          <w:sz w:val="22"/>
          <w:szCs w:val="22"/>
        </w:rPr>
      </w:pPr>
      <w:r w:rsidRPr="00BA3FBD">
        <w:rPr>
          <w:sz w:val="22"/>
          <w:szCs w:val="22"/>
        </w:rPr>
        <w:t>220 Hafnarfjörður</w:t>
      </w:r>
    </w:p>
    <w:p w14:paraId="655E8983" w14:textId="77777777" w:rsidR="008A305D" w:rsidRPr="00BA3FBD" w:rsidRDefault="008A305D" w:rsidP="008A305D">
      <w:pPr>
        <w:autoSpaceDE w:val="0"/>
        <w:autoSpaceDN w:val="0"/>
        <w:adjustRightInd w:val="0"/>
        <w:rPr>
          <w:sz w:val="22"/>
          <w:szCs w:val="22"/>
        </w:rPr>
      </w:pPr>
      <w:r w:rsidRPr="00BA3FBD">
        <w:rPr>
          <w:sz w:val="22"/>
          <w:szCs w:val="22"/>
        </w:rPr>
        <w:t>Islandija</w:t>
      </w:r>
    </w:p>
    <w:p w14:paraId="76CE6687" w14:textId="77777777" w:rsidR="008A305D" w:rsidRPr="00BA3FBD" w:rsidRDefault="008A305D" w:rsidP="008A305D">
      <w:pPr>
        <w:autoSpaceDE w:val="0"/>
        <w:autoSpaceDN w:val="0"/>
        <w:adjustRightInd w:val="0"/>
        <w:rPr>
          <w:rFonts w:eastAsia="Calibri"/>
          <w:b/>
          <w:bCs/>
          <w:sz w:val="22"/>
          <w:szCs w:val="22"/>
        </w:rPr>
      </w:pPr>
    </w:p>
    <w:p w14:paraId="67403BE8" w14:textId="77777777" w:rsidR="008A305D" w:rsidRPr="00BA3FBD" w:rsidRDefault="008A305D" w:rsidP="008A305D">
      <w:pPr>
        <w:autoSpaceDE w:val="0"/>
        <w:autoSpaceDN w:val="0"/>
        <w:adjustRightInd w:val="0"/>
        <w:rPr>
          <w:rFonts w:eastAsia="Calibri"/>
          <w:i/>
          <w:sz w:val="22"/>
          <w:szCs w:val="22"/>
        </w:rPr>
      </w:pPr>
      <w:r w:rsidRPr="00BA3FBD">
        <w:rPr>
          <w:rFonts w:eastAsia="Calibri"/>
          <w:bCs/>
          <w:i/>
          <w:sz w:val="22"/>
          <w:szCs w:val="22"/>
        </w:rPr>
        <w:t xml:space="preserve">Gamintojas </w:t>
      </w:r>
    </w:p>
    <w:p w14:paraId="26471EA8" w14:textId="77777777" w:rsidR="008A305D" w:rsidRPr="00BA3FBD" w:rsidRDefault="008A305D" w:rsidP="008A305D">
      <w:pPr>
        <w:autoSpaceDE w:val="0"/>
        <w:autoSpaceDN w:val="0"/>
        <w:adjustRightInd w:val="0"/>
        <w:rPr>
          <w:sz w:val="22"/>
          <w:szCs w:val="22"/>
        </w:rPr>
      </w:pPr>
      <w:r w:rsidRPr="00BA3FBD">
        <w:rPr>
          <w:sz w:val="22"/>
          <w:szCs w:val="22"/>
        </w:rPr>
        <w:t>Actavis Group PTC ehf.</w:t>
      </w:r>
    </w:p>
    <w:p w14:paraId="116FD1AD" w14:textId="77777777" w:rsidR="008A305D" w:rsidRPr="00BA3FBD" w:rsidRDefault="008A305D" w:rsidP="008A305D">
      <w:pPr>
        <w:autoSpaceDE w:val="0"/>
        <w:autoSpaceDN w:val="0"/>
        <w:adjustRightInd w:val="0"/>
        <w:rPr>
          <w:sz w:val="22"/>
          <w:szCs w:val="22"/>
        </w:rPr>
      </w:pPr>
      <w:r w:rsidRPr="00BA3FBD">
        <w:rPr>
          <w:sz w:val="22"/>
          <w:szCs w:val="22"/>
        </w:rPr>
        <w:t>Reykjavíkurvegur 76-78</w:t>
      </w:r>
    </w:p>
    <w:p w14:paraId="09CB87A2" w14:textId="77777777" w:rsidR="008A305D" w:rsidRPr="00BA3FBD" w:rsidRDefault="008A305D" w:rsidP="008A305D">
      <w:pPr>
        <w:autoSpaceDE w:val="0"/>
        <w:autoSpaceDN w:val="0"/>
        <w:adjustRightInd w:val="0"/>
        <w:rPr>
          <w:sz w:val="22"/>
          <w:szCs w:val="22"/>
        </w:rPr>
      </w:pPr>
      <w:r w:rsidRPr="00BA3FBD">
        <w:rPr>
          <w:sz w:val="22"/>
          <w:szCs w:val="22"/>
        </w:rPr>
        <w:t>IS-220 Hafnarfjörður</w:t>
      </w:r>
    </w:p>
    <w:p w14:paraId="601F04A7" w14:textId="77777777" w:rsidR="008A305D" w:rsidRPr="00BA3FBD" w:rsidRDefault="008A305D" w:rsidP="008A305D">
      <w:pPr>
        <w:autoSpaceDE w:val="0"/>
        <w:autoSpaceDN w:val="0"/>
        <w:adjustRightInd w:val="0"/>
        <w:rPr>
          <w:sz w:val="22"/>
          <w:szCs w:val="22"/>
        </w:rPr>
      </w:pPr>
      <w:r w:rsidRPr="00BA3FBD">
        <w:rPr>
          <w:sz w:val="22"/>
          <w:szCs w:val="22"/>
        </w:rPr>
        <w:t>Islandija</w:t>
      </w:r>
    </w:p>
    <w:p w14:paraId="21025A5B" w14:textId="77777777" w:rsidR="008A305D" w:rsidRPr="00BA3FBD" w:rsidRDefault="008A305D" w:rsidP="008A305D">
      <w:pPr>
        <w:numPr>
          <w:ilvl w:val="12"/>
          <w:numId w:val="0"/>
        </w:numPr>
        <w:ind w:right="-2"/>
        <w:rPr>
          <w:sz w:val="22"/>
          <w:szCs w:val="22"/>
        </w:rPr>
      </w:pPr>
    </w:p>
    <w:p w14:paraId="725106CF" w14:textId="77777777" w:rsidR="008A305D" w:rsidRPr="00BA3FBD" w:rsidRDefault="008A305D" w:rsidP="008A305D">
      <w:pPr>
        <w:numPr>
          <w:ilvl w:val="12"/>
          <w:numId w:val="0"/>
        </w:numPr>
        <w:ind w:right="-2"/>
        <w:rPr>
          <w:sz w:val="22"/>
          <w:szCs w:val="22"/>
        </w:rPr>
      </w:pPr>
      <w:r w:rsidRPr="00BA3FBD">
        <w:rPr>
          <w:sz w:val="22"/>
          <w:szCs w:val="22"/>
        </w:rPr>
        <w:t>Jeigu apie šį vaistą norite sužinoti daugiau, kreipkitės į vietinį registruotojo atstovą.</w:t>
      </w:r>
    </w:p>
    <w:p w14:paraId="297F246B" w14:textId="77777777" w:rsidR="008A305D" w:rsidRPr="00BA3FBD" w:rsidRDefault="008A305D" w:rsidP="008A305D">
      <w:pPr>
        <w:numPr>
          <w:ilvl w:val="12"/>
          <w:numId w:val="0"/>
        </w:numPr>
        <w:ind w:right="-2"/>
        <w:rPr>
          <w:sz w:val="22"/>
          <w:szCs w:val="22"/>
        </w:rPr>
      </w:pPr>
      <w:r w:rsidRPr="00BA3FBD">
        <w:rPr>
          <w:sz w:val="22"/>
          <w:szCs w:val="22"/>
        </w:rPr>
        <w:t>UAB „Actavis Baltics“</w:t>
      </w:r>
    </w:p>
    <w:p w14:paraId="0DA4E209" w14:textId="77777777" w:rsidR="008A305D" w:rsidRPr="00BA3FBD" w:rsidRDefault="008A305D" w:rsidP="008A305D">
      <w:pPr>
        <w:numPr>
          <w:ilvl w:val="12"/>
          <w:numId w:val="0"/>
        </w:numPr>
        <w:ind w:right="-2"/>
        <w:rPr>
          <w:sz w:val="22"/>
          <w:szCs w:val="22"/>
        </w:rPr>
      </w:pPr>
      <w:r w:rsidRPr="00BA3FBD">
        <w:rPr>
          <w:sz w:val="22"/>
          <w:szCs w:val="22"/>
        </w:rPr>
        <w:t>Senasis Ukmergės kelias 4</w:t>
      </w:r>
    </w:p>
    <w:p w14:paraId="0980197D" w14:textId="77777777" w:rsidR="008A305D" w:rsidRPr="00BA3FBD" w:rsidRDefault="008A305D" w:rsidP="008A305D">
      <w:pPr>
        <w:numPr>
          <w:ilvl w:val="12"/>
          <w:numId w:val="0"/>
        </w:numPr>
        <w:ind w:right="-2"/>
        <w:rPr>
          <w:sz w:val="22"/>
          <w:szCs w:val="22"/>
        </w:rPr>
      </w:pPr>
      <w:r w:rsidRPr="00BA3FBD">
        <w:rPr>
          <w:sz w:val="22"/>
          <w:szCs w:val="22"/>
        </w:rPr>
        <w:t>Užubalių k., Avižienių sen.</w:t>
      </w:r>
    </w:p>
    <w:p w14:paraId="125E75F4" w14:textId="77777777" w:rsidR="008A305D" w:rsidRPr="00BA3FBD" w:rsidRDefault="008A305D" w:rsidP="008A305D">
      <w:pPr>
        <w:numPr>
          <w:ilvl w:val="12"/>
          <w:numId w:val="0"/>
        </w:numPr>
        <w:ind w:right="-2"/>
        <w:rPr>
          <w:sz w:val="22"/>
          <w:szCs w:val="22"/>
        </w:rPr>
      </w:pPr>
      <w:r w:rsidRPr="00BA3FBD">
        <w:rPr>
          <w:sz w:val="22"/>
          <w:szCs w:val="22"/>
        </w:rPr>
        <w:t>LT-14130 Vilniaus raj.</w:t>
      </w:r>
    </w:p>
    <w:p w14:paraId="4CDFC531" w14:textId="77777777" w:rsidR="008A305D" w:rsidRPr="00BA3FBD" w:rsidRDefault="008A305D" w:rsidP="008A305D">
      <w:pPr>
        <w:numPr>
          <w:ilvl w:val="12"/>
          <w:numId w:val="0"/>
        </w:numPr>
        <w:ind w:right="-2"/>
        <w:rPr>
          <w:sz w:val="22"/>
          <w:szCs w:val="22"/>
        </w:rPr>
      </w:pPr>
      <w:r w:rsidRPr="00BA3FBD">
        <w:rPr>
          <w:sz w:val="22"/>
          <w:szCs w:val="22"/>
        </w:rPr>
        <w:t>Tel.: +370 5 260 9615</w:t>
      </w:r>
    </w:p>
    <w:p w14:paraId="3F9CC171" w14:textId="77777777" w:rsidR="008A305D" w:rsidRPr="00BA3FBD" w:rsidRDefault="008A305D" w:rsidP="008A305D">
      <w:pPr>
        <w:numPr>
          <w:ilvl w:val="12"/>
          <w:numId w:val="0"/>
        </w:numPr>
        <w:ind w:right="-2"/>
        <w:rPr>
          <w:sz w:val="22"/>
          <w:szCs w:val="22"/>
        </w:rPr>
      </w:pPr>
    </w:p>
    <w:p w14:paraId="7BB5E151" w14:textId="77777777" w:rsidR="008A305D" w:rsidRPr="00BA3FBD" w:rsidRDefault="008A305D" w:rsidP="008A305D">
      <w:pPr>
        <w:autoSpaceDE w:val="0"/>
        <w:autoSpaceDN w:val="0"/>
        <w:adjustRightInd w:val="0"/>
        <w:rPr>
          <w:sz w:val="22"/>
          <w:szCs w:val="22"/>
        </w:rPr>
      </w:pPr>
      <w:r w:rsidRPr="00BA3FBD">
        <w:rPr>
          <w:b/>
          <w:sz w:val="22"/>
          <w:szCs w:val="22"/>
        </w:rPr>
        <w:t>Šis vaistas EEE valstybėse narėse registruotas tokiais pavadinimais</w:t>
      </w:r>
      <w:r w:rsidRPr="00BA3FBD">
        <w:rPr>
          <w:sz w:val="22"/>
          <w:szCs w:val="22"/>
        </w:rPr>
        <w:t>:</w:t>
      </w:r>
    </w:p>
    <w:p w14:paraId="0B91D564" w14:textId="36A9A3B2" w:rsidR="008A305D" w:rsidRPr="00BA3FBD" w:rsidRDefault="008A305D" w:rsidP="008A305D">
      <w:pPr>
        <w:autoSpaceDE w:val="0"/>
        <w:autoSpaceDN w:val="0"/>
        <w:adjustRightInd w:val="0"/>
        <w:rPr>
          <w:sz w:val="22"/>
          <w:szCs w:val="22"/>
        </w:rPr>
      </w:pPr>
      <w:r>
        <w:rPr>
          <w:sz w:val="22"/>
          <w:szCs w:val="22"/>
        </w:rPr>
        <w:t>Austrija</w:t>
      </w:r>
      <w:r w:rsidR="00C7290D">
        <w:rPr>
          <w:sz w:val="22"/>
          <w:szCs w:val="22"/>
        </w:rPr>
        <w:tab/>
      </w:r>
      <w:r w:rsidRPr="00BA3FBD">
        <w:rPr>
          <w:sz w:val="22"/>
          <w:szCs w:val="22"/>
        </w:rPr>
        <w:t>Imatinib Actavis Group 200 mg Filmtabletten</w:t>
      </w:r>
    </w:p>
    <w:p w14:paraId="74B425A2" w14:textId="77777777" w:rsidR="008A305D" w:rsidRPr="00BA3FBD" w:rsidRDefault="008A305D" w:rsidP="008A305D">
      <w:pPr>
        <w:autoSpaceDE w:val="0"/>
        <w:autoSpaceDN w:val="0"/>
        <w:adjustRightInd w:val="0"/>
        <w:rPr>
          <w:sz w:val="22"/>
          <w:szCs w:val="22"/>
        </w:rPr>
      </w:pPr>
      <w:r w:rsidRPr="00BA3FBD">
        <w:rPr>
          <w:sz w:val="22"/>
          <w:szCs w:val="22"/>
        </w:rPr>
        <w:t>B</w:t>
      </w:r>
      <w:r>
        <w:rPr>
          <w:sz w:val="22"/>
          <w:szCs w:val="22"/>
        </w:rPr>
        <w:t>ulgarija</w:t>
      </w:r>
      <w:r w:rsidRPr="00BA3FBD">
        <w:rPr>
          <w:sz w:val="22"/>
          <w:szCs w:val="22"/>
        </w:rPr>
        <w:tab/>
        <w:t>Imatinib Actavis Group (100 mg, 400 mg)</w:t>
      </w:r>
    </w:p>
    <w:p w14:paraId="3E149C8E" w14:textId="1B0A797F" w:rsidR="008A305D" w:rsidRPr="00BA3FBD" w:rsidRDefault="008A305D" w:rsidP="008A305D">
      <w:pPr>
        <w:autoSpaceDE w:val="0"/>
        <w:autoSpaceDN w:val="0"/>
        <w:adjustRightInd w:val="0"/>
        <w:rPr>
          <w:sz w:val="22"/>
          <w:szCs w:val="22"/>
        </w:rPr>
      </w:pPr>
      <w:r>
        <w:rPr>
          <w:sz w:val="22"/>
          <w:szCs w:val="22"/>
        </w:rPr>
        <w:t>Kipras</w:t>
      </w:r>
      <w:r w:rsidR="00C7290D">
        <w:rPr>
          <w:sz w:val="22"/>
          <w:szCs w:val="22"/>
        </w:rPr>
        <w:tab/>
      </w:r>
      <w:r w:rsidRPr="00BA3FBD">
        <w:rPr>
          <w:sz w:val="22"/>
          <w:szCs w:val="22"/>
        </w:rPr>
        <w:t>Imatinib Actavis Group (100 mg, 200 mg, 300 mg, 400 mg)</w:t>
      </w:r>
    </w:p>
    <w:p w14:paraId="37C6D239" w14:textId="6A799781" w:rsidR="008A305D" w:rsidRPr="00BA3FBD" w:rsidRDefault="008A305D" w:rsidP="008A305D">
      <w:pPr>
        <w:autoSpaceDE w:val="0"/>
        <w:autoSpaceDN w:val="0"/>
        <w:adjustRightInd w:val="0"/>
        <w:rPr>
          <w:sz w:val="22"/>
          <w:szCs w:val="22"/>
        </w:rPr>
      </w:pPr>
      <w:r>
        <w:rPr>
          <w:sz w:val="22"/>
          <w:szCs w:val="22"/>
        </w:rPr>
        <w:t>Čekija</w:t>
      </w:r>
      <w:r w:rsidR="00C7290D">
        <w:rPr>
          <w:sz w:val="22"/>
          <w:szCs w:val="22"/>
        </w:rPr>
        <w:tab/>
      </w:r>
      <w:r w:rsidRPr="00BA3FBD">
        <w:rPr>
          <w:sz w:val="22"/>
          <w:szCs w:val="22"/>
        </w:rPr>
        <w:t>Imatinib Actavis Group (100 mg, 400 mg)</w:t>
      </w:r>
    </w:p>
    <w:p w14:paraId="617B97FE" w14:textId="47A9E181" w:rsidR="008A305D" w:rsidRPr="00BA3FBD" w:rsidRDefault="008A305D" w:rsidP="008A305D">
      <w:pPr>
        <w:autoSpaceDE w:val="0"/>
        <w:autoSpaceDN w:val="0"/>
        <w:adjustRightInd w:val="0"/>
        <w:rPr>
          <w:sz w:val="22"/>
          <w:szCs w:val="22"/>
        </w:rPr>
      </w:pPr>
      <w:r>
        <w:rPr>
          <w:sz w:val="22"/>
          <w:szCs w:val="22"/>
        </w:rPr>
        <w:lastRenderedPageBreak/>
        <w:t>Danija</w:t>
      </w:r>
      <w:r w:rsidR="00C7290D">
        <w:rPr>
          <w:sz w:val="22"/>
          <w:szCs w:val="22"/>
        </w:rPr>
        <w:tab/>
      </w:r>
      <w:r w:rsidRPr="00BA3FBD">
        <w:rPr>
          <w:sz w:val="22"/>
          <w:szCs w:val="22"/>
        </w:rPr>
        <w:t>Imatinib Actavis Group (100 mg, 200 mg, 300 mg, 400 mg)</w:t>
      </w:r>
    </w:p>
    <w:p w14:paraId="5D82C975" w14:textId="4CFCD51C" w:rsidR="008A305D" w:rsidRPr="00BA3FBD" w:rsidRDefault="008A305D" w:rsidP="008A305D">
      <w:pPr>
        <w:autoSpaceDE w:val="0"/>
        <w:autoSpaceDN w:val="0"/>
        <w:adjustRightInd w:val="0"/>
        <w:rPr>
          <w:sz w:val="22"/>
          <w:szCs w:val="22"/>
        </w:rPr>
      </w:pPr>
      <w:r>
        <w:rPr>
          <w:sz w:val="22"/>
          <w:szCs w:val="22"/>
        </w:rPr>
        <w:t>Estija</w:t>
      </w:r>
      <w:r w:rsidR="00C7290D">
        <w:rPr>
          <w:sz w:val="22"/>
          <w:szCs w:val="22"/>
        </w:rPr>
        <w:tab/>
      </w:r>
      <w:r w:rsidRPr="00BA3FBD">
        <w:rPr>
          <w:sz w:val="22"/>
          <w:szCs w:val="22"/>
        </w:rPr>
        <w:t>Imatinib Actavis Group (100 mg, 200 mg, 300 mg, 400 mg)</w:t>
      </w:r>
    </w:p>
    <w:p w14:paraId="7D7773B4" w14:textId="77777777" w:rsidR="008A305D" w:rsidRPr="00BA3FBD" w:rsidRDefault="008A305D" w:rsidP="008A305D">
      <w:pPr>
        <w:autoSpaceDE w:val="0"/>
        <w:autoSpaceDN w:val="0"/>
        <w:adjustRightInd w:val="0"/>
        <w:rPr>
          <w:sz w:val="22"/>
          <w:szCs w:val="22"/>
        </w:rPr>
      </w:pPr>
      <w:r>
        <w:rPr>
          <w:sz w:val="22"/>
          <w:szCs w:val="22"/>
        </w:rPr>
        <w:t>Graikija</w:t>
      </w:r>
      <w:r w:rsidRPr="00BA3FBD">
        <w:rPr>
          <w:sz w:val="22"/>
          <w:szCs w:val="22"/>
        </w:rPr>
        <w:tab/>
        <w:t>Imatinib Actavis Group (100 mg, 200 mg, 300 mg, 400 mg)</w:t>
      </w:r>
    </w:p>
    <w:p w14:paraId="6A9EB74D" w14:textId="77777777" w:rsidR="008A305D" w:rsidRPr="00BA3FBD" w:rsidRDefault="008A305D" w:rsidP="008A305D">
      <w:pPr>
        <w:autoSpaceDE w:val="0"/>
        <w:autoSpaceDN w:val="0"/>
        <w:adjustRightInd w:val="0"/>
        <w:rPr>
          <w:sz w:val="22"/>
          <w:szCs w:val="22"/>
        </w:rPr>
      </w:pPr>
      <w:r>
        <w:rPr>
          <w:sz w:val="22"/>
          <w:szCs w:val="22"/>
        </w:rPr>
        <w:t>Suomija</w:t>
      </w:r>
      <w:r w:rsidRPr="00BA3FBD">
        <w:rPr>
          <w:sz w:val="22"/>
          <w:szCs w:val="22"/>
        </w:rPr>
        <w:tab/>
        <w:t>Imatinib Actavis Group (100 mg, 200 mg, 300 mg, 400 mg)</w:t>
      </w:r>
    </w:p>
    <w:p w14:paraId="65EAE900" w14:textId="77777777" w:rsidR="008A305D" w:rsidRPr="00BA3FBD" w:rsidRDefault="008A305D" w:rsidP="008A305D">
      <w:pPr>
        <w:autoSpaceDE w:val="0"/>
        <w:autoSpaceDN w:val="0"/>
        <w:adjustRightInd w:val="0"/>
        <w:rPr>
          <w:sz w:val="22"/>
          <w:szCs w:val="22"/>
        </w:rPr>
      </w:pPr>
      <w:r>
        <w:rPr>
          <w:sz w:val="22"/>
          <w:szCs w:val="22"/>
        </w:rPr>
        <w:t>Kroatija</w:t>
      </w:r>
      <w:r w:rsidRPr="00BA3FBD">
        <w:rPr>
          <w:sz w:val="22"/>
          <w:szCs w:val="22"/>
        </w:rPr>
        <w:tab/>
        <w:t xml:space="preserve">Imatinib Actavis Group 200 mg filmom obložene tablete </w:t>
      </w:r>
    </w:p>
    <w:p w14:paraId="7FF991A4" w14:textId="77777777" w:rsidR="008A305D" w:rsidRPr="00BA3FBD" w:rsidRDefault="008A305D" w:rsidP="008A305D">
      <w:pPr>
        <w:autoSpaceDE w:val="0"/>
        <w:autoSpaceDN w:val="0"/>
        <w:adjustRightInd w:val="0"/>
        <w:rPr>
          <w:sz w:val="22"/>
          <w:szCs w:val="22"/>
        </w:rPr>
      </w:pPr>
      <w:r>
        <w:rPr>
          <w:sz w:val="22"/>
          <w:szCs w:val="22"/>
        </w:rPr>
        <w:t>Vengrija</w:t>
      </w:r>
      <w:r w:rsidRPr="00BA3FBD">
        <w:rPr>
          <w:sz w:val="22"/>
          <w:szCs w:val="22"/>
        </w:rPr>
        <w:tab/>
        <w:t>Imatinib Actavis Group 100 mg, 200 mg, 300 mg, 400 mg filmtabletta</w:t>
      </w:r>
    </w:p>
    <w:p w14:paraId="24554F52" w14:textId="022936F8" w:rsidR="008A305D" w:rsidRPr="00BA3FBD" w:rsidRDefault="008A305D" w:rsidP="008A305D">
      <w:pPr>
        <w:autoSpaceDE w:val="0"/>
        <w:autoSpaceDN w:val="0"/>
        <w:adjustRightInd w:val="0"/>
        <w:rPr>
          <w:sz w:val="22"/>
          <w:szCs w:val="22"/>
        </w:rPr>
      </w:pPr>
      <w:r>
        <w:rPr>
          <w:sz w:val="22"/>
          <w:szCs w:val="22"/>
        </w:rPr>
        <w:t>Airija</w:t>
      </w:r>
      <w:r w:rsidR="00C7290D">
        <w:rPr>
          <w:sz w:val="22"/>
          <w:szCs w:val="22"/>
        </w:rPr>
        <w:tab/>
      </w:r>
      <w:r w:rsidRPr="00BA3FBD">
        <w:rPr>
          <w:sz w:val="22"/>
          <w:szCs w:val="22"/>
        </w:rPr>
        <w:t>Imatinib Actavis Group (100 mg, 400 mg)</w:t>
      </w:r>
    </w:p>
    <w:p w14:paraId="77D0B150" w14:textId="77777777" w:rsidR="008A305D" w:rsidRPr="00BA3FBD" w:rsidRDefault="008A305D" w:rsidP="008A305D">
      <w:pPr>
        <w:autoSpaceDE w:val="0"/>
        <w:autoSpaceDN w:val="0"/>
        <w:adjustRightInd w:val="0"/>
        <w:rPr>
          <w:sz w:val="22"/>
          <w:szCs w:val="22"/>
        </w:rPr>
      </w:pPr>
      <w:r>
        <w:rPr>
          <w:sz w:val="22"/>
          <w:szCs w:val="22"/>
        </w:rPr>
        <w:t>Islandija</w:t>
      </w:r>
      <w:r w:rsidRPr="00BA3FBD">
        <w:rPr>
          <w:sz w:val="22"/>
          <w:szCs w:val="22"/>
        </w:rPr>
        <w:tab/>
        <w:t>Imatinib Actavis Group (100 mg, 200 mg, 300 mg, 400 mg)</w:t>
      </w:r>
    </w:p>
    <w:p w14:paraId="1C2F3091" w14:textId="4AE8B17E" w:rsidR="008A305D" w:rsidRPr="00BA3FBD" w:rsidRDefault="008A305D" w:rsidP="008A305D">
      <w:pPr>
        <w:autoSpaceDE w:val="0"/>
        <w:autoSpaceDN w:val="0"/>
        <w:adjustRightInd w:val="0"/>
        <w:rPr>
          <w:sz w:val="22"/>
          <w:szCs w:val="22"/>
        </w:rPr>
      </w:pPr>
      <w:r>
        <w:rPr>
          <w:sz w:val="22"/>
          <w:szCs w:val="22"/>
        </w:rPr>
        <w:t>Lietuva</w:t>
      </w:r>
      <w:r w:rsidR="00C7290D">
        <w:rPr>
          <w:sz w:val="22"/>
          <w:szCs w:val="22"/>
        </w:rPr>
        <w:tab/>
      </w:r>
      <w:r w:rsidRPr="00BA3FBD">
        <w:rPr>
          <w:sz w:val="22"/>
          <w:szCs w:val="22"/>
        </w:rPr>
        <w:t>Imatinib Actavis Group 200 mg plėvele dengtos tabletės</w:t>
      </w:r>
    </w:p>
    <w:p w14:paraId="5966F0BC" w14:textId="5409C701" w:rsidR="008A305D" w:rsidRPr="00BA3FBD" w:rsidRDefault="008A305D" w:rsidP="008A305D">
      <w:pPr>
        <w:autoSpaceDE w:val="0"/>
        <w:autoSpaceDN w:val="0"/>
        <w:adjustRightInd w:val="0"/>
        <w:rPr>
          <w:sz w:val="22"/>
          <w:szCs w:val="22"/>
        </w:rPr>
      </w:pPr>
      <w:r>
        <w:rPr>
          <w:sz w:val="22"/>
          <w:szCs w:val="22"/>
        </w:rPr>
        <w:t>Latvija</w:t>
      </w:r>
      <w:r w:rsidR="00C7290D">
        <w:rPr>
          <w:sz w:val="22"/>
          <w:szCs w:val="22"/>
        </w:rPr>
        <w:tab/>
      </w:r>
      <w:r w:rsidRPr="00BA3FBD">
        <w:rPr>
          <w:sz w:val="22"/>
          <w:szCs w:val="22"/>
        </w:rPr>
        <w:t>Imatinib Actavis Group 200 mg apvalkotās tabletes</w:t>
      </w:r>
    </w:p>
    <w:p w14:paraId="5D2E2FC4" w14:textId="0B45E5F8" w:rsidR="008A305D" w:rsidRPr="00BA3FBD" w:rsidRDefault="008A305D" w:rsidP="008A305D">
      <w:pPr>
        <w:autoSpaceDE w:val="0"/>
        <w:autoSpaceDN w:val="0"/>
        <w:adjustRightInd w:val="0"/>
        <w:rPr>
          <w:sz w:val="22"/>
          <w:szCs w:val="22"/>
        </w:rPr>
      </w:pPr>
      <w:r>
        <w:rPr>
          <w:sz w:val="22"/>
          <w:szCs w:val="22"/>
        </w:rPr>
        <w:t>Malta</w:t>
      </w:r>
      <w:r w:rsidR="00C7290D">
        <w:rPr>
          <w:sz w:val="22"/>
          <w:szCs w:val="22"/>
        </w:rPr>
        <w:tab/>
      </w:r>
      <w:r w:rsidRPr="00BA3FBD">
        <w:rPr>
          <w:sz w:val="22"/>
          <w:szCs w:val="22"/>
        </w:rPr>
        <w:t>Imatinib Actavis Group (100 mg, 200 mg, 300 mg, 400 mg)</w:t>
      </w:r>
    </w:p>
    <w:p w14:paraId="4FEB5961" w14:textId="77777777" w:rsidR="008A305D" w:rsidRPr="00BA3FBD" w:rsidRDefault="008A305D" w:rsidP="008A305D">
      <w:pPr>
        <w:autoSpaceDE w:val="0"/>
        <w:autoSpaceDN w:val="0"/>
        <w:adjustRightInd w:val="0"/>
        <w:rPr>
          <w:sz w:val="22"/>
          <w:szCs w:val="22"/>
        </w:rPr>
      </w:pPr>
      <w:r>
        <w:rPr>
          <w:sz w:val="22"/>
          <w:szCs w:val="22"/>
        </w:rPr>
        <w:t>Norvegija</w:t>
      </w:r>
      <w:r w:rsidRPr="00BA3FBD">
        <w:rPr>
          <w:sz w:val="22"/>
          <w:szCs w:val="22"/>
        </w:rPr>
        <w:tab/>
        <w:t>Imatinib Actavis Group (100 mg, 200 mg, 300 mg, 400 mg)</w:t>
      </w:r>
    </w:p>
    <w:p w14:paraId="12D0BCA7" w14:textId="3247A57B" w:rsidR="008A305D" w:rsidRPr="00BA3FBD" w:rsidRDefault="008A305D" w:rsidP="008A305D">
      <w:pPr>
        <w:autoSpaceDE w:val="0"/>
        <w:autoSpaceDN w:val="0"/>
        <w:adjustRightInd w:val="0"/>
        <w:rPr>
          <w:sz w:val="22"/>
          <w:szCs w:val="22"/>
        </w:rPr>
      </w:pPr>
      <w:r>
        <w:rPr>
          <w:sz w:val="22"/>
          <w:szCs w:val="22"/>
        </w:rPr>
        <w:t>Lenkija</w:t>
      </w:r>
      <w:r w:rsidR="00C7290D">
        <w:rPr>
          <w:sz w:val="22"/>
          <w:szCs w:val="22"/>
        </w:rPr>
        <w:tab/>
      </w:r>
      <w:r w:rsidRPr="00BA3FBD">
        <w:rPr>
          <w:sz w:val="22"/>
          <w:szCs w:val="22"/>
        </w:rPr>
        <w:t>Imatinib Actavis Group (100 mg, 200 mg, 300 mg, 400 mg)</w:t>
      </w:r>
    </w:p>
    <w:p w14:paraId="6CE2010C" w14:textId="77777777" w:rsidR="008A305D" w:rsidRPr="00BA3FBD" w:rsidRDefault="008A305D" w:rsidP="008A305D">
      <w:pPr>
        <w:autoSpaceDE w:val="0"/>
        <w:autoSpaceDN w:val="0"/>
        <w:adjustRightInd w:val="0"/>
        <w:rPr>
          <w:sz w:val="22"/>
          <w:szCs w:val="22"/>
        </w:rPr>
      </w:pPr>
      <w:r>
        <w:rPr>
          <w:sz w:val="22"/>
          <w:szCs w:val="22"/>
        </w:rPr>
        <w:t>Rumunija</w:t>
      </w:r>
      <w:r w:rsidRPr="00BA3FBD">
        <w:rPr>
          <w:sz w:val="22"/>
          <w:szCs w:val="22"/>
        </w:rPr>
        <w:tab/>
        <w:t>Imatinib Actavis Group 100 mg, 400 mg comprimate filmate</w:t>
      </w:r>
    </w:p>
    <w:p w14:paraId="354F13E9" w14:textId="77777777" w:rsidR="008A305D" w:rsidRPr="00BA3FBD" w:rsidRDefault="008A305D" w:rsidP="008A305D">
      <w:pPr>
        <w:autoSpaceDE w:val="0"/>
        <w:autoSpaceDN w:val="0"/>
        <w:adjustRightInd w:val="0"/>
        <w:rPr>
          <w:sz w:val="22"/>
          <w:szCs w:val="22"/>
        </w:rPr>
      </w:pPr>
      <w:r>
        <w:rPr>
          <w:sz w:val="22"/>
          <w:szCs w:val="22"/>
        </w:rPr>
        <w:t>Slovėnija</w:t>
      </w:r>
      <w:r w:rsidRPr="00BA3FBD">
        <w:rPr>
          <w:sz w:val="22"/>
          <w:szCs w:val="22"/>
        </w:rPr>
        <w:tab/>
        <w:t>Imatinib Actavis Group, Filmsko obložene tablete (100 mg, 200 mg, 300 mg, 400 mg)</w:t>
      </w:r>
    </w:p>
    <w:p w14:paraId="35BB905C" w14:textId="77777777" w:rsidR="008A305D" w:rsidRPr="00BA3FBD" w:rsidRDefault="008A305D" w:rsidP="008A305D">
      <w:pPr>
        <w:autoSpaceDE w:val="0"/>
        <w:autoSpaceDN w:val="0"/>
        <w:adjustRightInd w:val="0"/>
        <w:rPr>
          <w:sz w:val="22"/>
          <w:szCs w:val="22"/>
        </w:rPr>
      </w:pPr>
      <w:r>
        <w:rPr>
          <w:sz w:val="22"/>
          <w:szCs w:val="22"/>
        </w:rPr>
        <w:t>Slovakija</w:t>
      </w:r>
      <w:r w:rsidRPr="00BA3FBD">
        <w:rPr>
          <w:sz w:val="22"/>
          <w:szCs w:val="22"/>
        </w:rPr>
        <w:tab/>
        <w:t>Imatinib Actavis Group 200 mg</w:t>
      </w:r>
    </w:p>
    <w:p w14:paraId="779DF488" w14:textId="103D6986" w:rsidR="008A305D" w:rsidRPr="00BA3FBD" w:rsidRDefault="008A305D" w:rsidP="008A305D">
      <w:pPr>
        <w:autoSpaceDE w:val="0"/>
        <w:autoSpaceDN w:val="0"/>
        <w:adjustRightInd w:val="0"/>
        <w:rPr>
          <w:sz w:val="22"/>
          <w:szCs w:val="22"/>
        </w:rPr>
      </w:pPr>
      <w:r>
        <w:rPr>
          <w:sz w:val="22"/>
          <w:szCs w:val="22"/>
        </w:rPr>
        <w:t>Jungtinė Karalystė</w:t>
      </w:r>
      <w:r w:rsidR="00C7290D">
        <w:rPr>
          <w:sz w:val="22"/>
          <w:szCs w:val="22"/>
        </w:rPr>
        <w:t xml:space="preserve"> </w:t>
      </w:r>
      <w:r w:rsidRPr="00BA3FBD">
        <w:rPr>
          <w:sz w:val="22"/>
          <w:szCs w:val="22"/>
        </w:rPr>
        <w:t>Imatinib Actavis Group 200mg Film-coated Tablets</w:t>
      </w:r>
    </w:p>
    <w:p w14:paraId="01BB00D1" w14:textId="77777777" w:rsidR="008A305D" w:rsidRDefault="008A305D" w:rsidP="008A305D">
      <w:pPr>
        <w:numPr>
          <w:ilvl w:val="12"/>
          <w:numId w:val="0"/>
        </w:numPr>
        <w:ind w:right="-2"/>
        <w:rPr>
          <w:sz w:val="22"/>
          <w:szCs w:val="22"/>
        </w:rPr>
      </w:pPr>
    </w:p>
    <w:p w14:paraId="7E1B0BB1" w14:textId="77777777" w:rsidR="008A305D" w:rsidRPr="00BA3FBD" w:rsidRDefault="008A305D" w:rsidP="008A305D">
      <w:pPr>
        <w:numPr>
          <w:ilvl w:val="12"/>
          <w:numId w:val="0"/>
        </w:numPr>
        <w:ind w:right="-2"/>
        <w:rPr>
          <w:sz w:val="22"/>
          <w:szCs w:val="22"/>
        </w:rPr>
      </w:pPr>
    </w:p>
    <w:p w14:paraId="6E9C873A" w14:textId="18779634" w:rsidR="008A305D" w:rsidRPr="00BA3FBD" w:rsidRDefault="008A305D" w:rsidP="008A305D">
      <w:pPr>
        <w:autoSpaceDE w:val="0"/>
        <w:autoSpaceDN w:val="0"/>
        <w:adjustRightInd w:val="0"/>
        <w:contextualSpacing/>
        <w:rPr>
          <w:b/>
          <w:bCs/>
          <w:sz w:val="22"/>
          <w:szCs w:val="22"/>
        </w:rPr>
      </w:pPr>
      <w:r w:rsidRPr="00BA3FBD">
        <w:rPr>
          <w:b/>
          <w:bCs/>
          <w:sz w:val="22"/>
          <w:szCs w:val="22"/>
        </w:rPr>
        <w:t>Šis pakuotės lapelis paskutinį kartą peržiūrėtas</w:t>
      </w:r>
      <w:r w:rsidR="00C55C73">
        <w:rPr>
          <w:b/>
          <w:bCs/>
          <w:sz w:val="22"/>
          <w:szCs w:val="22"/>
        </w:rPr>
        <w:t xml:space="preserve"> 2016-10-31.</w:t>
      </w:r>
      <w:r>
        <w:rPr>
          <w:b/>
          <w:bCs/>
          <w:sz w:val="22"/>
          <w:szCs w:val="22"/>
        </w:rPr>
        <w:t xml:space="preserve"> </w:t>
      </w:r>
    </w:p>
    <w:p w14:paraId="05FCAB7E" w14:textId="77777777" w:rsidR="008A305D" w:rsidRDefault="008A305D" w:rsidP="008A305D">
      <w:pPr>
        <w:autoSpaceDE w:val="0"/>
        <w:autoSpaceDN w:val="0"/>
        <w:adjustRightInd w:val="0"/>
        <w:contextualSpacing/>
        <w:rPr>
          <w:bCs/>
          <w:sz w:val="22"/>
          <w:szCs w:val="22"/>
        </w:rPr>
      </w:pPr>
    </w:p>
    <w:p w14:paraId="494BB825" w14:textId="77777777" w:rsidR="008A305D" w:rsidRPr="00BA3FBD" w:rsidRDefault="008A305D" w:rsidP="008A305D">
      <w:pPr>
        <w:autoSpaceDE w:val="0"/>
        <w:autoSpaceDN w:val="0"/>
        <w:adjustRightInd w:val="0"/>
        <w:contextualSpacing/>
        <w:rPr>
          <w:bCs/>
          <w:sz w:val="22"/>
          <w:szCs w:val="22"/>
        </w:rPr>
      </w:pPr>
    </w:p>
    <w:p w14:paraId="78E44632" w14:textId="77777777" w:rsidR="008A305D" w:rsidRPr="00BA3FBD" w:rsidRDefault="008A305D" w:rsidP="008A305D">
      <w:pPr>
        <w:numPr>
          <w:ilvl w:val="12"/>
          <w:numId w:val="0"/>
        </w:numPr>
        <w:tabs>
          <w:tab w:val="left" w:pos="567"/>
        </w:tabs>
        <w:ind w:right="-2"/>
        <w:rPr>
          <w:snapToGrid w:val="0"/>
          <w:sz w:val="22"/>
        </w:rPr>
      </w:pPr>
      <w:r w:rsidRPr="00BA3FBD">
        <w:rPr>
          <w:snapToGrid w:val="0"/>
          <w:sz w:val="22"/>
          <w:szCs w:val="20"/>
        </w:rPr>
        <w:t xml:space="preserve">Išsami informacija apie šį </w:t>
      </w:r>
      <w:r w:rsidRPr="00BA3FBD">
        <w:rPr>
          <w:snapToGrid w:val="0"/>
          <w:sz w:val="22"/>
        </w:rPr>
        <w:t>vaistą</w:t>
      </w:r>
      <w:r w:rsidRPr="00BA3FBD">
        <w:rPr>
          <w:snapToGrid w:val="0"/>
          <w:sz w:val="22"/>
          <w:szCs w:val="20"/>
        </w:rPr>
        <w:t xml:space="preserve"> pateikiama Valstybinės vaistų kontrolės tarnybos prie Lietuvos Respublikos sveikatos apsaugos ministerijos tinklalapyje</w:t>
      </w:r>
      <w:r w:rsidRPr="00BA3FBD">
        <w:rPr>
          <w:i/>
          <w:snapToGrid w:val="0"/>
          <w:sz w:val="22"/>
        </w:rPr>
        <w:t xml:space="preserve"> </w:t>
      </w:r>
      <w:hyperlink r:id="rId19" w:history="1">
        <w:r w:rsidRPr="00BA3FBD">
          <w:rPr>
            <w:rFonts w:eastAsia="SimSun"/>
            <w:snapToGrid w:val="0"/>
            <w:color w:val="0000FF"/>
            <w:sz w:val="22"/>
            <w:szCs w:val="20"/>
            <w:u w:val="single"/>
          </w:rPr>
          <w:t>http://www.vvkt.lt/</w:t>
        </w:r>
      </w:hyperlink>
      <w:r w:rsidRPr="00BA3FBD">
        <w:rPr>
          <w:snapToGrid w:val="0"/>
          <w:sz w:val="22"/>
          <w:szCs w:val="20"/>
        </w:rPr>
        <w:t>.</w:t>
      </w:r>
    </w:p>
    <w:p w14:paraId="6865D570" w14:textId="77777777" w:rsidR="008A305D" w:rsidRPr="00BA3FBD" w:rsidRDefault="008A305D" w:rsidP="008A305D">
      <w:pPr>
        <w:pStyle w:val="Default"/>
        <w:jc w:val="center"/>
        <w:rPr>
          <w:rFonts w:ascii="Times New Roman" w:hAnsi="Times New Roman" w:cs="Times New Roman"/>
          <w:b/>
          <w:bCs/>
          <w:sz w:val="22"/>
          <w:szCs w:val="22"/>
          <w:lang w:val="lt-LT" w:eastAsia="is-IS"/>
        </w:rPr>
      </w:pPr>
      <w:r w:rsidRPr="00BA3FBD">
        <w:rPr>
          <w:b/>
          <w:sz w:val="22"/>
          <w:szCs w:val="22"/>
          <w:lang w:val="lt-LT"/>
        </w:rPr>
        <w:br w:type="page"/>
      </w:r>
      <w:r w:rsidRPr="00BA3FBD">
        <w:rPr>
          <w:rFonts w:ascii="Times New Roman" w:hAnsi="Times New Roman" w:cs="Times New Roman"/>
          <w:b/>
          <w:bCs/>
          <w:sz w:val="22"/>
          <w:szCs w:val="22"/>
          <w:lang w:val="lt-LT" w:eastAsia="is-IS"/>
        </w:rPr>
        <w:lastRenderedPageBreak/>
        <w:t>Pakuotės lapelis: informacija vartotojui</w:t>
      </w:r>
    </w:p>
    <w:p w14:paraId="25BA0B79" w14:textId="77777777" w:rsidR="008A305D" w:rsidRPr="00BA3FBD" w:rsidRDefault="008A305D" w:rsidP="008A305D">
      <w:pPr>
        <w:autoSpaceDE w:val="0"/>
        <w:autoSpaceDN w:val="0"/>
        <w:adjustRightInd w:val="0"/>
        <w:jc w:val="center"/>
        <w:rPr>
          <w:rFonts w:eastAsia="Calibri"/>
          <w:color w:val="000000"/>
          <w:sz w:val="22"/>
          <w:szCs w:val="22"/>
        </w:rPr>
      </w:pPr>
    </w:p>
    <w:p w14:paraId="6D56D601" w14:textId="77777777" w:rsidR="008A305D" w:rsidRPr="00BA3FBD" w:rsidRDefault="008A305D" w:rsidP="008A305D">
      <w:pPr>
        <w:widowControl w:val="0"/>
        <w:tabs>
          <w:tab w:val="left" w:pos="9356"/>
        </w:tabs>
        <w:autoSpaceDE w:val="0"/>
        <w:autoSpaceDN w:val="0"/>
        <w:adjustRightInd w:val="0"/>
        <w:ind w:right="50"/>
        <w:jc w:val="center"/>
        <w:rPr>
          <w:sz w:val="22"/>
          <w:szCs w:val="22"/>
        </w:rPr>
      </w:pPr>
      <w:r w:rsidRPr="00BA3FBD">
        <w:rPr>
          <w:b/>
          <w:bCs/>
          <w:spacing w:val="-1"/>
          <w:sz w:val="22"/>
          <w:szCs w:val="22"/>
        </w:rPr>
        <w:t>Imatinib Actavis Group</w:t>
      </w:r>
      <w:r w:rsidRPr="00BA3FBD">
        <w:rPr>
          <w:b/>
          <w:bCs/>
          <w:spacing w:val="1"/>
          <w:sz w:val="22"/>
          <w:szCs w:val="22"/>
        </w:rPr>
        <w:t xml:space="preserve"> 300</w:t>
      </w:r>
      <w:r w:rsidRPr="00BA3FBD">
        <w:rPr>
          <w:b/>
          <w:bCs/>
          <w:sz w:val="22"/>
          <w:szCs w:val="22"/>
        </w:rPr>
        <w:t> </w:t>
      </w:r>
      <w:r w:rsidRPr="00BA3FBD">
        <w:rPr>
          <w:b/>
          <w:bCs/>
          <w:spacing w:val="1"/>
          <w:sz w:val="22"/>
          <w:szCs w:val="22"/>
        </w:rPr>
        <w:t>m</w:t>
      </w:r>
      <w:r w:rsidRPr="00BA3FBD">
        <w:rPr>
          <w:b/>
          <w:bCs/>
          <w:sz w:val="22"/>
          <w:szCs w:val="22"/>
        </w:rPr>
        <w:t>g plėvele dengtos tabletės</w:t>
      </w:r>
    </w:p>
    <w:p w14:paraId="375CD548" w14:textId="77777777" w:rsidR="008A305D" w:rsidRPr="00BA3FBD" w:rsidRDefault="008A305D" w:rsidP="008A305D">
      <w:pPr>
        <w:autoSpaceDE w:val="0"/>
        <w:autoSpaceDN w:val="0"/>
        <w:adjustRightInd w:val="0"/>
        <w:jc w:val="center"/>
        <w:rPr>
          <w:rFonts w:eastAsia="Calibri"/>
          <w:color w:val="000000"/>
          <w:sz w:val="22"/>
          <w:szCs w:val="22"/>
        </w:rPr>
      </w:pPr>
      <w:r w:rsidRPr="00BA3FBD">
        <w:rPr>
          <w:rFonts w:eastAsia="Calibri"/>
          <w:color w:val="000000"/>
          <w:sz w:val="22"/>
          <w:szCs w:val="22"/>
        </w:rPr>
        <w:t>Imatinibas</w:t>
      </w:r>
    </w:p>
    <w:p w14:paraId="7F6EFACD" w14:textId="77777777" w:rsidR="008A305D" w:rsidRPr="00BA3FBD" w:rsidRDefault="008A305D" w:rsidP="008A305D">
      <w:pPr>
        <w:autoSpaceDE w:val="0"/>
        <w:autoSpaceDN w:val="0"/>
        <w:adjustRightInd w:val="0"/>
        <w:rPr>
          <w:rFonts w:eastAsia="Calibri"/>
          <w:sz w:val="22"/>
          <w:szCs w:val="22"/>
        </w:rPr>
      </w:pPr>
    </w:p>
    <w:p w14:paraId="5F988DE5"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b/>
          <w:bCs/>
          <w:color w:val="000000"/>
          <w:sz w:val="22"/>
          <w:szCs w:val="22"/>
        </w:rPr>
        <w:t xml:space="preserve">Atidžiai perskaitykite visą šį lapelį, prieš pradėdami vartoti vaistą, nes jame pateikiama Jums svarbi informacija. </w:t>
      </w:r>
    </w:p>
    <w:p w14:paraId="7A887AF5"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w:t>
      </w:r>
      <w:r w:rsidRPr="00BA3FBD">
        <w:rPr>
          <w:rFonts w:eastAsia="Calibri"/>
          <w:color w:val="000000"/>
          <w:sz w:val="22"/>
          <w:szCs w:val="22"/>
        </w:rPr>
        <w:tab/>
        <w:t xml:space="preserve">Neišmeskite šio lapelio, nes vėl gali prireikti jį perskaityti. </w:t>
      </w:r>
    </w:p>
    <w:p w14:paraId="60E1F101" w14:textId="77777777" w:rsidR="008A305D" w:rsidRPr="00BA3FBD" w:rsidRDefault="008A305D" w:rsidP="008A305D">
      <w:pPr>
        <w:autoSpaceDE w:val="0"/>
        <w:autoSpaceDN w:val="0"/>
        <w:adjustRightInd w:val="0"/>
        <w:spacing w:after="23"/>
        <w:rPr>
          <w:rFonts w:eastAsia="Calibri"/>
          <w:color w:val="000000"/>
          <w:sz w:val="22"/>
          <w:szCs w:val="22"/>
        </w:rPr>
      </w:pPr>
      <w:r w:rsidRPr="00BA3FBD">
        <w:rPr>
          <w:rFonts w:eastAsia="Calibri"/>
          <w:color w:val="000000"/>
          <w:sz w:val="22"/>
          <w:szCs w:val="22"/>
        </w:rPr>
        <w:t>-</w:t>
      </w:r>
      <w:r w:rsidRPr="00BA3FBD">
        <w:rPr>
          <w:rFonts w:eastAsia="Calibri"/>
          <w:color w:val="000000"/>
          <w:sz w:val="22"/>
          <w:szCs w:val="22"/>
        </w:rPr>
        <w:tab/>
        <w:t xml:space="preserve">Jeigu kiltų daugiau klausimų, kreipkitės į gydytoją, vaistininką arba slaugytoją. </w:t>
      </w:r>
    </w:p>
    <w:p w14:paraId="56E791B2" w14:textId="77777777" w:rsidR="008A305D" w:rsidRPr="00BA3FBD" w:rsidRDefault="008A305D" w:rsidP="008A305D">
      <w:pPr>
        <w:autoSpaceDE w:val="0"/>
        <w:autoSpaceDN w:val="0"/>
        <w:adjustRightInd w:val="0"/>
        <w:spacing w:after="23"/>
        <w:ind w:left="720" w:hanging="720"/>
        <w:rPr>
          <w:rFonts w:eastAsia="Calibri"/>
          <w:color w:val="000000"/>
          <w:sz w:val="22"/>
          <w:szCs w:val="22"/>
        </w:rPr>
      </w:pPr>
      <w:r w:rsidRPr="00BA3FBD">
        <w:rPr>
          <w:rFonts w:eastAsia="Calibri"/>
          <w:color w:val="000000"/>
          <w:sz w:val="22"/>
          <w:szCs w:val="22"/>
        </w:rPr>
        <w:t>-</w:t>
      </w:r>
      <w:r w:rsidRPr="00BA3FBD">
        <w:rPr>
          <w:rFonts w:eastAsia="Calibri"/>
          <w:color w:val="000000"/>
          <w:sz w:val="22"/>
          <w:szCs w:val="22"/>
        </w:rPr>
        <w:tab/>
        <w:t xml:space="preserve">Šis vaistas skirtas tik Jums, todėl kitiems žmonėms jo duoti negalima. Vaistas gali jiems pakenkti (net tiems, kurių ligos požymiai yra tokie patys kaip Jūsų). </w:t>
      </w:r>
    </w:p>
    <w:p w14:paraId="0CCD4DCE" w14:textId="77777777" w:rsidR="008A305D" w:rsidRPr="00BA3FBD" w:rsidRDefault="008A305D" w:rsidP="008A305D">
      <w:pPr>
        <w:autoSpaceDE w:val="0"/>
        <w:autoSpaceDN w:val="0"/>
        <w:adjustRightInd w:val="0"/>
        <w:ind w:left="720" w:hanging="720"/>
        <w:rPr>
          <w:rFonts w:eastAsia="Calibri"/>
          <w:color w:val="000000"/>
          <w:sz w:val="22"/>
          <w:szCs w:val="22"/>
        </w:rPr>
      </w:pPr>
      <w:r w:rsidRPr="00BA3FBD">
        <w:rPr>
          <w:rFonts w:eastAsia="Calibri"/>
          <w:color w:val="000000"/>
          <w:sz w:val="22"/>
          <w:szCs w:val="22"/>
        </w:rPr>
        <w:t>-</w:t>
      </w:r>
      <w:r w:rsidRPr="00BA3FBD">
        <w:rPr>
          <w:rFonts w:eastAsia="Calibri"/>
          <w:color w:val="000000"/>
          <w:sz w:val="22"/>
          <w:szCs w:val="22"/>
        </w:rPr>
        <w:tab/>
        <w:t>Jeigu pasireiškė šalutinis poveikis (net jeigu jis šiame lapelyje nenurodytas), kreipkitės į gydytoją, vaistininką arba slaugytoją. Žr. 4 skyrių.</w:t>
      </w:r>
    </w:p>
    <w:p w14:paraId="3B2EA024" w14:textId="77777777" w:rsidR="008A305D" w:rsidRPr="00BA3FBD" w:rsidRDefault="008A305D" w:rsidP="008A305D">
      <w:pPr>
        <w:autoSpaceDE w:val="0"/>
        <w:autoSpaceDN w:val="0"/>
        <w:adjustRightInd w:val="0"/>
        <w:rPr>
          <w:rFonts w:eastAsia="Calibri"/>
          <w:color w:val="000000"/>
          <w:sz w:val="22"/>
          <w:szCs w:val="22"/>
        </w:rPr>
      </w:pPr>
    </w:p>
    <w:p w14:paraId="06C269C9" w14:textId="77777777" w:rsidR="008A305D" w:rsidRPr="00BA3FBD" w:rsidRDefault="008A305D" w:rsidP="008A305D">
      <w:pPr>
        <w:autoSpaceDE w:val="0"/>
        <w:autoSpaceDN w:val="0"/>
        <w:adjustRightInd w:val="0"/>
        <w:rPr>
          <w:rFonts w:eastAsia="Calibri"/>
          <w:b/>
          <w:bCs/>
          <w:color w:val="000000"/>
          <w:sz w:val="22"/>
          <w:szCs w:val="22"/>
        </w:rPr>
      </w:pPr>
      <w:r w:rsidRPr="00BA3FBD">
        <w:rPr>
          <w:rFonts w:eastAsia="Calibri"/>
          <w:b/>
          <w:bCs/>
          <w:color w:val="000000"/>
          <w:sz w:val="22"/>
          <w:szCs w:val="22"/>
        </w:rPr>
        <w:t xml:space="preserve">Apie ką rašoma šiame lapelyje? </w:t>
      </w:r>
    </w:p>
    <w:p w14:paraId="6B60FC4A" w14:textId="77777777" w:rsidR="008A305D" w:rsidRPr="00BA3FBD" w:rsidRDefault="008A305D" w:rsidP="008A305D">
      <w:pPr>
        <w:autoSpaceDE w:val="0"/>
        <w:autoSpaceDN w:val="0"/>
        <w:adjustRightInd w:val="0"/>
        <w:rPr>
          <w:rFonts w:eastAsia="Calibri"/>
          <w:color w:val="000000"/>
          <w:sz w:val="22"/>
          <w:szCs w:val="22"/>
        </w:rPr>
      </w:pPr>
    </w:p>
    <w:p w14:paraId="02BB8C89"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 xml:space="preserve">1. Kas yra Imatinib Actavis Group ir kam jis vartojamas </w:t>
      </w:r>
    </w:p>
    <w:p w14:paraId="700B1B97"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 xml:space="preserve">2. Kas žinotina prieš vartojant Imatinib Actavis Group </w:t>
      </w:r>
    </w:p>
    <w:p w14:paraId="752E560F"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 xml:space="preserve">3. Kaip vartoti Imatinib Actavis Group </w:t>
      </w:r>
    </w:p>
    <w:p w14:paraId="0DA864EE"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 xml:space="preserve">4. Galimas šalutinis poveikis </w:t>
      </w:r>
    </w:p>
    <w:p w14:paraId="1034AC18"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5. Kaip laikyti Imatinib Actavis Group</w:t>
      </w:r>
    </w:p>
    <w:p w14:paraId="4FBADFF2"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 xml:space="preserve">6. Pakuotės turinys ir kita informacija </w:t>
      </w:r>
    </w:p>
    <w:p w14:paraId="4F2E2ED7" w14:textId="77777777" w:rsidR="008A305D" w:rsidRPr="00BA3FBD" w:rsidRDefault="008A305D" w:rsidP="008A305D">
      <w:pPr>
        <w:autoSpaceDE w:val="0"/>
        <w:autoSpaceDN w:val="0"/>
        <w:adjustRightInd w:val="0"/>
        <w:rPr>
          <w:rFonts w:eastAsia="Calibri"/>
          <w:sz w:val="22"/>
          <w:szCs w:val="22"/>
        </w:rPr>
      </w:pPr>
    </w:p>
    <w:p w14:paraId="39C7C579" w14:textId="77777777" w:rsidR="008A305D" w:rsidRPr="00BA3FBD" w:rsidRDefault="008A305D" w:rsidP="008A305D">
      <w:pPr>
        <w:autoSpaceDE w:val="0"/>
        <w:autoSpaceDN w:val="0"/>
        <w:adjustRightInd w:val="0"/>
        <w:rPr>
          <w:rFonts w:eastAsia="Calibri"/>
          <w:sz w:val="22"/>
          <w:szCs w:val="22"/>
        </w:rPr>
      </w:pPr>
    </w:p>
    <w:p w14:paraId="3FEF84DB" w14:textId="77777777" w:rsidR="008A305D" w:rsidRPr="00BA3FBD" w:rsidRDefault="008A305D" w:rsidP="008A305D">
      <w:pPr>
        <w:autoSpaceDE w:val="0"/>
        <w:autoSpaceDN w:val="0"/>
        <w:adjustRightInd w:val="0"/>
        <w:contextualSpacing/>
        <w:rPr>
          <w:rFonts w:eastAsia="Calibri"/>
          <w:b/>
          <w:bCs/>
          <w:color w:val="000000"/>
          <w:sz w:val="22"/>
          <w:szCs w:val="22"/>
        </w:rPr>
      </w:pPr>
      <w:r w:rsidRPr="00BA3FBD">
        <w:rPr>
          <w:b/>
          <w:bCs/>
        </w:rPr>
        <w:t>1.</w:t>
      </w:r>
      <w:r w:rsidRPr="00BA3FBD">
        <w:rPr>
          <w:b/>
          <w:bCs/>
        </w:rPr>
        <w:tab/>
      </w:r>
      <w:r w:rsidRPr="00BA3FBD">
        <w:rPr>
          <w:rFonts w:eastAsia="Calibri"/>
          <w:b/>
          <w:bCs/>
          <w:color w:val="000000"/>
          <w:sz w:val="22"/>
          <w:szCs w:val="22"/>
        </w:rPr>
        <w:t xml:space="preserve">Kas yra Imatinib Actavis Group ir kam jis vartojamas </w:t>
      </w:r>
    </w:p>
    <w:p w14:paraId="62C88D7D" w14:textId="77777777" w:rsidR="008A305D" w:rsidRPr="00BA3FBD" w:rsidRDefault="008A305D" w:rsidP="008A305D">
      <w:pPr>
        <w:autoSpaceDE w:val="0"/>
        <w:autoSpaceDN w:val="0"/>
        <w:adjustRightInd w:val="0"/>
        <w:rPr>
          <w:rFonts w:eastAsia="Calibri"/>
          <w:color w:val="000000"/>
          <w:sz w:val="22"/>
          <w:szCs w:val="22"/>
        </w:rPr>
      </w:pPr>
    </w:p>
    <w:p w14:paraId="42E8DCA3" w14:textId="77777777" w:rsidR="008A305D" w:rsidRPr="00BA3FBD" w:rsidRDefault="008A305D" w:rsidP="008A305D">
      <w:pPr>
        <w:autoSpaceDE w:val="0"/>
        <w:autoSpaceDN w:val="0"/>
        <w:adjustRightInd w:val="0"/>
        <w:rPr>
          <w:sz w:val="22"/>
          <w:szCs w:val="22"/>
        </w:rPr>
      </w:pPr>
      <w:r w:rsidRPr="00BA3FBD">
        <w:rPr>
          <w:rFonts w:eastAsia="Calibri"/>
          <w:color w:val="000000"/>
          <w:sz w:val="22"/>
          <w:szCs w:val="22"/>
        </w:rPr>
        <w:t xml:space="preserve">Imatinib Actavis Group yra vaistas, kurio sudėtyje yra veikliosios medžiagos imatinibo. Šis vaistas veikia slopindamas nenormalių ląstelių augimą, sergant </w:t>
      </w:r>
      <w:r w:rsidRPr="00BA3FBD">
        <w:rPr>
          <w:sz w:val="22"/>
          <w:szCs w:val="22"/>
        </w:rPr>
        <w:t xml:space="preserve">toliau išvardytomis ligomis. Jos apima ir kai kurių tipų vėžinius susirgimus. </w:t>
      </w:r>
    </w:p>
    <w:p w14:paraId="7A652617" w14:textId="77777777" w:rsidR="008A305D" w:rsidRPr="00BA3FBD" w:rsidRDefault="008A305D" w:rsidP="008A305D">
      <w:pPr>
        <w:keepNext/>
        <w:autoSpaceDE w:val="0"/>
        <w:autoSpaceDN w:val="0"/>
        <w:adjustRightInd w:val="0"/>
        <w:rPr>
          <w:rFonts w:eastAsia="Calibri"/>
          <w:sz w:val="22"/>
          <w:szCs w:val="22"/>
        </w:rPr>
      </w:pPr>
    </w:p>
    <w:p w14:paraId="15732822" w14:textId="77777777" w:rsidR="008A305D" w:rsidRPr="00BA3FBD" w:rsidRDefault="008A305D" w:rsidP="008A305D">
      <w:pPr>
        <w:autoSpaceDE w:val="0"/>
        <w:autoSpaceDN w:val="0"/>
        <w:adjustRightInd w:val="0"/>
        <w:rPr>
          <w:rFonts w:eastAsia="Calibri"/>
          <w:b/>
          <w:bCs/>
          <w:sz w:val="22"/>
          <w:szCs w:val="22"/>
        </w:rPr>
      </w:pPr>
      <w:r w:rsidRPr="00BA3FBD">
        <w:rPr>
          <w:rFonts w:eastAsia="Calibri"/>
          <w:b/>
          <w:bCs/>
          <w:sz w:val="22"/>
          <w:szCs w:val="22"/>
        </w:rPr>
        <w:t>Imatinib Actavis Group vartojamas gydyti:</w:t>
      </w:r>
    </w:p>
    <w:p w14:paraId="7DD769DA" w14:textId="77777777" w:rsidR="008A305D" w:rsidRPr="00BA3FBD" w:rsidRDefault="008A305D" w:rsidP="008A305D">
      <w:pPr>
        <w:autoSpaceDE w:val="0"/>
        <w:autoSpaceDN w:val="0"/>
        <w:adjustRightInd w:val="0"/>
        <w:rPr>
          <w:rFonts w:eastAsia="Calibri"/>
          <w:b/>
          <w:bCs/>
          <w:sz w:val="22"/>
          <w:szCs w:val="22"/>
        </w:rPr>
      </w:pPr>
    </w:p>
    <w:p w14:paraId="4C04D7AA" w14:textId="77777777" w:rsidR="008A305D" w:rsidRPr="00BA3FBD" w:rsidRDefault="008A305D" w:rsidP="008A305D">
      <w:pPr>
        <w:autoSpaceDE w:val="0"/>
        <w:autoSpaceDN w:val="0"/>
        <w:adjustRightInd w:val="0"/>
        <w:ind w:left="720" w:hanging="720"/>
        <w:rPr>
          <w:rFonts w:eastAsia="Calibri"/>
          <w:color w:val="000000"/>
          <w:sz w:val="22"/>
          <w:szCs w:val="22"/>
        </w:rPr>
      </w:pPr>
      <w:r w:rsidRPr="00BA3FBD">
        <w:rPr>
          <w:rFonts w:eastAsia="Calibri"/>
          <w:b/>
          <w:bCs/>
          <w:sz w:val="22"/>
          <w:szCs w:val="22"/>
        </w:rPr>
        <w:tab/>
      </w:r>
      <w:r>
        <w:rPr>
          <w:rFonts w:eastAsia="Calibri"/>
          <w:b/>
          <w:bCs/>
          <w:sz w:val="22"/>
          <w:szCs w:val="22"/>
        </w:rPr>
        <w:t>l</w:t>
      </w:r>
      <w:r w:rsidRPr="00BA3FBD">
        <w:rPr>
          <w:rFonts w:eastAsia="Calibri"/>
          <w:b/>
          <w:bCs/>
          <w:sz w:val="22"/>
          <w:szCs w:val="22"/>
        </w:rPr>
        <w:t xml:space="preserve">ėtinę mieloleukemiją (LML). </w:t>
      </w:r>
      <w:r w:rsidRPr="00BA3FBD">
        <w:rPr>
          <w:rFonts w:eastAsia="Calibri"/>
          <w:sz w:val="22"/>
          <w:szCs w:val="22"/>
        </w:rPr>
        <w:t>Leukemija – tai baltųjų kraujo</w:t>
      </w:r>
      <w:r w:rsidRPr="00BA3FBD">
        <w:rPr>
          <w:rFonts w:eastAsia="Calibri"/>
          <w:color w:val="000000"/>
          <w:sz w:val="22"/>
          <w:szCs w:val="22"/>
        </w:rPr>
        <w:t xml:space="preserve"> kūnelių vėžys. Paprastai šios baltosios ląstelės padeda organizmui kovoti su infekcija. Lėtinė mieloleukemija yra tokia leukemijos forma, kai dažniausiai nenormalios ląstelės (vadinamos mieloidinėmis ląstelėmis), pradeda nekontroliuojamai augti. </w:t>
      </w:r>
    </w:p>
    <w:p w14:paraId="70D27E2E" w14:textId="77777777" w:rsidR="008A305D" w:rsidRPr="00BA3FBD" w:rsidRDefault="008A305D" w:rsidP="008A305D">
      <w:pPr>
        <w:keepNext/>
        <w:autoSpaceDE w:val="0"/>
        <w:autoSpaceDN w:val="0"/>
        <w:adjustRightInd w:val="0"/>
        <w:rPr>
          <w:rFonts w:eastAsia="Calibri"/>
          <w:sz w:val="22"/>
          <w:szCs w:val="22"/>
        </w:rPr>
      </w:pPr>
    </w:p>
    <w:p w14:paraId="563F9A5A"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Suaugusiesiems Imatinib Actavis Group naudojamas toliausiai pažengusiai ligos fazei (blastinei krizei) gydyti. Vaikams ir paaugliams Imatinib Actavis Group gali būti vartojamas įvairioms ligos stadijoms gydyti (chroniškai, ūminei ir blastinei krizei).</w:t>
      </w:r>
    </w:p>
    <w:p w14:paraId="61116142" w14:textId="77777777" w:rsidR="008A305D" w:rsidRPr="00BA3FBD" w:rsidRDefault="008A305D" w:rsidP="008A305D">
      <w:pPr>
        <w:autoSpaceDE w:val="0"/>
        <w:autoSpaceDN w:val="0"/>
        <w:adjustRightInd w:val="0"/>
        <w:rPr>
          <w:rFonts w:eastAsia="Calibri"/>
          <w:color w:val="000000"/>
          <w:sz w:val="22"/>
          <w:szCs w:val="22"/>
          <w:lang w:eastAsia="is-IS"/>
        </w:rPr>
      </w:pPr>
    </w:p>
    <w:p w14:paraId="72CD16C3" w14:textId="77777777" w:rsidR="008A305D" w:rsidRPr="00BA3FBD" w:rsidRDefault="008A305D" w:rsidP="008A305D">
      <w:pPr>
        <w:autoSpaceDE w:val="0"/>
        <w:autoSpaceDN w:val="0"/>
        <w:adjustRightInd w:val="0"/>
        <w:rPr>
          <w:rFonts w:eastAsia="Calibri"/>
          <w:b/>
          <w:bCs/>
          <w:color w:val="000000"/>
          <w:sz w:val="22"/>
          <w:szCs w:val="22"/>
          <w:lang w:eastAsia="is-IS"/>
        </w:rPr>
      </w:pPr>
      <w:r w:rsidRPr="00BA3FBD">
        <w:rPr>
          <w:rFonts w:eastAsia="Calibri"/>
          <w:b/>
          <w:color w:val="000000"/>
          <w:sz w:val="22"/>
          <w:szCs w:val="22"/>
          <w:lang w:eastAsia="is-IS"/>
        </w:rPr>
        <w:t>Imatinib Actavis Group taip pat vartojamas</w:t>
      </w:r>
      <w:r>
        <w:rPr>
          <w:rFonts w:eastAsia="Calibri"/>
          <w:b/>
          <w:color w:val="000000"/>
          <w:sz w:val="22"/>
          <w:szCs w:val="22"/>
          <w:lang w:eastAsia="is-IS"/>
        </w:rPr>
        <w:t xml:space="preserve"> suaugusiųjų</w:t>
      </w:r>
      <w:r w:rsidRPr="00BA3FBD">
        <w:rPr>
          <w:rFonts w:eastAsia="Calibri"/>
          <w:b/>
          <w:bCs/>
          <w:color w:val="000000"/>
          <w:sz w:val="22"/>
          <w:szCs w:val="22"/>
          <w:lang w:eastAsia="is-IS"/>
        </w:rPr>
        <w:t>:</w:t>
      </w:r>
    </w:p>
    <w:p w14:paraId="40EF255C" w14:textId="77777777" w:rsidR="008A305D" w:rsidRPr="00BA3FBD" w:rsidRDefault="008A305D" w:rsidP="008A305D">
      <w:pPr>
        <w:autoSpaceDE w:val="0"/>
        <w:autoSpaceDN w:val="0"/>
        <w:adjustRightInd w:val="0"/>
        <w:rPr>
          <w:rFonts w:eastAsia="Calibri"/>
          <w:color w:val="000000"/>
          <w:sz w:val="22"/>
          <w:szCs w:val="22"/>
        </w:rPr>
      </w:pPr>
    </w:p>
    <w:p w14:paraId="31791144" w14:textId="77777777" w:rsidR="008A305D" w:rsidRPr="00BA3FBD" w:rsidRDefault="008A305D" w:rsidP="008A305D">
      <w:pPr>
        <w:pStyle w:val="Betarp"/>
        <w:numPr>
          <w:ilvl w:val="0"/>
          <w:numId w:val="1"/>
        </w:numPr>
        <w:ind w:left="567" w:hanging="567"/>
        <w:rPr>
          <w:rFonts w:eastAsia="Calibri"/>
          <w:sz w:val="22"/>
          <w:szCs w:val="22"/>
        </w:rPr>
      </w:pPr>
      <w:r w:rsidRPr="00BA3FBD">
        <w:rPr>
          <w:rFonts w:eastAsia="Calibri"/>
          <w:b/>
          <w:bCs/>
          <w:i/>
          <w:iCs/>
          <w:sz w:val="22"/>
          <w:szCs w:val="22"/>
        </w:rPr>
        <w:lastRenderedPageBreak/>
        <w:t xml:space="preserve">Philadelphia </w:t>
      </w:r>
      <w:r w:rsidRPr="00BA3FBD">
        <w:rPr>
          <w:rFonts w:eastAsia="Calibri"/>
          <w:b/>
          <w:bCs/>
          <w:sz w:val="22"/>
          <w:szCs w:val="22"/>
        </w:rPr>
        <w:t xml:space="preserve">chromosomai teigiamai ūminei limfoleukemijai (Ph teigiama ŪLL) gydyti. </w:t>
      </w:r>
      <w:r w:rsidRPr="00BA3FBD">
        <w:rPr>
          <w:rFonts w:eastAsia="Calibri"/>
          <w:sz w:val="22"/>
          <w:szCs w:val="22"/>
        </w:rPr>
        <w:t>Leukemija – tai baltųjų kraujo kūnelių vėžys. Paprastai šios baltosios ląstelės padeda organizmui kovoti su infekcija. Ūminė limfoleukemija yra tokia leukemijos forma, kai tam tikros nenormalios ląstelės (vadinamos limfoblastais) pradeda nekontroliuojamai augti. Imatinib Actavis Group slopina šių ląstelių augimą</w:t>
      </w:r>
      <w:r>
        <w:rPr>
          <w:rFonts w:eastAsia="Calibri"/>
          <w:sz w:val="22"/>
          <w:szCs w:val="22"/>
        </w:rPr>
        <w:t>;</w:t>
      </w:r>
      <w:r w:rsidRPr="00BA3FBD">
        <w:rPr>
          <w:rFonts w:eastAsia="Calibri"/>
          <w:sz w:val="22"/>
          <w:szCs w:val="22"/>
        </w:rPr>
        <w:t xml:space="preserve"> </w:t>
      </w:r>
    </w:p>
    <w:p w14:paraId="0C982530" w14:textId="77777777" w:rsidR="008A305D" w:rsidRPr="00BA3FBD" w:rsidRDefault="008A305D" w:rsidP="008A305D">
      <w:pPr>
        <w:pStyle w:val="Betarp"/>
        <w:numPr>
          <w:ilvl w:val="0"/>
          <w:numId w:val="1"/>
        </w:numPr>
        <w:ind w:left="567" w:hanging="567"/>
        <w:rPr>
          <w:rFonts w:eastAsia="Calibri"/>
          <w:sz w:val="22"/>
          <w:szCs w:val="22"/>
        </w:rPr>
      </w:pPr>
      <w:r>
        <w:rPr>
          <w:rFonts w:eastAsia="Calibri"/>
          <w:b/>
          <w:bCs/>
          <w:sz w:val="22"/>
          <w:szCs w:val="22"/>
        </w:rPr>
        <w:t>m</w:t>
      </w:r>
      <w:r w:rsidRPr="00BA3FBD">
        <w:rPr>
          <w:rFonts w:eastAsia="Calibri"/>
          <w:b/>
          <w:bCs/>
          <w:sz w:val="22"/>
          <w:szCs w:val="22"/>
        </w:rPr>
        <w:t xml:space="preserve">ielodisplazinėms ar mieloproliferacinėms ligoms (MDS/MPL) gydyti. </w:t>
      </w:r>
      <w:r w:rsidRPr="00BA3FBD">
        <w:rPr>
          <w:rFonts w:eastAsia="Calibri"/>
          <w:sz w:val="22"/>
          <w:szCs w:val="22"/>
        </w:rPr>
        <w:t>Tai kraujo ligos, kurių metu kai kurios kraujo ląstelės pradeda daugintis nekontroliuojamos. Imatinib Actavis Group slopina šių ląstelių augimą, sergant tam tikrais šių ligų potipiais</w:t>
      </w:r>
      <w:r>
        <w:rPr>
          <w:rFonts w:eastAsia="Calibri"/>
          <w:sz w:val="22"/>
          <w:szCs w:val="22"/>
        </w:rPr>
        <w:t>;</w:t>
      </w:r>
      <w:r w:rsidRPr="00BA3FBD">
        <w:rPr>
          <w:rFonts w:eastAsia="Calibri"/>
          <w:sz w:val="22"/>
          <w:szCs w:val="22"/>
        </w:rPr>
        <w:t xml:space="preserve"> </w:t>
      </w:r>
    </w:p>
    <w:p w14:paraId="43D760DA" w14:textId="77777777" w:rsidR="008A305D" w:rsidRPr="00BA3FBD" w:rsidRDefault="008A305D" w:rsidP="008A305D">
      <w:pPr>
        <w:pStyle w:val="Betarp"/>
        <w:numPr>
          <w:ilvl w:val="0"/>
          <w:numId w:val="1"/>
        </w:numPr>
        <w:ind w:left="567" w:hanging="567"/>
        <w:rPr>
          <w:rFonts w:eastAsia="Calibri"/>
          <w:sz w:val="22"/>
          <w:szCs w:val="22"/>
        </w:rPr>
      </w:pPr>
      <w:r>
        <w:rPr>
          <w:rFonts w:eastAsia="Calibri"/>
          <w:b/>
          <w:bCs/>
          <w:sz w:val="22"/>
          <w:szCs w:val="22"/>
        </w:rPr>
        <w:t>h</w:t>
      </w:r>
      <w:r w:rsidRPr="00BA3FBD">
        <w:rPr>
          <w:rFonts w:eastAsia="Calibri"/>
          <w:b/>
          <w:bCs/>
          <w:sz w:val="22"/>
          <w:szCs w:val="22"/>
        </w:rPr>
        <w:t xml:space="preserve">ipereozinofilijos sindromui (HES) ir (arba) lėtinei eozinofilinei leukemijai (LEL) gydyti. </w:t>
      </w:r>
      <w:r w:rsidRPr="00BA3FBD">
        <w:rPr>
          <w:rFonts w:eastAsia="Calibri"/>
          <w:sz w:val="22"/>
          <w:szCs w:val="22"/>
        </w:rPr>
        <w:t>Tai yra kraujo ligos, kurių metu kai kurios kraujo ląstelės (vadinamos eozinofilais) pradeda daugintis nekontroliuojamos. Imatinib Actavis Group slopina šių ląstelių augimą, sergant tam tikrais šių ligų potipiais</w:t>
      </w:r>
      <w:r>
        <w:rPr>
          <w:rFonts w:eastAsia="Calibri"/>
          <w:sz w:val="22"/>
          <w:szCs w:val="22"/>
        </w:rPr>
        <w:t>;</w:t>
      </w:r>
      <w:r w:rsidRPr="00BA3FBD">
        <w:rPr>
          <w:rFonts w:eastAsia="Calibri"/>
          <w:sz w:val="22"/>
          <w:szCs w:val="22"/>
        </w:rPr>
        <w:t xml:space="preserve"> </w:t>
      </w:r>
    </w:p>
    <w:p w14:paraId="38AB70CD" w14:textId="77777777" w:rsidR="008A305D" w:rsidRPr="00BA3FBD" w:rsidRDefault="008A305D" w:rsidP="008A305D">
      <w:pPr>
        <w:numPr>
          <w:ilvl w:val="0"/>
          <w:numId w:val="1"/>
        </w:numPr>
        <w:autoSpaceDE w:val="0"/>
        <w:autoSpaceDN w:val="0"/>
        <w:adjustRightInd w:val="0"/>
        <w:rPr>
          <w:rFonts w:eastAsia="Calibri"/>
          <w:sz w:val="22"/>
          <w:szCs w:val="22"/>
        </w:rPr>
      </w:pPr>
      <w:r>
        <w:rPr>
          <w:b/>
          <w:color w:val="000000"/>
          <w:sz w:val="22"/>
          <w:szCs w:val="22"/>
        </w:rPr>
        <w:t>v</w:t>
      </w:r>
      <w:r w:rsidRPr="00BA3FBD">
        <w:rPr>
          <w:b/>
          <w:color w:val="000000"/>
          <w:sz w:val="22"/>
          <w:szCs w:val="22"/>
        </w:rPr>
        <w:t>irškinimo trakto stromos navikui (</w:t>
      </w:r>
      <w:r w:rsidRPr="0045031A">
        <w:rPr>
          <w:b/>
          <w:color w:val="000000"/>
          <w:sz w:val="22"/>
          <w:szCs w:val="22"/>
        </w:rPr>
        <w:t>ang. gastrointestinal stromal tumor, GIST</w:t>
      </w:r>
      <w:r w:rsidRPr="00BA3FBD">
        <w:rPr>
          <w:b/>
          <w:color w:val="000000"/>
          <w:sz w:val="22"/>
          <w:szCs w:val="22"/>
        </w:rPr>
        <w:t xml:space="preserve">) </w:t>
      </w:r>
      <w:r w:rsidRPr="00BA3FBD">
        <w:rPr>
          <w:color w:val="000000"/>
          <w:sz w:val="22"/>
          <w:szCs w:val="22"/>
        </w:rPr>
        <w:t>gydyti</w:t>
      </w:r>
      <w:r w:rsidRPr="00BA3FBD">
        <w:rPr>
          <w:b/>
          <w:color w:val="000000"/>
          <w:sz w:val="22"/>
          <w:szCs w:val="22"/>
        </w:rPr>
        <w:t>.</w:t>
      </w:r>
      <w:r w:rsidRPr="00BA3FBD">
        <w:rPr>
          <w:color w:val="000000"/>
          <w:sz w:val="22"/>
          <w:szCs w:val="22"/>
        </w:rPr>
        <w:t xml:space="preserve"> </w:t>
      </w:r>
      <w:r>
        <w:rPr>
          <w:color w:val="000000"/>
          <w:sz w:val="22"/>
          <w:szCs w:val="22"/>
        </w:rPr>
        <w:t>GIST</w:t>
      </w:r>
      <w:r w:rsidRPr="00BA3FBD">
        <w:rPr>
          <w:color w:val="000000"/>
          <w:sz w:val="22"/>
          <w:szCs w:val="22"/>
        </w:rPr>
        <w:t xml:space="preserve"> – tai skrandžio ir žarnyno vėžys. Jis atsiranda dėl nekontroliuojamo šių organų pagalbinio audinio ląstelių augimo</w:t>
      </w:r>
      <w:r>
        <w:rPr>
          <w:color w:val="000000"/>
          <w:sz w:val="22"/>
          <w:szCs w:val="22"/>
        </w:rPr>
        <w:t>;</w:t>
      </w:r>
      <w:r w:rsidRPr="00BA3FBD">
        <w:rPr>
          <w:color w:val="000000"/>
          <w:sz w:val="22"/>
          <w:szCs w:val="22"/>
        </w:rPr>
        <w:t xml:space="preserve"> </w:t>
      </w:r>
    </w:p>
    <w:p w14:paraId="241327A4" w14:textId="77777777" w:rsidR="008A305D" w:rsidRPr="00BA3FBD" w:rsidRDefault="008A305D" w:rsidP="008A305D">
      <w:pPr>
        <w:pStyle w:val="Betarp"/>
        <w:numPr>
          <w:ilvl w:val="0"/>
          <w:numId w:val="1"/>
        </w:numPr>
        <w:ind w:left="567" w:hanging="567"/>
        <w:rPr>
          <w:rFonts w:eastAsia="Calibri"/>
          <w:sz w:val="22"/>
          <w:szCs w:val="22"/>
        </w:rPr>
      </w:pPr>
      <w:r>
        <w:rPr>
          <w:rFonts w:eastAsia="Calibri"/>
          <w:b/>
          <w:bCs/>
          <w:sz w:val="22"/>
          <w:szCs w:val="22"/>
        </w:rPr>
        <w:t>i</w:t>
      </w:r>
      <w:r w:rsidRPr="00BA3FBD">
        <w:rPr>
          <w:rFonts w:eastAsia="Calibri"/>
          <w:b/>
          <w:bCs/>
          <w:sz w:val="22"/>
          <w:szCs w:val="22"/>
        </w:rPr>
        <w:t xml:space="preserve">škiliajai dermatofibrosarkomai </w:t>
      </w:r>
      <w:r w:rsidRPr="00BA3FBD">
        <w:rPr>
          <w:rFonts w:eastAsia="Calibri"/>
          <w:i/>
          <w:iCs/>
          <w:sz w:val="22"/>
          <w:szCs w:val="22"/>
        </w:rPr>
        <w:t xml:space="preserve">(dermatofibrosarcoma protuberans </w:t>
      </w:r>
      <w:r w:rsidRPr="00BA3FBD">
        <w:rPr>
          <w:rFonts w:eastAsia="Calibri"/>
          <w:sz w:val="22"/>
          <w:szCs w:val="22"/>
        </w:rPr>
        <w:t xml:space="preserve">- </w:t>
      </w:r>
      <w:r w:rsidRPr="00BA3FBD">
        <w:rPr>
          <w:rFonts w:eastAsia="Calibri"/>
          <w:b/>
          <w:bCs/>
          <w:sz w:val="22"/>
          <w:szCs w:val="22"/>
        </w:rPr>
        <w:t>DFSP</w:t>
      </w:r>
      <w:r w:rsidRPr="00BA3FBD">
        <w:rPr>
          <w:rFonts w:eastAsia="Calibri"/>
          <w:sz w:val="22"/>
          <w:szCs w:val="22"/>
        </w:rPr>
        <w:t xml:space="preserve">) gydyti. DFSP - tai po oda esančio audinio vėžys, kurio metu kai kurios ląstelės pradeda nekontroliuojamai augti. Imatinib Actavis Group slopina šių ląstelių augimą. </w:t>
      </w:r>
    </w:p>
    <w:p w14:paraId="0DE476C7" w14:textId="77777777" w:rsidR="008A305D" w:rsidRPr="00BA3FBD" w:rsidRDefault="008A305D" w:rsidP="008A305D">
      <w:pPr>
        <w:pStyle w:val="Betarp"/>
        <w:rPr>
          <w:sz w:val="22"/>
          <w:szCs w:val="22"/>
        </w:rPr>
      </w:pPr>
      <w:r w:rsidRPr="00BA3FBD">
        <w:rPr>
          <w:sz w:val="22"/>
          <w:szCs w:val="22"/>
        </w:rPr>
        <w:t>Toliau šiame lapelyje apibūdinant minėtas ligas bus naudojamos nurodytos santrumpos.</w:t>
      </w:r>
    </w:p>
    <w:p w14:paraId="10AD6C9D" w14:textId="77777777" w:rsidR="008A305D" w:rsidRPr="00BA3FBD" w:rsidRDefault="008A305D" w:rsidP="008A305D">
      <w:pPr>
        <w:autoSpaceDE w:val="0"/>
        <w:autoSpaceDN w:val="0"/>
        <w:adjustRightInd w:val="0"/>
        <w:rPr>
          <w:rFonts w:eastAsia="Calibri"/>
          <w:color w:val="000000"/>
          <w:sz w:val="22"/>
          <w:szCs w:val="22"/>
        </w:rPr>
      </w:pPr>
    </w:p>
    <w:p w14:paraId="682C7EFA"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 Jums kiltų kokių nors klausimų apie Imatinib Actavis Group veikimą arba kodėl Jums jį paskyrė, klauskite gydytojo. </w:t>
      </w:r>
    </w:p>
    <w:p w14:paraId="0E1022A7" w14:textId="77777777" w:rsidR="008A305D" w:rsidRPr="00BA3FBD" w:rsidRDefault="008A305D" w:rsidP="008A305D">
      <w:pPr>
        <w:autoSpaceDE w:val="0"/>
        <w:autoSpaceDN w:val="0"/>
        <w:adjustRightInd w:val="0"/>
        <w:rPr>
          <w:rFonts w:eastAsia="Calibri"/>
          <w:sz w:val="22"/>
          <w:szCs w:val="22"/>
        </w:rPr>
      </w:pPr>
    </w:p>
    <w:p w14:paraId="1C0E0E60" w14:textId="77777777" w:rsidR="008A305D" w:rsidRPr="00BA3FBD" w:rsidRDefault="008A305D" w:rsidP="008A305D">
      <w:pPr>
        <w:autoSpaceDE w:val="0"/>
        <w:autoSpaceDN w:val="0"/>
        <w:adjustRightInd w:val="0"/>
        <w:rPr>
          <w:rFonts w:eastAsia="Calibri"/>
          <w:sz w:val="22"/>
          <w:szCs w:val="22"/>
        </w:rPr>
      </w:pPr>
    </w:p>
    <w:p w14:paraId="624A4B12" w14:textId="77777777" w:rsidR="008A305D" w:rsidRPr="00BA3FBD" w:rsidRDefault="008A305D" w:rsidP="008A305D">
      <w:pPr>
        <w:keepNext/>
        <w:autoSpaceDE w:val="0"/>
        <w:autoSpaceDN w:val="0"/>
        <w:adjustRightInd w:val="0"/>
        <w:rPr>
          <w:rFonts w:eastAsia="Calibri"/>
          <w:b/>
          <w:bCs/>
          <w:sz w:val="22"/>
          <w:szCs w:val="22"/>
        </w:rPr>
      </w:pPr>
      <w:r w:rsidRPr="00BA3FBD">
        <w:rPr>
          <w:rFonts w:eastAsia="Calibri"/>
          <w:b/>
          <w:bCs/>
          <w:sz w:val="22"/>
          <w:szCs w:val="22"/>
        </w:rPr>
        <w:t>2.</w:t>
      </w:r>
      <w:r w:rsidRPr="00BA3FBD">
        <w:rPr>
          <w:rFonts w:eastAsia="Calibri"/>
          <w:b/>
          <w:bCs/>
          <w:sz w:val="22"/>
          <w:szCs w:val="22"/>
        </w:rPr>
        <w:tab/>
        <w:t>Kas žinotina prieš vartojant Imatinib Actavis Group</w:t>
      </w:r>
    </w:p>
    <w:p w14:paraId="572ED558" w14:textId="77777777" w:rsidR="008A305D" w:rsidRPr="00BA3FBD" w:rsidRDefault="008A305D" w:rsidP="008A305D">
      <w:pPr>
        <w:keepNext/>
        <w:autoSpaceDE w:val="0"/>
        <w:autoSpaceDN w:val="0"/>
        <w:adjustRightInd w:val="0"/>
        <w:rPr>
          <w:rFonts w:eastAsia="Calibri"/>
          <w:bCs/>
          <w:sz w:val="22"/>
          <w:szCs w:val="22"/>
        </w:rPr>
      </w:pPr>
    </w:p>
    <w:p w14:paraId="3ABB68B6"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Imatinib Actavis Group Jums paskirs tik gydytojas, turintis kraujo vėžių arba solidinių navikų gydymo vaistais patirties. </w:t>
      </w:r>
    </w:p>
    <w:p w14:paraId="42ACDC7E" w14:textId="77777777" w:rsidR="008A305D" w:rsidRPr="00BA3FBD" w:rsidRDefault="008A305D" w:rsidP="008A305D">
      <w:pPr>
        <w:autoSpaceDE w:val="0"/>
        <w:autoSpaceDN w:val="0"/>
        <w:adjustRightInd w:val="0"/>
        <w:rPr>
          <w:rFonts w:eastAsia="Calibri"/>
          <w:sz w:val="22"/>
          <w:szCs w:val="22"/>
        </w:rPr>
      </w:pPr>
    </w:p>
    <w:p w14:paraId="7C93A776"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Tiksliai laikykitės visų gydytojo nurodymų, net jei jie skiriasi nuo bendrosios šiame lapelyje esančios informacijos. </w:t>
      </w:r>
    </w:p>
    <w:p w14:paraId="478C43F7" w14:textId="77777777" w:rsidR="008A305D" w:rsidRPr="00BA3FBD" w:rsidRDefault="008A305D" w:rsidP="008A305D">
      <w:pPr>
        <w:autoSpaceDE w:val="0"/>
        <w:autoSpaceDN w:val="0"/>
        <w:adjustRightInd w:val="0"/>
        <w:rPr>
          <w:rFonts w:eastAsia="Calibri"/>
          <w:b/>
          <w:bCs/>
          <w:sz w:val="22"/>
          <w:szCs w:val="22"/>
        </w:rPr>
      </w:pPr>
    </w:p>
    <w:p w14:paraId="6B183C5C"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Imatinib Actavis Group vartoti negalima: </w:t>
      </w:r>
    </w:p>
    <w:p w14:paraId="1BD08943" w14:textId="77777777" w:rsidR="008A305D" w:rsidRPr="00BA3FBD" w:rsidRDefault="008A305D" w:rsidP="008A305D">
      <w:pPr>
        <w:numPr>
          <w:ilvl w:val="0"/>
          <w:numId w:val="1"/>
        </w:numPr>
        <w:autoSpaceDE w:val="0"/>
        <w:autoSpaceDN w:val="0"/>
        <w:adjustRightInd w:val="0"/>
        <w:spacing w:after="200" w:line="276" w:lineRule="auto"/>
        <w:ind w:left="709" w:hanging="709"/>
        <w:contextualSpacing/>
        <w:rPr>
          <w:rFonts w:eastAsia="Calibri"/>
          <w:sz w:val="22"/>
          <w:szCs w:val="22"/>
        </w:rPr>
      </w:pPr>
      <w:r w:rsidRPr="00BA3FBD">
        <w:rPr>
          <w:rFonts w:eastAsia="Calibri"/>
          <w:sz w:val="22"/>
          <w:szCs w:val="22"/>
        </w:rPr>
        <w:t xml:space="preserve">jeigu yra alergija imatinibui arba bet kuriai pagalbinei šio vaisto medžiagai (jos išvardytos 6 skyriuje). </w:t>
      </w:r>
    </w:p>
    <w:p w14:paraId="2A2EA223"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 ši sąlyga Jums tinka, </w:t>
      </w:r>
      <w:r w:rsidRPr="00BA3FBD">
        <w:rPr>
          <w:rFonts w:eastAsia="Calibri"/>
          <w:b/>
          <w:bCs/>
          <w:sz w:val="22"/>
          <w:szCs w:val="22"/>
        </w:rPr>
        <w:t xml:space="preserve">nevartokite Imatinib Actavis Group ir apie tai pasakykite gydytojui. </w:t>
      </w:r>
    </w:p>
    <w:p w14:paraId="5A0EE78A" w14:textId="77777777" w:rsidR="008A305D" w:rsidRPr="00BA3FBD" w:rsidRDefault="008A305D" w:rsidP="008A305D">
      <w:pPr>
        <w:autoSpaceDE w:val="0"/>
        <w:autoSpaceDN w:val="0"/>
        <w:adjustRightInd w:val="0"/>
        <w:rPr>
          <w:rFonts w:eastAsia="Calibri"/>
          <w:sz w:val="22"/>
          <w:szCs w:val="22"/>
        </w:rPr>
      </w:pPr>
    </w:p>
    <w:p w14:paraId="08D57646"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lastRenderedPageBreak/>
        <w:t>Jeigu manote, kad galite būti alergiškas, bet nesate tikras, kreipkitės patarimo į gydytoją.</w:t>
      </w:r>
    </w:p>
    <w:p w14:paraId="00270671"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 </w:t>
      </w:r>
    </w:p>
    <w:p w14:paraId="742EDA90"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Įspėjimai ir atsargumo priemonės </w:t>
      </w:r>
    </w:p>
    <w:p w14:paraId="4483CB63"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Pasitarkite su gydytoju, </w:t>
      </w:r>
      <w:r w:rsidR="00EF2EAE">
        <w:rPr>
          <w:rFonts w:eastAsia="Calibri"/>
          <w:sz w:val="22"/>
          <w:szCs w:val="22"/>
        </w:rPr>
        <w:t xml:space="preserve">vaistininku arba slaugytoju, </w:t>
      </w:r>
      <w:r w:rsidRPr="00BA3FBD">
        <w:rPr>
          <w:rFonts w:eastAsia="Calibri"/>
          <w:sz w:val="22"/>
          <w:szCs w:val="22"/>
        </w:rPr>
        <w:t xml:space="preserve">prieš pradėdami vartoti Imatinib Actavis Group: </w:t>
      </w:r>
    </w:p>
    <w:p w14:paraId="0F1E6D9C"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w:t>
      </w:r>
      <w:r w:rsidRPr="00BA3FBD">
        <w:rPr>
          <w:rFonts w:eastAsia="Calibri"/>
          <w:sz w:val="22"/>
          <w:szCs w:val="22"/>
        </w:rPr>
        <w:tab/>
        <w:t xml:space="preserve">jeigu Jums yra ar kada nors yra buvę kepenų, inkstų ar širdies sutrikimų, </w:t>
      </w:r>
    </w:p>
    <w:p w14:paraId="1D5FA894" w14:textId="77777777" w:rsidR="008A305D" w:rsidRDefault="008A305D" w:rsidP="008A305D">
      <w:pPr>
        <w:autoSpaceDE w:val="0"/>
        <w:autoSpaceDN w:val="0"/>
        <w:adjustRightInd w:val="0"/>
        <w:rPr>
          <w:rFonts w:eastAsia="Calibri"/>
          <w:sz w:val="22"/>
          <w:szCs w:val="22"/>
        </w:rPr>
      </w:pPr>
      <w:r w:rsidRPr="00BA3FBD">
        <w:rPr>
          <w:rFonts w:eastAsia="Calibri"/>
          <w:sz w:val="22"/>
          <w:szCs w:val="22"/>
        </w:rPr>
        <w:t>-</w:t>
      </w:r>
      <w:r w:rsidRPr="00BA3FBD">
        <w:rPr>
          <w:rFonts w:eastAsia="Calibri"/>
          <w:sz w:val="22"/>
          <w:szCs w:val="22"/>
        </w:rPr>
        <w:tab/>
        <w:t xml:space="preserve">jeigu dėl pašalintos skydliaukės vartojate vaistinio preparato levotiroksino. </w:t>
      </w:r>
    </w:p>
    <w:p w14:paraId="79D3045D" w14:textId="77777777" w:rsidR="00EF2EAE" w:rsidRPr="00BA3FBD" w:rsidRDefault="00EF2EAE" w:rsidP="009E05E3">
      <w:pPr>
        <w:autoSpaceDE w:val="0"/>
        <w:autoSpaceDN w:val="0"/>
        <w:adjustRightInd w:val="0"/>
        <w:ind w:left="1290" w:hanging="1290"/>
        <w:rPr>
          <w:rFonts w:eastAsia="Calibri"/>
          <w:sz w:val="22"/>
          <w:szCs w:val="22"/>
        </w:rPr>
      </w:pPr>
      <w:r w:rsidRPr="00EF2EAE">
        <w:rPr>
          <w:rFonts w:eastAsia="Calibri"/>
          <w:sz w:val="22"/>
          <w:szCs w:val="22"/>
        </w:rPr>
        <w:t>-</w:t>
      </w:r>
      <w:r w:rsidRPr="00EF2EAE">
        <w:rPr>
          <w:rFonts w:eastAsia="Calibri"/>
          <w:sz w:val="22"/>
          <w:szCs w:val="22"/>
        </w:rPr>
        <w:tab/>
        <w:t>jums kada nors buvo diagnozuota hepatito B infekcija arba šiuo metu galite būti užsikrėtę šiuo virusu. Tai būtina, nes Imatinib Actavis Group gali vėl suaktyvinti hepatito B virusą, o kai kuriais atvejais tai gali būti mirtina. Prieš pradedant gydymą, gydytojas atidžiai patikrins, ar pacientas neturi šios infekcijos požymių.</w:t>
      </w:r>
    </w:p>
    <w:p w14:paraId="2F5B5261"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 bet kuri šių sąlygų Jums tinka, </w:t>
      </w:r>
      <w:r w:rsidRPr="00BA3FBD">
        <w:rPr>
          <w:rFonts w:eastAsia="Calibri"/>
          <w:b/>
          <w:bCs/>
          <w:sz w:val="22"/>
          <w:szCs w:val="22"/>
        </w:rPr>
        <w:t>prieš pradėdami vartoti Imatinib Actavis Group, pasakykite gydytojui</w:t>
      </w:r>
      <w:r w:rsidRPr="00BA3FBD">
        <w:rPr>
          <w:rFonts w:eastAsia="Calibri"/>
          <w:sz w:val="22"/>
          <w:szCs w:val="22"/>
        </w:rPr>
        <w:t xml:space="preserve">. </w:t>
      </w:r>
    </w:p>
    <w:p w14:paraId="5D7430F9" w14:textId="77777777" w:rsidR="008A305D" w:rsidRPr="00BA3FBD" w:rsidRDefault="008A305D" w:rsidP="008A305D">
      <w:pPr>
        <w:autoSpaceDE w:val="0"/>
        <w:autoSpaceDN w:val="0"/>
        <w:adjustRightInd w:val="0"/>
        <w:rPr>
          <w:rFonts w:eastAsia="Calibri"/>
          <w:b/>
          <w:bCs/>
          <w:sz w:val="22"/>
          <w:szCs w:val="22"/>
        </w:rPr>
      </w:pPr>
    </w:p>
    <w:p w14:paraId="4D87A336"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Imatinib Actavis Group vartojimo metu nedelsdami kreipkitės į gydytoją, </w:t>
      </w:r>
      <w:r w:rsidRPr="00BA3FBD">
        <w:rPr>
          <w:rFonts w:eastAsia="Calibri"/>
          <w:sz w:val="22"/>
          <w:szCs w:val="22"/>
        </w:rPr>
        <w:t xml:space="preserve">jeigu Jums labai greitai padidėjo kūno svoris. Dėl Imatinib Actavis Group poveikio Jūsų kūne gali kauptis skysčių (pasireikšti sunkus skysčių susilaikymas). </w:t>
      </w:r>
    </w:p>
    <w:p w14:paraId="678D37E4" w14:textId="77777777" w:rsidR="008A305D" w:rsidRPr="00BA3FBD" w:rsidRDefault="008A305D" w:rsidP="008A305D">
      <w:pPr>
        <w:autoSpaceDE w:val="0"/>
        <w:autoSpaceDN w:val="0"/>
        <w:adjustRightInd w:val="0"/>
        <w:rPr>
          <w:rFonts w:eastAsia="Calibri"/>
          <w:sz w:val="22"/>
          <w:szCs w:val="22"/>
        </w:rPr>
      </w:pPr>
    </w:p>
    <w:p w14:paraId="2FA60789"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Jums vartojant Imatinib Actavis Group, gydytojas reguliariai tikrins, ar vaistinis preparatas veikia. Jums taip pat reguliariai tirs kraują ir kūno svorį. </w:t>
      </w:r>
    </w:p>
    <w:p w14:paraId="0F7BE738" w14:textId="77777777" w:rsidR="008A305D" w:rsidRPr="00BA3FBD" w:rsidRDefault="008A305D" w:rsidP="008A305D">
      <w:pPr>
        <w:autoSpaceDE w:val="0"/>
        <w:autoSpaceDN w:val="0"/>
        <w:adjustRightInd w:val="0"/>
        <w:rPr>
          <w:rFonts w:eastAsia="Calibri"/>
          <w:b/>
          <w:bCs/>
          <w:sz w:val="22"/>
          <w:szCs w:val="22"/>
        </w:rPr>
      </w:pPr>
    </w:p>
    <w:p w14:paraId="1F61F7A8"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Vaikams ir paaugliams </w:t>
      </w:r>
    </w:p>
    <w:p w14:paraId="0C66B73C"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Imatinib Actavis Group taip pat gydomi vaikai ir paaugliai, sergantys LML. Vartojimo patirties vaikams, jaunesniems kaip 2 metų ir sergantiems LML, nėra. </w:t>
      </w:r>
      <w:r w:rsidRPr="00BA3FBD">
        <w:rPr>
          <w:sz w:val="22"/>
          <w:szCs w:val="22"/>
        </w:rPr>
        <w:t xml:space="preserve">Vartojimo patirties vaikams ir paaugliams, sergantiems Ph teigiama ŪLL, yra nedaug, o vartojimo patirties vaikams ir paaugliams, sergantiems MDS/MPL, DFSP, </w:t>
      </w:r>
      <w:r>
        <w:rPr>
          <w:sz w:val="22"/>
          <w:szCs w:val="22"/>
        </w:rPr>
        <w:t>GIST</w:t>
      </w:r>
      <w:r w:rsidRPr="00BA3FBD">
        <w:rPr>
          <w:sz w:val="22"/>
          <w:szCs w:val="22"/>
        </w:rPr>
        <w:t xml:space="preserve"> ir HES/LEL, yra labai nedaug.</w:t>
      </w:r>
    </w:p>
    <w:p w14:paraId="5B902C0C" w14:textId="77777777" w:rsidR="008A305D" w:rsidRPr="00BA3FBD" w:rsidRDefault="008A305D" w:rsidP="008A305D">
      <w:pPr>
        <w:autoSpaceDE w:val="0"/>
        <w:autoSpaceDN w:val="0"/>
        <w:adjustRightInd w:val="0"/>
        <w:rPr>
          <w:rFonts w:eastAsia="Calibri"/>
          <w:sz w:val="22"/>
          <w:szCs w:val="22"/>
        </w:rPr>
      </w:pPr>
    </w:p>
    <w:p w14:paraId="44F6AB7D"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Kai kurių vaikų ir paauglių, vartojančių Imatinib Actavis Group, augimas gali būti lėtesnis nei įprasta. Todėl gydytojas tikrins augimą įprastų vizitų metu. </w:t>
      </w:r>
    </w:p>
    <w:p w14:paraId="461DC02A" w14:textId="77777777" w:rsidR="008A305D" w:rsidRPr="00BA3FBD" w:rsidRDefault="008A305D" w:rsidP="008A305D">
      <w:pPr>
        <w:autoSpaceDE w:val="0"/>
        <w:autoSpaceDN w:val="0"/>
        <w:adjustRightInd w:val="0"/>
        <w:rPr>
          <w:rFonts w:eastAsia="Calibri"/>
          <w:sz w:val="22"/>
          <w:szCs w:val="22"/>
        </w:rPr>
      </w:pPr>
    </w:p>
    <w:p w14:paraId="7E61D85B" w14:textId="77777777" w:rsidR="008A305D" w:rsidRPr="00BA3FBD" w:rsidRDefault="008A305D" w:rsidP="008A305D">
      <w:pPr>
        <w:autoSpaceDE w:val="0"/>
        <w:autoSpaceDN w:val="0"/>
        <w:adjustRightInd w:val="0"/>
        <w:rPr>
          <w:rFonts w:eastAsia="Calibri"/>
          <w:b/>
          <w:sz w:val="22"/>
          <w:szCs w:val="22"/>
        </w:rPr>
      </w:pPr>
      <w:r w:rsidRPr="00BA3FBD">
        <w:rPr>
          <w:rFonts w:eastAsia="Calibri"/>
          <w:b/>
          <w:sz w:val="22"/>
          <w:szCs w:val="22"/>
        </w:rPr>
        <w:t>Kiti vaistai ir Imatinib Actavis Group</w:t>
      </w:r>
    </w:p>
    <w:p w14:paraId="0AB617BE"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Jeigu vartojate ar neseniai vartojote kitų vaistų arba dėl to nesate tikri, įskaitant įsigytus be recepto (tokių kaip paracetamolio) ir taip pat augalinių (tokių kaip jonažolės preparatų), apie tai pasakykite gydytojui arba vaistininkui. Kai kurie vaistiniai preparatai vartojami kartu gali sąveikauti su Imatinib Actavis Group. Jie gali padidinti arba sumažinti Imatinib Actavis Group poveikį, arba padidindami nepageidaujamų reiškinių pasireiškimo dažnį, arba mažindami Imatinib Actavis Group veiksmingumą. Imatinib Actavis Group gali panašiai veikti kai kuriuos kitus vaistinius preparatus. </w:t>
      </w:r>
    </w:p>
    <w:p w14:paraId="06B99118" w14:textId="77777777" w:rsidR="008A305D" w:rsidRPr="00BA3FBD" w:rsidRDefault="008A305D" w:rsidP="008A305D">
      <w:pPr>
        <w:autoSpaceDE w:val="0"/>
        <w:autoSpaceDN w:val="0"/>
        <w:adjustRightInd w:val="0"/>
        <w:rPr>
          <w:rFonts w:eastAsia="Calibri"/>
          <w:sz w:val="22"/>
          <w:szCs w:val="22"/>
        </w:rPr>
      </w:pPr>
    </w:p>
    <w:p w14:paraId="17FFFA9F" w14:textId="77777777" w:rsidR="008A305D" w:rsidRPr="00BA3FBD" w:rsidRDefault="008A305D" w:rsidP="008A305D">
      <w:pPr>
        <w:autoSpaceDE w:val="0"/>
        <w:autoSpaceDN w:val="0"/>
        <w:adjustRightInd w:val="0"/>
        <w:rPr>
          <w:rFonts w:eastAsia="Calibri"/>
          <w:b/>
          <w:sz w:val="22"/>
          <w:szCs w:val="22"/>
        </w:rPr>
      </w:pPr>
      <w:r w:rsidRPr="00BA3FBD">
        <w:rPr>
          <w:rFonts w:eastAsia="Calibri"/>
          <w:sz w:val="22"/>
          <w:szCs w:val="22"/>
        </w:rPr>
        <w:lastRenderedPageBreak/>
        <w:t>Pasakykite gydytojui, jei vartojate vaistų, kurie apsaugo nuo kraujo krešulių susidarymo.</w:t>
      </w:r>
    </w:p>
    <w:p w14:paraId="523E6261" w14:textId="77777777" w:rsidR="008A305D" w:rsidRPr="00BA3FBD" w:rsidRDefault="008A305D" w:rsidP="008A305D">
      <w:pPr>
        <w:autoSpaceDE w:val="0"/>
        <w:autoSpaceDN w:val="0"/>
        <w:adjustRightInd w:val="0"/>
        <w:rPr>
          <w:rFonts w:eastAsia="Calibri"/>
          <w:sz w:val="22"/>
          <w:szCs w:val="22"/>
        </w:rPr>
      </w:pPr>
    </w:p>
    <w:p w14:paraId="3E50FB0E"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Nėštumas, žindymo laikotarpis ir vaisingumas </w:t>
      </w:r>
    </w:p>
    <w:p w14:paraId="43BC1D6E" w14:textId="77777777" w:rsidR="008A305D" w:rsidRPr="00BA3FBD" w:rsidRDefault="008A305D" w:rsidP="008A305D">
      <w:pPr>
        <w:autoSpaceDE w:val="0"/>
        <w:autoSpaceDN w:val="0"/>
        <w:adjustRightInd w:val="0"/>
        <w:spacing w:after="23"/>
        <w:ind w:left="720" w:hanging="720"/>
        <w:rPr>
          <w:rFonts w:eastAsia="Calibri"/>
          <w:sz w:val="22"/>
          <w:szCs w:val="22"/>
        </w:rPr>
      </w:pPr>
      <w:r w:rsidRPr="00BA3FBD">
        <w:rPr>
          <w:rFonts w:eastAsia="Calibri"/>
          <w:sz w:val="22"/>
          <w:szCs w:val="22"/>
        </w:rPr>
        <w:t>-</w:t>
      </w:r>
      <w:r w:rsidRPr="00BA3FBD">
        <w:rPr>
          <w:rFonts w:eastAsia="Calibri"/>
          <w:sz w:val="22"/>
          <w:szCs w:val="22"/>
        </w:rPr>
        <w:tab/>
        <w:t xml:space="preserve">Jeigu esate nėščia, žindote kūdikį, manote, kad galbūt esate nėščia arba planuojate pastoti, tai prieš vartodama šį vaistą pasitarkite su gydytoju. </w:t>
      </w:r>
    </w:p>
    <w:p w14:paraId="22C1DA88" w14:textId="77777777" w:rsidR="008A305D" w:rsidRPr="00BA3FBD" w:rsidRDefault="008A305D" w:rsidP="008A305D">
      <w:pPr>
        <w:autoSpaceDE w:val="0"/>
        <w:autoSpaceDN w:val="0"/>
        <w:adjustRightInd w:val="0"/>
        <w:spacing w:after="23"/>
        <w:ind w:left="720" w:hanging="720"/>
        <w:rPr>
          <w:rFonts w:eastAsia="Calibri"/>
          <w:sz w:val="22"/>
          <w:szCs w:val="22"/>
        </w:rPr>
      </w:pPr>
      <w:r w:rsidRPr="00BA3FBD">
        <w:rPr>
          <w:rFonts w:eastAsia="Calibri"/>
          <w:sz w:val="22"/>
          <w:szCs w:val="22"/>
        </w:rPr>
        <w:t>-</w:t>
      </w:r>
      <w:r w:rsidRPr="00BA3FBD">
        <w:rPr>
          <w:rFonts w:eastAsia="Calibri"/>
          <w:sz w:val="22"/>
          <w:szCs w:val="22"/>
        </w:rPr>
        <w:tab/>
        <w:t xml:space="preserve">Imatinib Actavis Group nerekomenduojama vartoti nėščiosioms, nebent neišvengiama, nes tai gali pakenkti Jūsų kūdikiui. Gydytojas supažindins Jus su galima Imatinib Actavis Group vartojimo nėštumo laikotarpiu rizika. </w:t>
      </w:r>
    </w:p>
    <w:p w14:paraId="01E95785" w14:textId="77777777" w:rsidR="008A305D" w:rsidRPr="00BA3FBD" w:rsidRDefault="008A305D" w:rsidP="008A305D">
      <w:pPr>
        <w:autoSpaceDE w:val="0"/>
        <w:autoSpaceDN w:val="0"/>
        <w:adjustRightInd w:val="0"/>
        <w:spacing w:after="23"/>
        <w:ind w:left="720" w:hanging="720"/>
        <w:rPr>
          <w:rFonts w:eastAsia="Calibri"/>
          <w:sz w:val="22"/>
          <w:szCs w:val="22"/>
        </w:rPr>
      </w:pPr>
      <w:r w:rsidRPr="00BA3FBD">
        <w:rPr>
          <w:rFonts w:eastAsia="Calibri"/>
          <w:sz w:val="22"/>
          <w:szCs w:val="22"/>
        </w:rPr>
        <w:t>-</w:t>
      </w:r>
      <w:r w:rsidRPr="00BA3FBD">
        <w:rPr>
          <w:rFonts w:eastAsia="Calibri"/>
          <w:sz w:val="22"/>
          <w:szCs w:val="22"/>
        </w:rPr>
        <w:tab/>
        <w:t xml:space="preserve">Moterims, galinčioms pastoti, gydantis šiuo vaistu rekomenduojama taikyti efektyvias kontracepcijos priemones. </w:t>
      </w:r>
    </w:p>
    <w:p w14:paraId="6FCF410F" w14:textId="77777777" w:rsidR="008A305D" w:rsidRPr="00BA3FBD" w:rsidRDefault="008A305D" w:rsidP="008A305D">
      <w:pPr>
        <w:autoSpaceDE w:val="0"/>
        <w:autoSpaceDN w:val="0"/>
        <w:adjustRightInd w:val="0"/>
        <w:spacing w:after="23"/>
        <w:rPr>
          <w:rFonts w:eastAsia="Calibri"/>
          <w:sz w:val="22"/>
          <w:szCs w:val="22"/>
        </w:rPr>
      </w:pPr>
      <w:r w:rsidRPr="00BA3FBD">
        <w:rPr>
          <w:rFonts w:eastAsia="Calibri"/>
          <w:sz w:val="22"/>
          <w:szCs w:val="22"/>
        </w:rPr>
        <w:t>-</w:t>
      </w:r>
      <w:r w:rsidRPr="00BA3FBD">
        <w:rPr>
          <w:rFonts w:eastAsia="Calibri"/>
          <w:sz w:val="22"/>
          <w:szCs w:val="22"/>
        </w:rPr>
        <w:tab/>
        <w:t xml:space="preserve">Vartodama Imatinib Actavis Group, kūdikio nežindykite. </w:t>
      </w:r>
    </w:p>
    <w:p w14:paraId="7CFFE20C" w14:textId="77777777" w:rsidR="008A305D" w:rsidRPr="00BA3FBD" w:rsidRDefault="008A305D" w:rsidP="008A305D">
      <w:pPr>
        <w:autoSpaceDE w:val="0"/>
        <w:autoSpaceDN w:val="0"/>
        <w:adjustRightInd w:val="0"/>
        <w:ind w:left="720" w:hanging="720"/>
        <w:rPr>
          <w:rFonts w:eastAsia="Calibri"/>
          <w:sz w:val="22"/>
          <w:szCs w:val="22"/>
        </w:rPr>
      </w:pPr>
      <w:r w:rsidRPr="00BA3FBD">
        <w:rPr>
          <w:rFonts w:eastAsia="Calibri"/>
          <w:sz w:val="22"/>
          <w:szCs w:val="22"/>
        </w:rPr>
        <w:t>-</w:t>
      </w:r>
      <w:r w:rsidRPr="00BA3FBD">
        <w:rPr>
          <w:rFonts w:eastAsia="Calibri"/>
          <w:sz w:val="22"/>
          <w:szCs w:val="22"/>
        </w:rPr>
        <w:tab/>
        <w:t xml:space="preserve">Pacientai Imatinib Actavis Group vartojimo laikotarpiu dėl savo vaisingumo turi konsultuotis su gydytoju. </w:t>
      </w:r>
    </w:p>
    <w:p w14:paraId="7F8FD207" w14:textId="77777777" w:rsidR="008A305D" w:rsidRPr="00BA3FBD" w:rsidRDefault="008A305D" w:rsidP="008A305D">
      <w:pPr>
        <w:autoSpaceDE w:val="0"/>
        <w:autoSpaceDN w:val="0"/>
        <w:adjustRightInd w:val="0"/>
        <w:rPr>
          <w:rFonts w:eastAsia="Calibri"/>
          <w:sz w:val="22"/>
          <w:szCs w:val="22"/>
        </w:rPr>
      </w:pPr>
    </w:p>
    <w:p w14:paraId="4B79577F"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Vairavimas ir mechanizmų valdymas </w:t>
      </w:r>
    </w:p>
    <w:p w14:paraId="091E6DD8"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Vartodami šio vaisto galite jausti galvos svaigimą ar mieguistumą arba Jums gali pasireikšti neryškus matymas. Jeigu taip atsitiktų, nevairuokite ir nevaldykite bet kokios rūšies mechanizmų, kol vėl nepasijusite gerai. </w:t>
      </w:r>
    </w:p>
    <w:p w14:paraId="6F68AE9D" w14:textId="77777777" w:rsidR="008A305D" w:rsidRPr="00BA3FBD" w:rsidRDefault="008A305D" w:rsidP="008A305D">
      <w:pPr>
        <w:autoSpaceDE w:val="0"/>
        <w:autoSpaceDN w:val="0"/>
        <w:adjustRightInd w:val="0"/>
        <w:rPr>
          <w:rFonts w:eastAsia="Calibri"/>
          <w:b/>
          <w:sz w:val="22"/>
          <w:szCs w:val="22"/>
        </w:rPr>
      </w:pPr>
    </w:p>
    <w:p w14:paraId="1DFFB140" w14:textId="77777777" w:rsidR="008A305D" w:rsidRPr="00BA3FBD" w:rsidRDefault="008A305D" w:rsidP="008A305D">
      <w:pPr>
        <w:autoSpaceDE w:val="0"/>
        <w:autoSpaceDN w:val="0"/>
        <w:adjustRightInd w:val="0"/>
        <w:rPr>
          <w:rFonts w:eastAsia="Calibri"/>
          <w:b/>
          <w:sz w:val="22"/>
          <w:szCs w:val="22"/>
        </w:rPr>
      </w:pPr>
      <w:r w:rsidRPr="00BA3FBD">
        <w:rPr>
          <w:rFonts w:eastAsia="Calibri"/>
          <w:b/>
          <w:sz w:val="22"/>
          <w:szCs w:val="22"/>
        </w:rPr>
        <w:t>Imatinib Actavis Group sudėtyje yra laktozės</w:t>
      </w:r>
    </w:p>
    <w:p w14:paraId="753FB399"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Jei gydytojas Jums kada nors yra sakęs, kad Jūs netoleruojate angliavandenių, kreipkitės į savo gydytoją prieš pradėdamas vartoti šį vaistą.</w:t>
      </w:r>
    </w:p>
    <w:p w14:paraId="27D9DC22" w14:textId="77777777" w:rsidR="008A305D" w:rsidRPr="00BA3FBD" w:rsidRDefault="008A305D" w:rsidP="008A305D">
      <w:pPr>
        <w:autoSpaceDE w:val="0"/>
        <w:autoSpaceDN w:val="0"/>
        <w:adjustRightInd w:val="0"/>
        <w:rPr>
          <w:rFonts w:eastAsia="Calibri"/>
          <w:sz w:val="22"/>
          <w:szCs w:val="22"/>
        </w:rPr>
      </w:pPr>
    </w:p>
    <w:p w14:paraId="6BDEDF3D" w14:textId="77777777" w:rsidR="008A305D" w:rsidRPr="00BA3FBD" w:rsidRDefault="008A305D" w:rsidP="008A305D">
      <w:pPr>
        <w:autoSpaceDE w:val="0"/>
        <w:autoSpaceDN w:val="0"/>
        <w:adjustRightInd w:val="0"/>
        <w:rPr>
          <w:rFonts w:eastAsia="Calibri"/>
          <w:sz w:val="22"/>
          <w:szCs w:val="22"/>
        </w:rPr>
      </w:pPr>
    </w:p>
    <w:p w14:paraId="60270DA9" w14:textId="77777777" w:rsidR="008A305D" w:rsidRPr="00BA3FBD" w:rsidRDefault="008A305D" w:rsidP="008A305D">
      <w:pPr>
        <w:rPr>
          <w:rFonts w:eastAsia="Calibri"/>
          <w:b/>
          <w:sz w:val="22"/>
          <w:szCs w:val="22"/>
        </w:rPr>
      </w:pPr>
      <w:r w:rsidRPr="00BA3FBD">
        <w:rPr>
          <w:rFonts w:eastAsia="Calibri"/>
          <w:b/>
          <w:sz w:val="22"/>
          <w:szCs w:val="22"/>
        </w:rPr>
        <w:t>3.</w:t>
      </w:r>
      <w:r w:rsidRPr="00BA3FBD">
        <w:rPr>
          <w:rFonts w:eastAsia="Calibri"/>
          <w:b/>
          <w:sz w:val="22"/>
          <w:szCs w:val="22"/>
        </w:rPr>
        <w:tab/>
        <w:t xml:space="preserve">Kaip vartoti Imatinib Actavis Group </w:t>
      </w:r>
    </w:p>
    <w:p w14:paraId="5543F8D1" w14:textId="77777777" w:rsidR="008A305D" w:rsidRPr="00BA3FBD" w:rsidRDefault="008A305D" w:rsidP="008A305D">
      <w:pPr>
        <w:rPr>
          <w:rFonts w:eastAsia="Calibri"/>
          <w:sz w:val="22"/>
          <w:szCs w:val="22"/>
        </w:rPr>
      </w:pPr>
    </w:p>
    <w:p w14:paraId="2BAD3D66" w14:textId="77777777" w:rsidR="008A305D" w:rsidRPr="00BA3FBD" w:rsidRDefault="008A305D" w:rsidP="008A305D">
      <w:pPr>
        <w:rPr>
          <w:rFonts w:eastAsia="Calibri"/>
          <w:sz w:val="22"/>
          <w:szCs w:val="22"/>
        </w:rPr>
      </w:pPr>
      <w:r w:rsidRPr="00BA3FBD">
        <w:rPr>
          <w:rFonts w:eastAsia="Calibri"/>
          <w:sz w:val="22"/>
          <w:szCs w:val="22"/>
        </w:rPr>
        <w:t xml:space="preserve">Jūsų gydytojas Jums paskyrė Imatinib Actavis Group, kadangi sergate sunkia liga. Imatinib Actavis Group gali Jums padėti kovojant su šia būkle. </w:t>
      </w:r>
    </w:p>
    <w:p w14:paraId="301932DE" w14:textId="77777777" w:rsidR="008A305D" w:rsidRPr="00BA3FBD" w:rsidRDefault="008A305D" w:rsidP="008A305D">
      <w:pPr>
        <w:autoSpaceDE w:val="0"/>
        <w:autoSpaceDN w:val="0"/>
        <w:adjustRightInd w:val="0"/>
        <w:rPr>
          <w:rFonts w:eastAsia="Calibri"/>
          <w:sz w:val="22"/>
          <w:szCs w:val="22"/>
        </w:rPr>
      </w:pPr>
    </w:p>
    <w:p w14:paraId="51C14D0F" w14:textId="77777777" w:rsidR="008A305D" w:rsidRPr="00BA3FBD" w:rsidRDefault="008A305D" w:rsidP="008A305D">
      <w:pPr>
        <w:autoSpaceDE w:val="0"/>
        <w:autoSpaceDN w:val="0"/>
        <w:adjustRightInd w:val="0"/>
        <w:rPr>
          <w:rFonts w:eastAsia="Calibri"/>
          <w:sz w:val="22"/>
          <w:szCs w:val="22"/>
        </w:rPr>
      </w:pPr>
      <w:r>
        <w:rPr>
          <w:rFonts w:eastAsia="Calibri"/>
          <w:sz w:val="22"/>
          <w:szCs w:val="22"/>
        </w:rPr>
        <w:t>V</w:t>
      </w:r>
      <w:r w:rsidRPr="00BA3FBD">
        <w:rPr>
          <w:rFonts w:eastAsia="Calibri"/>
          <w:sz w:val="22"/>
          <w:szCs w:val="22"/>
        </w:rPr>
        <w:t xml:space="preserve">isada vartokite šį vaistą tiksliai kaip nurodė gydytojas arba vaistininkas. Svarbu, kad vaisto vartotumėte tiek laiko, kiek nurodė Jūsų gydytojas arba vaistininkas. Jeigu abejojate, kreipkitės į gydytoją arba vaistininką. </w:t>
      </w:r>
    </w:p>
    <w:p w14:paraId="7FB60D31" w14:textId="77777777" w:rsidR="008A305D" w:rsidRPr="00BA3FBD" w:rsidRDefault="008A305D" w:rsidP="008A305D">
      <w:pPr>
        <w:autoSpaceDE w:val="0"/>
        <w:autoSpaceDN w:val="0"/>
        <w:adjustRightInd w:val="0"/>
        <w:rPr>
          <w:rFonts w:eastAsia="Calibri"/>
          <w:sz w:val="22"/>
          <w:szCs w:val="22"/>
        </w:rPr>
      </w:pPr>
    </w:p>
    <w:p w14:paraId="0624FB5A"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Nenustokite vartoti Imatinib Actavis Group, nebent taip nurodytų Jūsų gydytojas. Nedelsdami kreipkitės į gydytoją, jeigu negalite vartoti vaisto taip, kaip paskyrė gydytojas, arba jaučiate, kad šio vaisto Jums daugiau nereikia. </w:t>
      </w:r>
    </w:p>
    <w:p w14:paraId="53CB6A69" w14:textId="77777777" w:rsidR="008A305D" w:rsidRPr="00BA3FBD" w:rsidRDefault="008A305D" w:rsidP="008A305D">
      <w:pPr>
        <w:autoSpaceDE w:val="0"/>
        <w:autoSpaceDN w:val="0"/>
        <w:adjustRightInd w:val="0"/>
        <w:rPr>
          <w:rFonts w:eastAsia="Calibri"/>
          <w:b/>
          <w:bCs/>
          <w:sz w:val="22"/>
          <w:szCs w:val="22"/>
        </w:rPr>
      </w:pPr>
    </w:p>
    <w:p w14:paraId="3DBE1942" w14:textId="77777777" w:rsidR="008A305D" w:rsidRPr="00BA3FBD" w:rsidRDefault="008A305D" w:rsidP="008A305D">
      <w:pPr>
        <w:keepNext/>
        <w:autoSpaceDE w:val="0"/>
        <w:autoSpaceDN w:val="0"/>
        <w:adjustRightInd w:val="0"/>
        <w:rPr>
          <w:rFonts w:eastAsia="Calibri"/>
          <w:b/>
          <w:bCs/>
          <w:sz w:val="22"/>
          <w:szCs w:val="22"/>
        </w:rPr>
      </w:pPr>
      <w:r w:rsidRPr="00BA3FBD">
        <w:rPr>
          <w:rFonts w:eastAsia="Calibri"/>
          <w:b/>
          <w:bCs/>
          <w:sz w:val="22"/>
          <w:szCs w:val="22"/>
        </w:rPr>
        <w:t>Kiek Imatinib Actavis Group vartoti</w:t>
      </w:r>
    </w:p>
    <w:p w14:paraId="40DBCE05" w14:textId="77777777" w:rsidR="008A305D" w:rsidRPr="00BA3FBD" w:rsidRDefault="008A305D" w:rsidP="008A305D">
      <w:pPr>
        <w:keepNext/>
        <w:autoSpaceDE w:val="0"/>
        <w:autoSpaceDN w:val="0"/>
        <w:adjustRightInd w:val="0"/>
        <w:rPr>
          <w:rFonts w:eastAsia="Calibri"/>
          <w:bCs/>
          <w:sz w:val="22"/>
          <w:szCs w:val="22"/>
        </w:rPr>
      </w:pPr>
    </w:p>
    <w:p w14:paraId="4B7B75E0"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Vartojimas suaugusiesiems </w:t>
      </w:r>
    </w:p>
    <w:p w14:paraId="5A65E6F8"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Gydytojas Jums tiksliai nurodys, kiek Imatinib Actavis Group kapsulių gerti. </w:t>
      </w:r>
    </w:p>
    <w:p w14:paraId="125A94B5" w14:textId="77777777" w:rsidR="008A305D" w:rsidRPr="00BA3FBD" w:rsidRDefault="008A305D" w:rsidP="008A305D">
      <w:pPr>
        <w:autoSpaceDE w:val="0"/>
        <w:autoSpaceDN w:val="0"/>
        <w:adjustRightInd w:val="0"/>
        <w:rPr>
          <w:rFonts w:eastAsia="Calibri"/>
          <w:sz w:val="22"/>
          <w:szCs w:val="22"/>
        </w:rPr>
      </w:pPr>
    </w:p>
    <w:p w14:paraId="3807AAB6" w14:textId="77777777" w:rsidR="008A305D" w:rsidRPr="00BA3FBD" w:rsidRDefault="008A305D" w:rsidP="008A305D">
      <w:pPr>
        <w:autoSpaceDE w:val="0"/>
        <w:autoSpaceDN w:val="0"/>
        <w:adjustRightInd w:val="0"/>
        <w:ind w:left="567" w:hanging="567"/>
        <w:rPr>
          <w:rFonts w:eastAsia="Calibri"/>
          <w:color w:val="000000"/>
          <w:sz w:val="22"/>
          <w:szCs w:val="22"/>
        </w:rPr>
      </w:pPr>
      <w:r w:rsidRPr="00BA3FBD">
        <w:rPr>
          <w:rFonts w:ascii="Symbol" w:eastAsia="Calibri" w:hAnsi="Symbol" w:cs="Symbol"/>
          <w:color w:val="000000"/>
          <w:sz w:val="22"/>
          <w:szCs w:val="22"/>
        </w:rPr>
        <w:t></w:t>
      </w:r>
      <w:r w:rsidRPr="00BA3FBD">
        <w:rPr>
          <w:rFonts w:ascii="Symbol" w:eastAsia="Calibri" w:hAnsi="Symbol" w:cs="Symbol"/>
          <w:color w:val="000000"/>
          <w:sz w:val="22"/>
          <w:szCs w:val="22"/>
        </w:rPr>
        <w:t></w:t>
      </w:r>
      <w:r w:rsidRPr="00BA3FBD">
        <w:rPr>
          <w:rFonts w:ascii="Symbol" w:eastAsia="Calibri" w:hAnsi="Symbol" w:cs="Symbol"/>
          <w:color w:val="000000"/>
          <w:sz w:val="22"/>
          <w:szCs w:val="22"/>
        </w:rPr>
        <w:tab/>
      </w:r>
      <w:r w:rsidRPr="00BA3FBD">
        <w:rPr>
          <w:rFonts w:eastAsia="Calibri"/>
          <w:b/>
          <w:bCs/>
          <w:color w:val="000000"/>
          <w:sz w:val="22"/>
          <w:szCs w:val="22"/>
        </w:rPr>
        <w:t xml:space="preserve">Jei gydoma LML: </w:t>
      </w:r>
    </w:p>
    <w:p w14:paraId="192CE27C" w14:textId="77777777" w:rsidR="008A305D" w:rsidRPr="00BA3FBD" w:rsidRDefault="008A305D" w:rsidP="008A305D">
      <w:pPr>
        <w:autoSpaceDE w:val="0"/>
        <w:autoSpaceDN w:val="0"/>
        <w:adjustRightInd w:val="0"/>
        <w:ind w:left="567"/>
        <w:rPr>
          <w:rFonts w:eastAsia="Calibri"/>
          <w:b/>
          <w:color w:val="000000"/>
          <w:sz w:val="22"/>
          <w:szCs w:val="22"/>
          <w:lang w:eastAsia="is-IS"/>
        </w:rPr>
      </w:pPr>
      <w:r w:rsidRPr="00BA3FBD">
        <w:rPr>
          <w:rFonts w:eastAsia="Calibri"/>
          <w:color w:val="000000"/>
          <w:sz w:val="22"/>
          <w:szCs w:val="22"/>
          <w:lang w:eastAsia="is-IS"/>
        </w:rPr>
        <w:t xml:space="preserve">Rekomenduojama pradinė dozė yra 600 mg, vartojant 2 tabletes </w:t>
      </w:r>
      <w:r w:rsidRPr="00BA3FBD">
        <w:rPr>
          <w:rFonts w:eastAsia="Calibri"/>
          <w:b/>
          <w:color w:val="000000"/>
          <w:sz w:val="22"/>
          <w:szCs w:val="22"/>
          <w:lang w:eastAsia="is-IS"/>
        </w:rPr>
        <w:t xml:space="preserve">vieną kartą per parą. </w:t>
      </w:r>
    </w:p>
    <w:p w14:paraId="69F964C5" w14:textId="77777777" w:rsidR="008A305D" w:rsidRPr="00BA3FBD" w:rsidRDefault="008A305D" w:rsidP="008A305D">
      <w:pPr>
        <w:numPr>
          <w:ilvl w:val="0"/>
          <w:numId w:val="1"/>
        </w:numPr>
        <w:autoSpaceDE w:val="0"/>
        <w:autoSpaceDN w:val="0"/>
        <w:adjustRightInd w:val="0"/>
        <w:ind w:left="567" w:hanging="567"/>
        <w:rPr>
          <w:rFonts w:eastAsia="Calibri"/>
          <w:color w:val="000000"/>
          <w:sz w:val="22"/>
          <w:szCs w:val="22"/>
          <w:lang w:eastAsia="is-IS"/>
        </w:rPr>
      </w:pPr>
      <w:r w:rsidRPr="00BA3FBD">
        <w:rPr>
          <w:rFonts w:eastAsia="Calibri"/>
          <w:b/>
          <w:color w:val="000000"/>
          <w:sz w:val="22"/>
          <w:szCs w:val="22"/>
          <w:lang w:eastAsia="is-IS"/>
        </w:rPr>
        <w:t xml:space="preserve">Jei gydoma </w:t>
      </w:r>
      <w:r>
        <w:rPr>
          <w:rFonts w:eastAsia="Calibri"/>
          <w:b/>
          <w:color w:val="000000"/>
          <w:sz w:val="22"/>
          <w:szCs w:val="22"/>
          <w:lang w:eastAsia="is-IS"/>
        </w:rPr>
        <w:t>GIST</w:t>
      </w:r>
      <w:r w:rsidRPr="00BA3FBD">
        <w:rPr>
          <w:rFonts w:eastAsia="Calibri"/>
          <w:b/>
          <w:color w:val="000000"/>
          <w:sz w:val="22"/>
          <w:szCs w:val="22"/>
          <w:lang w:eastAsia="is-IS"/>
        </w:rPr>
        <w:t>:</w:t>
      </w:r>
    </w:p>
    <w:p w14:paraId="1F9BBC79" w14:textId="77777777" w:rsidR="008A305D" w:rsidRPr="00BA3FBD" w:rsidRDefault="008A305D" w:rsidP="008A305D">
      <w:pPr>
        <w:autoSpaceDE w:val="0"/>
        <w:autoSpaceDN w:val="0"/>
        <w:adjustRightInd w:val="0"/>
        <w:ind w:left="567"/>
        <w:rPr>
          <w:rFonts w:eastAsia="Calibri"/>
          <w:b/>
          <w:color w:val="000000"/>
          <w:sz w:val="22"/>
          <w:szCs w:val="22"/>
          <w:lang w:eastAsia="is-IS"/>
        </w:rPr>
      </w:pPr>
      <w:r w:rsidRPr="00BA3FBD">
        <w:rPr>
          <w:rFonts w:eastAsia="Calibri"/>
          <w:color w:val="000000"/>
          <w:sz w:val="22"/>
          <w:szCs w:val="22"/>
          <w:lang w:eastAsia="is-IS"/>
        </w:rPr>
        <w:t xml:space="preserve">Rekomenduojama pradinė dozė yra 400 mg, vartojant vieną 300 mg ir vieną 100 mg tabletę </w:t>
      </w:r>
      <w:r w:rsidRPr="00BA3FBD">
        <w:rPr>
          <w:rFonts w:eastAsia="Calibri"/>
          <w:b/>
          <w:color w:val="000000"/>
          <w:sz w:val="22"/>
          <w:szCs w:val="22"/>
          <w:lang w:eastAsia="is-IS"/>
        </w:rPr>
        <w:t>vieną kartą per parą.</w:t>
      </w:r>
    </w:p>
    <w:p w14:paraId="349A3ECE" w14:textId="77777777" w:rsidR="008A305D" w:rsidRPr="00BA3FBD" w:rsidRDefault="008A305D" w:rsidP="008A305D">
      <w:pPr>
        <w:autoSpaceDE w:val="0"/>
        <w:autoSpaceDN w:val="0"/>
        <w:adjustRightInd w:val="0"/>
        <w:rPr>
          <w:rFonts w:eastAsia="Calibri"/>
          <w:sz w:val="22"/>
          <w:szCs w:val="22"/>
        </w:rPr>
      </w:pPr>
    </w:p>
    <w:p w14:paraId="1C683E4E"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Jūsų gydytojas gali Jums skirti didesnę ar mažesnę dozę priklausomai nuo Jūsų atsako į gydymą. Jei Jūsų paros dozė yra 800 mg (dvi 300 mg ir dvi 100 mg tabletės), vartokite po vieną 300 mg ir vieną 100 mg tabletę ryte ir tą patį pakartokite vakare. </w:t>
      </w:r>
    </w:p>
    <w:p w14:paraId="662AE52A" w14:textId="77777777" w:rsidR="008A305D" w:rsidRPr="00BA3FBD" w:rsidRDefault="008A305D" w:rsidP="008A305D">
      <w:pPr>
        <w:autoSpaceDE w:val="0"/>
        <w:autoSpaceDN w:val="0"/>
        <w:adjustRightInd w:val="0"/>
        <w:rPr>
          <w:rFonts w:ascii="Symbol" w:eastAsia="Calibri" w:hAnsi="Symbol" w:cs="Symbol"/>
          <w:color w:val="000000"/>
        </w:rPr>
      </w:pPr>
    </w:p>
    <w:p w14:paraId="16A66A41" w14:textId="77777777" w:rsidR="008A305D" w:rsidRPr="00BA3FBD" w:rsidRDefault="008A305D" w:rsidP="008A305D">
      <w:pPr>
        <w:autoSpaceDE w:val="0"/>
        <w:autoSpaceDN w:val="0"/>
        <w:adjustRightInd w:val="0"/>
        <w:ind w:left="567" w:hanging="567"/>
        <w:rPr>
          <w:rFonts w:eastAsia="Calibri"/>
          <w:color w:val="000000"/>
          <w:sz w:val="22"/>
          <w:szCs w:val="22"/>
        </w:rPr>
      </w:pPr>
      <w:r w:rsidRPr="00BA3FBD">
        <w:rPr>
          <w:rFonts w:ascii="Symbol" w:eastAsia="Calibri" w:hAnsi="Symbol" w:cs="Symbol"/>
          <w:color w:val="000000"/>
          <w:sz w:val="22"/>
          <w:szCs w:val="22"/>
        </w:rPr>
        <w:t></w:t>
      </w:r>
      <w:r w:rsidRPr="00BA3FBD">
        <w:rPr>
          <w:rFonts w:ascii="Symbol" w:eastAsia="Calibri" w:hAnsi="Symbol" w:cs="Symbol"/>
          <w:color w:val="000000"/>
          <w:sz w:val="22"/>
          <w:szCs w:val="22"/>
        </w:rPr>
        <w:t></w:t>
      </w:r>
      <w:r w:rsidRPr="00BA3FBD">
        <w:rPr>
          <w:rFonts w:ascii="Symbol" w:eastAsia="Calibri" w:hAnsi="Symbol" w:cs="Symbol"/>
          <w:color w:val="000000"/>
          <w:sz w:val="22"/>
          <w:szCs w:val="22"/>
        </w:rPr>
        <w:tab/>
      </w:r>
      <w:r w:rsidRPr="00BA3FBD">
        <w:rPr>
          <w:rFonts w:eastAsia="Calibri"/>
          <w:b/>
          <w:bCs/>
          <w:color w:val="000000"/>
          <w:sz w:val="22"/>
          <w:szCs w:val="22"/>
        </w:rPr>
        <w:t xml:space="preserve">Jeigu gydoma Ph teigiama ŪLL: </w:t>
      </w:r>
    </w:p>
    <w:p w14:paraId="09470BF8" w14:textId="77777777" w:rsidR="008A305D" w:rsidRPr="00BA3FBD" w:rsidRDefault="008A305D" w:rsidP="008A305D">
      <w:pPr>
        <w:autoSpaceDE w:val="0"/>
        <w:autoSpaceDN w:val="0"/>
        <w:adjustRightInd w:val="0"/>
        <w:ind w:left="567"/>
        <w:rPr>
          <w:rFonts w:eastAsia="Calibri"/>
          <w:color w:val="000000"/>
          <w:sz w:val="22"/>
          <w:szCs w:val="22"/>
          <w:lang w:eastAsia="is-IS"/>
        </w:rPr>
      </w:pPr>
      <w:r w:rsidRPr="00BA3FBD">
        <w:rPr>
          <w:rFonts w:eastAsia="Calibri"/>
          <w:color w:val="000000"/>
          <w:sz w:val="22"/>
          <w:szCs w:val="22"/>
        </w:rPr>
        <w:t xml:space="preserve">Pradinė dozė yra 600 mg, </w:t>
      </w:r>
      <w:r w:rsidRPr="00BA3FBD">
        <w:rPr>
          <w:rFonts w:eastAsia="Calibri"/>
          <w:color w:val="000000"/>
          <w:sz w:val="22"/>
          <w:szCs w:val="22"/>
          <w:lang w:eastAsia="is-IS"/>
        </w:rPr>
        <w:t xml:space="preserve">vartojant po 2 tabletes </w:t>
      </w:r>
      <w:r w:rsidRPr="00BA3FBD">
        <w:rPr>
          <w:rFonts w:eastAsia="Calibri"/>
          <w:b/>
          <w:color w:val="000000"/>
          <w:sz w:val="22"/>
          <w:szCs w:val="22"/>
          <w:lang w:eastAsia="is-IS"/>
        </w:rPr>
        <w:t xml:space="preserve">vieną kartą per parą. </w:t>
      </w:r>
    </w:p>
    <w:p w14:paraId="05A2E018" w14:textId="77777777" w:rsidR="008A305D" w:rsidRPr="00BA3FBD" w:rsidRDefault="008A305D" w:rsidP="008A305D">
      <w:pPr>
        <w:autoSpaceDE w:val="0"/>
        <w:autoSpaceDN w:val="0"/>
        <w:adjustRightInd w:val="0"/>
        <w:rPr>
          <w:rFonts w:ascii="Symbol" w:eastAsia="Calibri" w:hAnsi="Symbol" w:cs="Symbol"/>
          <w:color w:val="000000"/>
          <w:sz w:val="22"/>
          <w:szCs w:val="22"/>
        </w:rPr>
      </w:pPr>
    </w:p>
    <w:p w14:paraId="547BB8A2" w14:textId="77777777" w:rsidR="008A305D" w:rsidRPr="00BA3FBD" w:rsidRDefault="008A305D" w:rsidP="008A305D">
      <w:pPr>
        <w:autoSpaceDE w:val="0"/>
        <w:autoSpaceDN w:val="0"/>
        <w:adjustRightInd w:val="0"/>
        <w:rPr>
          <w:rFonts w:eastAsia="Calibri"/>
          <w:color w:val="000000"/>
          <w:sz w:val="22"/>
          <w:szCs w:val="22"/>
        </w:rPr>
      </w:pPr>
      <w:r w:rsidRPr="00BA3FBD">
        <w:rPr>
          <w:rFonts w:ascii="Symbol" w:eastAsia="Calibri" w:hAnsi="Symbol" w:cs="Symbol"/>
          <w:color w:val="000000"/>
          <w:sz w:val="22"/>
          <w:szCs w:val="22"/>
        </w:rPr>
        <w:t></w:t>
      </w:r>
      <w:r w:rsidRPr="00BA3FBD">
        <w:rPr>
          <w:rFonts w:ascii="Symbol" w:eastAsia="Calibri" w:hAnsi="Symbol" w:cs="Symbol"/>
          <w:color w:val="000000"/>
          <w:sz w:val="22"/>
          <w:szCs w:val="22"/>
        </w:rPr>
        <w:t></w:t>
      </w:r>
      <w:r w:rsidRPr="00BA3FBD">
        <w:rPr>
          <w:rFonts w:ascii="Symbol" w:eastAsia="Calibri" w:hAnsi="Symbol" w:cs="Symbol"/>
          <w:color w:val="000000"/>
          <w:sz w:val="22"/>
          <w:szCs w:val="22"/>
        </w:rPr>
        <w:tab/>
      </w:r>
      <w:r w:rsidRPr="00BA3FBD">
        <w:rPr>
          <w:rFonts w:eastAsia="Calibri"/>
          <w:b/>
          <w:bCs/>
          <w:color w:val="000000"/>
          <w:sz w:val="22"/>
          <w:szCs w:val="22"/>
        </w:rPr>
        <w:t xml:space="preserve">Jeigu gydoma MDS/MPL: </w:t>
      </w:r>
    </w:p>
    <w:p w14:paraId="2966F65F" w14:textId="77777777" w:rsidR="008A305D" w:rsidRPr="00BA3FBD" w:rsidRDefault="008A305D" w:rsidP="008A305D">
      <w:pPr>
        <w:autoSpaceDE w:val="0"/>
        <w:autoSpaceDN w:val="0"/>
        <w:adjustRightInd w:val="0"/>
        <w:ind w:left="720"/>
        <w:rPr>
          <w:rFonts w:eastAsia="Calibri"/>
          <w:color w:val="000000"/>
          <w:sz w:val="22"/>
          <w:szCs w:val="22"/>
        </w:rPr>
      </w:pPr>
      <w:r w:rsidRPr="00BA3FBD">
        <w:rPr>
          <w:rFonts w:eastAsia="Calibri"/>
          <w:color w:val="000000"/>
          <w:sz w:val="22"/>
          <w:szCs w:val="22"/>
        </w:rPr>
        <w:t xml:space="preserve">Pradinė dozė yra 400 mg, vartojant po vieną 300 mg tabletę ir vieną 100 mg tabletę </w:t>
      </w:r>
      <w:r w:rsidRPr="00BA3FBD">
        <w:rPr>
          <w:rFonts w:eastAsia="Calibri"/>
          <w:b/>
          <w:bCs/>
          <w:color w:val="000000"/>
          <w:sz w:val="22"/>
          <w:szCs w:val="22"/>
        </w:rPr>
        <w:t xml:space="preserve">kartą </w:t>
      </w:r>
      <w:r w:rsidRPr="00BA3FBD">
        <w:rPr>
          <w:rFonts w:eastAsia="Calibri"/>
          <w:color w:val="000000"/>
          <w:sz w:val="22"/>
          <w:szCs w:val="22"/>
        </w:rPr>
        <w:t xml:space="preserve">per parą. </w:t>
      </w:r>
    </w:p>
    <w:p w14:paraId="6E0653FB" w14:textId="77777777" w:rsidR="008A305D" w:rsidRPr="00BA3FBD" w:rsidRDefault="008A305D" w:rsidP="008A305D">
      <w:pPr>
        <w:autoSpaceDE w:val="0"/>
        <w:autoSpaceDN w:val="0"/>
        <w:adjustRightInd w:val="0"/>
        <w:rPr>
          <w:rFonts w:eastAsia="Calibri"/>
          <w:color w:val="000000"/>
          <w:sz w:val="22"/>
          <w:szCs w:val="22"/>
        </w:rPr>
      </w:pPr>
    </w:p>
    <w:p w14:paraId="03D0AA3D" w14:textId="77777777" w:rsidR="008A305D" w:rsidRPr="00BA3FBD" w:rsidRDefault="008A305D" w:rsidP="008A305D">
      <w:pPr>
        <w:pStyle w:val="Betarp"/>
        <w:numPr>
          <w:ilvl w:val="0"/>
          <w:numId w:val="1"/>
        </w:numPr>
        <w:ind w:left="567" w:hanging="567"/>
        <w:rPr>
          <w:rFonts w:eastAsia="Calibri"/>
          <w:sz w:val="22"/>
          <w:szCs w:val="22"/>
        </w:rPr>
      </w:pPr>
      <w:r w:rsidRPr="00BA3FBD">
        <w:rPr>
          <w:rFonts w:eastAsia="Calibri"/>
          <w:b/>
          <w:bCs/>
          <w:color w:val="000000"/>
          <w:sz w:val="22"/>
          <w:szCs w:val="22"/>
        </w:rPr>
        <w:t xml:space="preserve">Jeigu gydoma HES/LEL: </w:t>
      </w:r>
    </w:p>
    <w:p w14:paraId="771FA8C5" w14:textId="77777777" w:rsidR="008A305D" w:rsidRPr="00BA3FBD" w:rsidRDefault="008A305D" w:rsidP="008A305D">
      <w:pPr>
        <w:pStyle w:val="Betarp"/>
        <w:ind w:left="567"/>
        <w:rPr>
          <w:rFonts w:eastAsia="Calibri"/>
          <w:sz w:val="22"/>
          <w:szCs w:val="22"/>
        </w:rPr>
      </w:pPr>
      <w:r w:rsidRPr="00BA3FBD">
        <w:rPr>
          <w:rFonts w:eastAsia="Calibri"/>
          <w:sz w:val="22"/>
          <w:szCs w:val="22"/>
        </w:rPr>
        <w:t xml:space="preserve">Pradinė dozė yra 100 mg, vartojant po vieną 100 mg tabletę </w:t>
      </w:r>
      <w:r w:rsidRPr="00BA3FBD">
        <w:rPr>
          <w:rFonts w:eastAsia="Calibri"/>
          <w:b/>
          <w:bCs/>
          <w:sz w:val="22"/>
          <w:szCs w:val="22"/>
        </w:rPr>
        <w:t xml:space="preserve">kartą </w:t>
      </w:r>
      <w:r w:rsidRPr="00BA3FBD">
        <w:rPr>
          <w:rFonts w:eastAsia="Calibri"/>
          <w:sz w:val="22"/>
          <w:szCs w:val="22"/>
        </w:rPr>
        <w:t xml:space="preserve">per parą. Priklausomai nuo Jūsų atsako į gydymą, Jūsų gydytojas gali nuspręsti padidinti dozę iki 400 mg, vartojant po vieną 300 mg ir vieną 100 mg tabletę </w:t>
      </w:r>
      <w:r w:rsidRPr="00BA3FBD">
        <w:rPr>
          <w:rFonts w:eastAsia="Calibri"/>
          <w:b/>
          <w:bCs/>
          <w:sz w:val="22"/>
          <w:szCs w:val="22"/>
        </w:rPr>
        <w:t xml:space="preserve">kartą </w:t>
      </w:r>
      <w:r w:rsidRPr="00BA3FBD">
        <w:rPr>
          <w:rFonts w:eastAsia="Calibri"/>
          <w:sz w:val="22"/>
          <w:szCs w:val="22"/>
        </w:rPr>
        <w:t xml:space="preserve">per parą. </w:t>
      </w:r>
    </w:p>
    <w:p w14:paraId="149A79C4" w14:textId="77777777" w:rsidR="008A305D" w:rsidRPr="00BA3FBD" w:rsidRDefault="008A305D" w:rsidP="008A305D">
      <w:pPr>
        <w:autoSpaceDE w:val="0"/>
        <w:autoSpaceDN w:val="0"/>
        <w:adjustRightInd w:val="0"/>
        <w:ind w:left="720"/>
        <w:rPr>
          <w:rFonts w:eastAsia="Calibri"/>
          <w:color w:val="000000"/>
          <w:sz w:val="22"/>
          <w:szCs w:val="22"/>
        </w:rPr>
      </w:pPr>
    </w:p>
    <w:p w14:paraId="053E12C6" w14:textId="77777777" w:rsidR="008A305D" w:rsidRPr="00BA3FBD" w:rsidRDefault="008A305D" w:rsidP="008A305D">
      <w:pPr>
        <w:pStyle w:val="Betarp"/>
        <w:numPr>
          <w:ilvl w:val="0"/>
          <w:numId w:val="1"/>
        </w:numPr>
        <w:ind w:left="567" w:hanging="567"/>
        <w:rPr>
          <w:rFonts w:eastAsia="Calibri"/>
          <w:b/>
          <w:sz w:val="22"/>
          <w:szCs w:val="22"/>
        </w:rPr>
      </w:pPr>
      <w:r w:rsidRPr="00BA3FBD">
        <w:rPr>
          <w:rFonts w:eastAsia="Calibri"/>
          <w:b/>
          <w:sz w:val="22"/>
          <w:szCs w:val="22"/>
        </w:rPr>
        <w:t xml:space="preserve">Jeigu gydoma DFSP: </w:t>
      </w:r>
    </w:p>
    <w:p w14:paraId="3962DCBE" w14:textId="77777777" w:rsidR="008A305D" w:rsidRPr="00BA3FBD" w:rsidRDefault="008A305D" w:rsidP="008A305D">
      <w:pPr>
        <w:autoSpaceDE w:val="0"/>
        <w:autoSpaceDN w:val="0"/>
        <w:adjustRightInd w:val="0"/>
        <w:ind w:left="567"/>
        <w:rPr>
          <w:rFonts w:eastAsia="Calibri"/>
          <w:sz w:val="22"/>
          <w:szCs w:val="22"/>
        </w:rPr>
      </w:pPr>
      <w:r w:rsidRPr="00BA3FBD">
        <w:rPr>
          <w:rFonts w:eastAsia="Calibri"/>
          <w:sz w:val="22"/>
          <w:szCs w:val="22"/>
        </w:rPr>
        <w:t xml:space="preserve">Dozė yra 800 mg per parą (dvi 300 mg ir dvi 100 mg tabletės), vartojant po vieną 300 mg ir vieną 100 mg tabletę ryte ir tą patį pakartojant vakare. </w:t>
      </w:r>
    </w:p>
    <w:p w14:paraId="20BB4250" w14:textId="77777777" w:rsidR="008A305D" w:rsidRPr="00BA3FBD" w:rsidRDefault="008A305D" w:rsidP="008A305D">
      <w:pPr>
        <w:pStyle w:val="Betarp"/>
        <w:ind w:firstLine="567"/>
        <w:rPr>
          <w:rFonts w:eastAsia="Calibri"/>
        </w:rPr>
      </w:pPr>
    </w:p>
    <w:p w14:paraId="4AEBB002"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Vartojimas vaikams ir paaugliams </w:t>
      </w:r>
    </w:p>
    <w:p w14:paraId="4ECC185D"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Gydytojas nurodys, kiek Imatinib Actavis Group kapsulių reikia duoti gerti vaikui. Imatinib Actavis Group dozė priklausys nuo vaiko būklės, kūno masės ir ūgio. </w:t>
      </w:r>
    </w:p>
    <w:p w14:paraId="06CF873F" w14:textId="77777777" w:rsidR="008A305D" w:rsidRPr="00BA3FBD" w:rsidRDefault="008A305D" w:rsidP="008A305D">
      <w:pPr>
        <w:autoSpaceDE w:val="0"/>
        <w:autoSpaceDN w:val="0"/>
        <w:adjustRightInd w:val="0"/>
        <w:rPr>
          <w:rFonts w:eastAsia="Calibri"/>
          <w:sz w:val="22"/>
          <w:szCs w:val="22"/>
        </w:rPr>
      </w:pPr>
    </w:p>
    <w:p w14:paraId="62843F18"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Bendroji vaikų ir paauglių paros dozė gydant LML neturi būti didesnė kaip 800 mg. Vaistą galima vartoti vieną kartą per parą arba paros dozę padalyti į dvi dalis (pusę dozės vartoti ryte ir kitą pusę – vakare). </w:t>
      </w:r>
    </w:p>
    <w:p w14:paraId="0675794D" w14:textId="77777777" w:rsidR="008A305D" w:rsidRPr="00BA3FBD" w:rsidRDefault="008A305D" w:rsidP="008A305D">
      <w:pPr>
        <w:autoSpaceDE w:val="0"/>
        <w:autoSpaceDN w:val="0"/>
        <w:adjustRightInd w:val="0"/>
        <w:rPr>
          <w:rFonts w:eastAsia="Calibri"/>
          <w:sz w:val="22"/>
          <w:szCs w:val="22"/>
        </w:rPr>
      </w:pPr>
    </w:p>
    <w:p w14:paraId="63BB42EE"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Kada ir kaip vartoti Imatinib Actavis Group </w:t>
      </w:r>
    </w:p>
    <w:p w14:paraId="22039B00" w14:textId="77777777" w:rsidR="008A305D" w:rsidRPr="00BA3FBD" w:rsidRDefault="008A305D" w:rsidP="008A305D">
      <w:pPr>
        <w:autoSpaceDE w:val="0"/>
        <w:autoSpaceDN w:val="0"/>
        <w:adjustRightInd w:val="0"/>
        <w:spacing w:after="21"/>
        <w:ind w:left="720" w:hanging="720"/>
        <w:rPr>
          <w:rFonts w:eastAsia="Calibri"/>
          <w:sz w:val="22"/>
          <w:szCs w:val="22"/>
        </w:rPr>
      </w:pPr>
      <w:r w:rsidRPr="00BA3FBD">
        <w:rPr>
          <w:rFonts w:eastAsia="Calibri"/>
          <w:sz w:val="22"/>
          <w:szCs w:val="22"/>
        </w:rPr>
        <w:t>-</w:t>
      </w:r>
      <w:r w:rsidRPr="00BA3FBD">
        <w:rPr>
          <w:rFonts w:eastAsia="Calibri"/>
          <w:sz w:val="22"/>
          <w:szCs w:val="22"/>
        </w:rPr>
        <w:tab/>
      </w:r>
      <w:r w:rsidRPr="00BA3FBD">
        <w:rPr>
          <w:rFonts w:eastAsia="Calibri"/>
          <w:b/>
          <w:bCs/>
          <w:sz w:val="22"/>
          <w:szCs w:val="22"/>
        </w:rPr>
        <w:t xml:space="preserve">Imatinib Actavis Group gerkite valgio metu. </w:t>
      </w:r>
      <w:r w:rsidRPr="00BA3FBD">
        <w:rPr>
          <w:rFonts w:eastAsia="Calibri"/>
          <w:sz w:val="22"/>
          <w:szCs w:val="22"/>
        </w:rPr>
        <w:t xml:space="preserve">Tai padės išvengti skrandžio sutrikimų Imatinib Actavis Group vartojimo metu. </w:t>
      </w:r>
    </w:p>
    <w:p w14:paraId="7F5E101C" w14:textId="77777777" w:rsidR="008A305D" w:rsidRPr="00BA3FBD" w:rsidRDefault="008A305D" w:rsidP="008A305D">
      <w:pPr>
        <w:autoSpaceDE w:val="0"/>
        <w:autoSpaceDN w:val="0"/>
        <w:adjustRightInd w:val="0"/>
        <w:spacing w:after="21"/>
        <w:ind w:left="720" w:hanging="720"/>
        <w:rPr>
          <w:rFonts w:eastAsia="Calibri"/>
          <w:sz w:val="22"/>
          <w:szCs w:val="22"/>
        </w:rPr>
      </w:pPr>
      <w:r w:rsidRPr="00BA3FBD">
        <w:rPr>
          <w:rFonts w:eastAsia="Calibri"/>
          <w:sz w:val="22"/>
          <w:szCs w:val="22"/>
        </w:rPr>
        <w:t>-</w:t>
      </w:r>
      <w:r w:rsidRPr="00BA3FBD">
        <w:rPr>
          <w:rFonts w:eastAsia="Calibri"/>
          <w:sz w:val="22"/>
          <w:szCs w:val="22"/>
        </w:rPr>
        <w:tab/>
      </w:r>
      <w:r w:rsidRPr="00BA3FBD">
        <w:rPr>
          <w:rFonts w:eastAsia="Calibri"/>
          <w:b/>
          <w:bCs/>
          <w:sz w:val="22"/>
          <w:szCs w:val="22"/>
        </w:rPr>
        <w:t xml:space="preserve">Nurykite visą </w:t>
      </w:r>
      <w:r>
        <w:rPr>
          <w:rFonts w:eastAsia="Calibri"/>
          <w:b/>
          <w:bCs/>
          <w:sz w:val="22"/>
          <w:szCs w:val="22"/>
        </w:rPr>
        <w:t>tabletę</w:t>
      </w:r>
      <w:r w:rsidRPr="00BA3FBD">
        <w:rPr>
          <w:rFonts w:eastAsia="Calibri"/>
          <w:b/>
          <w:bCs/>
          <w:sz w:val="22"/>
          <w:szCs w:val="22"/>
        </w:rPr>
        <w:t xml:space="preserve"> užgerdami didele stikline vandens. </w:t>
      </w:r>
      <w:r w:rsidRPr="00086F0D">
        <w:rPr>
          <w:rFonts w:eastAsia="Calibri"/>
          <w:bCs/>
          <w:sz w:val="22"/>
          <w:szCs w:val="22"/>
        </w:rPr>
        <w:t>Vienoje</w:t>
      </w:r>
      <w:r>
        <w:rPr>
          <w:rFonts w:eastAsia="Calibri"/>
          <w:b/>
          <w:bCs/>
          <w:sz w:val="22"/>
          <w:szCs w:val="22"/>
        </w:rPr>
        <w:t xml:space="preserve"> </w:t>
      </w:r>
      <w:r>
        <w:rPr>
          <w:rFonts w:eastAsia="Calibri"/>
          <w:sz w:val="22"/>
          <w:szCs w:val="22"/>
        </w:rPr>
        <w:t xml:space="preserve">Imatinib Actavis Group 300 mg plėvele </w:t>
      </w:r>
      <w:r>
        <w:rPr>
          <w:rFonts w:eastAsia="Calibri"/>
          <w:sz w:val="22"/>
          <w:szCs w:val="22"/>
        </w:rPr>
        <w:lastRenderedPageBreak/>
        <w:t>dengtos tabletės pusėje yra vagelė. Ji nėra skirta tabletei padalyti.</w:t>
      </w:r>
    </w:p>
    <w:p w14:paraId="569CFC74" w14:textId="77777777" w:rsidR="008A305D" w:rsidRDefault="008A305D" w:rsidP="008A305D">
      <w:pPr>
        <w:autoSpaceDE w:val="0"/>
        <w:autoSpaceDN w:val="0"/>
        <w:adjustRightInd w:val="0"/>
        <w:spacing w:after="21"/>
        <w:ind w:left="720" w:hanging="720"/>
        <w:rPr>
          <w:rFonts w:eastAsia="Calibri"/>
          <w:sz w:val="22"/>
          <w:szCs w:val="22"/>
        </w:rPr>
      </w:pPr>
    </w:p>
    <w:p w14:paraId="5F8DD8C3" w14:textId="77777777" w:rsidR="008A305D" w:rsidRPr="00BA3FBD" w:rsidRDefault="008A305D" w:rsidP="008A305D">
      <w:pPr>
        <w:autoSpaceDE w:val="0"/>
        <w:autoSpaceDN w:val="0"/>
        <w:adjustRightInd w:val="0"/>
        <w:spacing w:after="21"/>
        <w:ind w:left="720" w:hanging="720"/>
        <w:rPr>
          <w:rFonts w:eastAsia="Calibri"/>
          <w:sz w:val="22"/>
          <w:szCs w:val="22"/>
        </w:rPr>
      </w:pPr>
      <w:r w:rsidRPr="00BA3FBD">
        <w:rPr>
          <w:rFonts w:eastAsia="Calibri"/>
          <w:sz w:val="22"/>
          <w:szCs w:val="22"/>
        </w:rPr>
        <w:t>Jei negalite tablečių nuryti, galite jas ištirpinti stiklinėje negazuoto vandens ar obuolių sulčių:</w:t>
      </w:r>
    </w:p>
    <w:p w14:paraId="5FC19CE3" w14:textId="77777777" w:rsidR="008A305D" w:rsidRPr="00BA3FBD" w:rsidRDefault="008A305D" w:rsidP="008A305D">
      <w:pPr>
        <w:numPr>
          <w:ilvl w:val="0"/>
          <w:numId w:val="10"/>
        </w:numPr>
        <w:ind w:left="709" w:hanging="709"/>
        <w:rPr>
          <w:color w:val="000000"/>
          <w:sz w:val="22"/>
          <w:szCs w:val="22"/>
        </w:rPr>
      </w:pPr>
      <w:r>
        <w:rPr>
          <w:color w:val="000000"/>
          <w:sz w:val="22"/>
          <w:szCs w:val="22"/>
        </w:rPr>
        <w:t>Kiekvienai 3</w:t>
      </w:r>
      <w:r w:rsidRPr="00BA3FBD">
        <w:rPr>
          <w:color w:val="000000"/>
          <w:sz w:val="22"/>
          <w:szCs w:val="22"/>
        </w:rPr>
        <w:t>00 </w:t>
      </w:r>
      <w:r>
        <w:rPr>
          <w:color w:val="000000"/>
          <w:sz w:val="22"/>
          <w:szCs w:val="22"/>
        </w:rPr>
        <w:t>mg tabletei naudokite maždaug 15</w:t>
      </w:r>
      <w:r w:rsidRPr="00BA3FBD">
        <w:rPr>
          <w:color w:val="000000"/>
          <w:sz w:val="22"/>
          <w:szCs w:val="22"/>
        </w:rPr>
        <w:t>0 ml vandens ar sulčių.</w:t>
      </w:r>
    </w:p>
    <w:p w14:paraId="21AC8775" w14:textId="77777777" w:rsidR="008A305D" w:rsidRPr="00BA3FBD" w:rsidRDefault="008A305D" w:rsidP="008A305D">
      <w:pPr>
        <w:numPr>
          <w:ilvl w:val="0"/>
          <w:numId w:val="10"/>
        </w:numPr>
        <w:ind w:left="709" w:hanging="709"/>
        <w:rPr>
          <w:color w:val="000000"/>
          <w:sz w:val="22"/>
          <w:szCs w:val="22"/>
        </w:rPr>
      </w:pPr>
      <w:r w:rsidRPr="00BA3FBD">
        <w:rPr>
          <w:color w:val="000000"/>
          <w:sz w:val="22"/>
          <w:szCs w:val="22"/>
        </w:rPr>
        <w:t>Pamaišykite šaukštu, kol tabletė visiškai ištirps.</w:t>
      </w:r>
    </w:p>
    <w:p w14:paraId="72D568EB" w14:textId="77777777" w:rsidR="008A305D" w:rsidRPr="00BA3FBD" w:rsidRDefault="008A305D" w:rsidP="008A305D">
      <w:pPr>
        <w:numPr>
          <w:ilvl w:val="0"/>
          <w:numId w:val="10"/>
        </w:numPr>
        <w:ind w:left="709" w:hanging="709"/>
        <w:rPr>
          <w:color w:val="000000"/>
          <w:sz w:val="22"/>
          <w:szCs w:val="22"/>
        </w:rPr>
      </w:pPr>
      <w:r w:rsidRPr="00BA3FBD">
        <w:rPr>
          <w:color w:val="000000"/>
          <w:sz w:val="22"/>
          <w:szCs w:val="22"/>
        </w:rPr>
        <w:t>Kai tabletė ištirps, nedelsdami išgerkite visą stiklinės turinį. Ištirpusios tabletės liekanų gali likti stiklinėje.</w:t>
      </w:r>
    </w:p>
    <w:p w14:paraId="00270246" w14:textId="77777777" w:rsidR="008A305D" w:rsidRPr="00BA3FBD" w:rsidRDefault="008A305D" w:rsidP="008A305D">
      <w:pPr>
        <w:autoSpaceDE w:val="0"/>
        <w:autoSpaceDN w:val="0"/>
        <w:adjustRightInd w:val="0"/>
        <w:rPr>
          <w:rFonts w:eastAsia="Calibri"/>
          <w:sz w:val="22"/>
          <w:szCs w:val="22"/>
        </w:rPr>
      </w:pPr>
    </w:p>
    <w:p w14:paraId="738EF77E"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Kaip ilgai vartoti Imatinib Actavis Group </w:t>
      </w:r>
    </w:p>
    <w:p w14:paraId="4EB9823A"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Imatinib Actavis Group vartokite kasdien, tiek laiko, kiek nurodė Jūsų gydytojas. </w:t>
      </w:r>
    </w:p>
    <w:p w14:paraId="3DC5D10C" w14:textId="77777777" w:rsidR="008A305D" w:rsidRPr="00BA3FBD" w:rsidRDefault="008A305D" w:rsidP="008A305D">
      <w:pPr>
        <w:autoSpaceDE w:val="0"/>
        <w:autoSpaceDN w:val="0"/>
        <w:adjustRightInd w:val="0"/>
        <w:rPr>
          <w:rFonts w:eastAsia="Calibri"/>
          <w:sz w:val="22"/>
          <w:szCs w:val="22"/>
        </w:rPr>
      </w:pPr>
    </w:p>
    <w:p w14:paraId="68F19B5D"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Ką daryti pavartojus per didelę Imatinib Actavis Group dozę? </w:t>
      </w:r>
    </w:p>
    <w:p w14:paraId="17E22F1B"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 atsitiktinai išgėrėte per daug kapsulių, </w:t>
      </w:r>
      <w:r w:rsidRPr="00BA3FBD">
        <w:rPr>
          <w:rFonts w:eastAsia="Calibri"/>
          <w:b/>
          <w:bCs/>
          <w:sz w:val="22"/>
          <w:szCs w:val="22"/>
        </w:rPr>
        <w:t xml:space="preserve">iš karto </w:t>
      </w:r>
      <w:r w:rsidRPr="00BA3FBD">
        <w:rPr>
          <w:rFonts w:eastAsia="Calibri"/>
          <w:sz w:val="22"/>
          <w:szCs w:val="22"/>
        </w:rPr>
        <w:t xml:space="preserve">kreipkitės į gydytoją. Jums gali prireikti medicininės pagalbos. Pasiimkite su savimi vaisto pakuotę. </w:t>
      </w:r>
    </w:p>
    <w:p w14:paraId="5B35DCFF" w14:textId="77777777" w:rsidR="008A305D" w:rsidRPr="00BA3FBD" w:rsidRDefault="008A305D" w:rsidP="008A305D">
      <w:pPr>
        <w:autoSpaceDE w:val="0"/>
        <w:autoSpaceDN w:val="0"/>
        <w:adjustRightInd w:val="0"/>
        <w:rPr>
          <w:rFonts w:eastAsia="Calibri"/>
          <w:b/>
          <w:bCs/>
          <w:sz w:val="22"/>
          <w:szCs w:val="22"/>
        </w:rPr>
      </w:pPr>
    </w:p>
    <w:p w14:paraId="3C6C19B3"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Pamiršus pavartoti Imatinib Actavis Group </w:t>
      </w:r>
    </w:p>
    <w:p w14:paraId="1A22B38F" w14:textId="77777777" w:rsidR="008A305D" w:rsidRPr="00BA3FBD" w:rsidRDefault="008A305D" w:rsidP="008A305D">
      <w:pPr>
        <w:autoSpaceDE w:val="0"/>
        <w:autoSpaceDN w:val="0"/>
        <w:adjustRightInd w:val="0"/>
        <w:spacing w:after="23"/>
        <w:ind w:left="720" w:hanging="720"/>
        <w:rPr>
          <w:rFonts w:eastAsia="Calibri"/>
          <w:sz w:val="22"/>
          <w:szCs w:val="22"/>
        </w:rPr>
      </w:pPr>
      <w:r w:rsidRPr="00BA3FBD">
        <w:rPr>
          <w:rFonts w:eastAsia="Calibri"/>
          <w:sz w:val="22"/>
          <w:szCs w:val="22"/>
        </w:rPr>
        <w:t>-</w:t>
      </w:r>
      <w:r w:rsidRPr="00BA3FBD">
        <w:rPr>
          <w:rFonts w:eastAsia="Calibri"/>
          <w:sz w:val="22"/>
          <w:szCs w:val="22"/>
        </w:rPr>
        <w:tab/>
        <w:t xml:space="preserve">Pamiršus pavartoti vaisto dozę, ją išgerkite kai tik prisiminėte. Tačiau jei jau beveik laikas gerti kitą dozę, praleistos dozės nevartokite. </w:t>
      </w:r>
    </w:p>
    <w:p w14:paraId="404F2C06" w14:textId="77777777" w:rsidR="008A305D" w:rsidRPr="00BA3FBD" w:rsidRDefault="008A305D" w:rsidP="008A305D">
      <w:pPr>
        <w:autoSpaceDE w:val="0"/>
        <w:autoSpaceDN w:val="0"/>
        <w:adjustRightInd w:val="0"/>
        <w:spacing w:after="23"/>
        <w:rPr>
          <w:rFonts w:eastAsia="Calibri"/>
          <w:sz w:val="22"/>
          <w:szCs w:val="22"/>
        </w:rPr>
      </w:pPr>
      <w:r w:rsidRPr="00BA3FBD">
        <w:rPr>
          <w:rFonts w:eastAsia="Calibri"/>
          <w:sz w:val="22"/>
          <w:szCs w:val="22"/>
        </w:rPr>
        <w:t>-</w:t>
      </w:r>
      <w:r w:rsidRPr="00BA3FBD">
        <w:rPr>
          <w:rFonts w:eastAsia="Calibri"/>
          <w:sz w:val="22"/>
          <w:szCs w:val="22"/>
        </w:rPr>
        <w:tab/>
        <w:t xml:space="preserve">Vėliau tęskite vaisto vartojimą įprastu režimu. </w:t>
      </w:r>
    </w:p>
    <w:p w14:paraId="3858A910"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w:t>
      </w:r>
      <w:r w:rsidRPr="00BA3FBD">
        <w:rPr>
          <w:rFonts w:eastAsia="Calibri"/>
          <w:sz w:val="22"/>
          <w:szCs w:val="22"/>
        </w:rPr>
        <w:tab/>
        <w:t xml:space="preserve">Negalima vartoti dvigubos dozės norint kompensuoti praleistą dozę. </w:t>
      </w:r>
    </w:p>
    <w:p w14:paraId="3C5A9E35" w14:textId="77777777" w:rsidR="008A305D" w:rsidRPr="00BA3FBD" w:rsidRDefault="008A305D" w:rsidP="008A305D">
      <w:pPr>
        <w:autoSpaceDE w:val="0"/>
        <w:autoSpaceDN w:val="0"/>
        <w:adjustRightInd w:val="0"/>
        <w:rPr>
          <w:rFonts w:eastAsia="Calibri"/>
          <w:sz w:val="22"/>
          <w:szCs w:val="22"/>
        </w:rPr>
      </w:pPr>
    </w:p>
    <w:p w14:paraId="7B743775"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Jeigu kiltų daugiau klausimų dėl šio vaisto vartojimo, kreipkitės į gydytoją, vaistininką arba slaugytoją. </w:t>
      </w:r>
    </w:p>
    <w:p w14:paraId="34808C66" w14:textId="77777777" w:rsidR="008A305D" w:rsidRPr="00BA3FBD" w:rsidRDefault="008A305D" w:rsidP="008A305D">
      <w:pPr>
        <w:autoSpaceDE w:val="0"/>
        <w:autoSpaceDN w:val="0"/>
        <w:adjustRightInd w:val="0"/>
        <w:rPr>
          <w:rFonts w:eastAsia="Calibri"/>
          <w:sz w:val="22"/>
          <w:szCs w:val="22"/>
        </w:rPr>
      </w:pPr>
    </w:p>
    <w:p w14:paraId="4296F980" w14:textId="77777777" w:rsidR="008A305D" w:rsidRPr="00BA3FBD" w:rsidRDefault="008A305D" w:rsidP="008A305D">
      <w:pPr>
        <w:autoSpaceDE w:val="0"/>
        <w:autoSpaceDN w:val="0"/>
        <w:adjustRightInd w:val="0"/>
        <w:rPr>
          <w:rFonts w:eastAsia="Calibri"/>
          <w:sz w:val="22"/>
          <w:szCs w:val="22"/>
        </w:rPr>
      </w:pPr>
    </w:p>
    <w:p w14:paraId="34EE722D" w14:textId="77777777" w:rsidR="008A305D" w:rsidRPr="00BA3FBD" w:rsidRDefault="008A305D" w:rsidP="008A305D">
      <w:pPr>
        <w:keepNext/>
        <w:autoSpaceDE w:val="0"/>
        <w:autoSpaceDN w:val="0"/>
        <w:adjustRightInd w:val="0"/>
        <w:rPr>
          <w:rFonts w:eastAsia="Calibri"/>
          <w:b/>
          <w:bCs/>
          <w:sz w:val="22"/>
          <w:szCs w:val="22"/>
        </w:rPr>
      </w:pPr>
      <w:r w:rsidRPr="00BA3FBD">
        <w:rPr>
          <w:rFonts w:eastAsia="Calibri"/>
          <w:b/>
          <w:bCs/>
          <w:sz w:val="22"/>
          <w:szCs w:val="22"/>
        </w:rPr>
        <w:t>4.</w:t>
      </w:r>
      <w:r w:rsidRPr="00BA3FBD">
        <w:rPr>
          <w:rFonts w:eastAsia="Calibri"/>
          <w:b/>
          <w:bCs/>
          <w:sz w:val="22"/>
          <w:szCs w:val="22"/>
        </w:rPr>
        <w:tab/>
        <w:t>Galimas šalutinis poveikis</w:t>
      </w:r>
    </w:p>
    <w:p w14:paraId="3A9EF78C" w14:textId="77777777" w:rsidR="008A305D" w:rsidRPr="00BA3FBD" w:rsidRDefault="008A305D" w:rsidP="008A305D">
      <w:pPr>
        <w:autoSpaceDE w:val="0"/>
        <w:autoSpaceDN w:val="0"/>
        <w:adjustRightInd w:val="0"/>
        <w:rPr>
          <w:rFonts w:eastAsia="Calibri"/>
          <w:sz w:val="22"/>
          <w:szCs w:val="22"/>
        </w:rPr>
      </w:pPr>
    </w:p>
    <w:p w14:paraId="7F8B8F78"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Šis vaistas, kaip ir visi kiti, gali sukelti šalutinį poveikį, nors jis pasireiškia ne visiems žmonėms. Paprastai jis būna nesunkus ar vidutinio sunkumo. </w:t>
      </w:r>
    </w:p>
    <w:p w14:paraId="280BF817" w14:textId="77777777" w:rsidR="008A305D" w:rsidRPr="00BA3FBD" w:rsidRDefault="008A305D" w:rsidP="008A305D">
      <w:pPr>
        <w:autoSpaceDE w:val="0"/>
        <w:autoSpaceDN w:val="0"/>
        <w:adjustRightInd w:val="0"/>
        <w:rPr>
          <w:rFonts w:eastAsia="Calibri"/>
          <w:sz w:val="22"/>
          <w:szCs w:val="22"/>
        </w:rPr>
      </w:pPr>
    </w:p>
    <w:p w14:paraId="6E3949D1"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Kai kurie šalutiniai reiškiniai gali būti sunkūs. Nedelsiant pasakykite gydytojui, jeigu Jums pasireikštų kuris nors iš toliau išvardytų reiškinių. </w:t>
      </w:r>
    </w:p>
    <w:p w14:paraId="26D1D15C" w14:textId="77777777" w:rsidR="008A305D" w:rsidRPr="00BA3FBD" w:rsidRDefault="008A305D" w:rsidP="008A305D">
      <w:pPr>
        <w:autoSpaceDE w:val="0"/>
        <w:autoSpaceDN w:val="0"/>
        <w:adjustRightInd w:val="0"/>
        <w:rPr>
          <w:rFonts w:eastAsia="Calibri"/>
          <w:b/>
          <w:bCs/>
          <w:sz w:val="22"/>
          <w:szCs w:val="22"/>
        </w:rPr>
      </w:pPr>
    </w:p>
    <w:p w14:paraId="5A59889E"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Labai dažnas</w:t>
      </w:r>
      <w:r>
        <w:rPr>
          <w:rFonts w:eastAsia="Calibri"/>
          <w:b/>
          <w:bCs/>
          <w:sz w:val="22"/>
          <w:szCs w:val="22"/>
        </w:rPr>
        <w:t xml:space="preserve"> </w:t>
      </w:r>
      <w:r>
        <w:rPr>
          <w:rFonts w:eastAsia="Calibri"/>
          <w:bCs/>
          <w:sz w:val="22"/>
          <w:szCs w:val="22"/>
        </w:rPr>
        <w:t>(gali pasireikšti daugiau nei 1 iš 10 žmonių)</w:t>
      </w:r>
      <w:r w:rsidRPr="00BA3FBD">
        <w:rPr>
          <w:rFonts w:eastAsia="Calibri"/>
          <w:b/>
          <w:bCs/>
          <w:sz w:val="22"/>
          <w:szCs w:val="22"/>
        </w:rPr>
        <w:t xml:space="preserve"> </w:t>
      </w:r>
      <w:r w:rsidRPr="00F56FA5">
        <w:rPr>
          <w:rFonts w:eastAsia="Calibri"/>
          <w:b/>
          <w:bCs/>
          <w:sz w:val="22"/>
          <w:szCs w:val="22"/>
        </w:rPr>
        <w:t>ir</w:t>
      </w:r>
      <w:r w:rsidRPr="00BA3FBD">
        <w:rPr>
          <w:rFonts w:eastAsia="Calibri"/>
          <w:b/>
          <w:bCs/>
          <w:sz w:val="22"/>
          <w:szCs w:val="22"/>
        </w:rPr>
        <w:t xml:space="preserve"> dažnas šalutinis poveikis </w:t>
      </w:r>
      <w:r w:rsidRPr="00BA3FBD">
        <w:rPr>
          <w:rFonts w:eastAsia="Calibri"/>
          <w:bCs/>
          <w:sz w:val="22"/>
          <w:szCs w:val="22"/>
        </w:rPr>
        <w:t xml:space="preserve">(gali pasireikšti </w:t>
      </w:r>
      <w:r>
        <w:rPr>
          <w:rFonts w:eastAsia="Calibri"/>
          <w:bCs/>
          <w:sz w:val="22"/>
          <w:szCs w:val="22"/>
        </w:rPr>
        <w:t>mažiau</w:t>
      </w:r>
      <w:r w:rsidRPr="00BA3FBD">
        <w:rPr>
          <w:rFonts w:eastAsia="Calibri"/>
          <w:bCs/>
          <w:sz w:val="22"/>
          <w:szCs w:val="22"/>
        </w:rPr>
        <w:t xml:space="preserve"> nei 1 žmogui iš 10)</w:t>
      </w:r>
      <w:r w:rsidRPr="00BA3FBD">
        <w:rPr>
          <w:rFonts w:eastAsia="Calibri"/>
          <w:b/>
          <w:bCs/>
          <w:sz w:val="22"/>
          <w:szCs w:val="22"/>
        </w:rPr>
        <w:t xml:space="preserve">: </w:t>
      </w:r>
    </w:p>
    <w:p w14:paraId="37DAF934" w14:textId="77777777" w:rsidR="008A305D" w:rsidRPr="00BA3FBD" w:rsidRDefault="008A305D" w:rsidP="008A305D">
      <w:pPr>
        <w:pStyle w:val="Betarp"/>
        <w:numPr>
          <w:ilvl w:val="0"/>
          <w:numId w:val="1"/>
        </w:numPr>
        <w:ind w:left="567" w:hanging="567"/>
        <w:rPr>
          <w:rFonts w:eastAsia="Calibri"/>
          <w:sz w:val="22"/>
          <w:szCs w:val="22"/>
        </w:rPr>
      </w:pPr>
      <w:r w:rsidRPr="00BA3FBD">
        <w:rPr>
          <w:rFonts w:eastAsia="Calibri"/>
          <w:sz w:val="22"/>
          <w:szCs w:val="22"/>
        </w:rPr>
        <w:t xml:space="preserve">Greitai padidėjęs kūno svoris. Vartojant Imatinib Actavis Group organizme gali pradėti kauptis skystis (t.y. pasireikšti sunkus skysčių susilaikymas). </w:t>
      </w:r>
    </w:p>
    <w:p w14:paraId="669717A1" w14:textId="77777777" w:rsidR="008A305D" w:rsidRPr="00BA3FBD" w:rsidRDefault="008A305D" w:rsidP="008A305D">
      <w:pPr>
        <w:pStyle w:val="Betarp"/>
        <w:numPr>
          <w:ilvl w:val="0"/>
          <w:numId w:val="1"/>
        </w:numPr>
        <w:ind w:left="567" w:hanging="567"/>
        <w:rPr>
          <w:rFonts w:eastAsia="Calibri"/>
          <w:sz w:val="22"/>
          <w:szCs w:val="22"/>
        </w:rPr>
      </w:pPr>
      <w:r w:rsidRPr="00BA3FBD">
        <w:rPr>
          <w:rFonts w:eastAsia="Calibri"/>
          <w:sz w:val="22"/>
          <w:szCs w:val="22"/>
        </w:rPr>
        <w:t xml:space="preserve">Infekcijos požymiai – pavyzdžiui, karščiavimas, stiprus šaltkrėtis, gerklės skausmas ar burnos išopėjimas. Imatinib Actavis Group gali sumažinti baltųjų kraujo kūnelių </w:t>
      </w:r>
      <w:r w:rsidRPr="00BA3FBD">
        <w:rPr>
          <w:rFonts w:eastAsia="Calibri"/>
          <w:sz w:val="22"/>
          <w:szCs w:val="22"/>
        </w:rPr>
        <w:lastRenderedPageBreak/>
        <w:t xml:space="preserve">skaičių, todėl galite greičiau užsikrėsti infekcinėmis ligomis. </w:t>
      </w:r>
    </w:p>
    <w:p w14:paraId="4D72703A" w14:textId="77777777" w:rsidR="008A305D" w:rsidRPr="00BA3FBD" w:rsidRDefault="008A305D" w:rsidP="008A305D">
      <w:pPr>
        <w:pStyle w:val="Betarp"/>
        <w:numPr>
          <w:ilvl w:val="0"/>
          <w:numId w:val="1"/>
        </w:numPr>
        <w:ind w:left="567" w:hanging="567"/>
        <w:rPr>
          <w:rFonts w:eastAsia="Calibri"/>
          <w:sz w:val="22"/>
          <w:szCs w:val="22"/>
        </w:rPr>
      </w:pPr>
      <w:r w:rsidRPr="00BA3FBD">
        <w:rPr>
          <w:rFonts w:eastAsia="Calibri"/>
          <w:sz w:val="22"/>
          <w:szCs w:val="22"/>
        </w:rPr>
        <w:t xml:space="preserve">Netikėtas kraujavimas ar mėlynių susidarymas (be jokio sužalojimo). </w:t>
      </w:r>
    </w:p>
    <w:p w14:paraId="3A483AC3" w14:textId="77777777" w:rsidR="008A305D" w:rsidRPr="00BA3FBD" w:rsidRDefault="008A305D" w:rsidP="008A305D">
      <w:pPr>
        <w:autoSpaceDE w:val="0"/>
        <w:autoSpaceDN w:val="0"/>
        <w:adjustRightInd w:val="0"/>
        <w:contextualSpacing/>
        <w:rPr>
          <w:rFonts w:eastAsia="Calibri"/>
          <w:sz w:val="22"/>
          <w:szCs w:val="22"/>
        </w:rPr>
      </w:pPr>
    </w:p>
    <w:p w14:paraId="00030E94" w14:textId="77777777" w:rsidR="008A305D" w:rsidRPr="0045031A" w:rsidRDefault="008A305D" w:rsidP="008A305D">
      <w:pPr>
        <w:pStyle w:val="Betarp"/>
        <w:rPr>
          <w:rFonts w:eastAsia="Calibri"/>
          <w:sz w:val="22"/>
          <w:szCs w:val="22"/>
        </w:rPr>
      </w:pPr>
      <w:r w:rsidRPr="0045031A">
        <w:rPr>
          <w:rFonts w:eastAsia="Calibri"/>
          <w:b/>
          <w:bCs/>
          <w:sz w:val="22"/>
          <w:szCs w:val="22"/>
        </w:rPr>
        <w:t xml:space="preserve">Nedažnas </w:t>
      </w:r>
      <w:r w:rsidRPr="0045031A">
        <w:rPr>
          <w:rFonts w:eastAsia="Calibri"/>
          <w:bCs/>
          <w:sz w:val="22"/>
          <w:szCs w:val="22"/>
        </w:rPr>
        <w:t xml:space="preserve">(gali pasireikšti </w:t>
      </w:r>
      <w:r>
        <w:rPr>
          <w:rFonts w:eastAsia="Calibri"/>
          <w:bCs/>
          <w:sz w:val="22"/>
          <w:szCs w:val="22"/>
        </w:rPr>
        <w:t>mažiau kaip 1 žmogui</w:t>
      </w:r>
      <w:r w:rsidRPr="0045031A">
        <w:rPr>
          <w:rFonts w:eastAsia="Calibri"/>
          <w:bCs/>
          <w:sz w:val="22"/>
          <w:szCs w:val="22"/>
        </w:rPr>
        <w:t xml:space="preserve"> iš 100)</w:t>
      </w:r>
      <w:r w:rsidRPr="0045031A">
        <w:rPr>
          <w:rFonts w:eastAsia="Calibri"/>
          <w:b/>
          <w:bCs/>
          <w:sz w:val="22"/>
          <w:szCs w:val="22"/>
        </w:rPr>
        <w:t xml:space="preserve"> ir retas šalutinis poveikis </w:t>
      </w:r>
      <w:r w:rsidRPr="0045031A">
        <w:rPr>
          <w:rFonts w:eastAsia="Calibri"/>
          <w:bCs/>
          <w:sz w:val="22"/>
          <w:szCs w:val="22"/>
        </w:rPr>
        <w:t xml:space="preserve">(gali pasireikšti </w:t>
      </w:r>
      <w:r>
        <w:rPr>
          <w:rFonts w:eastAsia="Calibri"/>
          <w:bCs/>
          <w:sz w:val="22"/>
          <w:szCs w:val="22"/>
        </w:rPr>
        <w:t>mažiau kaip 1 žmogui</w:t>
      </w:r>
      <w:r w:rsidRPr="0045031A">
        <w:rPr>
          <w:rFonts w:eastAsia="Calibri"/>
          <w:bCs/>
          <w:sz w:val="22"/>
          <w:szCs w:val="22"/>
        </w:rPr>
        <w:t xml:space="preserve"> iš 1 000)</w:t>
      </w:r>
      <w:r w:rsidRPr="0045031A">
        <w:rPr>
          <w:rFonts w:eastAsia="Calibri"/>
          <w:b/>
          <w:bCs/>
          <w:sz w:val="22"/>
          <w:szCs w:val="22"/>
        </w:rPr>
        <w:t xml:space="preserve">: </w:t>
      </w:r>
    </w:p>
    <w:p w14:paraId="1052FF0A" w14:textId="77777777" w:rsidR="008A305D" w:rsidRPr="00BA3FBD" w:rsidRDefault="008A305D" w:rsidP="008A305D">
      <w:pPr>
        <w:pStyle w:val="Betarp"/>
        <w:numPr>
          <w:ilvl w:val="0"/>
          <w:numId w:val="11"/>
        </w:numPr>
        <w:ind w:hanging="720"/>
        <w:rPr>
          <w:rFonts w:eastAsia="Calibri"/>
          <w:sz w:val="22"/>
          <w:szCs w:val="22"/>
        </w:rPr>
      </w:pPr>
      <w:r w:rsidRPr="00BA3FBD">
        <w:rPr>
          <w:rFonts w:eastAsia="Calibri"/>
          <w:sz w:val="22"/>
          <w:szCs w:val="22"/>
        </w:rPr>
        <w:t xml:space="preserve">Skausmas krūtinėje, nereguliarus širdies ritmas (širdies sutrikimų požymiai). </w:t>
      </w:r>
    </w:p>
    <w:p w14:paraId="5B0EC9BF" w14:textId="77777777" w:rsidR="008A305D" w:rsidRPr="00BA3FBD" w:rsidRDefault="008A305D" w:rsidP="008A305D">
      <w:pPr>
        <w:pStyle w:val="Betarp"/>
        <w:numPr>
          <w:ilvl w:val="0"/>
          <w:numId w:val="11"/>
        </w:numPr>
        <w:ind w:hanging="720"/>
        <w:rPr>
          <w:rFonts w:eastAsia="Calibri"/>
          <w:sz w:val="22"/>
          <w:szCs w:val="22"/>
        </w:rPr>
      </w:pPr>
      <w:r w:rsidRPr="00BA3FBD">
        <w:rPr>
          <w:rFonts w:eastAsia="Calibri"/>
          <w:sz w:val="22"/>
          <w:szCs w:val="22"/>
        </w:rPr>
        <w:t xml:space="preserve">Kosulys, pasunkėjęs kvėpavimas arba skausmingas kvėpavimas (plaučių sutrikimų požymiai). </w:t>
      </w:r>
    </w:p>
    <w:p w14:paraId="615E8506" w14:textId="77777777" w:rsidR="008A305D" w:rsidRPr="00BA3FBD" w:rsidRDefault="008A305D" w:rsidP="008A305D">
      <w:pPr>
        <w:pStyle w:val="Betarp"/>
        <w:numPr>
          <w:ilvl w:val="0"/>
          <w:numId w:val="11"/>
        </w:numPr>
        <w:ind w:hanging="720"/>
        <w:rPr>
          <w:rFonts w:eastAsia="Calibri"/>
          <w:sz w:val="22"/>
          <w:szCs w:val="22"/>
        </w:rPr>
      </w:pPr>
      <w:r w:rsidRPr="00BA3FBD">
        <w:rPr>
          <w:rFonts w:eastAsia="Calibri"/>
          <w:sz w:val="22"/>
          <w:szCs w:val="22"/>
        </w:rPr>
        <w:t xml:space="preserve">Apsvaigimas, galvos svaigimas ar alpimas (žemo kraujospūdžio požymiai). </w:t>
      </w:r>
    </w:p>
    <w:p w14:paraId="02222507" w14:textId="77777777" w:rsidR="008A305D" w:rsidRPr="00BA3FBD" w:rsidRDefault="008A305D" w:rsidP="008A305D">
      <w:pPr>
        <w:pStyle w:val="Betarp"/>
        <w:numPr>
          <w:ilvl w:val="0"/>
          <w:numId w:val="11"/>
        </w:numPr>
        <w:ind w:hanging="720"/>
        <w:rPr>
          <w:rFonts w:eastAsia="Calibri"/>
          <w:sz w:val="22"/>
          <w:szCs w:val="22"/>
        </w:rPr>
      </w:pPr>
      <w:r w:rsidRPr="00BA3FBD">
        <w:rPr>
          <w:rFonts w:eastAsia="Calibri"/>
          <w:sz w:val="22"/>
          <w:szCs w:val="22"/>
        </w:rPr>
        <w:t xml:space="preserve">Šleikštulys (pykinimas), taip pat apetito trūkumas, tamsus šlapimas, pageltusi oda ar akių baltymai (kepenų sutrikimų požymiai). </w:t>
      </w:r>
    </w:p>
    <w:p w14:paraId="72F33BF5" w14:textId="77777777" w:rsidR="008A305D" w:rsidRPr="00BA3FBD" w:rsidRDefault="008A305D" w:rsidP="008A305D">
      <w:pPr>
        <w:pStyle w:val="Betarp"/>
        <w:numPr>
          <w:ilvl w:val="0"/>
          <w:numId w:val="11"/>
        </w:numPr>
        <w:ind w:hanging="720"/>
        <w:rPr>
          <w:rFonts w:eastAsia="Calibri"/>
          <w:sz w:val="22"/>
          <w:szCs w:val="22"/>
        </w:rPr>
      </w:pPr>
      <w:r w:rsidRPr="00BA3FBD">
        <w:rPr>
          <w:rFonts w:eastAsia="Calibri"/>
          <w:sz w:val="22"/>
          <w:szCs w:val="22"/>
        </w:rPr>
        <w:t xml:space="preserve">Bėrimas, odos paraudimas, taip pat pūslių atsiradimas ant lūpų, akių, odos arba burnos gleivinės, odos pleiskanojimas, karščiavimas, pakilę raudoni arba purpuriniai odos lopai, niežulys, deginimo pojūtis, pūslinis bėrimas (odos sutrikimų požymiai). </w:t>
      </w:r>
    </w:p>
    <w:p w14:paraId="78500B9B" w14:textId="77777777" w:rsidR="008A305D" w:rsidRPr="00BA3FBD" w:rsidRDefault="008A305D" w:rsidP="008A305D">
      <w:pPr>
        <w:pStyle w:val="Betarp"/>
        <w:numPr>
          <w:ilvl w:val="0"/>
          <w:numId w:val="11"/>
        </w:numPr>
        <w:ind w:hanging="720"/>
        <w:rPr>
          <w:rFonts w:eastAsia="Calibri"/>
          <w:sz w:val="22"/>
          <w:szCs w:val="22"/>
        </w:rPr>
      </w:pPr>
      <w:r w:rsidRPr="00BA3FBD">
        <w:rPr>
          <w:rFonts w:eastAsia="Calibri"/>
          <w:sz w:val="22"/>
          <w:szCs w:val="22"/>
        </w:rPr>
        <w:t xml:space="preserve">Stiprus pilvo skausmas, vėmimas, tuštinimasis ar šlapinimasis su kraujo priemaiša, juodos spalvos išmatos (virškinimo trakto sutrikimų požymiai). </w:t>
      </w:r>
    </w:p>
    <w:p w14:paraId="31DA35C4" w14:textId="77777777" w:rsidR="008A305D" w:rsidRPr="00BA3FBD" w:rsidRDefault="008A305D" w:rsidP="008A305D">
      <w:pPr>
        <w:pStyle w:val="Betarp"/>
        <w:numPr>
          <w:ilvl w:val="0"/>
          <w:numId w:val="11"/>
        </w:numPr>
        <w:ind w:hanging="720"/>
        <w:rPr>
          <w:rFonts w:eastAsia="Calibri"/>
          <w:sz w:val="22"/>
          <w:szCs w:val="22"/>
        </w:rPr>
      </w:pPr>
      <w:r w:rsidRPr="00BA3FBD">
        <w:rPr>
          <w:rFonts w:eastAsia="Calibri"/>
          <w:sz w:val="22"/>
          <w:szCs w:val="22"/>
        </w:rPr>
        <w:t xml:space="preserve">Labai sumažėjęs šlapimo kiekis, troškulys (inkstų sutrikimų požymiai). </w:t>
      </w:r>
    </w:p>
    <w:p w14:paraId="1B4D6ECE" w14:textId="77777777" w:rsidR="008A305D" w:rsidRPr="00BA3FBD" w:rsidRDefault="008A305D" w:rsidP="008A305D">
      <w:pPr>
        <w:pStyle w:val="Betarp"/>
        <w:numPr>
          <w:ilvl w:val="0"/>
          <w:numId w:val="11"/>
        </w:numPr>
        <w:ind w:hanging="720"/>
        <w:rPr>
          <w:rFonts w:eastAsia="Calibri"/>
          <w:sz w:val="22"/>
          <w:szCs w:val="22"/>
        </w:rPr>
      </w:pPr>
      <w:r w:rsidRPr="00BA3FBD">
        <w:rPr>
          <w:rFonts w:eastAsia="Calibri"/>
          <w:sz w:val="22"/>
          <w:szCs w:val="22"/>
        </w:rPr>
        <w:t xml:space="preserve">Šleikštulys (pykinimas) kartu su viduriavimu ir vėmimu, pilvo skausmas arba karščiavimas (žarnų sutrikimų požymiai). </w:t>
      </w:r>
    </w:p>
    <w:p w14:paraId="04A09D12" w14:textId="77777777" w:rsidR="008A305D" w:rsidRPr="00BA3FBD" w:rsidRDefault="008A305D" w:rsidP="008A305D">
      <w:pPr>
        <w:pStyle w:val="Betarp"/>
        <w:numPr>
          <w:ilvl w:val="0"/>
          <w:numId w:val="11"/>
        </w:numPr>
        <w:ind w:hanging="720"/>
        <w:rPr>
          <w:rFonts w:eastAsia="Calibri"/>
          <w:sz w:val="22"/>
          <w:szCs w:val="22"/>
        </w:rPr>
      </w:pPr>
      <w:r w:rsidRPr="00BA3FBD">
        <w:rPr>
          <w:rFonts w:eastAsia="Calibri"/>
          <w:sz w:val="22"/>
          <w:szCs w:val="22"/>
        </w:rPr>
        <w:t xml:space="preserve">Stiprus galvos skausmas, silpnumas arba galūnių ar veido paralyžius, pasunkėjusi kalba, staigus sąmonės praradimas (nervų sistemos sutrikimų, pavyzdžiui, kraujavimo kaukolės ertmėje ar galvos smegenų patinimo, požymiai). </w:t>
      </w:r>
    </w:p>
    <w:p w14:paraId="20B672EA" w14:textId="77777777" w:rsidR="008A305D" w:rsidRPr="00BA3FBD" w:rsidRDefault="008A305D" w:rsidP="008A305D">
      <w:pPr>
        <w:pStyle w:val="Betarp"/>
        <w:numPr>
          <w:ilvl w:val="0"/>
          <w:numId w:val="11"/>
        </w:numPr>
        <w:ind w:hanging="720"/>
        <w:rPr>
          <w:rFonts w:eastAsia="Calibri"/>
          <w:sz w:val="22"/>
          <w:szCs w:val="22"/>
        </w:rPr>
      </w:pPr>
      <w:r w:rsidRPr="00BA3FBD">
        <w:rPr>
          <w:rFonts w:eastAsia="Calibri"/>
          <w:sz w:val="22"/>
          <w:szCs w:val="22"/>
        </w:rPr>
        <w:t xml:space="preserve">Išblyškusi oda, nuovargis ir dusulys, tamsus šlapimas (sumažėjusio raudonųjų kraujo ląstelių skaičiaus požymiai). </w:t>
      </w:r>
    </w:p>
    <w:p w14:paraId="12633767" w14:textId="77777777" w:rsidR="008A305D" w:rsidRPr="00BA3FBD" w:rsidRDefault="008A305D" w:rsidP="008A305D">
      <w:pPr>
        <w:pStyle w:val="Betarp"/>
        <w:numPr>
          <w:ilvl w:val="0"/>
          <w:numId w:val="11"/>
        </w:numPr>
        <w:ind w:hanging="720"/>
        <w:rPr>
          <w:rFonts w:eastAsia="Calibri"/>
          <w:sz w:val="22"/>
          <w:szCs w:val="22"/>
        </w:rPr>
      </w:pPr>
      <w:r w:rsidRPr="00BA3FBD">
        <w:rPr>
          <w:rFonts w:eastAsia="Calibri"/>
          <w:sz w:val="22"/>
          <w:szCs w:val="22"/>
        </w:rPr>
        <w:t xml:space="preserve">Akies skausmas ar pablogėjusi rega, kraujavimas į akies vidų. </w:t>
      </w:r>
    </w:p>
    <w:p w14:paraId="03512D55" w14:textId="77777777" w:rsidR="008A305D" w:rsidRPr="00BA3FBD" w:rsidRDefault="008A305D" w:rsidP="008A305D">
      <w:pPr>
        <w:pStyle w:val="Betarp"/>
        <w:numPr>
          <w:ilvl w:val="0"/>
          <w:numId w:val="11"/>
        </w:numPr>
        <w:ind w:hanging="720"/>
        <w:rPr>
          <w:rFonts w:eastAsia="Calibri"/>
          <w:sz w:val="22"/>
          <w:szCs w:val="22"/>
        </w:rPr>
      </w:pPr>
      <w:r w:rsidRPr="00BA3FBD">
        <w:rPr>
          <w:rFonts w:eastAsia="Calibri"/>
          <w:sz w:val="22"/>
          <w:szCs w:val="22"/>
        </w:rPr>
        <w:t xml:space="preserve">Skausmas klubo sąnariuose ar pasunkėjęs vaikščiojimas. </w:t>
      </w:r>
    </w:p>
    <w:p w14:paraId="5C44D139" w14:textId="77777777" w:rsidR="008A305D" w:rsidRPr="00BA3FBD" w:rsidRDefault="008A305D" w:rsidP="008A305D">
      <w:pPr>
        <w:pStyle w:val="Betarp"/>
        <w:numPr>
          <w:ilvl w:val="0"/>
          <w:numId w:val="11"/>
        </w:numPr>
        <w:ind w:hanging="720"/>
        <w:rPr>
          <w:rFonts w:eastAsia="Calibri"/>
          <w:sz w:val="22"/>
          <w:szCs w:val="22"/>
        </w:rPr>
      </w:pPr>
      <w:r w:rsidRPr="00BA3FBD">
        <w:rPr>
          <w:rFonts w:eastAsia="Calibri"/>
          <w:sz w:val="22"/>
          <w:szCs w:val="22"/>
        </w:rPr>
        <w:t xml:space="preserve">Kojų ir rankų pirštų nutirpimas ar šalimas (Raynaud‘s sindromo požymiai). </w:t>
      </w:r>
    </w:p>
    <w:p w14:paraId="571B4C27" w14:textId="77777777" w:rsidR="008A305D" w:rsidRPr="00BA3FBD" w:rsidRDefault="008A305D" w:rsidP="008A305D">
      <w:pPr>
        <w:pStyle w:val="Betarp"/>
        <w:numPr>
          <w:ilvl w:val="0"/>
          <w:numId w:val="11"/>
        </w:numPr>
        <w:ind w:hanging="720"/>
        <w:rPr>
          <w:rFonts w:eastAsia="Calibri"/>
          <w:sz w:val="22"/>
          <w:szCs w:val="22"/>
        </w:rPr>
      </w:pPr>
      <w:r w:rsidRPr="00BA3FBD">
        <w:rPr>
          <w:rFonts w:eastAsia="Calibri"/>
          <w:sz w:val="22"/>
          <w:szCs w:val="22"/>
        </w:rPr>
        <w:t xml:space="preserve">Staigus odos patinimas ir paraudimas (odos infekcijos, vadinamos celiulitu, požymiai). </w:t>
      </w:r>
    </w:p>
    <w:p w14:paraId="4D4559D8" w14:textId="77777777" w:rsidR="008A305D" w:rsidRPr="00BA3FBD" w:rsidRDefault="008A305D" w:rsidP="008A305D">
      <w:pPr>
        <w:pStyle w:val="Betarp"/>
        <w:numPr>
          <w:ilvl w:val="0"/>
          <w:numId w:val="11"/>
        </w:numPr>
        <w:ind w:hanging="720"/>
        <w:rPr>
          <w:rFonts w:eastAsia="Calibri"/>
          <w:sz w:val="22"/>
          <w:szCs w:val="22"/>
        </w:rPr>
      </w:pPr>
      <w:r w:rsidRPr="00BA3FBD">
        <w:rPr>
          <w:rFonts w:eastAsia="Calibri"/>
          <w:sz w:val="22"/>
          <w:szCs w:val="22"/>
        </w:rPr>
        <w:t xml:space="preserve">Sutrikusi klausa. </w:t>
      </w:r>
    </w:p>
    <w:p w14:paraId="78949FF6" w14:textId="77777777" w:rsidR="008A305D" w:rsidRPr="00BA3FBD" w:rsidRDefault="008A305D" w:rsidP="008A305D">
      <w:pPr>
        <w:pStyle w:val="Betarp"/>
        <w:numPr>
          <w:ilvl w:val="0"/>
          <w:numId w:val="11"/>
        </w:numPr>
        <w:ind w:hanging="720"/>
        <w:rPr>
          <w:rFonts w:eastAsia="Calibri"/>
          <w:sz w:val="22"/>
          <w:szCs w:val="22"/>
        </w:rPr>
      </w:pPr>
      <w:r w:rsidRPr="00BA3FBD">
        <w:rPr>
          <w:rFonts w:eastAsia="Calibri"/>
          <w:sz w:val="22"/>
          <w:szCs w:val="22"/>
        </w:rPr>
        <w:t xml:space="preserve">Raumenų silpnumas ir spazmas kartu su sutrikusiu širdies ritmu (požymiai, rodantys, kad pakito kalio kiekis Jūsų kraujyje). </w:t>
      </w:r>
    </w:p>
    <w:p w14:paraId="78C9A12A" w14:textId="77777777" w:rsidR="008A305D" w:rsidRPr="00BA3FBD" w:rsidRDefault="008A305D" w:rsidP="008A305D">
      <w:pPr>
        <w:pStyle w:val="Betarp"/>
        <w:numPr>
          <w:ilvl w:val="0"/>
          <w:numId w:val="11"/>
        </w:numPr>
        <w:ind w:hanging="720"/>
        <w:rPr>
          <w:rFonts w:eastAsia="Calibri"/>
          <w:sz w:val="22"/>
          <w:szCs w:val="22"/>
        </w:rPr>
      </w:pPr>
      <w:r w:rsidRPr="00BA3FBD">
        <w:rPr>
          <w:rFonts w:eastAsia="Calibri"/>
          <w:sz w:val="22"/>
          <w:szCs w:val="22"/>
        </w:rPr>
        <w:t xml:space="preserve">Mėlynės. </w:t>
      </w:r>
    </w:p>
    <w:p w14:paraId="6A38D1C0" w14:textId="77777777" w:rsidR="008A305D" w:rsidRPr="00BA3FBD" w:rsidRDefault="008A305D" w:rsidP="008A305D">
      <w:pPr>
        <w:pStyle w:val="Betarp"/>
        <w:numPr>
          <w:ilvl w:val="0"/>
          <w:numId w:val="11"/>
        </w:numPr>
        <w:ind w:hanging="720"/>
        <w:rPr>
          <w:rFonts w:eastAsia="Calibri"/>
          <w:sz w:val="22"/>
          <w:szCs w:val="22"/>
        </w:rPr>
      </w:pPr>
      <w:r w:rsidRPr="00BA3FBD">
        <w:rPr>
          <w:rFonts w:eastAsia="Calibri"/>
          <w:sz w:val="22"/>
          <w:szCs w:val="22"/>
        </w:rPr>
        <w:t xml:space="preserve">Skrandžio skausmas kartu su šleikštuliu (pykinimu). </w:t>
      </w:r>
    </w:p>
    <w:p w14:paraId="20D39894" w14:textId="77777777" w:rsidR="008A305D" w:rsidRPr="00BA3FBD" w:rsidRDefault="008A305D" w:rsidP="008A305D">
      <w:pPr>
        <w:pStyle w:val="Betarp"/>
        <w:numPr>
          <w:ilvl w:val="0"/>
          <w:numId w:val="11"/>
        </w:numPr>
        <w:ind w:hanging="720"/>
        <w:rPr>
          <w:rFonts w:eastAsia="Calibri"/>
          <w:sz w:val="22"/>
          <w:szCs w:val="22"/>
        </w:rPr>
      </w:pPr>
      <w:r w:rsidRPr="00BA3FBD">
        <w:rPr>
          <w:rFonts w:eastAsia="Calibri"/>
          <w:sz w:val="22"/>
          <w:szCs w:val="22"/>
        </w:rPr>
        <w:lastRenderedPageBreak/>
        <w:t xml:space="preserve">Raumenų spazmai ir kartu pasireiškiantis karščiavimas, raudonai rudos spalvos šlapimas, raumenų skausmas ar silpnumas (raumenų sutrikimų požymiai). </w:t>
      </w:r>
    </w:p>
    <w:p w14:paraId="709139D5" w14:textId="77777777" w:rsidR="008A305D" w:rsidRPr="00BA3FBD" w:rsidRDefault="008A305D" w:rsidP="008A305D">
      <w:pPr>
        <w:pStyle w:val="Betarp"/>
        <w:numPr>
          <w:ilvl w:val="0"/>
          <w:numId w:val="11"/>
        </w:numPr>
        <w:ind w:hanging="720"/>
        <w:rPr>
          <w:rFonts w:eastAsia="Calibri"/>
          <w:sz w:val="22"/>
          <w:szCs w:val="22"/>
        </w:rPr>
      </w:pPr>
      <w:r w:rsidRPr="00BA3FBD">
        <w:rPr>
          <w:rFonts w:eastAsia="Calibri"/>
          <w:sz w:val="22"/>
          <w:szCs w:val="22"/>
        </w:rPr>
        <w:t xml:space="preserve">Dubens srities skausmas, kartais kartu su pykinimu ir vėmimu, kartu su netikėtu kraujavimu iš makšties, galvos svaigimu ar alpimu dėl sumažėjusio kraujospūdžio (kiaušidžių ar gimdos sutrikimų požymiai). </w:t>
      </w:r>
    </w:p>
    <w:p w14:paraId="0E6498F1" w14:textId="77777777" w:rsidR="008A305D" w:rsidRPr="00BA3FBD" w:rsidRDefault="008A305D" w:rsidP="008A305D">
      <w:pPr>
        <w:pStyle w:val="Betarp"/>
        <w:numPr>
          <w:ilvl w:val="0"/>
          <w:numId w:val="11"/>
        </w:numPr>
        <w:ind w:hanging="720"/>
        <w:rPr>
          <w:rFonts w:eastAsia="Calibri"/>
          <w:sz w:val="22"/>
          <w:szCs w:val="22"/>
        </w:rPr>
      </w:pPr>
      <w:r w:rsidRPr="00BA3FBD">
        <w:rPr>
          <w:rFonts w:eastAsia="Calibri"/>
          <w:sz w:val="22"/>
          <w:szCs w:val="22"/>
        </w:rPr>
        <w:t xml:space="preserve">Pykinimas, oro trūkumas, nereguliarus širdies ritmas, drumstas šlapimas, nuovargis ir/arba sąnarių diskomfortas susijęs su anomaliais laboratorinių tyrimų rezultatais (pvz., didelis kalio, šlapimo rūgšties ir fosforo kiekis, ir mažas kalcio kiekis kraujyje). </w:t>
      </w:r>
    </w:p>
    <w:p w14:paraId="444C1311" w14:textId="77777777" w:rsidR="008A305D" w:rsidRPr="00BA3FBD" w:rsidRDefault="008A305D" w:rsidP="008A305D">
      <w:pPr>
        <w:numPr>
          <w:ilvl w:val="0"/>
          <w:numId w:val="1"/>
        </w:numPr>
        <w:autoSpaceDE w:val="0"/>
        <w:autoSpaceDN w:val="0"/>
        <w:adjustRightInd w:val="0"/>
        <w:spacing w:after="200" w:line="276" w:lineRule="auto"/>
        <w:ind w:left="567" w:hanging="567"/>
        <w:contextualSpacing/>
        <w:rPr>
          <w:rFonts w:eastAsia="Calibri"/>
          <w:sz w:val="22"/>
          <w:szCs w:val="22"/>
        </w:rPr>
      </w:pPr>
    </w:p>
    <w:p w14:paraId="358451E3" w14:textId="77777777" w:rsidR="008A305D" w:rsidRPr="00BA3FBD" w:rsidRDefault="008A305D" w:rsidP="008A305D">
      <w:pPr>
        <w:autoSpaceDE w:val="0"/>
        <w:autoSpaceDN w:val="0"/>
        <w:adjustRightInd w:val="0"/>
        <w:ind w:left="567" w:hanging="567"/>
        <w:rPr>
          <w:rFonts w:eastAsia="Calibri"/>
          <w:b/>
          <w:sz w:val="22"/>
          <w:szCs w:val="22"/>
        </w:rPr>
      </w:pPr>
      <w:r w:rsidRPr="00BA3FBD">
        <w:rPr>
          <w:rFonts w:eastAsia="Calibri"/>
          <w:b/>
          <w:sz w:val="22"/>
          <w:szCs w:val="22"/>
        </w:rPr>
        <w:t xml:space="preserve">Dažnis nežinomas </w:t>
      </w:r>
      <w:r w:rsidRPr="00BA3FBD">
        <w:rPr>
          <w:rFonts w:eastAsia="Calibri"/>
          <w:sz w:val="22"/>
          <w:szCs w:val="22"/>
        </w:rPr>
        <w:t>(negali būti apskaičiuotas pagal turimus duomenis)</w:t>
      </w:r>
      <w:r w:rsidRPr="00BA3FBD">
        <w:rPr>
          <w:rFonts w:eastAsia="Calibri"/>
          <w:b/>
          <w:sz w:val="22"/>
          <w:szCs w:val="22"/>
        </w:rPr>
        <w:t xml:space="preserve"> </w:t>
      </w:r>
    </w:p>
    <w:p w14:paraId="30463BB8" w14:textId="77777777" w:rsidR="008A305D" w:rsidRPr="00BA3FBD" w:rsidRDefault="008A305D" w:rsidP="008A305D">
      <w:pPr>
        <w:autoSpaceDE w:val="0"/>
        <w:autoSpaceDN w:val="0"/>
        <w:adjustRightInd w:val="0"/>
        <w:ind w:left="567" w:hanging="567"/>
        <w:rPr>
          <w:rFonts w:eastAsia="Calibri"/>
          <w:sz w:val="22"/>
          <w:szCs w:val="22"/>
        </w:rPr>
      </w:pPr>
      <w:r w:rsidRPr="00BA3FBD">
        <w:rPr>
          <w:rFonts w:eastAsia="Calibri"/>
          <w:sz w:val="22"/>
          <w:szCs w:val="22"/>
        </w:rPr>
        <w:t>-</w:t>
      </w:r>
      <w:r w:rsidRPr="00BA3FBD">
        <w:rPr>
          <w:rFonts w:eastAsia="Calibri"/>
          <w:sz w:val="22"/>
          <w:szCs w:val="22"/>
        </w:rPr>
        <w:tab/>
        <w:t xml:space="preserve">Plačiai išplitęs odos bėrimas kartu su pykinimu, karščiavimu, kai kurių baltųjų kraujo kūnelių skaičiaus padidėjimu arba odos ar akių pageltimu (geltos požymiai), lydymas dusulio, krūtinės skausmo/diskomforto, labai sumažėjusio šlapimo išskyrimo bei troškulio ir t.t. (alerginės reakcijos požymiai susiję su gydymu). </w:t>
      </w:r>
    </w:p>
    <w:p w14:paraId="116DDBE9" w14:textId="77777777" w:rsidR="008A305D" w:rsidRDefault="008A305D" w:rsidP="008A305D">
      <w:pPr>
        <w:autoSpaceDE w:val="0"/>
        <w:autoSpaceDN w:val="0"/>
        <w:adjustRightInd w:val="0"/>
        <w:ind w:left="567" w:hanging="567"/>
        <w:rPr>
          <w:rFonts w:eastAsia="Calibri"/>
          <w:sz w:val="22"/>
          <w:szCs w:val="22"/>
        </w:rPr>
      </w:pPr>
      <w:r w:rsidRPr="00BA3FBD">
        <w:rPr>
          <w:rFonts w:eastAsia="Calibri"/>
          <w:sz w:val="22"/>
          <w:szCs w:val="22"/>
        </w:rPr>
        <w:t>-</w:t>
      </w:r>
      <w:r w:rsidRPr="00BA3FBD">
        <w:rPr>
          <w:rFonts w:eastAsia="Calibri"/>
          <w:sz w:val="22"/>
          <w:szCs w:val="22"/>
        </w:rPr>
        <w:tab/>
        <w:t>lėtinis inkstų nepakankamumas.</w:t>
      </w:r>
    </w:p>
    <w:p w14:paraId="3DAA79F3" w14:textId="77777777" w:rsidR="008A305D" w:rsidRPr="00BA3FBD" w:rsidRDefault="008A305D" w:rsidP="008A305D">
      <w:pPr>
        <w:autoSpaceDE w:val="0"/>
        <w:autoSpaceDN w:val="0"/>
        <w:adjustRightInd w:val="0"/>
        <w:ind w:left="567" w:hanging="567"/>
        <w:rPr>
          <w:rFonts w:eastAsia="Calibri"/>
          <w:sz w:val="22"/>
          <w:szCs w:val="22"/>
        </w:rPr>
      </w:pPr>
    </w:p>
    <w:p w14:paraId="50152EA0" w14:textId="77777777" w:rsidR="008A305D" w:rsidRPr="00BA3FBD" w:rsidRDefault="008A305D" w:rsidP="008A305D">
      <w:pPr>
        <w:rPr>
          <w:rFonts w:eastAsia="Calibri"/>
          <w:sz w:val="22"/>
          <w:szCs w:val="22"/>
        </w:rPr>
      </w:pPr>
      <w:r w:rsidRPr="00BA3FBD">
        <w:rPr>
          <w:rFonts w:eastAsia="Calibri"/>
          <w:sz w:val="22"/>
          <w:szCs w:val="22"/>
        </w:rPr>
        <w:t xml:space="preserve">Jeigu Jums pasireikštų bet kuris iš anksčiau nurodytų reiškinių, </w:t>
      </w:r>
      <w:r w:rsidRPr="00BA3FBD">
        <w:rPr>
          <w:rFonts w:eastAsia="Calibri"/>
          <w:b/>
          <w:bCs/>
          <w:sz w:val="22"/>
          <w:szCs w:val="22"/>
        </w:rPr>
        <w:t xml:space="preserve">nedelsiant pasakykite gydytojui. </w:t>
      </w:r>
    </w:p>
    <w:p w14:paraId="57AA97AD" w14:textId="77777777" w:rsidR="008A305D" w:rsidRPr="00BA3FBD" w:rsidRDefault="008A305D" w:rsidP="008A305D">
      <w:pPr>
        <w:rPr>
          <w:rFonts w:eastAsia="Calibri"/>
          <w:sz w:val="22"/>
          <w:szCs w:val="22"/>
        </w:rPr>
      </w:pPr>
    </w:p>
    <w:p w14:paraId="4689A2BC"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Taip pat gali pasireikšti kitas šalutinis poveikis: </w:t>
      </w:r>
    </w:p>
    <w:p w14:paraId="2934ECCD" w14:textId="77777777" w:rsidR="008A305D" w:rsidRPr="00BA3FBD" w:rsidRDefault="008A305D" w:rsidP="008A305D">
      <w:pPr>
        <w:autoSpaceDE w:val="0"/>
        <w:autoSpaceDN w:val="0"/>
        <w:adjustRightInd w:val="0"/>
        <w:rPr>
          <w:rFonts w:eastAsia="Calibri"/>
          <w:b/>
          <w:bCs/>
          <w:sz w:val="22"/>
          <w:szCs w:val="22"/>
        </w:rPr>
      </w:pPr>
    </w:p>
    <w:p w14:paraId="6E6D3A87"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Labai dažnas šalutinis poveikis </w:t>
      </w:r>
      <w:r w:rsidRPr="00BA3FBD">
        <w:rPr>
          <w:rFonts w:eastAsia="Calibri"/>
          <w:bCs/>
          <w:sz w:val="22"/>
          <w:szCs w:val="22"/>
        </w:rPr>
        <w:t>(gali pasireikšti daugiau nei 1 žmogui iš 10)</w:t>
      </w:r>
      <w:r w:rsidRPr="00BA3FBD">
        <w:rPr>
          <w:rFonts w:eastAsia="Calibri"/>
          <w:b/>
          <w:bCs/>
          <w:sz w:val="22"/>
          <w:szCs w:val="22"/>
        </w:rPr>
        <w:t xml:space="preserve">: </w:t>
      </w:r>
    </w:p>
    <w:p w14:paraId="6F6B46E0" w14:textId="77777777" w:rsidR="008A305D" w:rsidRPr="00BA3FBD" w:rsidRDefault="008A305D" w:rsidP="008A305D">
      <w:pPr>
        <w:pStyle w:val="Betarp"/>
        <w:numPr>
          <w:ilvl w:val="0"/>
          <w:numId w:val="12"/>
        </w:numPr>
        <w:ind w:hanging="720"/>
        <w:rPr>
          <w:rFonts w:eastAsia="Calibri"/>
          <w:sz w:val="22"/>
          <w:szCs w:val="22"/>
        </w:rPr>
      </w:pPr>
      <w:r w:rsidRPr="00BA3FBD">
        <w:rPr>
          <w:rFonts w:eastAsia="Calibri"/>
          <w:sz w:val="22"/>
          <w:szCs w:val="22"/>
        </w:rPr>
        <w:t xml:space="preserve">Galvos skausmas ar nuovargis. </w:t>
      </w:r>
    </w:p>
    <w:p w14:paraId="018AE68E" w14:textId="77777777" w:rsidR="008A305D" w:rsidRPr="00BA3FBD" w:rsidRDefault="008A305D" w:rsidP="008A305D">
      <w:pPr>
        <w:pStyle w:val="Betarp"/>
        <w:numPr>
          <w:ilvl w:val="0"/>
          <w:numId w:val="12"/>
        </w:numPr>
        <w:ind w:hanging="720"/>
        <w:rPr>
          <w:rFonts w:eastAsia="Calibri"/>
          <w:sz w:val="22"/>
          <w:szCs w:val="22"/>
        </w:rPr>
      </w:pPr>
      <w:r w:rsidRPr="00BA3FBD">
        <w:rPr>
          <w:rFonts w:eastAsia="Calibri"/>
          <w:sz w:val="22"/>
          <w:szCs w:val="22"/>
        </w:rPr>
        <w:t xml:space="preserve">Šleikštulys (pykinimas), vėmimas, viduriavimas ar nevirškinimas. </w:t>
      </w:r>
    </w:p>
    <w:p w14:paraId="48BB8DB5" w14:textId="77777777" w:rsidR="008A305D" w:rsidRPr="00BA3FBD" w:rsidRDefault="008A305D" w:rsidP="008A305D">
      <w:pPr>
        <w:pStyle w:val="Betarp"/>
        <w:numPr>
          <w:ilvl w:val="0"/>
          <w:numId w:val="12"/>
        </w:numPr>
        <w:ind w:hanging="720"/>
        <w:rPr>
          <w:rFonts w:eastAsia="Calibri"/>
          <w:sz w:val="22"/>
          <w:szCs w:val="22"/>
        </w:rPr>
      </w:pPr>
      <w:r w:rsidRPr="00BA3FBD">
        <w:rPr>
          <w:rFonts w:eastAsia="Calibri"/>
          <w:sz w:val="22"/>
          <w:szCs w:val="22"/>
        </w:rPr>
        <w:t xml:space="preserve">Bėrimas. </w:t>
      </w:r>
    </w:p>
    <w:p w14:paraId="5E383477" w14:textId="77777777" w:rsidR="008A305D" w:rsidRPr="00BA3FBD" w:rsidRDefault="008A305D" w:rsidP="008A305D">
      <w:pPr>
        <w:pStyle w:val="Betarp"/>
        <w:numPr>
          <w:ilvl w:val="0"/>
          <w:numId w:val="12"/>
        </w:numPr>
        <w:ind w:hanging="720"/>
        <w:rPr>
          <w:rFonts w:eastAsia="Calibri"/>
          <w:sz w:val="22"/>
          <w:szCs w:val="22"/>
        </w:rPr>
      </w:pPr>
      <w:r w:rsidRPr="00BA3FBD">
        <w:rPr>
          <w:rFonts w:eastAsia="Calibri"/>
          <w:sz w:val="22"/>
          <w:szCs w:val="22"/>
        </w:rPr>
        <w:t xml:space="preserve">Raumenų mėšlungis arba sąnarių, raumenų ir kaulų skausmas. </w:t>
      </w:r>
    </w:p>
    <w:p w14:paraId="2D41AB1F" w14:textId="77777777" w:rsidR="008A305D" w:rsidRPr="00BA3FBD" w:rsidRDefault="008A305D" w:rsidP="008A305D">
      <w:pPr>
        <w:pStyle w:val="Betarp"/>
        <w:numPr>
          <w:ilvl w:val="0"/>
          <w:numId w:val="12"/>
        </w:numPr>
        <w:ind w:hanging="720"/>
        <w:rPr>
          <w:rFonts w:eastAsia="Calibri"/>
          <w:sz w:val="22"/>
          <w:szCs w:val="22"/>
        </w:rPr>
      </w:pPr>
      <w:r w:rsidRPr="00BA3FBD">
        <w:rPr>
          <w:rFonts w:eastAsia="Calibri"/>
          <w:sz w:val="22"/>
          <w:szCs w:val="22"/>
        </w:rPr>
        <w:t xml:space="preserve">Tinimas, pavyzdžiui, patinusios kulkšnys ar paburkę akių vokai. </w:t>
      </w:r>
    </w:p>
    <w:p w14:paraId="4B4EA1B2" w14:textId="77777777" w:rsidR="008A305D" w:rsidRPr="00BA3FBD" w:rsidRDefault="008A305D" w:rsidP="008A305D">
      <w:pPr>
        <w:pStyle w:val="Betarp"/>
        <w:numPr>
          <w:ilvl w:val="0"/>
          <w:numId w:val="12"/>
        </w:numPr>
        <w:ind w:hanging="720"/>
        <w:rPr>
          <w:rFonts w:eastAsia="Calibri"/>
          <w:sz w:val="22"/>
          <w:szCs w:val="22"/>
        </w:rPr>
      </w:pPr>
      <w:r w:rsidRPr="00BA3FBD">
        <w:rPr>
          <w:rFonts w:eastAsia="Calibri"/>
          <w:sz w:val="22"/>
          <w:szCs w:val="22"/>
        </w:rPr>
        <w:t xml:space="preserve">Padidėjęs kūno svoris. </w:t>
      </w:r>
    </w:p>
    <w:p w14:paraId="229E16E9"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 bet kuris iš šių reiškinių tampa sunkiu, </w:t>
      </w:r>
      <w:r w:rsidRPr="00BA3FBD">
        <w:rPr>
          <w:rFonts w:eastAsia="Calibri"/>
          <w:b/>
          <w:bCs/>
          <w:sz w:val="22"/>
          <w:szCs w:val="22"/>
        </w:rPr>
        <w:t>pasakykite gydytojui</w:t>
      </w:r>
      <w:r w:rsidRPr="00BA3FBD">
        <w:rPr>
          <w:rFonts w:eastAsia="Calibri"/>
          <w:sz w:val="22"/>
          <w:szCs w:val="22"/>
        </w:rPr>
        <w:t xml:space="preserve">. </w:t>
      </w:r>
    </w:p>
    <w:p w14:paraId="25E1BC0B" w14:textId="77777777" w:rsidR="008A305D" w:rsidRPr="00BA3FBD" w:rsidRDefault="008A305D" w:rsidP="008A305D">
      <w:pPr>
        <w:autoSpaceDE w:val="0"/>
        <w:autoSpaceDN w:val="0"/>
        <w:adjustRightInd w:val="0"/>
        <w:rPr>
          <w:rFonts w:eastAsia="Calibri"/>
          <w:b/>
          <w:bCs/>
          <w:sz w:val="22"/>
          <w:szCs w:val="22"/>
        </w:rPr>
      </w:pPr>
    </w:p>
    <w:p w14:paraId="5FF7ABD7"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Dažnas šalutinis poveikis </w:t>
      </w:r>
      <w:r w:rsidRPr="00BA3FBD">
        <w:rPr>
          <w:rFonts w:eastAsia="Calibri"/>
          <w:bCs/>
          <w:sz w:val="22"/>
          <w:szCs w:val="22"/>
        </w:rPr>
        <w:t xml:space="preserve">(gali pasireikšti </w:t>
      </w:r>
      <w:r>
        <w:rPr>
          <w:rFonts w:eastAsia="Calibri"/>
          <w:bCs/>
          <w:sz w:val="22"/>
          <w:szCs w:val="22"/>
        </w:rPr>
        <w:t>mažiau kaip</w:t>
      </w:r>
      <w:r w:rsidRPr="00BA3FBD">
        <w:rPr>
          <w:rFonts w:eastAsia="Calibri"/>
          <w:bCs/>
          <w:sz w:val="22"/>
          <w:szCs w:val="22"/>
        </w:rPr>
        <w:t xml:space="preserve"> 1 iš 10 žmonių)</w:t>
      </w:r>
      <w:r w:rsidRPr="00BA3FBD">
        <w:rPr>
          <w:rFonts w:eastAsia="Calibri"/>
          <w:b/>
          <w:bCs/>
          <w:sz w:val="22"/>
          <w:szCs w:val="22"/>
        </w:rPr>
        <w:t xml:space="preserve">: </w:t>
      </w:r>
    </w:p>
    <w:p w14:paraId="3B8839A3" w14:textId="77777777" w:rsidR="008A305D" w:rsidRPr="00BA3FBD" w:rsidRDefault="008A305D" w:rsidP="008A305D">
      <w:pPr>
        <w:pStyle w:val="Betarp"/>
        <w:numPr>
          <w:ilvl w:val="0"/>
          <w:numId w:val="13"/>
        </w:numPr>
        <w:ind w:hanging="720"/>
        <w:rPr>
          <w:rFonts w:eastAsia="Calibri"/>
          <w:sz w:val="22"/>
          <w:szCs w:val="22"/>
        </w:rPr>
      </w:pPr>
      <w:r w:rsidRPr="00BA3FBD">
        <w:rPr>
          <w:rFonts w:eastAsia="Calibri"/>
          <w:sz w:val="22"/>
          <w:szCs w:val="22"/>
        </w:rPr>
        <w:t xml:space="preserve">Anoreksija, sumažėjęs kūno svoris, sutrikęs skonio jutimas. </w:t>
      </w:r>
    </w:p>
    <w:p w14:paraId="7417F695" w14:textId="77777777" w:rsidR="008A305D" w:rsidRPr="00BA3FBD" w:rsidRDefault="008A305D" w:rsidP="008A305D">
      <w:pPr>
        <w:pStyle w:val="Betarp"/>
        <w:numPr>
          <w:ilvl w:val="0"/>
          <w:numId w:val="13"/>
        </w:numPr>
        <w:ind w:hanging="720"/>
        <w:rPr>
          <w:rFonts w:eastAsia="Calibri"/>
          <w:sz w:val="22"/>
          <w:szCs w:val="22"/>
        </w:rPr>
      </w:pPr>
      <w:r w:rsidRPr="00BA3FBD">
        <w:rPr>
          <w:rFonts w:eastAsia="Calibri"/>
          <w:sz w:val="22"/>
          <w:szCs w:val="22"/>
        </w:rPr>
        <w:t xml:space="preserve">Galvos svaigimas, silpnumas. </w:t>
      </w:r>
    </w:p>
    <w:p w14:paraId="565BA033" w14:textId="77777777" w:rsidR="008A305D" w:rsidRPr="00BA3FBD" w:rsidRDefault="008A305D" w:rsidP="008A305D">
      <w:pPr>
        <w:pStyle w:val="Betarp"/>
        <w:numPr>
          <w:ilvl w:val="0"/>
          <w:numId w:val="13"/>
        </w:numPr>
        <w:ind w:hanging="720"/>
        <w:rPr>
          <w:rFonts w:eastAsia="Calibri"/>
          <w:sz w:val="22"/>
          <w:szCs w:val="22"/>
        </w:rPr>
      </w:pPr>
      <w:r w:rsidRPr="00BA3FBD">
        <w:rPr>
          <w:rFonts w:eastAsia="Calibri"/>
          <w:sz w:val="22"/>
          <w:szCs w:val="22"/>
        </w:rPr>
        <w:t xml:space="preserve">Sunkumas užmigti (nemiga). </w:t>
      </w:r>
    </w:p>
    <w:p w14:paraId="141D97ED" w14:textId="77777777" w:rsidR="008A305D" w:rsidRPr="00BA3FBD" w:rsidRDefault="008A305D" w:rsidP="008A305D">
      <w:pPr>
        <w:pStyle w:val="Betarp"/>
        <w:numPr>
          <w:ilvl w:val="0"/>
          <w:numId w:val="13"/>
        </w:numPr>
        <w:ind w:hanging="720"/>
        <w:rPr>
          <w:rFonts w:eastAsia="Calibri"/>
          <w:sz w:val="22"/>
          <w:szCs w:val="22"/>
        </w:rPr>
      </w:pPr>
      <w:r w:rsidRPr="00BA3FBD">
        <w:rPr>
          <w:rFonts w:eastAsia="Calibri"/>
          <w:sz w:val="22"/>
          <w:szCs w:val="22"/>
        </w:rPr>
        <w:t xml:space="preserve">Išskyros iš akies kartu su niežuliu, paraudimu ir patinimu (konjunktyvitas), ašarojimas, neryškus matymas. </w:t>
      </w:r>
    </w:p>
    <w:p w14:paraId="4E5A18F1" w14:textId="77777777" w:rsidR="008A305D" w:rsidRPr="00BA3FBD" w:rsidRDefault="008A305D" w:rsidP="008A305D">
      <w:pPr>
        <w:pStyle w:val="Betarp"/>
        <w:numPr>
          <w:ilvl w:val="0"/>
          <w:numId w:val="13"/>
        </w:numPr>
        <w:ind w:hanging="720"/>
        <w:rPr>
          <w:rFonts w:eastAsia="Calibri"/>
          <w:sz w:val="22"/>
          <w:szCs w:val="22"/>
        </w:rPr>
      </w:pPr>
      <w:r w:rsidRPr="00BA3FBD">
        <w:rPr>
          <w:rFonts w:eastAsia="Calibri"/>
          <w:sz w:val="22"/>
          <w:szCs w:val="22"/>
        </w:rPr>
        <w:t xml:space="preserve">Kraujavimas iš nosies. </w:t>
      </w:r>
    </w:p>
    <w:p w14:paraId="717BB814" w14:textId="77777777" w:rsidR="008A305D" w:rsidRPr="00BA3FBD" w:rsidRDefault="008A305D" w:rsidP="008A305D">
      <w:pPr>
        <w:pStyle w:val="Betarp"/>
        <w:numPr>
          <w:ilvl w:val="0"/>
          <w:numId w:val="13"/>
        </w:numPr>
        <w:ind w:hanging="720"/>
        <w:rPr>
          <w:rFonts w:eastAsia="Calibri"/>
          <w:sz w:val="22"/>
          <w:szCs w:val="22"/>
        </w:rPr>
      </w:pPr>
      <w:r w:rsidRPr="00BA3FBD">
        <w:rPr>
          <w:rFonts w:eastAsia="Calibri"/>
          <w:sz w:val="22"/>
          <w:szCs w:val="22"/>
        </w:rPr>
        <w:lastRenderedPageBreak/>
        <w:t xml:space="preserve">Pilvo skausmas ar patinimas, vidurių pūtimas, rėmuo, vidurių užkietėjimas. </w:t>
      </w:r>
    </w:p>
    <w:p w14:paraId="3251D200" w14:textId="77777777" w:rsidR="008A305D" w:rsidRPr="00BA3FBD" w:rsidRDefault="008A305D" w:rsidP="008A305D">
      <w:pPr>
        <w:pStyle w:val="Betarp"/>
        <w:numPr>
          <w:ilvl w:val="0"/>
          <w:numId w:val="13"/>
        </w:numPr>
        <w:ind w:hanging="720"/>
        <w:rPr>
          <w:rFonts w:eastAsia="Calibri"/>
          <w:sz w:val="22"/>
          <w:szCs w:val="22"/>
        </w:rPr>
      </w:pPr>
      <w:r w:rsidRPr="00BA3FBD">
        <w:rPr>
          <w:rFonts w:eastAsia="Calibri"/>
          <w:sz w:val="22"/>
          <w:szCs w:val="22"/>
        </w:rPr>
        <w:t xml:space="preserve">Niežulys. </w:t>
      </w:r>
    </w:p>
    <w:p w14:paraId="07F211B6" w14:textId="77777777" w:rsidR="008A305D" w:rsidRPr="00BA3FBD" w:rsidRDefault="008A305D" w:rsidP="008A305D">
      <w:pPr>
        <w:pStyle w:val="Betarp"/>
        <w:numPr>
          <w:ilvl w:val="0"/>
          <w:numId w:val="13"/>
        </w:numPr>
        <w:ind w:hanging="720"/>
        <w:rPr>
          <w:rFonts w:eastAsia="Calibri"/>
          <w:sz w:val="22"/>
          <w:szCs w:val="22"/>
        </w:rPr>
      </w:pPr>
      <w:r w:rsidRPr="00BA3FBD">
        <w:rPr>
          <w:rFonts w:eastAsia="Calibri"/>
          <w:sz w:val="22"/>
          <w:szCs w:val="22"/>
        </w:rPr>
        <w:t xml:space="preserve">Neįprastas plaukų slinkimas ar plonėjimas. </w:t>
      </w:r>
    </w:p>
    <w:p w14:paraId="6C9E2012" w14:textId="77777777" w:rsidR="008A305D" w:rsidRPr="00BA3FBD" w:rsidRDefault="008A305D" w:rsidP="008A305D">
      <w:pPr>
        <w:pStyle w:val="Betarp"/>
        <w:numPr>
          <w:ilvl w:val="0"/>
          <w:numId w:val="13"/>
        </w:numPr>
        <w:ind w:hanging="720"/>
        <w:rPr>
          <w:rFonts w:eastAsia="Calibri"/>
          <w:sz w:val="22"/>
          <w:szCs w:val="22"/>
        </w:rPr>
      </w:pPr>
      <w:r w:rsidRPr="00BA3FBD">
        <w:rPr>
          <w:rFonts w:eastAsia="Calibri"/>
          <w:sz w:val="22"/>
          <w:szCs w:val="22"/>
        </w:rPr>
        <w:t xml:space="preserve">Plaštakų ar pėdų tirpimas. </w:t>
      </w:r>
    </w:p>
    <w:p w14:paraId="09415225" w14:textId="77777777" w:rsidR="008A305D" w:rsidRPr="00BA3FBD" w:rsidRDefault="008A305D" w:rsidP="008A305D">
      <w:pPr>
        <w:pStyle w:val="Betarp"/>
        <w:numPr>
          <w:ilvl w:val="0"/>
          <w:numId w:val="13"/>
        </w:numPr>
        <w:ind w:hanging="720"/>
        <w:rPr>
          <w:rFonts w:eastAsia="Calibri"/>
          <w:sz w:val="22"/>
          <w:szCs w:val="22"/>
        </w:rPr>
      </w:pPr>
      <w:r w:rsidRPr="00BA3FBD">
        <w:rPr>
          <w:rFonts w:eastAsia="Calibri"/>
          <w:sz w:val="22"/>
          <w:szCs w:val="22"/>
        </w:rPr>
        <w:t xml:space="preserve">Burnos išopėjimas. </w:t>
      </w:r>
    </w:p>
    <w:p w14:paraId="29F915CE" w14:textId="77777777" w:rsidR="008A305D" w:rsidRPr="00BA3FBD" w:rsidRDefault="008A305D" w:rsidP="008A305D">
      <w:pPr>
        <w:pStyle w:val="Betarp"/>
        <w:numPr>
          <w:ilvl w:val="0"/>
          <w:numId w:val="13"/>
        </w:numPr>
        <w:ind w:hanging="720"/>
        <w:rPr>
          <w:rFonts w:eastAsia="Calibri"/>
          <w:sz w:val="22"/>
          <w:szCs w:val="22"/>
        </w:rPr>
      </w:pPr>
      <w:r w:rsidRPr="00BA3FBD">
        <w:rPr>
          <w:rFonts w:eastAsia="Calibri"/>
          <w:sz w:val="22"/>
          <w:szCs w:val="22"/>
        </w:rPr>
        <w:t xml:space="preserve">Sąnarių skausmas ir patinimas. </w:t>
      </w:r>
    </w:p>
    <w:p w14:paraId="53C65ACC" w14:textId="77777777" w:rsidR="008A305D" w:rsidRPr="00BA3FBD" w:rsidRDefault="008A305D" w:rsidP="008A305D">
      <w:pPr>
        <w:pStyle w:val="Betarp"/>
        <w:numPr>
          <w:ilvl w:val="0"/>
          <w:numId w:val="13"/>
        </w:numPr>
        <w:ind w:hanging="720"/>
        <w:rPr>
          <w:rFonts w:eastAsia="Calibri"/>
          <w:sz w:val="22"/>
          <w:szCs w:val="22"/>
        </w:rPr>
      </w:pPr>
      <w:r w:rsidRPr="00BA3FBD">
        <w:rPr>
          <w:rFonts w:eastAsia="Calibri"/>
          <w:sz w:val="22"/>
          <w:szCs w:val="22"/>
        </w:rPr>
        <w:t xml:space="preserve">Burnos, odos ar akių džiūvimas. </w:t>
      </w:r>
    </w:p>
    <w:p w14:paraId="7B963194" w14:textId="77777777" w:rsidR="008A305D" w:rsidRPr="00BA3FBD" w:rsidRDefault="008A305D" w:rsidP="008A305D">
      <w:pPr>
        <w:pStyle w:val="Betarp"/>
        <w:numPr>
          <w:ilvl w:val="0"/>
          <w:numId w:val="13"/>
        </w:numPr>
        <w:ind w:hanging="720"/>
        <w:rPr>
          <w:rFonts w:eastAsia="Calibri"/>
          <w:sz w:val="22"/>
          <w:szCs w:val="22"/>
        </w:rPr>
      </w:pPr>
      <w:r w:rsidRPr="00BA3FBD">
        <w:rPr>
          <w:rFonts w:eastAsia="Calibri"/>
          <w:sz w:val="22"/>
          <w:szCs w:val="22"/>
        </w:rPr>
        <w:t xml:space="preserve">Sumažėjęs arba padidėjęs odos jautrumas. </w:t>
      </w:r>
    </w:p>
    <w:p w14:paraId="4BF8E311" w14:textId="77777777" w:rsidR="008A305D" w:rsidRPr="00BA3FBD" w:rsidRDefault="008A305D" w:rsidP="008A305D">
      <w:pPr>
        <w:pStyle w:val="Betarp"/>
        <w:numPr>
          <w:ilvl w:val="0"/>
          <w:numId w:val="13"/>
        </w:numPr>
        <w:ind w:hanging="720"/>
        <w:rPr>
          <w:rFonts w:eastAsia="Calibri"/>
          <w:sz w:val="22"/>
          <w:szCs w:val="22"/>
        </w:rPr>
      </w:pPr>
      <w:r w:rsidRPr="00BA3FBD">
        <w:rPr>
          <w:rFonts w:eastAsia="Calibri"/>
          <w:sz w:val="22"/>
          <w:szCs w:val="22"/>
        </w:rPr>
        <w:t xml:space="preserve">Karščio pylimai, drebulys, naktinis prakaitavimas. </w:t>
      </w:r>
    </w:p>
    <w:p w14:paraId="262BD706" w14:textId="77777777" w:rsidR="008A305D" w:rsidRPr="00BA3FBD" w:rsidRDefault="008A305D" w:rsidP="008A305D">
      <w:pPr>
        <w:rPr>
          <w:rFonts w:eastAsia="Calibri"/>
          <w:sz w:val="16"/>
          <w:szCs w:val="16"/>
        </w:rPr>
      </w:pPr>
      <w:r w:rsidRPr="00BA3FBD">
        <w:rPr>
          <w:rFonts w:eastAsia="Calibri"/>
          <w:sz w:val="22"/>
          <w:szCs w:val="22"/>
        </w:rPr>
        <w:t xml:space="preserve">Jei bet kuris iš šių reiškinių tampa sunkiu, </w:t>
      </w:r>
      <w:r w:rsidRPr="00BA3FBD">
        <w:rPr>
          <w:rFonts w:eastAsia="Calibri"/>
          <w:b/>
          <w:bCs/>
          <w:sz w:val="22"/>
          <w:szCs w:val="22"/>
        </w:rPr>
        <w:t>pasakykite gydytojui</w:t>
      </w:r>
      <w:r w:rsidRPr="00BA3FBD">
        <w:rPr>
          <w:rFonts w:eastAsia="Calibri"/>
          <w:sz w:val="22"/>
          <w:szCs w:val="22"/>
        </w:rPr>
        <w:t>.</w:t>
      </w:r>
    </w:p>
    <w:p w14:paraId="7AE4BE78" w14:textId="77777777" w:rsidR="008A305D" w:rsidRPr="00BA3FBD" w:rsidRDefault="008A305D" w:rsidP="008A305D">
      <w:pPr>
        <w:rPr>
          <w:rFonts w:eastAsia="Calibri"/>
          <w:b/>
          <w:bCs/>
          <w:sz w:val="22"/>
          <w:szCs w:val="22"/>
        </w:rPr>
      </w:pPr>
    </w:p>
    <w:p w14:paraId="346BF1C3" w14:textId="77777777" w:rsidR="008A305D" w:rsidRPr="00BA3FBD" w:rsidRDefault="008A305D" w:rsidP="008A305D">
      <w:pPr>
        <w:rPr>
          <w:rFonts w:eastAsia="Calibri"/>
          <w:sz w:val="22"/>
          <w:szCs w:val="22"/>
        </w:rPr>
      </w:pPr>
      <w:r w:rsidRPr="00BA3FBD">
        <w:rPr>
          <w:rFonts w:eastAsia="Calibri"/>
          <w:b/>
          <w:bCs/>
          <w:sz w:val="22"/>
          <w:szCs w:val="22"/>
        </w:rPr>
        <w:t xml:space="preserve">Dažnis nežinomas </w:t>
      </w:r>
      <w:r w:rsidRPr="00BA3FBD">
        <w:rPr>
          <w:rFonts w:eastAsia="Calibri"/>
          <w:bCs/>
          <w:sz w:val="22"/>
          <w:szCs w:val="22"/>
        </w:rPr>
        <w:t>(negali būti apskaičiuotas pagal turimus duomenis)</w:t>
      </w:r>
      <w:r w:rsidRPr="00BA3FBD">
        <w:rPr>
          <w:rFonts w:eastAsia="Calibri"/>
          <w:b/>
          <w:bCs/>
          <w:sz w:val="22"/>
          <w:szCs w:val="22"/>
        </w:rPr>
        <w:t xml:space="preserve">: </w:t>
      </w:r>
    </w:p>
    <w:p w14:paraId="2C269C89" w14:textId="77777777" w:rsidR="008A305D" w:rsidRPr="00BA3FBD" w:rsidRDefault="008A305D" w:rsidP="008A305D">
      <w:pPr>
        <w:numPr>
          <w:ilvl w:val="0"/>
          <w:numId w:val="1"/>
        </w:numPr>
        <w:ind w:left="709" w:hanging="709"/>
        <w:rPr>
          <w:rFonts w:eastAsia="Calibri"/>
          <w:sz w:val="22"/>
          <w:szCs w:val="22"/>
        </w:rPr>
      </w:pPr>
      <w:r w:rsidRPr="00BA3FBD">
        <w:rPr>
          <w:rFonts w:eastAsia="Calibri"/>
          <w:sz w:val="22"/>
          <w:szCs w:val="22"/>
        </w:rPr>
        <w:t xml:space="preserve">Delnų ir padų paraudimas ir (arba) patinimas, kurie gali pasireikšti kartu su dilgčiojimo pojūčiu ir deginančiu skausmu. </w:t>
      </w:r>
    </w:p>
    <w:p w14:paraId="604FED50" w14:textId="3EEDF487" w:rsidR="008A305D" w:rsidRDefault="008A305D" w:rsidP="008A305D">
      <w:pPr>
        <w:numPr>
          <w:ilvl w:val="0"/>
          <w:numId w:val="1"/>
        </w:numPr>
        <w:ind w:left="709" w:hanging="709"/>
        <w:rPr>
          <w:rFonts w:eastAsia="Calibri"/>
          <w:sz w:val="22"/>
          <w:szCs w:val="22"/>
        </w:rPr>
      </w:pPr>
      <w:r w:rsidRPr="00BA3FBD">
        <w:rPr>
          <w:rFonts w:eastAsia="Calibri"/>
          <w:sz w:val="22"/>
          <w:szCs w:val="22"/>
        </w:rPr>
        <w:t>Sulėtėjęs vaikų ir paauglių augimas.</w:t>
      </w:r>
    </w:p>
    <w:p w14:paraId="1319A2C2" w14:textId="598598D5" w:rsidR="005E4E29" w:rsidRPr="00BA3FBD" w:rsidRDefault="005E4E29" w:rsidP="008A305D">
      <w:pPr>
        <w:numPr>
          <w:ilvl w:val="0"/>
          <w:numId w:val="1"/>
        </w:numPr>
        <w:ind w:left="709" w:hanging="709"/>
        <w:rPr>
          <w:rFonts w:eastAsia="Calibri"/>
          <w:sz w:val="22"/>
          <w:szCs w:val="22"/>
        </w:rPr>
      </w:pPr>
      <w:r w:rsidRPr="005E4E29">
        <w:rPr>
          <w:rFonts w:eastAsia="Calibri"/>
          <w:sz w:val="22"/>
          <w:szCs w:val="22"/>
        </w:rPr>
        <w:t>Hepatito B infekcijos atsinaujinimas (reaktyvacija), jeigu praeityje jums buvo diagnozuotas hepatitas B (kepenų infekcija).</w:t>
      </w:r>
    </w:p>
    <w:p w14:paraId="75500315" w14:textId="77777777" w:rsidR="008A305D" w:rsidRPr="00BA3FBD" w:rsidRDefault="008A305D" w:rsidP="008A305D">
      <w:pPr>
        <w:rPr>
          <w:rFonts w:eastAsia="Calibri"/>
          <w:sz w:val="22"/>
          <w:szCs w:val="22"/>
        </w:rPr>
      </w:pPr>
      <w:r w:rsidRPr="00BA3FBD">
        <w:rPr>
          <w:rFonts w:eastAsia="Calibri"/>
          <w:sz w:val="22"/>
          <w:szCs w:val="22"/>
        </w:rPr>
        <w:t xml:space="preserve">Jei bet kuris iš šių reiškinių tampa sunkiu, </w:t>
      </w:r>
      <w:r w:rsidRPr="00BA3FBD">
        <w:rPr>
          <w:rFonts w:eastAsia="Calibri"/>
          <w:b/>
          <w:bCs/>
          <w:sz w:val="22"/>
          <w:szCs w:val="22"/>
        </w:rPr>
        <w:t>pasakykite gydytojui</w:t>
      </w:r>
      <w:r w:rsidRPr="00BA3FBD">
        <w:rPr>
          <w:rFonts w:eastAsia="Calibri"/>
          <w:sz w:val="22"/>
          <w:szCs w:val="22"/>
        </w:rPr>
        <w:t xml:space="preserve">. </w:t>
      </w:r>
    </w:p>
    <w:p w14:paraId="1993217C" w14:textId="77777777" w:rsidR="008A305D" w:rsidRPr="00BA3FBD" w:rsidRDefault="008A305D" w:rsidP="008A305D">
      <w:pPr>
        <w:autoSpaceDE w:val="0"/>
        <w:autoSpaceDN w:val="0"/>
        <w:adjustRightInd w:val="0"/>
        <w:rPr>
          <w:rFonts w:eastAsia="Calibri"/>
          <w:b/>
          <w:bCs/>
          <w:sz w:val="22"/>
          <w:szCs w:val="22"/>
        </w:rPr>
      </w:pPr>
    </w:p>
    <w:p w14:paraId="3C785841" w14:textId="77777777" w:rsidR="008A305D" w:rsidRPr="00BA3FBD" w:rsidRDefault="008A305D" w:rsidP="008A305D">
      <w:pPr>
        <w:rPr>
          <w:b/>
          <w:sz w:val="22"/>
          <w:szCs w:val="22"/>
        </w:rPr>
      </w:pPr>
      <w:r w:rsidRPr="00BA3FBD">
        <w:rPr>
          <w:b/>
          <w:sz w:val="22"/>
          <w:szCs w:val="22"/>
        </w:rPr>
        <w:t>Pranešimas apie šalutinį poveikį</w:t>
      </w:r>
    </w:p>
    <w:p w14:paraId="6FDE9704" w14:textId="77777777" w:rsidR="008A305D" w:rsidRPr="00BA3FBD" w:rsidRDefault="008A305D" w:rsidP="008A305D">
      <w:pPr>
        <w:autoSpaceDE w:val="0"/>
        <w:autoSpaceDN w:val="0"/>
        <w:adjustRightInd w:val="0"/>
        <w:rPr>
          <w:rFonts w:eastAsia="Calibri"/>
          <w:b/>
          <w:bCs/>
          <w:sz w:val="22"/>
          <w:szCs w:val="22"/>
        </w:rPr>
      </w:pPr>
      <w:r w:rsidRPr="00BA3FBD">
        <w:rPr>
          <w:sz w:val="22"/>
          <w:szCs w:val="22"/>
        </w:rPr>
        <w:t xml:space="preserve">Jeigu pasireiškė šalutinis poveikis, įskaitant šiame lapelyje nenurodytą, pasakykite gydytojui, vaistininkui arba slaugytojai. Apie šalutinį poveikį taip pat galite pranešti Valstybinei vaistų kontrolės tarnybai prie Lietuvos Respublikos sveikatos apsaugos ministerijos nemokamu telefonu 8 800 73568 arba užpildyti interneto svetainėje </w:t>
      </w:r>
      <w:hyperlink r:id="rId20" w:history="1">
        <w:r w:rsidRPr="00BA3FBD">
          <w:rPr>
            <w:rStyle w:val="Hipersaitas"/>
            <w:sz w:val="22"/>
            <w:szCs w:val="22"/>
          </w:rPr>
          <w:t>www.vvkt.lt</w:t>
        </w:r>
      </w:hyperlink>
      <w:r w:rsidRPr="00BA3FBD">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21" w:history="1">
        <w:r w:rsidRPr="00BA3FBD">
          <w:rPr>
            <w:rStyle w:val="Hipersaitas"/>
            <w:sz w:val="22"/>
            <w:szCs w:val="22"/>
          </w:rPr>
          <w:t>NepageidaujamaR@vvkt.lt</w:t>
        </w:r>
      </w:hyperlink>
      <w:r w:rsidRPr="00BA3FBD">
        <w:rPr>
          <w:sz w:val="22"/>
          <w:szCs w:val="22"/>
        </w:rPr>
        <w:t xml:space="preserve">, taip pat per Valstybinės vaistų kontrolės tarnybos prie Lietuvos Respublikos sveikatos apsaugos ministerijos interneto svetainę (adresu </w:t>
      </w:r>
      <w:hyperlink r:id="rId22" w:history="1">
        <w:r w:rsidRPr="00BA3FBD">
          <w:rPr>
            <w:rStyle w:val="Hipersaitas"/>
            <w:sz w:val="22"/>
            <w:szCs w:val="22"/>
          </w:rPr>
          <w:t>http://www.vvkt.lt</w:t>
        </w:r>
      </w:hyperlink>
      <w:r w:rsidRPr="00BA3FBD">
        <w:rPr>
          <w:sz w:val="22"/>
          <w:szCs w:val="22"/>
        </w:rPr>
        <w:t>). Pranešdami apie šalutinį poveikį galite mums padėti gauti daugiau informacijos apie šio vaisto saugumą.</w:t>
      </w:r>
    </w:p>
    <w:p w14:paraId="495479C0" w14:textId="77777777" w:rsidR="008A305D" w:rsidRPr="00BA3FBD" w:rsidRDefault="008A305D" w:rsidP="008A305D">
      <w:pPr>
        <w:autoSpaceDE w:val="0"/>
        <w:autoSpaceDN w:val="0"/>
        <w:adjustRightInd w:val="0"/>
        <w:rPr>
          <w:rFonts w:eastAsia="Calibri"/>
          <w:sz w:val="22"/>
          <w:szCs w:val="22"/>
        </w:rPr>
      </w:pPr>
    </w:p>
    <w:p w14:paraId="48CF99FC" w14:textId="77777777" w:rsidR="008A305D" w:rsidRPr="00BA3FBD" w:rsidRDefault="008A305D" w:rsidP="008A305D">
      <w:pPr>
        <w:autoSpaceDE w:val="0"/>
        <w:autoSpaceDN w:val="0"/>
        <w:adjustRightInd w:val="0"/>
        <w:rPr>
          <w:rFonts w:eastAsia="Calibri"/>
          <w:sz w:val="22"/>
          <w:szCs w:val="22"/>
        </w:rPr>
      </w:pPr>
    </w:p>
    <w:p w14:paraId="5F532D37" w14:textId="77777777" w:rsidR="008A305D" w:rsidRPr="00BA3FBD" w:rsidRDefault="008A305D" w:rsidP="008A305D">
      <w:pPr>
        <w:autoSpaceDE w:val="0"/>
        <w:autoSpaceDN w:val="0"/>
        <w:adjustRightInd w:val="0"/>
        <w:contextualSpacing/>
        <w:rPr>
          <w:rFonts w:eastAsia="Calibri"/>
          <w:b/>
          <w:sz w:val="22"/>
          <w:szCs w:val="22"/>
        </w:rPr>
      </w:pPr>
      <w:r w:rsidRPr="00BA3FBD">
        <w:rPr>
          <w:b/>
          <w:bCs/>
        </w:rPr>
        <w:t>5.</w:t>
      </w:r>
      <w:r w:rsidRPr="00BA3FBD">
        <w:rPr>
          <w:b/>
          <w:bCs/>
        </w:rPr>
        <w:tab/>
      </w:r>
      <w:r w:rsidRPr="00BA3FBD">
        <w:rPr>
          <w:rFonts w:eastAsia="Calibri"/>
          <w:b/>
          <w:bCs/>
          <w:sz w:val="22"/>
          <w:szCs w:val="22"/>
        </w:rPr>
        <w:t xml:space="preserve">Kaip laikyti Imatinib Actavis Group </w:t>
      </w:r>
    </w:p>
    <w:p w14:paraId="14FA7A90" w14:textId="77777777" w:rsidR="008A305D" w:rsidRPr="00BA3FBD" w:rsidRDefault="008A305D" w:rsidP="008A305D">
      <w:pPr>
        <w:autoSpaceDE w:val="0"/>
        <w:autoSpaceDN w:val="0"/>
        <w:adjustRightInd w:val="0"/>
        <w:spacing w:after="38"/>
        <w:rPr>
          <w:rFonts w:eastAsia="Calibri"/>
          <w:sz w:val="22"/>
          <w:szCs w:val="22"/>
        </w:rPr>
      </w:pPr>
    </w:p>
    <w:p w14:paraId="683CA925" w14:textId="77777777" w:rsidR="008A305D" w:rsidRDefault="008A305D" w:rsidP="008A305D">
      <w:pPr>
        <w:autoSpaceDE w:val="0"/>
        <w:autoSpaceDN w:val="0"/>
        <w:adjustRightInd w:val="0"/>
        <w:rPr>
          <w:rFonts w:eastAsia="Calibri"/>
          <w:sz w:val="22"/>
          <w:szCs w:val="22"/>
        </w:rPr>
      </w:pPr>
      <w:r w:rsidRPr="00BA3FBD">
        <w:rPr>
          <w:rFonts w:eastAsia="Calibri"/>
          <w:sz w:val="22"/>
          <w:szCs w:val="22"/>
        </w:rPr>
        <w:t xml:space="preserve">Šį vaistą laikykite vaikams nepastebimoje ir nepasiekiamoje vietoje. </w:t>
      </w:r>
    </w:p>
    <w:p w14:paraId="7A31F18A" w14:textId="77777777" w:rsidR="008A305D" w:rsidRPr="00BA3FBD" w:rsidRDefault="008A305D" w:rsidP="008A305D">
      <w:pPr>
        <w:rPr>
          <w:sz w:val="22"/>
          <w:szCs w:val="22"/>
        </w:rPr>
      </w:pPr>
      <w:r w:rsidRPr="00BA3FBD">
        <w:rPr>
          <w:rFonts w:eastAsia="Calibri"/>
          <w:sz w:val="22"/>
          <w:szCs w:val="22"/>
        </w:rPr>
        <w:t xml:space="preserve">Ant dėžutės ir lizdinės plokštelės po “Tinka iki/EXP” nurodytam tinkamumo laikui pasibaigus, šio vaisto vartoti negalima. </w:t>
      </w:r>
      <w:r w:rsidRPr="00BA3FBD">
        <w:rPr>
          <w:sz w:val="22"/>
          <w:szCs w:val="22"/>
        </w:rPr>
        <w:t>Vaistas tinkamas vartoti iki paskutinės nurodyto mėnesio dienos.</w:t>
      </w:r>
    </w:p>
    <w:p w14:paraId="690C3A0F" w14:textId="77777777" w:rsidR="008A305D" w:rsidRDefault="008A305D" w:rsidP="008A305D">
      <w:pPr>
        <w:autoSpaceDE w:val="0"/>
        <w:autoSpaceDN w:val="0"/>
        <w:adjustRightInd w:val="0"/>
        <w:rPr>
          <w:rFonts w:eastAsia="Calibri"/>
          <w:sz w:val="22"/>
          <w:szCs w:val="22"/>
        </w:rPr>
      </w:pPr>
      <w:r>
        <w:rPr>
          <w:rFonts w:eastAsia="Calibri"/>
          <w:sz w:val="22"/>
          <w:szCs w:val="22"/>
        </w:rPr>
        <w:t>Šiam vaistui specialių laikymo sąlygų nereikia.</w:t>
      </w:r>
    </w:p>
    <w:p w14:paraId="151C461E"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lastRenderedPageBreak/>
        <w:t xml:space="preserve">Negalima vartoti vaisto iš pakuotės, kuri yra pažeista ar yra sugedimo požymių. </w:t>
      </w:r>
    </w:p>
    <w:p w14:paraId="78BA9941" w14:textId="77777777" w:rsidR="008A305D" w:rsidRPr="00BA3FBD" w:rsidRDefault="008A305D" w:rsidP="008A305D">
      <w:pPr>
        <w:autoSpaceDE w:val="0"/>
        <w:autoSpaceDN w:val="0"/>
        <w:adjustRightInd w:val="0"/>
        <w:rPr>
          <w:sz w:val="22"/>
          <w:szCs w:val="22"/>
        </w:rPr>
      </w:pPr>
    </w:p>
    <w:p w14:paraId="299640D6" w14:textId="77777777" w:rsidR="008A305D" w:rsidRPr="00BA3FBD" w:rsidRDefault="008A305D" w:rsidP="008A305D">
      <w:pPr>
        <w:autoSpaceDE w:val="0"/>
        <w:autoSpaceDN w:val="0"/>
        <w:adjustRightInd w:val="0"/>
        <w:rPr>
          <w:sz w:val="22"/>
          <w:szCs w:val="22"/>
        </w:rPr>
      </w:pPr>
      <w:r w:rsidRPr="00BA3FBD">
        <w:rPr>
          <w:sz w:val="22"/>
          <w:szCs w:val="22"/>
        </w:rPr>
        <w:t>Vaistų negalima išmesti į kanalizaciją arba su buitinėmis atliekomis. Kaip išmesti nereikalingus vaistus, klauskite vaistininko. Šios priemonės padės apsaugoti aplinką.</w:t>
      </w:r>
    </w:p>
    <w:p w14:paraId="04420CB7" w14:textId="77777777" w:rsidR="008A305D" w:rsidRPr="00BA3FBD" w:rsidRDefault="008A305D" w:rsidP="008A305D">
      <w:pPr>
        <w:autoSpaceDE w:val="0"/>
        <w:autoSpaceDN w:val="0"/>
        <w:adjustRightInd w:val="0"/>
        <w:rPr>
          <w:sz w:val="22"/>
          <w:szCs w:val="22"/>
        </w:rPr>
      </w:pPr>
    </w:p>
    <w:p w14:paraId="74EE7A15" w14:textId="77777777" w:rsidR="008A305D" w:rsidRPr="00BA3FBD" w:rsidRDefault="008A305D" w:rsidP="008A305D">
      <w:pPr>
        <w:autoSpaceDE w:val="0"/>
        <w:autoSpaceDN w:val="0"/>
        <w:adjustRightInd w:val="0"/>
        <w:rPr>
          <w:rFonts w:eastAsia="Calibri"/>
          <w:sz w:val="22"/>
          <w:szCs w:val="22"/>
        </w:rPr>
      </w:pPr>
    </w:p>
    <w:p w14:paraId="7BCE5AE8" w14:textId="77777777" w:rsidR="008A305D" w:rsidRPr="00BA3FBD" w:rsidRDefault="008A305D" w:rsidP="008A305D">
      <w:pPr>
        <w:autoSpaceDE w:val="0"/>
        <w:autoSpaceDN w:val="0"/>
        <w:adjustRightInd w:val="0"/>
        <w:contextualSpacing/>
        <w:rPr>
          <w:rFonts w:eastAsia="Calibri"/>
          <w:sz w:val="22"/>
          <w:szCs w:val="22"/>
        </w:rPr>
      </w:pPr>
      <w:r w:rsidRPr="00BA3FBD">
        <w:rPr>
          <w:b/>
          <w:bCs/>
        </w:rPr>
        <w:t>6.</w:t>
      </w:r>
      <w:r w:rsidRPr="00BA3FBD">
        <w:rPr>
          <w:b/>
          <w:bCs/>
        </w:rPr>
        <w:tab/>
      </w:r>
      <w:r w:rsidRPr="00BA3FBD">
        <w:rPr>
          <w:rFonts w:eastAsia="Calibri"/>
          <w:b/>
          <w:bCs/>
          <w:sz w:val="22"/>
          <w:szCs w:val="22"/>
        </w:rPr>
        <w:t xml:space="preserve">Pakuotės turinys ir kita informacija </w:t>
      </w:r>
    </w:p>
    <w:p w14:paraId="36826A0C" w14:textId="77777777" w:rsidR="008A305D" w:rsidRPr="00BA3FBD" w:rsidRDefault="008A305D" w:rsidP="008A305D">
      <w:pPr>
        <w:autoSpaceDE w:val="0"/>
        <w:autoSpaceDN w:val="0"/>
        <w:adjustRightInd w:val="0"/>
        <w:rPr>
          <w:rFonts w:eastAsia="Calibri"/>
          <w:sz w:val="22"/>
          <w:szCs w:val="22"/>
        </w:rPr>
      </w:pPr>
    </w:p>
    <w:p w14:paraId="442B1A43" w14:textId="77777777" w:rsidR="008A305D" w:rsidRPr="00BA3FBD" w:rsidRDefault="008A305D" w:rsidP="008A305D">
      <w:pPr>
        <w:autoSpaceDE w:val="0"/>
        <w:autoSpaceDN w:val="0"/>
        <w:adjustRightInd w:val="0"/>
        <w:rPr>
          <w:rFonts w:eastAsia="Calibri"/>
          <w:b/>
          <w:bCs/>
          <w:sz w:val="22"/>
          <w:szCs w:val="22"/>
        </w:rPr>
      </w:pPr>
      <w:r w:rsidRPr="00BA3FBD">
        <w:rPr>
          <w:rFonts w:eastAsia="Calibri"/>
          <w:b/>
          <w:bCs/>
          <w:sz w:val="22"/>
          <w:szCs w:val="22"/>
        </w:rPr>
        <w:t xml:space="preserve">Imatinib Actavis Group sudėtis </w:t>
      </w:r>
    </w:p>
    <w:p w14:paraId="449B5641" w14:textId="77777777" w:rsidR="008A305D" w:rsidRPr="00BA3FBD" w:rsidRDefault="008A305D" w:rsidP="008A305D">
      <w:pPr>
        <w:autoSpaceDE w:val="0"/>
        <w:autoSpaceDN w:val="0"/>
        <w:adjustRightInd w:val="0"/>
        <w:ind w:left="720" w:hanging="720"/>
        <w:rPr>
          <w:rFonts w:eastAsia="Calibri"/>
          <w:sz w:val="22"/>
          <w:szCs w:val="22"/>
        </w:rPr>
      </w:pPr>
      <w:r w:rsidRPr="00BA3FBD">
        <w:rPr>
          <w:rFonts w:eastAsia="Calibri"/>
          <w:sz w:val="22"/>
          <w:szCs w:val="22"/>
        </w:rPr>
        <w:t>-</w:t>
      </w:r>
      <w:r w:rsidRPr="00BA3FBD">
        <w:rPr>
          <w:rFonts w:eastAsia="Calibri"/>
          <w:sz w:val="22"/>
          <w:szCs w:val="22"/>
        </w:rPr>
        <w:tab/>
        <w:t xml:space="preserve">Veiklioji medžiaga yra imatinibas (mesilato pavidalu). Kiekvienoje </w:t>
      </w:r>
      <w:r>
        <w:rPr>
          <w:rFonts w:eastAsia="Calibri"/>
          <w:sz w:val="22"/>
          <w:szCs w:val="22"/>
        </w:rPr>
        <w:t>plėvele dengtoje tabletėje</w:t>
      </w:r>
      <w:r w:rsidRPr="00BA3FBD">
        <w:rPr>
          <w:rFonts w:eastAsia="Calibri"/>
          <w:sz w:val="22"/>
          <w:szCs w:val="22"/>
        </w:rPr>
        <w:t xml:space="preserve"> yra 358,5 mg imatinibo mesilato, kas atitinka 300 mg imatinibo.</w:t>
      </w:r>
    </w:p>
    <w:p w14:paraId="1648D442" w14:textId="77777777" w:rsidR="008A305D" w:rsidRPr="00BA3FBD" w:rsidRDefault="008A305D" w:rsidP="008A305D">
      <w:pPr>
        <w:autoSpaceDE w:val="0"/>
        <w:autoSpaceDN w:val="0"/>
        <w:adjustRightInd w:val="0"/>
        <w:ind w:left="720" w:hanging="720"/>
        <w:rPr>
          <w:rFonts w:eastAsia="Calibri"/>
          <w:sz w:val="22"/>
          <w:szCs w:val="22"/>
        </w:rPr>
      </w:pPr>
      <w:r w:rsidRPr="00BA3FBD">
        <w:rPr>
          <w:rFonts w:eastAsia="Calibri"/>
          <w:sz w:val="22"/>
          <w:szCs w:val="22"/>
        </w:rPr>
        <w:t>-</w:t>
      </w:r>
      <w:r w:rsidRPr="00BA3FBD">
        <w:rPr>
          <w:rFonts w:eastAsia="Calibri"/>
          <w:sz w:val="22"/>
          <w:szCs w:val="22"/>
        </w:rPr>
        <w:tab/>
        <w:t>Pagalbinės medžiagos yra hipromeliozė</w:t>
      </w:r>
      <w:r>
        <w:rPr>
          <w:rFonts w:eastAsia="Calibri"/>
          <w:sz w:val="22"/>
          <w:szCs w:val="22"/>
        </w:rPr>
        <w:t xml:space="preserve"> (E464)</w:t>
      </w:r>
      <w:r w:rsidRPr="00BA3FBD">
        <w:rPr>
          <w:rFonts w:eastAsia="Calibri"/>
          <w:sz w:val="22"/>
          <w:szCs w:val="22"/>
        </w:rPr>
        <w:t xml:space="preserve">, mikrokristalinė celiuliozė, laktozė monohidratas, krospovidonas, koloidinis bevandenis silicio dioksidas, magnio stearatas, makrogolis (E1521), talkas (E553b), geltonasis geležies oksidas (E172) ir raudonasis geležies oksidas (E172). </w:t>
      </w:r>
    </w:p>
    <w:p w14:paraId="030396E3" w14:textId="77777777" w:rsidR="008A305D" w:rsidRPr="00BA3FBD" w:rsidRDefault="008A305D" w:rsidP="008A305D">
      <w:pPr>
        <w:autoSpaceDE w:val="0"/>
        <w:autoSpaceDN w:val="0"/>
        <w:adjustRightInd w:val="0"/>
        <w:ind w:left="720" w:hanging="720"/>
        <w:rPr>
          <w:rFonts w:eastAsia="Calibri"/>
          <w:color w:val="000000"/>
          <w:sz w:val="22"/>
          <w:szCs w:val="22"/>
        </w:rPr>
      </w:pPr>
    </w:p>
    <w:p w14:paraId="3BC02AB4"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Imatinib Actavis Group išvaizda ir kiekis pakuotėje </w:t>
      </w:r>
    </w:p>
    <w:p w14:paraId="5633039F" w14:textId="77777777" w:rsidR="008A305D" w:rsidRPr="00BA3FBD" w:rsidRDefault="008A305D" w:rsidP="008A305D">
      <w:pPr>
        <w:pStyle w:val="Default"/>
        <w:rPr>
          <w:rFonts w:ascii="Times New Roman" w:hAnsi="Times New Roman" w:cs="Times New Roman"/>
          <w:color w:val="auto"/>
          <w:sz w:val="22"/>
          <w:szCs w:val="22"/>
          <w:lang w:val="lt-LT"/>
        </w:rPr>
      </w:pPr>
      <w:r w:rsidRPr="00BA3FBD">
        <w:rPr>
          <w:rFonts w:ascii="Times New Roman" w:hAnsi="Times New Roman" w:cs="Times New Roman"/>
          <w:color w:val="auto"/>
          <w:sz w:val="22"/>
          <w:szCs w:val="22"/>
          <w:lang w:val="lt-LT"/>
        </w:rPr>
        <w:t>Rusvai oranžinės spalvos, ovali</w:t>
      </w:r>
      <w:r>
        <w:rPr>
          <w:rFonts w:ascii="Times New Roman" w:hAnsi="Times New Roman" w:cs="Times New Roman"/>
          <w:color w:val="auto"/>
          <w:sz w:val="22"/>
          <w:szCs w:val="22"/>
          <w:lang w:val="lt-LT"/>
        </w:rPr>
        <w:t>os</w:t>
      </w:r>
      <w:r w:rsidRPr="00BA3FBD">
        <w:rPr>
          <w:rFonts w:ascii="Times New Roman" w:hAnsi="Times New Roman" w:cs="Times New Roman"/>
          <w:color w:val="auto"/>
          <w:sz w:val="22"/>
          <w:szCs w:val="22"/>
          <w:lang w:val="lt-LT"/>
        </w:rPr>
        <w:t>, 19 mm ilgio ir 9 mm pločio, abipusiai išgaubt</w:t>
      </w:r>
      <w:r>
        <w:rPr>
          <w:rFonts w:ascii="Times New Roman" w:hAnsi="Times New Roman" w:cs="Times New Roman"/>
          <w:color w:val="auto"/>
          <w:sz w:val="22"/>
          <w:szCs w:val="22"/>
          <w:lang w:val="lt-LT"/>
        </w:rPr>
        <w:t>os</w:t>
      </w:r>
      <w:r w:rsidRPr="00BA3FBD">
        <w:rPr>
          <w:rFonts w:ascii="Times New Roman" w:hAnsi="Times New Roman" w:cs="Times New Roman"/>
          <w:color w:val="auto"/>
          <w:sz w:val="22"/>
          <w:szCs w:val="22"/>
          <w:lang w:val="lt-LT"/>
        </w:rPr>
        <w:t xml:space="preserve"> plėvele dengt</w:t>
      </w:r>
      <w:r>
        <w:rPr>
          <w:rFonts w:ascii="Times New Roman" w:hAnsi="Times New Roman" w:cs="Times New Roman"/>
          <w:color w:val="auto"/>
          <w:sz w:val="22"/>
          <w:szCs w:val="22"/>
          <w:lang w:val="lt-LT"/>
        </w:rPr>
        <w:t>os</w:t>
      </w:r>
      <w:r w:rsidRPr="00BA3FBD">
        <w:rPr>
          <w:rFonts w:ascii="Times New Roman" w:hAnsi="Times New Roman" w:cs="Times New Roman"/>
          <w:color w:val="auto"/>
          <w:sz w:val="22"/>
          <w:szCs w:val="22"/>
          <w:lang w:val="lt-LT"/>
        </w:rPr>
        <w:t xml:space="preserve"> tabletė</w:t>
      </w:r>
      <w:r>
        <w:rPr>
          <w:rFonts w:ascii="Times New Roman" w:hAnsi="Times New Roman" w:cs="Times New Roman"/>
          <w:color w:val="auto"/>
          <w:sz w:val="22"/>
          <w:szCs w:val="22"/>
          <w:lang w:val="lt-LT"/>
        </w:rPr>
        <w:t>s</w:t>
      </w:r>
      <w:r w:rsidRPr="00BA3FBD">
        <w:rPr>
          <w:rFonts w:ascii="Times New Roman" w:hAnsi="Times New Roman" w:cs="Times New Roman"/>
          <w:color w:val="auto"/>
          <w:sz w:val="22"/>
          <w:szCs w:val="22"/>
          <w:lang w:val="lt-LT"/>
        </w:rPr>
        <w:t xml:space="preserve"> su vagele vienoje pusėje ir žyme “300” kitoje.</w:t>
      </w:r>
    </w:p>
    <w:p w14:paraId="7E1EDF7F" w14:textId="77777777" w:rsidR="008A305D" w:rsidRPr="00BA3FBD" w:rsidRDefault="008A305D" w:rsidP="008A305D">
      <w:pPr>
        <w:pStyle w:val="Default"/>
        <w:rPr>
          <w:rFonts w:ascii="Times New Roman" w:hAnsi="Times New Roman" w:cs="Times New Roman"/>
          <w:color w:val="auto"/>
          <w:sz w:val="22"/>
          <w:szCs w:val="22"/>
          <w:lang w:val="lt-LT"/>
        </w:rPr>
      </w:pPr>
    </w:p>
    <w:p w14:paraId="01710B31" w14:textId="77777777" w:rsidR="008A305D" w:rsidRPr="00BA3FBD" w:rsidRDefault="008A305D" w:rsidP="008A305D">
      <w:pPr>
        <w:autoSpaceDE w:val="0"/>
        <w:autoSpaceDN w:val="0"/>
        <w:adjustRightInd w:val="0"/>
        <w:rPr>
          <w:rFonts w:eastAsia="Calibri"/>
          <w:i/>
          <w:sz w:val="22"/>
          <w:szCs w:val="22"/>
        </w:rPr>
      </w:pPr>
      <w:r w:rsidRPr="00BA3FBD">
        <w:rPr>
          <w:rFonts w:eastAsia="Calibri"/>
          <w:i/>
          <w:sz w:val="22"/>
          <w:szCs w:val="22"/>
        </w:rPr>
        <w:t>Pakuočių dydžiai:</w:t>
      </w:r>
    </w:p>
    <w:p w14:paraId="68C71A9C"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Plėvele dengtos tabletės supakuotos į lizdines plokšteles, po 30, 60, 90 ir 120 </w:t>
      </w:r>
      <w:r>
        <w:rPr>
          <w:rFonts w:eastAsia="Calibri"/>
          <w:sz w:val="22"/>
          <w:szCs w:val="22"/>
        </w:rPr>
        <w:t xml:space="preserve">plėvele dengtų </w:t>
      </w:r>
      <w:r w:rsidRPr="00BA3FBD">
        <w:rPr>
          <w:rFonts w:eastAsia="Calibri"/>
          <w:sz w:val="22"/>
          <w:szCs w:val="22"/>
        </w:rPr>
        <w:t>tablečių pakuotėje.</w:t>
      </w:r>
    </w:p>
    <w:p w14:paraId="3954BB46" w14:textId="77777777" w:rsidR="008A305D" w:rsidRPr="00BA3FBD" w:rsidRDefault="008A305D" w:rsidP="008A305D">
      <w:pPr>
        <w:autoSpaceDE w:val="0"/>
        <w:autoSpaceDN w:val="0"/>
        <w:adjustRightInd w:val="0"/>
        <w:rPr>
          <w:rFonts w:eastAsia="Calibri"/>
          <w:sz w:val="22"/>
          <w:szCs w:val="22"/>
        </w:rPr>
      </w:pPr>
    </w:p>
    <w:p w14:paraId="02A14141" w14:textId="77777777" w:rsidR="008A305D" w:rsidRPr="00BA3FBD" w:rsidRDefault="008A305D" w:rsidP="008A305D">
      <w:pPr>
        <w:autoSpaceDE w:val="0"/>
        <w:autoSpaceDN w:val="0"/>
        <w:adjustRightInd w:val="0"/>
        <w:ind w:left="720" w:hanging="720"/>
        <w:rPr>
          <w:rFonts w:eastAsia="Calibri"/>
          <w:sz w:val="22"/>
          <w:szCs w:val="22"/>
        </w:rPr>
      </w:pPr>
      <w:r w:rsidRPr="00BA3FBD">
        <w:rPr>
          <w:rFonts w:eastAsia="Calibri"/>
          <w:sz w:val="22"/>
          <w:szCs w:val="22"/>
        </w:rPr>
        <w:t>Gali būti tiekiamos ne visų dydžių pakuotės.</w:t>
      </w:r>
    </w:p>
    <w:p w14:paraId="7F50FF66" w14:textId="77777777" w:rsidR="008A305D" w:rsidRPr="00BA3FBD" w:rsidRDefault="008A305D" w:rsidP="008A305D">
      <w:pPr>
        <w:autoSpaceDE w:val="0"/>
        <w:autoSpaceDN w:val="0"/>
        <w:adjustRightInd w:val="0"/>
        <w:rPr>
          <w:rFonts w:eastAsia="Calibri"/>
          <w:sz w:val="22"/>
          <w:szCs w:val="22"/>
        </w:rPr>
      </w:pPr>
    </w:p>
    <w:p w14:paraId="6162F360" w14:textId="77777777" w:rsidR="008A305D" w:rsidRPr="00BA3FBD" w:rsidRDefault="008A305D" w:rsidP="008A305D">
      <w:pPr>
        <w:autoSpaceDE w:val="0"/>
        <w:autoSpaceDN w:val="0"/>
        <w:adjustRightInd w:val="0"/>
        <w:rPr>
          <w:rFonts w:eastAsia="Calibri"/>
          <w:b/>
          <w:bCs/>
          <w:sz w:val="22"/>
          <w:szCs w:val="22"/>
        </w:rPr>
      </w:pPr>
      <w:r w:rsidRPr="00BA3FBD">
        <w:rPr>
          <w:rFonts w:eastAsia="Calibri"/>
          <w:b/>
          <w:bCs/>
          <w:sz w:val="22"/>
          <w:szCs w:val="22"/>
        </w:rPr>
        <w:t>Registruotojas ir gamintojas</w:t>
      </w:r>
    </w:p>
    <w:p w14:paraId="2C1F9C4B" w14:textId="77777777" w:rsidR="008A305D" w:rsidRPr="00BA3FBD" w:rsidRDefault="008A305D" w:rsidP="008A305D">
      <w:pPr>
        <w:autoSpaceDE w:val="0"/>
        <w:autoSpaceDN w:val="0"/>
        <w:adjustRightInd w:val="0"/>
        <w:rPr>
          <w:rFonts w:eastAsia="Calibri"/>
          <w:bCs/>
          <w:i/>
          <w:sz w:val="22"/>
          <w:szCs w:val="22"/>
        </w:rPr>
      </w:pPr>
      <w:r w:rsidRPr="00BA3FBD">
        <w:rPr>
          <w:rFonts w:eastAsia="Calibri"/>
          <w:bCs/>
          <w:i/>
          <w:sz w:val="22"/>
          <w:szCs w:val="22"/>
        </w:rPr>
        <w:t>Registruotojas</w:t>
      </w:r>
    </w:p>
    <w:p w14:paraId="53BBAABC"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Actavis Group PTC ehf.</w:t>
      </w:r>
    </w:p>
    <w:p w14:paraId="6191BEB1"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Reykjavíkurvegi 76-78</w:t>
      </w:r>
    </w:p>
    <w:p w14:paraId="2F4D88AF"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Hafnarfjörður</w:t>
      </w:r>
    </w:p>
    <w:p w14:paraId="4C816921"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Islandija</w:t>
      </w:r>
    </w:p>
    <w:p w14:paraId="1BAB02BD" w14:textId="77777777" w:rsidR="008A305D" w:rsidRPr="00BA3FBD" w:rsidRDefault="008A305D" w:rsidP="008A305D">
      <w:pPr>
        <w:autoSpaceDE w:val="0"/>
        <w:autoSpaceDN w:val="0"/>
        <w:adjustRightInd w:val="0"/>
        <w:rPr>
          <w:rFonts w:eastAsia="Calibri"/>
          <w:sz w:val="22"/>
          <w:szCs w:val="22"/>
        </w:rPr>
      </w:pPr>
    </w:p>
    <w:p w14:paraId="0A94C7C8" w14:textId="77777777" w:rsidR="008A305D" w:rsidRPr="0045031A" w:rsidRDefault="008A305D" w:rsidP="008A305D">
      <w:pPr>
        <w:autoSpaceDE w:val="0"/>
        <w:autoSpaceDN w:val="0"/>
        <w:adjustRightInd w:val="0"/>
        <w:rPr>
          <w:rFonts w:eastAsia="Calibri"/>
          <w:bCs/>
          <w:i/>
          <w:sz w:val="22"/>
          <w:szCs w:val="22"/>
        </w:rPr>
      </w:pPr>
      <w:r w:rsidRPr="0045031A">
        <w:rPr>
          <w:rFonts w:eastAsia="Calibri"/>
          <w:bCs/>
          <w:i/>
          <w:sz w:val="22"/>
          <w:szCs w:val="22"/>
        </w:rPr>
        <w:t>Gamintojas</w:t>
      </w:r>
    </w:p>
    <w:p w14:paraId="08C10333"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Actavis Group PTC ehf.</w:t>
      </w:r>
    </w:p>
    <w:p w14:paraId="6FA47033"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Reykjav</w:t>
      </w:r>
      <w:r>
        <w:rPr>
          <w:rFonts w:eastAsia="Calibri"/>
          <w:sz w:val="22"/>
          <w:szCs w:val="22"/>
        </w:rPr>
        <w:t>i</w:t>
      </w:r>
      <w:r w:rsidRPr="00BA3FBD">
        <w:rPr>
          <w:rFonts w:eastAsia="Calibri"/>
          <w:sz w:val="22"/>
          <w:szCs w:val="22"/>
        </w:rPr>
        <w:t>kurvegur 76-78</w:t>
      </w:r>
    </w:p>
    <w:p w14:paraId="127148F8"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IS-</w:t>
      </w:r>
      <w:r>
        <w:rPr>
          <w:rFonts w:eastAsia="Calibri"/>
          <w:sz w:val="22"/>
          <w:szCs w:val="22"/>
        </w:rPr>
        <w:t xml:space="preserve">220 </w:t>
      </w:r>
      <w:r w:rsidRPr="00BA3FBD">
        <w:rPr>
          <w:rFonts w:eastAsia="Calibri"/>
          <w:sz w:val="22"/>
          <w:szCs w:val="22"/>
        </w:rPr>
        <w:t>Hafnarfjörður</w:t>
      </w:r>
    </w:p>
    <w:p w14:paraId="1F090FE9"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Islandija</w:t>
      </w:r>
    </w:p>
    <w:p w14:paraId="39B431DD" w14:textId="77777777" w:rsidR="008A305D" w:rsidRPr="00BA3FBD" w:rsidRDefault="008A305D" w:rsidP="008A305D">
      <w:pPr>
        <w:rPr>
          <w:rFonts w:eastAsia="Calibri"/>
          <w:sz w:val="22"/>
          <w:szCs w:val="22"/>
        </w:rPr>
      </w:pPr>
    </w:p>
    <w:p w14:paraId="50E9CB6B" w14:textId="77777777" w:rsidR="008A305D" w:rsidRPr="00BA3FBD" w:rsidRDefault="008A305D" w:rsidP="008A305D">
      <w:pPr>
        <w:numPr>
          <w:ilvl w:val="12"/>
          <w:numId w:val="0"/>
        </w:numPr>
        <w:ind w:right="-2"/>
        <w:rPr>
          <w:sz w:val="22"/>
          <w:szCs w:val="22"/>
        </w:rPr>
      </w:pPr>
      <w:r w:rsidRPr="00BA3FBD">
        <w:rPr>
          <w:sz w:val="22"/>
          <w:szCs w:val="22"/>
        </w:rPr>
        <w:t>Jeigu apie šį vaistą norite sužinoti daugiau, kreipkitės į vietinį registruotojo atstovą.</w:t>
      </w:r>
    </w:p>
    <w:p w14:paraId="342DA36F"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UAB „Actavis Baltics“</w:t>
      </w:r>
    </w:p>
    <w:p w14:paraId="55E3B1D0"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Senasis Ukmergės kelias 4</w:t>
      </w:r>
    </w:p>
    <w:p w14:paraId="1B296643"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Užubalių k., Avižienių sen.</w:t>
      </w:r>
    </w:p>
    <w:p w14:paraId="1E44C8D2"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LT-14130 Vilniaus r</w:t>
      </w:r>
      <w:r>
        <w:rPr>
          <w:rFonts w:eastAsia="Calibri"/>
          <w:sz w:val="22"/>
          <w:szCs w:val="22"/>
        </w:rPr>
        <w:t>aj</w:t>
      </w:r>
      <w:r w:rsidRPr="00BA3FBD">
        <w:rPr>
          <w:rFonts w:eastAsia="Calibri"/>
          <w:sz w:val="22"/>
          <w:szCs w:val="22"/>
        </w:rPr>
        <w:t>.</w:t>
      </w:r>
    </w:p>
    <w:p w14:paraId="4FD8E7C5"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Tel.: +370 5 260 9615</w:t>
      </w:r>
    </w:p>
    <w:p w14:paraId="4F405558" w14:textId="77777777" w:rsidR="008A305D" w:rsidRPr="00BA3FBD" w:rsidRDefault="008A305D" w:rsidP="008A305D">
      <w:pPr>
        <w:autoSpaceDE w:val="0"/>
        <w:autoSpaceDN w:val="0"/>
        <w:adjustRightInd w:val="0"/>
        <w:rPr>
          <w:rFonts w:eastAsia="Calibri"/>
          <w:sz w:val="22"/>
          <w:szCs w:val="22"/>
        </w:rPr>
      </w:pPr>
    </w:p>
    <w:p w14:paraId="7216F692" w14:textId="77777777" w:rsidR="008A305D" w:rsidRPr="00BA3FBD" w:rsidRDefault="008A305D" w:rsidP="008A305D">
      <w:pPr>
        <w:autoSpaceDE w:val="0"/>
        <w:autoSpaceDN w:val="0"/>
        <w:adjustRightInd w:val="0"/>
        <w:rPr>
          <w:sz w:val="22"/>
          <w:szCs w:val="22"/>
        </w:rPr>
      </w:pPr>
      <w:r w:rsidRPr="00BA3FBD">
        <w:rPr>
          <w:b/>
          <w:sz w:val="22"/>
          <w:szCs w:val="22"/>
        </w:rPr>
        <w:lastRenderedPageBreak/>
        <w:t>Šis vaistas EEE valstybėse narėse registruotas tokiais pavadinimais</w:t>
      </w:r>
      <w:r w:rsidRPr="00BA3FBD">
        <w:rPr>
          <w:sz w:val="22"/>
          <w:szCs w:val="22"/>
        </w:rPr>
        <w:t>:</w:t>
      </w:r>
    </w:p>
    <w:p w14:paraId="75FE2490" w14:textId="43593E55" w:rsidR="008A305D" w:rsidRPr="00BA3FBD" w:rsidRDefault="008A305D" w:rsidP="008A305D">
      <w:pPr>
        <w:autoSpaceDE w:val="0"/>
        <w:autoSpaceDN w:val="0"/>
        <w:adjustRightInd w:val="0"/>
        <w:rPr>
          <w:sz w:val="22"/>
          <w:szCs w:val="22"/>
        </w:rPr>
      </w:pPr>
      <w:r>
        <w:rPr>
          <w:sz w:val="22"/>
          <w:szCs w:val="22"/>
        </w:rPr>
        <w:t>Austrija</w:t>
      </w:r>
      <w:r w:rsidR="00C7290D">
        <w:rPr>
          <w:sz w:val="22"/>
          <w:szCs w:val="22"/>
        </w:rPr>
        <w:tab/>
      </w:r>
      <w:r w:rsidRPr="00BA3FBD">
        <w:rPr>
          <w:sz w:val="22"/>
          <w:szCs w:val="22"/>
        </w:rPr>
        <w:t>Imatinib Actavis Group 300 mg Filmtabletten</w:t>
      </w:r>
    </w:p>
    <w:p w14:paraId="31CDAD50" w14:textId="77777777" w:rsidR="008A305D" w:rsidRPr="00BA3FBD" w:rsidRDefault="008A305D" w:rsidP="008A305D">
      <w:pPr>
        <w:autoSpaceDE w:val="0"/>
        <w:autoSpaceDN w:val="0"/>
        <w:adjustRightInd w:val="0"/>
        <w:rPr>
          <w:sz w:val="22"/>
          <w:szCs w:val="22"/>
        </w:rPr>
      </w:pPr>
      <w:r>
        <w:rPr>
          <w:sz w:val="22"/>
          <w:szCs w:val="22"/>
        </w:rPr>
        <w:t>Bulgarija</w:t>
      </w:r>
      <w:r w:rsidRPr="00BA3FBD">
        <w:rPr>
          <w:sz w:val="22"/>
          <w:szCs w:val="22"/>
        </w:rPr>
        <w:tab/>
        <w:t>Imatinib Actavis Group (100 mg, 400 mg)</w:t>
      </w:r>
    </w:p>
    <w:p w14:paraId="3A7E996C" w14:textId="4454CEA4" w:rsidR="008A305D" w:rsidRPr="00BA3FBD" w:rsidRDefault="008A305D" w:rsidP="008A305D">
      <w:pPr>
        <w:autoSpaceDE w:val="0"/>
        <w:autoSpaceDN w:val="0"/>
        <w:adjustRightInd w:val="0"/>
        <w:rPr>
          <w:sz w:val="22"/>
          <w:szCs w:val="22"/>
        </w:rPr>
      </w:pPr>
      <w:r>
        <w:rPr>
          <w:sz w:val="22"/>
          <w:szCs w:val="22"/>
        </w:rPr>
        <w:t>Kipras</w:t>
      </w:r>
      <w:r w:rsidR="00C7290D">
        <w:rPr>
          <w:sz w:val="22"/>
          <w:szCs w:val="22"/>
        </w:rPr>
        <w:tab/>
      </w:r>
      <w:r w:rsidRPr="00BA3FBD">
        <w:rPr>
          <w:sz w:val="22"/>
          <w:szCs w:val="22"/>
        </w:rPr>
        <w:t>Imatinib Actavis Group (100 mg, 200 mg, 300 mg, 400 mg)</w:t>
      </w:r>
    </w:p>
    <w:p w14:paraId="25D0A964" w14:textId="789B080B" w:rsidR="008A305D" w:rsidRPr="00BA3FBD" w:rsidRDefault="008A305D" w:rsidP="008A305D">
      <w:pPr>
        <w:autoSpaceDE w:val="0"/>
        <w:autoSpaceDN w:val="0"/>
        <w:adjustRightInd w:val="0"/>
        <w:rPr>
          <w:sz w:val="22"/>
          <w:szCs w:val="22"/>
        </w:rPr>
      </w:pPr>
      <w:r>
        <w:rPr>
          <w:sz w:val="22"/>
          <w:szCs w:val="22"/>
        </w:rPr>
        <w:t>Čekija</w:t>
      </w:r>
      <w:r w:rsidR="00C7290D">
        <w:rPr>
          <w:sz w:val="22"/>
          <w:szCs w:val="22"/>
        </w:rPr>
        <w:tab/>
      </w:r>
      <w:r w:rsidRPr="00BA3FBD">
        <w:rPr>
          <w:sz w:val="22"/>
          <w:szCs w:val="22"/>
        </w:rPr>
        <w:t>Imatinib Actavis Group (100 mg, 400 mg)</w:t>
      </w:r>
    </w:p>
    <w:p w14:paraId="50FF1D0C" w14:textId="38D4A17C" w:rsidR="008A305D" w:rsidRPr="00BA3FBD" w:rsidRDefault="008A305D" w:rsidP="008A305D">
      <w:pPr>
        <w:autoSpaceDE w:val="0"/>
        <w:autoSpaceDN w:val="0"/>
        <w:adjustRightInd w:val="0"/>
        <w:rPr>
          <w:sz w:val="22"/>
          <w:szCs w:val="22"/>
        </w:rPr>
      </w:pPr>
      <w:r>
        <w:rPr>
          <w:sz w:val="22"/>
          <w:szCs w:val="22"/>
        </w:rPr>
        <w:t>Danija</w:t>
      </w:r>
      <w:r w:rsidR="00C7290D">
        <w:rPr>
          <w:sz w:val="22"/>
          <w:szCs w:val="22"/>
        </w:rPr>
        <w:tab/>
      </w:r>
      <w:r w:rsidRPr="00BA3FBD">
        <w:rPr>
          <w:sz w:val="22"/>
          <w:szCs w:val="22"/>
        </w:rPr>
        <w:t>Imatinib Actavis Group (100 mg, 200 mg, 300 mg, 400 mg)</w:t>
      </w:r>
    </w:p>
    <w:p w14:paraId="660A2648" w14:textId="5786C31A" w:rsidR="008A305D" w:rsidRPr="00BA3FBD" w:rsidRDefault="008A305D" w:rsidP="008A305D">
      <w:pPr>
        <w:autoSpaceDE w:val="0"/>
        <w:autoSpaceDN w:val="0"/>
        <w:adjustRightInd w:val="0"/>
        <w:rPr>
          <w:sz w:val="22"/>
          <w:szCs w:val="22"/>
        </w:rPr>
      </w:pPr>
      <w:r>
        <w:rPr>
          <w:sz w:val="22"/>
          <w:szCs w:val="22"/>
        </w:rPr>
        <w:t>Estija</w:t>
      </w:r>
      <w:r w:rsidR="00C7290D">
        <w:rPr>
          <w:sz w:val="22"/>
          <w:szCs w:val="22"/>
        </w:rPr>
        <w:tab/>
      </w:r>
      <w:r w:rsidRPr="00BA3FBD">
        <w:rPr>
          <w:sz w:val="22"/>
          <w:szCs w:val="22"/>
        </w:rPr>
        <w:t>Imatinib Actavis Group (100 mg, 200 mg, 300 mg, 400 mg)</w:t>
      </w:r>
    </w:p>
    <w:p w14:paraId="2E6B7897" w14:textId="77777777" w:rsidR="008A305D" w:rsidRPr="00BA3FBD" w:rsidRDefault="008A305D" w:rsidP="008A305D">
      <w:pPr>
        <w:autoSpaceDE w:val="0"/>
        <w:autoSpaceDN w:val="0"/>
        <w:adjustRightInd w:val="0"/>
        <w:rPr>
          <w:sz w:val="22"/>
          <w:szCs w:val="22"/>
        </w:rPr>
      </w:pPr>
      <w:r>
        <w:rPr>
          <w:sz w:val="22"/>
          <w:szCs w:val="22"/>
        </w:rPr>
        <w:t>Graikija</w:t>
      </w:r>
      <w:r w:rsidRPr="00BA3FBD">
        <w:rPr>
          <w:sz w:val="22"/>
          <w:szCs w:val="22"/>
        </w:rPr>
        <w:tab/>
        <w:t>Imatinib Actavis Group (100 mg, 200 mg, 300 mg, 400 mg)</w:t>
      </w:r>
    </w:p>
    <w:p w14:paraId="6BFE09ED" w14:textId="77777777" w:rsidR="008A305D" w:rsidRPr="00BA3FBD" w:rsidRDefault="008A305D" w:rsidP="008A305D">
      <w:pPr>
        <w:autoSpaceDE w:val="0"/>
        <w:autoSpaceDN w:val="0"/>
        <w:adjustRightInd w:val="0"/>
        <w:rPr>
          <w:sz w:val="22"/>
          <w:szCs w:val="22"/>
        </w:rPr>
      </w:pPr>
      <w:r>
        <w:rPr>
          <w:sz w:val="22"/>
          <w:szCs w:val="22"/>
        </w:rPr>
        <w:t>Suomija</w:t>
      </w:r>
      <w:r w:rsidRPr="00BA3FBD">
        <w:rPr>
          <w:sz w:val="22"/>
          <w:szCs w:val="22"/>
        </w:rPr>
        <w:tab/>
        <w:t>Imatinib Actavis Group (100 mg, 200 mg, 300 mg, 400 mg)</w:t>
      </w:r>
    </w:p>
    <w:p w14:paraId="0BCFB778" w14:textId="77777777" w:rsidR="008A305D" w:rsidRPr="00BA3FBD" w:rsidRDefault="008A305D" w:rsidP="008A305D">
      <w:pPr>
        <w:autoSpaceDE w:val="0"/>
        <w:autoSpaceDN w:val="0"/>
        <w:adjustRightInd w:val="0"/>
        <w:rPr>
          <w:sz w:val="22"/>
          <w:szCs w:val="22"/>
        </w:rPr>
      </w:pPr>
      <w:r>
        <w:rPr>
          <w:sz w:val="22"/>
          <w:szCs w:val="22"/>
        </w:rPr>
        <w:t>Kroatija</w:t>
      </w:r>
      <w:r w:rsidRPr="00BA3FBD">
        <w:rPr>
          <w:sz w:val="22"/>
          <w:szCs w:val="22"/>
        </w:rPr>
        <w:tab/>
        <w:t xml:space="preserve">Imatinib Actavis Group 300 mg filmom obložene tablete </w:t>
      </w:r>
    </w:p>
    <w:p w14:paraId="3ABE3F80" w14:textId="77777777" w:rsidR="008A305D" w:rsidRPr="00BA3FBD" w:rsidRDefault="008A305D" w:rsidP="008A305D">
      <w:pPr>
        <w:autoSpaceDE w:val="0"/>
        <w:autoSpaceDN w:val="0"/>
        <w:adjustRightInd w:val="0"/>
        <w:rPr>
          <w:sz w:val="22"/>
          <w:szCs w:val="22"/>
        </w:rPr>
      </w:pPr>
      <w:r>
        <w:rPr>
          <w:sz w:val="22"/>
          <w:szCs w:val="22"/>
        </w:rPr>
        <w:t>Vengrija</w:t>
      </w:r>
      <w:r w:rsidRPr="00BA3FBD">
        <w:rPr>
          <w:sz w:val="22"/>
          <w:szCs w:val="22"/>
        </w:rPr>
        <w:tab/>
        <w:t>Imatinib Actavis Group 100 mg, 200 mg, 300 mg, 400 mg filmtabletta</w:t>
      </w:r>
    </w:p>
    <w:p w14:paraId="2F96E13A" w14:textId="23B15923" w:rsidR="008A305D" w:rsidRPr="00BA3FBD" w:rsidRDefault="008A305D" w:rsidP="008A305D">
      <w:pPr>
        <w:autoSpaceDE w:val="0"/>
        <w:autoSpaceDN w:val="0"/>
        <w:adjustRightInd w:val="0"/>
        <w:rPr>
          <w:sz w:val="22"/>
          <w:szCs w:val="22"/>
        </w:rPr>
      </w:pPr>
      <w:r>
        <w:rPr>
          <w:sz w:val="22"/>
          <w:szCs w:val="22"/>
        </w:rPr>
        <w:t>Airija</w:t>
      </w:r>
      <w:r w:rsidR="00C7290D">
        <w:rPr>
          <w:sz w:val="22"/>
          <w:szCs w:val="22"/>
        </w:rPr>
        <w:tab/>
      </w:r>
      <w:r w:rsidRPr="00BA3FBD">
        <w:rPr>
          <w:sz w:val="22"/>
          <w:szCs w:val="22"/>
        </w:rPr>
        <w:t>Imatinib Actavis Group (100 mg, 400 mg)</w:t>
      </w:r>
    </w:p>
    <w:p w14:paraId="4A4B2BBC" w14:textId="77777777" w:rsidR="008A305D" w:rsidRPr="00BA3FBD" w:rsidRDefault="008A305D" w:rsidP="008A305D">
      <w:pPr>
        <w:autoSpaceDE w:val="0"/>
        <w:autoSpaceDN w:val="0"/>
        <w:adjustRightInd w:val="0"/>
        <w:rPr>
          <w:sz w:val="22"/>
          <w:szCs w:val="22"/>
        </w:rPr>
      </w:pPr>
      <w:r>
        <w:rPr>
          <w:sz w:val="22"/>
          <w:szCs w:val="22"/>
        </w:rPr>
        <w:t>Islandija</w:t>
      </w:r>
      <w:r w:rsidRPr="00BA3FBD">
        <w:rPr>
          <w:sz w:val="22"/>
          <w:szCs w:val="22"/>
        </w:rPr>
        <w:tab/>
        <w:t>Imatinib Actavis Group (100 mg, 200 mg, 300 mg, 400 mg)</w:t>
      </w:r>
    </w:p>
    <w:p w14:paraId="40D9B7F1" w14:textId="799DD042" w:rsidR="008A305D" w:rsidRPr="00BA3FBD" w:rsidRDefault="008A305D" w:rsidP="008A305D">
      <w:pPr>
        <w:autoSpaceDE w:val="0"/>
        <w:autoSpaceDN w:val="0"/>
        <w:adjustRightInd w:val="0"/>
        <w:rPr>
          <w:sz w:val="22"/>
          <w:szCs w:val="22"/>
        </w:rPr>
      </w:pPr>
      <w:r>
        <w:rPr>
          <w:sz w:val="22"/>
          <w:szCs w:val="22"/>
        </w:rPr>
        <w:t>Lietuva</w:t>
      </w:r>
      <w:r w:rsidR="00C7290D">
        <w:rPr>
          <w:sz w:val="22"/>
          <w:szCs w:val="22"/>
        </w:rPr>
        <w:tab/>
      </w:r>
      <w:r w:rsidRPr="00BA3FBD">
        <w:rPr>
          <w:sz w:val="22"/>
          <w:szCs w:val="22"/>
        </w:rPr>
        <w:t>Imatinib Actavis Group 300 mg plėvele dengtos tabletės</w:t>
      </w:r>
    </w:p>
    <w:p w14:paraId="7B7280EC" w14:textId="0730A069" w:rsidR="008A305D" w:rsidRPr="00BA3FBD" w:rsidRDefault="008A305D" w:rsidP="008A305D">
      <w:pPr>
        <w:autoSpaceDE w:val="0"/>
        <w:autoSpaceDN w:val="0"/>
        <w:adjustRightInd w:val="0"/>
        <w:rPr>
          <w:sz w:val="22"/>
          <w:szCs w:val="22"/>
        </w:rPr>
      </w:pPr>
      <w:r>
        <w:rPr>
          <w:sz w:val="22"/>
          <w:szCs w:val="22"/>
        </w:rPr>
        <w:t>Latvija</w:t>
      </w:r>
      <w:r w:rsidR="00C7290D">
        <w:rPr>
          <w:sz w:val="22"/>
          <w:szCs w:val="22"/>
        </w:rPr>
        <w:tab/>
      </w:r>
      <w:r w:rsidRPr="00BA3FBD">
        <w:rPr>
          <w:sz w:val="22"/>
          <w:szCs w:val="22"/>
        </w:rPr>
        <w:t>Imatinib Actavis Group 300 mg apvalkotās tabletes</w:t>
      </w:r>
    </w:p>
    <w:p w14:paraId="72C8DEE8" w14:textId="18E47111" w:rsidR="008A305D" w:rsidRPr="00BA3FBD" w:rsidRDefault="008A305D" w:rsidP="008A305D">
      <w:pPr>
        <w:autoSpaceDE w:val="0"/>
        <w:autoSpaceDN w:val="0"/>
        <w:adjustRightInd w:val="0"/>
        <w:rPr>
          <w:sz w:val="22"/>
          <w:szCs w:val="22"/>
        </w:rPr>
      </w:pPr>
      <w:r>
        <w:rPr>
          <w:sz w:val="22"/>
          <w:szCs w:val="22"/>
        </w:rPr>
        <w:t>Malta</w:t>
      </w:r>
      <w:r w:rsidR="00C7290D">
        <w:rPr>
          <w:sz w:val="22"/>
          <w:szCs w:val="22"/>
        </w:rPr>
        <w:tab/>
      </w:r>
      <w:r w:rsidRPr="00BA3FBD">
        <w:rPr>
          <w:sz w:val="22"/>
          <w:szCs w:val="22"/>
        </w:rPr>
        <w:t>Imatinib Actavis Group (100 mg, 200 mg, 300 mg, 400 mg)</w:t>
      </w:r>
    </w:p>
    <w:p w14:paraId="1F1C702E" w14:textId="77777777" w:rsidR="008A305D" w:rsidRPr="00BA3FBD" w:rsidRDefault="008A305D" w:rsidP="008A305D">
      <w:pPr>
        <w:autoSpaceDE w:val="0"/>
        <w:autoSpaceDN w:val="0"/>
        <w:adjustRightInd w:val="0"/>
        <w:rPr>
          <w:sz w:val="22"/>
          <w:szCs w:val="22"/>
        </w:rPr>
      </w:pPr>
      <w:r>
        <w:rPr>
          <w:sz w:val="22"/>
          <w:szCs w:val="22"/>
        </w:rPr>
        <w:t>Norvegija</w:t>
      </w:r>
      <w:r w:rsidRPr="00BA3FBD">
        <w:rPr>
          <w:sz w:val="22"/>
          <w:szCs w:val="22"/>
        </w:rPr>
        <w:tab/>
        <w:t>Imatinib Actavis Group (100 mg, 200 mg, 300 mg, 400 mg)</w:t>
      </w:r>
    </w:p>
    <w:p w14:paraId="21085EF8" w14:textId="340FFD23" w:rsidR="008A305D" w:rsidRPr="00BA3FBD" w:rsidRDefault="008A305D" w:rsidP="008A305D">
      <w:pPr>
        <w:autoSpaceDE w:val="0"/>
        <w:autoSpaceDN w:val="0"/>
        <w:adjustRightInd w:val="0"/>
        <w:rPr>
          <w:sz w:val="22"/>
          <w:szCs w:val="22"/>
        </w:rPr>
      </w:pPr>
      <w:r>
        <w:rPr>
          <w:sz w:val="22"/>
          <w:szCs w:val="22"/>
        </w:rPr>
        <w:t>Lenkija</w:t>
      </w:r>
      <w:r w:rsidR="00C7290D">
        <w:rPr>
          <w:sz w:val="22"/>
          <w:szCs w:val="22"/>
        </w:rPr>
        <w:tab/>
      </w:r>
      <w:r w:rsidRPr="00BA3FBD">
        <w:rPr>
          <w:sz w:val="22"/>
          <w:szCs w:val="22"/>
        </w:rPr>
        <w:t>Imatinib Actavis Group (100 mg, 200 mg, 300 mg, 400 mg)</w:t>
      </w:r>
    </w:p>
    <w:p w14:paraId="593003CB" w14:textId="77777777" w:rsidR="008A305D" w:rsidRPr="00BA3FBD" w:rsidRDefault="008A305D" w:rsidP="008A305D">
      <w:pPr>
        <w:autoSpaceDE w:val="0"/>
        <w:autoSpaceDN w:val="0"/>
        <w:adjustRightInd w:val="0"/>
        <w:rPr>
          <w:sz w:val="22"/>
          <w:szCs w:val="22"/>
        </w:rPr>
      </w:pPr>
      <w:r>
        <w:rPr>
          <w:sz w:val="22"/>
          <w:szCs w:val="22"/>
        </w:rPr>
        <w:t>Rumunija</w:t>
      </w:r>
      <w:r w:rsidRPr="00BA3FBD">
        <w:rPr>
          <w:sz w:val="22"/>
          <w:szCs w:val="22"/>
        </w:rPr>
        <w:tab/>
        <w:t>Imatinib Actavis Group 100 mg, 400 mg comprimate filmate</w:t>
      </w:r>
    </w:p>
    <w:p w14:paraId="220E6953" w14:textId="77777777" w:rsidR="008A305D" w:rsidRPr="00BA3FBD" w:rsidRDefault="008A305D" w:rsidP="008A305D">
      <w:pPr>
        <w:autoSpaceDE w:val="0"/>
        <w:autoSpaceDN w:val="0"/>
        <w:adjustRightInd w:val="0"/>
        <w:rPr>
          <w:sz w:val="22"/>
          <w:szCs w:val="22"/>
        </w:rPr>
      </w:pPr>
      <w:r>
        <w:rPr>
          <w:sz w:val="22"/>
          <w:szCs w:val="22"/>
        </w:rPr>
        <w:t>Slovėnija</w:t>
      </w:r>
      <w:r w:rsidRPr="00BA3FBD">
        <w:rPr>
          <w:sz w:val="22"/>
          <w:szCs w:val="22"/>
        </w:rPr>
        <w:tab/>
        <w:t>Imatinib Actavis Group, Filmsko obložene tablete (100 mg, 200 mg, 300 mg, 400 mg)</w:t>
      </w:r>
    </w:p>
    <w:p w14:paraId="1DEB622E" w14:textId="77777777" w:rsidR="008A305D" w:rsidRPr="00BA3FBD" w:rsidRDefault="008A305D" w:rsidP="008A305D">
      <w:pPr>
        <w:autoSpaceDE w:val="0"/>
        <w:autoSpaceDN w:val="0"/>
        <w:adjustRightInd w:val="0"/>
        <w:rPr>
          <w:sz w:val="22"/>
          <w:szCs w:val="22"/>
        </w:rPr>
      </w:pPr>
      <w:r>
        <w:rPr>
          <w:sz w:val="22"/>
          <w:szCs w:val="22"/>
        </w:rPr>
        <w:t>Slovakija</w:t>
      </w:r>
      <w:r w:rsidRPr="00BA3FBD">
        <w:rPr>
          <w:sz w:val="22"/>
          <w:szCs w:val="22"/>
        </w:rPr>
        <w:tab/>
        <w:t>Imatinib Actavis Group 300 mg</w:t>
      </w:r>
    </w:p>
    <w:p w14:paraId="6A224E0F" w14:textId="0D8AE514" w:rsidR="008A305D" w:rsidRPr="00BA3FBD" w:rsidRDefault="008A305D" w:rsidP="008A305D">
      <w:pPr>
        <w:autoSpaceDE w:val="0"/>
        <w:autoSpaceDN w:val="0"/>
        <w:adjustRightInd w:val="0"/>
        <w:rPr>
          <w:sz w:val="22"/>
          <w:szCs w:val="22"/>
        </w:rPr>
      </w:pPr>
      <w:r>
        <w:rPr>
          <w:sz w:val="22"/>
          <w:szCs w:val="22"/>
        </w:rPr>
        <w:t>Jungtinė karalystė</w:t>
      </w:r>
      <w:r w:rsidR="00C7290D">
        <w:rPr>
          <w:sz w:val="22"/>
          <w:szCs w:val="22"/>
        </w:rPr>
        <w:t xml:space="preserve"> </w:t>
      </w:r>
      <w:r w:rsidRPr="00BA3FBD">
        <w:rPr>
          <w:sz w:val="22"/>
          <w:szCs w:val="22"/>
        </w:rPr>
        <w:t>Imatinib Actavis Group 300mg Film-coated Tablets</w:t>
      </w:r>
    </w:p>
    <w:p w14:paraId="41197D00" w14:textId="77777777" w:rsidR="008A305D" w:rsidRDefault="008A305D" w:rsidP="008A305D">
      <w:pPr>
        <w:autoSpaceDE w:val="0"/>
        <w:autoSpaceDN w:val="0"/>
        <w:adjustRightInd w:val="0"/>
        <w:contextualSpacing/>
        <w:rPr>
          <w:rFonts w:eastAsia="Calibri"/>
          <w:sz w:val="22"/>
        </w:rPr>
      </w:pPr>
    </w:p>
    <w:p w14:paraId="09DD43E4" w14:textId="77777777" w:rsidR="008A305D" w:rsidRPr="00801E33" w:rsidRDefault="008A305D" w:rsidP="008A305D">
      <w:pPr>
        <w:autoSpaceDE w:val="0"/>
        <w:autoSpaceDN w:val="0"/>
        <w:adjustRightInd w:val="0"/>
        <w:contextualSpacing/>
        <w:rPr>
          <w:rFonts w:eastAsia="Calibri"/>
          <w:sz w:val="22"/>
        </w:rPr>
      </w:pPr>
    </w:p>
    <w:p w14:paraId="088241F8" w14:textId="32952D0C" w:rsidR="008A305D" w:rsidRPr="00BA3FBD" w:rsidRDefault="008A305D" w:rsidP="008A305D">
      <w:pPr>
        <w:autoSpaceDE w:val="0"/>
        <w:autoSpaceDN w:val="0"/>
        <w:adjustRightInd w:val="0"/>
        <w:contextualSpacing/>
        <w:rPr>
          <w:rFonts w:eastAsia="Calibri"/>
          <w:b/>
          <w:bCs/>
          <w:sz w:val="22"/>
          <w:szCs w:val="22"/>
        </w:rPr>
      </w:pPr>
      <w:r w:rsidRPr="00BA3FBD">
        <w:rPr>
          <w:rFonts w:eastAsia="Calibri"/>
          <w:b/>
          <w:bCs/>
          <w:sz w:val="22"/>
          <w:szCs w:val="22"/>
        </w:rPr>
        <w:t>Šis pakuotės lapelis paskutinį kartą peržiūrėtas</w:t>
      </w:r>
      <w:r>
        <w:rPr>
          <w:rFonts w:eastAsia="Calibri"/>
          <w:b/>
          <w:bCs/>
          <w:sz w:val="22"/>
          <w:szCs w:val="22"/>
        </w:rPr>
        <w:t xml:space="preserve"> </w:t>
      </w:r>
      <w:r w:rsidR="00C55C73">
        <w:rPr>
          <w:rFonts w:eastAsia="Calibri"/>
          <w:b/>
          <w:bCs/>
          <w:sz w:val="22"/>
          <w:szCs w:val="22"/>
        </w:rPr>
        <w:t>2016-10-31.</w:t>
      </w:r>
    </w:p>
    <w:p w14:paraId="08298D28" w14:textId="77777777" w:rsidR="008A305D" w:rsidRPr="00BA3FBD" w:rsidRDefault="008A305D" w:rsidP="008A305D">
      <w:pPr>
        <w:autoSpaceDE w:val="0"/>
        <w:autoSpaceDN w:val="0"/>
        <w:adjustRightInd w:val="0"/>
        <w:contextualSpacing/>
        <w:rPr>
          <w:rFonts w:eastAsia="Calibri"/>
          <w:bCs/>
          <w:sz w:val="22"/>
          <w:szCs w:val="22"/>
        </w:rPr>
      </w:pPr>
    </w:p>
    <w:p w14:paraId="3D18E4A3" w14:textId="77777777" w:rsidR="008A305D" w:rsidRPr="00BA3FBD" w:rsidRDefault="008A305D" w:rsidP="008A305D">
      <w:pPr>
        <w:numPr>
          <w:ilvl w:val="12"/>
          <w:numId w:val="0"/>
        </w:numPr>
        <w:tabs>
          <w:tab w:val="left" w:pos="567"/>
        </w:tabs>
        <w:ind w:right="-2"/>
        <w:rPr>
          <w:i/>
          <w:snapToGrid w:val="0"/>
          <w:sz w:val="22"/>
        </w:rPr>
      </w:pPr>
    </w:p>
    <w:p w14:paraId="7F082863" w14:textId="77777777" w:rsidR="008A305D" w:rsidRPr="00BA3FBD" w:rsidRDefault="008A305D" w:rsidP="008A305D">
      <w:pPr>
        <w:numPr>
          <w:ilvl w:val="12"/>
          <w:numId w:val="0"/>
        </w:numPr>
        <w:tabs>
          <w:tab w:val="left" w:pos="567"/>
        </w:tabs>
        <w:ind w:right="-2"/>
        <w:rPr>
          <w:snapToGrid w:val="0"/>
          <w:sz w:val="22"/>
        </w:rPr>
      </w:pPr>
      <w:r w:rsidRPr="00BA3FBD">
        <w:rPr>
          <w:snapToGrid w:val="0"/>
          <w:sz w:val="22"/>
          <w:szCs w:val="20"/>
        </w:rPr>
        <w:t xml:space="preserve">Išsami informacija apie šį </w:t>
      </w:r>
      <w:r w:rsidRPr="00BA3FBD">
        <w:rPr>
          <w:snapToGrid w:val="0"/>
          <w:sz w:val="22"/>
        </w:rPr>
        <w:t>vaistą</w:t>
      </w:r>
      <w:r w:rsidRPr="00BA3FBD">
        <w:rPr>
          <w:snapToGrid w:val="0"/>
          <w:sz w:val="22"/>
          <w:szCs w:val="20"/>
        </w:rPr>
        <w:t xml:space="preserve"> pateikiama Valstybinės vaistų kontrolės tarnybos prie Lietuvos Respublikos sveikatos apsaugos ministerijos tinklalapyje</w:t>
      </w:r>
      <w:r w:rsidRPr="00BA3FBD">
        <w:rPr>
          <w:i/>
          <w:snapToGrid w:val="0"/>
          <w:sz w:val="22"/>
        </w:rPr>
        <w:t xml:space="preserve"> </w:t>
      </w:r>
      <w:hyperlink r:id="rId23" w:history="1">
        <w:r w:rsidRPr="00BA3FBD">
          <w:rPr>
            <w:rFonts w:eastAsia="SimSun"/>
            <w:snapToGrid w:val="0"/>
            <w:color w:val="0000FF"/>
            <w:sz w:val="22"/>
            <w:szCs w:val="20"/>
            <w:u w:val="single"/>
          </w:rPr>
          <w:t>http://www.vvkt.lt/</w:t>
        </w:r>
      </w:hyperlink>
      <w:r w:rsidRPr="00BA3FBD">
        <w:rPr>
          <w:snapToGrid w:val="0"/>
          <w:sz w:val="22"/>
          <w:szCs w:val="20"/>
        </w:rPr>
        <w:t xml:space="preserve">. </w:t>
      </w:r>
    </w:p>
    <w:p w14:paraId="770262BC" w14:textId="77777777" w:rsidR="008A305D" w:rsidRPr="00BA3FBD" w:rsidRDefault="008A305D" w:rsidP="008A305D">
      <w:pPr>
        <w:autoSpaceDE w:val="0"/>
        <w:autoSpaceDN w:val="0"/>
        <w:adjustRightInd w:val="0"/>
        <w:contextualSpacing/>
        <w:rPr>
          <w:rFonts w:eastAsia="Calibri"/>
          <w:sz w:val="22"/>
          <w:szCs w:val="22"/>
        </w:rPr>
      </w:pPr>
    </w:p>
    <w:p w14:paraId="3192C168" w14:textId="77777777" w:rsidR="008A305D" w:rsidRPr="00BA3FBD" w:rsidRDefault="008A305D" w:rsidP="008A305D">
      <w:pPr>
        <w:rPr>
          <w:b/>
          <w:sz w:val="22"/>
          <w:szCs w:val="22"/>
        </w:rPr>
      </w:pPr>
      <w:r w:rsidRPr="00BA3FBD">
        <w:rPr>
          <w:rFonts w:eastAsia="Calibri"/>
          <w:sz w:val="22"/>
          <w:szCs w:val="22"/>
        </w:rPr>
        <w:br w:type="page"/>
      </w:r>
    </w:p>
    <w:p w14:paraId="6612770A" w14:textId="77777777" w:rsidR="008A305D" w:rsidRDefault="008A305D" w:rsidP="008A305D">
      <w:pPr>
        <w:spacing w:line="276" w:lineRule="auto"/>
        <w:jc w:val="center"/>
        <w:rPr>
          <w:b/>
          <w:bCs/>
          <w:sz w:val="22"/>
          <w:szCs w:val="22"/>
        </w:rPr>
      </w:pPr>
      <w:r w:rsidRPr="00BA3FBD">
        <w:rPr>
          <w:b/>
          <w:bCs/>
          <w:sz w:val="22"/>
          <w:szCs w:val="22"/>
        </w:rPr>
        <w:lastRenderedPageBreak/>
        <w:t>Pakuotės lapelis: informacija vartotojui</w:t>
      </w:r>
    </w:p>
    <w:p w14:paraId="6D6DA6AD" w14:textId="77777777" w:rsidR="008A305D" w:rsidRPr="00BA3FBD" w:rsidRDefault="008A305D" w:rsidP="008A305D">
      <w:pPr>
        <w:pStyle w:val="Default"/>
        <w:jc w:val="center"/>
        <w:rPr>
          <w:rFonts w:ascii="Times New Roman" w:hAnsi="Times New Roman" w:cs="Times New Roman"/>
          <w:sz w:val="22"/>
          <w:szCs w:val="22"/>
          <w:lang w:val="lt-LT"/>
        </w:rPr>
      </w:pPr>
    </w:p>
    <w:p w14:paraId="22A03834" w14:textId="77777777" w:rsidR="008A305D" w:rsidRPr="00BA3FBD" w:rsidRDefault="008A305D" w:rsidP="008A305D">
      <w:pPr>
        <w:widowControl w:val="0"/>
        <w:tabs>
          <w:tab w:val="left" w:pos="9356"/>
        </w:tabs>
        <w:autoSpaceDE w:val="0"/>
        <w:autoSpaceDN w:val="0"/>
        <w:adjustRightInd w:val="0"/>
        <w:ind w:right="50"/>
        <w:jc w:val="center"/>
        <w:rPr>
          <w:sz w:val="22"/>
          <w:szCs w:val="22"/>
        </w:rPr>
      </w:pPr>
      <w:r w:rsidRPr="00BA3FBD">
        <w:rPr>
          <w:b/>
          <w:bCs/>
          <w:spacing w:val="-1"/>
          <w:sz w:val="22"/>
          <w:szCs w:val="22"/>
        </w:rPr>
        <w:t>Imatinib Actavis Group</w:t>
      </w:r>
      <w:r w:rsidRPr="00BA3FBD">
        <w:rPr>
          <w:b/>
          <w:bCs/>
          <w:spacing w:val="1"/>
          <w:sz w:val="22"/>
          <w:szCs w:val="22"/>
        </w:rPr>
        <w:t xml:space="preserve"> 400</w:t>
      </w:r>
      <w:r w:rsidRPr="00BA3FBD">
        <w:rPr>
          <w:b/>
          <w:bCs/>
          <w:sz w:val="22"/>
          <w:szCs w:val="22"/>
        </w:rPr>
        <w:t> </w:t>
      </w:r>
      <w:r w:rsidRPr="00BA3FBD">
        <w:rPr>
          <w:b/>
          <w:bCs/>
          <w:spacing w:val="1"/>
          <w:sz w:val="22"/>
          <w:szCs w:val="22"/>
        </w:rPr>
        <w:t>m</w:t>
      </w:r>
      <w:r w:rsidRPr="00BA3FBD">
        <w:rPr>
          <w:b/>
          <w:bCs/>
          <w:sz w:val="22"/>
          <w:szCs w:val="22"/>
        </w:rPr>
        <w:t>g plėvele dengtos tabletės</w:t>
      </w:r>
    </w:p>
    <w:p w14:paraId="7798F861" w14:textId="77777777" w:rsidR="008A305D" w:rsidRPr="00BA3FBD" w:rsidRDefault="008A305D" w:rsidP="008A305D">
      <w:pPr>
        <w:autoSpaceDE w:val="0"/>
        <w:autoSpaceDN w:val="0"/>
        <w:adjustRightInd w:val="0"/>
        <w:jc w:val="center"/>
        <w:rPr>
          <w:rFonts w:eastAsia="Calibri"/>
          <w:color w:val="000000"/>
          <w:sz w:val="22"/>
          <w:szCs w:val="22"/>
        </w:rPr>
      </w:pPr>
      <w:r w:rsidRPr="00BA3FBD">
        <w:rPr>
          <w:rFonts w:eastAsia="Calibri"/>
          <w:color w:val="000000"/>
          <w:sz w:val="22"/>
          <w:szCs w:val="22"/>
        </w:rPr>
        <w:t>Imatinibas</w:t>
      </w:r>
    </w:p>
    <w:p w14:paraId="427DAB1B" w14:textId="77777777" w:rsidR="008A305D" w:rsidRPr="00BA3FBD" w:rsidRDefault="008A305D" w:rsidP="008A305D">
      <w:pPr>
        <w:autoSpaceDE w:val="0"/>
        <w:autoSpaceDN w:val="0"/>
        <w:adjustRightInd w:val="0"/>
        <w:jc w:val="center"/>
        <w:rPr>
          <w:rFonts w:eastAsia="Calibri"/>
          <w:color w:val="000000"/>
          <w:sz w:val="22"/>
          <w:szCs w:val="22"/>
        </w:rPr>
      </w:pPr>
    </w:p>
    <w:p w14:paraId="6A1A0D0A"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b/>
          <w:bCs/>
          <w:color w:val="000000"/>
          <w:sz w:val="22"/>
          <w:szCs w:val="22"/>
        </w:rPr>
        <w:t xml:space="preserve">Atidžiai perskaitykite visą šį lapelį, prieš pradėdami vartoti vaistą, nes jame pateikiama Jums svarbi informacija. </w:t>
      </w:r>
    </w:p>
    <w:p w14:paraId="0473177F"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w:t>
      </w:r>
      <w:r w:rsidRPr="00BA3FBD">
        <w:rPr>
          <w:rFonts w:eastAsia="Calibri"/>
          <w:color w:val="000000"/>
          <w:sz w:val="22"/>
          <w:szCs w:val="22"/>
        </w:rPr>
        <w:tab/>
        <w:t xml:space="preserve">Neišmeskite šio lapelio, nes vėl gali prireikti jį perskaityti. </w:t>
      </w:r>
    </w:p>
    <w:p w14:paraId="4E5914F7" w14:textId="77777777" w:rsidR="008A305D" w:rsidRPr="00BA3FBD" w:rsidRDefault="008A305D" w:rsidP="008A305D">
      <w:pPr>
        <w:autoSpaceDE w:val="0"/>
        <w:autoSpaceDN w:val="0"/>
        <w:adjustRightInd w:val="0"/>
        <w:spacing w:after="23"/>
        <w:rPr>
          <w:rFonts w:eastAsia="Calibri"/>
          <w:color w:val="000000"/>
          <w:sz w:val="22"/>
          <w:szCs w:val="22"/>
        </w:rPr>
      </w:pPr>
      <w:r w:rsidRPr="00BA3FBD">
        <w:rPr>
          <w:rFonts w:eastAsia="Calibri"/>
          <w:color w:val="000000"/>
          <w:sz w:val="22"/>
          <w:szCs w:val="22"/>
        </w:rPr>
        <w:t>-</w:t>
      </w:r>
      <w:r w:rsidRPr="00BA3FBD">
        <w:rPr>
          <w:rFonts w:eastAsia="Calibri"/>
          <w:color w:val="000000"/>
          <w:sz w:val="22"/>
          <w:szCs w:val="22"/>
        </w:rPr>
        <w:tab/>
        <w:t xml:space="preserve">Jeigu kiltų daugiau klausimų, kreipkitės į gydytoją, vaistininką arba slaugytoją. </w:t>
      </w:r>
    </w:p>
    <w:p w14:paraId="4A86198D" w14:textId="77777777" w:rsidR="008A305D" w:rsidRPr="00BA3FBD" w:rsidRDefault="008A305D" w:rsidP="008A305D">
      <w:pPr>
        <w:autoSpaceDE w:val="0"/>
        <w:autoSpaceDN w:val="0"/>
        <w:adjustRightInd w:val="0"/>
        <w:spacing w:after="23"/>
        <w:ind w:left="720" w:hanging="720"/>
        <w:rPr>
          <w:rFonts w:eastAsia="Calibri"/>
          <w:color w:val="000000"/>
          <w:sz w:val="22"/>
          <w:szCs w:val="22"/>
        </w:rPr>
      </w:pPr>
      <w:r w:rsidRPr="00BA3FBD">
        <w:rPr>
          <w:rFonts w:eastAsia="Calibri"/>
          <w:color w:val="000000"/>
          <w:sz w:val="22"/>
          <w:szCs w:val="22"/>
        </w:rPr>
        <w:t>-</w:t>
      </w:r>
      <w:r w:rsidRPr="00BA3FBD">
        <w:rPr>
          <w:rFonts w:eastAsia="Calibri"/>
          <w:color w:val="000000"/>
          <w:sz w:val="22"/>
          <w:szCs w:val="22"/>
        </w:rPr>
        <w:tab/>
        <w:t xml:space="preserve">Šis vaistas skirtas tik Jums, todėl kitiems žmonėms jo duoti negalima. Vaistas gali jiems pakenkti (net tiems, kurių ligos požymiai yra tokie patys kaip Jūsų). </w:t>
      </w:r>
    </w:p>
    <w:p w14:paraId="158F1D8D" w14:textId="77777777" w:rsidR="008A305D" w:rsidRPr="00BA3FBD" w:rsidRDefault="008A305D" w:rsidP="008A305D">
      <w:pPr>
        <w:autoSpaceDE w:val="0"/>
        <w:autoSpaceDN w:val="0"/>
        <w:adjustRightInd w:val="0"/>
        <w:ind w:left="720" w:hanging="720"/>
        <w:rPr>
          <w:rFonts w:eastAsia="Calibri"/>
          <w:color w:val="000000"/>
          <w:sz w:val="22"/>
          <w:szCs w:val="22"/>
        </w:rPr>
      </w:pPr>
      <w:r w:rsidRPr="00BA3FBD">
        <w:rPr>
          <w:rFonts w:eastAsia="Calibri"/>
          <w:color w:val="000000"/>
          <w:sz w:val="22"/>
          <w:szCs w:val="22"/>
        </w:rPr>
        <w:t>-</w:t>
      </w:r>
      <w:r w:rsidRPr="00BA3FBD">
        <w:rPr>
          <w:rFonts w:eastAsia="Calibri"/>
          <w:color w:val="000000"/>
          <w:sz w:val="22"/>
          <w:szCs w:val="22"/>
        </w:rPr>
        <w:tab/>
        <w:t xml:space="preserve">Jeigu pasireiškė šalutinis poveikis (net jeigu jis šiame lapelyje nenurodytas), kreipkitės į gydytoją, vaistininką arba slaugytoją. </w:t>
      </w:r>
      <w:r w:rsidRPr="00E07176">
        <w:rPr>
          <w:rFonts w:eastAsia="Calibri"/>
          <w:color w:val="000000"/>
          <w:sz w:val="22"/>
          <w:szCs w:val="22"/>
        </w:rPr>
        <w:t>Žr. 4 skyrių.</w:t>
      </w:r>
    </w:p>
    <w:p w14:paraId="2E6D7035" w14:textId="77777777" w:rsidR="008A305D" w:rsidRPr="00BA3FBD" w:rsidRDefault="008A305D" w:rsidP="008A305D">
      <w:pPr>
        <w:autoSpaceDE w:val="0"/>
        <w:autoSpaceDN w:val="0"/>
        <w:adjustRightInd w:val="0"/>
        <w:rPr>
          <w:rFonts w:eastAsia="Calibri"/>
          <w:color w:val="000000"/>
          <w:sz w:val="22"/>
          <w:szCs w:val="22"/>
        </w:rPr>
      </w:pPr>
    </w:p>
    <w:p w14:paraId="37766DC2" w14:textId="77777777" w:rsidR="008A305D" w:rsidRPr="00BA3FBD" w:rsidRDefault="008A305D" w:rsidP="008A305D">
      <w:pPr>
        <w:autoSpaceDE w:val="0"/>
        <w:autoSpaceDN w:val="0"/>
        <w:adjustRightInd w:val="0"/>
        <w:rPr>
          <w:rFonts w:eastAsia="Calibri"/>
          <w:b/>
          <w:bCs/>
          <w:color w:val="000000"/>
          <w:sz w:val="22"/>
          <w:szCs w:val="22"/>
        </w:rPr>
      </w:pPr>
      <w:r w:rsidRPr="00BA3FBD">
        <w:rPr>
          <w:rFonts w:eastAsia="Calibri"/>
          <w:b/>
          <w:bCs/>
          <w:color w:val="000000"/>
          <w:sz w:val="22"/>
          <w:szCs w:val="22"/>
        </w:rPr>
        <w:t xml:space="preserve">Apie ką rašoma šiame lapelyje? </w:t>
      </w:r>
    </w:p>
    <w:p w14:paraId="555D7069" w14:textId="77777777" w:rsidR="008A305D" w:rsidRPr="00BA3FBD" w:rsidRDefault="008A305D" w:rsidP="008A305D">
      <w:pPr>
        <w:autoSpaceDE w:val="0"/>
        <w:autoSpaceDN w:val="0"/>
        <w:adjustRightInd w:val="0"/>
        <w:rPr>
          <w:rFonts w:eastAsia="Calibri"/>
          <w:color w:val="000000"/>
          <w:sz w:val="22"/>
          <w:szCs w:val="22"/>
        </w:rPr>
      </w:pPr>
    </w:p>
    <w:p w14:paraId="7CAE4A2D"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 xml:space="preserve">1. Kas yra Imatinib Actavis Group ir kam jis vartojamas </w:t>
      </w:r>
    </w:p>
    <w:p w14:paraId="45609EFA"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 xml:space="preserve">2. Kas žinotina prieš vartojant Imatinib Actavis Group </w:t>
      </w:r>
    </w:p>
    <w:p w14:paraId="26BFB59D"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 xml:space="preserve">3. Kaip vartoti Imatinib Actavis Group </w:t>
      </w:r>
    </w:p>
    <w:p w14:paraId="23A704E1"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 xml:space="preserve">4. Galimas šalutinis poveikis </w:t>
      </w:r>
    </w:p>
    <w:p w14:paraId="5972F218"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5. Kaip laikyti Imatinib Actavis Group</w:t>
      </w:r>
    </w:p>
    <w:p w14:paraId="29BE7210"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 xml:space="preserve">6. Pakuotės turinys ir kita informacija </w:t>
      </w:r>
    </w:p>
    <w:p w14:paraId="0A2AA682" w14:textId="77777777" w:rsidR="008A305D" w:rsidRPr="00BA3FBD" w:rsidRDefault="008A305D" w:rsidP="008A305D">
      <w:pPr>
        <w:autoSpaceDE w:val="0"/>
        <w:autoSpaceDN w:val="0"/>
        <w:adjustRightInd w:val="0"/>
        <w:rPr>
          <w:rFonts w:eastAsia="Calibri"/>
          <w:color w:val="000000"/>
          <w:sz w:val="22"/>
          <w:szCs w:val="22"/>
        </w:rPr>
      </w:pPr>
    </w:p>
    <w:p w14:paraId="214282C6" w14:textId="77777777" w:rsidR="008A305D" w:rsidRPr="00BA3FBD" w:rsidRDefault="008A305D" w:rsidP="008A305D">
      <w:pPr>
        <w:autoSpaceDE w:val="0"/>
        <w:autoSpaceDN w:val="0"/>
        <w:adjustRightInd w:val="0"/>
        <w:rPr>
          <w:rFonts w:eastAsia="Calibri"/>
          <w:color w:val="000000"/>
          <w:sz w:val="22"/>
          <w:szCs w:val="22"/>
        </w:rPr>
      </w:pPr>
    </w:p>
    <w:p w14:paraId="0F9FAC97" w14:textId="77777777" w:rsidR="008A305D" w:rsidRPr="00BA3FBD" w:rsidRDefault="008A305D" w:rsidP="008A305D">
      <w:pPr>
        <w:pStyle w:val="Sraopastraipa"/>
        <w:numPr>
          <w:ilvl w:val="0"/>
          <w:numId w:val="3"/>
        </w:numPr>
        <w:autoSpaceDE w:val="0"/>
        <w:autoSpaceDN w:val="0"/>
        <w:adjustRightInd w:val="0"/>
        <w:ind w:hanging="720"/>
        <w:rPr>
          <w:rFonts w:eastAsia="Calibri"/>
          <w:b/>
          <w:bCs/>
          <w:color w:val="000000"/>
          <w:sz w:val="22"/>
          <w:szCs w:val="22"/>
        </w:rPr>
      </w:pPr>
      <w:r w:rsidRPr="00BA3FBD">
        <w:rPr>
          <w:rFonts w:eastAsia="Calibri"/>
          <w:b/>
          <w:bCs/>
          <w:color w:val="000000"/>
          <w:sz w:val="22"/>
          <w:szCs w:val="22"/>
        </w:rPr>
        <w:t xml:space="preserve">Kas yra Imatinib Actavis Group ir kam jis vartojamas </w:t>
      </w:r>
    </w:p>
    <w:p w14:paraId="7BACDB58" w14:textId="77777777" w:rsidR="008A305D" w:rsidRPr="00BA3FBD" w:rsidRDefault="008A305D" w:rsidP="008A305D">
      <w:pPr>
        <w:autoSpaceDE w:val="0"/>
        <w:autoSpaceDN w:val="0"/>
        <w:adjustRightInd w:val="0"/>
        <w:rPr>
          <w:rFonts w:eastAsia="Calibri"/>
          <w:color w:val="000000"/>
          <w:sz w:val="22"/>
          <w:szCs w:val="22"/>
        </w:rPr>
      </w:pPr>
    </w:p>
    <w:p w14:paraId="3167AB8B"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 xml:space="preserve">Imatinib Actavis Group yra vaistas, kurio sudėtyje yra veikliosios medžiagos imatinibo. Šis vaistas veikia slopindamas nenormalių ląstelių augimą, sergant </w:t>
      </w:r>
      <w:r w:rsidRPr="00BA3FBD">
        <w:rPr>
          <w:sz w:val="22"/>
          <w:szCs w:val="22"/>
        </w:rPr>
        <w:t xml:space="preserve">toliau išvardytomis ligomis. Jos apima ir kai kurių tipų vėžinius susirgimus. </w:t>
      </w:r>
    </w:p>
    <w:p w14:paraId="712CAE9D" w14:textId="77777777" w:rsidR="008A305D" w:rsidRPr="00BA3FBD" w:rsidRDefault="008A305D" w:rsidP="008A305D">
      <w:pPr>
        <w:autoSpaceDE w:val="0"/>
        <w:autoSpaceDN w:val="0"/>
        <w:adjustRightInd w:val="0"/>
        <w:rPr>
          <w:rFonts w:eastAsia="Calibri"/>
          <w:color w:val="000000"/>
          <w:sz w:val="22"/>
          <w:szCs w:val="22"/>
        </w:rPr>
      </w:pPr>
    </w:p>
    <w:p w14:paraId="5A33A2F0" w14:textId="77777777" w:rsidR="008A305D" w:rsidRPr="00BA3FBD" w:rsidRDefault="008A305D" w:rsidP="008A305D">
      <w:pPr>
        <w:autoSpaceDE w:val="0"/>
        <w:autoSpaceDN w:val="0"/>
        <w:adjustRightInd w:val="0"/>
        <w:rPr>
          <w:rFonts w:eastAsia="Calibri"/>
          <w:b/>
          <w:bCs/>
          <w:sz w:val="22"/>
          <w:szCs w:val="22"/>
        </w:rPr>
      </w:pPr>
      <w:r w:rsidRPr="00BA3FBD">
        <w:rPr>
          <w:rFonts w:eastAsia="Calibri"/>
          <w:b/>
          <w:bCs/>
          <w:sz w:val="22"/>
          <w:szCs w:val="22"/>
        </w:rPr>
        <w:t>Imatinib Actavis Group vartojama gydyti:</w:t>
      </w:r>
    </w:p>
    <w:p w14:paraId="09FEAC3B" w14:textId="77777777" w:rsidR="008A305D" w:rsidRPr="00BA3FBD" w:rsidRDefault="008A305D" w:rsidP="008A305D">
      <w:pPr>
        <w:autoSpaceDE w:val="0"/>
        <w:autoSpaceDN w:val="0"/>
        <w:adjustRightInd w:val="0"/>
        <w:rPr>
          <w:rFonts w:eastAsia="Calibri"/>
          <w:b/>
          <w:bCs/>
          <w:sz w:val="22"/>
          <w:szCs w:val="22"/>
        </w:rPr>
      </w:pPr>
    </w:p>
    <w:p w14:paraId="0A21FB26" w14:textId="77777777" w:rsidR="008A305D" w:rsidRPr="00BA3FBD" w:rsidRDefault="008A305D" w:rsidP="008A305D">
      <w:pPr>
        <w:autoSpaceDE w:val="0"/>
        <w:autoSpaceDN w:val="0"/>
        <w:adjustRightInd w:val="0"/>
        <w:ind w:left="720" w:hanging="720"/>
        <w:rPr>
          <w:rFonts w:eastAsia="Calibri"/>
          <w:color w:val="000000"/>
          <w:sz w:val="22"/>
          <w:szCs w:val="22"/>
        </w:rPr>
      </w:pPr>
      <w:r w:rsidRPr="00BA3FBD">
        <w:rPr>
          <w:rFonts w:eastAsia="Calibri"/>
          <w:b/>
          <w:bCs/>
          <w:sz w:val="22"/>
          <w:szCs w:val="22"/>
        </w:rPr>
        <w:t>-</w:t>
      </w:r>
      <w:r w:rsidRPr="00BA3FBD">
        <w:rPr>
          <w:rFonts w:eastAsia="Calibri"/>
          <w:b/>
          <w:bCs/>
          <w:sz w:val="22"/>
          <w:szCs w:val="22"/>
        </w:rPr>
        <w:tab/>
      </w:r>
      <w:r>
        <w:rPr>
          <w:rFonts w:eastAsia="Calibri"/>
          <w:b/>
          <w:bCs/>
          <w:sz w:val="22"/>
          <w:szCs w:val="22"/>
        </w:rPr>
        <w:t>l</w:t>
      </w:r>
      <w:r w:rsidRPr="00BA3FBD">
        <w:rPr>
          <w:rFonts w:eastAsia="Calibri"/>
          <w:b/>
          <w:bCs/>
          <w:sz w:val="22"/>
          <w:szCs w:val="22"/>
        </w:rPr>
        <w:t xml:space="preserve">ėtinę mieloleukemiją (LML). </w:t>
      </w:r>
      <w:r w:rsidRPr="00BA3FBD">
        <w:rPr>
          <w:rFonts w:eastAsia="Calibri"/>
          <w:sz w:val="22"/>
          <w:szCs w:val="22"/>
        </w:rPr>
        <w:t>Leukemija – tai baltųjų kraujo</w:t>
      </w:r>
      <w:r w:rsidRPr="00BA3FBD">
        <w:rPr>
          <w:rFonts w:eastAsia="Calibri"/>
          <w:color w:val="000000"/>
          <w:sz w:val="22"/>
          <w:szCs w:val="22"/>
        </w:rPr>
        <w:t xml:space="preserve"> kūnelių vėžys. Paprastai šios baltosios ląstelės padeda organizmui kovoti su infekcija. Lėtinė mieloleukemija yra tokia leukemijos forma, kai dažniausiai nenormalios ląstelės (vadinamos mieloidinėmis ląstelėmis), pradeda nekontroliuojamai augti. </w:t>
      </w:r>
    </w:p>
    <w:p w14:paraId="54AC9E9F" w14:textId="77777777" w:rsidR="008A305D" w:rsidRPr="00BA3FBD" w:rsidRDefault="008A305D" w:rsidP="008A305D">
      <w:pPr>
        <w:autoSpaceDE w:val="0"/>
        <w:autoSpaceDN w:val="0"/>
        <w:adjustRightInd w:val="0"/>
        <w:rPr>
          <w:rFonts w:eastAsia="Calibri"/>
          <w:color w:val="000000"/>
          <w:sz w:val="22"/>
          <w:szCs w:val="22"/>
        </w:rPr>
      </w:pPr>
    </w:p>
    <w:p w14:paraId="7D4E0DFA" w14:textId="77777777" w:rsidR="008A305D" w:rsidRPr="00BA3FBD" w:rsidRDefault="008A305D" w:rsidP="008A305D">
      <w:pPr>
        <w:autoSpaceDE w:val="0"/>
        <w:autoSpaceDN w:val="0"/>
        <w:adjustRightInd w:val="0"/>
        <w:rPr>
          <w:rFonts w:eastAsia="Calibri"/>
          <w:color w:val="000000"/>
          <w:sz w:val="22"/>
          <w:szCs w:val="22"/>
        </w:rPr>
      </w:pPr>
      <w:r w:rsidRPr="00BA3FBD">
        <w:rPr>
          <w:rFonts w:eastAsia="Calibri"/>
          <w:color w:val="000000"/>
          <w:sz w:val="22"/>
          <w:szCs w:val="22"/>
        </w:rPr>
        <w:t>Suaugusiesiems Imatinib Actavis Group naudojamas toliausiai pažengusiai ligos fazei (blastinei krizei) gydyti. Vaikams ir paaugliams Imatinib Actavis Group gali būti vartojamas įvairioms ligos stadijoms gydyti (chroniškai, ūminei ir blastinei krizei).</w:t>
      </w:r>
    </w:p>
    <w:p w14:paraId="367B3651" w14:textId="77777777" w:rsidR="008A305D" w:rsidRPr="00BA3FBD" w:rsidRDefault="008A305D" w:rsidP="008A305D">
      <w:pPr>
        <w:autoSpaceDE w:val="0"/>
        <w:autoSpaceDN w:val="0"/>
        <w:adjustRightInd w:val="0"/>
        <w:rPr>
          <w:rFonts w:eastAsia="Calibri"/>
          <w:color w:val="000000"/>
          <w:sz w:val="22"/>
          <w:szCs w:val="22"/>
        </w:rPr>
      </w:pPr>
    </w:p>
    <w:p w14:paraId="2FDF9D10" w14:textId="77777777" w:rsidR="008A305D" w:rsidRPr="00BA3FBD" w:rsidRDefault="008A305D" w:rsidP="008A305D">
      <w:pPr>
        <w:autoSpaceDE w:val="0"/>
        <w:autoSpaceDN w:val="0"/>
        <w:adjustRightInd w:val="0"/>
        <w:rPr>
          <w:rFonts w:eastAsia="Calibri"/>
          <w:b/>
          <w:color w:val="000000"/>
          <w:sz w:val="22"/>
          <w:szCs w:val="22"/>
        </w:rPr>
      </w:pPr>
      <w:r w:rsidRPr="00BA3FBD">
        <w:rPr>
          <w:rFonts w:eastAsia="Calibri"/>
          <w:b/>
          <w:color w:val="000000"/>
          <w:sz w:val="22"/>
          <w:szCs w:val="22"/>
        </w:rPr>
        <w:t>Imatinib Actavis Group taip pat vartojamas</w:t>
      </w:r>
      <w:r>
        <w:rPr>
          <w:rFonts w:eastAsia="Calibri"/>
          <w:b/>
          <w:color w:val="000000"/>
          <w:sz w:val="22"/>
          <w:szCs w:val="22"/>
        </w:rPr>
        <w:t xml:space="preserve"> suaugusiųjų</w:t>
      </w:r>
      <w:r w:rsidRPr="00BA3FBD">
        <w:rPr>
          <w:rFonts w:eastAsia="Calibri"/>
          <w:b/>
          <w:color w:val="000000"/>
          <w:sz w:val="22"/>
          <w:szCs w:val="22"/>
        </w:rPr>
        <w:t>:</w:t>
      </w:r>
    </w:p>
    <w:p w14:paraId="30994E46" w14:textId="77777777" w:rsidR="008A305D" w:rsidRPr="00BA3FBD" w:rsidRDefault="008A305D" w:rsidP="008A305D">
      <w:pPr>
        <w:autoSpaceDE w:val="0"/>
        <w:autoSpaceDN w:val="0"/>
        <w:adjustRightInd w:val="0"/>
        <w:rPr>
          <w:rFonts w:eastAsia="Calibri"/>
          <w:color w:val="000000"/>
          <w:sz w:val="22"/>
          <w:szCs w:val="22"/>
        </w:rPr>
      </w:pPr>
    </w:p>
    <w:p w14:paraId="045C96A5" w14:textId="77777777" w:rsidR="008A305D" w:rsidRPr="00BA3FBD" w:rsidRDefault="008A305D" w:rsidP="008A305D">
      <w:pPr>
        <w:numPr>
          <w:ilvl w:val="0"/>
          <w:numId w:val="1"/>
        </w:numPr>
        <w:autoSpaceDE w:val="0"/>
        <w:autoSpaceDN w:val="0"/>
        <w:adjustRightInd w:val="0"/>
        <w:ind w:left="709" w:hanging="709"/>
        <w:rPr>
          <w:rFonts w:eastAsia="Calibri"/>
          <w:color w:val="000000"/>
          <w:sz w:val="22"/>
          <w:szCs w:val="22"/>
        </w:rPr>
      </w:pPr>
      <w:r w:rsidRPr="00BA3FBD">
        <w:rPr>
          <w:rFonts w:eastAsia="Calibri"/>
          <w:b/>
          <w:bCs/>
          <w:i/>
          <w:iCs/>
          <w:color w:val="000000"/>
          <w:sz w:val="22"/>
          <w:szCs w:val="22"/>
        </w:rPr>
        <w:lastRenderedPageBreak/>
        <w:t xml:space="preserve">Philadelphia </w:t>
      </w:r>
      <w:r w:rsidRPr="00BA3FBD">
        <w:rPr>
          <w:rFonts w:eastAsia="Calibri"/>
          <w:b/>
          <w:bCs/>
          <w:color w:val="000000"/>
          <w:sz w:val="22"/>
          <w:szCs w:val="22"/>
        </w:rPr>
        <w:t xml:space="preserve">chromosomai teigiamai ūminei limfoleukemijai (Ph teigiama ŪLL) gydyti. </w:t>
      </w:r>
      <w:r w:rsidRPr="00BA3FBD">
        <w:rPr>
          <w:rFonts w:eastAsia="Calibri"/>
          <w:color w:val="000000"/>
          <w:sz w:val="22"/>
          <w:szCs w:val="22"/>
        </w:rPr>
        <w:t>Leukemija – tai baltųjų kraujo kūnelių vėžys. Paprastai šios baltosios ląstelės padeda organizmui kovoti su infekcija. Ūminė limfoleukemija yra tokia leukemijos forma, kai tam tikros nenormalios ląstelės (vadinamos limfoblastais) pradeda nekontroliuojamai augti. Imatinib Actavis Group slopina šių ląstelių augimą</w:t>
      </w:r>
      <w:r>
        <w:rPr>
          <w:rFonts w:eastAsia="Calibri"/>
          <w:color w:val="000000"/>
          <w:sz w:val="22"/>
          <w:szCs w:val="22"/>
        </w:rPr>
        <w:t>;</w:t>
      </w:r>
      <w:r w:rsidRPr="00BA3FBD">
        <w:rPr>
          <w:rFonts w:eastAsia="Calibri"/>
          <w:color w:val="000000"/>
          <w:sz w:val="22"/>
          <w:szCs w:val="22"/>
        </w:rPr>
        <w:t xml:space="preserve"> </w:t>
      </w:r>
    </w:p>
    <w:p w14:paraId="6F0BE8CB" w14:textId="77777777" w:rsidR="008A305D" w:rsidRPr="00BA3FBD" w:rsidRDefault="008A305D" w:rsidP="008A305D">
      <w:pPr>
        <w:numPr>
          <w:ilvl w:val="0"/>
          <w:numId w:val="1"/>
        </w:numPr>
        <w:autoSpaceDE w:val="0"/>
        <w:autoSpaceDN w:val="0"/>
        <w:adjustRightInd w:val="0"/>
        <w:ind w:left="709" w:hanging="709"/>
        <w:rPr>
          <w:rFonts w:eastAsia="Calibri"/>
          <w:color w:val="000000"/>
          <w:sz w:val="22"/>
          <w:szCs w:val="22"/>
        </w:rPr>
      </w:pPr>
      <w:r>
        <w:rPr>
          <w:rFonts w:eastAsia="Calibri"/>
          <w:b/>
          <w:bCs/>
          <w:color w:val="000000"/>
          <w:sz w:val="22"/>
          <w:szCs w:val="22"/>
        </w:rPr>
        <w:t>m</w:t>
      </w:r>
      <w:r w:rsidRPr="00BA3FBD">
        <w:rPr>
          <w:rFonts w:eastAsia="Calibri"/>
          <w:b/>
          <w:bCs/>
          <w:color w:val="000000"/>
          <w:sz w:val="22"/>
          <w:szCs w:val="22"/>
        </w:rPr>
        <w:t xml:space="preserve">ielodisplazinėms ar mieloproliferacinėms ligoms (MDS/MPL) gydyti. </w:t>
      </w:r>
      <w:r w:rsidRPr="00BA3FBD">
        <w:rPr>
          <w:rFonts w:eastAsia="Calibri"/>
          <w:color w:val="000000"/>
          <w:sz w:val="22"/>
          <w:szCs w:val="22"/>
        </w:rPr>
        <w:t>Tai kraujo ligos, kurių metu kai kurios kraujo ląstelės pradeda daugintis nekontroliuojamos. Imatinib Actavis Group slopina šių ląstelių augimą, sergant tam tikrais šių ligų potipiais</w:t>
      </w:r>
      <w:r>
        <w:rPr>
          <w:rFonts w:eastAsia="Calibri"/>
          <w:color w:val="000000"/>
          <w:sz w:val="22"/>
          <w:szCs w:val="22"/>
        </w:rPr>
        <w:t>;</w:t>
      </w:r>
      <w:r w:rsidRPr="00BA3FBD">
        <w:rPr>
          <w:rFonts w:eastAsia="Calibri"/>
          <w:color w:val="000000"/>
          <w:sz w:val="22"/>
          <w:szCs w:val="22"/>
        </w:rPr>
        <w:t xml:space="preserve"> </w:t>
      </w:r>
    </w:p>
    <w:p w14:paraId="36EE9E12" w14:textId="77777777" w:rsidR="008A305D" w:rsidRPr="00BA3FBD" w:rsidRDefault="008A305D" w:rsidP="008A305D">
      <w:pPr>
        <w:numPr>
          <w:ilvl w:val="0"/>
          <w:numId w:val="1"/>
        </w:numPr>
        <w:autoSpaceDE w:val="0"/>
        <w:autoSpaceDN w:val="0"/>
        <w:adjustRightInd w:val="0"/>
        <w:ind w:left="709" w:hanging="709"/>
        <w:rPr>
          <w:rFonts w:eastAsia="Calibri"/>
          <w:color w:val="000000"/>
          <w:sz w:val="22"/>
          <w:szCs w:val="22"/>
        </w:rPr>
      </w:pPr>
      <w:r>
        <w:rPr>
          <w:rFonts w:eastAsia="Calibri"/>
          <w:b/>
          <w:bCs/>
          <w:color w:val="000000"/>
          <w:sz w:val="22"/>
          <w:szCs w:val="22"/>
        </w:rPr>
        <w:t>h</w:t>
      </w:r>
      <w:r w:rsidRPr="00BA3FBD">
        <w:rPr>
          <w:rFonts w:eastAsia="Calibri"/>
          <w:b/>
          <w:bCs/>
          <w:color w:val="000000"/>
          <w:sz w:val="22"/>
          <w:szCs w:val="22"/>
        </w:rPr>
        <w:t xml:space="preserve">ipereozinofilijos sindromui (HES) ir (arba) lėtinei eozinofilinei leukemijai (LEL) gydyti. </w:t>
      </w:r>
      <w:r w:rsidRPr="00BA3FBD">
        <w:rPr>
          <w:rFonts w:eastAsia="Calibri"/>
          <w:color w:val="000000"/>
          <w:sz w:val="22"/>
          <w:szCs w:val="22"/>
        </w:rPr>
        <w:t>Tai yra kraujo ligos, kurių metu kai kurios kraujo ląstelės (vadinamos eozinofilais) pradeda daugintis nekontroliuojamos. Imatinib Actavis Group slopina šių ląstelių augimą, sergant tam tikrais šių ligų potipiais</w:t>
      </w:r>
      <w:r>
        <w:rPr>
          <w:rFonts w:eastAsia="Calibri"/>
          <w:color w:val="000000"/>
          <w:sz w:val="22"/>
          <w:szCs w:val="22"/>
        </w:rPr>
        <w:t>;</w:t>
      </w:r>
      <w:r w:rsidRPr="00BA3FBD">
        <w:rPr>
          <w:rFonts w:eastAsia="Calibri"/>
          <w:color w:val="000000"/>
          <w:sz w:val="22"/>
          <w:szCs w:val="22"/>
        </w:rPr>
        <w:t xml:space="preserve"> </w:t>
      </w:r>
    </w:p>
    <w:p w14:paraId="7B32E8C9" w14:textId="77777777" w:rsidR="008A305D" w:rsidRPr="00BA3FBD" w:rsidRDefault="008A305D" w:rsidP="008A305D">
      <w:pPr>
        <w:numPr>
          <w:ilvl w:val="0"/>
          <w:numId w:val="1"/>
        </w:numPr>
        <w:autoSpaceDE w:val="0"/>
        <w:autoSpaceDN w:val="0"/>
        <w:adjustRightInd w:val="0"/>
        <w:rPr>
          <w:rFonts w:eastAsia="Calibri"/>
          <w:color w:val="000000"/>
          <w:sz w:val="22"/>
          <w:szCs w:val="22"/>
        </w:rPr>
      </w:pPr>
      <w:r>
        <w:rPr>
          <w:rFonts w:eastAsia="Calibri"/>
          <w:b/>
          <w:color w:val="000000"/>
          <w:sz w:val="22"/>
          <w:szCs w:val="22"/>
        </w:rPr>
        <w:t>v</w:t>
      </w:r>
      <w:r w:rsidRPr="00BA3FBD">
        <w:rPr>
          <w:rFonts w:eastAsia="Calibri"/>
          <w:b/>
          <w:color w:val="000000"/>
          <w:sz w:val="22"/>
          <w:szCs w:val="22"/>
        </w:rPr>
        <w:t>irškinimo trakto stromos navikui (</w:t>
      </w:r>
      <w:r w:rsidRPr="0045031A">
        <w:rPr>
          <w:rFonts w:eastAsia="Calibri"/>
          <w:b/>
          <w:color w:val="000000"/>
          <w:sz w:val="22"/>
          <w:szCs w:val="22"/>
        </w:rPr>
        <w:t>ang. gast</w:t>
      </w:r>
      <w:r>
        <w:rPr>
          <w:rFonts w:eastAsia="Calibri"/>
          <w:b/>
          <w:color w:val="000000"/>
          <w:sz w:val="22"/>
          <w:szCs w:val="22"/>
        </w:rPr>
        <w:t>rointestinal stromal tumor, GIST</w:t>
      </w:r>
      <w:r w:rsidRPr="00BA3FBD">
        <w:rPr>
          <w:rFonts w:eastAsia="Calibri"/>
          <w:b/>
          <w:color w:val="000000"/>
          <w:sz w:val="22"/>
          <w:szCs w:val="22"/>
        </w:rPr>
        <w:t xml:space="preserve">) </w:t>
      </w:r>
      <w:r w:rsidRPr="00BA3FBD">
        <w:rPr>
          <w:rFonts w:eastAsia="Calibri"/>
          <w:color w:val="000000"/>
          <w:sz w:val="22"/>
          <w:szCs w:val="22"/>
        </w:rPr>
        <w:t>gydyti</w:t>
      </w:r>
      <w:r w:rsidRPr="00BA3FBD">
        <w:rPr>
          <w:rFonts w:eastAsia="Calibri"/>
          <w:b/>
          <w:color w:val="000000"/>
          <w:sz w:val="22"/>
          <w:szCs w:val="22"/>
        </w:rPr>
        <w:t>.</w:t>
      </w:r>
      <w:r w:rsidRPr="00BA3FBD">
        <w:rPr>
          <w:rFonts w:eastAsia="Calibri"/>
          <w:color w:val="000000"/>
          <w:sz w:val="22"/>
          <w:szCs w:val="22"/>
        </w:rPr>
        <w:t xml:space="preserve"> </w:t>
      </w:r>
      <w:r>
        <w:rPr>
          <w:rFonts w:eastAsia="Calibri"/>
          <w:color w:val="000000"/>
          <w:sz w:val="22"/>
          <w:szCs w:val="22"/>
        </w:rPr>
        <w:t>GIST</w:t>
      </w:r>
      <w:r w:rsidRPr="00BA3FBD">
        <w:rPr>
          <w:rFonts w:eastAsia="Calibri"/>
          <w:color w:val="000000"/>
          <w:sz w:val="22"/>
          <w:szCs w:val="22"/>
        </w:rPr>
        <w:t xml:space="preserve"> – tai skrandžio ir žarnyno vėžys. Jis atsiranda dėl nekontroliuojamo šių organų pagalbinio audinio ląstelių augimo</w:t>
      </w:r>
      <w:r>
        <w:rPr>
          <w:rFonts w:eastAsia="Calibri"/>
          <w:color w:val="000000"/>
          <w:sz w:val="22"/>
          <w:szCs w:val="22"/>
        </w:rPr>
        <w:t>;</w:t>
      </w:r>
      <w:r w:rsidRPr="00BA3FBD">
        <w:rPr>
          <w:rFonts w:eastAsia="Calibri"/>
          <w:color w:val="000000"/>
          <w:sz w:val="22"/>
          <w:szCs w:val="22"/>
        </w:rPr>
        <w:t xml:space="preserve"> </w:t>
      </w:r>
    </w:p>
    <w:p w14:paraId="6B195576" w14:textId="77777777" w:rsidR="008A305D" w:rsidRPr="00BA3FBD" w:rsidRDefault="008A305D" w:rsidP="008A305D">
      <w:pPr>
        <w:numPr>
          <w:ilvl w:val="0"/>
          <w:numId w:val="1"/>
        </w:numPr>
        <w:autoSpaceDE w:val="0"/>
        <w:autoSpaceDN w:val="0"/>
        <w:adjustRightInd w:val="0"/>
        <w:ind w:left="709" w:hanging="709"/>
        <w:rPr>
          <w:rFonts w:eastAsia="Calibri"/>
          <w:color w:val="000000"/>
          <w:sz w:val="22"/>
          <w:szCs w:val="22"/>
        </w:rPr>
      </w:pPr>
      <w:r>
        <w:rPr>
          <w:rFonts w:eastAsia="Calibri"/>
          <w:b/>
          <w:bCs/>
          <w:color w:val="000000"/>
          <w:sz w:val="22"/>
          <w:szCs w:val="22"/>
        </w:rPr>
        <w:t>i</w:t>
      </w:r>
      <w:r w:rsidRPr="00BA3FBD">
        <w:rPr>
          <w:rFonts w:eastAsia="Calibri"/>
          <w:b/>
          <w:bCs/>
          <w:color w:val="000000"/>
          <w:sz w:val="22"/>
          <w:szCs w:val="22"/>
        </w:rPr>
        <w:t xml:space="preserve">škiliajai dermatofibrosarkomai </w:t>
      </w:r>
      <w:r w:rsidRPr="00BA3FBD">
        <w:rPr>
          <w:rFonts w:eastAsia="Calibri"/>
          <w:i/>
          <w:iCs/>
          <w:color w:val="000000"/>
          <w:sz w:val="22"/>
          <w:szCs w:val="22"/>
        </w:rPr>
        <w:t xml:space="preserve">(dermatofibrosarcoma protuberans </w:t>
      </w:r>
      <w:r w:rsidRPr="00BA3FBD">
        <w:rPr>
          <w:rFonts w:eastAsia="Calibri"/>
          <w:color w:val="000000"/>
          <w:sz w:val="22"/>
          <w:szCs w:val="22"/>
        </w:rPr>
        <w:t xml:space="preserve">- </w:t>
      </w:r>
      <w:r w:rsidRPr="00BA3FBD">
        <w:rPr>
          <w:rFonts w:eastAsia="Calibri"/>
          <w:b/>
          <w:bCs/>
          <w:color w:val="000000"/>
          <w:sz w:val="22"/>
          <w:szCs w:val="22"/>
        </w:rPr>
        <w:t>DFSP</w:t>
      </w:r>
      <w:r w:rsidRPr="00BA3FBD">
        <w:rPr>
          <w:rFonts w:eastAsia="Calibri"/>
          <w:color w:val="000000"/>
          <w:sz w:val="22"/>
          <w:szCs w:val="22"/>
        </w:rPr>
        <w:t xml:space="preserve">) gydyti. DFSP - tai po oda esančio audinio vėžys, kurio metu kai kurios ląstelės pradeda nekontroliuojamai augti. Imatinib Actavis Group slopina šių ląstelių augimą. </w:t>
      </w:r>
    </w:p>
    <w:p w14:paraId="45F08607" w14:textId="77777777" w:rsidR="008A305D" w:rsidRPr="00BA3FBD" w:rsidRDefault="008A305D" w:rsidP="008A305D">
      <w:pPr>
        <w:autoSpaceDE w:val="0"/>
        <w:autoSpaceDN w:val="0"/>
        <w:adjustRightInd w:val="0"/>
        <w:rPr>
          <w:sz w:val="22"/>
          <w:szCs w:val="22"/>
        </w:rPr>
      </w:pPr>
      <w:r w:rsidRPr="00BA3FBD">
        <w:rPr>
          <w:sz w:val="22"/>
          <w:szCs w:val="22"/>
        </w:rPr>
        <w:t>Toliau šiame lapelyje apibūdinant minėtas ligas bus naudojamos nurodytos santrumpos.</w:t>
      </w:r>
    </w:p>
    <w:p w14:paraId="3752A59E" w14:textId="77777777" w:rsidR="008A305D" w:rsidRPr="00BA3FBD" w:rsidRDefault="008A305D" w:rsidP="008A305D">
      <w:pPr>
        <w:autoSpaceDE w:val="0"/>
        <w:autoSpaceDN w:val="0"/>
        <w:adjustRightInd w:val="0"/>
        <w:rPr>
          <w:rFonts w:eastAsia="Calibri"/>
          <w:color w:val="000000"/>
          <w:sz w:val="22"/>
          <w:szCs w:val="22"/>
        </w:rPr>
      </w:pPr>
    </w:p>
    <w:p w14:paraId="78A86786"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 Jums kiltų kokių nors klausimų apie Imatinib Actavis Group veikimą arba kodėl Jums jį paskyrė, klauskite gydytojo. </w:t>
      </w:r>
    </w:p>
    <w:p w14:paraId="6F988AAB" w14:textId="77777777" w:rsidR="008A305D" w:rsidRPr="00BA3FBD" w:rsidRDefault="008A305D" w:rsidP="008A305D">
      <w:pPr>
        <w:autoSpaceDE w:val="0"/>
        <w:autoSpaceDN w:val="0"/>
        <w:adjustRightInd w:val="0"/>
        <w:rPr>
          <w:rFonts w:eastAsia="Calibri"/>
          <w:sz w:val="22"/>
          <w:szCs w:val="22"/>
        </w:rPr>
      </w:pPr>
    </w:p>
    <w:p w14:paraId="4A0CC03A" w14:textId="77777777" w:rsidR="008A305D" w:rsidRPr="00BA3FBD" w:rsidRDefault="008A305D" w:rsidP="008A305D">
      <w:pPr>
        <w:autoSpaceDE w:val="0"/>
        <w:autoSpaceDN w:val="0"/>
        <w:adjustRightInd w:val="0"/>
        <w:rPr>
          <w:rFonts w:eastAsia="Calibri"/>
          <w:sz w:val="22"/>
          <w:szCs w:val="22"/>
        </w:rPr>
      </w:pPr>
    </w:p>
    <w:p w14:paraId="66373F85" w14:textId="77777777" w:rsidR="008A305D" w:rsidRPr="00BA3FBD" w:rsidRDefault="008A305D" w:rsidP="008A305D">
      <w:pPr>
        <w:pStyle w:val="Sraopastraipa"/>
        <w:numPr>
          <w:ilvl w:val="0"/>
          <w:numId w:val="3"/>
        </w:numPr>
        <w:autoSpaceDE w:val="0"/>
        <w:autoSpaceDN w:val="0"/>
        <w:adjustRightInd w:val="0"/>
        <w:ind w:hanging="720"/>
        <w:rPr>
          <w:rFonts w:eastAsia="Calibri"/>
          <w:b/>
          <w:sz w:val="22"/>
          <w:szCs w:val="22"/>
        </w:rPr>
      </w:pPr>
      <w:r w:rsidRPr="00BA3FBD">
        <w:rPr>
          <w:rFonts w:eastAsia="Calibri"/>
          <w:b/>
          <w:bCs/>
          <w:sz w:val="22"/>
          <w:szCs w:val="22"/>
        </w:rPr>
        <w:t xml:space="preserve">Kas žinotina prieš vartojant Imatinib Actavis Group </w:t>
      </w:r>
    </w:p>
    <w:p w14:paraId="708CB1F9" w14:textId="77777777" w:rsidR="008A305D" w:rsidRPr="00BA3FBD" w:rsidRDefault="008A305D" w:rsidP="008A305D">
      <w:pPr>
        <w:autoSpaceDE w:val="0"/>
        <w:autoSpaceDN w:val="0"/>
        <w:adjustRightInd w:val="0"/>
        <w:rPr>
          <w:rFonts w:eastAsia="Calibri"/>
          <w:sz w:val="22"/>
          <w:szCs w:val="22"/>
        </w:rPr>
      </w:pPr>
    </w:p>
    <w:p w14:paraId="6094836F"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Imatinib Actavis Group Jums paskirs tik gydytojas, turintis kraujo vėžių arba solidinių navikų gydymo vaistais patirties. </w:t>
      </w:r>
    </w:p>
    <w:p w14:paraId="3C831B68" w14:textId="77777777" w:rsidR="008A305D" w:rsidRPr="00BA3FBD" w:rsidRDefault="008A305D" w:rsidP="008A305D">
      <w:pPr>
        <w:autoSpaceDE w:val="0"/>
        <w:autoSpaceDN w:val="0"/>
        <w:adjustRightInd w:val="0"/>
        <w:rPr>
          <w:rFonts w:eastAsia="Calibri"/>
          <w:sz w:val="22"/>
          <w:szCs w:val="22"/>
        </w:rPr>
      </w:pPr>
    </w:p>
    <w:p w14:paraId="0CBF35B5"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Tiksliai laikykitės visų gydytojo nurodymų, net jei jie skiriasi nuo bendrosios šiame lapelyje esančios informacijos. </w:t>
      </w:r>
    </w:p>
    <w:p w14:paraId="1E7C1AD3" w14:textId="77777777" w:rsidR="008A305D" w:rsidRPr="00BA3FBD" w:rsidRDefault="008A305D" w:rsidP="008A305D">
      <w:pPr>
        <w:autoSpaceDE w:val="0"/>
        <w:autoSpaceDN w:val="0"/>
        <w:adjustRightInd w:val="0"/>
        <w:rPr>
          <w:rFonts w:eastAsia="Calibri"/>
          <w:b/>
          <w:bCs/>
          <w:sz w:val="22"/>
          <w:szCs w:val="22"/>
        </w:rPr>
      </w:pPr>
    </w:p>
    <w:p w14:paraId="1A1DE1BA"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Imatinib Actavis Group vartoti negalima: </w:t>
      </w:r>
    </w:p>
    <w:p w14:paraId="07696495" w14:textId="77777777" w:rsidR="008A305D" w:rsidRPr="00BA3FBD" w:rsidRDefault="008A305D" w:rsidP="008A305D">
      <w:pPr>
        <w:pStyle w:val="Sraopastraipa"/>
        <w:numPr>
          <w:ilvl w:val="0"/>
          <w:numId w:val="1"/>
        </w:numPr>
        <w:autoSpaceDE w:val="0"/>
        <w:autoSpaceDN w:val="0"/>
        <w:adjustRightInd w:val="0"/>
        <w:ind w:left="709" w:hanging="709"/>
        <w:rPr>
          <w:rFonts w:eastAsia="Calibri"/>
          <w:sz w:val="22"/>
          <w:szCs w:val="22"/>
        </w:rPr>
      </w:pPr>
      <w:r w:rsidRPr="00BA3FBD">
        <w:rPr>
          <w:rFonts w:eastAsia="Calibri"/>
          <w:sz w:val="22"/>
          <w:szCs w:val="22"/>
        </w:rPr>
        <w:t xml:space="preserve">jeigu yra alergija imatinibui arba bet kuriai pagalbinei šio vaisto medžiagai (jos išvardytos 6 skyriuje). </w:t>
      </w:r>
    </w:p>
    <w:p w14:paraId="71444A98"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 ši sąlyga Jums tinka, </w:t>
      </w:r>
      <w:r w:rsidRPr="00BA3FBD">
        <w:rPr>
          <w:rFonts w:eastAsia="Calibri"/>
          <w:b/>
          <w:bCs/>
          <w:sz w:val="22"/>
          <w:szCs w:val="22"/>
        </w:rPr>
        <w:t xml:space="preserve">nevartokite Imatinib Actavis Group ir apie tai pasakykite gydytojui. </w:t>
      </w:r>
    </w:p>
    <w:p w14:paraId="63EE9856" w14:textId="77777777" w:rsidR="008A305D" w:rsidRPr="00BA3FBD" w:rsidRDefault="008A305D" w:rsidP="008A305D">
      <w:pPr>
        <w:autoSpaceDE w:val="0"/>
        <w:autoSpaceDN w:val="0"/>
        <w:adjustRightInd w:val="0"/>
        <w:rPr>
          <w:rFonts w:eastAsia="Calibri"/>
          <w:sz w:val="22"/>
          <w:szCs w:val="22"/>
        </w:rPr>
      </w:pPr>
    </w:p>
    <w:p w14:paraId="53570377"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Jeigu manote, kad galite būti alergiškas, bet nesate tikras, kreipkitės patarimo į gydytoją. </w:t>
      </w:r>
    </w:p>
    <w:p w14:paraId="4C2CDF78" w14:textId="77777777" w:rsidR="008A305D" w:rsidRPr="00BA3FBD" w:rsidRDefault="008A305D" w:rsidP="008A305D">
      <w:pPr>
        <w:autoSpaceDE w:val="0"/>
        <w:autoSpaceDN w:val="0"/>
        <w:adjustRightInd w:val="0"/>
        <w:rPr>
          <w:rFonts w:eastAsia="Calibri"/>
          <w:b/>
          <w:bCs/>
          <w:sz w:val="22"/>
          <w:szCs w:val="22"/>
        </w:rPr>
      </w:pPr>
    </w:p>
    <w:p w14:paraId="7085E65E"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lastRenderedPageBreak/>
        <w:t xml:space="preserve">Įspėjimai ir atsargumo priemonės </w:t>
      </w:r>
    </w:p>
    <w:p w14:paraId="5BE393F1"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Pasitarkite su gydytoju,</w:t>
      </w:r>
      <w:r w:rsidR="00EF2EAE">
        <w:rPr>
          <w:rFonts w:eastAsia="Calibri"/>
          <w:sz w:val="22"/>
          <w:szCs w:val="22"/>
        </w:rPr>
        <w:t xml:space="preserve"> vaistininku arba slaugytoju,</w:t>
      </w:r>
      <w:r w:rsidRPr="00BA3FBD">
        <w:rPr>
          <w:rFonts w:eastAsia="Calibri"/>
          <w:sz w:val="22"/>
          <w:szCs w:val="22"/>
        </w:rPr>
        <w:t xml:space="preserve"> prieš pradėdami vartoti Imatinib Actavis Group: </w:t>
      </w:r>
    </w:p>
    <w:p w14:paraId="44AF5EB1"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w:t>
      </w:r>
      <w:r w:rsidRPr="00BA3FBD">
        <w:rPr>
          <w:rFonts w:eastAsia="Calibri"/>
          <w:sz w:val="22"/>
          <w:szCs w:val="22"/>
        </w:rPr>
        <w:tab/>
        <w:t xml:space="preserve">jeigu Jums yra ar kada nors yra buvę kepenų, inkstų ar širdies sutrikimų, </w:t>
      </w:r>
    </w:p>
    <w:p w14:paraId="16D0737C" w14:textId="77777777" w:rsidR="008A305D" w:rsidRDefault="008A305D" w:rsidP="008A305D">
      <w:pPr>
        <w:autoSpaceDE w:val="0"/>
        <w:autoSpaceDN w:val="0"/>
        <w:adjustRightInd w:val="0"/>
        <w:rPr>
          <w:rFonts w:eastAsia="Calibri"/>
          <w:sz w:val="22"/>
          <w:szCs w:val="22"/>
        </w:rPr>
      </w:pPr>
      <w:r w:rsidRPr="00BA3FBD">
        <w:rPr>
          <w:rFonts w:eastAsia="Calibri"/>
          <w:sz w:val="22"/>
          <w:szCs w:val="22"/>
        </w:rPr>
        <w:t>-</w:t>
      </w:r>
      <w:r w:rsidRPr="00BA3FBD">
        <w:rPr>
          <w:rFonts w:eastAsia="Calibri"/>
          <w:sz w:val="22"/>
          <w:szCs w:val="22"/>
        </w:rPr>
        <w:tab/>
        <w:t xml:space="preserve">jeigu dėl pašalintos skydliaukės vartojate vaistinio preparato levotiroksino. </w:t>
      </w:r>
    </w:p>
    <w:p w14:paraId="55EB24F3" w14:textId="77777777" w:rsidR="00EF2EAE" w:rsidRPr="00BA3FBD" w:rsidRDefault="00EF2EAE" w:rsidP="009E05E3">
      <w:pPr>
        <w:autoSpaceDE w:val="0"/>
        <w:autoSpaceDN w:val="0"/>
        <w:adjustRightInd w:val="0"/>
        <w:ind w:left="1296" w:hanging="1290"/>
        <w:rPr>
          <w:rFonts w:eastAsia="Calibri"/>
          <w:sz w:val="22"/>
          <w:szCs w:val="22"/>
        </w:rPr>
      </w:pPr>
      <w:r w:rsidRPr="00EF2EAE">
        <w:rPr>
          <w:rFonts w:eastAsia="Calibri"/>
          <w:sz w:val="22"/>
          <w:szCs w:val="22"/>
        </w:rPr>
        <w:t>-</w:t>
      </w:r>
      <w:r w:rsidRPr="00EF2EAE">
        <w:rPr>
          <w:rFonts w:eastAsia="Calibri"/>
          <w:sz w:val="22"/>
          <w:szCs w:val="22"/>
        </w:rPr>
        <w:tab/>
        <w:t>jums kada nors buvo diagnozuota hepatito B infekcija arba šiuo metu galite būti užsikrėtę šiuo virusu. Tai būtina, nes Imatinib Actavis Group gali vėl suaktyvinti hepatito B virusą, o kai kuriais atvejais tai gali būti mirtina. Prieš pradedant gydymą, gydytojas atidžiai patikrins, ar pacientas neturi šios infekcijos požymių.</w:t>
      </w:r>
    </w:p>
    <w:p w14:paraId="38F5745D"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 bet kuri šių sąlygų Jums tinka, </w:t>
      </w:r>
      <w:r w:rsidRPr="00BA3FBD">
        <w:rPr>
          <w:rFonts w:eastAsia="Calibri"/>
          <w:b/>
          <w:bCs/>
          <w:sz w:val="22"/>
          <w:szCs w:val="22"/>
        </w:rPr>
        <w:t>prieš pradėdami vartoti Imatinib Actavis Group, pasakykite gydytojui</w:t>
      </w:r>
      <w:r w:rsidRPr="00BA3FBD">
        <w:rPr>
          <w:rFonts w:eastAsia="Calibri"/>
          <w:sz w:val="22"/>
          <w:szCs w:val="22"/>
        </w:rPr>
        <w:t xml:space="preserve">. </w:t>
      </w:r>
    </w:p>
    <w:p w14:paraId="3B7DF7D1" w14:textId="77777777" w:rsidR="008A305D" w:rsidRPr="00BA3FBD" w:rsidRDefault="008A305D" w:rsidP="008A305D">
      <w:pPr>
        <w:autoSpaceDE w:val="0"/>
        <w:autoSpaceDN w:val="0"/>
        <w:adjustRightInd w:val="0"/>
        <w:rPr>
          <w:rFonts w:eastAsia="Calibri"/>
          <w:b/>
          <w:bCs/>
          <w:sz w:val="22"/>
          <w:szCs w:val="22"/>
        </w:rPr>
      </w:pPr>
    </w:p>
    <w:p w14:paraId="6A98D335"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Imatinib Actavis Group vartojimo metu nedelsdami kreipkitės į gydytoją, </w:t>
      </w:r>
      <w:r w:rsidRPr="00BA3FBD">
        <w:rPr>
          <w:rFonts w:eastAsia="Calibri"/>
          <w:sz w:val="22"/>
          <w:szCs w:val="22"/>
        </w:rPr>
        <w:t xml:space="preserve">jeigu Jums labai greitai padidėjo kūno svoris. Dėl Imatinib Actavis Group poveikio Jūsų kūne gali kauptis skysčių (pasireikšti sunkus skysčių susilaikymas). </w:t>
      </w:r>
    </w:p>
    <w:p w14:paraId="03EB80A2" w14:textId="77777777" w:rsidR="008A305D" w:rsidRPr="00BA3FBD" w:rsidRDefault="008A305D" w:rsidP="008A305D">
      <w:pPr>
        <w:autoSpaceDE w:val="0"/>
        <w:autoSpaceDN w:val="0"/>
        <w:adjustRightInd w:val="0"/>
        <w:rPr>
          <w:rFonts w:eastAsia="Calibri"/>
          <w:sz w:val="22"/>
          <w:szCs w:val="22"/>
        </w:rPr>
      </w:pPr>
    </w:p>
    <w:p w14:paraId="7CB27B4C"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Jums vartojant Imatinib Actavis Group, gydytojas reguliariai tikrins, ar vaistinis preparatas veikia. Jums taip pat reguliariai tirs kraują ir kūno svorį. </w:t>
      </w:r>
    </w:p>
    <w:p w14:paraId="66311881" w14:textId="77777777" w:rsidR="008A305D" w:rsidRPr="00BA3FBD" w:rsidRDefault="008A305D" w:rsidP="008A305D">
      <w:pPr>
        <w:autoSpaceDE w:val="0"/>
        <w:autoSpaceDN w:val="0"/>
        <w:adjustRightInd w:val="0"/>
        <w:rPr>
          <w:rFonts w:eastAsia="Calibri"/>
          <w:b/>
          <w:bCs/>
          <w:sz w:val="22"/>
          <w:szCs w:val="22"/>
        </w:rPr>
      </w:pPr>
    </w:p>
    <w:p w14:paraId="0485FD7C"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Vaikams ir paaugliams </w:t>
      </w:r>
    </w:p>
    <w:p w14:paraId="235A31C0"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Imatinib Actavis Group taip pat gydomi vaikai, sergantys LML. Vartojimo patirties vaikams, jaunesniems kaip 2 metų ir sergantiems LML, nėra. </w:t>
      </w:r>
      <w:r w:rsidRPr="00BA3FBD">
        <w:rPr>
          <w:sz w:val="22"/>
          <w:szCs w:val="22"/>
        </w:rPr>
        <w:t xml:space="preserve">Vartojimo patirties vaikams ir paaugliams, sergantiems Ph teigiama ŪLL, yra nedaug, o vartojimo patirties vaikams ir paaugliams, sergantiems MDS/MPL, DFSP, </w:t>
      </w:r>
      <w:r>
        <w:rPr>
          <w:sz w:val="22"/>
          <w:szCs w:val="22"/>
        </w:rPr>
        <w:t>GIST</w:t>
      </w:r>
      <w:r w:rsidRPr="00BA3FBD">
        <w:rPr>
          <w:sz w:val="22"/>
          <w:szCs w:val="22"/>
        </w:rPr>
        <w:t xml:space="preserve"> ir HES/LEL, yra labai nedaug. </w:t>
      </w:r>
      <w:r w:rsidRPr="00BA3FBD">
        <w:rPr>
          <w:rFonts w:eastAsia="Calibri"/>
          <w:sz w:val="22"/>
          <w:szCs w:val="22"/>
        </w:rPr>
        <w:t xml:space="preserve">Kai kurių vaikų ir paauglių, vartojančių Imatinib Actavis Group, augimas gali būti lėtesnis nei įprasta. Todėl gydytojas tikrins augimą įprastų vizitų metu. </w:t>
      </w:r>
    </w:p>
    <w:p w14:paraId="563352F6" w14:textId="77777777" w:rsidR="008A305D" w:rsidRPr="00BA3FBD" w:rsidRDefault="008A305D" w:rsidP="008A305D">
      <w:pPr>
        <w:autoSpaceDE w:val="0"/>
        <w:autoSpaceDN w:val="0"/>
        <w:adjustRightInd w:val="0"/>
        <w:rPr>
          <w:rFonts w:eastAsia="Calibri"/>
          <w:b/>
          <w:sz w:val="22"/>
          <w:szCs w:val="22"/>
        </w:rPr>
      </w:pPr>
    </w:p>
    <w:p w14:paraId="0A029AC3" w14:textId="77777777" w:rsidR="008A305D" w:rsidRPr="00BA3FBD" w:rsidRDefault="008A305D" w:rsidP="008A305D">
      <w:pPr>
        <w:autoSpaceDE w:val="0"/>
        <w:autoSpaceDN w:val="0"/>
        <w:adjustRightInd w:val="0"/>
        <w:rPr>
          <w:rFonts w:eastAsia="Calibri"/>
          <w:b/>
          <w:sz w:val="22"/>
          <w:szCs w:val="22"/>
        </w:rPr>
      </w:pPr>
      <w:r w:rsidRPr="00BA3FBD">
        <w:rPr>
          <w:rFonts w:eastAsia="Calibri"/>
          <w:b/>
          <w:sz w:val="22"/>
          <w:szCs w:val="22"/>
        </w:rPr>
        <w:t>Kiti vaistai ir Imatinib Actavis Group</w:t>
      </w:r>
    </w:p>
    <w:p w14:paraId="20F7D3D4"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Jeigu vartojate ar neseniai vartojote kitų vaistų arba dėl to nesate tikri, įskaitant įsigytus be recepto (tokių kaip paracetamolio) ir taip pat augalinių (tokių kaip jonažolės preparatų), apie tai pasakykite gydytojui arba vaistininkui. Kai kurie vaistiniai preparatai vartojami kartu gali sąveikauti su Imatinib Actavis Group. Jie gali padidinti arba sumažinti Imatinib Actavis Group poveikį, arba padidindami nepageidaujamų reiškinių pasireiškimo dažnį, arba mažindami Imatinib Actavis Group veiksmingumą. Imatinib Actavis Group gali panašiai veikti kai kuriuos kitus vaistinius preparatus. </w:t>
      </w:r>
    </w:p>
    <w:p w14:paraId="5E862D34" w14:textId="77777777" w:rsidR="008A305D" w:rsidRPr="00BA3FBD" w:rsidRDefault="008A305D" w:rsidP="008A305D">
      <w:pPr>
        <w:autoSpaceDE w:val="0"/>
        <w:autoSpaceDN w:val="0"/>
        <w:adjustRightInd w:val="0"/>
        <w:rPr>
          <w:rFonts w:eastAsia="Calibri"/>
          <w:b/>
          <w:sz w:val="22"/>
          <w:szCs w:val="22"/>
        </w:rPr>
      </w:pPr>
      <w:r w:rsidRPr="00BA3FBD">
        <w:rPr>
          <w:rFonts w:eastAsia="Calibri"/>
          <w:sz w:val="22"/>
          <w:szCs w:val="22"/>
        </w:rPr>
        <w:t>Pasakykite gydytojui, jei vartojate vaistų, kurie apsaugo nuo kraujo krešulių susidarymo.</w:t>
      </w:r>
    </w:p>
    <w:p w14:paraId="5C80FEC7" w14:textId="77777777" w:rsidR="008A305D" w:rsidRPr="00BA3FBD" w:rsidRDefault="008A305D" w:rsidP="008A305D">
      <w:pPr>
        <w:autoSpaceDE w:val="0"/>
        <w:autoSpaceDN w:val="0"/>
        <w:adjustRightInd w:val="0"/>
        <w:rPr>
          <w:rFonts w:eastAsia="Calibri"/>
          <w:sz w:val="22"/>
          <w:szCs w:val="22"/>
        </w:rPr>
      </w:pPr>
    </w:p>
    <w:p w14:paraId="5BBAFECB"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Nėštumas, žindymo laikotarpis ir vaisingumas </w:t>
      </w:r>
    </w:p>
    <w:p w14:paraId="2FCD9E2B" w14:textId="77777777" w:rsidR="008A305D" w:rsidRPr="00BA3FBD" w:rsidRDefault="008A305D" w:rsidP="008A305D">
      <w:pPr>
        <w:autoSpaceDE w:val="0"/>
        <w:autoSpaceDN w:val="0"/>
        <w:adjustRightInd w:val="0"/>
        <w:spacing w:after="23"/>
        <w:ind w:left="720" w:hanging="720"/>
        <w:rPr>
          <w:rFonts w:eastAsia="Calibri"/>
          <w:sz w:val="22"/>
          <w:szCs w:val="22"/>
        </w:rPr>
      </w:pPr>
      <w:r w:rsidRPr="00BA3FBD">
        <w:rPr>
          <w:rFonts w:eastAsia="Calibri"/>
          <w:sz w:val="22"/>
          <w:szCs w:val="22"/>
        </w:rPr>
        <w:lastRenderedPageBreak/>
        <w:t>-</w:t>
      </w:r>
      <w:r w:rsidRPr="00BA3FBD">
        <w:rPr>
          <w:rFonts w:eastAsia="Calibri"/>
          <w:sz w:val="22"/>
          <w:szCs w:val="22"/>
        </w:rPr>
        <w:tab/>
        <w:t xml:space="preserve">Jeigu esate nėščia, žindote kūdikį, manote, kad galbūt esate nėščia arba planuojate pastoti, tai prieš vartodama šį vaistą pasitarkite su gydytoju. </w:t>
      </w:r>
    </w:p>
    <w:p w14:paraId="7E39AB16" w14:textId="77777777" w:rsidR="008A305D" w:rsidRPr="00BA3FBD" w:rsidRDefault="008A305D" w:rsidP="008A305D">
      <w:pPr>
        <w:autoSpaceDE w:val="0"/>
        <w:autoSpaceDN w:val="0"/>
        <w:adjustRightInd w:val="0"/>
        <w:spacing w:after="23"/>
        <w:ind w:left="720" w:hanging="720"/>
        <w:rPr>
          <w:rFonts w:eastAsia="Calibri"/>
          <w:sz w:val="22"/>
          <w:szCs w:val="22"/>
        </w:rPr>
      </w:pPr>
      <w:r w:rsidRPr="00BA3FBD">
        <w:rPr>
          <w:rFonts w:eastAsia="Calibri"/>
          <w:sz w:val="22"/>
          <w:szCs w:val="22"/>
        </w:rPr>
        <w:t>-</w:t>
      </w:r>
      <w:r w:rsidRPr="00BA3FBD">
        <w:rPr>
          <w:rFonts w:eastAsia="Calibri"/>
          <w:sz w:val="22"/>
          <w:szCs w:val="22"/>
        </w:rPr>
        <w:tab/>
        <w:t xml:space="preserve">Imatinib Actavis Group nerekomenduojama vartoti nėščiosioms, nebent neišvengiama, nes tai gali pakenkti Jūsų kūdikiui. Gydytojas supažindins Jus su galima Imatinib Actavis Group vartojimo nėštumo laikotarpiu rizika. </w:t>
      </w:r>
    </w:p>
    <w:p w14:paraId="05657889" w14:textId="77777777" w:rsidR="008A305D" w:rsidRPr="00BA3FBD" w:rsidRDefault="008A305D" w:rsidP="008A305D">
      <w:pPr>
        <w:autoSpaceDE w:val="0"/>
        <w:autoSpaceDN w:val="0"/>
        <w:adjustRightInd w:val="0"/>
        <w:spacing w:after="23"/>
        <w:ind w:left="720" w:hanging="720"/>
        <w:rPr>
          <w:rFonts w:eastAsia="Calibri"/>
          <w:sz w:val="22"/>
          <w:szCs w:val="22"/>
        </w:rPr>
      </w:pPr>
      <w:r w:rsidRPr="00BA3FBD">
        <w:rPr>
          <w:rFonts w:eastAsia="Calibri"/>
          <w:sz w:val="22"/>
          <w:szCs w:val="22"/>
        </w:rPr>
        <w:t>-</w:t>
      </w:r>
      <w:r w:rsidRPr="00BA3FBD">
        <w:rPr>
          <w:rFonts w:eastAsia="Calibri"/>
          <w:sz w:val="22"/>
          <w:szCs w:val="22"/>
        </w:rPr>
        <w:tab/>
        <w:t xml:space="preserve">Moterims, galinčioms pastoti, gydantis šiuo vaistu rekomenduojama taikyti efektyvias kontracepcijos priemones. </w:t>
      </w:r>
    </w:p>
    <w:p w14:paraId="20CDD7E5" w14:textId="77777777" w:rsidR="008A305D" w:rsidRPr="00BA3FBD" w:rsidRDefault="008A305D" w:rsidP="008A305D">
      <w:pPr>
        <w:autoSpaceDE w:val="0"/>
        <w:autoSpaceDN w:val="0"/>
        <w:adjustRightInd w:val="0"/>
        <w:spacing w:after="23"/>
        <w:rPr>
          <w:rFonts w:eastAsia="Calibri"/>
          <w:sz w:val="22"/>
          <w:szCs w:val="22"/>
        </w:rPr>
      </w:pPr>
      <w:r w:rsidRPr="00BA3FBD">
        <w:rPr>
          <w:rFonts w:eastAsia="Calibri"/>
          <w:sz w:val="22"/>
          <w:szCs w:val="22"/>
        </w:rPr>
        <w:t>-</w:t>
      </w:r>
      <w:r w:rsidRPr="00BA3FBD">
        <w:rPr>
          <w:rFonts w:eastAsia="Calibri"/>
          <w:sz w:val="22"/>
          <w:szCs w:val="22"/>
        </w:rPr>
        <w:tab/>
        <w:t xml:space="preserve">Vartodama Imatinib Actavis Group, kūdikio nežindykite. </w:t>
      </w:r>
    </w:p>
    <w:p w14:paraId="13E0218B" w14:textId="77777777" w:rsidR="008A305D" w:rsidRPr="00BA3FBD" w:rsidRDefault="008A305D" w:rsidP="008A305D">
      <w:pPr>
        <w:autoSpaceDE w:val="0"/>
        <w:autoSpaceDN w:val="0"/>
        <w:adjustRightInd w:val="0"/>
        <w:ind w:left="720" w:hanging="720"/>
        <w:rPr>
          <w:rFonts w:eastAsia="Calibri"/>
          <w:sz w:val="22"/>
          <w:szCs w:val="22"/>
        </w:rPr>
      </w:pPr>
      <w:r w:rsidRPr="00BA3FBD">
        <w:rPr>
          <w:rFonts w:eastAsia="Calibri"/>
          <w:sz w:val="22"/>
          <w:szCs w:val="22"/>
        </w:rPr>
        <w:t>-</w:t>
      </w:r>
      <w:r w:rsidRPr="00BA3FBD">
        <w:rPr>
          <w:rFonts w:eastAsia="Calibri"/>
          <w:sz w:val="22"/>
          <w:szCs w:val="22"/>
        </w:rPr>
        <w:tab/>
        <w:t xml:space="preserve">Pacientai Imatinib Actavis Group vartojimo laikotarpiu dėl savo vaisingumo turi konsultuotis su gydytoju. </w:t>
      </w:r>
    </w:p>
    <w:p w14:paraId="18739190" w14:textId="77777777" w:rsidR="008A305D" w:rsidRPr="00BA3FBD" w:rsidRDefault="008A305D" w:rsidP="008A305D">
      <w:pPr>
        <w:autoSpaceDE w:val="0"/>
        <w:autoSpaceDN w:val="0"/>
        <w:adjustRightInd w:val="0"/>
        <w:rPr>
          <w:rFonts w:eastAsia="Calibri"/>
          <w:sz w:val="22"/>
          <w:szCs w:val="22"/>
        </w:rPr>
      </w:pPr>
    </w:p>
    <w:p w14:paraId="24A40067"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Vairavimas ir mechanizmų valdymas </w:t>
      </w:r>
    </w:p>
    <w:p w14:paraId="42B04702"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Vartodami šio vaisto galite jausti galvos svaigimą ar mieguistumą arba Jums gali pasireikšti neryškus matymas. Jeigu taip atsitiktų, nevairuokite ir nevaldykite bet kokios rūšies mechanizmų, kol vėl nepasijusite gerai. </w:t>
      </w:r>
    </w:p>
    <w:p w14:paraId="7FA0FE86" w14:textId="77777777" w:rsidR="008A305D" w:rsidRPr="00BA3FBD" w:rsidRDefault="008A305D" w:rsidP="008A305D">
      <w:pPr>
        <w:autoSpaceDE w:val="0"/>
        <w:autoSpaceDN w:val="0"/>
        <w:adjustRightInd w:val="0"/>
        <w:rPr>
          <w:rFonts w:eastAsia="Calibri"/>
          <w:sz w:val="22"/>
          <w:szCs w:val="22"/>
        </w:rPr>
      </w:pPr>
    </w:p>
    <w:p w14:paraId="5E5162F9" w14:textId="77777777" w:rsidR="008A305D" w:rsidRPr="00BA3FBD" w:rsidRDefault="008A305D" w:rsidP="008A305D">
      <w:pPr>
        <w:autoSpaceDE w:val="0"/>
        <w:autoSpaceDN w:val="0"/>
        <w:adjustRightInd w:val="0"/>
        <w:rPr>
          <w:rFonts w:eastAsia="Calibri"/>
          <w:b/>
          <w:sz w:val="22"/>
          <w:szCs w:val="22"/>
        </w:rPr>
      </w:pPr>
      <w:r w:rsidRPr="00BA3FBD">
        <w:rPr>
          <w:rFonts w:eastAsia="Calibri"/>
          <w:b/>
          <w:sz w:val="22"/>
          <w:szCs w:val="22"/>
        </w:rPr>
        <w:t>Imatinib Actavis Group sudėtyje yra laktozės</w:t>
      </w:r>
    </w:p>
    <w:p w14:paraId="734ED3E1"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Jei gydytojas Jums kada nors yra sakęs, kad Jūs netoleruojate angliavandenių, kreipkitės į savo gydytoją prieš pradėdamas vartoti šį vaistą.</w:t>
      </w:r>
    </w:p>
    <w:p w14:paraId="32234E62" w14:textId="77777777" w:rsidR="008A305D" w:rsidRPr="00BA3FBD" w:rsidRDefault="008A305D" w:rsidP="008A305D">
      <w:pPr>
        <w:autoSpaceDE w:val="0"/>
        <w:autoSpaceDN w:val="0"/>
        <w:adjustRightInd w:val="0"/>
        <w:rPr>
          <w:rFonts w:eastAsia="Calibri"/>
          <w:sz w:val="22"/>
          <w:szCs w:val="22"/>
        </w:rPr>
      </w:pPr>
    </w:p>
    <w:p w14:paraId="0F82D1CF" w14:textId="77777777" w:rsidR="008A305D" w:rsidRPr="00BA3FBD" w:rsidRDefault="008A305D" w:rsidP="008A305D">
      <w:pPr>
        <w:autoSpaceDE w:val="0"/>
        <w:autoSpaceDN w:val="0"/>
        <w:adjustRightInd w:val="0"/>
        <w:rPr>
          <w:rFonts w:eastAsia="Calibri"/>
          <w:sz w:val="22"/>
          <w:szCs w:val="22"/>
        </w:rPr>
      </w:pPr>
    </w:p>
    <w:p w14:paraId="28B79B43" w14:textId="77777777" w:rsidR="008A305D" w:rsidRPr="00BA3FBD" w:rsidRDefault="008A305D" w:rsidP="008A305D">
      <w:pPr>
        <w:pStyle w:val="Sraopastraipa"/>
        <w:numPr>
          <w:ilvl w:val="0"/>
          <w:numId w:val="3"/>
        </w:numPr>
        <w:autoSpaceDE w:val="0"/>
        <w:autoSpaceDN w:val="0"/>
        <w:adjustRightInd w:val="0"/>
        <w:ind w:hanging="720"/>
        <w:rPr>
          <w:rFonts w:eastAsia="Calibri"/>
          <w:b/>
          <w:bCs/>
          <w:sz w:val="22"/>
          <w:szCs w:val="22"/>
        </w:rPr>
      </w:pPr>
      <w:r w:rsidRPr="00BA3FBD">
        <w:rPr>
          <w:rFonts w:eastAsia="Calibri"/>
          <w:b/>
          <w:bCs/>
          <w:sz w:val="22"/>
          <w:szCs w:val="22"/>
        </w:rPr>
        <w:t xml:space="preserve">Kaip vartoti Imatinib Actavis Group </w:t>
      </w:r>
    </w:p>
    <w:p w14:paraId="26CC217F" w14:textId="77777777" w:rsidR="008A305D" w:rsidRPr="00BA3FBD" w:rsidRDefault="008A305D" w:rsidP="008A305D">
      <w:pPr>
        <w:autoSpaceDE w:val="0"/>
        <w:autoSpaceDN w:val="0"/>
        <w:adjustRightInd w:val="0"/>
        <w:rPr>
          <w:rFonts w:eastAsia="Calibri"/>
          <w:sz w:val="22"/>
          <w:szCs w:val="22"/>
        </w:rPr>
      </w:pPr>
    </w:p>
    <w:p w14:paraId="002DDBE8"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Jūsų gydytojas Jums paskyrė Imatinib Actavis Group, kadangi sergate sunkia liga. Imatinib Actavis Group gali Jums padėti kovojant su šia būkle. </w:t>
      </w:r>
    </w:p>
    <w:p w14:paraId="7A5A13CB" w14:textId="77777777" w:rsidR="008A305D" w:rsidRPr="00BA3FBD" w:rsidRDefault="008A305D" w:rsidP="008A305D">
      <w:pPr>
        <w:autoSpaceDE w:val="0"/>
        <w:autoSpaceDN w:val="0"/>
        <w:adjustRightInd w:val="0"/>
        <w:rPr>
          <w:rFonts w:eastAsia="Calibri"/>
          <w:sz w:val="22"/>
          <w:szCs w:val="22"/>
        </w:rPr>
      </w:pPr>
    </w:p>
    <w:p w14:paraId="6CB63BA5"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Tačiau visada vartokite šį vaistą tiksliai kaip nurodė gydytojas arba vaistininkas. Svarbu, kad vaisto vartotumėte tiek laiko, kiek nurodė Jūsų gydytojas arba vaistininkas. Jeigu abejojate, kreipkitės į gydytoją arba vaistininką. </w:t>
      </w:r>
    </w:p>
    <w:p w14:paraId="261B1C8F" w14:textId="77777777" w:rsidR="008A305D" w:rsidRPr="00BA3FBD" w:rsidRDefault="008A305D" w:rsidP="008A305D">
      <w:pPr>
        <w:autoSpaceDE w:val="0"/>
        <w:autoSpaceDN w:val="0"/>
        <w:adjustRightInd w:val="0"/>
        <w:rPr>
          <w:rFonts w:eastAsia="Calibri"/>
          <w:sz w:val="22"/>
          <w:szCs w:val="22"/>
        </w:rPr>
      </w:pPr>
    </w:p>
    <w:p w14:paraId="792357E9"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Nenustokite vartoti Imatinib Actavis Group, nebent taip nurodytų Jūsų gydytojas. Nedelsdami kreipkitės į gydytoją, jeigu negalite vartoti vaisto taip, kaip paskyrė gydytojas, arba jaučiate, kad šio vaisto Jums daugiau nereikia. </w:t>
      </w:r>
    </w:p>
    <w:p w14:paraId="5BF08E2A" w14:textId="77777777" w:rsidR="008A305D" w:rsidRPr="00BA3FBD" w:rsidRDefault="008A305D" w:rsidP="008A305D">
      <w:pPr>
        <w:autoSpaceDE w:val="0"/>
        <w:autoSpaceDN w:val="0"/>
        <w:adjustRightInd w:val="0"/>
        <w:rPr>
          <w:rFonts w:eastAsia="Calibri"/>
          <w:b/>
          <w:bCs/>
          <w:sz w:val="22"/>
          <w:szCs w:val="22"/>
        </w:rPr>
      </w:pPr>
    </w:p>
    <w:p w14:paraId="368AB926"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Kiek Imatinib Actavis Group vartoti </w:t>
      </w:r>
    </w:p>
    <w:p w14:paraId="02EDC31F" w14:textId="77777777" w:rsidR="008A305D" w:rsidRPr="00BA3FBD" w:rsidRDefault="008A305D" w:rsidP="008A305D">
      <w:pPr>
        <w:autoSpaceDE w:val="0"/>
        <w:autoSpaceDN w:val="0"/>
        <w:adjustRightInd w:val="0"/>
        <w:rPr>
          <w:rFonts w:eastAsia="Calibri"/>
          <w:b/>
          <w:bCs/>
          <w:sz w:val="22"/>
          <w:szCs w:val="22"/>
        </w:rPr>
      </w:pPr>
    </w:p>
    <w:p w14:paraId="76632758"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Vartojimas suaugusiesiems </w:t>
      </w:r>
    </w:p>
    <w:p w14:paraId="54E945D1"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Gydytojas Jums tiksliai nurodys, kiek Imatinib Actavis Group kapsulių gerti. </w:t>
      </w:r>
    </w:p>
    <w:p w14:paraId="14285472" w14:textId="77777777" w:rsidR="008A305D" w:rsidRPr="00BA3FBD" w:rsidRDefault="008A305D" w:rsidP="008A305D">
      <w:pPr>
        <w:autoSpaceDE w:val="0"/>
        <w:autoSpaceDN w:val="0"/>
        <w:adjustRightInd w:val="0"/>
        <w:rPr>
          <w:rFonts w:eastAsia="Calibri"/>
          <w:sz w:val="22"/>
          <w:szCs w:val="22"/>
        </w:rPr>
      </w:pPr>
    </w:p>
    <w:p w14:paraId="6A3C5401" w14:textId="77777777" w:rsidR="008A305D" w:rsidRPr="00BA3FBD" w:rsidRDefault="008A305D" w:rsidP="008A305D">
      <w:pPr>
        <w:autoSpaceDE w:val="0"/>
        <w:autoSpaceDN w:val="0"/>
        <w:adjustRightInd w:val="0"/>
        <w:ind w:left="567" w:hanging="567"/>
        <w:rPr>
          <w:rFonts w:eastAsia="Calibri"/>
          <w:color w:val="000000"/>
          <w:sz w:val="22"/>
          <w:szCs w:val="22"/>
        </w:rPr>
      </w:pPr>
      <w:r w:rsidRPr="00BA3FBD">
        <w:rPr>
          <w:rFonts w:ascii="Symbol" w:eastAsia="Calibri" w:hAnsi="Symbol" w:cs="Symbol"/>
          <w:color w:val="000000"/>
          <w:sz w:val="22"/>
          <w:szCs w:val="22"/>
        </w:rPr>
        <w:t></w:t>
      </w:r>
      <w:r w:rsidRPr="00BA3FBD">
        <w:rPr>
          <w:rFonts w:ascii="Symbol" w:eastAsia="Calibri" w:hAnsi="Symbol" w:cs="Symbol"/>
          <w:color w:val="000000"/>
          <w:sz w:val="22"/>
          <w:szCs w:val="22"/>
        </w:rPr>
        <w:t></w:t>
      </w:r>
      <w:r w:rsidRPr="00BA3FBD">
        <w:rPr>
          <w:rFonts w:ascii="Symbol" w:eastAsia="Calibri" w:hAnsi="Symbol" w:cs="Symbol"/>
          <w:color w:val="000000"/>
          <w:sz w:val="22"/>
          <w:szCs w:val="22"/>
        </w:rPr>
        <w:tab/>
      </w:r>
      <w:r w:rsidRPr="00BA3FBD">
        <w:rPr>
          <w:rFonts w:eastAsia="Calibri"/>
          <w:b/>
          <w:bCs/>
          <w:color w:val="000000"/>
          <w:sz w:val="22"/>
          <w:szCs w:val="22"/>
        </w:rPr>
        <w:t xml:space="preserve">Jei gydoma LML: </w:t>
      </w:r>
    </w:p>
    <w:p w14:paraId="276FAC37" w14:textId="77777777" w:rsidR="008A305D" w:rsidRPr="00BA3FBD" w:rsidRDefault="008A305D" w:rsidP="008A305D">
      <w:pPr>
        <w:autoSpaceDE w:val="0"/>
        <w:autoSpaceDN w:val="0"/>
        <w:adjustRightInd w:val="0"/>
        <w:ind w:left="567"/>
        <w:rPr>
          <w:rFonts w:eastAsia="Calibri"/>
          <w:sz w:val="22"/>
          <w:szCs w:val="22"/>
        </w:rPr>
      </w:pPr>
      <w:r w:rsidRPr="00BA3FBD">
        <w:rPr>
          <w:rFonts w:eastAsia="Calibri"/>
          <w:sz w:val="22"/>
          <w:szCs w:val="22"/>
        </w:rPr>
        <w:lastRenderedPageBreak/>
        <w:t>Rekomenduojama pradinė dozė yra 600</w:t>
      </w:r>
      <w:r w:rsidRPr="00BA3FBD">
        <w:rPr>
          <w:rFonts w:eastAsia="Calibri"/>
        </w:rPr>
        <w:t> </w:t>
      </w:r>
      <w:r w:rsidRPr="00BA3FBD">
        <w:rPr>
          <w:rFonts w:eastAsia="Calibri"/>
          <w:sz w:val="22"/>
          <w:szCs w:val="22"/>
        </w:rPr>
        <w:t xml:space="preserve">mg, vartojant po vieną 400 mg ir dvi 100 mg tabletes </w:t>
      </w:r>
      <w:r w:rsidRPr="00BA3FBD">
        <w:rPr>
          <w:rFonts w:eastAsia="Calibri"/>
          <w:b/>
          <w:bCs/>
          <w:sz w:val="22"/>
          <w:szCs w:val="22"/>
        </w:rPr>
        <w:t xml:space="preserve">kartą </w:t>
      </w:r>
      <w:r w:rsidRPr="00BA3FBD">
        <w:rPr>
          <w:rFonts w:eastAsia="Calibri"/>
          <w:sz w:val="22"/>
          <w:szCs w:val="22"/>
        </w:rPr>
        <w:t xml:space="preserve">per parą. </w:t>
      </w:r>
    </w:p>
    <w:p w14:paraId="022E8B82" w14:textId="77777777" w:rsidR="008A305D" w:rsidRPr="00BA3FBD" w:rsidRDefault="008A305D" w:rsidP="008A305D">
      <w:pPr>
        <w:autoSpaceDE w:val="0"/>
        <w:autoSpaceDN w:val="0"/>
        <w:adjustRightInd w:val="0"/>
        <w:ind w:left="567"/>
        <w:rPr>
          <w:rFonts w:eastAsia="Calibri"/>
          <w:sz w:val="22"/>
          <w:szCs w:val="22"/>
        </w:rPr>
      </w:pPr>
    </w:p>
    <w:p w14:paraId="4EAA9F51" w14:textId="77777777" w:rsidR="008A305D" w:rsidRPr="00BA3FBD" w:rsidRDefault="008A305D" w:rsidP="008A305D">
      <w:pPr>
        <w:numPr>
          <w:ilvl w:val="0"/>
          <w:numId w:val="1"/>
        </w:numPr>
        <w:autoSpaceDE w:val="0"/>
        <w:autoSpaceDN w:val="0"/>
        <w:adjustRightInd w:val="0"/>
        <w:ind w:left="567" w:hanging="567"/>
        <w:rPr>
          <w:rFonts w:eastAsia="Calibri"/>
          <w:color w:val="000000"/>
          <w:sz w:val="22"/>
          <w:szCs w:val="22"/>
          <w:lang w:eastAsia="is-IS"/>
        </w:rPr>
      </w:pPr>
      <w:r w:rsidRPr="00BA3FBD">
        <w:rPr>
          <w:rFonts w:eastAsia="Calibri"/>
          <w:b/>
          <w:color w:val="000000"/>
          <w:sz w:val="22"/>
          <w:szCs w:val="22"/>
          <w:lang w:eastAsia="is-IS"/>
        </w:rPr>
        <w:t xml:space="preserve">Jei gydoma </w:t>
      </w:r>
      <w:r>
        <w:rPr>
          <w:rFonts w:eastAsia="Calibri"/>
          <w:b/>
          <w:color w:val="000000"/>
          <w:sz w:val="22"/>
          <w:szCs w:val="22"/>
          <w:lang w:eastAsia="is-IS"/>
        </w:rPr>
        <w:t>GIST</w:t>
      </w:r>
      <w:r w:rsidRPr="00BA3FBD">
        <w:rPr>
          <w:rFonts w:eastAsia="Calibri"/>
          <w:b/>
          <w:color w:val="000000"/>
          <w:sz w:val="22"/>
          <w:szCs w:val="22"/>
          <w:lang w:eastAsia="is-IS"/>
        </w:rPr>
        <w:t>:</w:t>
      </w:r>
    </w:p>
    <w:p w14:paraId="02AEBCE6" w14:textId="77777777" w:rsidR="008A305D" w:rsidRPr="00BA3FBD" w:rsidRDefault="008A305D" w:rsidP="008A305D">
      <w:pPr>
        <w:autoSpaceDE w:val="0"/>
        <w:autoSpaceDN w:val="0"/>
        <w:adjustRightInd w:val="0"/>
        <w:ind w:left="567"/>
        <w:rPr>
          <w:rFonts w:eastAsia="Calibri"/>
          <w:b/>
          <w:color w:val="000000"/>
          <w:sz w:val="22"/>
          <w:szCs w:val="22"/>
          <w:lang w:eastAsia="is-IS"/>
        </w:rPr>
      </w:pPr>
      <w:r w:rsidRPr="00BA3FBD">
        <w:rPr>
          <w:rFonts w:eastAsia="Calibri"/>
          <w:color w:val="000000"/>
          <w:sz w:val="22"/>
          <w:szCs w:val="22"/>
          <w:lang w:eastAsia="is-IS"/>
        </w:rPr>
        <w:t xml:space="preserve">Rekomenduojama pradinė dozė yra 400 mg, vartojant po vieną tabletę </w:t>
      </w:r>
      <w:r w:rsidRPr="00BA3FBD">
        <w:rPr>
          <w:rFonts w:eastAsia="Calibri"/>
          <w:b/>
          <w:color w:val="000000"/>
          <w:sz w:val="22"/>
          <w:szCs w:val="22"/>
          <w:lang w:eastAsia="is-IS"/>
        </w:rPr>
        <w:t>vieną kartą per parą.</w:t>
      </w:r>
    </w:p>
    <w:p w14:paraId="04917F34" w14:textId="77777777" w:rsidR="008A305D" w:rsidRPr="00BA3FBD" w:rsidRDefault="008A305D" w:rsidP="008A305D">
      <w:pPr>
        <w:autoSpaceDE w:val="0"/>
        <w:autoSpaceDN w:val="0"/>
        <w:adjustRightInd w:val="0"/>
        <w:rPr>
          <w:rFonts w:eastAsia="Calibri"/>
          <w:sz w:val="22"/>
          <w:szCs w:val="22"/>
        </w:rPr>
      </w:pPr>
    </w:p>
    <w:p w14:paraId="5CC9917C"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Jūsų gydytojas gali Jums skirti didesnę ar mažesnę dozę priklausomai nuo Jūsų atsako į gydymą. Jei Jūsų paros dozė yra 800 mg (2 tabletės), vartokite po </w:t>
      </w:r>
      <w:r>
        <w:rPr>
          <w:rFonts w:eastAsia="Calibri"/>
          <w:sz w:val="22"/>
          <w:szCs w:val="22"/>
        </w:rPr>
        <w:t>1</w:t>
      </w:r>
      <w:r w:rsidRPr="00BA3FBD">
        <w:rPr>
          <w:rFonts w:eastAsia="Calibri"/>
          <w:sz w:val="22"/>
          <w:szCs w:val="22"/>
        </w:rPr>
        <w:t> tablet</w:t>
      </w:r>
      <w:r>
        <w:rPr>
          <w:rFonts w:eastAsia="Calibri"/>
          <w:sz w:val="22"/>
          <w:szCs w:val="22"/>
        </w:rPr>
        <w:t>ę</w:t>
      </w:r>
      <w:r w:rsidRPr="00BA3FBD">
        <w:rPr>
          <w:rFonts w:eastAsia="Calibri"/>
          <w:sz w:val="22"/>
          <w:szCs w:val="22"/>
        </w:rPr>
        <w:t xml:space="preserve"> ryte ir </w:t>
      </w:r>
      <w:r>
        <w:rPr>
          <w:rFonts w:eastAsia="Calibri"/>
          <w:sz w:val="22"/>
          <w:szCs w:val="22"/>
        </w:rPr>
        <w:t>1</w:t>
      </w:r>
      <w:r w:rsidRPr="00BA3FBD">
        <w:rPr>
          <w:rFonts w:eastAsia="Calibri"/>
          <w:sz w:val="22"/>
          <w:szCs w:val="22"/>
        </w:rPr>
        <w:t> </w:t>
      </w:r>
      <w:r>
        <w:rPr>
          <w:rFonts w:eastAsia="Calibri"/>
          <w:sz w:val="22"/>
          <w:szCs w:val="22"/>
        </w:rPr>
        <w:t>tabletę</w:t>
      </w:r>
      <w:r w:rsidRPr="00BA3FBD">
        <w:rPr>
          <w:rFonts w:eastAsia="Calibri"/>
          <w:sz w:val="22"/>
          <w:szCs w:val="22"/>
        </w:rPr>
        <w:t xml:space="preserve"> vakare. </w:t>
      </w:r>
    </w:p>
    <w:p w14:paraId="3BDF173C" w14:textId="77777777" w:rsidR="008A305D" w:rsidRPr="00BA3FBD" w:rsidRDefault="008A305D" w:rsidP="008A305D">
      <w:pPr>
        <w:autoSpaceDE w:val="0"/>
        <w:autoSpaceDN w:val="0"/>
        <w:adjustRightInd w:val="0"/>
        <w:rPr>
          <w:rFonts w:ascii="Symbol" w:eastAsia="Calibri" w:hAnsi="Symbol" w:cs="Symbol"/>
          <w:color w:val="000000"/>
        </w:rPr>
      </w:pPr>
    </w:p>
    <w:p w14:paraId="788B3F25" w14:textId="77777777" w:rsidR="008A305D" w:rsidRPr="00BA3FBD" w:rsidRDefault="008A305D" w:rsidP="008A305D">
      <w:pPr>
        <w:autoSpaceDE w:val="0"/>
        <w:autoSpaceDN w:val="0"/>
        <w:adjustRightInd w:val="0"/>
        <w:ind w:left="567" w:hanging="567"/>
        <w:rPr>
          <w:rFonts w:eastAsia="Calibri"/>
          <w:color w:val="000000"/>
          <w:sz w:val="22"/>
          <w:szCs w:val="22"/>
        </w:rPr>
      </w:pPr>
      <w:r w:rsidRPr="00BA3FBD">
        <w:rPr>
          <w:rFonts w:ascii="Symbol" w:eastAsia="Calibri" w:hAnsi="Symbol" w:cs="Symbol"/>
          <w:color w:val="000000"/>
          <w:sz w:val="22"/>
          <w:szCs w:val="22"/>
        </w:rPr>
        <w:t></w:t>
      </w:r>
      <w:r w:rsidRPr="00BA3FBD">
        <w:rPr>
          <w:rFonts w:ascii="Symbol" w:eastAsia="Calibri" w:hAnsi="Symbol" w:cs="Symbol"/>
          <w:color w:val="000000"/>
          <w:sz w:val="22"/>
          <w:szCs w:val="22"/>
        </w:rPr>
        <w:t></w:t>
      </w:r>
      <w:r w:rsidRPr="00BA3FBD">
        <w:rPr>
          <w:rFonts w:ascii="Symbol" w:eastAsia="Calibri" w:hAnsi="Symbol" w:cs="Symbol"/>
          <w:color w:val="000000"/>
          <w:sz w:val="22"/>
          <w:szCs w:val="22"/>
        </w:rPr>
        <w:tab/>
      </w:r>
      <w:r w:rsidRPr="00BA3FBD">
        <w:rPr>
          <w:rFonts w:eastAsia="Calibri"/>
          <w:b/>
          <w:bCs/>
          <w:color w:val="000000"/>
          <w:sz w:val="22"/>
          <w:szCs w:val="22"/>
        </w:rPr>
        <w:t xml:space="preserve">Jeigu gydoma Ph teigiama ŪLL: </w:t>
      </w:r>
    </w:p>
    <w:p w14:paraId="1102734B" w14:textId="77777777" w:rsidR="008A305D" w:rsidRPr="00BA3FBD" w:rsidRDefault="008A305D" w:rsidP="008A305D">
      <w:pPr>
        <w:autoSpaceDE w:val="0"/>
        <w:autoSpaceDN w:val="0"/>
        <w:adjustRightInd w:val="0"/>
        <w:ind w:left="567"/>
        <w:rPr>
          <w:rFonts w:eastAsia="Calibri"/>
          <w:sz w:val="22"/>
          <w:szCs w:val="22"/>
        </w:rPr>
      </w:pPr>
      <w:r w:rsidRPr="00BA3FBD">
        <w:rPr>
          <w:rFonts w:eastAsia="Calibri"/>
          <w:color w:val="000000"/>
          <w:sz w:val="22"/>
          <w:szCs w:val="22"/>
        </w:rPr>
        <w:t xml:space="preserve">Pradinė dozė yra 600 mg, vartojant po vieną 400 mg ir dvi 100 mg  tabletes </w:t>
      </w:r>
      <w:r w:rsidRPr="00BA3FBD">
        <w:rPr>
          <w:rFonts w:eastAsia="Calibri"/>
          <w:b/>
          <w:bCs/>
          <w:color w:val="000000"/>
          <w:sz w:val="22"/>
          <w:szCs w:val="22"/>
        </w:rPr>
        <w:t xml:space="preserve">kartą </w:t>
      </w:r>
      <w:r w:rsidRPr="00BA3FBD">
        <w:rPr>
          <w:rFonts w:eastAsia="Calibri"/>
          <w:color w:val="000000"/>
          <w:sz w:val="22"/>
          <w:szCs w:val="22"/>
        </w:rPr>
        <w:t>per parą.</w:t>
      </w:r>
    </w:p>
    <w:p w14:paraId="260DB9AC" w14:textId="77777777" w:rsidR="008A305D" w:rsidRPr="00BA3FBD" w:rsidRDefault="008A305D" w:rsidP="008A305D">
      <w:pPr>
        <w:autoSpaceDE w:val="0"/>
        <w:autoSpaceDN w:val="0"/>
        <w:adjustRightInd w:val="0"/>
        <w:rPr>
          <w:rFonts w:ascii="Symbol" w:eastAsia="Calibri" w:hAnsi="Symbol" w:cs="Symbol"/>
          <w:color w:val="000000"/>
        </w:rPr>
      </w:pPr>
    </w:p>
    <w:p w14:paraId="7798C283" w14:textId="77777777" w:rsidR="008A305D" w:rsidRPr="00BA3FBD" w:rsidRDefault="008A305D" w:rsidP="008A305D">
      <w:pPr>
        <w:autoSpaceDE w:val="0"/>
        <w:autoSpaceDN w:val="0"/>
        <w:adjustRightInd w:val="0"/>
        <w:rPr>
          <w:rFonts w:eastAsia="Calibri"/>
          <w:color w:val="000000"/>
          <w:sz w:val="22"/>
          <w:szCs w:val="22"/>
        </w:rPr>
      </w:pPr>
      <w:r w:rsidRPr="00BA3FBD">
        <w:rPr>
          <w:rFonts w:ascii="Symbol" w:eastAsia="Calibri" w:hAnsi="Symbol" w:cs="Symbol"/>
          <w:color w:val="000000"/>
          <w:sz w:val="22"/>
          <w:szCs w:val="22"/>
        </w:rPr>
        <w:t></w:t>
      </w:r>
      <w:r w:rsidRPr="00BA3FBD">
        <w:rPr>
          <w:rFonts w:ascii="Symbol" w:eastAsia="Calibri" w:hAnsi="Symbol" w:cs="Symbol"/>
          <w:color w:val="000000"/>
          <w:sz w:val="22"/>
          <w:szCs w:val="22"/>
        </w:rPr>
        <w:t></w:t>
      </w:r>
      <w:r w:rsidRPr="00BA3FBD">
        <w:rPr>
          <w:rFonts w:ascii="Symbol" w:eastAsia="Calibri" w:hAnsi="Symbol" w:cs="Symbol"/>
          <w:color w:val="000000"/>
          <w:sz w:val="22"/>
          <w:szCs w:val="22"/>
        </w:rPr>
        <w:tab/>
      </w:r>
      <w:r w:rsidRPr="00BA3FBD">
        <w:rPr>
          <w:rFonts w:eastAsia="Calibri"/>
          <w:b/>
          <w:bCs/>
          <w:color w:val="000000"/>
          <w:sz w:val="22"/>
          <w:szCs w:val="22"/>
        </w:rPr>
        <w:t xml:space="preserve">Jeigu gydoma MDS/MPL: </w:t>
      </w:r>
    </w:p>
    <w:p w14:paraId="3A6B2349" w14:textId="77777777" w:rsidR="008A305D" w:rsidRPr="00BA3FBD" w:rsidRDefault="008A305D" w:rsidP="008A305D">
      <w:pPr>
        <w:autoSpaceDE w:val="0"/>
        <w:autoSpaceDN w:val="0"/>
        <w:adjustRightInd w:val="0"/>
        <w:ind w:firstLine="720"/>
        <w:rPr>
          <w:rFonts w:eastAsia="Calibri"/>
          <w:color w:val="000000"/>
          <w:sz w:val="22"/>
          <w:szCs w:val="22"/>
        </w:rPr>
      </w:pPr>
      <w:r w:rsidRPr="00BA3FBD">
        <w:rPr>
          <w:rFonts w:eastAsia="Calibri"/>
          <w:color w:val="000000"/>
          <w:sz w:val="22"/>
          <w:szCs w:val="22"/>
        </w:rPr>
        <w:t xml:space="preserve">Pradinė dozė yra 400 mg, vartojant po vieną tabletę </w:t>
      </w:r>
      <w:r w:rsidRPr="00BA3FBD">
        <w:rPr>
          <w:rFonts w:eastAsia="Calibri"/>
          <w:b/>
          <w:bCs/>
          <w:color w:val="000000"/>
          <w:sz w:val="22"/>
          <w:szCs w:val="22"/>
        </w:rPr>
        <w:t xml:space="preserve">kartą </w:t>
      </w:r>
      <w:r w:rsidRPr="00BA3FBD">
        <w:rPr>
          <w:rFonts w:eastAsia="Calibri"/>
          <w:color w:val="000000"/>
          <w:sz w:val="22"/>
          <w:szCs w:val="22"/>
        </w:rPr>
        <w:t xml:space="preserve">per parą. </w:t>
      </w:r>
    </w:p>
    <w:p w14:paraId="3B357F90" w14:textId="77777777" w:rsidR="008A305D" w:rsidRPr="00BA3FBD" w:rsidRDefault="008A305D" w:rsidP="008A305D">
      <w:pPr>
        <w:autoSpaceDE w:val="0"/>
        <w:autoSpaceDN w:val="0"/>
        <w:adjustRightInd w:val="0"/>
        <w:rPr>
          <w:rFonts w:eastAsia="Calibri"/>
          <w:color w:val="000000"/>
          <w:sz w:val="22"/>
          <w:szCs w:val="22"/>
        </w:rPr>
      </w:pPr>
    </w:p>
    <w:p w14:paraId="0E6B7B33" w14:textId="77777777" w:rsidR="008A305D" w:rsidRPr="00BA3FBD" w:rsidRDefault="008A305D" w:rsidP="008A305D">
      <w:pPr>
        <w:numPr>
          <w:ilvl w:val="0"/>
          <w:numId w:val="1"/>
        </w:numPr>
        <w:autoSpaceDE w:val="0"/>
        <w:autoSpaceDN w:val="0"/>
        <w:adjustRightInd w:val="0"/>
        <w:ind w:left="709" w:hanging="709"/>
        <w:rPr>
          <w:rFonts w:eastAsia="Calibri"/>
          <w:color w:val="000000"/>
          <w:sz w:val="22"/>
          <w:szCs w:val="22"/>
        </w:rPr>
      </w:pPr>
      <w:r w:rsidRPr="00BA3FBD">
        <w:rPr>
          <w:rFonts w:eastAsia="Calibri"/>
          <w:b/>
          <w:bCs/>
          <w:color w:val="000000"/>
          <w:sz w:val="22"/>
          <w:szCs w:val="22"/>
        </w:rPr>
        <w:t xml:space="preserve">Jeigu gydoma HES/LEL: </w:t>
      </w:r>
    </w:p>
    <w:p w14:paraId="4C621CBB" w14:textId="77777777" w:rsidR="008A305D" w:rsidRPr="00BA3FBD" w:rsidRDefault="008A305D" w:rsidP="008A305D">
      <w:pPr>
        <w:autoSpaceDE w:val="0"/>
        <w:autoSpaceDN w:val="0"/>
        <w:adjustRightInd w:val="0"/>
        <w:ind w:left="709"/>
        <w:rPr>
          <w:rFonts w:eastAsia="Calibri"/>
          <w:color w:val="000000"/>
          <w:sz w:val="22"/>
          <w:szCs w:val="22"/>
        </w:rPr>
      </w:pPr>
      <w:r w:rsidRPr="00BA3FBD">
        <w:rPr>
          <w:rFonts w:eastAsia="Calibri"/>
          <w:color w:val="000000"/>
          <w:sz w:val="22"/>
          <w:szCs w:val="22"/>
        </w:rPr>
        <w:t xml:space="preserve">Pradinė dozė yra 100 mg, vartojant po </w:t>
      </w:r>
      <w:r>
        <w:rPr>
          <w:rFonts w:eastAsia="Calibri"/>
          <w:color w:val="000000"/>
          <w:sz w:val="22"/>
          <w:szCs w:val="22"/>
        </w:rPr>
        <w:t>vieną</w:t>
      </w:r>
      <w:r w:rsidRPr="00BA3FBD">
        <w:rPr>
          <w:rFonts w:eastAsia="Calibri"/>
          <w:color w:val="000000"/>
          <w:sz w:val="22"/>
          <w:szCs w:val="22"/>
        </w:rPr>
        <w:t xml:space="preserve"> 100 mg tabletę </w:t>
      </w:r>
      <w:r w:rsidRPr="00BA3FBD">
        <w:rPr>
          <w:rFonts w:eastAsia="Calibri"/>
          <w:b/>
          <w:bCs/>
          <w:color w:val="000000"/>
          <w:sz w:val="22"/>
          <w:szCs w:val="22"/>
        </w:rPr>
        <w:t xml:space="preserve">kartą </w:t>
      </w:r>
      <w:r w:rsidRPr="00BA3FBD">
        <w:rPr>
          <w:rFonts w:eastAsia="Calibri"/>
          <w:color w:val="000000"/>
          <w:sz w:val="22"/>
          <w:szCs w:val="22"/>
        </w:rPr>
        <w:t xml:space="preserve">per parą. Priklausomai nuo Jūsų atsako į gydymą, Jūsų gydytojas gali nuspręsti padidinti dozę iki 400 mg, vartojant po vieną 400 tabletę </w:t>
      </w:r>
      <w:r w:rsidRPr="00BA3FBD">
        <w:rPr>
          <w:rFonts w:eastAsia="Calibri"/>
          <w:b/>
          <w:bCs/>
          <w:color w:val="000000"/>
          <w:sz w:val="22"/>
          <w:szCs w:val="22"/>
        </w:rPr>
        <w:t xml:space="preserve">kartą </w:t>
      </w:r>
      <w:r w:rsidRPr="00BA3FBD">
        <w:rPr>
          <w:rFonts w:eastAsia="Calibri"/>
          <w:color w:val="000000"/>
          <w:sz w:val="22"/>
          <w:szCs w:val="22"/>
        </w:rPr>
        <w:t xml:space="preserve">per parą. </w:t>
      </w:r>
    </w:p>
    <w:p w14:paraId="6AF51D87" w14:textId="77777777" w:rsidR="008A305D" w:rsidRPr="00BA3FBD" w:rsidRDefault="008A305D" w:rsidP="008A305D">
      <w:pPr>
        <w:autoSpaceDE w:val="0"/>
        <w:autoSpaceDN w:val="0"/>
        <w:adjustRightInd w:val="0"/>
        <w:ind w:left="709" w:hanging="709"/>
        <w:rPr>
          <w:rFonts w:eastAsia="Calibri"/>
          <w:color w:val="000000"/>
          <w:sz w:val="22"/>
          <w:szCs w:val="22"/>
        </w:rPr>
      </w:pPr>
    </w:p>
    <w:p w14:paraId="587ABDF3" w14:textId="77777777" w:rsidR="008A305D" w:rsidRPr="00BA3FBD" w:rsidRDefault="008A305D" w:rsidP="008A305D">
      <w:pPr>
        <w:numPr>
          <w:ilvl w:val="0"/>
          <w:numId w:val="1"/>
        </w:numPr>
        <w:autoSpaceDE w:val="0"/>
        <w:autoSpaceDN w:val="0"/>
        <w:adjustRightInd w:val="0"/>
        <w:ind w:left="709" w:hanging="709"/>
        <w:rPr>
          <w:rFonts w:eastAsia="Calibri"/>
          <w:color w:val="000000"/>
          <w:sz w:val="22"/>
          <w:szCs w:val="22"/>
        </w:rPr>
      </w:pPr>
      <w:r w:rsidRPr="00BA3FBD">
        <w:rPr>
          <w:rFonts w:eastAsia="Calibri"/>
          <w:b/>
          <w:bCs/>
          <w:color w:val="000000"/>
          <w:sz w:val="22"/>
          <w:szCs w:val="22"/>
        </w:rPr>
        <w:t xml:space="preserve">Jeigu gydoma DFSP: </w:t>
      </w:r>
    </w:p>
    <w:p w14:paraId="77D6017E" w14:textId="77777777" w:rsidR="008A305D" w:rsidRPr="00BA3FBD" w:rsidRDefault="008A305D" w:rsidP="008A305D">
      <w:pPr>
        <w:autoSpaceDE w:val="0"/>
        <w:autoSpaceDN w:val="0"/>
        <w:adjustRightInd w:val="0"/>
        <w:ind w:left="709"/>
        <w:rPr>
          <w:rFonts w:eastAsia="Calibri"/>
          <w:color w:val="000000"/>
          <w:sz w:val="22"/>
          <w:szCs w:val="22"/>
        </w:rPr>
      </w:pPr>
      <w:r w:rsidRPr="00BA3FBD">
        <w:rPr>
          <w:rFonts w:eastAsia="Calibri"/>
          <w:color w:val="000000"/>
          <w:sz w:val="22"/>
          <w:szCs w:val="22"/>
        </w:rPr>
        <w:t xml:space="preserve">Dozė yra 800 mg per parą (2 tabletės), vartojant po </w:t>
      </w:r>
      <w:r>
        <w:rPr>
          <w:rFonts w:eastAsia="Calibri"/>
          <w:color w:val="000000"/>
          <w:sz w:val="22"/>
          <w:szCs w:val="22"/>
        </w:rPr>
        <w:t>1</w:t>
      </w:r>
      <w:r w:rsidRPr="00BA3FBD">
        <w:rPr>
          <w:rFonts w:eastAsia="Calibri"/>
          <w:color w:val="000000"/>
          <w:sz w:val="22"/>
          <w:szCs w:val="22"/>
        </w:rPr>
        <w:t> tabletę ryte ir 1 tabletę vakare.</w:t>
      </w:r>
    </w:p>
    <w:p w14:paraId="68044664" w14:textId="77777777" w:rsidR="008A305D" w:rsidRPr="00BA3FBD" w:rsidRDefault="008A305D" w:rsidP="008A305D">
      <w:pPr>
        <w:autoSpaceDE w:val="0"/>
        <w:autoSpaceDN w:val="0"/>
        <w:adjustRightInd w:val="0"/>
        <w:ind w:firstLine="720"/>
        <w:rPr>
          <w:rFonts w:eastAsia="Calibri"/>
          <w:color w:val="000000"/>
          <w:sz w:val="22"/>
          <w:szCs w:val="22"/>
        </w:rPr>
      </w:pPr>
    </w:p>
    <w:p w14:paraId="070D61B1"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Vartojimas vaikams ir paaugliams </w:t>
      </w:r>
    </w:p>
    <w:p w14:paraId="27698457"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Gydytojas nurodys, kiek Imatinib Actavis Group kapsulių reikia duoti gerti vaikui. Imatinib Actavis Group dozė priklausys nuo vaiko būklės, kūno masės ir ūgio. </w:t>
      </w:r>
    </w:p>
    <w:p w14:paraId="1606CA8F" w14:textId="77777777" w:rsidR="008A305D" w:rsidRPr="00BA3FBD" w:rsidRDefault="008A305D" w:rsidP="008A305D">
      <w:pPr>
        <w:autoSpaceDE w:val="0"/>
        <w:autoSpaceDN w:val="0"/>
        <w:adjustRightInd w:val="0"/>
        <w:rPr>
          <w:rFonts w:eastAsia="Calibri"/>
          <w:sz w:val="22"/>
          <w:szCs w:val="22"/>
        </w:rPr>
      </w:pPr>
    </w:p>
    <w:p w14:paraId="1D959855"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Bendroji nuo LML gydomų vaikų paros dozė neturi būti didesnė kaip 800 mg. Vaistą galima vartoti vieną kartą per parą arba paros dozę padalyti į dvi dalis (pusę dozės vartoti ryte ir kitą pusę – vakare). </w:t>
      </w:r>
    </w:p>
    <w:p w14:paraId="0F01BA31" w14:textId="77777777" w:rsidR="008A305D" w:rsidRPr="00BA3FBD" w:rsidRDefault="008A305D" w:rsidP="008A305D">
      <w:pPr>
        <w:autoSpaceDE w:val="0"/>
        <w:autoSpaceDN w:val="0"/>
        <w:adjustRightInd w:val="0"/>
        <w:rPr>
          <w:rFonts w:eastAsia="Calibri"/>
          <w:sz w:val="22"/>
          <w:szCs w:val="22"/>
        </w:rPr>
      </w:pPr>
    </w:p>
    <w:p w14:paraId="50509DF3"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Kada ir kaip vartoti Imatinib Actavis Group </w:t>
      </w:r>
    </w:p>
    <w:p w14:paraId="3FC85D4D" w14:textId="77777777" w:rsidR="008A305D" w:rsidRPr="00BA3FBD" w:rsidRDefault="008A305D" w:rsidP="008A305D">
      <w:pPr>
        <w:autoSpaceDE w:val="0"/>
        <w:autoSpaceDN w:val="0"/>
        <w:adjustRightInd w:val="0"/>
        <w:spacing w:after="21"/>
        <w:ind w:left="720" w:hanging="720"/>
        <w:rPr>
          <w:rFonts w:eastAsia="Calibri"/>
          <w:sz w:val="22"/>
          <w:szCs w:val="22"/>
        </w:rPr>
      </w:pPr>
      <w:r w:rsidRPr="00BA3FBD">
        <w:rPr>
          <w:rFonts w:eastAsia="Calibri"/>
          <w:sz w:val="22"/>
          <w:szCs w:val="22"/>
        </w:rPr>
        <w:t>-</w:t>
      </w:r>
      <w:r w:rsidRPr="00BA3FBD">
        <w:rPr>
          <w:rFonts w:eastAsia="Calibri"/>
          <w:sz w:val="22"/>
          <w:szCs w:val="22"/>
        </w:rPr>
        <w:tab/>
      </w:r>
      <w:r w:rsidRPr="00BA3FBD">
        <w:rPr>
          <w:rFonts w:eastAsia="Calibri"/>
          <w:b/>
          <w:bCs/>
          <w:sz w:val="22"/>
          <w:szCs w:val="22"/>
        </w:rPr>
        <w:t xml:space="preserve">Imatinib Actavis Group gerkite valgio metu. </w:t>
      </w:r>
      <w:r w:rsidRPr="00BA3FBD">
        <w:rPr>
          <w:rFonts w:eastAsia="Calibri"/>
          <w:sz w:val="22"/>
          <w:szCs w:val="22"/>
        </w:rPr>
        <w:t xml:space="preserve">Tai padės išvengti skrandžio sutrikimų Imatinib Actavis Group vartojimo metu. </w:t>
      </w:r>
    </w:p>
    <w:p w14:paraId="04B02DA4" w14:textId="77777777" w:rsidR="008A305D" w:rsidRPr="00BA3FBD" w:rsidRDefault="008A305D" w:rsidP="008A305D">
      <w:pPr>
        <w:autoSpaceDE w:val="0"/>
        <w:autoSpaceDN w:val="0"/>
        <w:adjustRightInd w:val="0"/>
        <w:spacing w:after="21"/>
        <w:ind w:left="720" w:hanging="720"/>
        <w:rPr>
          <w:rFonts w:eastAsia="Calibri"/>
          <w:b/>
          <w:bCs/>
          <w:sz w:val="22"/>
          <w:szCs w:val="22"/>
        </w:rPr>
      </w:pPr>
      <w:r w:rsidRPr="00BA3FBD">
        <w:rPr>
          <w:rFonts w:eastAsia="Calibri"/>
          <w:sz w:val="22"/>
          <w:szCs w:val="22"/>
        </w:rPr>
        <w:t>-</w:t>
      </w:r>
      <w:r w:rsidRPr="00BA3FBD">
        <w:rPr>
          <w:rFonts w:eastAsia="Calibri"/>
          <w:sz w:val="22"/>
          <w:szCs w:val="22"/>
        </w:rPr>
        <w:tab/>
      </w:r>
      <w:r w:rsidRPr="00BA3FBD">
        <w:rPr>
          <w:rFonts w:eastAsia="Calibri"/>
          <w:b/>
          <w:bCs/>
          <w:sz w:val="22"/>
          <w:szCs w:val="22"/>
        </w:rPr>
        <w:t xml:space="preserve">Nurykite visą tabletę užgerdami didele stikline vandens. </w:t>
      </w:r>
    </w:p>
    <w:p w14:paraId="75D397CF" w14:textId="77777777" w:rsidR="008A305D" w:rsidRPr="00BA3FBD" w:rsidRDefault="008A305D" w:rsidP="008A305D">
      <w:pPr>
        <w:autoSpaceDE w:val="0"/>
        <w:autoSpaceDN w:val="0"/>
        <w:adjustRightInd w:val="0"/>
        <w:spacing w:after="21"/>
        <w:ind w:left="720" w:hanging="720"/>
        <w:rPr>
          <w:rFonts w:eastAsia="Calibri"/>
          <w:sz w:val="22"/>
          <w:szCs w:val="22"/>
        </w:rPr>
      </w:pPr>
    </w:p>
    <w:p w14:paraId="5173D8FC" w14:textId="77777777" w:rsidR="008A305D" w:rsidRPr="00BA3FBD" w:rsidRDefault="008A305D" w:rsidP="008A305D">
      <w:pPr>
        <w:rPr>
          <w:sz w:val="22"/>
          <w:szCs w:val="22"/>
        </w:rPr>
      </w:pPr>
      <w:r w:rsidRPr="00BA3FBD">
        <w:rPr>
          <w:sz w:val="22"/>
          <w:szCs w:val="22"/>
        </w:rPr>
        <w:t xml:space="preserve">Jei negalite nuryti tablečių, jas galima ištirpinti gazuoto arba negazuoto vandens ar obuolių sulčių stiklinėje. </w:t>
      </w:r>
    </w:p>
    <w:p w14:paraId="64580DE4" w14:textId="77777777" w:rsidR="008A305D" w:rsidRPr="00BA3FBD" w:rsidRDefault="008A305D" w:rsidP="008A305D">
      <w:pPr>
        <w:pStyle w:val="Sraopastraipa"/>
        <w:numPr>
          <w:ilvl w:val="0"/>
          <w:numId w:val="1"/>
        </w:numPr>
        <w:rPr>
          <w:sz w:val="22"/>
          <w:szCs w:val="22"/>
        </w:rPr>
      </w:pPr>
      <w:r w:rsidRPr="00BA3FBD">
        <w:rPr>
          <w:sz w:val="22"/>
          <w:szCs w:val="22"/>
        </w:rPr>
        <w:t>Panaudokite apie 200 ml kiekvienai 400 mg tabletei ištirpinti.</w:t>
      </w:r>
    </w:p>
    <w:p w14:paraId="2119D592" w14:textId="77777777" w:rsidR="008A305D" w:rsidRPr="00BA3FBD" w:rsidRDefault="008A305D" w:rsidP="008A305D">
      <w:pPr>
        <w:pStyle w:val="Sraopastraipa"/>
        <w:numPr>
          <w:ilvl w:val="0"/>
          <w:numId w:val="1"/>
        </w:numPr>
        <w:rPr>
          <w:sz w:val="22"/>
          <w:szCs w:val="22"/>
        </w:rPr>
      </w:pPr>
      <w:r w:rsidRPr="00BA3FBD">
        <w:rPr>
          <w:sz w:val="22"/>
          <w:szCs w:val="22"/>
        </w:rPr>
        <w:lastRenderedPageBreak/>
        <w:t>Maišykite šaukštu, kol tabletės visiškai ištirps.</w:t>
      </w:r>
    </w:p>
    <w:p w14:paraId="77231189" w14:textId="77777777" w:rsidR="008A305D" w:rsidRPr="00BA3FBD" w:rsidRDefault="008A305D" w:rsidP="008A305D">
      <w:pPr>
        <w:pStyle w:val="Sraopastraipa"/>
        <w:numPr>
          <w:ilvl w:val="0"/>
          <w:numId w:val="1"/>
        </w:numPr>
        <w:rPr>
          <w:sz w:val="22"/>
          <w:szCs w:val="22"/>
        </w:rPr>
      </w:pPr>
      <w:r w:rsidRPr="00BA3FBD">
        <w:rPr>
          <w:sz w:val="22"/>
          <w:szCs w:val="22"/>
        </w:rPr>
        <w:t>Kai tabletės ištirpsta, nedelsiant išgerkite visą stiklinės turinį. Stiklinės dugne gali likti ištirpusios tabletės pėdsakų.</w:t>
      </w:r>
    </w:p>
    <w:p w14:paraId="1764AA43" w14:textId="77777777" w:rsidR="008A305D" w:rsidRPr="00BA3FBD" w:rsidRDefault="008A305D" w:rsidP="008A305D">
      <w:pPr>
        <w:autoSpaceDE w:val="0"/>
        <w:autoSpaceDN w:val="0"/>
        <w:adjustRightInd w:val="0"/>
        <w:rPr>
          <w:rFonts w:eastAsia="Calibri"/>
          <w:sz w:val="22"/>
          <w:szCs w:val="22"/>
        </w:rPr>
      </w:pPr>
    </w:p>
    <w:p w14:paraId="0BE478A0"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Kaip ilgai vartoti Imatinib Actavis Group </w:t>
      </w:r>
    </w:p>
    <w:p w14:paraId="56F45303"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Imatinib Actavis Group vartokite kasdien, tiek laiko, kiek nurodė Jūsų gydytojas. </w:t>
      </w:r>
    </w:p>
    <w:p w14:paraId="76217F77" w14:textId="77777777" w:rsidR="008A305D" w:rsidRPr="00BA3FBD" w:rsidRDefault="008A305D" w:rsidP="008A305D">
      <w:pPr>
        <w:autoSpaceDE w:val="0"/>
        <w:autoSpaceDN w:val="0"/>
        <w:adjustRightInd w:val="0"/>
        <w:rPr>
          <w:rFonts w:eastAsia="Calibri"/>
          <w:sz w:val="22"/>
          <w:szCs w:val="22"/>
        </w:rPr>
      </w:pPr>
    </w:p>
    <w:p w14:paraId="7E23EF37"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Ką daryti pavartojus per didelę Imatinib Actavis Group dozę? </w:t>
      </w:r>
    </w:p>
    <w:p w14:paraId="439CFBE7"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 atsitiktinai išgėrėte per daug kapsulių, </w:t>
      </w:r>
      <w:r w:rsidRPr="00BA3FBD">
        <w:rPr>
          <w:rFonts w:eastAsia="Calibri"/>
          <w:b/>
          <w:bCs/>
          <w:sz w:val="22"/>
          <w:szCs w:val="22"/>
        </w:rPr>
        <w:t xml:space="preserve">iš karto </w:t>
      </w:r>
      <w:r w:rsidRPr="00BA3FBD">
        <w:rPr>
          <w:rFonts w:eastAsia="Calibri"/>
          <w:sz w:val="22"/>
          <w:szCs w:val="22"/>
        </w:rPr>
        <w:t xml:space="preserve">kreipkitės į gydytoją. Jums gali prireikti medicininės pagalbos. Pasiimkite su savimi vaisto pakuotę. </w:t>
      </w:r>
    </w:p>
    <w:p w14:paraId="7878AE8C" w14:textId="77777777" w:rsidR="008A305D" w:rsidRPr="00BA3FBD" w:rsidRDefault="008A305D" w:rsidP="008A305D">
      <w:pPr>
        <w:autoSpaceDE w:val="0"/>
        <w:autoSpaceDN w:val="0"/>
        <w:adjustRightInd w:val="0"/>
        <w:rPr>
          <w:rFonts w:eastAsia="Calibri"/>
          <w:b/>
          <w:bCs/>
          <w:sz w:val="22"/>
          <w:szCs w:val="22"/>
        </w:rPr>
      </w:pPr>
    </w:p>
    <w:p w14:paraId="48CD24B3"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Pamiršus pavartoti Imatinib Actavis Group </w:t>
      </w:r>
    </w:p>
    <w:p w14:paraId="0105B9D4" w14:textId="77777777" w:rsidR="008A305D" w:rsidRPr="00BA3FBD" w:rsidRDefault="008A305D" w:rsidP="008A305D">
      <w:pPr>
        <w:autoSpaceDE w:val="0"/>
        <w:autoSpaceDN w:val="0"/>
        <w:adjustRightInd w:val="0"/>
        <w:spacing w:after="23"/>
        <w:ind w:left="720" w:hanging="720"/>
        <w:rPr>
          <w:rFonts w:eastAsia="Calibri"/>
          <w:sz w:val="22"/>
          <w:szCs w:val="22"/>
        </w:rPr>
      </w:pPr>
      <w:r w:rsidRPr="00BA3FBD">
        <w:rPr>
          <w:rFonts w:eastAsia="Calibri"/>
          <w:sz w:val="22"/>
          <w:szCs w:val="22"/>
        </w:rPr>
        <w:t>-</w:t>
      </w:r>
      <w:r w:rsidRPr="00BA3FBD">
        <w:rPr>
          <w:rFonts w:eastAsia="Calibri"/>
          <w:sz w:val="22"/>
          <w:szCs w:val="22"/>
        </w:rPr>
        <w:tab/>
        <w:t xml:space="preserve">Pamiršus pavartoti vaisto dozę, ją išgerkite kai tik prisiminėte. Tačiau jei jau beveik laikas gerti kitą dozę, praleistos dozės nevartokite. </w:t>
      </w:r>
    </w:p>
    <w:p w14:paraId="53B6A27A" w14:textId="77777777" w:rsidR="008A305D" w:rsidRPr="00BA3FBD" w:rsidRDefault="008A305D" w:rsidP="008A305D">
      <w:pPr>
        <w:autoSpaceDE w:val="0"/>
        <w:autoSpaceDN w:val="0"/>
        <w:adjustRightInd w:val="0"/>
        <w:spacing w:after="23"/>
        <w:rPr>
          <w:rFonts w:eastAsia="Calibri"/>
          <w:sz w:val="22"/>
          <w:szCs w:val="22"/>
        </w:rPr>
      </w:pPr>
      <w:r w:rsidRPr="00BA3FBD">
        <w:rPr>
          <w:rFonts w:eastAsia="Calibri"/>
          <w:sz w:val="22"/>
          <w:szCs w:val="22"/>
        </w:rPr>
        <w:t>-</w:t>
      </w:r>
      <w:r w:rsidRPr="00BA3FBD">
        <w:rPr>
          <w:rFonts w:eastAsia="Calibri"/>
          <w:sz w:val="22"/>
          <w:szCs w:val="22"/>
        </w:rPr>
        <w:tab/>
        <w:t xml:space="preserve">Vėliau tęskite vaisto vartojimą įprastu režimu. </w:t>
      </w:r>
    </w:p>
    <w:p w14:paraId="2083FF76"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w:t>
      </w:r>
      <w:r w:rsidRPr="00BA3FBD">
        <w:rPr>
          <w:rFonts w:eastAsia="Calibri"/>
          <w:sz w:val="22"/>
          <w:szCs w:val="22"/>
        </w:rPr>
        <w:tab/>
        <w:t xml:space="preserve">Negalima vartoti dvigubos dozės norint kompensuoti praleistą dozę. </w:t>
      </w:r>
    </w:p>
    <w:p w14:paraId="02EC0858" w14:textId="77777777" w:rsidR="008A305D" w:rsidRPr="00BA3FBD" w:rsidRDefault="008A305D" w:rsidP="008A305D">
      <w:pPr>
        <w:autoSpaceDE w:val="0"/>
        <w:autoSpaceDN w:val="0"/>
        <w:adjustRightInd w:val="0"/>
        <w:rPr>
          <w:rFonts w:eastAsia="Calibri"/>
          <w:sz w:val="22"/>
          <w:szCs w:val="22"/>
        </w:rPr>
      </w:pPr>
    </w:p>
    <w:p w14:paraId="3408CD78"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Jeigu kiltų daugiau klausimų dėl šio vaisto vartojimo, kreipkitės į gydytoją, vaistininką arba slaugytoją. </w:t>
      </w:r>
    </w:p>
    <w:p w14:paraId="50BF4299" w14:textId="77777777" w:rsidR="008A305D" w:rsidRPr="00BA3FBD" w:rsidRDefault="008A305D" w:rsidP="008A305D">
      <w:pPr>
        <w:autoSpaceDE w:val="0"/>
        <w:autoSpaceDN w:val="0"/>
        <w:adjustRightInd w:val="0"/>
        <w:rPr>
          <w:rFonts w:eastAsia="Calibri"/>
          <w:sz w:val="22"/>
          <w:szCs w:val="22"/>
        </w:rPr>
      </w:pPr>
    </w:p>
    <w:p w14:paraId="546AB56E" w14:textId="77777777" w:rsidR="008A305D" w:rsidRPr="00BA3FBD" w:rsidRDefault="008A305D" w:rsidP="008A305D">
      <w:pPr>
        <w:autoSpaceDE w:val="0"/>
        <w:autoSpaceDN w:val="0"/>
        <w:adjustRightInd w:val="0"/>
        <w:rPr>
          <w:rFonts w:eastAsia="Calibri"/>
          <w:sz w:val="22"/>
          <w:szCs w:val="22"/>
        </w:rPr>
      </w:pPr>
    </w:p>
    <w:p w14:paraId="1CBF329A" w14:textId="77777777" w:rsidR="008A305D" w:rsidRPr="00BA3FBD" w:rsidRDefault="008A305D" w:rsidP="008A305D">
      <w:pPr>
        <w:pStyle w:val="Sraopastraipa"/>
        <w:numPr>
          <w:ilvl w:val="0"/>
          <w:numId w:val="3"/>
        </w:numPr>
        <w:autoSpaceDE w:val="0"/>
        <w:autoSpaceDN w:val="0"/>
        <w:adjustRightInd w:val="0"/>
        <w:ind w:hanging="720"/>
        <w:rPr>
          <w:rFonts w:eastAsia="Calibri"/>
          <w:b/>
          <w:sz w:val="22"/>
          <w:szCs w:val="22"/>
        </w:rPr>
      </w:pPr>
      <w:r w:rsidRPr="00BA3FBD">
        <w:rPr>
          <w:rFonts w:eastAsia="Calibri"/>
          <w:b/>
          <w:sz w:val="22"/>
          <w:szCs w:val="22"/>
        </w:rPr>
        <w:t>Galimas šalutinis poveikis</w:t>
      </w:r>
    </w:p>
    <w:p w14:paraId="6E04F82A" w14:textId="77777777" w:rsidR="008A305D" w:rsidRPr="00BA3FBD" w:rsidRDefault="008A305D" w:rsidP="008A305D">
      <w:pPr>
        <w:autoSpaceDE w:val="0"/>
        <w:autoSpaceDN w:val="0"/>
        <w:adjustRightInd w:val="0"/>
        <w:rPr>
          <w:rFonts w:eastAsia="Calibri"/>
          <w:sz w:val="22"/>
          <w:szCs w:val="22"/>
        </w:rPr>
      </w:pPr>
    </w:p>
    <w:p w14:paraId="4FB14244"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Šis vaistas, kaip ir visi kiti, gali sukelti šalutinį poveikį, nors jis pasireiškia ne visiems žmonėms. Paprastai jis būna nesunkus ar vidutinio sunkumo. </w:t>
      </w:r>
    </w:p>
    <w:p w14:paraId="5E4810D4" w14:textId="77777777" w:rsidR="008A305D" w:rsidRPr="00BA3FBD" w:rsidRDefault="008A305D" w:rsidP="008A305D">
      <w:pPr>
        <w:autoSpaceDE w:val="0"/>
        <w:autoSpaceDN w:val="0"/>
        <w:adjustRightInd w:val="0"/>
        <w:rPr>
          <w:rFonts w:eastAsia="Calibri"/>
          <w:sz w:val="22"/>
          <w:szCs w:val="22"/>
        </w:rPr>
      </w:pPr>
    </w:p>
    <w:p w14:paraId="0DBA84F6"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Kai kurie šalutiniai reiškiniai gali būti sunkūs. Nedelsiant pasakykite gydytojui, jeigu Jums pasireikštų kuris nors iš toliau išvardytų reiškinių. </w:t>
      </w:r>
    </w:p>
    <w:p w14:paraId="478B9314" w14:textId="77777777" w:rsidR="008A305D" w:rsidRPr="00BA3FBD" w:rsidRDefault="008A305D" w:rsidP="008A305D">
      <w:pPr>
        <w:autoSpaceDE w:val="0"/>
        <w:autoSpaceDN w:val="0"/>
        <w:adjustRightInd w:val="0"/>
        <w:rPr>
          <w:rFonts w:eastAsia="Calibri"/>
          <w:b/>
          <w:bCs/>
          <w:sz w:val="22"/>
          <w:szCs w:val="22"/>
        </w:rPr>
      </w:pPr>
    </w:p>
    <w:p w14:paraId="50964B91"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Labai dažnas </w:t>
      </w:r>
      <w:r w:rsidRPr="00BA3FBD">
        <w:rPr>
          <w:rFonts w:eastAsia="Calibri"/>
          <w:bCs/>
          <w:sz w:val="22"/>
          <w:szCs w:val="22"/>
        </w:rPr>
        <w:t>(gali pasireikšti daugiau nei 1 žmogui iš 10)</w:t>
      </w:r>
      <w:r w:rsidRPr="00BA3FBD">
        <w:rPr>
          <w:rFonts w:eastAsia="Calibri"/>
          <w:b/>
          <w:bCs/>
          <w:sz w:val="22"/>
          <w:szCs w:val="22"/>
        </w:rPr>
        <w:t xml:space="preserve"> ir dažnas </w:t>
      </w:r>
      <w:r w:rsidRPr="00BA3FBD">
        <w:rPr>
          <w:rFonts w:eastAsia="Calibri"/>
          <w:bCs/>
          <w:sz w:val="22"/>
          <w:szCs w:val="22"/>
        </w:rPr>
        <w:t xml:space="preserve"> (gali pasireikšti </w:t>
      </w:r>
      <w:r>
        <w:rPr>
          <w:rFonts w:eastAsia="Calibri"/>
          <w:bCs/>
          <w:sz w:val="22"/>
          <w:szCs w:val="22"/>
        </w:rPr>
        <w:t>mažiau kaip 1 žmogui</w:t>
      </w:r>
      <w:r w:rsidRPr="00BA3FBD">
        <w:rPr>
          <w:rFonts w:eastAsia="Calibri"/>
          <w:bCs/>
          <w:sz w:val="22"/>
          <w:szCs w:val="22"/>
        </w:rPr>
        <w:t xml:space="preserve"> iš 10) </w:t>
      </w:r>
      <w:r w:rsidRPr="00BA3FBD">
        <w:rPr>
          <w:rFonts w:eastAsia="Calibri"/>
          <w:b/>
          <w:bCs/>
          <w:sz w:val="22"/>
          <w:szCs w:val="22"/>
        </w:rPr>
        <w:t xml:space="preserve">šalutinis poveikis: </w:t>
      </w:r>
    </w:p>
    <w:p w14:paraId="30DDE9B2"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Greitai padidėjęs kūno svoris. Vartojant Imatinib Actavis Group organizme gali pradėti kauptis skystis (t.y. pasireikšti sunkus skysčių susilaikymas). </w:t>
      </w:r>
    </w:p>
    <w:p w14:paraId="4C5B1A58"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Infekcijos požymiai – pavyzdžiui, karščiavimas, stiprus šaltkrėtis, gerklės skausmas ar burnos išopėjimas. Imatinib Actavis Group gali sumažinti baltųjų kraujo kūnelių skaičių, todėl galite greičiau užsikrėsti infekcinėmis ligomis. </w:t>
      </w:r>
    </w:p>
    <w:p w14:paraId="5E0E8326" w14:textId="77777777" w:rsidR="008A305D" w:rsidRPr="00BA3FBD" w:rsidRDefault="008A305D" w:rsidP="008A305D">
      <w:pPr>
        <w:pStyle w:val="Sraopastraipa"/>
        <w:numPr>
          <w:ilvl w:val="0"/>
          <w:numId w:val="1"/>
        </w:numPr>
        <w:autoSpaceDE w:val="0"/>
        <w:autoSpaceDN w:val="0"/>
        <w:adjustRightInd w:val="0"/>
        <w:ind w:left="567" w:hanging="567"/>
        <w:rPr>
          <w:rFonts w:eastAsia="Calibri"/>
          <w:sz w:val="22"/>
          <w:szCs w:val="22"/>
        </w:rPr>
      </w:pPr>
      <w:r w:rsidRPr="00BA3FBD">
        <w:rPr>
          <w:rFonts w:eastAsia="Calibri"/>
          <w:sz w:val="22"/>
          <w:szCs w:val="22"/>
        </w:rPr>
        <w:t xml:space="preserve">Netikėtas kraujavimas ar mėlynių susidarymas (be jokio sužalojimo). </w:t>
      </w:r>
    </w:p>
    <w:p w14:paraId="6DCA3932" w14:textId="77777777" w:rsidR="008A305D" w:rsidRPr="00BA3FBD" w:rsidRDefault="008A305D" w:rsidP="008A305D">
      <w:pPr>
        <w:autoSpaceDE w:val="0"/>
        <w:autoSpaceDN w:val="0"/>
        <w:adjustRightInd w:val="0"/>
        <w:rPr>
          <w:rFonts w:eastAsia="Calibri"/>
          <w:sz w:val="22"/>
          <w:szCs w:val="22"/>
        </w:rPr>
      </w:pPr>
    </w:p>
    <w:p w14:paraId="02011EB1"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lastRenderedPageBreak/>
        <w:t xml:space="preserve">Nedažnas </w:t>
      </w:r>
      <w:r w:rsidRPr="00BA3FBD">
        <w:rPr>
          <w:rFonts w:eastAsia="Calibri"/>
          <w:bCs/>
          <w:sz w:val="22"/>
          <w:szCs w:val="22"/>
        </w:rPr>
        <w:t xml:space="preserve">(gali pasireikšti </w:t>
      </w:r>
      <w:r>
        <w:rPr>
          <w:rFonts w:eastAsia="Calibri"/>
          <w:bCs/>
          <w:sz w:val="22"/>
          <w:szCs w:val="22"/>
        </w:rPr>
        <w:t>mažiau kaip 1 žmogui</w:t>
      </w:r>
      <w:r w:rsidRPr="00BA3FBD">
        <w:rPr>
          <w:rFonts w:eastAsia="Calibri"/>
          <w:bCs/>
          <w:sz w:val="22"/>
          <w:szCs w:val="22"/>
        </w:rPr>
        <w:t xml:space="preserve"> iš 100)</w:t>
      </w:r>
      <w:r w:rsidRPr="00BA3FBD">
        <w:rPr>
          <w:rFonts w:eastAsia="Calibri"/>
          <w:b/>
          <w:bCs/>
          <w:sz w:val="22"/>
          <w:szCs w:val="22"/>
        </w:rPr>
        <w:t xml:space="preserve"> ir retas šalutiniai reiškiniai </w:t>
      </w:r>
      <w:r w:rsidRPr="00BA3FBD">
        <w:rPr>
          <w:rFonts w:eastAsia="Calibri"/>
          <w:bCs/>
          <w:sz w:val="22"/>
          <w:szCs w:val="22"/>
        </w:rPr>
        <w:t xml:space="preserve">(gali pasireikšti </w:t>
      </w:r>
      <w:r>
        <w:rPr>
          <w:rFonts w:eastAsia="Calibri"/>
          <w:bCs/>
          <w:sz w:val="22"/>
          <w:szCs w:val="22"/>
        </w:rPr>
        <w:t>mažiau kaip 1 žmogui</w:t>
      </w:r>
      <w:r w:rsidRPr="00BA3FBD">
        <w:rPr>
          <w:rFonts w:eastAsia="Calibri"/>
          <w:bCs/>
          <w:sz w:val="22"/>
          <w:szCs w:val="22"/>
        </w:rPr>
        <w:t xml:space="preserve"> iš 1 000)</w:t>
      </w:r>
      <w:r w:rsidRPr="00BA3FBD">
        <w:rPr>
          <w:rFonts w:eastAsia="Calibri"/>
          <w:b/>
          <w:bCs/>
          <w:sz w:val="22"/>
          <w:szCs w:val="22"/>
        </w:rPr>
        <w:t xml:space="preserve">: </w:t>
      </w:r>
    </w:p>
    <w:p w14:paraId="00031298" w14:textId="77777777" w:rsidR="008A305D" w:rsidRPr="00BA3FBD" w:rsidRDefault="008A305D" w:rsidP="008A305D">
      <w:pPr>
        <w:pStyle w:val="Sraopastraipa"/>
        <w:numPr>
          <w:ilvl w:val="0"/>
          <w:numId w:val="1"/>
        </w:numPr>
        <w:autoSpaceDE w:val="0"/>
        <w:autoSpaceDN w:val="0"/>
        <w:adjustRightInd w:val="0"/>
        <w:spacing w:after="38"/>
        <w:ind w:left="709" w:hanging="709"/>
        <w:rPr>
          <w:rFonts w:eastAsia="Calibri"/>
          <w:sz w:val="22"/>
          <w:szCs w:val="22"/>
        </w:rPr>
      </w:pPr>
      <w:r w:rsidRPr="00BA3FBD">
        <w:rPr>
          <w:rFonts w:eastAsia="Calibri"/>
          <w:sz w:val="22"/>
          <w:szCs w:val="22"/>
        </w:rPr>
        <w:t xml:space="preserve">Skausmas krūtinėje, nereguliarus širdies ritmas (širdies sutrikimų požymiai). </w:t>
      </w:r>
    </w:p>
    <w:p w14:paraId="10ECFDBB" w14:textId="77777777" w:rsidR="008A305D" w:rsidRPr="00BA3FBD" w:rsidRDefault="008A305D" w:rsidP="008A305D">
      <w:pPr>
        <w:pStyle w:val="Sraopastraipa"/>
        <w:numPr>
          <w:ilvl w:val="0"/>
          <w:numId w:val="1"/>
        </w:numPr>
        <w:autoSpaceDE w:val="0"/>
        <w:autoSpaceDN w:val="0"/>
        <w:adjustRightInd w:val="0"/>
        <w:spacing w:after="38"/>
        <w:ind w:left="709" w:hanging="709"/>
        <w:rPr>
          <w:rFonts w:eastAsia="Calibri"/>
          <w:sz w:val="22"/>
          <w:szCs w:val="22"/>
        </w:rPr>
      </w:pPr>
      <w:r w:rsidRPr="00BA3FBD">
        <w:rPr>
          <w:rFonts w:eastAsia="Calibri"/>
          <w:sz w:val="22"/>
          <w:szCs w:val="22"/>
        </w:rPr>
        <w:t xml:space="preserve">Kosulys, pasunkėjęs kvėpavimas arba skausmingas kvėpavimas (plaučių sutrikimų požymiai). </w:t>
      </w:r>
    </w:p>
    <w:p w14:paraId="6ECEB55C" w14:textId="77777777" w:rsidR="008A305D" w:rsidRPr="00BA3FBD" w:rsidRDefault="008A305D" w:rsidP="008A305D">
      <w:pPr>
        <w:pStyle w:val="Sraopastraipa"/>
        <w:numPr>
          <w:ilvl w:val="0"/>
          <w:numId w:val="1"/>
        </w:numPr>
        <w:autoSpaceDE w:val="0"/>
        <w:autoSpaceDN w:val="0"/>
        <w:adjustRightInd w:val="0"/>
        <w:spacing w:after="38"/>
        <w:ind w:left="709" w:hanging="709"/>
        <w:rPr>
          <w:rFonts w:eastAsia="Calibri"/>
          <w:sz w:val="22"/>
          <w:szCs w:val="22"/>
        </w:rPr>
      </w:pPr>
      <w:r w:rsidRPr="00BA3FBD">
        <w:rPr>
          <w:rFonts w:eastAsia="Calibri"/>
          <w:sz w:val="22"/>
          <w:szCs w:val="22"/>
        </w:rPr>
        <w:t xml:space="preserve">Apsvaigimas, galvos svaigimas ar alpimas (žemo kraujospūdžio požymiai). </w:t>
      </w:r>
    </w:p>
    <w:p w14:paraId="0B106FF4" w14:textId="77777777" w:rsidR="008A305D" w:rsidRPr="00BA3FBD" w:rsidRDefault="008A305D" w:rsidP="008A305D">
      <w:pPr>
        <w:pStyle w:val="Sraopastraipa"/>
        <w:numPr>
          <w:ilvl w:val="0"/>
          <w:numId w:val="1"/>
        </w:numPr>
        <w:autoSpaceDE w:val="0"/>
        <w:autoSpaceDN w:val="0"/>
        <w:adjustRightInd w:val="0"/>
        <w:spacing w:after="38"/>
        <w:ind w:left="709" w:hanging="709"/>
        <w:rPr>
          <w:rFonts w:eastAsia="Calibri"/>
          <w:sz w:val="22"/>
          <w:szCs w:val="22"/>
        </w:rPr>
      </w:pPr>
      <w:r w:rsidRPr="00BA3FBD">
        <w:rPr>
          <w:rFonts w:eastAsia="Calibri"/>
          <w:sz w:val="22"/>
          <w:szCs w:val="22"/>
        </w:rPr>
        <w:t xml:space="preserve">Šleikštulys (pykinimas), taip pat apetito trūkumas, tamsus šlapimas, pageltusi oda ar akių baltymai (kepenų sutrikimų požymiai). </w:t>
      </w:r>
    </w:p>
    <w:p w14:paraId="10A39BEA" w14:textId="77777777" w:rsidR="008A305D" w:rsidRPr="00BA3FBD" w:rsidRDefault="008A305D" w:rsidP="008A305D">
      <w:pPr>
        <w:pStyle w:val="Sraopastraipa"/>
        <w:numPr>
          <w:ilvl w:val="0"/>
          <w:numId w:val="1"/>
        </w:numPr>
        <w:autoSpaceDE w:val="0"/>
        <w:autoSpaceDN w:val="0"/>
        <w:adjustRightInd w:val="0"/>
        <w:spacing w:after="38"/>
        <w:ind w:left="709" w:hanging="709"/>
        <w:rPr>
          <w:rFonts w:eastAsia="Calibri"/>
          <w:sz w:val="22"/>
          <w:szCs w:val="22"/>
        </w:rPr>
      </w:pPr>
      <w:r w:rsidRPr="00BA3FBD">
        <w:rPr>
          <w:rFonts w:eastAsia="Calibri"/>
          <w:sz w:val="22"/>
          <w:szCs w:val="22"/>
        </w:rPr>
        <w:t xml:space="preserve">Bėrimas, odos paraudimas, taip pat pūslių atsiradimas ant lūpų, akių, odos arba burnos gleivinės, odos pleiskanojimas, karščiavimas, pakilę raudoni arba purpuriniai odos lopai, niežulys, deginimo pojūtis, pūslinis bėrimas (odos sutrikimų požymiai). </w:t>
      </w:r>
    </w:p>
    <w:p w14:paraId="6FA1234A" w14:textId="77777777" w:rsidR="008A305D" w:rsidRPr="00BA3FBD" w:rsidRDefault="008A305D" w:rsidP="008A305D">
      <w:pPr>
        <w:pStyle w:val="Sraopastraipa"/>
        <w:numPr>
          <w:ilvl w:val="0"/>
          <w:numId w:val="1"/>
        </w:numPr>
        <w:autoSpaceDE w:val="0"/>
        <w:autoSpaceDN w:val="0"/>
        <w:adjustRightInd w:val="0"/>
        <w:spacing w:after="38"/>
        <w:ind w:left="709" w:hanging="709"/>
        <w:rPr>
          <w:rFonts w:eastAsia="Calibri"/>
          <w:sz w:val="22"/>
          <w:szCs w:val="22"/>
        </w:rPr>
      </w:pPr>
      <w:r w:rsidRPr="00BA3FBD">
        <w:rPr>
          <w:rFonts w:eastAsia="Calibri"/>
          <w:sz w:val="22"/>
          <w:szCs w:val="22"/>
        </w:rPr>
        <w:t xml:space="preserve">Stiprus pilvo skausmas, vėmimas, tuštinimasis ar šlapinimasis su kraujo priemaiša, juodos spalvos išmatos (virškinimo trakto sutrikimų požymiai). </w:t>
      </w:r>
    </w:p>
    <w:p w14:paraId="13D3D26F" w14:textId="77777777" w:rsidR="008A305D" w:rsidRPr="00BA3FBD" w:rsidRDefault="008A305D" w:rsidP="008A305D">
      <w:pPr>
        <w:pStyle w:val="Sraopastraipa"/>
        <w:numPr>
          <w:ilvl w:val="0"/>
          <w:numId w:val="1"/>
        </w:numPr>
        <w:autoSpaceDE w:val="0"/>
        <w:autoSpaceDN w:val="0"/>
        <w:adjustRightInd w:val="0"/>
        <w:spacing w:after="38"/>
        <w:ind w:left="709" w:hanging="709"/>
        <w:rPr>
          <w:rFonts w:eastAsia="Calibri"/>
          <w:sz w:val="22"/>
          <w:szCs w:val="22"/>
        </w:rPr>
      </w:pPr>
      <w:r w:rsidRPr="00BA3FBD">
        <w:rPr>
          <w:rFonts w:eastAsia="Calibri"/>
          <w:sz w:val="22"/>
          <w:szCs w:val="22"/>
        </w:rPr>
        <w:t xml:space="preserve">Labai sumažėjęs šlapimo kiekis, troškulys (inkstų sutrikimų požymiai). </w:t>
      </w:r>
    </w:p>
    <w:p w14:paraId="403CAC3D" w14:textId="77777777" w:rsidR="008A305D" w:rsidRPr="00BA3FBD" w:rsidRDefault="008A305D" w:rsidP="008A305D">
      <w:pPr>
        <w:pStyle w:val="Sraopastraipa"/>
        <w:numPr>
          <w:ilvl w:val="0"/>
          <w:numId w:val="1"/>
        </w:numPr>
        <w:autoSpaceDE w:val="0"/>
        <w:autoSpaceDN w:val="0"/>
        <w:adjustRightInd w:val="0"/>
        <w:spacing w:after="38"/>
        <w:ind w:left="709" w:hanging="709"/>
        <w:rPr>
          <w:rFonts w:eastAsia="Calibri"/>
          <w:sz w:val="22"/>
          <w:szCs w:val="22"/>
        </w:rPr>
      </w:pPr>
      <w:r w:rsidRPr="00BA3FBD">
        <w:rPr>
          <w:rFonts w:eastAsia="Calibri"/>
          <w:sz w:val="22"/>
          <w:szCs w:val="22"/>
        </w:rPr>
        <w:t xml:space="preserve">Šleikštulys (pykinimas) kartu su viduriavimu ir vėmimu, pilvo skausmas arba karščiavimas (žarnų sutrikimų požymiai). </w:t>
      </w:r>
    </w:p>
    <w:p w14:paraId="72A877AC" w14:textId="77777777" w:rsidR="008A305D" w:rsidRPr="00BA3FBD" w:rsidRDefault="008A305D" w:rsidP="008A305D">
      <w:pPr>
        <w:pStyle w:val="Sraopastraipa"/>
        <w:numPr>
          <w:ilvl w:val="0"/>
          <w:numId w:val="1"/>
        </w:numPr>
        <w:autoSpaceDE w:val="0"/>
        <w:autoSpaceDN w:val="0"/>
        <w:adjustRightInd w:val="0"/>
        <w:spacing w:after="38"/>
        <w:ind w:left="709" w:hanging="709"/>
        <w:rPr>
          <w:rFonts w:eastAsia="Calibri"/>
          <w:sz w:val="22"/>
          <w:szCs w:val="22"/>
        </w:rPr>
      </w:pPr>
      <w:r w:rsidRPr="00BA3FBD">
        <w:rPr>
          <w:rFonts w:eastAsia="Calibri"/>
          <w:sz w:val="22"/>
          <w:szCs w:val="22"/>
        </w:rPr>
        <w:t xml:space="preserve">Stiprus galvos skausmas, silpnumas arba galūnių ar veido paralyžius, pasunkėjusi kalba, staigus sąmonės praradimas (nervų sistemos sutrikimų, pavyzdžiui, kraujavimo kaukolės ertmėje ar galvos smegenų patinimo, požymiai). </w:t>
      </w:r>
    </w:p>
    <w:p w14:paraId="440407AE" w14:textId="77777777" w:rsidR="008A305D" w:rsidRPr="00BA3FBD" w:rsidRDefault="008A305D" w:rsidP="008A305D">
      <w:pPr>
        <w:pStyle w:val="Sraopastraipa"/>
        <w:numPr>
          <w:ilvl w:val="0"/>
          <w:numId w:val="1"/>
        </w:numPr>
        <w:autoSpaceDE w:val="0"/>
        <w:autoSpaceDN w:val="0"/>
        <w:adjustRightInd w:val="0"/>
        <w:ind w:left="709" w:hanging="709"/>
        <w:rPr>
          <w:rFonts w:eastAsia="Calibri"/>
          <w:sz w:val="22"/>
          <w:szCs w:val="22"/>
        </w:rPr>
      </w:pPr>
      <w:r w:rsidRPr="00BA3FBD">
        <w:rPr>
          <w:rFonts w:eastAsia="Calibri"/>
          <w:sz w:val="22"/>
          <w:szCs w:val="22"/>
        </w:rPr>
        <w:t xml:space="preserve">Išblyškusi oda, nuovargis ir dusulys, tamsus šlapimas (sumažėjusio raudonųjų kraujo ląstelių skaičiaus požymiai). </w:t>
      </w:r>
    </w:p>
    <w:p w14:paraId="69A78456" w14:textId="77777777" w:rsidR="008A305D" w:rsidRPr="00BA3FBD" w:rsidRDefault="008A305D" w:rsidP="008A305D">
      <w:pPr>
        <w:pStyle w:val="Sraopastraipa"/>
        <w:numPr>
          <w:ilvl w:val="0"/>
          <w:numId w:val="1"/>
        </w:numPr>
        <w:autoSpaceDE w:val="0"/>
        <w:autoSpaceDN w:val="0"/>
        <w:adjustRightInd w:val="0"/>
        <w:spacing w:after="38"/>
        <w:ind w:left="709" w:hanging="709"/>
        <w:rPr>
          <w:rFonts w:eastAsia="Calibri"/>
          <w:sz w:val="22"/>
          <w:szCs w:val="22"/>
        </w:rPr>
      </w:pPr>
      <w:r w:rsidRPr="00BA3FBD">
        <w:rPr>
          <w:rFonts w:eastAsia="Calibri"/>
          <w:sz w:val="22"/>
          <w:szCs w:val="22"/>
        </w:rPr>
        <w:t xml:space="preserve">Akies skausmas ar pablogėjusi rega, kraujavimas į akies vidų. </w:t>
      </w:r>
    </w:p>
    <w:p w14:paraId="5A8CC72F" w14:textId="77777777" w:rsidR="008A305D" w:rsidRPr="00BA3FBD" w:rsidRDefault="008A305D" w:rsidP="008A305D">
      <w:pPr>
        <w:pStyle w:val="Sraopastraipa"/>
        <w:numPr>
          <w:ilvl w:val="0"/>
          <w:numId w:val="1"/>
        </w:numPr>
        <w:autoSpaceDE w:val="0"/>
        <w:autoSpaceDN w:val="0"/>
        <w:adjustRightInd w:val="0"/>
        <w:spacing w:after="38"/>
        <w:ind w:left="709" w:hanging="709"/>
        <w:rPr>
          <w:rFonts w:eastAsia="Calibri"/>
          <w:sz w:val="22"/>
          <w:szCs w:val="22"/>
        </w:rPr>
      </w:pPr>
      <w:r w:rsidRPr="00BA3FBD">
        <w:rPr>
          <w:rFonts w:eastAsia="Calibri"/>
          <w:sz w:val="22"/>
          <w:szCs w:val="22"/>
        </w:rPr>
        <w:t xml:space="preserve">Skausmas klubo sąnariuose ar pasunkėjęs vaikščiojimas. </w:t>
      </w:r>
    </w:p>
    <w:p w14:paraId="65C23E26" w14:textId="77777777" w:rsidR="008A305D" w:rsidRPr="00BA3FBD" w:rsidRDefault="008A305D" w:rsidP="008A305D">
      <w:pPr>
        <w:pStyle w:val="Sraopastraipa"/>
        <w:numPr>
          <w:ilvl w:val="0"/>
          <w:numId w:val="1"/>
        </w:numPr>
        <w:autoSpaceDE w:val="0"/>
        <w:autoSpaceDN w:val="0"/>
        <w:adjustRightInd w:val="0"/>
        <w:spacing w:after="38"/>
        <w:ind w:left="709" w:hanging="709"/>
        <w:rPr>
          <w:rFonts w:eastAsia="Calibri"/>
          <w:sz w:val="22"/>
          <w:szCs w:val="22"/>
        </w:rPr>
      </w:pPr>
      <w:r w:rsidRPr="00BA3FBD">
        <w:rPr>
          <w:rFonts w:eastAsia="Calibri"/>
          <w:sz w:val="22"/>
          <w:szCs w:val="22"/>
        </w:rPr>
        <w:t xml:space="preserve">Kojų ir rankų pirštų nutirpimas ar šalimas (Raynaud‘s sindromo požymiai). </w:t>
      </w:r>
    </w:p>
    <w:p w14:paraId="67D71D1B" w14:textId="77777777" w:rsidR="008A305D" w:rsidRPr="00BA3FBD" w:rsidRDefault="008A305D" w:rsidP="008A305D">
      <w:pPr>
        <w:pStyle w:val="Sraopastraipa"/>
        <w:numPr>
          <w:ilvl w:val="0"/>
          <w:numId w:val="1"/>
        </w:numPr>
        <w:autoSpaceDE w:val="0"/>
        <w:autoSpaceDN w:val="0"/>
        <w:adjustRightInd w:val="0"/>
        <w:spacing w:after="38"/>
        <w:ind w:left="709" w:hanging="709"/>
        <w:rPr>
          <w:rFonts w:eastAsia="Calibri"/>
          <w:sz w:val="22"/>
          <w:szCs w:val="22"/>
        </w:rPr>
      </w:pPr>
      <w:r w:rsidRPr="00BA3FBD">
        <w:rPr>
          <w:rFonts w:eastAsia="Calibri"/>
          <w:sz w:val="22"/>
          <w:szCs w:val="22"/>
        </w:rPr>
        <w:t xml:space="preserve">Staigus odos patinimas ir paraudimas (odos infekcijos, vadinamos celiulitu, požymiai). </w:t>
      </w:r>
    </w:p>
    <w:p w14:paraId="428484D4" w14:textId="77777777" w:rsidR="008A305D" w:rsidRPr="00BA3FBD" w:rsidRDefault="008A305D" w:rsidP="008A305D">
      <w:pPr>
        <w:pStyle w:val="Sraopastraipa"/>
        <w:numPr>
          <w:ilvl w:val="0"/>
          <w:numId w:val="1"/>
        </w:numPr>
        <w:autoSpaceDE w:val="0"/>
        <w:autoSpaceDN w:val="0"/>
        <w:adjustRightInd w:val="0"/>
        <w:spacing w:after="38"/>
        <w:ind w:left="709" w:hanging="709"/>
        <w:rPr>
          <w:rFonts w:eastAsia="Calibri"/>
          <w:sz w:val="22"/>
          <w:szCs w:val="22"/>
        </w:rPr>
      </w:pPr>
      <w:r w:rsidRPr="00BA3FBD">
        <w:rPr>
          <w:rFonts w:eastAsia="Calibri"/>
          <w:sz w:val="22"/>
          <w:szCs w:val="22"/>
        </w:rPr>
        <w:t xml:space="preserve">Sutrikusi klausa. </w:t>
      </w:r>
    </w:p>
    <w:p w14:paraId="70E881B2" w14:textId="77777777" w:rsidR="008A305D" w:rsidRPr="00BA3FBD" w:rsidRDefault="008A305D" w:rsidP="008A305D">
      <w:pPr>
        <w:pStyle w:val="Sraopastraipa"/>
        <w:numPr>
          <w:ilvl w:val="0"/>
          <w:numId w:val="1"/>
        </w:numPr>
        <w:autoSpaceDE w:val="0"/>
        <w:autoSpaceDN w:val="0"/>
        <w:adjustRightInd w:val="0"/>
        <w:spacing w:after="38"/>
        <w:ind w:left="709" w:hanging="709"/>
        <w:rPr>
          <w:rFonts w:eastAsia="Calibri"/>
          <w:sz w:val="22"/>
          <w:szCs w:val="22"/>
        </w:rPr>
      </w:pPr>
      <w:r w:rsidRPr="00BA3FBD">
        <w:rPr>
          <w:rFonts w:eastAsia="Calibri"/>
          <w:sz w:val="22"/>
          <w:szCs w:val="22"/>
        </w:rPr>
        <w:t xml:space="preserve">Raumenų silpnumas ir spazmas kartu su sutrikusiu širdies ritmu (požymiai, rodantys, kad pakito kalio kiekis Jūsų kraujyje). </w:t>
      </w:r>
    </w:p>
    <w:p w14:paraId="22C46AD9" w14:textId="77777777" w:rsidR="008A305D" w:rsidRPr="00BA3FBD" w:rsidRDefault="008A305D" w:rsidP="008A305D">
      <w:pPr>
        <w:pStyle w:val="Sraopastraipa"/>
        <w:numPr>
          <w:ilvl w:val="0"/>
          <w:numId w:val="1"/>
        </w:numPr>
        <w:autoSpaceDE w:val="0"/>
        <w:autoSpaceDN w:val="0"/>
        <w:adjustRightInd w:val="0"/>
        <w:spacing w:after="38"/>
        <w:ind w:left="709" w:hanging="709"/>
        <w:rPr>
          <w:rFonts w:eastAsia="Calibri"/>
          <w:sz w:val="22"/>
          <w:szCs w:val="22"/>
        </w:rPr>
      </w:pPr>
      <w:r w:rsidRPr="00BA3FBD">
        <w:rPr>
          <w:rFonts w:eastAsia="Calibri"/>
          <w:sz w:val="22"/>
          <w:szCs w:val="22"/>
        </w:rPr>
        <w:t xml:space="preserve">Mėlynės. </w:t>
      </w:r>
    </w:p>
    <w:p w14:paraId="6443D0EF" w14:textId="77777777" w:rsidR="008A305D" w:rsidRPr="00BA3FBD" w:rsidRDefault="008A305D" w:rsidP="008A305D">
      <w:pPr>
        <w:pStyle w:val="Sraopastraipa"/>
        <w:numPr>
          <w:ilvl w:val="0"/>
          <w:numId w:val="1"/>
        </w:numPr>
        <w:autoSpaceDE w:val="0"/>
        <w:autoSpaceDN w:val="0"/>
        <w:adjustRightInd w:val="0"/>
        <w:spacing w:after="38"/>
        <w:ind w:left="709" w:hanging="709"/>
        <w:rPr>
          <w:rFonts w:eastAsia="Calibri"/>
          <w:sz w:val="22"/>
          <w:szCs w:val="22"/>
        </w:rPr>
      </w:pPr>
      <w:r w:rsidRPr="00BA3FBD">
        <w:rPr>
          <w:rFonts w:eastAsia="Calibri"/>
          <w:sz w:val="22"/>
          <w:szCs w:val="22"/>
        </w:rPr>
        <w:t xml:space="preserve">Skrandžio skausmas kartu su šleikštuliu (pykinimu). </w:t>
      </w:r>
    </w:p>
    <w:p w14:paraId="18B35351" w14:textId="77777777" w:rsidR="008A305D" w:rsidRPr="00BA3FBD" w:rsidRDefault="008A305D" w:rsidP="008A305D">
      <w:pPr>
        <w:pStyle w:val="Sraopastraipa"/>
        <w:numPr>
          <w:ilvl w:val="0"/>
          <w:numId w:val="1"/>
        </w:numPr>
        <w:autoSpaceDE w:val="0"/>
        <w:autoSpaceDN w:val="0"/>
        <w:adjustRightInd w:val="0"/>
        <w:spacing w:after="38"/>
        <w:ind w:left="709" w:hanging="709"/>
        <w:rPr>
          <w:rFonts w:eastAsia="Calibri"/>
          <w:sz w:val="22"/>
          <w:szCs w:val="22"/>
        </w:rPr>
      </w:pPr>
      <w:r w:rsidRPr="00BA3FBD">
        <w:rPr>
          <w:rFonts w:eastAsia="Calibri"/>
          <w:sz w:val="22"/>
          <w:szCs w:val="22"/>
        </w:rPr>
        <w:t xml:space="preserve">Raumenų spazmai ir kartu pasireiškiantis karščiavimas, raudonai rudos spalvos šlapimas, raumenų skausmas ar silpnumas (raumenų sutrikimų požymiai). </w:t>
      </w:r>
    </w:p>
    <w:p w14:paraId="329012E2" w14:textId="77777777" w:rsidR="008A305D" w:rsidRPr="00BA3FBD" w:rsidRDefault="008A305D" w:rsidP="008A305D">
      <w:pPr>
        <w:pStyle w:val="Sraopastraipa"/>
        <w:numPr>
          <w:ilvl w:val="0"/>
          <w:numId w:val="1"/>
        </w:numPr>
        <w:autoSpaceDE w:val="0"/>
        <w:autoSpaceDN w:val="0"/>
        <w:adjustRightInd w:val="0"/>
        <w:spacing w:after="38"/>
        <w:ind w:left="709" w:hanging="709"/>
        <w:rPr>
          <w:rFonts w:eastAsia="Calibri"/>
          <w:sz w:val="22"/>
          <w:szCs w:val="22"/>
        </w:rPr>
      </w:pPr>
      <w:r w:rsidRPr="00BA3FBD">
        <w:rPr>
          <w:rFonts w:eastAsia="Calibri"/>
          <w:sz w:val="22"/>
          <w:szCs w:val="22"/>
        </w:rPr>
        <w:t xml:space="preserve">Dubens srities skausmas, kartais kartu su pykinimu ir vėmimu, kartu su netikėtu kraujavimu iš makšties, galvos svaigimu ar alpimu dėl sumažėjusio kraujospūdžio (kiaušidžių ar gimdos sutrikimų požymiai). </w:t>
      </w:r>
    </w:p>
    <w:p w14:paraId="5C313461" w14:textId="77777777" w:rsidR="008A305D" w:rsidRPr="00BA3FBD" w:rsidRDefault="008A305D" w:rsidP="008A305D">
      <w:pPr>
        <w:pStyle w:val="Sraopastraipa"/>
        <w:numPr>
          <w:ilvl w:val="0"/>
          <w:numId w:val="1"/>
        </w:numPr>
        <w:autoSpaceDE w:val="0"/>
        <w:autoSpaceDN w:val="0"/>
        <w:adjustRightInd w:val="0"/>
        <w:ind w:left="709" w:hanging="709"/>
        <w:rPr>
          <w:rFonts w:eastAsia="Calibri"/>
          <w:sz w:val="22"/>
          <w:szCs w:val="22"/>
        </w:rPr>
      </w:pPr>
      <w:r w:rsidRPr="00BA3FBD">
        <w:rPr>
          <w:rFonts w:eastAsia="Calibri"/>
          <w:sz w:val="22"/>
          <w:szCs w:val="22"/>
        </w:rPr>
        <w:lastRenderedPageBreak/>
        <w:t xml:space="preserve">Pykinimas, oro trūkumas, nereguliarus širdies ritmas, drumstas šlapimas, nuovargis ir/arba sąnarių diskomfortas susijęs su anomaliais laboratorinių tyrimų rezultatais (pvz., didelis kalio, šlapimo rūgšties ir kalcio kiekis ir mažas fosforo kiekis kraujyje). </w:t>
      </w:r>
    </w:p>
    <w:p w14:paraId="66B343A1" w14:textId="77777777" w:rsidR="008A305D" w:rsidRPr="00BA3FBD" w:rsidRDefault="008A305D" w:rsidP="008A305D">
      <w:pPr>
        <w:pStyle w:val="Sraopastraipa"/>
        <w:autoSpaceDE w:val="0"/>
        <w:autoSpaceDN w:val="0"/>
        <w:adjustRightInd w:val="0"/>
        <w:ind w:left="0"/>
        <w:rPr>
          <w:rFonts w:eastAsia="Calibri"/>
          <w:sz w:val="22"/>
          <w:szCs w:val="22"/>
        </w:rPr>
      </w:pPr>
    </w:p>
    <w:p w14:paraId="063661E4" w14:textId="77777777" w:rsidR="008A305D" w:rsidRPr="00BA3FBD" w:rsidRDefault="008A305D" w:rsidP="008A305D">
      <w:pPr>
        <w:pStyle w:val="Sraopastraipa"/>
        <w:autoSpaceDE w:val="0"/>
        <w:autoSpaceDN w:val="0"/>
        <w:adjustRightInd w:val="0"/>
        <w:ind w:left="0"/>
        <w:rPr>
          <w:rFonts w:eastAsia="Calibri"/>
          <w:sz w:val="22"/>
          <w:szCs w:val="22"/>
        </w:rPr>
      </w:pPr>
      <w:r w:rsidRPr="00BA3FBD">
        <w:rPr>
          <w:rFonts w:eastAsia="Calibri"/>
          <w:b/>
          <w:sz w:val="22"/>
          <w:szCs w:val="22"/>
        </w:rPr>
        <w:t xml:space="preserve">Dažnis nežinomas </w:t>
      </w:r>
      <w:r w:rsidRPr="00BA3FBD">
        <w:rPr>
          <w:rFonts w:eastAsia="Calibri"/>
          <w:sz w:val="22"/>
          <w:szCs w:val="22"/>
        </w:rPr>
        <w:t>(negali būti apskaičiuotas pagal turimus duomenis):</w:t>
      </w:r>
    </w:p>
    <w:p w14:paraId="6F56189B" w14:textId="77777777" w:rsidR="008A305D" w:rsidRPr="00BA3FBD" w:rsidRDefault="008A305D" w:rsidP="008A305D">
      <w:pPr>
        <w:pStyle w:val="Sraopastraipa"/>
        <w:numPr>
          <w:ilvl w:val="0"/>
          <w:numId w:val="1"/>
        </w:numPr>
        <w:autoSpaceDE w:val="0"/>
        <w:autoSpaceDN w:val="0"/>
        <w:adjustRightInd w:val="0"/>
        <w:ind w:left="709" w:hanging="709"/>
        <w:rPr>
          <w:rFonts w:eastAsia="Calibri"/>
          <w:sz w:val="22"/>
          <w:szCs w:val="22"/>
        </w:rPr>
      </w:pPr>
      <w:r w:rsidRPr="00BA3FBD">
        <w:rPr>
          <w:rFonts w:eastAsia="Calibri"/>
          <w:sz w:val="22"/>
          <w:szCs w:val="22"/>
        </w:rPr>
        <w:t>Plačiai išplitęs stiprus odos bėrimas kartu su pykinimu, karščiavimu, kai kurių baltųjų kraujo kūnelių skaičiaus padidėjimu arba odos ir akių pageltimu (geltos požymiai), lydimas dusulio, krūtinės skausmo/diskomforto, labai sumažėjusio šlapimo išsiskyrimo bei troškulio ir t.t. (alerginės reakcijos požymiai susiję su gydymu).</w:t>
      </w:r>
    </w:p>
    <w:p w14:paraId="54FAD5AA" w14:textId="77777777" w:rsidR="008A305D" w:rsidRPr="00BA3FBD" w:rsidRDefault="008A305D" w:rsidP="008A305D">
      <w:pPr>
        <w:pStyle w:val="Sraopastraipa"/>
        <w:numPr>
          <w:ilvl w:val="0"/>
          <w:numId w:val="1"/>
        </w:numPr>
        <w:autoSpaceDE w:val="0"/>
        <w:autoSpaceDN w:val="0"/>
        <w:adjustRightInd w:val="0"/>
        <w:ind w:left="709" w:hanging="709"/>
        <w:rPr>
          <w:rFonts w:eastAsia="Calibri"/>
          <w:sz w:val="22"/>
          <w:szCs w:val="22"/>
        </w:rPr>
      </w:pPr>
      <w:r w:rsidRPr="00BA3FBD">
        <w:rPr>
          <w:rFonts w:eastAsia="Calibri"/>
          <w:sz w:val="22"/>
          <w:szCs w:val="22"/>
        </w:rPr>
        <w:t>Lėtinis inkstų nepakankamumas.</w:t>
      </w:r>
    </w:p>
    <w:p w14:paraId="7ABF6CD2" w14:textId="77777777" w:rsidR="008A305D" w:rsidRPr="009E05E3" w:rsidRDefault="008A305D" w:rsidP="0012495D">
      <w:pPr>
        <w:autoSpaceDE w:val="0"/>
        <w:autoSpaceDN w:val="0"/>
        <w:adjustRightInd w:val="0"/>
        <w:rPr>
          <w:rFonts w:eastAsia="Calibri"/>
          <w:sz w:val="22"/>
          <w:szCs w:val="22"/>
        </w:rPr>
      </w:pPr>
    </w:p>
    <w:p w14:paraId="1CBEB219"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Jeigu Jums pasireikštų bet kuris iš anksčiau nurodytų reiškinių, </w:t>
      </w:r>
      <w:r w:rsidRPr="00BA3FBD">
        <w:rPr>
          <w:rFonts w:eastAsia="Calibri"/>
          <w:b/>
          <w:bCs/>
          <w:sz w:val="22"/>
          <w:szCs w:val="22"/>
        </w:rPr>
        <w:t xml:space="preserve">nedelsiant pasakykite gydytojui. </w:t>
      </w:r>
    </w:p>
    <w:p w14:paraId="5AC31BA8" w14:textId="77777777" w:rsidR="008A305D" w:rsidRPr="00BA3FBD" w:rsidRDefault="008A305D" w:rsidP="008A305D">
      <w:pPr>
        <w:autoSpaceDE w:val="0"/>
        <w:autoSpaceDN w:val="0"/>
        <w:adjustRightInd w:val="0"/>
        <w:rPr>
          <w:rFonts w:eastAsia="Calibri"/>
          <w:b/>
          <w:bCs/>
          <w:sz w:val="22"/>
          <w:szCs w:val="22"/>
        </w:rPr>
      </w:pPr>
    </w:p>
    <w:p w14:paraId="0A08ED2D"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Taip pat gali pasireikšti kiti šalutiniai reiškiniai: </w:t>
      </w:r>
    </w:p>
    <w:p w14:paraId="137F9577" w14:textId="77777777" w:rsidR="008A305D" w:rsidRPr="00BA3FBD" w:rsidRDefault="008A305D" w:rsidP="008A305D">
      <w:pPr>
        <w:autoSpaceDE w:val="0"/>
        <w:autoSpaceDN w:val="0"/>
        <w:adjustRightInd w:val="0"/>
        <w:rPr>
          <w:rFonts w:eastAsia="Calibri"/>
          <w:b/>
          <w:bCs/>
          <w:sz w:val="22"/>
          <w:szCs w:val="22"/>
        </w:rPr>
      </w:pPr>
    </w:p>
    <w:p w14:paraId="2095BFF6"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Labai dažnas šalutinis poveikis </w:t>
      </w:r>
      <w:r w:rsidRPr="00BA3FBD">
        <w:rPr>
          <w:rFonts w:eastAsia="Calibri"/>
          <w:bCs/>
          <w:sz w:val="22"/>
          <w:szCs w:val="22"/>
        </w:rPr>
        <w:t>(gali pasireikšti daugiau nei 1 žmogui iš 10)</w:t>
      </w:r>
      <w:r w:rsidRPr="00BA3FBD">
        <w:rPr>
          <w:rFonts w:eastAsia="Calibri"/>
          <w:b/>
          <w:bCs/>
          <w:sz w:val="22"/>
          <w:szCs w:val="22"/>
        </w:rPr>
        <w:t xml:space="preserve">: </w:t>
      </w:r>
    </w:p>
    <w:p w14:paraId="2BF21004"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Galvos skausmas ar nuovargis. </w:t>
      </w:r>
    </w:p>
    <w:p w14:paraId="005D4685"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Šleikštulys (pykinimas), vėmimas, viduriavimas ar nevirškinimas. </w:t>
      </w:r>
    </w:p>
    <w:p w14:paraId="1567005C"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Bėrimas. </w:t>
      </w:r>
    </w:p>
    <w:p w14:paraId="2B858B10"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Raumenų mėšlungis arba sąnarių, raumenų ir kaulų skausmas. </w:t>
      </w:r>
    </w:p>
    <w:p w14:paraId="3D34AB27"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Tinimas, pavyzdžiui, patinusios kulkšnys ar paburkę akių vokai. </w:t>
      </w:r>
    </w:p>
    <w:p w14:paraId="2896C804" w14:textId="77777777" w:rsidR="008A305D" w:rsidRPr="00BA3FBD" w:rsidRDefault="008A305D" w:rsidP="008A305D">
      <w:pPr>
        <w:pStyle w:val="Sraopastraipa"/>
        <w:numPr>
          <w:ilvl w:val="0"/>
          <w:numId w:val="1"/>
        </w:numPr>
        <w:autoSpaceDE w:val="0"/>
        <w:autoSpaceDN w:val="0"/>
        <w:adjustRightInd w:val="0"/>
        <w:ind w:left="567" w:hanging="567"/>
        <w:rPr>
          <w:rFonts w:eastAsia="Calibri"/>
          <w:sz w:val="22"/>
          <w:szCs w:val="22"/>
        </w:rPr>
      </w:pPr>
      <w:r w:rsidRPr="00BA3FBD">
        <w:rPr>
          <w:rFonts w:eastAsia="Calibri"/>
          <w:sz w:val="22"/>
          <w:szCs w:val="22"/>
        </w:rPr>
        <w:t xml:space="preserve">Padidėjęs kūno svoris. </w:t>
      </w:r>
    </w:p>
    <w:p w14:paraId="3B841AEB"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 bet kuris iš šių reiškinių tampa sunkiu, </w:t>
      </w:r>
      <w:r w:rsidRPr="00BA3FBD">
        <w:rPr>
          <w:rFonts w:eastAsia="Calibri"/>
          <w:b/>
          <w:bCs/>
          <w:sz w:val="22"/>
          <w:szCs w:val="22"/>
        </w:rPr>
        <w:t>pasakykite gydytojui</w:t>
      </w:r>
      <w:r w:rsidRPr="00BA3FBD">
        <w:rPr>
          <w:rFonts w:eastAsia="Calibri"/>
          <w:sz w:val="22"/>
          <w:szCs w:val="22"/>
        </w:rPr>
        <w:t xml:space="preserve">. </w:t>
      </w:r>
    </w:p>
    <w:p w14:paraId="56097E90" w14:textId="77777777" w:rsidR="008A305D" w:rsidRPr="00BA3FBD" w:rsidRDefault="008A305D" w:rsidP="008A305D">
      <w:pPr>
        <w:autoSpaceDE w:val="0"/>
        <w:autoSpaceDN w:val="0"/>
        <w:adjustRightInd w:val="0"/>
        <w:rPr>
          <w:rFonts w:eastAsia="Calibri"/>
          <w:b/>
          <w:bCs/>
          <w:sz w:val="22"/>
          <w:szCs w:val="22"/>
        </w:rPr>
      </w:pPr>
    </w:p>
    <w:p w14:paraId="4549484F"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Dažnas šalutinis poveikis </w:t>
      </w:r>
      <w:r w:rsidRPr="00BA3FBD">
        <w:rPr>
          <w:rFonts w:eastAsia="Calibri"/>
          <w:bCs/>
          <w:sz w:val="22"/>
          <w:szCs w:val="22"/>
        </w:rPr>
        <w:t xml:space="preserve">(gali pasireikšti </w:t>
      </w:r>
      <w:r>
        <w:rPr>
          <w:rFonts w:eastAsia="Calibri"/>
          <w:bCs/>
          <w:sz w:val="22"/>
          <w:szCs w:val="22"/>
        </w:rPr>
        <w:t xml:space="preserve">mažiau kaip </w:t>
      </w:r>
      <w:r w:rsidRPr="00BA3FBD">
        <w:rPr>
          <w:rFonts w:eastAsia="Calibri"/>
          <w:bCs/>
          <w:sz w:val="22"/>
          <w:szCs w:val="22"/>
        </w:rPr>
        <w:t>1 iš 10 žmonių)</w:t>
      </w:r>
      <w:r w:rsidRPr="00BA3FBD">
        <w:rPr>
          <w:rFonts w:eastAsia="Calibri"/>
          <w:b/>
          <w:bCs/>
          <w:sz w:val="22"/>
          <w:szCs w:val="22"/>
        </w:rPr>
        <w:t xml:space="preserve">: </w:t>
      </w:r>
    </w:p>
    <w:p w14:paraId="2767CB0E"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Anoreksija, sumažėjęs kūno svoris, sutrikęs skonio jutimas. </w:t>
      </w:r>
    </w:p>
    <w:p w14:paraId="53E58F15"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Galvos svaigimas, silpnumas. </w:t>
      </w:r>
    </w:p>
    <w:p w14:paraId="28AEFEE8"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Sunkumas užmigti (nemiga). </w:t>
      </w:r>
    </w:p>
    <w:p w14:paraId="5C75E1CC"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Išskyros iš akies kartu su niežuliu, paraudimu ir patinimu (konjunktyvitas), ašarojimas, neryškus matymas. </w:t>
      </w:r>
    </w:p>
    <w:p w14:paraId="31642EF2"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Kraujavimas iš nosies. </w:t>
      </w:r>
    </w:p>
    <w:p w14:paraId="6B69B99A"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Pilvo skausmas ar patinimas, vidurių pūtimas, rėmuo, vidurių užkietėjimas. </w:t>
      </w:r>
    </w:p>
    <w:p w14:paraId="520231EB"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Niežulys. </w:t>
      </w:r>
    </w:p>
    <w:p w14:paraId="3941F0A5"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Neįprastas plaukų slinkimas ar plonėjimas. </w:t>
      </w:r>
    </w:p>
    <w:p w14:paraId="31B9AF7A"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Plaštakų ar pėdų tirpimas. </w:t>
      </w:r>
    </w:p>
    <w:p w14:paraId="3B8DA460"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Burnos išopėjimas. </w:t>
      </w:r>
    </w:p>
    <w:p w14:paraId="43E7D489"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Sąnarių skausmas ir patinimas. </w:t>
      </w:r>
    </w:p>
    <w:p w14:paraId="2FD1678F"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t xml:space="preserve">Burnos, odos ar akių džiūvimas. </w:t>
      </w:r>
    </w:p>
    <w:p w14:paraId="0F7E9FFC" w14:textId="77777777" w:rsidR="008A305D" w:rsidRPr="00BA3FBD" w:rsidRDefault="008A305D" w:rsidP="008A305D">
      <w:pPr>
        <w:pStyle w:val="Sraopastraipa"/>
        <w:numPr>
          <w:ilvl w:val="0"/>
          <w:numId w:val="1"/>
        </w:numPr>
        <w:autoSpaceDE w:val="0"/>
        <w:autoSpaceDN w:val="0"/>
        <w:adjustRightInd w:val="0"/>
        <w:spacing w:after="38"/>
        <w:ind w:left="567" w:hanging="567"/>
        <w:rPr>
          <w:rFonts w:eastAsia="Calibri"/>
          <w:sz w:val="22"/>
          <w:szCs w:val="22"/>
        </w:rPr>
      </w:pPr>
      <w:r w:rsidRPr="00BA3FBD">
        <w:rPr>
          <w:rFonts w:eastAsia="Calibri"/>
          <w:sz w:val="22"/>
          <w:szCs w:val="22"/>
        </w:rPr>
        <w:lastRenderedPageBreak/>
        <w:t xml:space="preserve">Sumažėjęs arba padidėjęs odos jautrumas. </w:t>
      </w:r>
    </w:p>
    <w:p w14:paraId="07CC4185" w14:textId="77777777" w:rsidR="008A305D" w:rsidRPr="00BA3FBD" w:rsidRDefault="008A305D" w:rsidP="008A305D">
      <w:pPr>
        <w:pStyle w:val="Sraopastraipa"/>
        <w:numPr>
          <w:ilvl w:val="0"/>
          <w:numId w:val="1"/>
        </w:numPr>
        <w:autoSpaceDE w:val="0"/>
        <w:autoSpaceDN w:val="0"/>
        <w:adjustRightInd w:val="0"/>
        <w:ind w:left="567" w:hanging="567"/>
        <w:rPr>
          <w:rFonts w:eastAsia="Calibri"/>
          <w:sz w:val="22"/>
          <w:szCs w:val="22"/>
        </w:rPr>
      </w:pPr>
      <w:r w:rsidRPr="00BA3FBD">
        <w:rPr>
          <w:rFonts w:eastAsia="Calibri"/>
          <w:sz w:val="22"/>
          <w:szCs w:val="22"/>
        </w:rPr>
        <w:t xml:space="preserve">Karščio pylimai, drebulys, naktinis prakaitavimas. </w:t>
      </w:r>
    </w:p>
    <w:p w14:paraId="41FA3CEB"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 bet kuris iš šių reiškinių tampa sunkiu, </w:t>
      </w:r>
      <w:r w:rsidRPr="00BA3FBD">
        <w:rPr>
          <w:rFonts w:eastAsia="Calibri"/>
          <w:b/>
          <w:bCs/>
          <w:sz w:val="22"/>
          <w:szCs w:val="22"/>
        </w:rPr>
        <w:t>pasakykite gydytojui</w:t>
      </w:r>
      <w:r w:rsidRPr="00BA3FBD">
        <w:rPr>
          <w:rFonts w:eastAsia="Calibri"/>
          <w:sz w:val="22"/>
          <w:szCs w:val="22"/>
        </w:rPr>
        <w:t>.</w:t>
      </w:r>
    </w:p>
    <w:p w14:paraId="37FFE6A7" w14:textId="77777777" w:rsidR="008A305D" w:rsidRPr="00BA3FBD" w:rsidRDefault="008A305D" w:rsidP="008A305D">
      <w:pPr>
        <w:autoSpaceDE w:val="0"/>
        <w:autoSpaceDN w:val="0"/>
        <w:adjustRightInd w:val="0"/>
        <w:rPr>
          <w:rFonts w:eastAsia="Calibri"/>
          <w:sz w:val="22"/>
          <w:szCs w:val="22"/>
        </w:rPr>
      </w:pPr>
    </w:p>
    <w:p w14:paraId="6F4061FE" w14:textId="77777777" w:rsidR="008A305D" w:rsidRPr="00BA3FBD" w:rsidRDefault="008A305D" w:rsidP="008A305D">
      <w:pPr>
        <w:autoSpaceDE w:val="0"/>
        <w:autoSpaceDN w:val="0"/>
        <w:adjustRightInd w:val="0"/>
        <w:rPr>
          <w:rFonts w:eastAsia="Calibri"/>
          <w:sz w:val="22"/>
          <w:szCs w:val="22"/>
        </w:rPr>
      </w:pPr>
      <w:r w:rsidRPr="00BA3FBD">
        <w:rPr>
          <w:rFonts w:eastAsia="Calibri"/>
          <w:b/>
          <w:sz w:val="22"/>
          <w:szCs w:val="22"/>
        </w:rPr>
        <w:t>Dažnis nežinomas</w:t>
      </w:r>
      <w:r w:rsidRPr="00BA3FBD">
        <w:rPr>
          <w:rFonts w:eastAsia="Calibri"/>
          <w:sz w:val="22"/>
          <w:szCs w:val="22"/>
        </w:rPr>
        <w:t xml:space="preserve"> (negali būti apskaičiuotas pagal turimus duomenis).</w:t>
      </w:r>
    </w:p>
    <w:p w14:paraId="13FC3880" w14:textId="77777777" w:rsidR="008A305D" w:rsidRPr="00BA3FBD" w:rsidRDefault="008A305D" w:rsidP="008A305D">
      <w:pPr>
        <w:pStyle w:val="Sraopastraipa"/>
        <w:numPr>
          <w:ilvl w:val="0"/>
          <w:numId w:val="1"/>
        </w:numPr>
        <w:autoSpaceDE w:val="0"/>
        <w:autoSpaceDN w:val="0"/>
        <w:adjustRightInd w:val="0"/>
        <w:spacing w:after="35"/>
        <w:ind w:left="709" w:hanging="709"/>
        <w:rPr>
          <w:rFonts w:eastAsia="Calibri"/>
          <w:sz w:val="22"/>
          <w:szCs w:val="22"/>
        </w:rPr>
      </w:pPr>
      <w:r w:rsidRPr="00BA3FBD">
        <w:rPr>
          <w:rFonts w:eastAsia="Calibri"/>
          <w:sz w:val="22"/>
          <w:szCs w:val="22"/>
        </w:rPr>
        <w:t xml:space="preserve">Delnų ir padų paraudimas ir (arba) patinimas, kurie gali pasireikšti kartu su dilgčiojimo pojūčiu ir deginančiu skausmu. </w:t>
      </w:r>
    </w:p>
    <w:p w14:paraId="4E103747" w14:textId="7E26EA2C" w:rsidR="008A305D" w:rsidRDefault="008A305D" w:rsidP="008A305D">
      <w:pPr>
        <w:pStyle w:val="Sraopastraipa"/>
        <w:numPr>
          <w:ilvl w:val="0"/>
          <w:numId w:val="1"/>
        </w:numPr>
        <w:autoSpaceDE w:val="0"/>
        <w:autoSpaceDN w:val="0"/>
        <w:adjustRightInd w:val="0"/>
        <w:ind w:left="709" w:hanging="709"/>
        <w:rPr>
          <w:rFonts w:eastAsia="Calibri"/>
          <w:sz w:val="22"/>
          <w:szCs w:val="22"/>
        </w:rPr>
      </w:pPr>
      <w:r w:rsidRPr="00BA3FBD">
        <w:rPr>
          <w:rFonts w:eastAsia="Calibri"/>
          <w:sz w:val="22"/>
          <w:szCs w:val="22"/>
        </w:rPr>
        <w:t>Sulėtėjęs vaikų ir paauglių augimas.</w:t>
      </w:r>
    </w:p>
    <w:p w14:paraId="0311FF83" w14:textId="63E83FD7" w:rsidR="005E4E29" w:rsidRPr="005E4E29" w:rsidRDefault="005E4E29" w:rsidP="005E4E29">
      <w:pPr>
        <w:pStyle w:val="Sraopastraipa"/>
        <w:numPr>
          <w:ilvl w:val="0"/>
          <w:numId w:val="1"/>
        </w:numPr>
        <w:ind w:left="709" w:hanging="709"/>
        <w:rPr>
          <w:rFonts w:eastAsia="Calibri"/>
          <w:sz w:val="22"/>
          <w:szCs w:val="22"/>
        </w:rPr>
      </w:pPr>
      <w:r w:rsidRPr="005E4E29">
        <w:rPr>
          <w:rFonts w:eastAsia="Calibri"/>
          <w:sz w:val="22"/>
          <w:szCs w:val="22"/>
        </w:rPr>
        <w:t>Hepatito B infekcijos atsinaujinimas (reaktyvacija), jeigu praeityje jums buvo diagnozuotas hepatitas B (kepenų infekcija).</w:t>
      </w:r>
    </w:p>
    <w:p w14:paraId="5F258225"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Jei bet kuris iš šių reiškinių tampa sunkiu, </w:t>
      </w:r>
      <w:r w:rsidRPr="00BA3FBD">
        <w:rPr>
          <w:rFonts w:eastAsia="Calibri"/>
          <w:b/>
          <w:bCs/>
          <w:sz w:val="22"/>
          <w:szCs w:val="22"/>
        </w:rPr>
        <w:t>pasakykite gydytojui</w:t>
      </w:r>
      <w:r w:rsidRPr="00BA3FBD">
        <w:rPr>
          <w:rFonts w:eastAsia="Calibri"/>
          <w:sz w:val="22"/>
          <w:szCs w:val="22"/>
        </w:rPr>
        <w:t xml:space="preserve">. </w:t>
      </w:r>
    </w:p>
    <w:p w14:paraId="3CFEC019" w14:textId="77777777" w:rsidR="008A305D" w:rsidRPr="00BA3FBD" w:rsidRDefault="008A305D" w:rsidP="008A305D">
      <w:pPr>
        <w:autoSpaceDE w:val="0"/>
        <w:autoSpaceDN w:val="0"/>
        <w:adjustRightInd w:val="0"/>
        <w:rPr>
          <w:rFonts w:eastAsia="Calibri"/>
        </w:rPr>
      </w:pPr>
    </w:p>
    <w:p w14:paraId="141C6630" w14:textId="77777777" w:rsidR="008A305D" w:rsidRPr="00BA3FBD" w:rsidRDefault="008A305D" w:rsidP="008A305D">
      <w:pPr>
        <w:rPr>
          <w:b/>
          <w:sz w:val="22"/>
          <w:szCs w:val="22"/>
        </w:rPr>
      </w:pPr>
      <w:r w:rsidRPr="00BA3FBD">
        <w:rPr>
          <w:b/>
          <w:sz w:val="22"/>
          <w:szCs w:val="22"/>
        </w:rPr>
        <w:t>Pranešimas apie šalutinį poveikį</w:t>
      </w:r>
    </w:p>
    <w:p w14:paraId="2088F085" w14:textId="77777777" w:rsidR="008A305D" w:rsidRPr="00BA3FBD" w:rsidRDefault="008A305D" w:rsidP="008A305D">
      <w:pPr>
        <w:autoSpaceDE w:val="0"/>
        <w:autoSpaceDN w:val="0"/>
        <w:adjustRightInd w:val="0"/>
        <w:rPr>
          <w:rFonts w:eastAsia="Calibri"/>
          <w:b/>
          <w:bCs/>
          <w:sz w:val="22"/>
          <w:szCs w:val="22"/>
        </w:rPr>
      </w:pPr>
      <w:r w:rsidRPr="00BA3FBD">
        <w:rPr>
          <w:sz w:val="22"/>
          <w:szCs w:val="22"/>
        </w:rPr>
        <w:t xml:space="preserve">Jeigu pasireiškė šalutinis poveikis, įskaitant šiame lapelyje nenurodytą, pasakykite gydytojui, vaistininkui arba slaugytojai. Apie šalutinį poveikį taip pat galite pranešti Valstybinei vaistų kontrolės tarnybai prie Lietuvos Respublikos sveikatos apsaugos ministerijos nemokamu telefonu 8 800 73568 arba užpildyti interneto svetainėje </w:t>
      </w:r>
      <w:hyperlink r:id="rId24" w:history="1">
        <w:r w:rsidRPr="00BA3FBD">
          <w:rPr>
            <w:rStyle w:val="Hipersaitas"/>
            <w:sz w:val="22"/>
            <w:szCs w:val="22"/>
          </w:rPr>
          <w:t>www.vvkt.lt</w:t>
        </w:r>
      </w:hyperlink>
      <w:r w:rsidRPr="00BA3FBD">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25" w:history="1">
        <w:r w:rsidRPr="00BA3FBD">
          <w:rPr>
            <w:rStyle w:val="Hipersaitas"/>
            <w:sz w:val="22"/>
            <w:szCs w:val="22"/>
          </w:rPr>
          <w:t>NepageidaujamaR@vvkt.lt</w:t>
        </w:r>
      </w:hyperlink>
      <w:r w:rsidRPr="00BA3FBD">
        <w:rPr>
          <w:sz w:val="22"/>
          <w:szCs w:val="22"/>
        </w:rPr>
        <w:t xml:space="preserve">, taip pat per Valstybinės vaistų kontrolės tarnybos prie Lietuvos Respublikos sveikatos apsaugos ministerijos interneto svetainę (adresu </w:t>
      </w:r>
      <w:hyperlink r:id="rId26" w:history="1">
        <w:r w:rsidRPr="00BA3FBD">
          <w:rPr>
            <w:rStyle w:val="Hipersaitas"/>
            <w:sz w:val="22"/>
            <w:szCs w:val="22"/>
          </w:rPr>
          <w:t>http://www.vvkt.lt</w:t>
        </w:r>
      </w:hyperlink>
      <w:r w:rsidRPr="00BA3FBD">
        <w:rPr>
          <w:sz w:val="22"/>
          <w:szCs w:val="22"/>
        </w:rPr>
        <w:t>). Pranešdami apie šalutinį poveikį galite mums padėti gauti daugiau informacijos apie šio vaisto saugumą.</w:t>
      </w:r>
    </w:p>
    <w:p w14:paraId="407FD0D2" w14:textId="77777777" w:rsidR="008A305D" w:rsidRPr="00BA3FBD" w:rsidRDefault="008A305D" w:rsidP="008A305D">
      <w:pPr>
        <w:autoSpaceDE w:val="0"/>
        <w:autoSpaceDN w:val="0"/>
        <w:adjustRightInd w:val="0"/>
        <w:rPr>
          <w:rFonts w:eastAsia="Calibri"/>
          <w:b/>
          <w:bCs/>
          <w:sz w:val="22"/>
          <w:szCs w:val="22"/>
        </w:rPr>
      </w:pPr>
    </w:p>
    <w:p w14:paraId="027ACC1A" w14:textId="77777777" w:rsidR="008A305D" w:rsidRPr="00BA3FBD" w:rsidRDefault="008A305D" w:rsidP="008A305D">
      <w:pPr>
        <w:autoSpaceDE w:val="0"/>
        <w:autoSpaceDN w:val="0"/>
        <w:adjustRightInd w:val="0"/>
        <w:rPr>
          <w:rFonts w:eastAsia="Calibri"/>
          <w:sz w:val="22"/>
          <w:szCs w:val="22"/>
        </w:rPr>
      </w:pPr>
    </w:p>
    <w:p w14:paraId="3BF4C3AF" w14:textId="77777777" w:rsidR="008A305D" w:rsidRPr="00BA3FBD" w:rsidRDefault="008A305D" w:rsidP="008A305D">
      <w:pPr>
        <w:pStyle w:val="Sraopastraipa"/>
        <w:numPr>
          <w:ilvl w:val="0"/>
          <w:numId w:val="3"/>
        </w:numPr>
        <w:autoSpaceDE w:val="0"/>
        <w:autoSpaceDN w:val="0"/>
        <w:adjustRightInd w:val="0"/>
        <w:ind w:left="567" w:hanging="567"/>
        <w:rPr>
          <w:rFonts w:eastAsia="Calibri"/>
          <w:b/>
          <w:sz w:val="22"/>
          <w:szCs w:val="22"/>
        </w:rPr>
      </w:pPr>
      <w:r w:rsidRPr="00BA3FBD">
        <w:rPr>
          <w:rFonts w:eastAsia="Calibri"/>
          <w:b/>
          <w:bCs/>
          <w:sz w:val="22"/>
          <w:szCs w:val="22"/>
        </w:rPr>
        <w:t xml:space="preserve">Kaip laikyti Imatinib Actavis Group </w:t>
      </w:r>
    </w:p>
    <w:p w14:paraId="3803D9EF" w14:textId="77777777" w:rsidR="008A305D" w:rsidRPr="00BA3FBD" w:rsidRDefault="008A305D" w:rsidP="008A305D">
      <w:pPr>
        <w:autoSpaceDE w:val="0"/>
        <w:autoSpaceDN w:val="0"/>
        <w:adjustRightInd w:val="0"/>
        <w:spacing w:after="38"/>
        <w:rPr>
          <w:rFonts w:eastAsia="Calibri"/>
          <w:sz w:val="22"/>
          <w:szCs w:val="22"/>
        </w:rPr>
      </w:pPr>
    </w:p>
    <w:p w14:paraId="06CC69A3" w14:textId="77777777" w:rsidR="008A305D" w:rsidRDefault="008A305D" w:rsidP="008A305D">
      <w:pPr>
        <w:autoSpaceDE w:val="0"/>
        <w:autoSpaceDN w:val="0"/>
        <w:adjustRightInd w:val="0"/>
        <w:rPr>
          <w:rFonts w:eastAsia="Calibri"/>
          <w:sz w:val="22"/>
          <w:szCs w:val="22"/>
        </w:rPr>
      </w:pPr>
      <w:r w:rsidRPr="00BA3FBD">
        <w:rPr>
          <w:rFonts w:eastAsia="Calibri"/>
          <w:sz w:val="22"/>
          <w:szCs w:val="22"/>
        </w:rPr>
        <w:t xml:space="preserve">Šį vaistą laikykite vaikams nepastebimoje ir nepasiekiamoje vietoje. </w:t>
      </w:r>
    </w:p>
    <w:p w14:paraId="6AFD5473" w14:textId="77777777" w:rsidR="008A305D" w:rsidRPr="00BA3FBD" w:rsidRDefault="008A305D" w:rsidP="008A305D">
      <w:pPr>
        <w:rPr>
          <w:rFonts w:eastAsia="Calibri"/>
          <w:sz w:val="22"/>
          <w:szCs w:val="22"/>
        </w:rPr>
      </w:pPr>
      <w:r w:rsidRPr="00BA3FBD">
        <w:rPr>
          <w:rFonts w:eastAsia="Calibri"/>
          <w:sz w:val="22"/>
          <w:szCs w:val="22"/>
        </w:rPr>
        <w:t xml:space="preserve">Ant dėžutės ir lizdinės plokštelės po “Tinka iki/EXP” nurodytam tinkamumo laikui pasibaigus, šio vaisto vartoti negalima. </w:t>
      </w:r>
      <w:r w:rsidRPr="00BA3FBD">
        <w:rPr>
          <w:sz w:val="22"/>
          <w:szCs w:val="22"/>
        </w:rPr>
        <w:t>Vaistas tinkamas vartoti iki paskutinės nurodyto mėnesio dienos.</w:t>
      </w:r>
    </w:p>
    <w:p w14:paraId="139DAF80" w14:textId="77777777" w:rsidR="008A305D" w:rsidRDefault="008A305D" w:rsidP="008A305D">
      <w:pPr>
        <w:autoSpaceDE w:val="0"/>
        <w:autoSpaceDN w:val="0"/>
        <w:adjustRightInd w:val="0"/>
        <w:rPr>
          <w:rFonts w:eastAsia="Calibri"/>
          <w:sz w:val="22"/>
          <w:szCs w:val="22"/>
        </w:rPr>
      </w:pPr>
      <w:r>
        <w:rPr>
          <w:rFonts w:eastAsia="Calibri"/>
          <w:sz w:val="22"/>
          <w:szCs w:val="22"/>
        </w:rPr>
        <w:t>Šiam vaistui specialių laikymo sąlygų nereikia.</w:t>
      </w:r>
    </w:p>
    <w:p w14:paraId="23626E62"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Negalima vartoti vaisto iš pakuotės, kuri yra pažeista ar yra sugedimo požymių. </w:t>
      </w:r>
    </w:p>
    <w:p w14:paraId="123177E0" w14:textId="77777777" w:rsidR="008A305D" w:rsidRPr="00BA3FBD" w:rsidRDefault="008A305D" w:rsidP="008A305D">
      <w:pPr>
        <w:autoSpaceDE w:val="0"/>
        <w:autoSpaceDN w:val="0"/>
        <w:adjustRightInd w:val="0"/>
        <w:rPr>
          <w:sz w:val="22"/>
          <w:szCs w:val="22"/>
        </w:rPr>
      </w:pPr>
    </w:p>
    <w:p w14:paraId="0ED090CA" w14:textId="77777777" w:rsidR="008A305D" w:rsidRPr="00BA3FBD" w:rsidRDefault="008A305D" w:rsidP="008A305D">
      <w:pPr>
        <w:autoSpaceDE w:val="0"/>
        <w:autoSpaceDN w:val="0"/>
        <w:adjustRightInd w:val="0"/>
        <w:rPr>
          <w:rFonts w:eastAsia="Calibri"/>
          <w:sz w:val="22"/>
          <w:szCs w:val="22"/>
        </w:rPr>
      </w:pPr>
      <w:r w:rsidRPr="00BA3FBD">
        <w:rPr>
          <w:sz w:val="22"/>
          <w:szCs w:val="22"/>
        </w:rPr>
        <w:t>Vaistų negalima išmesti į kanalizaciją arba su buitinėmis atliekomis. Kaip išmesti nereikalingus vaistus, klauskite vaistininko. Šios priemonės padės apsaugoti aplinką.</w:t>
      </w:r>
    </w:p>
    <w:p w14:paraId="724F42A3" w14:textId="77777777" w:rsidR="008A305D" w:rsidRPr="00BA3FBD" w:rsidRDefault="008A305D" w:rsidP="008A305D">
      <w:pPr>
        <w:autoSpaceDE w:val="0"/>
        <w:autoSpaceDN w:val="0"/>
        <w:adjustRightInd w:val="0"/>
        <w:rPr>
          <w:rFonts w:eastAsia="Calibri"/>
          <w:sz w:val="22"/>
          <w:szCs w:val="22"/>
        </w:rPr>
      </w:pPr>
    </w:p>
    <w:p w14:paraId="65BC5C53" w14:textId="77777777" w:rsidR="008A305D" w:rsidRPr="00BA3FBD" w:rsidRDefault="008A305D" w:rsidP="008A305D">
      <w:pPr>
        <w:autoSpaceDE w:val="0"/>
        <w:autoSpaceDN w:val="0"/>
        <w:adjustRightInd w:val="0"/>
        <w:rPr>
          <w:rFonts w:eastAsia="Calibri"/>
          <w:sz w:val="22"/>
          <w:szCs w:val="22"/>
        </w:rPr>
      </w:pPr>
    </w:p>
    <w:p w14:paraId="062ED8C3" w14:textId="77777777" w:rsidR="008A305D" w:rsidRPr="00BA3FBD" w:rsidRDefault="008A305D" w:rsidP="008A305D">
      <w:pPr>
        <w:pStyle w:val="Sraopastraipa"/>
        <w:numPr>
          <w:ilvl w:val="0"/>
          <w:numId w:val="3"/>
        </w:numPr>
        <w:autoSpaceDE w:val="0"/>
        <w:autoSpaceDN w:val="0"/>
        <w:adjustRightInd w:val="0"/>
        <w:ind w:hanging="720"/>
        <w:rPr>
          <w:rFonts w:eastAsia="Calibri"/>
          <w:sz w:val="22"/>
          <w:szCs w:val="22"/>
        </w:rPr>
      </w:pPr>
      <w:r w:rsidRPr="00BA3FBD">
        <w:rPr>
          <w:rFonts w:eastAsia="Calibri"/>
          <w:b/>
          <w:bCs/>
          <w:sz w:val="22"/>
          <w:szCs w:val="22"/>
        </w:rPr>
        <w:lastRenderedPageBreak/>
        <w:t xml:space="preserve">Pakuotės turinys ir kita informacija </w:t>
      </w:r>
    </w:p>
    <w:p w14:paraId="4E3E66F0" w14:textId="77777777" w:rsidR="008A305D" w:rsidRPr="00BA3FBD" w:rsidRDefault="008A305D" w:rsidP="008A305D">
      <w:pPr>
        <w:autoSpaceDE w:val="0"/>
        <w:autoSpaceDN w:val="0"/>
        <w:adjustRightInd w:val="0"/>
        <w:rPr>
          <w:rFonts w:eastAsia="Calibri"/>
          <w:sz w:val="22"/>
          <w:szCs w:val="22"/>
        </w:rPr>
      </w:pPr>
    </w:p>
    <w:p w14:paraId="4AFFE492" w14:textId="77777777" w:rsidR="008A305D" w:rsidRPr="00BA3FBD" w:rsidRDefault="008A305D" w:rsidP="008A305D">
      <w:pPr>
        <w:autoSpaceDE w:val="0"/>
        <w:autoSpaceDN w:val="0"/>
        <w:adjustRightInd w:val="0"/>
        <w:rPr>
          <w:rFonts w:eastAsia="Calibri"/>
          <w:b/>
          <w:bCs/>
          <w:sz w:val="22"/>
          <w:szCs w:val="22"/>
        </w:rPr>
      </w:pPr>
      <w:r w:rsidRPr="00BA3FBD">
        <w:rPr>
          <w:rFonts w:eastAsia="Calibri"/>
          <w:b/>
          <w:bCs/>
          <w:sz w:val="22"/>
          <w:szCs w:val="22"/>
        </w:rPr>
        <w:t xml:space="preserve">Imatinib Actavis Group sudėtis </w:t>
      </w:r>
    </w:p>
    <w:p w14:paraId="55F097A5" w14:textId="77777777" w:rsidR="008A305D" w:rsidRPr="00BA3FBD" w:rsidRDefault="008A305D" w:rsidP="008A305D">
      <w:pPr>
        <w:autoSpaceDE w:val="0"/>
        <w:autoSpaceDN w:val="0"/>
        <w:adjustRightInd w:val="0"/>
        <w:ind w:left="720" w:hanging="720"/>
        <w:rPr>
          <w:rFonts w:eastAsia="Calibri"/>
          <w:sz w:val="22"/>
          <w:szCs w:val="22"/>
        </w:rPr>
      </w:pPr>
      <w:r w:rsidRPr="00BA3FBD">
        <w:rPr>
          <w:rFonts w:eastAsia="Calibri"/>
          <w:sz w:val="22"/>
          <w:szCs w:val="22"/>
        </w:rPr>
        <w:t>-</w:t>
      </w:r>
      <w:r w:rsidRPr="00BA3FBD">
        <w:rPr>
          <w:rFonts w:eastAsia="Calibri"/>
          <w:sz w:val="22"/>
          <w:szCs w:val="22"/>
        </w:rPr>
        <w:tab/>
        <w:t xml:space="preserve">Veiklioji medžiaga yra imatinibas (mesilato pavidalu). Kiekvienoje plėvele dengtoje tabletėje yra 478 mg yra imatinibo mesilato, kas atitinka 400 mg imatinibo. </w:t>
      </w:r>
    </w:p>
    <w:p w14:paraId="09F67048" w14:textId="77777777" w:rsidR="008A305D" w:rsidRPr="00BA3FBD" w:rsidRDefault="008A305D" w:rsidP="008A305D">
      <w:pPr>
        <w:autoSpaceDE w:val="0"/>
        <w:autoSpaceDN w:val="0"/>
        <w:adjustRightInd w:val="0"/>
        <w:ind w:left="720" w:hanging="720"/>
        <w:rPr>
          <w:rFonts w:eastAsia="Calibri"/>
          <w:sz w:val="22"/>
          <w:szCs w:val="22"/>
        </w:rPr>
      </w:pPr>
      <w:r w:rsidRPr="00BA3FBD">
        <w:rPr>
          <w:rFonts w:eastAsia="Calibri"/>
          <w:sz w:val="22"/>
          <w:szCs w:val="22"/>
        </w:rPr>
        <w:t>-</w:t>
      </w:r>
      <w:r w:rsidRPr="00BA3FBD">
        <w:rPr>
          <w:rFonts w:eastAsia="Calibri"/>
          <w:sz w:val="22"/>
          <w:szCs w:val="22"/>
        </w:rPr>
        <w:tab/>
        <w:t>Pagalbinės medžiagos yra hipromeliozė</w:t>
      </w:r>
      <w:r>
        <w:rPr>
          <w:rFonts w:eastAsia="Calibri"/>
          <w:sz w:val="22"/>
          <w:szCs w:val="22"/>
        </w:rPr>
        <w:t xml:space="preserve"> (E464)</w:t>
      </w:r>
      <w:r w:rsidRPr="00BA3FBD">
        <w:rPr>
          <w:rFonts w:eastAsia="Calibri"/>
          <w:sz w:val="22"/>
          <w:szCs w:val="22"/>
        </w:rPr>
        <w:t xml:space="preserve">, mikrokristalinė celiuliozė, laktozė monohidratas, krospovidonas, koloidinis bevandenis silicio dioksidas, magnio stearatas, makrogolis (E1521), talkas (E553b), geltonasis geležies oksidas (E172) ir raudonasis geležies oksidas (E172). </w:t>
      </w:r>
    </w:p>
    <w:p w14:paraId="4E3E3DBE" w14:textId="77777777" w:rsidR="008A305D" w:rsidRPr="00BA3FBD" w:rsidRDefault="008A305D" w:rsidP="008A305D">
      <w:pPr>
        <w:autoSpaceDE w:val="0"/>
        <w:autoSpaceDN w:val="0"/>
        <w:adjustRightInd w:val="0"/>
        <w:ind w:left="720" w:hanging="720"/>
        <w:rPr>
          <w:rFonts w:eastAsia="Calibri"/>
          <w:color w:val="000000"/>
          <w:sz w:val="22"/>
          <w:szCs w:val="22"/>
        </w:rPr>
      </w:pPr>
    </w:p>
    <w:p w14:paraId="44D375B8" w14:textId="77777777" w:rsidR="008A305D" w:rsidRPr="00BA3FBD" w:rsidRDefault="008A305D" w:rsidP="008A305D">
      <w:pPr>
        <w:autoSpaceDE w:val="0"/>
        <w:autoSpaceDN w:val="0"/>
        <w:adjustRightInd w:val="0"/>
        <w:rPr>
          <w:rFonts w:eastAsia="Calibri"/>
          <w:sz w:val="22"/>
          <w:szCs w:val="22"/>
        </w:rPr>
      </w:pPr>
      <w:r w:rsidRPr="00BA3FBD">
        <w:rPr>
          <w:rFonts w:eastAsia="Calibri"/>
          <w:b/>
          <w:bCs/>
          <w:sz w:val="22"/>
          <w:szCs w:val="22"/>
        </w:rPr>
        <w:t xml:space="preserve">Imatinib Actavis Group išvaizda ir kiekis pakuotėje </w:t>
      </w:r>
    </w:p>
    <w:p w14:paraId="7F57E98F" w14:textId="77777777" w:rsidR="008A305D" w:rsidRPr="00BA3FBD" w:rsidRDefault="008A305D" w:rsidP="008A305D">
      <w:pPr>
        <w:pStyle w:val="Default"/>
        <w:rPr>
          <w:rFonts w:ascii="Times New Roman" w:hAnsi="Times New Roman" w:cs="Times New Roman"/>
          <w:color w:val="auto"/>
          <w:sz w:val="22"/>
          <w:szCs w:val="22"/>
          <w:lang w:val="lt-LT"/>
        </w:rPr>
      </w:pPr>
      <w:r w:rsidRPr="00BA3FBD">
        <w:rPr>
          <w:rFonts w:ascii="Times New Roman" w:hAnsi="Times New Roman" w:cs="Times New Roman"/>
          <w:color w:val="auto"/>
          <w:sz w:val="22"/>
          <w:szCs w:val="22"/>
          <w:lang w:val="lt-LT"/>
        </w:rPr>
        <w:t>Rusvai oranžinės spalvos, kapsulės formos, 22 mm ilgio ir 10 mm pločio, abipusiai išgaubt</w:t>
      </w:r>
      <w:r>
        <w:rPr>
          <w:rFonts w:ascii="Times New Roman" w:hAnsi="Times New Roman" w:cs="Times New Roman"/>
          <w:color w:val="auto"/>
          <w:sz w:val="22"/>
          <w:szCs w:val="22"/>
          <w:lang w:val="lt-LT"/>
        </w:rPr>
        <w:t>os</w:t>
      </w:r>
      <w:r w:rsidRPr="00BA3FBD">
        <w:rPr>
          <w:rFonts w:ascii="Times New Roman" w:hAnsi="Times New Roman" w:cs="Times New Roman"/>
          <w:color w:val="auto"/>
          <w:sz w:val="22"/>
          <w:szCs w:val="22"/>
          <w:lang w:val="lt-LT"/>
        </w:rPr>
        <w:t xml:space="preserve"> plėvele dengt</w:t>
      </w:r>
      <w:r>
        <w:rPr>
          <w:rFonts w:ascii="Times New Roman" w:hAnsi="Times New Roman" w:cs="Times New Roman"/>
          <w:color w:val="auto"/>
          <w:sz w:val="22"/>
          <w:szCs w:val="22"/>
          <w:lang w:val="lt-LT"/>
        </w:rPr>
        <w:t>os</w:t>
      </w:r>
      <w:r w:rsidRPr="00BA3FBD">
        <w:rPr>
          <w:rFonts w:ascii="Times New Roman" w:hAnsi="Times New Roman" w:cs="Times New Roman"/>
          <w:color w:val="auto"/>
          <w:sz w:val="22"/>
          <w:szCs w:val="22"/>
          <w:lang w:val="lt-LT"/>
        </w:rPr>
        <w:t xml:space="preserve"> tabletė</w:t>
      </w:r>
      <w:r>
        <w:rPr>
          <w:rFonts w:ascii="Times New Roman" w:hAnsi="Times New Roman" w:cs="Times New Roman"/>
          <w:color w:val="auto"/>
          <w:sz w:val="22"/>
          <w:szCs w:val="22"/>
          <w:lang w:val="lt-LT"/>
        </w:rPr>
        <w:t>s</w:t>
      </w:r>
      <w:r w:rsidRPr="00BA3FBD">
        <w:rPr>
          <w:rFonts w:ascii="Times New Roman" w:hAnsi="Times New Roman" w:cs="Times New Roman"/>
          <w:color w:val="auto"/>
          <w:sz w:val="22"/>
          <w:szCs w:val="22"/>
          <w:lang w:val="lt-LT"/>
        </w:rPr>
        <w:t xml:space="preserve"> be vagelių ir žymių.</w:t>
      </w:r>
    </w:p>
    <w:p w14:paraId="6AA80B5B" w14:textId="77777777" w:rsidR="008A305D" w:rsidRPr="00BA3FBD" w:rsidRDefault="008A305D" w:rsidP="008A305D">
      <w:pPr>
        <w:pStyle w:val="Default"/>
        <w:rPr>
          <w:rFonts w:ascii="Times New Roman" w:hAnsi="Times New Roman" w:cs="Times New Roman"/>
          <w:color w:val="auto"/>
          <w:sz w:val="22"/>
          <w:szCs w:val="22"/>
          <w:lang w:val="lt-LT"/>
        </w:rPr>
      </w:pPr>
    </w:p>
    <w:p w14:paraId="4BC89E5D" w14:textId="77777777" w:rsidR="008A305D" w:rsidRPr="00BA3FBD" w:rsidRDefault="008A305D" w:rsidP="008A305D">
      <w:pPr>
        <w:autoSpaceDE w:val="0"/>
        <w:autoSpaceDN w:val="0"/>
        <w:adjustRightInd w:val="0"/>
        <w:rPr>
          <w:rFonts w:eastAsia="Calibri"/>
          <w:i/>
          <w:sz w:val="22"/>
          <w:szCs w:val="22"/>
        </w:rPr>
      </w:pPr>
      <w:r w:rsidRPr="00BA3FBD">
        <w:rPr>
          <w:rFonts w:eastAsia="Calibri"/>
          <w:i/>
          <w:sz w:val="22"/>
          <w:szCs w:val="22"/>
        </w:rPr>
        <w:t>Pakuočių dydžiai:</w:t>
      </w:r>
    </w:p>
    <w:p w14:paraId="6A703CBC"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 xml:space="preserve">Plėvele dengtos tabletės supakuotos į lizdines plokšteles, po 30, 60, 90 ir 120 </w:t>
      </w:r>
      <w:r>
        <w:rPr>
          <w:rFonts w:eastAsia="Calibri"/>
          <w:sz w:val="22"/>
          <w:szCs w:val="22"/>
        </w:rPr>
        <w:t xml:space="preserve">plėvele dengtų </w:t>
      </w:r>
      <w:r w:rsidRPr="00BA3FBD">
        <w:rPr>
          <w:rFonts w:eastAsia="Calibri"/>
          <w:sz w:val="22"/>
          <w:szCs w:val="22"/>
        </w:rPr>
        <w:t>tablečių pakuotėje.</w:t>
      </w:r>
    </w:p>
    <w:p w14:paraId="6ED6E82A" w14:textId="77777777" w:rsidR="008A305D" w:rsidRPr="00BA3FBD" w:rsidRDefault="008A305D" w:rsidP="008A305D">
      <w:pPr>
        <w:keepNext/>
        <w:autoSpaceDE w:val="0"/>
        <w:autoSpaceDN w:val="0"/>
        <w:adjustRightInd w:val="0"/>
        <w:ind w:left="720" w:hanging="720"/>
        <w:rPr>
          <w:rFonts w:eastAsia="Calibri"/>
          <w:sz w:val="22"/>
          <w:szCs w:val="22"/>
        </w:rPr>
      </w:pPr>
    </w:p>
    <w:p w14:paraId="4595745D" w14:textId="77777777" w:rsidR="008A305D" w:rsidRPr="00BA3FBD" w:rsidRDefault="008A305D" w:rsidP="008A305D">
      <w:pPr>
        <w:autoSpaceDE w:val="0"/>
        <w:autoSpaceDN w:val="0"/>
        <w:adjustRightInd w:val="0"/>
        <w:rPr>
          <w:rFonts w:eastAsia="Calibri"/>
          <w:sz w:val="22"/>
          <w:szCs w:val="22"/>
        </w:rPr>
      </w:pPr>
      <w:r w:rsidRPr="00BA3FBD">
        <w:rPr>
          <w:rFonts w:eastAsia="Calibri"/>
          <w:sz w:val="22"/>
          <w:szCs w:val="22"/>
        </w:rPr>
        <w:t>Gali būti tiekiamos ne visų dydžių pakuotės.</w:t>
      </w:r>
    </w:p>
    <w:p w14:paraId="119DFD36" w14:textId="77777777" w:rsidR="008A305D" w:rsidRPr="00BA3FBD" w:rsidRDefault="008A305D" w:rsidP="008A305D">
      <w:pPr>
        <w:pStyle w:val="Default"/>
        <w:rPr>
          <w:rFonts w:ascii="Times New Roman" w:hAnsi="Times New Roman" w:cs="Times New Roman"/>
          <w:color w:val="auto"/>
          <w:sz w:val="22"/>
          <w:szCs w:val="22"/>
          <w:lang w:val="lt-LT"/>
        </w:rPr>
      </w:pPr>
    </w:p>
    <w:p w14:paraId="7507C9E5" w14:textId="77777777" w:rsidR="008A305D" w:rsidRPr="00BA3FBD" w:rsidRDefault="008A305D" w:rsidP="008A305D">
      <w:pPr>
        <w:autoSpaceDE w:val="0"/>
        <w:autoSpaceDN w:val="0"/>
        <w:adjustRightInd w:val="0"/>
        <w:rPr>
          <w:rFonts w:eastAsia="Calibri"/>
          <w:b/>
          <w:bCs/>
          <w:sz w:val="22"/>
          <w:szCs w:val="22"/>
        </w:rPr>
      </w:pPr>
      <w:r w:rsidRPr="00BA3FBD">
        <w:rPr>
          <w:rFonts w:eastAsia="Calibri"/>
          <w:b/>
          <w:bCs/>
          <w:sz w:val="22"/>
          <w:szCs w:val="22"/>
        </w:rPr>
        <w:t>Registruotojas ir gamintojas</w:t>
      </w:r>
    </w:p>
    <w:p w14:paraId="46D948C2" w14:textId="77777777" w:rsidR="008A305D" w:rsidRPr="00BA3FBD" w:rsidRDefault="008A305D" w:rsidP="008A305D">
      <w:pPr>
        <w:autoSpaceDE w:val="0"/>
        <w:autoSpaceDN w:val="0"/>
        <w:adjustRightInd w:val="0"/>
        <w:rPr>
          <w:rFonts w:eastAsia="Calibri"/>
          <w:sz w:val="22"/>
          <w:szCs w:val="22"/>
        </w:rPr>
      </w:pPr>
    </w:p>
    <w:p w14:paraId="18C909FA" w14:textId="77777777" w:rsidR="008A305D" w:rsidRPr="00BA3FBD" w:rsidRDefault="008A305D" w:rsidP="008A305D">
      <w:pPr>
        <w:autoSpaceDE w:val="0"/>
        <w:autoSpaceDN w:val="0"/>
        <w:adjustRightInd w:val="0"/>
        <w:rPr>
          <w:rFonts w:eastAsia="Calibri"/>
          <w:i/>
          <w:sz w:val="22"/>
          <w:szCs w:val="22"/>
        </w:rPr>
      </w:pPr>
      <w:r w:rsidRPr="00BA3FBD">
        <w:rPr>
          <w:rFonts w:eastAsia="Calibri"/>
          <w:i/>
          <w:sz w:val="22"/>
          <w:szCs w:val="22"/>
        </w:rPr>
        <w:t>Registruotojas</w:t>
      </w:r>
    </w:p>
    <w:p w14:paraId="73908AF1" w14:textId="77777777" w:rsidR="008A305D" w:rsidRPr="00BA3FBD" w:rsidRDefault="008A305D" w:rsidP="008A305D">
      <w:pPr>
        <w:autoSpaceDE w:val="0"/>
        <w:autoSpaceDN w:val="0"/>
        <w:adjustRightInd w:val="0"/>
        <w:rPr>
          <w:sz w:val="22"/>
          <w:szCs w:val="22"/>
        </w:rPr>
      </w:pPr>
      <w:r w:rsidRPr="00BA3FBD">
        <w:rPr>
          <w:sz w:val="22"/>
          <w:szCs w:val="22"/>
        </w:rPr>
        <w:t>Actavis Group PTC ehf.</w:t>
      </w:r>
    </w:p>
    <w:p w14:paraId="0B2F3890" w14:textId="77777777" w:rsidR="008A305D" w:rsidRPr="00BA3FBD" w:rsidRDefault="008A305D" w:rsidP="008A305D">
      <w:pPr>
        <w:autoSpaceDE w:val="0"/>
        <w:autoSpaceDN w:val="0"/>
        <w:adjustRightInd w:val="0"/>
        <w:rPr>
          <w:sz w:val="22"/>
          <w:szCs w:val="22"/>
        </w:rPr>
      </w:pPr>
      <w:r>
        <w:rPr>
          <w:sz w:val="22"/>
          <w:szCs w:val="22"/>
        </w:rPr>
        <w:t>Reykjavíkurvegi</w:t>
      </w:r>
      <w:r w:rsidRPr="00BA3FBD">
        <w:rPr>
          <w:sz w:val="22"/>
          <w:szCs w:val="22"/>
        </w:rPr>
        <w:t xml:space="preserve"> 76-78</w:t>
      </w:r>
    </w:p>
    <w:p w14:paraId="2D99AD47" w14:textId="77777777" w:rsidR="008A305D" w:rsidRPr="00BA3FBD" w:rsidRDefault="008A305D" w:rsidP="008A305D">
      <w:pPr>
        <w:autoSpaceDE w:val="0"/>
        <w:autoSpaceDN w:val="0"/>
        <w:adjustRightInd w:val="0"/>
        <w:rPr>
          <w:sz w:val="22"/>
          <w:szCs w:val="22"/>
        </w:rPr>
      </w:pPr>
      <w:r w:rsidRPr="00BA3FBD">
        <w:rPr>
          <w:sz w:val="22"/>
          <w:szCs w:val="22"/>
        </w:rPr>
        <w:t>220 Hafnarfjörður</w:t>
      </w:r>
    </w:p>
    <w:p w14:paraId="7B9942C6" w14:textId="77777777" w:rsidR="008A305D" w:rsidRPr="00BA3FBD" w:rsidRDefault="008A305D" w:rsidP="008A305D">
      <w:pPr>
        <w:autoSpaceDE w:val="0"/>
        <w:autoSpaceDN w:val="0"/>
        <w:adjustRightInd w:val="0"/>
        <w:rPr>
          <w:sz w:val="22"/>
          <w:szCs w:val="22"/>
        </w:rPr>
      </w:pPr>
      <w:r w:rsidRPr="00BA3FBD">
        <w:rPr>
          <w:sz w:val="22"/>
          <w:szCs w:val="22"/>
        </w:rPr>
        <w:t>Islandija</w:t>
      </w:r>
    </w:p>
    <w:p w14:paraId="41A398CC" w14:textId="77777777" w:rsidR="008A305D" w:rsidRPr="00BA3FBD" w:rsidRDefault="008A305D" w:rsidP="008A305D">
      <w:pPr>
        <w:autoSpaceDE w:val="0"/>
        <w:autoSpaceDN w:val="0"/>
        <w:adjustRightInd w:val="0"/>
        <w:rPr>
          <w:rFonts w:eastAsia="Calibri"/>
          <w:b/>
          <w:bCs/>
          <w:sz w:val="22"/>
          <w:szCs w:val="22"/>
        </w:rPr>
      </w:pPr>
    </w:p>
    <w:p w14:paraId="3C298F1E" w14:textId="77777777" w:rsidR="008A305D" w:rsidRPr="00BA3FBD" w:rsidRDefault="008A305D" w:rsidP="008A305D">
      <w:pPr>
        <w:autoSpaceDE w:val="0"/>
        <w:autoSpaceDN w:val="0"/>
        <w:adjustRightInd w:val="0"/>
        <w:rPr>
          <w:rFonts w:eastAsia="Calibri"/>
          <w:i/>
          <w:sz w:val="22"/>
          <w:szCs w:val="22"/>
        </w:rPr>
      </w:pPr>
      <w:r w:rsidRPr="00BA3FBD">
        <w:rPr>
          <w:rFonts w:eastAsia="Calibri"/>
          <w:bCs/>
          <w:i/>
          <w:sz w:val="22"/>
          <w:szCs w:val="22"/>
        </w:rPr>
        <w:t xml:space="preserve">Gamintojas </w:t>
      </w:r>
    </w:p>
    <w:p w14:paraId="216456E7" w14:textId="77777777" w:rsidR="008A305D" w:rsidRPr="00BA3FBD" w:rsidRDefault="008A305D" w:rsidP="008A305D">
      <w:pPr>
        <w:autoSpaceDE w:val="0"/>
        <w:autoSpaceDN w:val="0"/>
        <w:adjustRightInd w:val="0"/>
        <w:rPr>
          <w:sz w:val="22"/>
          <w:szCs w:val="22"/>
        </w:rPr>
      </w:pPr>
      <w:r w:rsidRPr="00BA3FBD">
        <w:rPr>
          <w:sz w:val="22"/>
          <w:szCs w:val="22"/>
        </w:rPr>
        <w:t>Actavis Group PTC ehf.</w:t>
      </w:r>
    </w:p>
    <w:p w14:paraId="2166B011" w14:textId="77777777" w:rsidR="008A305D" w:rsidRPr="00BA3FBD" w:rsidRDefault="008A305D" w:rsidP="008A305D">
      <w:pPr>
        <w:autoSpaceDE w:val="0"/>
        <w:autoSpaceDN w:val="0"/>
        <w:adjustRightInd w:val="0"/>
        <w:rPr>
          <w:sz w:val="22"/>
          <w:szCs w:val="22"/>
        </w:rPr>
      </w:pPr>
      <w:r>
        <w:rPr>
          <w:sz w:val="22"/>
          <w:szCs w:val="22"/>
        </w:rPr>
        <w:t>Reykjavi</w:t>
      </w:r>
      <w:r w:rsidRPr="00BA3FBD">
        <w:rPr>
          <w:sz w:val="22"/>
          <w:szCs w:val="22"/>
        </w:rPr>
        <w:t>kurvegur 76-78</w:t>
      </w:r>
    </w:p>
    <w:p w14:paraId="7B7D2EF9" w14:textId="77777777" w:rsidR="008A305D" w:rsidRPr="00BA3FBD" w:rsidRDefault="008A305D" w:rsidP="008A305D">
      <w:pPr>
        <w:autoSpaceDE w:val="0"/>
        <w:autoSpaceDN w:val="0"/>
        <w:adjustRightInd w:val="0"/>
        <w:rPr>
          <w:sz w:val="22"/>
          <w:szCs w:val="22"/>
        </w:rPr>
      </w:pPr>
      <w:r w:rsidRPr="00BA3FBD">
        <w:rPr>
          <w:sz w:val="22"/>
          <w:szCs w:val="22"/>
        </w:rPr>
        <w:t>IS-220 Hafnarfjörður</w:t>
      </w:r>
    </w:p>
    <w:p w14:paraId="0C800C82" w14:textId="77777777" w:rsidR="008A305D" w:rsidRPr="00BA3FBD" w:rsidRDefault="008A305D" w:rsidP="008A305D">
      <w:pPr>
        <w:autoSpaceDE w:val="0"/>
        <w:autoSpaceDN w:val="0"/>
        <w:adjustRightInd w:val="0"/>
        <w:rPr>
          <w:sz w:val="22"/>
          <w:szCs w:val="22"/>
        </w:rPr>
      </w:pPr>
      <w:r w:rsidRPr="00BA3FBD">
        <w:rPr>
          <w:sz w:val="22"/>
          <w:szCs w:val="22"/>
        </w:rPr>
        <w:t>Islandija</w:t>
      </w:r>
    </w:p>
    <w:p w14:paraId="276C890E" w14:textId="77777777" w:rsidR="008A305D" w:rsidRPr="00BA3FBD" w:rsidRDefault="008A305D" w:rsidP="008A305D">
      <w:pPr>
        <w:pStyle w:val="Betarp"/>
        <w:rPr>
          <w:sz w:val="22"/>
          <w:szCs w:val="22"/>
        </w:rPr>
      </w:pPr>
    </w:p>
    <w:p w14:paraId="09D2AFE9" w14:textId="77777777" w:rsidR="008A305D" w:rsidRPr="00BA3FBD" w:rsidRDefault="008A305D" w:rsidP="008A305D">
      <w:pPr>
        <w:numPr>
          <w:ilvl w:val="12"/>
          <w:numId w:val="0"/>
        </w:numPr>
        <w:ind w:right="-2"/>
        <w:rPr>
          <w:sz w:val="22"/>
          <w:szCs w:val="22"/>
        </w:rPr>
      </w:pPr>
      <w:r w:rsidRPr="00BA3FBD">
        <w:rPr>
          <w:sz w:val="22"/>
          <w:szCs w:val="22"/>
        </w:rPr>
        <w:t>Jeigu apie šį vaistą norite sužinoti daugiau, kreipkitės į vietinį registruotojo atstovą.</w:t>
      </w:r>
    </w:p>
    <w:p w14:paraId="72B33E9B" w14:textId="77777777" w:rsidR="008A305D" w:rsidRPr="00BA3FBD" w:rsidRDefault="008A305D" w:rsidP="008A305D">
      <w:pPr>
        <w:numPr>
          <w:ilvl w:val="12"/>
          <w:numId w:val="0"/>
        </w:numPr>
        <w:ind w:right="-2"/>
        <w:rPr>
          <w:sz w:val="22"/>
          <w:szCs w:val="22"/>
        </w:rPr>
      </w:pPr>
      <w:r w:rsidRPr="00BA3FBD">
        <w:rPr>
          <w:sz w:val="22"/>
          <w:szCs w:val="22"/>
        </w:rPr>
        <w:t>UAB “Actavis Baltics”</w:t>
      </w:r>
    </w:p>
    <w:p w14:paraId="6175ACA7" w14:textId="77777777" w:rsidR="008A305D" w:rsidRPr="00BA3FBD" w:rsidRDefault="008A305D" w:rsidP="008A305D">
      <w:pPr>
        <w:numPr>
          <w:ilvl w:val="12"/>
          <w:numId w:val="0"/>
        </w:numPr>
        <w:ind w:right="-2"/>
        <w:rPr>
          <w:sz w:val="22"/>
          <w:szCs w:val="22"/>
        </w:rPr>
      </w:pPr>
      <w:r w:rsidRPr="00BA3FBD">
        <w:rPr>
          <w:sz w:val="22"/>
          <w:szCs w:val="22"/>
        </w:rPr>
        <w:t>Senasis Ukmergės kelias 4</w:t>
      </w:r>
    </w:p>
    <w:p w14:paraId="7A6D7588" w14:textId="77777777" w:rsidR="008A305D" w:rsidRPr="00BA3FBD" w:rsidRDefault="008A305D" w:rsidP="008A305D">
      <w:pPr>
        <w:numPr>
          <w:ilvl w:val="12"/>
          <w:numId w:val="0"/>
        </w:numPr>
        <w:ind w:right="-2"/>
        <w:rPr>
          <w:sz w:val="22"/>
          <w:szCs w:val="22"/>
        </w:rPr>
      </w:pPr>
      <w:r w:rsidRPr="00BA3FBD">
        <w:rPr>
          <w:sz w:val="22"/>
          <w:szCs w:val="22"/>
        </w:rPr>
        <w:t>Užubalių k., Avižienių sen.,</w:t>
      </w:r>
    </w:p>
    <w:p w14:paraId="5442CDB4" w14:textId="77777777" w:rsidR="008A305D" w:rsidRPr="00BA3FBD" w:rsidRDefault="008A305D" w:rsidP="008A305D">
      <w:pPr>
        <w:numPr>
          <w:ilvl w:val="12"/>
          <w:numId w:val="0"/>
        </w:numPr>
        <w:ind w:right="-2"/>
        <w:rPr>
          <w:sz w:val="22"/>
          <w:szCs w:val="22"/>
        </w:rPr>
      </w:pPr>
      <w:r w:rsidRPr="00BA3FBD">
        <w:rPr>
          <w:sz w:val="22"/>
          <w:szCs w:val="22"/>
        </w:rPr>
        <w:t>LT-14130 Vilniaus raj.</w:t>
      </w:r>
    </w:p>
    <w:p w14:paraId="21DA506E" w14:textId="77777777" w:rsidR="008A305D" w:rsidRPr="00BA3FBD" w:rsidRDefault="008A305D" w:rsidP="008A305D">
      <w:pPr>
        <w:numPr>
          <w:ilvl w:val="12"/>
          <w:numId w:val="0"/>
        </w:numPr>
        <w:ind w:right="-2"/>
        <w:rPr>
          <w:sz w:val="22"/>
          <w:szCs w:val="22"/>
        </w:rPr>
      </w:pPr>
      <w:r w:rsidRPr="00BA3FBD">
        <w:rPr>
          <w:sz w:val="22"/>
          <w:szCs w:val="22"/>
        </w:rPr>
        <w:t>Tel.: +370 5 260 9615</w:t>
      </w:r>
    </w:p>
    <w:p w14:paraId="4F4C3DDD" w14:textId="77777777" w:rsidR="008A305D" w:rsidRDefault="008A305D" w:rsidP="008A305D">
      <w:pPr>
        <w:autoSpaceDE w:val="0"/>
        <w:autoSpaceDN w:val="0"/>
        <w:adjustRightInd w:val="0"/>
        <w:rPr>
          <w:sz w:val="22"/>
          <w:szCs w:val="22"/>
        </w:rPr>
      </w:pPr>
    </w:p>
    <w:p w14:paraId="3AEE2013" w14:textId="77777777" w:rsidR="008A305D" w:rsidRPr="00BA3FBD" w:rsidRDefault="008A305D" w:rsidP="008A305D">
      <w:pPr>
        <w:autoSpaceDE w:val="0"/>
        <w:autoSpaceDN w:val="0"/>
        <w:adjustRightInd w:val="0"/>
        <w:rPr>
          <w:sz w:val="22"/>
          <w:szCs w:val="22"/>
        </w:rPr>
      </w:pPr>
      <w:r w:rsidRPr="00BA3FBD">
        <w:rPr>
          <w:b/>
          <w:sz w:val="22"/>
          <w:szCs w:val="22"/>
        </w:rPr>
        <w:t>Šis vaistas EEE valstybėse narėse registruotas tokiais pavadinimais</w:t>
      </w:r>
      <w:r w:rsidRPr="00BA3FBD">
        <w:rPr>
          <w:sz w:val="22"/>
          <w:szCs w:val="22"/>
        </w:rPr>
        <w:t>:</w:t>
      </w:r>
    </w:p>
    <w:p w14:paraId="5C515C1B" w14:textId="77777777" w:rsidR="008A305D" w:rsidRPr="00BA3FBD" w:rsidRDefault="008A305D" w:rsidP="008A305D">
      <w:pPr>
        <w:autoSpaceDE w:val="0"/>
        <w:autoSpaceDN w:val="0"/>
        <w:adjustRightInd w:val="0"/>
        <w:rPr>
          <w:sz w:val="22"/>
          <w:szCs w:val="22"/>
        </w:rPr>
      </w:pPr>
      <w:r>
        <w:rPr>
          <w:sz w:val="22"/>
          <w:szCs w:val="22"/>
        </w:rPr>
        <w:t>Austrija</w:t>
      </w:r>
      <w:r>
        <w:rPr>
          <w:sz w:val="22"/>
          <w:szCs w:val="22"/>
        </w:rPr>
        <w:tab/>
      </w:r>
      <w:r w:rsidRPr="00BA3FBD">
        <w:rPr>
          <w:sz w:val="22"/>
          <w:szCs w:val="22"/>
        </w:rPr>
        <w:t>Imatinib Actavis Group 400 mg Filmtabletten</w:t>
      </w:r>
    </w:p>
    <w:p w14:paraId="38476488" w14:textId="77777777" w:rsidR="008A305D" w:rsidRPr="00BA3FBD" w:rsidRDefault="008A305D" w:rsidP="008A305D">
      <w:pPr>
        <w:autoSpaceDE w:val="0"/>
        <w:autoSpaceDN w:val="0"/>
        <w:adjustRightInd w:val="0"/>
        <w:rPr>
          <w:sz w:val="22"/>
          <w:szCs w:val="22"/>
        </w:rPr>
      </w:pPr>
      <w:r>
        <w:rPr>
          <w:sz w:val="22"/>
          <w:szCs w:val="22"/>
        </w:rPr>
        <w:t>Bulgarija</w:t>
      </w:r>
      <w:r w:rsidRPr="00BA3FBD">
        <w:rPr>
          <w:sz w:val="22"/>
          <w:szCs w:val="22"/>
        </w:rPr>
        <w:tab/>
        <w:t>Imatinib Actavis Group (100 mg, 400 mg)</w:t>
      </w:r>
    </w:p>
    <w:p w14:paraId="25E87E63" w14:textId="77777777" w:rsidR="008A305D" w:rsidRPr="00BA3FBD" w:rsidRDefault="008A305D" w:rsidP="008A305D">
      <w:pPr>
        <w:autoSpaceDE w:val="0"/>
        <w:autoSpaceDN w:val="0"/>
        <w:adjustRightInd w:val="0"/>
        <w:rPr>
          <w:sz w:val="22"/>
          <w:szCs w:val="22"/>
        </w:rPr>
      </w:pPr>
      <w:r>
        <w:rPr>
          <w:sz w:val="22"/>
          <w:szCs w:val="22"/>
        </w:rPr>
        <w:t>Kipras</w:t>
      </w:r>
      <w:r>
        <w:rPr>
          <w:sz w:val="22"/>
          <w:szCs w:val="22"/>
        </w:rPr>
        <w:tab/>
      </w:r>
      <w:r w:rsidRPr="00BA3FBD">
        <w:rPr>
          <w:sz w:val="22"/>
          <w:szCs w:val="22"/>
        </w:rPr>
        <w:t>Imatinib Actavis Group (100 mg, 200 mg, 300 mg, 400 mg)</w:t>
      </w:r>
    </w:p>
    <w:p w14:paraId="634572A8" w14:textId="77777777" w:rsidR="008A305D" w:rsidRPr="00BA3FBD" w:rsidRDefault="008A305D" w:rsidP="008A305D">
      <w:pPr>
        <w:autoSpaceDE w:val="0"/>
        <w:autoSpaceDN w:val="0"/>
        <w:adjustRightInd w:val="0"/>
        <w:rPr>
          <w:sz w:val="22"/>
          <w:szCs w:val="22"/>
        </w:rPr>
      </w:pPr>
      <w:r>
        <w:rPr>
          <w:sz w:val="22"/>
          <w:szCs w:val="22"/>
        </w:rPr>
        <w:t>Čekija</w:t>
      </w:r>
      <w:r>
        <w:rPr>
          <w:sz w:val="22"/>
          <w:szCs w:val="22"/>
        </w:rPr>
        <w:tab/>
      </w:r>
      <w:r w:rsidRPr="00BA3FBD">
        <w:rPr>
          <w:sz w:val="22"/>
          <w:szCs w:val="22"/>
        </w:rPr>
        <w:t>Imatinib Actavis Group (100 mg, 400 mg)</w:t>
      </w:r>
    </w:p>
    <w:p w14:paraId="7A4C76F0" w14:textId="77777777" w:rsidR="008A305D" w:rsidRPr="00BA3FBD" w:rsidRDefault="008A305D" w:rsidP="008A305D">
      <w:pPr>
        <w:autoSpaceDE w:val="0"/>
        <w:autoSpaceDN w:val="0"/>
        <w:adjustRightInd w:val="0"/>
        <w:rPr>
          <w:sz w:val="22"/>
          <w:szCs w:val="22"/>
        </w:rPr>
      </w:pPr>
      <w:r>
        <w:rPr>
          <w:sz w:val="22"/>
          <w:szCs w:val="22"/>
        </w:rPr>
        <w:lastRenderedPageBreak/>
        <w:t>Danija</w:t>
      </w:r>
      <w:r>
        <w:rPr>
          <w:sz w:val="22"/>
          <w:szCs w:val="22"/>
        </w:rPr>
        <w:tab/>
      </w:r>
      <w:r w:rsidRPr="00BA3FBD">
        <w:rPr>
          <w:sz w:val="22"/>
          <w:szCs w:val="22"/>
        </w:rPr>
        <w:t>Imatinib Actavis Group (100 mg, 200 mg, 300 mg, 400 mg)</w:t>
      </w:r>
    </w:p>
    <w:p w14:paraId="627BC235" w14:textId="77777777" w:rsidR="008A305D" w:rsidRPr="00BA3FBD" w:rsidRDefault="008A305D" w:rsidP="008A305D">
      <w:pPr>
        <w:autoSpaceDE w:val="0"/>
        <w:autoSpaceDN w:val="0"/>
        <w:adjustRightInd w:val="0"/>
        <w:rPr>
          <w:sz w:val="22"/>
          <w:szCs w:val="22"/>
        </w:rPr>
      </w:pPr>
      <w:r>
        <w:rPr>
          <w:sz w:val="22"/>
          <w:szCs w:val="22"/>
        </w:rPr>
        <w:t>Estija</w:t>
      </w:r>
      <w:r>
        <w:rPr>
          <w:sz w:val="22"/>
          <w:szCs w:val="22"/>
        </w:rPr>
        <w:tab/>
      </w:r>
      <w:r w:rsidRPr="00BA3FBD">
        <w:rPr>
          <w:sz w:val="22"/>
          <w:szCs w:val="22"/>
        </w:rPr>
        <w:t>Imatinib Actavis Group (100 mg, 200 mg, 300 mg, 400 mg)</w:t>
      </w:r>
    </w:p>
    <w:p w14:paraId="40D6502F" w14:textId="77777777" w:rsidR="008A305D" w:rsidRPr="00BA3FBD" w:rsidRDefault="008A305D" w:rsidP="008A305D">
      <w:pPr>
        <w:autoSpaceDE w:val="0"/>
        <w:autoSpaceDN w:val="0"/>
        <w:adjustRightInd w:val="0"/>
        <w:rPr>
          <w:sz w:val="22"/>
          <w:szCs w:val="22"/>
        </w:rPr>
      </w:pPr>
      <w:r>
        <w:rPr>
          <w:sz w:val="22"/>
          <w:szCs w:val="22"/>
        </w:rPr>
        <w:t>Graikija</w:t>
      </w:r>
      <w:r w:rsidRPr="00BA3FBD">
        <w:rPr>
          <w:sz w:val="22"/>
          <w:szCs w:val="22"/>
        </w:rPr>
        <w:tab/>
        <w:t>Imatinib Actavis Group (100 mg, 200 mg, 300 mg, 400 mg)</w:t>
      </w:r>
    </w:p>
    <w:p w14:paraId="78CEE83F" w14:textId="77777777" w:rsidR="008A305D" w:rsidRPr="00BA3FBD" w:rsidRDefault="008A305D" w:rsidP="008A305D">
      <w:pPr>
        <w:autoSpaceDE w:val="0"/>
        <w:autoSpaceDN w:val="0"/>
        <w:adjustRightInd w:val="0"/>
        <w:rPr>
          <w:sz w:val="22"/>
          <w:szCs w:val="22"/>
        </w:rPr>
      </w:pPr>
      <w:r>
        <w:rPr>
          <w:sz w:val="22"/>
          <w:szCs w:val="22"/>
        </w:rPr>
        <w:t>Suomija</w:t>
      </w:r>
      <w:r w:rsidRPr="00BA3FBD">
        <w:rPr>
          <w:sz w:val="22"/>
          <w:szCs w:val="22"/>
        </w:rPr>
        <w:tab/>
        <w:t>Imatinib Actavis Group (100 mg, 200 mg, 300 mg, 400 mg)</w:t>
      </w:r>
    </w:p>
    <w:p w14:paraId="34B0BC89" w14:textId="77777777" w:rsidR="008A305D" w:rsidRPr="00BA3FBD" w:rsidRDefault="008A305D" w:rsidP="008A305D">
      <w:pPr>
        <w:autoSpaceDE w:val="0"/>
        <w:autoSpaceDN w:val="0"/>
        <w:adjustRightInd w:val="0"/>
        <w:rPr>
          <w:sz w:val="22"/>
          <w:szCs w:val="22"/>
        </w:rPr>
      </w:pPr>
      <w:r>
        <w:rPr>
          <w:sz w:val="22"/>
          <w:szCs w:val="22"/>
        </w:rPr>
        <w:t>Kroatija</w:t>
      </w:r>
      <w:r w:rsidRPr="00BA3FBD">
        <w:rPr>
          <w:sz w:val="22"/>
          <w:szCs w:val="22"/>
        </w:rPr>
        <w:tab/>
        <w:t>Imatinib Actavis Group 400 mg filmom obložene tablete</w:t>
      </w:r>
    </w:p>
    <w:p w14:paraId="7B3DB326" w14:textId="77777777" w:rsidR="008A305D" w:rsidRPr="00BA3FBD" w:rsidRDefault="008A305D" w:rsidP="008A305D">
      <w:pPr>
        <w:autoSpaceDE w:val="0"/>
        <w:autoSpaceDN w:val="0"/>
        <w:adjustRightInd w:val="0"/>
        <w:rPr>
          <w:sz w:val="22"/>
          <w:szCs w:val="22"/>
        </w:rPr>
      </w:pPr>
      <w:r>
        <w:rPr>
          <w:sz w:val="22"/>
          <w:szCs w:val="22"/>
        </w:rPr>
        <w:t>Vengrija</w:t>
      </w:r>
      <w:r w:rsidRPr="00BA3FBD">
        <w:rPr>
          <w:sz w:val="22"/>
          <w:szCs w:val="22"/>
        </w:rPr>
        <w:tab/>
        <w:t>Imatinib Actavis Group 100 mg, 200 mg, 300 mg, 400 mg filmtabletta</w:t>
      </w:r>
    </w:p>
    <w:p w14:paraId="090EC1C7" w14:textId="77777777" w:rsidR="008A305D" w:rsidRPr="00BA3FBD" w:rsidRDefault="008A305D" w:rsidP="008A305D">
      <w:pPr>
        <w:autoSpaceDE w:val="0"/>
        <w:autoSpaceDN w:val="0"/>
        <w:adjustRightInd w:val="0"/>
        <w:rPr>
          <w:sz w:val="22"/>
          <w:szCs w:val="22"/>
        </w:rPr>
      </w:pPr>
      <w:r>
        <w:rPr>
          <w:sz w:val="22"/>
          <w:szCs w:val="22"/>
        </w:rPr>
        <w:t>Airija</w:t>
      </w:r>
      <w:r>
        <w:rPr>
          <w:sz w:val="22"/>
          <w:szCs w:val="22"/>
        </w:rPr>
        <w:tab/>
      </w:r>
      <w:r w:rsidRPr="00BA3FBD">
        <w:rPr>
          <w:sz w:val="22"/>
          <w:szCs w:val="22"/>
        </w:rPr>
        <w:t>Imatinib Actavis Group (100 mg, 400 mg)</w:t>
      </w:r>
    </w:p>
    <w:p w14:paraId="162CA445" w14:textId="77777777" w:rsidR="008A305D" w:rsidRPr="00BA3FBD" w:rsidRDefault="008A305D" w:rsidP="008A305D">
      <w:pPr>
        <w:autoSpaceDE w:val="0"/>
        <w:autoSpaceDN w:val="0"/>
        <w:adjustRightInd w:val="0"/>
        <w:rPr>
          <w:sz w:val="22"/>
          <w:szCs w:val="22"/>
        </w:rPr>
      </w:pPr>
      <w:r>
        <w:rPr>
          <w:sz w:val="22"/>
          <w:szCs w:val="22"/>
        </w:rPr>
        <w:t>Islandija</w:t>
      </w:r>
      <w:r w:rsidRPr="00BA3FBD">
        <w:rPr>
          <w:sz w:val="22"/>
          <w:szCs w:val="22"/>
        </w:rPr>
        <w:tab/>
        <w:t>Imatinib Actavis Group (100 mg, 200 mg, 300 mg, 400 mg)</w:t>
      </w:r>
    </w:p>
    <w:p w14:paraId="49A6AEA7" w14:textId="77777777" w:rsidR="008A305D" w:rsidRPr="00BA3FBD" w:rsidRDefault="008A305D" w:rsidP="008A305D">
      <w:pPr>
        <w:autoSpaceDE w:val="0"/>
        <w:autoSpaceDN w:val="0"/>
        <w:adjustRightInd w:val="0"/>
        <w:rPr>
          <w:sz w:val="22"/>
          <w:szCs w:val="22"/>
        </w:rPr>
      </w:pPr>
      <w:r>
        <w:rPr>
          <w:sz w:val="22"/>
          <w:szCs w:val="22"/>
        </w:rPr>
        <w:t>Lietuva</w:t>
      </w:r>
      <w:r>
        <w:rPr>
          <w:sz w:val="22"/>
          <w:szCs w:val="22"/>
        </w:rPr>
        <w:tab/>
      </w:r>
      <w:r w:rsidRPr="00BA3FBD">
        <w:rPr>
          <w:sz w:val="22"/>
          <w:szCs w:val="22"/>
        </w:rPr>
        <w:t>Imatinib Actavis Group 400 mg plėvele dengtos tabletės</w:t>
      </w:r>
    </w:p>
    <w:p w14:paraId="1A87105E" w14:textId="77777777" w:rsidR="008A305D" w:rsidRPr="00BA3FBD" w:rsidRDefault="008A305D" w:rsidP="008A305D">
      <w:pPr>
        <w:autoSpaceDE w:val="0"/>
        <w:autoSpaceDN w:val="0"/>
        <w:adjustRightInd w:val="0"/>
        <w:rPr>
          <w:sz w:val="22"/>
          <w:szCs w:val="22"/>
        </w:rPr>
      </w:pPr>
      <w:r>
        <w:rPr>
          <w:sz w:val="22"/>
          <w:szCs w:val="22"/>
        </w:rPr>
        <w:t>Latvija</w:t>
      </w:r>
      <w:r>
        <w:rPr>
          <w:sz w:val="22"/>
          <w:szCs w:val="22"/>
        </w:rPr>
        <w:tab/>
      </w:r>
      <w:r w:rsidRPr="00BA3FBD">
        <w:rPr>
          <w:sz w:val="22"/>
          <w:szCs w:val="22"/>
        </w:rPr>
        <w:t>Imatinib Actavis Group 400 mg apvalkotās tabletes</w:t>
      </w:r>
    </w:p>
    <w:p w14:paraId="4A8B9581" w14:textId="77777777" w:rsidR="008A305D" w:rsidRPr="00BA3FBD" w:rsidRDefault="008A305D" w:rsidP="008A305D">
      <w:pPr>
        <w:autoSpaceDE w:val="0"/>
        <w:autoSpaceDN w:val="0"/>
        <w:adjustRightInd w:val="0"/>
        <w:rPr>
          <w:sz w:val="22"/>
          <w:szCs w:val="22"/>
        </w:rPr>
      </w:pPr>
      <w:r>
        <w:rPr>
          <w:sz w:val="22"/>
          <w:szCs w:val="22"/>
        </w:rPr>
        <w:t>Malta</w:t>
      </w:r>
      <w:r>
        <w:rPr>
          <w:sz w:val="22"/>
          <w:szCs w:val="22"/>
        </w:rPr>
        <w:tab/>
      </w:r>
      <w:r w:rsidRPr="00BA3FBD">
        <w:rPr>
          <w:sz w:val="22"/>
          <w:szCs w:val="22"/>
        </w:rPr>
        <w:t>Imatinib Actavis Group (100 mg, 200 mg, 300 mg, 400 mg)</w:t>
      </w:r>
    </w:p>
    <w:p w14:paraId="67F347E8" w14:textId="77777777" w:rsidR="008A305D" w:rsidRPr="00BA3FBD" w:rsidRDefault="008A305D" w:rsidP="008A305D">
      <w:pPr>
        <w:autoSpaceDE w:val="0"/>
        <w:autoSpaceDN w:val="0"/>
        <w:adjustRightInd w:val="0"/>
        <w:rPr>
          <w:sz w:val="22"/>
          <w:szCs w:val="22"/>
        </w:rPr>
      </w:pPr>
      <w:r>
        <w:rPr>
          <w:sz w:val="22"/>
          <w:szCs w:val="22"/>
        </w:rPr>
        <w:t>Norvegija</w:t>
      </w:r>
      <w:r w:rsidRPr="00BA3FBD">
        <w:rPr>
          <w:sz w:val="22"/>
          <w:szCs w:val="22"/>
        </w:rPr>
        <w:tab/>
        <w:t>Imatinib Actavis Group (100 mg, 200 mg, 300 mg, 400 mg)</w:t>
      </w:r>
    </w:p>
    <w:p w14:paraId="7B1A8B82" w14:textId="77777777" w:rsidR="008A305D" w:rsidRPr="00BA3FBD" w:rsidRDefault="008A305D" w:rsidP="008A305D">
      <w:pPr>
        <w:autoSpaceDE w:val="0"/>
        <w:autoSpaceDN w:val="0"/>
        <w:adjustRightInd w:val="0"/>
        <w:rPr>
          <w:sz w:val="22"/>
          <w:szCs w:val="22"/>
        </w:rPr>
      </w:pPr>
      <w:r>
        <w:rPr>
          <w:sz w:val="22"/>
          <w:szCs w:val="22"/>
        </w:rPr>
        <w:t>Lenkija</w:t>
      </w:r>
      <w:r>
        <w:rPr>
          <w:sz w:val="22"/>
          <w:szCs w:val="22"/>
        </w:rPr>
        <w:tab/>
      </w:r>
      <w:r w:rsidRPr="00BA3FBD">
        <w:rPr>
          <w:sz w:val="22"/>
          <w:szCs w:val="22"/>
        </w:rPr>
        <w:t>Imatinib Actavis Group (100 mg, 200 mg, 300 mg, 400 mg)</w:t>
      </w:r>
    </w:p>
    <w:p w14:paraId="44670093" w14:textId="77777777" w:rsidR="008A305D" w:rsidRPr="00BA3FBD" w:rsidRDefault="008A305D" w:rsidP="008A305D">
      <w:pPr>
        <w:autoSpaceDE w:val="0"/>
        <w:autoSpaceDN w:val="0"/>
        <w:adjustRightInd w:val="0"/>
        <w:rPr>
          <w:sz w:val="22"/>
          <w:szCs w:val="22"/>
        </w:rPr>
      </w:pPr>
      <w:r>
        <w:rPr>
          <w:sz w:val="22"/>
          <w:szCs w:val="22"/>
        </w:rPr>
        <w:t>Rumunija</w:t>
      </w:r>
      <w:r w:rsidRPr="00BA3FBD">
        <w:rPr>
          <w:sz w:val="22"/>
          <w:szCs w:val="22"/>
        </w:rPr>
        <w:tab/>
        <w:t>Imatinib Actavis Group 100 mg, 400 mg comprimate filmate</w:t>
      </w:r>
    </w:p>
    <w:p w14:paraId="3E8DD51A" w14:textId="77777777" w:rsidR="008A305D" w:rsidRPr="00BA3FBD" w:rsidRDefault="008A305D" w:rsidP="008A305D">
      <w:pPr>
        <w:autoSpaceDE w:val="0"/>
        <w:autoSpaceDN w:val="0"/>
        <w:adjustRightInd w:val="0"/>
        <w:rPr>
          <w:sz w:val="22"/>
          <w:szCs w:val="22"/>
        </w:rPr>
      </w:pPr>
      <w:r>
        <w:rPr>
          <w:sz w:val="22"/>
          <w:szCs w:val="22"/>
        </w:rPr>
        <w:t>Slovėnija</w:t>
      </w:r>
      <w:r w:rsidRPr="00BA3FBD">
        <w:rPr>
          <w:sz w:val="22"/>
          <w:szCs w:val="22"/>
        </w:rPr>
        <w:tab/>
        <w:t>Imatinib Actavis Group, Filmsko obložene tablete (100 mg, 200 mg, 300 mg, 400 mg)</w:t>
      </w:r>
    </w:p>
    <w:p w14:paraId="62352E25" w14:textId="77777777" w:rsidR="008A305D" w:rsidRPr="00BA3FBD" w:rsidRDefault="008A305D" w:rsidP="008A305D">
      <w:pPr>
        <w:autoSpaceDE w:val="0"/>
        <w:autoSpaceDN w:val="0"/>
        <w:adjustRightInd w:val="0"/>
        <w:rPr>
          <w:sz w:val="22"/>
          <w:szCs w:val="22"/>
        </w:rPr>
      </w:pPr>
      <w:r>
        <w:rPr>
          <w:sz w:val="22"/>
          <w:szCs w:val="22"/>
        </w:rPr>
        <w:t>Slovakija</w:t>
      </w:r>
      <w:r w:rsidRPr="00BA3FBD">
        <w:rPr>
          <w:sz w:val="22"/>
          <w:szCs w:val="22"/>
        </w:rPr>
        <w:tab/>
        <w:t>Imatinib Actavis Group 400 mg</w:t>
      </w:r>
    </w:p>
    <w:p w14:paraId="2D382A44" w14:textId="4BAFC9F9" w:rsidR="008A305D" w:rsidRPr="00BA3FBD" w:rsidRDefault="008A305D" w:rsidP="008A305D">
      <w:pPr>
        <w:autoSpaceDE w:val="0"/>
        <w:autoSpaceDN w:val="0"/>
        <w:adjustRightInd w:val="0"/>
        <w:rPr>
          <w:sz w:val="22"/>
          <w:szCs w:val="22"/>
        </w:rPr>
      </w:pPr>
      <w:r>
        <w:rPr>
          <w:sz w:val="22"/>
          <w:szCs w:val="22"/>
        </w:rPr>
        <w:t>Jungtinė Karalystė</w:t>
      </w:r>
      <w:r w:rsidR="00C7290D">
        <w:rPr>
          <w:sz w:val="22"/>
          <w:szCs w:val="22"/>
        </w:rPr>
        <w:t xml:space="preserve"> </w:t>
      </w:r>
      <w:r w:rsidRPr="00BA3FBD">
        <w:rPr>
          <w:sz w:val="22"/>
          <w:szCs w:val="22"/>
        </w:rPr>
        <w:t>Imatinib Actavis Group 400mg Film-coated Tablets</w:t>
      </w:r>
    </w:p>
    <w:p w14:paraId="5EBA50F6" w14:textId="77777777" w:rsidR="008A305D" w:rsidRDefault="008A305D" w:rsidP="008A305D">
      <w:pPr>
        <w:autoSpaceDE w:val="0"/>
        <w:autoSpaceDN w:val="0"/>
        <w:adjustRightInd w:val="0"/>
        <w:rPr>
          <w:sz w:val="22"/>
          <w:szCs w:val="22"/>
        </w:rPr>
      </w:pPr>
    </w:p>
    <w:p w14:paraId="2CC0DA8A" w14:textId="77777777" w:rsidR="008A305D" w:rsidRPr="00BA3FBD" w:rsidRDefault="008A305D" w:rsidP="008A305D">
      <w:pPr>
        <w:autoSpaceDE w:val="0"/>
        <w:autoSpaceDN w:val="0"/>
        <w:adjustRightInd w:val="0"/>
        <w:rPr>
          <w:sz w:val="22"/>
          <w:szCs w:val="22"/>
        </w:rPr>
      </w:pPr>
    </w:p>
    <w:p w14:paraId="7D8CAC8E" w14:textId="37F278ED" w:rsidR="008A305D" w:rsidRPr="00BA3FBD" w:rsidRDefault="008A305D" w:rsidP="008A305D">
      <w:pPr>
        <w:autoSpaceDE w:val="0"/>
        <w:autoSpaceDN w:val="0"/>
        <w:adjustRightInd w:val="0"/>
        <w:contextualSpacing/>
        <w:rPr>
          <w:b/>
          <w:bCs/>
          <w:sz w:val="22"/>
          <w:szCs w:val="22"/>
        </w:rPr>
      </w:pPr>
      <w:r w:rsidRPr="00BA3FBD">
        <w:rPr>
          <w:b/>
          <w:bCs/>
          <w:sz w:val="22"/>
          <w:szCs w:val="22"/>
        </w:rPr>
        <w:t>Šis pakuotės lapelis paskutinį kartą peržiūrėtas</w:t>
      </w:r>
      <w:r>
        <w:rPr>
          <w:b/>
          <w:bCs/>
          <w:sz w:val="22"/>
          <w:szCs w:val="22"/>
        </w:rPr>
        <w:t xml:space="preserve"> </w:t>
      </w:r>
      <w:r w:rsidR="00C55C73">
        <w:rPr>
          <w:b/>
          <w:bCs/>
          <w:sz w:val="22"/>
          <w:szCs w:val="22"/>
        </w:rPr>
        <w:t>2016-10-31.</w:t>
      </w:r>
    </w:p>
    <w:p w14:paraId="18C4CE48" w14:textId="77777777" w:rsidR="008A305D" w:rsidRDefault="008A305D" w:rsidP="008A305D">
      <w:pPr>
        <w:autoSpaceDE w:val="0"/>
        <w:autoSpaceDN w:val="0"/>
        <w:adjustRightInd w:val="0"/>
        <w:contextualSpacing/>
        <w:rPr>
          <w:bCs/>
          <w:sz w:val="22"/>
          <w:szCs w:val="22"/>
        </w:rPr>
      </w:pPr>
    </w:p>
    <w:p w14:paraId="512A5C06" w14:textId="77777777" w:rsidR="008A305D" w:rsidRPr="00BA3FBD" w:rsidRDefault="008A305D" w:rsidP="008A305D">
      <w:pPr>
        <w:autoSpaceDE w:val="0"/>
        <w:autoSpaceDN w:val="0"/>
        <w:adjustRightInd w:val="0"/>
        <w:contextualSpacing/>
        <w:rPr>
          <w:bCs/>
          <w:sz w:val="22"/>
          <w:szCs w:val="22"/>
        </w:rPr>
      </w:pPr>
    </w:p>
    <w:p w14:paraId="6119310A" w14:textId="77777777" w:rsidR="008A305D" w:rsidRPr="00BA3FBD" w:rsidRDefault="008A305D" w:rsidP="008A305D">
      <w:pPr>
        <w:numPr>
          <w:ilvl w:val="12"/>
          <w:numId w:val="0"/>
        </w:numPr>
        <w:tabs>
          <w:tab w:val="left" w:pos="567"/>
        </w:tabs>
        <w:ind w:right="-2"/>
        <w:rPr>
          <w:snapToGrid w:val="0"/>
          <w:sz w:val="22"/>
        </w:rPr>
      </w:pPr>
      <w:r w:rsidRPr="00BA3FBD">
        <w:rPr>
          <w:snapToGrid w:val="0"/>
          <w:sz w:val="22"/>
          <w:szCs w:val="20"/>
        </w:rPr>
        <w:t xml:space="preserve">Išsami informacija apie šį </w:t>
      </w:r>
      <w:r w:rsidRPr="00BA3FBD">
        <w:rPr>
          <w:snapToGrid w:val="0"/>
          <w:sz w:val="22"/>
        </w:rPr>
        <w:t>vaistą</w:t>
      </w:r>
      <w:r w:rsidRPr="00BA3FBD">
        <w:rPr>
          <w:snapToGrid w:val="0"/>
          <w:sz w:val="22"/>
          <w:szCs w:val="20"/>
        </w:rPr>
        <w:t xml:space="preserve"> pateikiama Valstybinės vaistų kontrolės tarnybos prie Lietuvos Respublikos sveikatos apsaugos ministerijos tinklalapyje</w:t>
      </w:r>
      <w:r w:rsidRPr="00BA3FBD">
        <w:rPr>
          <w:i/>
          <w:snapToGrid w:val="0"/>
          <w:sz w:val="22"/>
        </w:rPr>
        <w:t xml:space="preserve"> </w:t>
      </w:r>
      <w:hyperlink r:id="rId27" w:history="1">
        <w:r w:rsidRPr="00BA3FBD">
          <w:rPr>
            <w:rFonts w:eastAsia="SimSun"/>
            <w:snapToGrid w:val="0"/>
            <w:color w:val="0000FF"/>
            <w:sz w:val="22"/>
            <w:szCs w:val="20"/>
            <w:u w:val="single"/>
          </w:rPr>
          <w:t>http://www.vvkt.lt/</w:t>
        </w:r>
      </w:hyperlink>
      <w:r w:rsidRPr="00BA3FBD">
        <w:rPr>
          <w:snapToGrid w:val="0"/>
          <w:sz w:val="22"/>
          <w:szCs w:val="20"/>
        </w:rPr>
        <w:t>.</w:t>
      </w:r>
    </w:p>
    <w:p w14:paraId="1E7B24D3" w14:textId="77777777" w:rsidR="008A305D" w:rsidRPr="00BA3FBD" w:rsidRDefault="008A305D" w:rsidP="008A305D">
      <w:pPr>
        <w:autoSpaceDE w:val="0"/>
        <w:autoSpaceDN w:val="0"/>
        <w:adjustRightInd w:val="0"/>
        <w:contextualSpacing/>
        <w:rPr>
          <w:rFonts w:eastAsia="Calibri"/>
          <w:color w:val="000000"/>
          <w:sz w:val="22"/>
          <w:szCs w:val="22"/>
        </w:rPr>
      </w:pPr>
    </w:p>
    <w:p w14:paraId="75408479" w14:textId="77777777" w:rsidR="008A305D" w:rsidRPr="00BA3FBD" w:rsidRDefault="008A305D" w:rsidP="008A305D">
      <w:pPr>
        <w:autoSpaceDE w:val="0"/>
        <w:autoSpaceDN w:val="0"/>
        <w:adjustRightInd w:val="0"/>
        <w:contextualSpacing/>
        <w:jc w:val="center"/>
        <w:rPr>
          <w:b/>
          <w:sz w:val="22"/>
          <w:szCs w:val="22"/>
        </w:rPr>
      </w:pPr>
      <w:bookmarkStart w:id="2" w:name="_GoBack"/>
      <w:bookmarkEnd w:id="2"/>
      <w:permStart w:id="862075251" w:edGrp="everyone"/>
      <w:permEnd w:id="862075251"/>
    </w:p>
    <w:p w14:paraId="4726FD48" w14:textId="77777777" w:rsidR="008A305D" w:rsidRPr="00BA3FBD" w:rsidRDefault="008A305D" w:rsidP="008A305D">
      <w:pPr>
        <w:autoSpaceDE w:val="0"/>
        <w:autoSpaceDN w:val="0"/>
        <w:adjustRightInd w:val="0"/>
        <w:rPr>
          <w:b/>
          <w:sz w:val="22"/>
          <w:szCs w:val="22"/>
        </w:rPr>
      </w:pPr>
    </w:p>
    <w:p w14:paraId="3DCF9F94" w14:textId="77777777" w:rsidR="008A305D" w:rsidRDefault="008A305D" w:rsidP="008A305D"/>
    <w:p w14:paraId="6129C43C" w14:textId="77777777" w:rsidR="008F3CC6" w:rsidRDefault="008F3CC6"/>
    <w:sectPr w:rsidR="008F3CC6" w:rsidSect="00412F88">
      <w:footerReference w:type="default" r:id="rId28"/>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0481D" w14:textId="77777777" w:rsidR="00F839C8" w:rsidRDefault="00F839C8">
      <w:r>
        <w:separator/>
      </w:r>
    </w:p>
  </w:endnote>
  <w:endnote w:type="continuationSeparator" w:id="0">
    <w:p w14:paraId="18225761" w14:textId="77777777" w:rsidR="00F839C8" w:rsidRDefault="00F839C8">
      <w:r>
        <w:continuationSeparator/>
      </w:r>
    </w:p>
  </w:endnote>
  <w:endnote w:type="continuationNotice" w:id="1">
    <w:p w14:paraId="35E130BF" w14:textId="77777777" w:rsidR="00F839C8" w:rsidRDefault="00F83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A18FA" w14:textId="77777777" w:rsidR="00412F88" w:rsidRPr="00E93274" w:rsidRDefault="00412F88">
    <w:pPr>
      <w:pStyle w:val="Porat"/>
      <w:jc w:val="center"/>
      <w:rPr>
        <w:sz w:val="20"/>
        <w:szCs w:val="16"/>
      </w:rPr>
    </w:pPr>
    <w:r w:rsidRPr="00E93274">
      <w:rPr>
        <w:sz w:val="20"/>
        <w:szCs w:val="16"/>
      </w:rPr>
      <w:fldChar w:fldCharType="begin"/>
    </w:r>
    <w:r w:rsidRPr="00E93274">
      <w:rPr>
        <w:sz w:val="20"/>
        <w:szCs w:val="16"/>
      </w:rPr>
      <w:instrText xml:space="preserve"> PAGE   \* MERGEFORMAT </w:instrText>
    </w:r>
    <w:r w:rsidRPr="00E93274">
      <w:rPr>
        <w:sz w:val="20"/>
        <w:szCs w:val="16"/>
      </w:rPr>
      <w:fldChar w:fldCharType="separate"/>
    </w:r>
    <w:r w:rsidR="00C7290D">
      <w:rPr>
        <w:noProof/>
        <w:sz w:val="20"/>
        <w:szCs w:val="16"/>
      </w:rPr>
      <w:t>70</w:t>
    </w:r>
    <w:r w:rsidRPr="00E93274">
      <w:rPr>
        <w:noProof/>
        <w:sz w:val="20"/>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CD6E5" w14:textId="77777777" w:rsidR="00F839C8" w:rsidRDefault="00F839C8">
      <w:r>
        <w:separator/>
      </w:r>
    </w:p>
  </w:footnote>
  <w:footnote w:type="continuationSeparator" w:id="0">
    <w:p w14:paraId="67346D83" w14:textId="77777777" w:rsidR="00F839C8" w:rsidRDefault="00F839C8">
      <w:r>
        <w:continuationSeparator/>
      </w:r>
    </w:p>
  </w:footnote>
  <w:footnote w:type="continuationNotice" w:id="1">
    <w:p w14:paraId="5BB404C1" w14:textId="77777777" w:rsidR="00F839C8" w:rsidRDefault="00F839C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3657D"/>
    <w:multiLevelType w:val="hybridMultilevel"/>
    <w:tmpl w:val="3B300EC8"/>
    <w:lvl w:ilvl="0" w:tplc="857EA38A">
      <w:start w:val="4"/>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EA6A45"/>
    <w:multiLevelType w:val="multilevel"/>
    <w:tmpl w:val="3844F37E"/>
    <w:lvl w:ilvl="0">
      <w:start w:val="4"/>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 w15:restartNumberingAfterBreak="0">
    <w:nsid w:val="1D2A0E35"/>
    <w:multiLevelType w:val="hybridMultilevel"/>
    <w:tmpl w:val="864E086E"/>
    <w:lvl w:ilvl="0" w:tplc="77349DCC">
      <w:start w:val="8"/>
      <w:numFmt w:val="bullet"/>
      <w:lvlText w:val="-"/>
      <w:lvlJc w:val="left"/>
      <w:pPr>
        <w:ind w:left="360" w:hanging="360"/>
      </w:pPr>
      <w:rPr>
        <w:rFonts w:ascii="Times New Roman" w:eastAsia="Calibri"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742F4B"/>
    <w:multiLevelType w:val="hybridMultilevel"/>
    <w:tmpl w:val="DE7841B8"/>
    <w:lvl w:ilvl="0" w:tplc="B434E1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70A22"/>
    <w:multiLevelType w:val="hybridMultilevel"/>
    <w:tmpl w:val="95AA3636"/>
    <w:lvl w:ilvl="0" w:tplc="21F05BD0">
      <w:start w:val="3"/>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E65512"/>
    <w:multiLevelType w:val="hybridMultilevel"/>
    <w:tmpl w:val="688E6850"/>
    <w:lvl w:ilvl="0" w:tplc="EA6CEA2C">
      <w:start w:val="2"/>
      <w:numFmt w:val="bullet"/>
      <w:lvlText w:val=""/>
      <w:lvlJc w:val="left"/>
      <w:pPr>
        <w:tabs>
          <w:tab w:val="num" w:pos="360"/>
        </w:tabs>
        <w:ind w:left="360" w:hanging="360"/>
      </w:pPr>
      <w:rPr>
        <w:rFonts w:ascii="Symbol" w:hAnsi="Symbol" w:hint="default"/>
        <w:color w:val="auto"/>
        <w:u w:val="none" w:color="00000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B447F1"/>
    <w:multiLevelType w:val="hybridMultilevel"/>
    <w:tmpl w:val="0D1893F6"/>
    <w:lvl w:ilvl="0" w:tplc="E422988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7815ED"/>
    <w:multiLevelType w:val="hybridMultilevel"/>
    <w:tmpl w:val="9C342340"/>
    <w:lvl w:ilvl="0" w:tplc="77349DCC">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B128AB"/>
    <w:multiLevelType w:val="hybridMultilevel"/>
    <w:tmpl w:val="54D4B030"/>
    <w:lvl w:ilvl="0" w:tplc="D0EEC934">
      <w:start w:val="1"/>
      <w:numFmt w:val="upperLetter"/>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E835C77"/>
    <w:multiLevelType w:val="hybridMultilevel"/>
    <w:tmpl w:val="2378206A"/>
    <w:lvl w:ilvl="0" w:tplc="77349DCC">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19710B"/>
    <w:multiLevelType w:val="hybridMultilevel"/>
    <w:tmpl w:val="EBFE2F46"/>
    <w:lvl w:ilvl="0" w:tplc="77349DCC">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7E726D"/>
    <w:multiLevelType w:val="hybridMultilevel"/>
    <w:tmpl w:val="CEC62A32"/>
    <w:lvl w:ilvl="0" w:tplc="BCACC8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BA66B4C"/>
    <w:multiLevelType w:val="hybridMultilevel"/>
    <w:tmpl w:val="002AAFFC"/>
    <w:lvl w:ilvl="0" w:tplc="CE3668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2"/>
  </w:num>
  <w:num w:numId="4">
    <w:abstractNumId w:val="11"/>
  </w:num>
  <w:num w:numId="5">
    <w:abstractNumId w:val="1"/>
  </w:num>
  <w:num w:numId="6">
    <w:abstractNumId w:val="6"/>
  </w:num>
  <w:num w:numId="7">
    <w:abstractNumId w:val="8"/>
  </w:num>
  <w:num w:numId="8">
    <w:abstractNumId w:val="0"/>
  </w:num>
  <w:num w:numId="9">
    <w:abstractNumId w:val="5"/>
  </w:num>
  <w:num w:numId="10">
    <w:abstractNumId w:val="2"/>
  </w:num>
  <w:num w:numId="11">
    <w:abstractNumId w:val="7"/>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readOnly" w:enforcement="1" w:cryptProviderType="rsaAES" w:cryptAlgorithmClass="hash" w:cryptAlgorithmType="typeAny" w:cryptAlgorithmSid="14" w:cryptSpinCount="100000" w:hash="jUakRrdFWq6/yaUABGzGfYr/ijxMuYMZjsXh600clYP010Yxv08qvH4bTNBiczXci9ydZx/Azx1JvHOSClgikw==" w:salt="3nmZ0F18CTK55+dHcRNa8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05D"/>
    <w:rsid w:val="00086667"/>
    <w:rsid w:val="0012495D"/>
    <w:rsid w:val="001E0DC1"/>
    <w:rsid w:val="00212F7C"/>
    <w:rsid w:val="00292F6E"/>
    <w:rsid w:val="002E6A4F"/>
    <w:rsid w:val="003B4953"/>
    <w:rsid w:val="003B7085"/>
    <w:rsid w:val="00412F88"/>
    <w:rsid w:val="00426CB2"/>
    <w:rsid w:val="004541C8"/>
    <w:rsid w:val="00511100"/>
    <w:rsid w:val="005E4E29"/>
    <w:rsid w:val="00646F71"/>
    <w:rsid w:val="00741016"/>
    <w:rsid w:val="007510AA"/>
    <w:rsid w:val="007C5FD2"/>
    <w:rsid w:val="008212D2"/>
    <w:rsid w:val="008A305D"/>
    <w:rsid w:val="008C086F"/>
    <w:rsid w:val="008F3CC6"/>
    <w:rsid w:val="009E05E3"/>
    <w:rsid w:val="00A1496E"/>
    <w:rsid w:val="00A422EB"/>
    <w:rsid w:val="00A66F46"/>
    <w:rsid w:val="00AF1265"/>
    <w:rsid w:val="00BC1001"/>
    <w:rsid w:val="00C55C73"/>
    <w:rsid w:val="00C7290D"/>
    <w:rsid w:val="00EF2EAE"/>
    <w:rsid w:val="00F2348D"/>
    <w:rsid w:val="00F839C8"/>
    <w:rsid w:val="00FF5F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9DA2B0-14E7-438B-8F55-54035B7F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305D"/>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9"/>
    <w:qFormat/>
    <w:rsid w:val="008A305D"/>
    <w:pPr>
      <w:keepNext/>
      <w:tabs>
        <w:tab w:val="left" w:pos="567"/>
      </w:tabs>
      <w:spacing w:before="240" w:after="60" w:line="260" w:lineRule="exact"/>
      <w:outlineLvl w:val="1"/>
    </w:pPr>
    <w:rPr>
      <w:rFonts w:ascii="Helvetica" w:eastAsia="SimSun" w:hAnsi="Helvetica"/>
      <w:b/>
      <w:i/>
      <w:szCs w:val="20"/>
      <w:lang w:val="en-GB"/>
    </w:rPr>
  </w:style>
  <w:style w:type="paragraph" w:styleId="Antrat6">
    <w:name w:val="heading 6"/>
    <w:basedOn w:val="prastasis"/>
    <w:next w:val="prastasis"/>
    <w:link w:val="Antrat6Diagrama"/>
    <w:uiPriority w:val="9"/>
    <w:semiHidden/>
    <w:unhideWhenUsed/>
    <w:qFormat/>
    <w:rsid w:val="008A305D"/>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8A305D"/>
    <w:rPr>
      <w:rFonts w:ascii="Helvetica" w:eastAsia="SimSun" w:hAnsi="Helvetica" w:cs="Times New Roman"/>
      <w:b/>
      <w:i/>
      <w:sz w:val="24"/>
      <w:szCs w:val="20"/>
      <w:lang w:val="en-GB"/>
    </w:rPr>
  </w:style>
  <w:style w:type="character" w:customStyle="1" w:styleId="Antrat6Diagrama">
    <w:name w:val="Antraštė 6 Diagrama"/>
    <w:basedOn w:val="Numatytasispastraiposriftas"/>
    <w:link w:val="Antrat6"/>
    <w:uiPriority w:val="9"/>
    <w:semiHidden/>
    <w:rsid w:val="008A305D"/>
    <w:rPr>
      <w:rFonts w:ascii="Calibri" w:eastAsia="Times New Roman" w:hAnsi="Calibri" w:cs="Times New Roman"/>
      <w:b/>
      <w:bCs/>
    </w:rPr>
  </w:style>
  <w:style w:type="paragraph" w:customStyle="1" w:styleId="Default">
    <w:name w:val="Default"/>
    <w:rsid w:val="008A305D"/>
    <w:pPr>
      <w:autoSpaceDE w:val="0"/>
      <w:autoSpaceDN w:val="0"/>
      <w:adjustRightInd w:val="0"/>
      <w:spacing w:after="0" w:line="240" w:lineRule="auto"/>
    </w:pPr>
    <w:rPr>
      <w:rFonts w:ascii="Arial" w:eastAsia="Calibri" w:hAnsi="Arial" w:cs="Arial"/>
      <w:color w:val="000000"/>
      <w:sz w:val="24"/>
      <w:szCs w:val="24"/>
      <w:lang w:val="en-US"/>
    </w:rPr>
  </w:style>
  <w:style w:type="paragraph" w:styleId="Sraopastraipa">
    <w:name w:val="List Paragraph"/>
    <w:basedOn w:val="prastasis"/>
    <w:uiPriority w:val="34"/>
    <w:qFormat/>
    <w:rsid w:val="008A305D"/>
    <w:pPr>
      <w:ind w:left="720"/>
      <w:contextualSpacing/>
    </w:pPr>
  </w:style>
  <w:style w:type="paragraph" w:styleId="Betarp">
    <w:name w:val="No Spacing"/>
    <w:uiPriority w:val="1"/>
    <w:qFormat/>
    <w:rsid w:val="008A305D"/>
    <w:pPr>
      <w:spacing w:after="0" w:line="240" w:lineRule="auto"/>
    </w:pPr>
    <w:rPr>
      <w:rFonts w:ascii="Times New Roman" w:eastAsia="Times New Roman" w:hAnsi="Times New Roman" w:cs="Times New Roman"/>
      <w:sz w:val="24"/>
      <w:szCs w:val="24"/>
    </w:rPr>
  </w:style>
  <w:style w:type="character" w:styleId="Hipersaitas">
    <w:name w:val="Hyperlink"/>
    <w:uiPriority w:val="99"/>
    <w:unhideWhenUsed/>
    <w:rsid w:val="008A305D"/>
    <w:rPr>
      <w:color w:val="0000FF"/>
      <w:u w:val="single"/>
    </w:rPr>
  </w:style>
  <w:style w:type="paragraph" w:styleId="Antrats">
    <w:name w:val="header"/>
    <w:basedOn w:val="prastasis"/>
    <w:link w:val="AntratsDiagrama"/>
    <w:uiPriority w:val="99"/>
    <w:unhideWhenUsed/>
    <w:rsid w:val="008A305D"/>
    <w:pPr>
      <w:tabs>
        <w:tab w:val="center" w:pos="4680"/>
        <w:tab w:val="right" w:pos="9360"/>
      </w:tabs>
    </w:pPr>
  </w:style>
  <w:style w:type="character" w:customStyle="1" w:styleId="AntratsDiagrama">
    <w:name w:val="Antraštės Diagrama"/>
    <w:basedOn w:val="Numatytasispastraiposriftas"/>
    <w:link w:val="Antrats"/>
    <w:uiPriority w:val="99"/>
    <w:rsid w:val="008A305D"/>
    <w:rPr>
      <w:rFonts w:ascii="Times New Roman" w:eastAsia="Times New Roman" w:hAnsi="Times New Roman" w:cs="Times New Roman"/>
      <w:sz w:val="24"/>
      <w:szCs w:val="24"/>
    </w:rPr>
  </w:style>
  <w:style w:type="character" w:customStyle="1" w:styleId="BTEMEASMCAChar">
    <w:name w:val="BT EMEA_SMCA Char"/>
    <w:uiPriority w:val="99"/>
    <w:locked/>
    <w:rsid w:val="008A305D"/>
    <w:rPr>
      <w:rFonts w:ascii="Times New Roman" w:eastAsia="SimSun" w:hAnsi="Times New Roman"/>
      <w:sz w:val="22"/>
      <w:szCs w:val="22"/>
      <w:lang w:val="lt-LT"/>
    </w:rPr>
  </w:style>
  <w:style w:type="paragraph" w:styleId="Debesliotekstas">
    <w:name w:val="Balloon Text"/>
    <w:basedOn w:val="prastasis"/>
    <w:link w:val="DebesliotekstasDiagrama"/>
    <w:uiPriority w:val="99"/>
    <w:semiHidden/>
    <w:unhideWhenUsed/>
    <w:rsid w:val="008A305D"/>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8A305D"/>
    <w:rPr>
      <w:rFonts w:ascii="Tahoma" w:eastAsia="Times New Roman" w:hAnsi="Tahoma" w:cs="Times New Roman"/>
      <w:sz w:val="16"/>
      <w:szCs w:val="16"/>
    </w:rPr>
  </w:style>
  <w:style w:type="character" w:styleId="Komentaronuoroda">
    <w:name w:val="annotation reference"/>
    <w:semiHidden/>
    <w:unhideWhenUsed/>
    <w:rsid w:val="008A305D"/>
    <w:rPr>
      <w:sz w:val="16"/>
      <w:szCs w:val="16"/>
    </w:rPr>
  </w:style>
  <w:style w:type="paragraph" w:styleId="Komentarotekstas">
    <w:name w:val="annotation text"/>
    <w:basedOn w:val="prastasis"/>
    <w:link w:val="KomentarotekstasDiagrama"/>
    <w:semiHidden/>
    <w:unhideWhenUsed/>
    <w:rsid w:val="008A305D"/>
    <w:rPr>
      <w:sz w:val="20"/>
      <w:szCs w:val="20"/>
    </w:rPr>
  </w:style>
  <w:style w:type="character" w:customStyle="1" w:styleId="KomentarotekstasDiagrama">
    <w:name w:val="Komentaro tekstas Diagrama"/>
    <w:basedOn w:val="Numatytasispastraiposriftas"/>
    <w:link w:val="Komentarotekstas"/>
    <w:semiHidden/>
    <w:rsid w:val="008A305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305D"/>
    <w:rPr>
      <w:b/>
      <w:bCs/>
    </w:rPr>
  </w:style>
  <w:style w:type="character" w:customStyle="1" w:styleId="KomentarotemaDiagrama">
    <w:name w:val="Komentaro tema Diagrama"/>
    <w:basedOn w:val="KomentarotekstasDiagrama"/>
    <w:link w:val="Komentarotema"/>
    <w:uiPriority w:val="99"/>
    <w:semiHidden/>
    <w:rsid w:val="008A305D"/>
    <w:rPr>
      <w:rFonts w:ascii="Times New Roman" w:eastAsia="Times New Roman" w:hAnsi="Times New Roman" w:cs="Times New Roman"/>
      <w:b/>
      <w:bCs/>
      <w:sz w:val="20"/>
      <w:szCs w:val="20"/>
    </w:rPr>
  </w:style>
  <w:style w:type="paragraph" w:styleId="Pataisymai">
    <w:name w:val="Revision"/>
    <w:hidden/>
    <w:uiPriority w:val="99"/>
    <w:semiHidden/>
    <w:rsid w:val="008A305D"/>
    <w:pPr>
      <w:spacing w:after="0" w:line="240" w:lineRule="auto"/>
    </w:pPr>
    <w:rPr>
      <w:rFonts w:ascii="Times New Roman" w:eastAsia="Times New Roman" w:hAnsi="Times New Roman" w:cs="Times New Roman"/>
      <w:sz w:val="24"/>
      <w:szCs w:val="24"/>
    </w:rPr>
  </w:style>
  <w:style w:type="paragraph" w:customStyle="1" w:styleId="NormalParagraphStyle">
    <w:name w:val="NormalParagraphStyle"/>
    <w:basedOn w:val="prastasis"/>
    <w:rsid w:val="008A305D"/>
    <w:pPr>
      <w:widowControl w:val="0"/>
      <w:autoSpaceDE w:val="0"/>
      <w:autoSpaceDN w:val="0"/>
      <w:adjustRightInd w:val="0"/>
      <w:spacing w:line="288" w:lineRule="auto"/>
      <w:textAlignment w:val="center"/>
    </w:pPr>
    <w:rPr>
      <w:rFonts w:ascii="Times-Roman" w:hAnsi="Times-Roman"/>
      <w:color w:val="000000"/>
      <w:lang w:val="en-GB"/>
    </w:rPr>
  </w:style>
  <w:style w:type="paragraph" w:styleId="Porat">
    <w:name w:val="footer"/>
    <w:basedOn w:val="prastasis"/>
    <w:link w:val="PoratDiagrama"/>
    <w:unhideWhenUsed/>
    <w:rsid w:val="008A305D"/>
    <w:pPr>
      <w:tabs>
        <w:tab w:val="center" w:pos="4680"/>
        <w:tab w:val="right" w:pos="9360"/>
      </w:tabs>
    </w:pPr>
  </w:style>
  <w:style w:type="character" w:customStyle="1" w:styleId="PoratDiagrama">
    <w:name w:val="Poraštė Diagrama"/>
    <w:basedOn w:val="Numatytasispastraiposriftas"/>
    <w:link w:val="Porat"/>
    <w:rsid w:val="008A305D"/>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8A305D"/>
  </w:style>
  <w:style w:type="table" w:styleId="Lentelstinklelis">
    <w:name w:val="Table Grid"/>
    <w:basedOn w:val="prastojilentel"/>
    <w:uiPriority w:val="59"/>
    <w:rsid w:val="008A305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rsid w:val="008A305D"/>
  </w:style>
  <w:style w:type="character" w:styleId="Eilutsnumeris">
    <w:name w:val="line number"/>
    <w:uiPriority w:val="99"/>
    <w:semiHidden/>
    <w:unhideWhenUsed/>
    <w:rsid w:val="008A305D"/>
  </w:style>
  <w:style w:type="character" w:styleId="Perirtashipersaitas">
    <w:name w:val="FollowedHyperlink"/>
    <w:uiPriority w:val="99"/>
    <w:semiHidden/>
    <w:unhideWhenUsed/>
    <w:rsid w:val="008A305D"/>
    <w:rPr>
      <w:color w:val="800080"/>
      <w:u w:val="single"/>
    </w:rPr>
  </w:style>
  <w:style w:type="paragraph" w:styleId="Paprastasistekstas">
    <w:name w:val="Plain Text"/>
    <w:basedOn w:val="prastasis"/>
    <w:link w:val="PaprastasistekstasDiagrama"/>
    <w:uiPriority w:val="99"/>
    <w:rsid w:val="008A305D"/>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8A305D"/>
    <w:rPr>
      <w:rFonts w:ascii="Courier New" w:eastAsia="SimSu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18" Type="http://schemas.openxmlformats.org/officeDocument/2006/relationships/hyperlink" Target="http://www.vvkt.lt" TargetMode="External"/><Relationship Id="rId26" Type="http://schemas.openxmlformats.org/officeDocument/2006/relationships/hyperlink" Target="http://www.vvkt.lt" TargetMode="External"/><Relationship Id="rId3" Type="http://schemas.openxmlformats.org/officeDocument/2006/relationships/settings" Target="settings.xml"/><Relationship Id="rId21" Type="http://schemas.openxmlformats.org/officeDocument/2006/relationships/hyperlink" Target="mailto:NepageidaujamaR@vvkt.lt" TargetMode="Externa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hyperlink" Target="mailto:NepageidaujamaR@vvkt.lt" TargetMode="External"/><Relationship Id="rId25" Type="http://schemas.openxmlformats.org/officeDocument/2006/relationships/hyperlink" Target="mailto:NepageidaujamaR@vvkt.lt" TargetMode="Externa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hyperlink" Target="http://www.vvkt.l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24"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23" Type="http://schemas.openxmlformats.org/officeDocument/2006/relationships/hyperlink" Target="http://www.ema.europa.eu"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www.vvkt.lt" TargetMode="External"/><Relationship Id="rId22" Type="http://schemas.openxmlformats.org/officeDocument/2006/relationships/hyperlink" Target="http://www.vvkt.lt" TargetMode="External"/><Relationship Id="rId27" Type="http://schemas.openxmlformats.org/officeDocument/2006/relationships/hyperlink" Target="http://www.ema.europa.e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72</Pages>
  <Words>115647</Words>
  <Characters>65919</Characters>
  <Application>Microsoft Office Word</Application>
  <DocSecurity>8</DocSecurity>
  <Lines>549</Lines>
  <Paragraphs>362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181204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Gustainiene, Daiva</dc:creator>
  <cp:lastModifiedBy>Albina Burkauskaitė</cp:lastModifiedBy>
  <cp:revision>3</cp:revision>
  <dcterms:created xsi:type="dcterms:W3CDTF">2016-11-03T13:53:00Z</dcterms:created>
  <dcterms:modified xsi:type="dcterms:W3CDTF">2016-11-03T13:56:00Z</dcterms:modified>
</cp:coreProperties>
</file>