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B680" w14:textId="77777777" w:rsidR="00803D36" w:rsidRDefault="00803D36" w:rsidP="00803D36">
      <w:pPr>
        <w:spacing w:line="240" w:lineRule="auto"/>
        <w:outlineLvl w:val="0"/>
        <w:rPr>
          <w:b/>
          <w:szCs w:val="22"/>
          <w:lang w:val="lt-LT"/>
        </w:rPr>
      </w:pPr>
    </w:p>
    <w:p w14:paraId="73FE05E4" w14:textId="77777777" w:rsidR="00803D36" w:rsidRDefault="00803D36" w:rsidP="00803D36">
      <w:pPr>
        <w:spacing w:line="240" w:lineRule="auto"/>
        <w:outlineLvl w:val="0"/>
        <w:rPr>
          <w:b/>
          <w:szCs w:val="22"/>
          <w:lang w:val="lt-LT"/>
        </w:rPr>
      </w:pPr>
    </w:p>
    <w:p w14:paraId="73350146" w14:textId="77777777" w:rsidR="00803D36" w:rsidRDefault="00803D36" w:rsidP="00803D36">
      <w:pPr>
        <w:spacing w:line="240" w:lineRule="auto"/>
        <w:outlineLvl w:val="0"/>
        <w:rPr>
          <w:b/>
          <w:szCs w:val="22"/>
          <w:lang w:val="lt-LT"/>
        </w:rPr>
      </w:pPr>
    </w:p>
    <w:p w14:paraId="537EC799" w14:textId="77777777" w:rsidR="00803D36" w:rsidRDefault="00803D36" w:rsidP="00803D36">
      <w:pPr>
        <w:spacing w:line="240" w:lineRule="auto"/>
        <w:outlineLvl w:val="0"/>
        <w:rPr>
          <w:b/>
          <w:szCs w:val="22"/>
          <w:lang w:val="lt-LT"/>
        </w:rPr>
      </w:pPr>
    </w:p>
    <w:p w14:paraId="41BC2B73" w14:textId="77777777" w:rsidR="00803D36" w:rsidRDefault="00803D36" w:rsidP="00803D36">
      <w:pPr>
        <w:tabs>
          <w:tab w:val="left" w:pos="-1440"/>
          <w:tab w:val="left" w:pos="-720"/>
        </w:tabs>
        <w:spacing w:line="240" w:lineRule="auto"/>
        <w:rPr>
          <w:b/>
          <w:szCs w:val="22"/>
          <w:lang w:val="lt-LT"/>
        </w:rPr>
      </w:pPr>
    </w:p>
    <w:p w14:paraId="6ADB9FB6" w14:textId="77777777" w:rsidR="00803D36" w:rsidRDefault="00803D36" w:rsidP="00803D36">
      <w:pPr>
        <w:tabs>
          <w:tab w:val="left" w:pos="-1440"/>
          <w:tab w:val="left" w:pos="-720"/>
        </w:tabs>
        <w:spacing w:line="240" w:lineRule="auto"/>
        <w:rPr>
          <w:b/>
          <w:szCs w:val="22"/>
          <w:lang w:val="lt-LT"/>
        </w:rPr>
      </w:pPr>
    </w:p>
    <w:p w14:paraId="068AE728" w14:textId="77777777" w:rsidR="00803D36" w:rsidRDefault="00803D36" w:rsidP="00803D36">
      <w:pPr>
        <w:tabs>
          <w:tab w:val="left" w:pos="-1440"/>
          <w:tab w:val="left" w:pos="-720"/>
        </w:tabs>
        <w:spacing w:line="240" w:lineRule="auto"/>
        <w:rPr>
          <w:b/>
          <w:szCs w:val="22"/>
          <w:lang w:val="lt-LT"/>
        </w:rPr>
      </w:pPr>
    </w:p>
    <w:p w14:paraId="19D29B83" w14:textId="77777777" w:rsidR="00803D36" w:rsidRDefault="00803D36" w:rsidP="00803D36">
      <w:pPr>
        <w:tabs>
          <w:tab w:val="left" w:pos="-1440"/>
          <w:tab w:val="left" w:pos="-720"/>
        </w:tabs>
        <w:spacing w:line="240" w:lineRule="auto"/>
        <w:rPr>
          <w:b/>
          <w:szCs w:val="22"/>
          <w:lang w:val="lt-LT"/>
        </w:rPr>
      </w:pPr>
    </w:p>
    <w:p w14:paraId="3FA4A9FC" w14:textId="77777777" w:rsidR="00803D36" w:rsidRDefault="00803D36" w:rsidP="00803D36">
      <w:pPr>
        <w:tabs>
          <w:tab w:val="left" w:pos="-1440"/>
          <w:tab w:val="left" w:pos="-720"/>
        </w:tabs>
        <w:spacing w:line="240" w:lineRule="auto"/>
        <w:rPr>
          <w:b/>
          <w:szCs w:val="22"/>
          <w:lang w:val="lt-LT"/>
        </w:rPr>
      </w:pPr>
    </w:p>
    <w:p w14:paraId="2B1A07A2" w14:textId="77777777" w:rsidR="00803D36" w:rsidRDefault="00803D36" w:rsidP="00803D36">
      <w:pPr>
        <w:tabs>
          <w:tab w:val="left" w:pos="-1440"/>
          <w:tab w:val="left" w:pos="-720"/>
        </w:tabs>
        <w:spacing w:line="240" w:lineRule="auto"/>
        <w:rPr>
          <w:b/>
          <w:szCs w:val="22"/>
          <w:lang w:val="lt-LT"/>
        </w:rPr>
      </w:pPr>
    </w:p>
    <w:p w14:paraId="20A39896" w14:textId="77777777" w:rsidR="00803D36" w:rsidRDefault="00803D36" w:rsidP="00803D36">
      <w:pPr>
        <w:tabs>
          <w:tab w:val="left" w:pos="-1440"/>
          <w:tab w:val="left" w:pos="-720"/>
        </w:tabs>
        <w:spacing w:line="240" w:lineRule="auto"/>
        <w:rPr>
          <w:b/>
          <w:szCs w:val="22"/>
          <w:lang w:val="lt-LT"/>
        </w:rPr>
      </w:pPr>
    </w:p>
    <w:p w14:paraId="3F2177F3" w14:textId="77777777" w:rsidR="00803D36" w:rsidRDefault="00803D36" w:rsidP="00803D36">
      <w:pPr>
        <w:tabs>
          <w:tab w:val="left" w:pos="-1440"/>
          <w:tab w:val="left" w:pos="-720"/>
        </w:tabs>
        <w:spacing w:line="240" w:lineRule="auto"/>
        <w:rPr>
          <w:b/>
          <w:szCs w:val="22"/>
          <w:lang w:val="lt-LT"/>
        </w:rPr>
      </w:pPr>
    </w:p>
    <w:p w14:paraId="02038DBB" w14:textId="77777777" w:rsidR="00803D36" w:rsidRDefault="00803D36" w:rsidP="00803D36">
      <w:pPr>
        <w:tabs>
          <w:tab w:val="left" w:pos="-1440"/>
          <w:tab w:val="left" w:pos="-720"/>
        </w:tabs>
        <w:spacing w:line="240" w:lineRule="auto"/>
        <w:rPr>
          <w:b/>
          <w:szCs w:val="22"/>
          <w:lang w:val="lt-LT"/>
        </w:rPr>
      </w:pPr>
    </w:p>
    <w:p w14:paraId="5D60FA5A" w14:textId="77777777" w:rsidR="00803D36" w:rsidRDefault="00803D36" w:rsidP="00803D36">
      <w:pPr>
        <w:tabs>
          <w:tab w:val="left" w:pos="-1440"/>
          <w:tab w:val="left" w:pos="-720"/>
        </w:tabs>
        <w:spacing w:line="240" w:lineRule="auto"/>
        <w:rPr>
          <w:b/>
          <w:szCs w:val="22"/>
          <w:lang w:val="lt-LT"/>
        </w:rPr>
      </w:pPr>
    </w:p>
    <w:p w14:paraId="6C712A1C" w14:textId="77777777" w:rsidR="00803D36" w:rsidRDefault="00803D36" w:rsidP="00803D36">
      <w:pPr>
        <w:tabs>
          <w:tab w:val="left" w:pos="-1440"/>
          <w:tab w:val="left" w:pos="-720"/>
        </w:tabs>
        <w:spacing w:line="240" w:lineRule="auto"/>
        <w:rPr>
          <w:b/>
          <w:szCs w:val="22"/>
          <w:lang w:val="lt-LT"/>
        </w:rPr>
      </w:pPr>
    </w:p>
    <w:p w14:paraId="4C6955BA" w14:textId="77777777" w:rsidR="00803D36" w:rsidRDefault="00803D36" w:rsidP="00803D36">
      <w:pPr>
        <w:tabs>
          <w:tab w:val="left" w:pos="-1440"/>
          <w:tab w:val="left" w:pos="-720"/>
        </w:tabs>
        <w:spacing w:line="240" w:lineRule="auto"/>
        <w:rPr>
          <w:b/>
          <w:szCs w:val="22"/>
          <w:lang w:val="lt-LT"/>
        </w:rPr>
      </w:pPr>
    </w:p>
    <w:p w14:paraId="000AAD98" w14:textId="77777777" w:rsidR="00803D36" w:rsidRDefault="00803D36" w:rsidP="00803D36">
      <w:pPr>
        <w:tabs>
          <w:tab w:val="left" w:pos="-1440"/>
          <w:tab w:val="left" w:pos="-720"/>
        </w:tabs>
        <w:spacing w:line="240" w:lineRule="auto"/>
        <w:rPr>
          <w:b/>
          <w:szCs w:val="22"/>
          <w:lang w:val="lt-LT"/>
        </w:rPr>
      </w:pPr>
    </w:p>
    <w:p w14:paraId="34B25EB6" w14:textId="77777777" w:rsidR="00803D36" w:rsidRDefault="00803D36" w:rsidP="00803D36">
      <w:pPr>
        <w:tabs>
          <w:tab w:val="left" w:pos="-1440"/>
          <w:tab w:val="left" w:pos="-720"/>
        </w:tabs>
        <w:spacing w:line="240" w:lineRule="auto"/>
        <w:rPr>
          <w:b/>
          <w:szCs w:val="22"/>
          <w:lang w:val="lt-LT"/>
        </w:rPr>
      </w:pPr>
    </w:p>
    <w:p w14:paraId="39E83254" w14:textId="77777777" w:rsidR="00803D36" w:rsidRDefault="00803D36" w:rsidP="00803D36">
      <w:pPr>
        <w:tabs>
          <w:tab w:val="left" w:pos="-1440"/>
          <w:tab w:val="left" w:pos="-720"/>
        </w:tabs>
        <w:spacing w:line="240" w:lineRule="auto"/>
        <w:rPr>
          <w:b/>
          <w:szCs w:val="22"/>
          <w:lang w:val="lt-LT"/>
        </w:rPr>
      </w:pPr>
    </w:p>
    <w:p w14:paraId="1BDF8933" w14:textId="77777777" w:rsidR="00803D36" w:rsidRDefault="00803D36" w:rsidP="00803D36">
      <w:pPr>
        <w:tabs>
          <w:tab w:val="left" w:pos="-1440"/>
          <w:tab w:val="left" w:pos="-720"/>
        </w:tabs>
        <w:spacing w:line="240" w:lineRule="auto"/>
        <w:rPr>
          <w:b/>
          <w:szCs w:val="22"/>
          <w:lang w:val="lt-LT"/>
        </w:rPr>
      </w:pPr>
    </w:p>
    <w:p w14:paraId="699F2458" w14:textId="77777777" w:rsidR="00803D36" w:rsidRDefault="00803D36" w:rsidP="00803D36">
      <w:pPr>
        <w:tabs>
          <w:tab w:val="left" w:pos="-1440"/>
          <w:tab w:val="left" w:pos="-720"/>
        </w:tabs>
        <w:spacing w:line="240" w:lineRule="auto"/>
        <w:rPr>
          <w:b/>
          <w:szCs w:val="22"/>
          <w:lang w:val="lt-LT"/>
        </w:rPr>
      </w:pPr>
    </w:p>
    <w:p w14:paraId="1942345D" w14:textId="77777777" w:rsidR="00803D36" w:rsidRDefault="00803D36" w:rsidP="00803D36">
      <w:pPr>
        <w:tabs>
          <w:tab w:val="left" w:pos="-1440"/>
          <w:tab w:val="left" w:pos="-720"/>
        </w:tabs>
        <w:spacing w:line="240" w:lineRule="auto"/>
        <w:rPr>
          <w:b/>
          <w:szCs w:val="22"/>
          <w:lang w:val="lt-LT"/>
        </w:rPr>
      </w:pPr>
    </w:p>
    <w:p w14:paraId="1BDF98F2" w14:textId="77777777" w:rsidR="00803D36" w:rsidRDefault="00803D36" w:rsidP="00803D36">
      <w:pPr>
        <w:pStyle w:val="Antrat2"/>
        <w:spacing w:before="0" w:after="0" w:line="240" w:lineRule="auto"/>
        <w:jc w:val="center"/>
        <w:rPr>
          <w:rFonts w:ascii="Times New Roman" w:hAnsi="Times New Roman"/>
          <w:i w:val="0"/>
          <w:sz w:val="22"/>
          <w:szCs w:val="22"/>
          <w:lang w:val="lt-LT"/>
        </w:rPr>
      </w:pPr>
    </w:p>
    <w:p w14:paraId="6BFB487D" w14:textId="77777777" w:rsidR="00803D36" w:rsidRDefault="00803D36" w:rsidP="00803D36">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2218D5AE" w14:textId="77777777" w:rsidR="00803D36" w:rsidRDefault="00803D36" w:rsidP="00803D36">
      <w:pPr>
        <w:spacing w:line="240" w:lineRule="auto"/>
        <w:rPr>
          <w:szCs w:val="22"/>
          <w:lang w:val="lt-LT"/>
        </w:rPr>
      </w:pPr>
    </w:p>
    <w:p w14:paraId="2DCA27D7" w14:textId="77777777" w:rsidR="00803D36" w:rsidRDefault="00803D36" w:rsidP="00803D36">
      <w:pPr>
        <w:tabs>
          <w:tab w:val="left" w:pos="-1440"/>
          <w:tab w:val="left" w:pos="-720"/>
        </w:tabs>
        <w:spacing w:line="240" w:lineRule="auto"/>
        <w:jc w:val="center"/>
        <w:rPr>
          <w:b/>
          <w:szCs w:val="22"/>
          <w:lang w:val="lt-LT"/>
        </w:rPr>
      </w:pPr>
      <w:r>
        <w:rPr>
          <w:b/>
          <w:szCs w:val="22"/>
          <w:lang w:val="lt-LT"/>
        </w:rPr>
        <w:t>PREPARATO CHARAKTERISTIKŲ SANTRAUKA</w:t>
      </w:r>
    </w:p>
    <w:p w14:paraId="3F671C5A" w14:textId="77777777" w:rsidR="00803D36" w:rsidRDefault="00803D36" w:rsidP="00803D36">
      <w:pPr>
        <w:pStyle w:val="Antrat3"/>
        <w:spacing w:before="0" w:after="0" w:line="240" w:lineRule="auto"/>
        <w:rPr>
          <w:rFonts w:ascii="Times New Roman" w:hAnsi="Times New Roman"/>
          <w:sz w:val="22"/>
          <w:szCs w:val="22"/>
          <w:lang w:val="lt-LT"/>
        </w:rPr>
      </w:pPr>
      <w:r>
        <w:rPr>
          <w:b w:val="0"/>
          <w:bCs w:val="0"/>
          <w:snapToGrid w:val="0"/>
          <w:szCs w:val="22"/>
          <w:lang w:val="lt-LT" w:eastAsia="zh-CN"/>
        </w:rPr>
        <w:br w:type="page"/>
      </w: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71B779D7" w14:textId="77777777" w:rsidR="00803D36" w:rsidRDefault="00803D36" w:rsidP="00803D36">
      <w:pPr>
        <w:spacing w:line="240" w:lineRule="auto"/>
        <w:rPr>
          <w:szCs w:val="22"/>
          <w:lang w:val="lt-LT"/>
        </w:rPr>
      </w:pPr>
    </w:p>
    <w:p w14:paraId="26CA2272" w14:textId="77777777" w:rsidR="00803D36" w:rsidRDefault="00803D36" w:rsidP="00803D36">
      <w:pPr>
        <w:spacing w:line="240" w:lineRule="auto"/>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300 mg/5 ml purškiamasis įkvepiamasis tirpalas</w:t>
      </w:r>
    </w:p>
    <w:p w14:paraId="33983446" w14:textId="77777777" w:rsidR="00803D36" w:rsidRDefault="00803D36" w:rsidP="00803D36">
      <w:pPr>
        <w:spacing w:line="240" w:lineRule="auto"/>
        <w:rPr>
          <w:szCs w:val="22"/>
          <w:lang w:val="lt-LT"/>
        </w:rPr>
      </w:pPr>
    </w:p>
    <w:p w14:paraId="711A387E" w14:textId="77777777" w:rsidR="00803D36" w:rsidRDefault="00803D36" w:rsidP="00803D36">
      <w:pPr>
        <w:spacing w:line="240" w:lineRule="auto"/>
        <w:rPr>
          <w:szCs w:val="22"/>
          <w:lang w:val="lt-LT"/>
        </w:rPr>
      </w:pPr>
    </w:p>
    <w:p w14:paraId="15F63C87"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227CB92C" w14:textId="77777777" w:rsidR="00803D36" w:rsidRDefault="00803D36" w:rsidP="00803D36">
      <w:pPr>
        <w:spacing w:line="240" w:lineRule="auto"/>
        <w:rPr>
          <w:szCs w:val="22"/>
          <w:lang w:val="lt-LT"/>
        </w:rPr>
      </w:pPr>
    </w:p>
    <w:p w14:paraId="25D89451" w14:textId="27A229D8" w:rsidR="00803D36" w:rsidRDefault="00182DC8" w:rsidP="00803D36">
      <w:pPr>
        <w:spacing w:line="240" w:lineRule="auto"/>
        <w:rPr>
          <w:szCs w:val="22"/>
          <w:lang w:val="lt-LT"/>
        </w:rPr>
      </w:pPr>
      <w:r>
        <w:rPr>
          <w:szCs w:val="22"/>
          <w:lang w:val="lt-LT"/>
        </w:rPr>
        <w:t xml:space="preserve">Kiekvienoje </w:t>
      </w:r>
      <w:r w:rsidR="00803D36">
        <w:rPr>
          <w:szCs w:val="22"/>
          <w:lang w:val="lt-LT"/>
        </w:rPr>
        <w:t xml:space="preserve">5 ml </w:t>
      </w:r>
      <w:proofErr w:type="spellStart"/>
      <w:r w:rsidR="007656D7">
        <w:rPr>
          <w:szCs w:val="22"/>
          <w:lang w:val="lt-LT"/>
        </w:rPr>
        <w:t>vienadozėje</w:t>
      </w:r>
      <w:proofErr w:type="spellEnd"/>
      <w:r w:rsidR="007656D7">
        <w:rPr>
          <w:szCs w:val="22"/>
          <w:lang w:val="lt-LT"/>
        </w:rPr>
        <w:t xml:space="preserve"> </w:t>
      </w:r>
      <w:r w:rsidR="00803D36">
        <w:rPr>
          <w:szCs w:val="22"/>
          <w:lang w:val="lt-LT"/>
        </w:rPr>
        <w:t xml:space="preserve">ampulėje yra 300 mg </w:t>
      </w:r>
      <w:proofErr w:type="spellStart"/>
      <w:r w:rsidR="00803D36">
        <w:rPr>
          <w:szCs w:val="22"/>
          <w:lang w:val="lt-LT"/>
        </w:rPr>
        <w:t>tobramicino</w:t>
      </w:r>
      <w:proofErr w:type="spellEnd"/>
      <w:r w:rsidR="00803D36">
        <w:rPr>
          <w:szCs w:val="22"/>
          <w:lang w:val="lt-LT"/>
        </w:rPr>
        <w:t>.</w:t>
      </w:r>
    </w:p>
    <w:p w14:paraId="00BEBE46" w14:textId="77777777" w:rsidR="00803D36" w:rsidRDefault="00803D36" w:rsidP="00803D36">
      <w:pPr>
        <w:spacing w:line="240" w:lineRule="auto"/>
        <w:rPr>
          <w:szCs w:val="22"/>
          <w:lang w:val="lt-LT"/>
        </w:rPr>
      </w:pPr>
    </w:p>
    <w:p w14:paraId="3096248D" w14:textId="77777777" w:rsidR="00803D36" w:rsidRDefault="00803D36" w:rsidP="00803D36">
      <w:pPr>
        <w:spacing w:line="240" w:lineRule="auto"/>
        <w:rPr>
          <w:szCs w:val="22"/>
          <w:lang w:val="lt-LT"/>
        </w:rPr>
      </w:pPr>
      <w:r>
        <w:rPr>
          <w:szCs w:val="22"/>
          <w:lang w:val="lt-LT"/>
        </w:rPr>
        <w:t>Visos pagalbinės medžiagos išvardytos 6.1 skyriuje.</w:t>
      </w:r>
    </w:p>
    <w:p w14:paraId="0B04F3A5" w14:textId="77777777" w:rsidR="00803D36" w:rsidRDefault="00803D36" w:rsidP="00803D36">
      <w:pPr>
        <w:spacing w:line="240" w:lineRule="auto"/>
        <w:rPr>
          <w:szCs w:val="22"/>
          <w:lang w:val="lt-LT"/>
        </w:rPr>
      </w:pPr>
    </w:p>
    <w:p w14:paraId="5803A551" w14:textId="77777777" w:rsidR="00803D36" w:rsidRDefault="00803D36" w:rsidP="00803D36">
      <w:pPr>
        <w:spacing w:line="240" w:lineRule="auto"/>
        <w:rPr>
          <w:szCs w:val="22"/>
          <w:lang w:val="lt-LT"/>
        </w:rPr>
      </w:pPr>
    </w:p>
    <w:p w14:paraId="1EEA089B"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1358DAF5" w14:textId="77777777" w:rsidR="00803D36" w:rsidRDefault="00803D36" w:rsidP="00803D36">
      <w:pPr>
        <w:spacing w:line="240" w:lineRule="auto"/>
        <w:rPr>
          <w:szCs w:val="22"/>
          <w:lang w:val="lt-LT"/>
        </w:rPr>
      </w:pPr>
    </w:p>
    <w:p w14:paraId="52D4A8C4" w14:textId="77777777" w:rsidR="00803D36" w:rsidRDefault="00803D36" w:rsidP="00803D36">
      <w:pPr>
        <w:spacing w:line="240" w:lineRule="auto"/>
        <w:rPr>
          <w:szCs w:val="22"/>
          <w:lang w:val="lt-LT"/>
        </w:rPr>
      </w:pPr>
      <w:r>
        <w:rPr>
          <w:szCs w:val="22"/>
          <w:lang w:val="lt-LT"/>
        </w:rPr>
        <w:t>Purškiamasis įkvepiamasis tirpalas.</w:t>
      </w:r>
    </w:p>
    <w:p w14:paraId="435B5725" w14:textId="77777777" w:rsidR="00803D36" w:rsidRDefault="00803D36" w:rsidP="00803D36">
      <w:pPr>
        <w:spacing w:line="240" w:lineRule="auto"/>
        <w:rPr>
          <w:szCs w:val="22"/>
          <w:lang w:val="lt-LT"/>
        </w:rPr>
      </w:pPr>
      <w:r>
        <w:rPr>
          <w:szCs w:val="22"/>
          <w:lang w:val="lt-LT"/>
        </w:rPr>
        <w:t>Skaidrus, šiek tiek gelsvas tirpalas be matomų dalelių.</w:t>
      </w:r>
    </w:p>
    <w:p w14:paraId="222B0E85" w14:textId="77777777" w:rsidR="00511D04" w:rsidRDefault="00511D04" w:rsidP="00803D36">
      <w:pPr>
        <w:spacing w:line="240" w:lineRule="auto"/>
        <w:rPr>
          <w:szCs w:val="22"/>
          <w:lang w:val="lt-LT"/>
        </w:rPr>
      </w:pPr>
    </w:p>
    <w:p w14:paraId="68D8C341" w14:textId="77777777" w:rsidR="00803D36" w:rsidRDefault="00803D36" w:rsidP="00803D36">
      <w:pPr>
        <w:spacing w:line="240" w:lineRule="auto"/>
        <w:rPr>
          <w:szCs w:val="22"/>
          <w:lang w:val="lt-LT"/>
        </w:rPr>
      </w:pPr>
      <w:r>
        <w:rPr>
          <w:szCs w:val="22"/>
          <w:lang w:val="lt-LT"/>
        </w:rPr>
        <w:t>pH 4,0</w:t>
      </w:r>
      <w:r>
        <w:rPr>
          <w:szCs w:val="22"/>
          <w:lang w:val="lt-LT"/>
        </w:rPr>
        <w:noBreakHyphen/>
        <w:t>5,0</w:t>
      </w:r>
    </w:p>
    <w:p w14:paraId="5EC784A1" w14:textId="77777777" w:rsidR="00803D36" w:rsidRDefault="00803D36" w:rsidP="00803D36">
      <w:pPr>
        <w:spacing w:line="240" w:lineRule="auto"/>
        <w:rPr>
          <w:szCs w:val="22"/>
          <w:lang w:val="lt-LT"/>
        </w:rPr>
      </w:pPr>
      <w:proofErr w:type="spellStart"/>
      <w:r>
        <w:rPr>
          <w:szCs w:val="22"/>
          <w:lang w:val="lt-LT"/>
        </w:rPr>
        <w:t>Osmoliariškumas</w:t>
      </w:r>
      <w:proofErr w:type="spellEnd"/>
      <w:r>
        <w:rPr>
          <w:szCs w:val="22"/>
          <w:lang w:val="lt-LT"/>
        </w:rPr>
        <w:t>: 150</w:t>
      </w:r>
      <w:r>
        <w:rPr>
          <w:szCs w:val="22"/>
          <w:lang w:val="lt-LT"/>
        </w:rPr>
        <w:noBreakHyphen/>
        <w:t>200 </w:t>
      </w:r>
      <w:proofErr w:type="spellStart"/>
      <w:r>
        <w:rPr>
          <w:szCs w:val="22"/>
          <w:lang w:val="lt-LT"/>
        </w:rPr>
        <w:t>mOsm</w:t>
      </w:r>
      <w:proofErr w:type="spellEnd"/>
      <w:r>
        <w:rPr>
          <w:szCs w:val="22"/>
          <w:lang w:val="lt-LT"/>
        </w:rPr>
        <w:t>/kg</w:t>
      </w:r>
    </w:p>
    <w:p w14:paraId="27380389" w14:textId="77777777" w:rsidR="00803D36" w:rsidRDefault="00803D36" w:rsidP="00803D36">
      <w:pPr>
        <w:spacing w:line="240" w:lineRule="auto"/>
        <w:rPr>
          <w:szCs w:val="22"/>
          <w:lang w:val="lt-LT"/>
        </w:rPr>
      </w:pPr>
    </w:p>
    <w:p w14:paraId="2AEC5997" w14:textId="77777777" w:rsidR="00803D36" w:rsidRDefault="00803D36" w:rsidP="00803D36">
      <w:pPr>
        <w:spacing w:line="240" w:lineRule="auto"/>
        <w:rPr>
          <w:szCs w:val="22"/>
          <w:lang w:val="lt-LT"/>
        </w:rPr>
      </w:pPr>
    </w:p>
    <w:p w14:paraId="4835BFE2"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510F2C9F" w14:textId="77777777" w:rsidR="00803D36" w:rsidRDefault="00803D36" w:rsidP="00803D36">
      <w:pPr>
        <w:spacing w:line="240" w:lineRule="auto"/>
        <w:rPr>
          <w:szCs w:val="22"/>
          <w:lang w:val="lt-LT"/>
        </w:rPr>
      </w:pPr>
    </w:p>
    <w:p w14:paraId="4E2FC2B4"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194D3F4C" w14:textId="77777777" w:rsidR="00803D36" w:rsidRDefault="00803D36" w:rsidP="00803D36">
      <w:pPr>
        <w:spacing w:line="240" w:lineRule="auto"/>
        <w:rPr>
          <w:szCs w:val="22"/>
          <w:lang w:val="lt-LT"/>
        </w:rPr>
      </w:pPr>
    </w:p>
    <w:p w14:paraId="4381FA29" w14:textId="7B0B1584" w:rsidR="00803D36" w:rsidRDefault="00511D04" w:rsidP="00803D36">
      <w:pPr>
        <w:spacing w:line="240" w:lineRule="auto"/>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w:t>
      </w:r>
      <w:r w:rsidRPr="00452176">
        <w:rPr>
          <w:szCs w:val="22"/>
          <w:lang w:val="lt-LT"/>
        </w:rPr>
        <w:t xml:space="preserve">skirtas </w:t>
      </w:r>
      <w:r w:rsidRPr="00DD5276">
        <w:rPr>
          <w:szCs w:val="22"/>
          <w:lang w:val="lt-LT"/>
        </w:rPr>
        <w:t>i</w:t>
      </w:r>
      <w:r w:rsidR="00803D36" w:rsidRPr="00DD5276">
        <w:rPr>
          <w:szCs w:val="22"/>
          <w:lang w:val="lt-LT"/>
        </w:rPr>
        <w:t>lgalaik</w:t>
      </w:r>
      <w:r w:rsidR="00A570F4" w:rsidRPr="00DD5276">
        <w:rPr>
          <w:szCs w:val="22"/>
          <w:lang w:val="lt-LT"/>
        </w:rPr>
        <w:t>iam</w:t>
      </w:r>
      <w:r w:rsidR="00803D36">
        <w:rPr>
          <w:szCs w:val="22"/>
          <w:lang w:val="lt-LT"/>
        </w:rPr>
        <w:t xml:space="preserve"> </w:t>
      </w:r>
      <w:proofErr w:type="spellStart"/>
      <w:r w:rsidR="00803D36">
        <w:rPr>
          <w:i/>
          <w:szCs w:val="22"/>
          <w:lang w:val="lt-LT"/>
        </w:rPr>
        <w:t>Pseudomonas</w:t>
      </w:r>
      <w:proofErr w:type="spellEnd"/>
      <w:r w:rsidR="00803D36">
        <w:rPr>
          <w:i/>
          <w:szCs w:val="22"/>
          <w:lang w:val="lt-LT"/>
        </w:rPr>
        <w:t xml:space="preserve"> </w:t>
      </w:r>
      <w:proofErr w:type="spellStart"/>
      <w:r w:rsidR="00803D36">
        <w:rPr>
          <w:i/>
          <w:szCs w:val="22"/>
          <w:lang w:val="lt-LT"/>
        </w:rPr>
        <w:t>aeruginosa</w:t>
      </w:r>
      <w:proofErr w:type="spellEnd"/>
      <w:r w:rsidR="00803D36">
        <w:rPr>
          <w:szCs w:val="22"/>
          <w:lang w:val="lt-LT"/>
        </w:rPr>
        <w:t xml:space="preserve"> sukeltos lėtinės infekcinės plaučių ligos gydym</w:t>
      </w:r>
      <w:r>
        <w:rPr>
          <w:szCs w:val="22"/>
          <w:lang w:val="lt-LT"/>
        </w:rPr>
        <w:t>ui</w:t>
      </w:r>
      <w:r w:rsidR="00803D36">
        <w:rPr>
          <w:szCs w:val="22"/>
          <w:lang w:val="lt-LT"/>
        </w:rPr>
        <w:t xml:space="preserve"> 6 metų bei vyresniems cistine fibroze sergantiems pacientams.</w:t>
      </w:r>
    </w:p>
    <w:p w14:paraId="6C66CF88" w14:textId="77777777" w:rsidR="00803D36" w:rsidRDefault="00803D36" w:rsidP="00803D36">
      <w:pPr>
        <w:spacing w:line="240" w:lineRule="auto"/>
        <w:rPr>
          <w:szCs w:val="22"/>
          <w:lang w:val="lt-LT"/>
        </w:rPr>
      </w:pPr>
      <w:r>
        <w:rPr>
          <w:szCs w:val="22"/>
          <w:lang w:val="lt-LT"/>
        </w:rPr>
        <w:t xml:space="preserve">Reikia atsižvelgti į oficialias vietines tinkamo antibakterinių </w:t>
      </w:r>
      <w:r w:rsidR="00A570F4" w:rsidRPr="00452176">
        <w:rPr>
          <w:szCs w:val="22"/>
          <w:lang w:val="lt-LT"/>
        </w:rPr>
        <w:t>vaistinių</w:t>
      </w:r>
      <w:r w:rsidR="00A570F4">
        <w:rPr>
          <w:szCs w:val="22"/>
          <w:lang w:val="lt-LT"/>
        </w:rPr>
        <w:t xml:space="preserve"> </w:t>
      </w:r>
      <w:r>
        <w:rPr>
          <w:szCs w:val="22"/>
          <w:lang w:val="lt-LT"/>
        </w:rPr>
        <w:t>preparatų vartojimo rekomendacijas.</w:t>
      </w:r>
    </w:p>
    <w:p w14:paraId="3F34900A" w14:textId="77777777" w:rsidR="00803D36" w:rsidRDefault="00803D36" w:rsidP="00803D36">
      <w:pPr>
        <w:spacing w:line="240" w:lineRule="auto"/>
        <w:rPr>
          <w:szCs w:val="22"/>
          <w:lang w:val="lt-LT"/>
        </w:rPr>
      </w:pPr>
    </w:p>
    <w:p w14:paraId="5E869E62"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6D76EBC4" w14:textId="77777777" w:rsidR="00803D36" w:rsidRDefault="00803D36" w:rsidP="00803D36">
      <w:pPr>
        <w:spacing w:line="240" w:lineRule="auto"/>
        <w:rPr>
          <w:szCs w:val="22"/>
          <w:lang w:val="lt-LT"/>
        </w:rPr>
      </w:pPr>
    </w:p>
    <w:p w14:paraId="691AB6BD" w14:textId="77777777" w:rsidR="00803D36" w:rsidRDefault="00803D36" w:rsidP="00803D36">
      <w:pPr>
        <w:tabs>
          <w:tab w:val="clear" w:pos="567"/>
          <w:tab w:val="left" w:pos="1296"/>
        </w:tabs>
        <w:spacing w:line="240" w:lineRule="auto"/>
        <w:jc w:val="both"/>
        <w:rPr>
          <w:color w:val="000000"/>
          <w:szCs w:val="22"/>
          <w:u w:val="single"/>
          <w:lang w:val="lt-LT" w:eastAsia="es-ES"/>
        </w:rPr>
      </w:pPr>
      <w:r>
        <w:rPr>
          <w:bCs/>
          <w:color w:val="000000"/>
          <w:szCs w:val="22"/>
          <w:u w:val="single"/>
          <w:lang w:val="lt-LT" w:eastAsia="es-ES"/>
        </w:rPr>
        <w:t>Dozavimas</w:t>
      </w:r>
    </w:p>
    <w:p w14:paraId="40E171C3" w14:textId="77777777" w:rsidR="00803D36" w:rsidRDefault="00803D36" w:rsidP="00803D36">
      <w:pPr>
        <w:tabs>
          <w:tab w:val="clear" w:pos="567"/>
          <w:tab w:val="left" w:pos="1296"/>
        </w:tabs>
        <w:spacing w:line="240" w:lineRule="auto"/>
        <w:rPr>
          <w:color w:val="000000"/>
          <w:szCs w:val="22"/>
          <w:lang w:val="lt-LT" w:eastAsia="es-ES"/>
        </w:rPr>
      </w:pPr>
      <w:r>
        <w:rPr>
          <w:color w:val="000000"/>
          <w:szCs w:val="22"/>
          <w:lang w:val="lt-LT" w:eastAsia="es-ES"/>
        </w:rPr>
        <w:t xml:space="preserve">Suaugusiems žmonėms ir vaikams rekomenduojama dozė yra po vieną ampulę du kartus per parą, tokia dozė vartojama 28 dienas. Intervalas tarp dozių vartojimo turi būti kiek įmanoma artimesnis 12 valandų ir ne mažesnis kaip 6 valandos. Po 28 gydymo dienų pacientas kitas 28 dienas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color w:val="000000"/>
          <w:szCs w:val="22"/>
          <w:lang w:val="lt-LT" w:eastAsia="es-ES"/>
        </w:rPr>
        <w:t>turi nevartoti. 28 dienų aktyvaus gydymo ciklas nuolat turi būti keičiamas 28 dienų vaistinio preparato nevartojimo laikotarpiu.</w:t>
      </w:r>
    </w:p>
    <w:p w14:paraId="23D61E68" w14:textId="77777777" w:rsidR="00803D36" w:rsidRDefault="00803D36" w:rsidP="00803D36">
      <w:pPr>
        <w:tabs>
          <w:tab w:val="clear" w:pos="567"/>
          <w:tab w:val="left" w:pos="1296"/>
        </w:tabs>
        <w:spacing w:line="240" w:lineRule="auto"/>
        <w:rPr>
          <w:color w:val="000000"/>
          <w:szCs w:val="22"/>
          <w:lang w:val="lt-LT" w:eastAsia="es-ES"/>
        </w:rPr>
      </w:pPr>
      <w:r>
        <w:rPr>
          <w:color w:val="000000"/>
          <w:szCs w:val="22"/>
          <w:lang w:val="lt-LT" w:eastAsia="es-ES"/>
        </w:rPr>
        <w:t xml:space="preserve">Dozės koreguoti pagal kūno svorį nereikia. Visi pacientai turi vartoti po vieną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color w:val="000000"/>
          <w:szCs w:val="22"/>
          <w:lang w:val="lt-LT" w:eastAsia="es-ES"/>
        </w:rPr>
        <w:t xml:space="preserve">ampulę (300 mg </w:t>
      </w:r>
      <w:proofErr w:type="spellStart"/>
      <w:r>
        <w:rPr>
          <w:color w:val="000000"/>
          <w:szCs w:val="22"/>
          <w:lang w:val="lt-LT" w:eastAsia="es-ES"/>
        </w:rPr>
        <w:t>tobramicino</w:t>
      </w:r>
      <w:proofErr w:type="spellEnd"/>
      <w:r>
        <w:rPr>
          <w:color w:val="000000"/>
          <w:szCs w:val="22"/>
          <w:lang w:val="lt-LT" w:eastAsia="es-ES"/>
        </w:rPr>
        <w:t xml:space="preserve">) du kartus per parą. </w:t>
      </w:r>
    </w:p>
    <w:p w14:paraId="68594A14" w14:textId="77777777" w:rsidR="00803D36" w:rsidRDefault="00803D36" w:rsidP="00803D36">
      <w:pPr>
        <w:tabs>
          <w:tab w:val="clear" w:pos="567"/>
          <w:tab w:val="left" w:pos="1296"/>
        </w:tabs>
        <w:spacing w:line="240" w:lineRule="auto"/>
        <w:rPr>
          <w:color w:val="000000"/>
          <w:szCs w:val="22"/>
          <w:lang w:val="lt-LT" w:eastAsia="es-ES"/>
        </w:rPr>
      </w:pPr>
      <w:r>
        <w:rPr>
          <w:color w:val="000000"/>
          <w:szCs w:val="22"/>
          <w:lang w:val="lt-LT" w:eastAsia="es-ES"/>
        </w:rPr>
        <w:t xml:space="preserve">Gydymą privalo pradėti gydytojas, turintis cistinės fibrozės gydymo patirties. </w:t>
      </w:r>
    </w:p>
    <w:p w14:paraId="447BDA5A" w14:textId="77777777" w:rsidR="00511D04" w:rsidRDefault="00511D04" w:rsidP="00803D36">
      <w:pPr>
        <w:tabs>
          <w:tab w:val="clear" w:pos="567"/>
          <w:tab w:val="left" w:pos="1296"/>
        </w:tabs>
        <w:spacing w:line="240" w:lineRule="auto"/>
        <w:rPr>
          <w:color w:val="000000"/>
          <w:szCs w:val="22"/>
          <w:lang w:val="lt-LT" w:eastAsia="es-ES"/>
        </w:rPr>
      </w:pPr>
    </w:p>
    <w:p w14:paraId="5E74768D" w14:textId="77777777" w:rsidR="00511D04" w:rsidRPr="00DD5276" w:rsidRDefault="00511D04" w:rsidP="00803D36">
      <w:pPr>
        <w:tabs>
          <w:tab w:val="clear" w:pos="567"/>
          <w:tab w:val="left" w:pos="1296"/>
        </w:tabs>
        <w:spacing w:line="240" w:lineRule="auto"/>
        <w:rPr>
          <w:i/>
          <w:iCs/>
          <w:color w:val="000000"/>
          <w:szCs w:val="22"/>
          <w:lang w:val="lt-LT" w:eastAsia="es-ES"/>
        </w:rPr>
      </w:pPr>
      <w:r w:rsidRPr="00DD5276">
        <w:rPr>
          <w:i/>
          <w:iCs/>
          <w:color w:val="000000"/>
          <w:szCs w:val="22"/>
          <w:lang w:val="lt-LT" w:eastAsia="es-ES"/>
        </w:rPr>
        <w:t>Vartojimo trukmė</w:t>
      </w:r>
    </w:p>
    <w:p w14:paraId="34F4E07B" w14:textId="2F656DF2" w:rsidR="00803D36" w:rsidRDefault="00803D36" w:rsidP="00491AF1">
      <w:pPr>
        <w:tabs>
          <w:tab w:val="clear" w:pos="567"/>
          <w:tab w:val="left" w:pos="1296"/>
        </w:tabs>
        <w:spacing w:line="240" w:lineRule="auto"/>
        <w:rPr>
          <w:color w:val="000000"/>
          <w:szCs w:val="22"/>
          <w:lang w:val="lt-LT" w:eastAsia="es-ES"/>
        </w:rPr>
      </w:pPr>
      <w:r>
        <w:rPr>
          <w:color w:val="000000"/>
          <w:szCs w:val="22"/>
          <w:lang w:val="lt-LT" w:eastAsia="es-ES"/>
        </w:rPr>
        <w:t xml:space="preserve">Gydymo </w:t>
      </w:r>
      <w:proofErr w:type="spellStart"/>
      <w:r>
        <w:rPr>
          <w:color w:val="000000"/>
          <w:szCs w:val="22"/>
          <w:lang w:val="lt-LT" w:eastAsia="es-ES"/>
        </w:rPr>
        <w:t>tobramicinu</w:t>
      </w:r>
      <w:proofErr w:type="spellEnd"/>
      <w:r>
        <w:rPr>
          <w:color w:val="000000"/>
          <w:szCs w:val="22"/>
          <w:lang w:val="lt-LT" w:eastAsia="es-ES"/>
        </w:rPr>
        <w:t xml:space="preserve"> ciklai turi būti tęsiami tol, kol gydytojas mano, kad </w:t>
      </w:r>
      <w:proofErr w:type="spellStart"/>
      <w:r>
        <w:rPr>
          <w:bCs/>
          <w:color w:val="000000"/>
          <w:szCs w:val="22"/>
          <w:lang w:val="lt-LT" w:eastAsia="es-ES"/>
        </w:rPr>
        <w:t>Tobramycin</w:t>
      </w:r>
      <w:proofErr w:type="spellEnd"/>
      <w:r>
        <w:rPr>
          <w:bCs/>
          <w:color w:val="000000"/>
          <w:szCs w:val="22"/>
          <w:lang w:val="lt-LT" w:eastAsia="es-ES"/>
        </w:rPr>
        <w:t xml:space="preserve"> Via </w:t>
      </w:r>
      <w:proofErr w:type="spellStart"/>
      <w:r>
        <w:rPr>
          <w:bCs/>
          <w:color w:val="000000"/>
          <w:szCs w:val="22"/>
          <w:lang w:val="lt-LT" w:eastAsia="es-ES"/>
        </w:rPr>
        <w:t>pharma</w:t>
      </w:r>
      <w:proofErr w:type="spellEnd"/>
      <w:r>
        <w:rPr>
          <w:bCs/>
          <w:color w:val="000000"/>
          <w:szCs w:val="22"/>
          <w:lang w:val="lt-LT" w:eastAsia="es-ES"/>
        </w:rPr>
        <w:t xml:space="preserve"> </w:t>
      </w:r>
      <w:r>
        <w:rPr>
          <w:color w:val="000000"/>
          <w:szCs w:val="22"/>
          <w:lang w:val="lt-LT" w:eastAsia="es-ES"/>
        </w:rPr>
        <w:t xml:space="preserve">įtraukimas į gydymo schemą pacientui yra kliniškai naudingas. Jei klinikinė plaučių būklė akivaizdžiai blogėja, būtina apsvarstyti, ar neskirti papildomo </w:t>
      </w:r>
      <w:proofErr w:type="spellStart"/>
      <w:r>
        <w:rPr>
          <w:color w:val="000000"/>
          <w:szCs w:val="22"/>
          <w:lang w:val="lt-LT" w:eastAsia="es-ES"/>
        </w:rPr>
        <w:t>antipseudomoninio</w:t>
      </w:r>
      <w:proofErr w:type="spellEnd"/>
      <w:r>
        <w:rPr>
          <w:color w:val="000000"/>
          <w:szCs w:val="22"/>
          <w:lang w:val="lt-LT" w:eastAsia="es-ES"/>
        </w:rPr>
        <w:t xml:space="preserve"> gydymo.</w:t>
      </w:r>
      <w:r w:rsidR="00491AF1" w:rsidRPr="0016619B">
        <w:rPr>
          <w:lang w:val="lt-LT"/>
        </w:rPr>
        <w:t xml:space="preserve"> </w:t>
      </w:r>
      <w:r w:rsidR="005D5B65" w:rsidRPr="0016619B">
        <w:rPr>
          <w:lang w:val="lt-LT"/>
        </w:rPr>
        <w:t>Taip pat žr. i</w:t>
      </w:r>
      <w:r w:rsidR="00491AF1" w:rsidRPr="00491AF1">
        <w:rPr>
          <w:color w:val="000000"/>
          <w:szCs w:val="22"/>
          <w:lang w:val="lt-LT" w:eastAsia="es-ES"/>
        </w:rPr>
        <w:t>nformaciją apie klinikinę naudą ir toleravimą</w:t>
      </w:r>
      <w:r w:rsidR="005D5B65">
        <w:rPr>
          <w:color w:val="000000"/>
          <w:szCs w:val="22"/>
          <w:lang w:val="lt-LT" w:eastAsia="es-ES"/>
        </w:rPr>
        <w:t>,</w:t>
      </w:r>
      <w:r w:rsidR="00491AF1">
        <w:rPr>
          <w:color w:val="000000"/>
          <w:szCs w:val="22"/>
          <w:lang w:val="lt-LT" w:eastAsia="es-ES"/>
        </w:rPr>
        <w:t xml:space="preserve"> pateikt</w:t>
      </w:r>
      <w:r w:rsidR="005D5B65">
        <w:rPr>
          <w:color w:val="000000"/>
          <w:szCs w:val="22"/>
          <w:lang w:val="lt-LT" w:eastAsia="es-ES"/>
        </w:rPr>
        <w:t>ą</w:t>
      </w:r>
      <w:r w:rsidR="00491AF1">
        <w:rPr>
          <w:color w:val="000000"/>
          <w:szCs w:val="22"/>
          <w:lang w:val="lt-LT" w:eastAsia="es-ES"/>
        </w:rPr>
        <w:t xml:space="preserve"> </w:t>
      </w:r>
      <w:r w:rsidR="00491AF1" w:rsidRPr="00491AF1">
        <w:rPr>
          <w:color w:val="000000"/>
          <w:szCs w:val="22"/>
          <w:lang w:val="lt-LT" w:eastAsia="es-ES"/>
        </w:rPr>
        <w:t>4.4, 4.8 ir 5.1 skyr</w:t>
      </w:r>
      <w:r w:rsidR="00491AF1">
        <w:rPr>
          <w:color w:val="000000"/>
          <w:szCs w:val="22"/>
          <w:lang w:val="lt-LT" w:eastAsia="es-ES"/>
        </w:rPr>
        <w:t>iuose</w:t>
      </w:r>
      <w:r w:rsidR="00491AF1" w:rsidRPr="00491AF1">
        <w:rPr>
          <w:color w:val="000000"/>
          <w:szCs w:val="22"/>
          <w:lang w:val="lt-LT" w:eastAsia="es-ES"/>
        </w:rPr>
        <w:t>.</w:t>
      </w:r>
    </w:p>
    <w:p w14:paraId="31549FAF" w14:textId="77777777" w:rsidR="00803D36" w:rsidRDefault="00803D36" w:rsidP="00803D36">
      <w:pPr>
        <w:tabs>
          <w:tab w:val="clear" w:pos="567"/>
          <w:tab w:val="left" w:pos="1296"/>
        </w:tabs>
        <w:spacing w:line="240" w:lineRule="auto"/>
        <w:rPr>
          <w:color w:val="000000"/>
          <w:szCs w:val="22"/>
          <w:lang w:val="lt-LT" w:eastAsia="es-ES"/>
        </w:rPr>
      </w:pPr>
    </w:p>
    <w:p w14:paraId="167EBD9D" w14:textId="61379CFA" w:rsidR="00803D36" w:rsidRDefault="001A4B90" w:rsidP="00803D36">
      <w:pPr>
        <w:tabs>
          <w:tab w:val="clear" w:pos="567"/>
          <w:tab w:val="left" w:pos="1296"/>
        </w:tabs>
        <w:spacing w:line="240" w:lineRule="auto"/>
        <w:rPr>
          <w:bCs/>
          <w:color w:val="000000"/>
          <w:szCs w:val="22"/>
          <w:u w:val="single"/>
          <w:lang w:val="lt-LT" w:eastAsia="es-ES"/>
        </w:rPr>
      </w:pPr>
      <w:r>
        <w:rPr>
          <w:bCs/>
          <w:color w:val="000000"/>
          <w:szCs w:val="22"/>
          <w:u w:val="single"/>
          <w:lang w:val="lt-LT" w:eastAsia="es-ES"/>
        </w:rPr>
        <w:t>Ypatingos</w:t>
      </w:r>
      <w:r w:rsidR="00803D36">
        <w:rPr>
          <w:bCs/>
          <w:color w:val="000000"/>
          <w:szCs w:val="22"/>
          <w:u w:val="single"/>
          <w:lang w:val="lt-LT" w:eastAsia="es-ES"/>
        </w:rPr>
        <w:t xml:space="preserve"> populiacijos</w:t>
      </w:r>
    </w:p>
    <w:p w14:paraId="173CFCFD" w14:textId="77777777" w:rsidR="00803D36" w:rsidRDefault="00803D36" w:rsidP="00803D36">
      <w:pPr>
        <w:tabs>
          <w:tab w:val="clear" w:pos="567"/>
          <w:tab w:val="left" w:pos="1296"/>
        </w:tabs>
        <w:spacing w:line="240" w:lineRule="auto"/>
        <w:rPr>
          <w:color w:val="000000"/>
          <w:szCs w:val="22"/>
          <w:u w:val="single"/>
          <w:lang w:val="lt-LT" w:eastAsia="es-ES"/>
        </w:rPr>
      </w:pPr>
    </w:p>
    <w:p w14:paraId="19C23E4B" w14:textId="77777777" w:rsidR="00803D36" w:rsidRDefault="00803D36" w:rsidP="00803D36">
      <w:pPr>
        <w:tabs>
          <w:tab w:val="clear" w:pos="567"/>
          <w:tab w:val="left" w:pos="1296"/>
        </w:tabs>
        <w:spacing w:line="240" w:lineRule="auto"/>
        <w:rPr>
          <w:color w:val="000000"/>
          <w:szCs w:val="22"/>
          <w:lang w:val="lt-LT" w:eastAsia="es-ES"/>
        </w:rPr>
      </w:pPr>
      <w:r>
        <w:rPr>
          <w:i/>
          <w:iCs/>
          <w:color w:val="000000"/>
          <w:szCs w:val="22"/>
          <w:lang w:val="lt-LT" w:eastAsia="es-ES"/>
        </w:rPr>
        <w:t>Senyviems (≥65 metų) pacientams</w:t>
      </w:r>
    </w:p>
    <w:p w14:paraId="4BDC888E" w14:textId="77777777" w:rsidR="00803D36" w:rsidRDefault="00803D36" w:rsidP="00803D36">
      <w:pPr>
        <w:tabs>
          <w:tab w:val="clear" w:pos="567"/>
          <w:tab w:val="left" w:pos="1296"/>
        </w:tabs>
        <w:spacing w:line="240" w:lineRule="auto"/>
        <w:rPr>
          <w:color w:val="000000"/>
          <w:szCs w:val="22"/>
          <w:lang w:val="lt-LT" w:eastAsia="es-ES"/>
        </w:rPr>
      </w:pPr>
      <w:r>
        <w:rPr>
          <w:color w:val="000000"/>
          <w:szCs w:val="22"/>
          <w:lang w:val="lt-LT" w:eastAsia="es-ES"/>
        </w:rPr>
        <w:t xml:space="preserve">Duomenų nepakanka, kad būtų galima rekomenduoti tokiems pacientams koreguoti vaistinio preparato dozę arba jos nekeisti. </w:t>
      </w:r>
    </w:p>
    <w:p w14:paraId="666F8A19" w14:textId="77777777" w:rsidR="00803D36" w:rsidRDefault="00803D36" w:rsidP="00803D36">
      <w:pPr>
        <w:tabs>
          <w:tab w:val="clear" w:pos="567"/>
          <w:tab w:val="left" w:pos="1296"/>
        </w:tabs>
        <w:spacing w:line="240" w:lineRule="auto"/>
        <w:rPr>
          <w:i/>
          <w:iCs/>
          <w:color w:val="000000"/>
          <w:szCs w:val="22"/>
          <w:lang w:val="lt-LT" w:eastAsia="es-ES"/>
        </w:rPr>
      </w:pPr>
    </w:p>
    <w:p w14:paraId="6011CB1B" w14:textId="2D8E0846" w:rsidR="00803D36" w:rsidRDefault="00803D36" w:rsidP="00803D36">
      <w:pPr>
        <w:tabs>
          <w:tab w:val="clear" w:pos="567"/>
          <w:tab w:val="left" w:pos="1296"/>
        </w:tabs>
        <w:spacing w:line="240" w:lineRule="auto"/>
        <w:rPr>
          <w:color w:val="000000"/>
          <w:szCs w:val="22"/>
          <w:lang w:val="lt-LT" w:eastAsia="es-ES"/>
        </w:rPr>
      </w:pPr>
      <w:r>
        <w:rPr>
          <w:i/>
          <w:iCs/>
          <w:color w:val="000000"/>
          <w:szCs w:val="22"/>
          <w:lang w:val="lt-LT" w:eastAsia="es-ES"/>
        </w:rPr>
        <w:t>Pacienta</w:t>
      </w:r>
      <w:r w:rsidR="000C7FA1">
        <w:rPr>
          <w:i/>
          <w:iCs/>
          <w:color w:val="000000"/>
          <w:szCs w:val="22"/>
          <w:lang w:val="lt-LT" w:eastAsia="es-ES"/>
        </w:rPr>
        <w:t>ms</w:t>
      </w:r>
      <w:r>
        <w:rPr>
          <w:i/>
          <w:iCs/>
          <w:color w:val="000000"/>
          <w:szCs w:val="22"/>
          <w:lang w:val="lt-LT" w:eastAsia="es-ES"/>
        </w:rPr>
        <w:t>, kurių inkstų funkcija sutrikusi</w:t>
      </w:r>
    </w:p>
    <w:p w14:paraId="25A9A579" w14:textId="77777777" w:rsidR="00803D36" w:rsidRDefault="00803D36" w:rsidP="00803D36">
      <w:pPr>
        <w:tabs>
          <w:tab w:val="clear" w:pos="567"/>
          <w:tab w:val="left" w:pos="1296"/>
        </w:tabs>
        <w:spacing w:line="240" w:lineRule="auto"/>
        <w:rPr>
          <w:color w:val="000000"/>
          <w:szCs w:val="22"/>
          <w:lang w:val="lt-LT" w:eastAsia="es-ES"/>
        </w:rPr>
      </w:pPr>
      <w:r>
        <w:rPr>
          <w:color w:val="000000"/>
          <w:szCs w:val="22"/>
          <w:lang w:val="lt-LT" w:eastAsia="es-ES"/>
        </w:rPr>
        <w:lastRenderedPageBreak/>
        <w:t xml:space="preserve">Duomenų nėra, kad būtų galima rekomenduoti tokiems pacientams koreguoti </w:t>
      </w:r>
      <w:proofErr w:type="spellStart"/>
      <w:r>
        <w:rPr>
          <w:bCs/>
          <w:color w:val="000000"/>
          <w:szCs w:val="22"/>
          <w:lang w:val="lt-LT" w:eastAsia="es-ES"/>
        </w:rPr>
        <w:t>Tobramycin</w:t>
      </w:r>
      <w:proofErr w:type="spellEnd"/>
      <w:r>
        <w:rPr>
          <w:bCs/>
          <w:color w:val="000000"/>
          <w:szCs w:val="22"/>
          <w:lang w:val="lt-LT" w:eastAsia="es-ES"/>
        </w:rPr>
        <w:t xml:space="preserve"> Via </w:t>
      </w:r>
      <w:proofErr w:type="spellStart"/>
      <w:r>
        <w:rPr>
          <w:bCs/>
          <w:color w:val="000000"/>
          <w:szCs w:val="22"/>
          <w:lang w:val="lt-LT" w:eastAsia="es-ES"/>
        </w:rPr>
        <w:t>pharma</w:t>
      </w:r>
      <w:proofErr w:type="spellEnd"/>
      <w:r>
        <w:rPr>
          <w:bCs/>
          <w:color w:val="000000"/>
          <w:szCs w:val="22"/>
          <w:lang w:val="lt-LT" w:eastAsia="es-ES"/>
        </w:rPr>
        <w:t xml:space="preserve"> </w:t>
      </w:r>
      <w:r>
        <w:rPr>
          <w:color w:val="000000"/>
          <w:szCs w:val="22"/>
          <w:lang w:val="lt-LT" w:eastAsia="es-ES"/>
        </w:rPr>
        <w:t xml:space="preserve">dozę arba jos nekeisti. Duomenų apie </w:t>
      </w:r>
      <w:proofErr w:type="spellStart"/>
      <w:r>
        <w:rPr>
          <w:color w:val="000000"/>
          <w:szCs w:val="22"/>
          <w:lang w:val="lt-LT" w:eastAsia="es-ES"/>
        </w:rPr>
        <w:t>nefrotoksinį</w:t>
      </w:r>
      <w:proofErr w:type="spellEnd"/>
      <w:r>
        <w:rPr>
          <w:color w:val="000000"/>
          <w:szCs w:val="22"/>
          <w:lang w:val="lt-LT" w:eastAsia="es-ES"/>
        </w:rPr>
        <w:t xml:space="preserve"> poveikį pateikiama 4.4 skyriuje, informacijos apie </w:t>
      </w:r>
      <w:proofErr w:type="spellStart"/>
      <w:r>
        <w:rPr>
          <w:color w:val="000000"/>
          <w:szCs w:val="22"/>
          <w:lang w:val="lt-LT" w:eastAsia="es-ES"/>
        </w:rPr>
        <w:t>ekskreciją</w:t>
      </w:r>
      <w:proofErr w:type="spellEnd"/>
      <w:r>
        <w:rPr>
          <w:color w:val="000000"/>
          <w:szCs w:val="22"/>
          <w:lang w:val="lt-LT" w:eastAsia="es-ES"/>
        </w:rPr>
        <w:t xml:space="preserve"> − 5.2 skyriuje.</w:t>
      </w:r>
    </w:p>
    <w:p w14:paraId="783DE48D" w14:textId="77777777" w:rsidR="00803D36" w:rsidRDefault="00803D36" w:rsidP="00803D36">
      <w:pPr>
        <w:tabs>
          <w:tab w:val="clear" w:pos="567"/>
          <w:tab w:val="left" w:pos="1296"/>
        </w:tabs>
        <w:spacing w:line="240" w:lineRule="auto"/>
        <w:rPr>
          <w:color w:val="000000"/>
          <w:szCs w:val="22"/>
          <w:lang w:val="lt-LT" w:eastAsia="es-ES"/>
        </w:rPr>
      </w:pPr>
    </w:p>
    <w:p w14:paraId="7975EE01" w14:textId="3CE03D05" w:rsidR="00803D36" w:rsidRDefault="00803D36" w:rsidP="00803D36">
      <w:pPr>
        <w:tabs>
          <w:tab w:val="clear" w:pos="567"/>
          <w:tab w:val="left" w:pos="1296"/>
        </w:tabs>
        <w:spacing w:line="240" w:lineRule="auto"/>
        <w:rPr>
          <w:color w:val="000000"/>
          <w:szCs w:val="22"/>
          <w:lang w:val="lt-LT" w:eastAsia="es-ES"/>
        </w:rPr>
      </w:pPr>
      <w:r>
        <w:rPr>
          <w:i/>
          <w:iCs/>
          <w:color w:val="000000"/>
          <w:szCs w:val="22"/>
          <w:lang w:val="lt-LT" w:eastAsia="es-ES"/>
        </w:rPr>
        <w:t>Pacienta</w:t>
      </w:r>
      <w:r w:rsidR="000C7FA1">
        <w:rPr>
          <w:i/>
          <w:iCs/>
          <w:color w:val="000000"/>
          <w:szCs w:val="22"/>
          <w:lang w:val="lt-LT" w:eastAsia="es-ES"/>
        </w:rPr>
        <w:t>ms</w:t>
      </w:r>
      <w:r>
        <w:rPr>
          <w:i/>
          <w:iCs/>
          <w:color w:val="000000"/>
          <w:szCs w:val="22"/>
          <w:lang w:val="lt-LT" w:eastAsia="es-ES"/>
        </w:rPr>
        <w:t>, kurių kepenų funkcija sutrikusi</w:t>
      </w:r>
    </w:p>
    <w:p w14:paraId="3C389513" w14:textId="77777777" w:rsidR="00803D36" w:rsidRDefault="00803D36" w:rsidP="00803D36">
      <w:pPr>
        <w:tabs>
          <w:tab w:val="clear" w:pos="567"/>
          <w:tab w:val="left" w:pos="1296"/>
        </w:tabs>
        <w:spacing w:line="240" w:lineRule="auto"/>
        <w:rPr>
          <w:color w:val="000000"/>
          <w:szCs w:val="22"/>
          <w:lang w:val="lt-LT" w:eastAsia="es-ES"/>
        </w:rPr>
      </w:pPr>
      <w:r>
        <w:rPr>
          <w:color w:val="000000"/>
          <w:szCs w:val="22"/>
          <w:lang w:val="lt-LT" w:eastAsia="es-ES"/>
        </w:rPr>
        <w:t xml:space="preserve">Tyrimų su pacientais, kurių kepenų funkcija sutrikusi, neatlikta. </w:t>
      </w:r>
      <w:proofErr w:type="spellStart"/>
      <w:r>
        <w:rPr>
          <w:color w:val="000000"/>
          <w:szCs w:val="22"/>
          <w:lang w:val="lt-LT" w:eastAsia="es-ES"/>
        </w:rPr>
        <w:t>Tobramicinas</w:t>
      </w:r>
      <w:proofErr w:type="spellEnd"/>
      <w:r>
        <w:rPr>
          <w:color w:val="000000"/>
          <w:szCs w:val="22"/>
          <w:lang w:val="lt-LT" w:eastAsia="es-ES"/>
        </w:rPr>
        <w:t xml:space="preserve"> </w:t>
      </w:r>
      <w:proofErr w:type="spellStart"/>
      <w:r>
        <w:rPr>
          <w:color w:val="000000"/>
          <w:szCs w:val="22"/>
          <w:lang w:val="lt-LT" w:eastAsia="es-ES"/>
        </w:rPr>
        <w:t>nemetabolizuojamas</w:t>
      </w:r>
      <w:proofErr w:type="spellEnd"/>
      <w:r>
        <w:rPr>
          <w:color w:val="000000"/>
          <w:szCs w:val="22"/>
          <w:lang w:val="lt-LT" w:eastAsia="es-ES"/>
        </w:rPr>
        <w:t xml:space="preserve">, todėl nėra tikėtina, kad kepenų funkcijos sutrikimas turėtų įtakos </w:t>
      </w:r>
      <w:proofErr w:type="spellStart"/>
      <w:r>
        <w:rPr>
          <w:color w:val="000000"/>
          <w:szCs w:val="22"/>
          <w:lang w:val="lt-LT" w:eastAsia="es-ES"/>
        </w:rPr>
        <w:t>tobramicino</w:t>
      </w:r>
      <w:proofErr w:type="spellEnd"/>
      <w:r>
        <w:rPr>
          <w:color w:val="000000"/>
          <w:szCs w:val="22"/>
          <w:lang w:val="lt-LT" w:eastAsia="es-ES"/>
        </w:rPr>
        <w:t xml:space="preserve"> ekspozicijai.</w:t>
      </w:r>
    </w:p>
    <w:p w14:paraId="61BBC55A" w14:textId="77777777" w:rsidR="00803D36" w:rsidRDefault="00803D36" w:rsidP="00803D36">
      <w:pPr>
        <w:tabs>
          <w:tab w:val="clear" w:pos="567"/>
          <w:tab w:val="left" w:pos="1296"/>
        </w:tabs>
        <w:spacing w:line="240" w:lineRule="auto"/>
        <w:rPr>
          <w:i/>
          <w:iCs/>
          <w:color w:val="000000"/>
          <w:szCs w:val="22"/>
          <w:lang w:val="lt-LT" w:eastAsia="es-ES"/>
        </w:rPr>
      </w:pPr>
    </w:p>
    <w:p w14:paraId="7B8F0A86" w14:textId="0191CF9F" w:rsidR="00803D36" w:rsidRDefault="00803D36" w:rsidP="00803D36">
      <w:pPr>
        <w:tabs>
          <w:tab w:val="clear" w:pos="567"/>
          <w:tab w:val="left" w:pos="1296"/>
        </w:tabs>
        <w:spacing w:line="240" w:lineRule="auto"/>
        <w:rPr>
          <w:i/>
          <w:iCs/>
          <w:color w:val="000000"/>
          <w:szCs w:val="22"/>
          <w:lang w:val="lt-LT" w:eastAsia="es-ES"/>
        </w:rPr>
      </w:pPr>
      <w:r>
        <w:rPr>
          <w:i/>
          <w:iCs/>
          <w:color w:val="000000"/>
          <w:szCs w:val="22"/>
          <w:lang w:val="lt-LT" w:eastAsia="es-ES"/>
        </w:rPr>
        <w:t>Pacienta</w:t>
      </w:r>
      <w:r w:rsidR="000C7FA1">
        <w:rPr>
          <w:i/>
          <w:iCs/>
          <w:color w:val="000000"/>
          <w:szCs w:val="22"/>
          <w:lang w:val="lt-LT" w:eastAsia="es-ES"/>
        </w:rPr>
        <w:t>ms</w:t>
      </w:r>
      <w:r>
        <w:rPr>
          <w:i/>
          <w:iCs/>
          <w:color w:val="000000"/>
          <w:szCs w:val="22"/>
          <w:lang w:val="lt-LT" w:eastAsia="es-ES"/>
        </w:rPr>
        <w:t>, kuriems atlikta organo transplantacija</w:t>
      </w:r>
    </w:p>
    <w:p w14:paraId="3993A80C" w14:textId="77777777" w:rsidR="00803D36" w:rsidRDefault="00803D36" w:rsidP="00803D36">
      <w:pPr>
        <w:tabs>
          <w:tab w:val="clear" w:pos="567"/>
          <w:tab w:val="left" w:pos="1296"/>
        </w:tabs>
        <w:spacing w:line="240" w:lineRule="auto"/>
        <w:rPr>
          <w:color w:val="000000"/>
          <w:szCs w:val="22"/>
          <w:lang w:val="lt-LT" w:eastAsia="es-ES"/>
        </w:rPr>
      </w:pPr>
      <w:r>
        <w:rPr>
          <w:iCs/>
          <w:color w:val="000000"/>
          <w:szCs w:val="22"/>
          <w:lang w:val="lt-LT" w:eastAsia="es-ES"/>
        </w:rPr>
        <w:t xml:space="preserve">Tinkamų duomenų apie </w:t>
      </w:r>
      <w:proofErr w:type="spellStart"/>
      <w:r>
        <w:rPr>
          <w:bCs/>
          <w:color w:val="000000"/>
          <w:szCs w:val="22"/>
          <w:lang w:val="lt-LT" w:eastAsia="es-ES"/>
        </w:rPr>
        <w:t>Tobramycin</w:t>
      </w:r>
      <w:proofErr w:type="spellEnd"/>
      <w:r>
        <w:rPr>
          <w:bCs/>
          <w:color w:val="000000"/>
          <w:szCs w:val="22"/>
          <w:lang w:val="lt-LT" w:eastAsia="es-ES"/>
        </w:rPr>
        <w:t xml:space="preserve"> Via </w:t>
      </w:r>
      <w:proofErr w:type="spellStart"/>
      <w:r>
        <w:rPr>
          <w:bCs/>
          <w:color w:val="000000"/>
          <w:szCs w:val="22"/>
          <w:lang w:val="lt-LT" w:eastAsia="es-ES"/>
        </w:rPr>
        <w:t>pharma</w:t>
      </w:r>
      <w:proofErr w:type="spellEnd"/>
      <w:r>
        <w:rPr>
          <w:bCs/>
          <w:color w:val="000000"/>
          <w:szCs w:val="22"/>
          <w:lang w:val="lt-LT" w:eastAsia="es-ES"/>
        </w:rPr>
        <w:t xml:space="preserve"> </w:t>
      </w:r>
      <w:r>
        <w:rPr>
          <w:iCs/>
          <w:color w:val="000000"/>
          <w:szCs w:val="22"/>
          <w:lang w:val="lt-LT" w:eastAsia="es-ES"/>
        </w:rPr>
        <w:t>vartojimą pacientams, kuriems atlikta organo transplantacija, nėra</w:t>
      </w:r>
      <w:r>
        <w:rPr>
          <w:color w:val="000000"/>
          <w:szCs w:val="22"/>
          <w:lang w:val="lt-LT" w:eastAsia="es-ES"/>
        </w:rPr>
        <w:t>.</w:t>
      </w:r>
    </w:p>
    <w:p w14:paraId="70A2A774" w14:textId="77777777" w:rsidR="00803D36" w:rsidRDefault="00803D36" w:rsidP="00803D36">
      <w:pPr>
        <w:tabs>
          <w:tab w:val="clear" w:pos="567"/>
          <w:tab w:val="left" w:pos="1296"/>
        </w:tabs>
        <w:spacing w:line="240" w:lineRule="auto"/>
        <w:rPr>
          <w:color w:val="000000"/>
          <w:szCs w:val="22"/>
          <w:lang w:val="lt-LT" w:eastAsia="es-ES"/>
        </w:rPr>
      </w:pPr>
    </w:p>
    <w:p w14:paraId="2AFEF7D7" w14:textId="77777777" w:rsidR="00803D36" w:rsidRPr="00DD5276" w:rsidRDefault="00803D36" w:rsidP="00803D36">
      <w:pPr>
        <w:tabs>
          <w:tab w:val="clear" w:pos="567"/>
          <w:tab w:val="left" w:pos="1296"/>
        </w:tabs>
        <w:spacing w:line="240" w:lineRule="auto"/>
        <w:rPr>
          <w:i/>
          <w:iCs/>
          <w:color w:val="000000"/>
          <w:szCs w:val="22"/>
          <w:lang w:val="lt-LT" w:eastAsia="es-ES"/>
        </w:rPr>
      </w:pPr>
      <w:r w:rsidRPr="00DD5276">
        <w:rPr>
          <w:bCs/>
          <w:i/>
          <w:iCs/>
          <w:color w:val="000000"/>
          <w:szCs w:val="22"/>
          <w:lang w:val="lt-LT" w:eastAsia="es-ES"/>
        </w:rPr>
        <w:t>Vaikų populiacija</w:t>
      </w:r>
    </w:p>
    <w:p w14:paraId="1276BFC3" w14:textId="77777777" w:rsidR="00803D36" w:rsidRDefault="00803D36" w:rsidP="00803D36">
      <w:pPr>
        <w:spacing w:line="240" w:lineRule="auto"/>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saugumas ir veiksmingumas vaikams iki 6 metų dar neištirti. Turimi duomenys pateikiami 5.1 skyriuje, tačiau dozavimo rekomendacijų pateikti negalima.</w:t>
      </w:r>
    </w:p>
    <w:p w14:paraId="70A74858" w14:textId="77777777" w:rsidR="00803D36" w:rsidRDefault="00803D36" w:rsidP="00803D36">
      <w:pPr>
        <w:tabs>
          <w:tab w:val="clear" w:pos="567"/>
          <w:tab w:val="left" w:pos="1296"/>
        </w:tabs>
        <w:spacing w:line="240" w:lineRule="auto"/>
        <w:rPr>
          <w:color w:val="000000"/>
          <w:szCs w:val="22"/>
          <w:lang w:val="lt-LT" w:eastAsia="es-ES"/>
        </w:rPr>
      </w:pPr>
    </w:p>
    <w:p w14:paraId="5C8F5420" w14:textId="77777777" w:rsidR="00803D36" w:rsidRDefault="00803D36" w:rsidP="00803D36">
      <w:pPr>
        <w:tabs>
          <w:tab w:val="clear" w:pos="567"/>
          <w:tab w:val="left" w:pos="1296"/>
        </w:tabs>
        <w:spacing w:line="240" w:lineRule="auto"/>
        <w:rPr>
          <w:bCs/>
          <w:color w:val="000000"/>
          <w:szCs w:val="22"/>
          <w:u w:val="single"/>
          <w:lang w:val="lt-LT" w:eastAsia="es-ES"/>
        </w:rPr>
      </w:pPr>
      <w:r>
        <w:rPr>
          <w:bCs/>
          <w:color w:val="000000"/>
          <w:szCs w:val="22"/>
          <w:u w:val="single"/>
          <w:lang w:val="lt-LT" w:eastAsia="es-ES"/>
        </w:rPr>
        <w:t>Vartojimo metodas</w:t>
      </w:r>
    </w:p>
    <w:p w14:paraId="019B28B8" w14:textId="77777777" w:rsidR="004362F7" w:rsidRDefault="004362F7" w:rsidP="00803D36">
      <w:pPr>
        <w:tabs>
          <w:tab w:val="clear" w:pos="567"/>
          <w:tab w:val="left" w:pos="1296"/>
        </w:tabs>
        <w:spacing w:line="240" w:lineRule="auto"/>
        <w:rPr>
          <w:bCs/>
          <w:color w:val="000000"/>
          <w:szCs w:val="22"/>
          <w:u w:val="single"/>
          <w:lang w:val="lt-LT" w:eastAsia="es-ES"/>
        </w:rPr>
      </w:pPr>
    </w:p>
    <w:p w14:paraId="3875CD32" w14:textId="77777777" w:rsidR="004362F7" w:rsidRPr="00DD5276" w:rsidRDefault="004362F7" w:rsidP="00803D36">
      <w:pPr>
        <w:tabs>
          <w:tab w:val="clear" w:pos="567"/>
          <w:tab w:val="left" w:pos="1296"/>
        </w:tabs>
        <w:spacing w:line="240" w:lineRule="auto"/>
        <w:rPr>
          <w:bCs/>
          <w:color w:val="000000"/>
          <w:szCs w:val="22"/>
          <w:lang w:val="lt-LT" w:eastAsia="es-ES"/>
        </w:rPr>
      </w:pPr>
      <w:proofErr w:type="spellStart"/>
      <w:r w:rsidRPr="00DD5276">
        <w:rPr>
          <w:bCs/>
          <w:color w:val="000000"/>
          <w:szCs w:val="22"/>
          <w:lang w:val="lt-LT" w:eastAsia="es-ES"/>
        </w:rPr>
        <w:t>Tobramycin</w:t>
      </w:r>
      <w:proofErr w:type="spellEnd"/>
      <w:r w:rsidRPr="00DD5276">
        <w:rPr>
          <w:bCs/>
          <w:color w:val="000000"/>
          <w:szCs w:val="22"/>
          <w:lang w:val="lt-LT" w:eastAsia="es-ES"/>
        </w:rPr>
        <w:t xml:space="preserve"> Via </w:t>
      </w:r>
      <w:proofErr w:type="spellStart"/>
      <w:r w:rsidRPr="00DD5276">
        <w:rPr>
          <w:bCs/>
          <w:color w:val="000000"/>
          <w:szCs w:val="22"/>
          <w:lang w:val="lt-LT" w:eastAsia="es-ES"/>
        </w:rPr>
        <w:t>pharma</w:t>
      </w:r>
      <w:proofErr w:type="spellEnd"/>
      <w:r w:rsidRPr="00DD5276">
        <w:rPr>
          <w:bCs/>
          <w:color w:val="000000"/>
          <w:szCs w:val="22"/>
          <w:lang w:val="lt-LT" w:eastAsia="es-ES"/>
        </w:rPr>
        <w:t xml:space="preserve"> skirtas tik įkvėpti, </w:t>
      </w:r>
      <w:proofErr w:type="spellStart"/>
      <w:r w:rsidRPr="00DD5276">
        <w:rPr>
          <w:bCs/>
          <w:color w:val="000000"/>
          <w:szCs w:val="22"/>
          <w:lang w:val="lt-LT" w:eastAsia="es-ES"/>
        </w:rPr>
        <w:t>parenteriniu</w:t>
      </w:r>
      <w:proofErr w:type="spellEnd"/>
      <w:r w:rsidRPr="00DD5276">
        <w:rPr>
          <w:bCs/>
          <w:color w:val="000000"/>
          <w:szCs w:val="22"/>
          <w:lang w:val="lt-LT" w:eastAsia="es-ES"/>
        </w:rPr>
        <w:t xml:space="preserve"> būdu jo vartoti negalima.</w:t>
      </w:r>
    </w:p>
    <w:p w14:paraId="1A4DD368" w14:textId="77777777" w:rsidR="004362F7" w:rsidRDefault="004362F7" w:rsidP="00803D36">
      <w:pPr>
        <w:tabs>
          <w:tab w:val="clear" w:pos="567"/>
          <w:tab w:val="left" w:pos="1296"/>
        </w:tabs>
        <w:spacing w:line="240" w:lineRule="auto"/>
        <w:rPr>
          <w:color w:val="000000"/>
          <w:szCs w:val="22"/>
          <w:u w:val="single"/>
          <w:lang w:val="lt-LT" w:eastAsia="es-ES"/>
        </w:rPr>
      </w:pPr>
    </w:p>
    <w:p w14:paraId="36B3EC5D" w14:textId="77777777" w:rsidR="00803D36" w:rsidRDefault="00803D36" w:rsidP="00803D36">
      <w:pPr>
        <w:tabs>
          <w:tab w:val="clear" w:pos="567"/>
          <w:tab w:val="left" w:pos="1296"/>
        </w:tabs>
        <w:spacing w:line="240" w:lineRule="auto"/>
        <w:rPr>
          <w:color w:val="000000"/>
          <w:szCs w:val="22"/>
          <w:lang w:val="lt-LT" w:eastAsia="es-ES"/>
        </w:rPr>
      </w:pPr>
      <w:r>
        <w:rPr>
          <w:color w:val="000000"/>
          <w:szCs w:val="22"/>
          <w:lang w:val="lt-LT" w:eastAsia="es-ES"/>
        </w:rPr>
        <w:t>Į purkštuvą supiltas vienos ampulės turinys turi būti įkvepiamas maždaug 15 minučių, naudojant portatyvinį PARI LC PLUS daugkartinio naudojimo purkštuvą su tinkamu kompresoriumi. Tinkami kompresoriai yra tokie, kurie, prijungti prie PARI LC PLUS purkštuvo, užtikrina 4</w:t>
      </w:r>
      <w:r>
        <w:rPr>
          <w:color w:val="000000"/>
          <w:szCs w:val="22"/>
          <w:lang w:val="lt-LT" w:eastAsia="es-ES"/>
        </w:rPr>
        <w:noBreakHyphen/>
        <w:t>6 l/min. srovės greitį ir (arba) 110</w:t>
      </w:r>
      <w:r>
        <w:rPr>
          <w:color w:val="000000"/>
          <w:szCs w:val="22"/>
          <w:lang w:val="lt-LT" w:eastAsia="es-ES"/>
        </w:rPr>
        <w:noBreakHyphen/>
        <w:t>217 </w:t>
      </w:r>
      <w:proofErr w:type="spellStart"/>
      <w:r>
        <w:rPr>
          <w:color w:val="000000"/>
          <w:szCs w:val="22"/>
          <w:lang w:val="lt-LT" w:eastAsia="es-ES"/>
        </w:rPr>
        <w:t>kPa</w:t>
      </w:r>
      <w:proofErr w:type="spellEnd"/>
      <w:r>
        <w:rPr>
          <w:color w:val="000000"/>
          <w:szCs w:val="22"/>
          <w:lang w:val="lt-LT" w:eastAsia="es-ES"/>
        </w:rPr>
        <w:t xml:space="preserve"> galinį slėgį. Būtina vykdyti gamintojo pateikiamas purkštuvo ir kompresoriaus priežiūros ir naudojimo instrukcijas.</w:t>
      </w:r>
    </w:p>
    <w:p w14:paraId="2F7F6C60" w14:textId="77777777" w:rsidR="00530962" w:rsidRDefault="00530962" w:rsidP="00803D36">
      <w:pPr>
        <w:tabs>
          <w:tab w:val="clear" w:pos="567"/>
          <w:tab w:val="left" w:pos="1296"/>
        </w:tabs>
        <w:spacing w:line="240" w:lineRule="auto"/>
        <w:rPr>
          <w:bCs/>
          <w:szCs w:val="22"/>
          <w:lang w:val="lt-LT" w:eastAsia="es-ES"/>
        </w:rPr>
      </w:pPr>
    </w:p>
    <w:p w14:paraId="466D6861" w14:textId="51D6C254" w:rsidR="00803D36" w:rsidRDefault="00803D36" w:rsidP="00803D36">
      <w:pPr>
        <w:tabs>
          <w:tab w:val="clear" w:pos="567"/>
          <w:tab w:val="left" w:pos="1296"/>
        </w:tabs>
        <w:spacing w:line="240" w:lineRule="auto"/>
        <w:rPr>
          <w:color w:val="000000"/>
          <w:szCs w:val="22"/>
          <w:lang w:val="lt-LT" w:eastAsia="es-ES"/>
        </w:rPr>
      </w:pP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įkvėpimo metu pacientas turi sėdėti arba stovėti ir įprastai kvėpuoti per purkštuvo kandiklį. Nosies spaustukas gali padėti ligoniui kvėpuoti per burną. Pacientas privalo tęsti įprastines krūtinės ląstos fizioterapijos procedūras. Atsižvelgiant į klinikinį poreikį, reikia tęsti tinkamų bronchus plečiančių vaistinių preparatų vartojimą. Jei pacientui taikomas kelių skirtingų rūšių respiracinis gydymas, rekomenduojama tokia seka: bronchus plečiantys vaistiniai preparatai, krūtinės ląstos fizioterapija, kiti įkvepiamieji vaistiniai preparatai ir galiausiai </w:t>
      </w:r>
      <w:proofErr w:type="spellStart"/>
      <w:r>
        <w:rPr>
          <w:bCs/>
          <w:szCs w:val="22"/>
          <w:lang w:val="lt-LT" w:eastAsia="es-ES"/>
        </w:rPr>
        <w:t>Tobramycin</w:t>
      </w:r>
      <w:proofErr w:type="spellEnd"/>
      <w:r>
        <w:rPr>
          <w:bCs/>
          <w:szCs w:val="22"/>
          <w:lang w:val="lt-LT" w:eastAsia="es-ES"/>
        </w:rPr>
        <w:t xml:space="preserve"> </w:t>
      </w:r>
      <w:r w:rsidR="005D5B65">
        <w:rPr>
          <w:bCs/>
          <w:szCs w:val="22"/>
          <w:lang w:val="lt-LT" w:eastAsia="es-ES"/>
        </w:rPr>
        <w:t xml:space="preserve">Via </w:t>
      </w:r>
      <w:proofErr w:type="spellStart"/>
      <w:r w:rsidR="005D5B65">
        <w:rPr>
          <w:bCs/>
          <w:szCs w:val="22"/>
          <w:lang w:val="lt-LT" w:eastAsia="es-ES"/>
        </w:rPr>
        <w:t>pharma</w:t>
      </w:r>
      <w:proofErr w:type="spellEnd"/>
      <w:r>
        <w:rPr>
          <w:bCs/>
          <w:szCs w:val="22"/>
          <w:lang w:val="lt-LT" w:eastAsia="es-ES"/>
        </w:rPr>
        <w:t>.</w:t>
      </w:r>
    </w:p>
    <w:p w14:paraId="6E4A3258" w14:textId="77777777" w:rsidR="00803D36" w:rsidRDefault="00803D36" w:rsidP="00803D36">
      <w:pPr>
        <w:tabs>
          <w:tab w:val="clear" w:pos="567"/>
          <w:tab w:val="left" w:pos="1296"/>
        </w:tabs>
        <w:spacing w:line="240" w:lineRule="auto"/>
        <w:rPr>
          <w:color w:val="000000"/>
          <w:szCs w:val="22"/>
          <w:lang w:val="lt-LT" w:eastAsia="es-ES"/>
        </w:rPr>
      </w:pPr>
    </w:p>
    <w:p w14:paraId="2F7A4365" w14:textId="77777777" w:rsidR="00803D36" w:rsidRPr="00DD5276" w:rsidRDefault="00803D36" w:rsidP="00803D36">
      <w:pPr>
        <w:tabs>
          <w:tab w:val="clear" w:pos="567"/>
          <w:tab w:val="left" w:pos="1296"/>
        </w:tabs>
        <w:spacing w:line="240" w:lineRule="auto"/>
        <w:rPr>
          <w:i/>
          <w:iCs/>
          <w:color w:val="000000"/>
          <w:szCs w:val="22"/>
          <w:lang w:val="lt-LT" w:eastAsia="es-ES"/>
        </w:rPr>
      </w:pPr>
      <w:r w:rsidRPr="00DD5276">
        <w:rPr>
          <w:bCs/>
          <w:i/>
          <w:iCs/>
          <w:color w:val="000000"/>
          <w:szCs w:val="22"/>
          <w:lang w:val="lt-LT" w:eastAsia="es-ES"/>
        </w:rPr>
        <w:t>Didžiausia toleruojama paros dozė</w:t>
      </w:r>
    </w:p>
    <w:p w14:paraId="0078430D" w14:textId="77777777" w:rsidR="00803D36" w:rsidRDefault="00803D36" w:rsidP="00803D36">
      <w:pPr>
        <w:tabs>
          <w:tab w:val="clear" w:pos="567"/>
          <w:tab w:val="left" w:pos="1296"/>
        </w:tabs>
        <w:spacing w:line="240" w:lineRule="auto"/>
        <w:rPr>
          <w:b/>
          <w:color w:val="000000"/>
          <w:szCs w:val="22"/>
          <w:lang w:val="lt-LT" w:eastAsia="es-ES"/>
        </w:rPr>
      </w:pPr>
      <w:r>
        <w:rPr>
          <w:szCs w:val="22"/>
          <w:lang w:val="lt-LT"/>
        </w:rPr>
        <w:t xml:space="preserve">Didžiausia toleruojama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rPr>
        <w:t>paros dozė nenustatyta</w:t>
      </w:r>
      <w:r>
        <w:rPr>
          <w:color w:val="000000"/>
          <w:szCs w:val="22"/>
          <w:lang w:val="lt-LT" w:eastAsia="es-ES"/>
        </w:rPr>
        <w:t>.</w:t>
      </w:r>
    </w:p>
    <w:p w14:paraId="20B0F688" w14:textId="77777777" w:rsidR="00803D36" w:rsidRDefault="00803D36" w:rsidP="00803D36">
      <w:pPr>
        <w:spacing w:line="240" w:lineRule="auto"/>
        <w:rPr>
          <w:szCs w:val="22"/>
          <w:u w:val="single"/>
          <w:lang w:val="lt-LT"/>
        </w:rPr>
      </w:pPr>
    </w:p>
    <w:p w14:paraId="3FEE8AB6"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3D4C3C26" w14:textId="77777777" w:rsidR="00803D36" w:rsidRDefault="00803D36" w:rsidP="00803D36">
      <w:pPr>
        <w:spacing w:line="240" w:lineRule="auto"/>
        <w:rPr>
          <w:szCs w:val="22"/>
          <w:lang w:val="lt-LT"/>
        </w:rPr>
      </w:pPr>
    </w:p>
    <w:p w14:paraId="30AC5FAA" w14:textId="36E9F9DE" w:rsidR="00803D36" w:rsidRDefault="00803D36" w:rsidP="00803D36">
      <w:pPr>
        <w:spacing w:line="240" w:lineRule="auto"/>
        <w:rPr>
          <w:szCs w:val="22"/>
          <w:lang w:val="lt-LT"/>
        </w:rPr>
      </w:pPr>
      <w:r>
        <w:rPr>
          <w:szCs w:val="22"/>
          <w:lang w:val="lt-LT"/>
        </w:rPr>
        <w:t xml:space="preserve">Padidėjęs jautrumas </w:t>
      </w:r>
      <w:r w:rsidR="000B7B9C">
        <w:rPr>
          <w:szCs w:val="22"/>
          <w:lang w:val="lt-LT"/>
        </w:rPr>
        <w:t xml:space="preserve">veikliajai medžiagai, </w:t>
      </w:r>
      <w:r>
        <w:rPr>
          <w:szCs w:val="22"/>
          <w:lang w:val="lt-LT"/>
        </w:rPr>
        <w:t xml:space="preserve">bet kokiems </w:t>
      </w:r>
      <w:proofErr w:type="spellStart"/>
      <w:r>
        <w:rPr>
          <w:szCs w:val="22"/>
          <w:lang w:val="lt-LT"/>
        </w:rPr>
        <w:t>aminoglikozidams</w:t>
      </w:r>
      <w:proofErr w:type="spellEnd"/>
      <w:r>
        <w:rPr>
          <w:szCs w:val="22"/>
          <w:lang w:val="lt-LT"/>
        </w:rPr>
        <w:t xml:space="preserve"> arba bet kuriai 6.1 skyriuje nurodytai pagalbinei medžiagai.</w:t>
      </w:r>
    </w:p>
    <w:p w14:paraId="5FDEB8C6" w14:textId="77777777" w:rsidR="00803D36" w:rsidRDefault="00803D36" w:rsidP="00803D36">
      <w:pPr>
        <w:spacing w:line="240" w:lineRule="auto"/>
        <w:rPr>
          <w:szCs w:val="22"/>
          <w:lang w:val="lt-LT"/>
        </w:rPr>
      </w:pPr>
    </w:p>
    <w:p w14:paraId="7E6370B9"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47E85F85" w14:textId="77777777" w:rsidR="00803D36" w:rsidRDefault="00803D36" w:rsidP="00803D36">
      <w:pPr>
        <w:spacing w:line="240" w:lineRule="auto"/>
        <w:rPr>
          <w:szCs w:val="22"/>
          <w:lang w:val="lt-LT"/>
        </w:rPr>
      </w:pPr>
    </w:p>
    <w:p w14:paraId="38A543F7" w14:textId="77777777" w:rsidR="00803D36" w:rsidRDefault="00803D36" w:rsidP="00803D36">
      <w:pPr>
        <w:spacing w:line="240" w:lineRule="auto"/>
        <w:rPr>
          <w:szCs w:val="22"/>
          <w:u w:val="single"/>
          <w:lang w:val="lt-LT"/>
        </w:rPr>
      </w:pPr>
      <w:r>
        <w:rPr>
          <w:szCs w:val="22"/>
          <w:u w:val="single"/>
          <w:lang w:val="lt-LT"/>
        </w:rPr>
        <w:t>Bendrieji perspėjimai</w:t>
      </w:r>
    </w:p>
    <w:p w14:paraId="372D1B9F" w14:textId="4923876C" w:rsidR="00803D36" w:rsidRDefault="00803D36" w:rsidP="00803D36">
      <w:pPr>
        <w:spacing w:line="240" w:lineRule="auto"/>
        <w:rPr>
          <w:szCs w:val="22"/>
          <w:lang w:val="lt-LT"/>
        </w:rPr>
      </w:pPr>
      <w:r>
        <w:rPr>
          <w:szCs w:val="22"/>
          <w:lang w:val="lt-LT"/>
        </w:rPr>
        <w:t>Informacij</w:t>
      </w:r>
      <w:r w:rsidR="000B7B9C">
        <w:rPr>
          <w:szCs w:val="22"/>
          <w:lang w:val="lt-LT"/>
        </w:rPr>
        <w:t>a</w:t>
      </w:r>
      <w:r>
        <w:rPr>
          <w:szCs w:val="22"/>
          <w:lang w:val="lt-LT"/>
        </w:rPr>
        <w:t xml:space="preserve"> apie vartojimą nėštumo ir žindymo laikotarpiu pateikiama 4.6 skyriuje.</w:t>
      </w:r>
    </w:p>
    <w:p w14:paraId="588961C6" w14:textId="730F28E7" w:rsidR="00803D36" w:rsidRDefault="00803D36" w:rsidP="00803D36">
      <w:pPr>
        <w:spacing w:line="240" w:lineRule="auto"/>
        <w:rPr>
          <w:szCs w:val="22"/>
          <w:lang w:val="lt-LT"/>
        </w:rPr>
      </w:pP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rPr>
        <w:t xml:space="preserve">būtina atsargiai skirti vartoti pacientams, kuriems yra arba įtariama, kad yra inkstų, klausos, pusiausvyros ar nervų ir raumenų funkcijos sutrikimas arba sunki aktyvi </w:t>
      </w:r>
      <w:proofErr w:type="spellStart"/>
      <w:r w:rsidRPr="00342456">
        <w:rPr>
          <w:szCs w:val="22"/>
          <w:lang w:val="lt-LT"/>
        </w:rPr>
        <w:t>hemopt</w:t>
      </w:r>
      <w:r w:rsidR="003570F1" w:rsidRPr="00342456">
        <w:rPr>
          <w:szCs w:val="22"/>
          <w:lang w:val="lt-LT"/>
        </w:rPr>
        <w:t>o</w:t>
      </w:r>
      <w:r w:rsidR="008647E8" w:rsidRPr="00342456">
        <w:rPr>
          <w:szCs w:val="22"/>
          <w:lang w:val="lt-LT"/>
        </w:rPr>
        <w:t>jė</w:t>
      </w:r>
      <w:proofErr w:type="spellEnd"/>
      <w:r w:rsidR="008647E8" w:rsidRPr="00DD5276">
        <w:rPr>
          <w:szCs w:val="22"/>
          <w:lang w:val="lt-LT"/>
        </w:rPr>
        <w:t xml:space="preserve"> </w:t>
      </w:r>
      <w:r w:rsidR="008647E8" w:rsidRPr="00342456">
        <w:rPr>
          <w:szCs w:val="22"/>
          <w:lang w:val="lt-LT"/>
        </w:rPr>
        <w:t>(</w:t>
      </w:r>
      <w:proofErr w:type="spellStart"/>
      <w:r w:rsidR="008647E8" w:rsidRPr="00342456">
        <w:rPr>
          <w:i/>
          <w:szCs w:val="22"/>
          <w:lang w:val="lt-LT"/>
        </w:rPr>
        <w:t>haemoptysis</w:t>
      </w:r>
      <w:proofErr w:type="spellEnd"/>
      <w:r w:rsidR="008647E8" w:rsidRPr="00342456">
        <w:rPr>
          <w:szCs w:val="22"/>
          <w:lang w:val="lt-LT"/>
        </w:rPr>
        <w:t>)</w:t>
      </w:r>
      <w:r w:rsidRPr="00342456">
        <w:rPr>
          <w:szCs w:val="22"/>
          <w:lang w:val="lt-LT"/>
        </w:rPr>
        <w:t>.</w:t>
      </w:r>
    </w:p>
    <w:p w14:paraId="2978DFEB" w14:textId="77777777" w:rsidR="00803D36" w:rsidRDefault="00803D36" w:rsidP="00803D36">
      <w:pPr>
        <w:spacing w:line="240" w:lineRule="auto"/>
        <w:rPr>
          <w:szCs w:val="22"/>
          <w:lang w:val="lt-LT"/>
        </w:rPr>
      </w:pPr>
    </w:p>
    <w:p w14:paraId="1D32FEEF" w14:textId="77777777" w:rsidR="00803D36" w:rsidRDefault="00803D36" w:rsidP="00803D36">
      <w:pPr>
        <w:spacing w:line="240" w:lineRule="auto"/>
        <w:rPr>
          <w:szCs w:val="22"/>
          <w:u w:val="single"/>
          <w:lang w:val="lt-LT"/>
        </w:rPr>
      </w:pPr>
      <w:proofErr w:type="spellStart"/>
      <w:r>
        <w:rPr>
          <w:szCs w:val="22"/>
          <w:u w:val="single"/>
          <w:lang w:val="lt-LT"/>
        </w:rPr>
        <w:t>Tobramicino</w:t>
      </w:r>
      <w:proofErr w:type="spellEnd"/>
      <w:r>
        <w:rPr>
          <w:szCs w:val="22"/>
          <w:u w:val="single"/>
          <w:lang w:val="lt-LT"/>
        </w:rPr>
        <w:t xml:space="preserve"> koncentracijos serume stebėjimas</w:t>
      </w:r>
    </w:p>
    <w:p w14:paraId="486AD204" w14:textId="77777777" w:rsidR="00803D36" w:rsidRDefault="00803D36" w:rsidP="00803D36">
      <w:pPr>
        <w:spacing w:line="240" w:lineRule="auto"/>
        <w:rPr>
          <w:szCs w:val="22"/>
          <w:lang w:val="lt-LT"/>
        </w:rPr>
      </w:pPr>
      <w:r>
        <w:rPr>
          <w:szCs w:val="22"/>
          <w:lang w:val="lt-LT"/>
        </w:rPr>
        <w:t xml:space="preserve">Pacientams, kuriems yra arba įtariama, kad yra klausos arba inkstų funkcijos sutrikimas, reikia stebėti </w:t>
      </w:r>
      <w:proofErr w:type="spellStart"/>
      <w:r>
        <w:rPr>
          <w:szCs w:val="22"/>
          <w:lang w:val="lt-LT"/>
        </w:rPr>
        <w:t>tobramicino</w:t>
      </w:r>
      <w:proofErr w:type="spellEnd"/>
      <w:r>
        <w:rPr>
          <w:szCs w:val="22"/>
          <w:lang w:val="lt-LT"/>
        </w:rPr>
        <w:t xml:space="preserve"> koncentraciją serume. Jeigu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rPr>
        <w:t xml:space="preserve">vartojantiems pacientams pasireiškia </w:t>
      </w:r>
      <w:proofErr w:type="spellStart"/>
      <w:r>
        <w:rPr>
          <w:szCs w:val="22"/>
          <w:lang w:val="lt-LT"/>
        </w:rPr>
        <w:t>ototoksinis</w:t>
      </w:r>
      <w:proofErr w:type="spellEnd"/>
      <w:r>
        <w:rPr>
          <w:szCs w:val="22"/>
          <w:lang w:val="lt-LT"/>
        </w:rPr>
        <w:t xml:space="preserve"> arba </w:t>
      </w:r>
      <w:proofErr w:type="spellStart"/>
      <w:r>
        <w:rPr>
          <w:szCs w:val="22"/>
          <w:lang w:val="lt-LT"/>
        </w:rPr>
        <w:t>nefrotoksinis</w:t>
      </w:r>
      <w:proofErr w:type="spellEnd"/>
      <w:r>
        <w:rPr>
          <w:szCs w:val="22"/>
          <w:lang w:val="lt-LT"/>
        </w:rPr>
        <w:t xml:space="preserve"> poveikis, gydymą </w:t>
      </w:r>
      <w:proofErr w:type="spellStart"/>
      <w:r>
        <w:rPr>
          <w:szCs w:val="22"/>
          <w:lang w:val="lt-LT"/>
        </w:rPr>
        <w:t>tobramicinu</w:t>
      </w:r>
      <w:proofErr w:type="spellEnd"/>
      <w:r>
        <w:rPr>
          <w:szCs w:val="22"/>
          <w:lang w:val="lt-LT"/>
        </w:rPr>
        <w:t xml:space="preserve"> reikia sustabdyti iki tol, kol jo koncentracija serume taps mažesnė kaip 2 </w:t>
      </w:r>
      <w:proofErr w:type="spellStart"/>
      <w:r>
        <w:rPr>
          <w:szCs w:val="22"/>
          <w:lang w:val="lt-LT"/>
        </w:rPr>
        <w:t>mikrogramai</w:t>
      </w:r>
      <w:proofErr w:type="spellEnd"/>
      <w:r>
        <w:rPr>
          <w:szCs w:val="22"/>
          <w:lang w:val="lt-LT"/>
        </w:rPr>
        <w:t>/ml.</w:t>
      </w:r>
    </w:p>
    <w:p w14:paraId="4507D053" w14:textId="77777777" w:rsidR="00803D36" w:rsidRDefault="00803D36" w:rsidP="00803D36">
      <w:pPr>
        <w:spacing w:line="240" w:lineRule="auto"/>
        <w:rPr>
          <w:szCs w:val="22"/>
          <w:lang w:val="lt-LT"/>
        </w:rPr>
      </w:pPr>
      <w:proofErr w:type="spellStart"/>
      <w:r>
        <w:rPr>
          <w:szCs w:val="22"/>
          <w:lang w:val="lt-LT"/>
        </w:rPr>
        <w:t>Tobramicino</w:t>
      </w:r>
      <w:proofErr w:type="spellEnd"/>
      <w:r>
        <w:rPr>
          <w:szCs w:val="22"/>
          <w:lang w:val="lt-LT"/>
        </w:rPr>
        <w:t xml:space="preserve"> koncentraciją serume reikia stebėti pacientams, kuriems tuo pat metu taikomas </w:t>
      </w:r>
      <w:proofErr w:type="spellStart"/>
      <w:r>
        <w:rPr>
          <w:szCs w:val="22"/>
          <w:lang w:val="lt-LT"/>
        </w:rPr>
        <w:t>parenterinis</w:t>
      </w:r>
      <w:proofErr w:type="spellEnd"/>
      <w:r>
        <w:rPr>
          <w:szCs w:val="22"/>
          <w:lang w:val="lt-LT"/>
        </w:rPr>
        <w:t xml:space="preserve"> gydymas </w:t>
      </w:r>
      <w:proofErr w:type="spellStart"/>
      <w:r>
        <w:rPr>
          <w:szCs w:val="22"/>
          <w:lang w:val="lt-LT"/>
        </w:rPr>
        <w:t>aminoglikozidais</w:t>
      </w:r>
      <w:proofErr w:type="spellEnd"/>
      <w:r>
        <w:rPr>
          <w:szCs w:val="22"/>
          <w:lang w:val="lt-LT"/>
        </w:rPr>
        <w:t xml:space="preserve"> (ar kitais vaistiniais preparatais, kurie gali keisti </w:t>
      </w:r>
      <w:proofErr w:type="spellStart"/>
      <w:r>
        <w:rPr>
          <w:szCs w:val="22"/>
          <w:lang w:val="lt-LT"/>
        </w:rPr>
        <w:t>ekskreciją</w:t>
      </w:r>
      <w:proofErr w:type="spellEnd"/>
      <w:r>
        <w:rPr>
          <w:szCs w:val="22"/>
          <w:lang w:val="lt-LT"/>
        </w:rPr>
        <w:t xml:space="preserve"> pro inkstus). Tokius pacientus būtina stebėti atsižvelgiant į klinikinę būklę.</w:t>
      </w:r>
    </w:p>
    <w:p w14:paraId="57CFD711" w14:textId="77777777" w:rsidR="00803D36" w:rsidRDefault="00803D36" w:rsidP="00803D36">
      <w:pPr>
        <w:spacing w:line="240" w:lineRule="auto"/>
        <w:rPr>
          <w:szCs w:val="22"/>
          <w:lang w:val="lt-LT"/>
        </w:rPr>
      </w:pPr>
    </w:p>
    <w:p w14:paraId="5B7A9BFD" w14:textId="77777777" w:rsidR="00803D36" w:rsidRDefault="00803D36" w:rsidP="00803D36">
      <w:pPr>
        <w:spacing w:line="240" w:lineRule="auto"/>
        <w:rPr>
          <w:szCs w:val="22"/>
          <w:lang w:val="lt-LT"/>
        </w:rPr>
      </w:pPr>
      <w:proofErr w:type="spellStart"/>
      <w:r>
        <w:rPr>
          <w:szCs w:val="22"/>
          <w:lang w:val="lt-LT"/>
        </w:rPr>
        <w:t>Tobramicino</w:t>
      </w:r>
      <w:proofErr w:type="spellEnd"/>
      <w:r>
        <w:rPr>
          <w:szCs w:val="22"/>
          <w:lang w:val="lt-LT"/>
        </w:rPr>
        <w:t xml:space="preserve"> koncentracija serume tiriama tik kraują imant iš venos, o ne atliekant dūrį į pirštą (nes tai nėra </w:t>
      </w:r>
      <w:proofErr w:type="spellStart"/>
      <w:r>
        <w:rPr>
          <w:szCs w:val="22"/>
          <w:lang w:val="lt-LT"/>
        </w:rPr>
        <w:t>validuotas</w:t>
      </w:r>
      <w:proofErr w:type="spellEnd"/>
      <w:r>
        <w:rPr>
          <w:szCs w:val="22"/>
          <w:lang w:val="lt-LT"/>
        </w:rPr>
        <w:t xml:space="preserve"> mėginio ėmimo metodas). Pastebėta, kad pirštų odos užteršimas </w:t>
      </w:r>
      <w:proofErr w:type="spellStart"/>
      <w:r>
        <w:rPr>
          <w:szCs w:val="22"/>
          <w:lang w:val="lt-LT"/>
        </w:rPr>
        <w:t>tobramicinu</w:t>
      </w:r>
      <w:proofErr w:type="spellEnd"/>
      <w:r>
        <w:rPr>
          <w:szCs w:val="22"/>
          <w:lang w:val="lt-LT"/>
        </w:rPr>
        <w:t xml:space="preserve"> ruošiant ir purškiant vaistinį preparatą ir naudojant purkštuvą gali lemti tariamo koncentracijos serume padidėjimo nustatymą. Tokio užteršimo iki galo neišvengiama ir tuo atveju, jei prieš tyrimą plaunamos rankos.</w:t>
      </w:r>
    </w:p>
    <w:p w14:paraId="09BF1992" w14:textId="77777777" w:rsidR="00803D36" w:rsidRDefault="00803D36" w:rsidP="00803D36">
      <w:pPr>
        <w:spacing w:line="240" w:lineRule="auto"/>
        <w:rPr>
          <w:szCs w:val="22"/>
          <w:lang w:val="lt-LT"/>
        </w:rPr>
      </w:pPr>
    </w:p>
    <w:p w14:paraId="0344B5A8" w14:textId="77777777" w:rsidR="00803D36" w:rsidRDefault="00803D36" w:rsidP="00803D36">
      <w:pPr>
        <w:spacing w:line="240" w:lineRule="auto"/>
        <w:rPr>
          <w:szCs w:val="22"/>
          <w:u w:val="single"/>
          <w:lang w:val="lt-LT"/>
        </w:rPr>
      </w:pPr>
      <w:r>
        <w:rPr>
          <w:szCs w:val="22"/>
          <w:u w:val="single"/>
          <w:lang w:val="lt-LT"/>
        </w:rPr>
        <w:t>Bronchų spazmas</w:t>
      </w:r>
    </w:p>
    <w:p w14:paraId="7DF9A9AC" w14:textId="77777777" w:rsidR="00803D36" w:rsidRDefault="00803D36" w:rsidP="00803D36">
      <w:pPr>
        <w:spacing w:line="240" w:lineRule="auto"/>
        <w:rPr>
          <w:szCs w:val="22"/>
          <w:lang w:val="lt-LT"/>
        </w:rPr>
      </w:pPr>
      <w:r>
        <w:rPr>
          <w:szCs w:val="22"/>
          <w:lang w:val="lt-LT"/>
        </w:rPr>
        <w:t xml:space="preserve">Po vaistinių preparatų įkvėpimo gali pasireikšti bronchų spazmas, apie tokį poveikį pranešta ir vartojant purškiamojo </w:t>
      </w:r>
      <w:proofErr w:type="spellStart"/>
      <w:r>
        <w:rPr>
          <w:szCs w:val="22"/>
          <w:lang w:val="lt-LT"/>
        </w:rPr>
        <w:t>tobramicino</w:t>
      </w:r>
      <w:proofErr w:type="spellEnd"/>
      <w:r>
        <w:rPr>
          <w:szCs w:val="22"/>
          <w:lang w:val="lt-LT"/>
        </w:rPr>
        <w:t xml:space="preserve">. Pirmąją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rPr>
        <w:t xml:space="preserve">dozę būtina vartoti prižiūrint medikui, prieš </w:t>
      </w:r>
      <w:proofErr w:type="spellStart"/>
      <w:r>
        <w:rPr>
          <w:szCs w:val="22"/>
          <w:lang w:val="lt-LT"/>
        </w:rPr>
        <w:t>tobramicino</w:t>
      </w:r>
      <w:proofErr w:type="spellEnd"/>
      <w:r>
        <w:rPr>
          <w:szCs w:val="22"/>
          <w:lang w:val="lt-LT"/>
        </w:rPr>
        <w:t xml:space="preserve"> purškimą reikia pavartoti bronchus plečiančių vaistinių preparatų (jei pacientas jų vartoja). Prieš purškimą ir po jo būtina matuoti FEV</w:t>
      </w:r>
      <w:r>
        <w:rPr>
          <w:szCs w:val="22"/>
          <w:vertAlign w:val="subscript"/>
          <w:lang w:val="lt-LT"/>
        </w:rPr>
        <w:t>1</w:t>
      </w:r>
      <w:r>
        <w:rPr>
          <w:szCs w:val="22"/>
          <w:lang w:val="lt-LT"/>
        </w:rPr>
        <w:t xml:space="preserve"> (forsuoto iškvėpimo tūrį). Jei nustatoma, kad pasireiškė gydymo sukeltas bronchų spazmas, o pacientas bronchus plečiančių vaistinių preparatų nevartoja, tyrimą vėliau reikia pakartoti pavartojus bronchus plečiančio vaistinio preparato. Jei bronchų spazmas pasireiškia bronchus plečiančiais preparatais gydomam pacientui, tai gali būti alerginė reakcija. Jei tokia reakcija įtariama,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rPr>
        <w:t>vartojimą būtina nutraukti. Bronchų spazmą būtina gydyti atitinkamomis medicininėmis priemonėmis.</w:t>
      </w:r>
    </w:p>
    <w:p w14:paraId="6DEF1BCD" w14:textId="77777777" w:rsidR="00803D36" w:rsidRDefault="00803D36" w:rsidP="00803D36">
      <w:pPr>
        <w:spacing w:line="240" w:lineRule="auto"/>
        <w:rPr>
          <w:szCs w:val="22"/>
          <w:lang w:val="lt-LT"/>
        </w:rPr>
      </w:pPr>
    </w:p>
    <w:p w14:paraId="090A8308" w14:textId="77777777" w:rsidR="00803D36" w:rsidRDefault="00803D36" w:rsidP="00803D36">
      <w:pPr>
        <w:spacing w:line="240" w:lineRule="auto"/>
        <w:rPr>
          <w:szCs w:val="22"/>
          <w:u w:val="single"/>
          <w:lang w:val="lt-LT"/>
        </w:rPr>
      </w:pPr>
      <w:r>
        <w:rPr>
          <w:szCs w:val="22"/>
          <w:u w:val="single"/>
          <w:lang w:val="lt-LT"/>
        </w:rPr>
        <w:t>Nervų ir raumenų sutrikimai</w:t>
      </w:r>
    </w:p>
    <w:p w14:paraId="7351919C" w14:textId="77777777" w:rsidR="00803D36" w:rsidRDefault="00803D36" w:rsidP="00803D36">
      <w:pPr>
        <w:spacing w:line="240" w:lineRule="auto"/>
        <w:rPr>
          <w:szCs w:val="22"/>
          <w:lang w:val="lt-LT"/>
        </w:rPr>
      </w:pPr>
      <w:r>
        <w:rPr>
          <w:szCs w:val="22"/>
          <w:lang w:val="lt-LT"/>
        </w:rPr>
        <w:t xml:space="preserve">Pacientams, kuriems yra nervų ir raumenų sutrikimų, pvz., </w:t>
      </w:r>
      <w:proofErr w:type="spellStart"/>
      <w:r>
        <w:rPr>
          <w:szCs w:val="22"/>
          <w:lang w:val="lt-LT"/>
        </w:rPr>
        <w:t>parkinsonizmas</w:t>
      </w:r>
      <w:proofErr w:type="spellEnd"/>
      <w:r>
        <w:rPr>
          <w:szCs w:val="22"/>
          <w:lang w:val="lt-LT"/>
        </w:rPr>
        <w:t xml:space="preserve"> ar būklė, kurios metu pasireiškia </w:t>
      </w:r>
      <w:proofErr w:type="spellStart"/>
      <w:r>
        <w:rPr>
          <w:szCs w:val="22"/>
          <w:lang w:val="lt-LT"/>
        </w:rPr>
        <w:t>miastenija</w:t>
      </w:r>
      <w:proofErr w:type="spellEnd"/>
      <w:r>
        <w:rPr>
          <w:szCs w:val="22"/>
          <w:lang w:val="lt-LT"/>
        </w:rPr>
        <w:t xml:space="preserve"> (įskaitant </w:t>
      </w:r>
      <w:proofErr w:type="spellStart"/>
      <w:r>
        <w:rPr>
          <w:szCs w:val="22"/>
          <w:lang w:val="lt-LT"/>
        </w:rPr>
        <w:t>generalizuotą</w:t>
      </w:r>
      <w:proofErr w:type="spellEnd"/>
      <w:r>
        <w:rPr>
          <w:szCs w:val="22"/>
          <w:lang w:val="lt-LT"/>
        </w:rPr>
        <w:t xml:space="preserve"> </w:t>
      </w:r>
      <w:proofErr w:type="spellStart"/>
      <w:r>
        <w:rPr>
          <w:szCs w:val="22"/>
          <w:lang w:val="lt-LT"/>
        </w:rPr>
        <w:t>miasteniją</w:t>
      </w:r>
      <w:proofErr w:type="spellEnd"/>
      <w:r>
        <w:rPr>
          <w:szCs w:val="22"/>
          <w:lang w:val="lt-LT"/>
        </w:rPr>
        <w:t xml:space="preserve">),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rPr>
        <w:t xml:space="preserve">būtina skirti vartoti ypač atsargiai, kadangi </w:t>
      </w:r>
      <w:proofErr w:type="spellStart"/>
      <w:r>
        <w:rPr>
          <w:szCs w:val="22"/>
          <w:lang w:val="lt-LT"/>
        </w:rPr>
        <w:t>aminoglikozidai</w:t>
      </w:r>
      <w:proofErr w:type="spellEnd"/>
      <w:r>
        <w:rPr>
          <w:szCs w:val="22"/>
          <w:lang w:val="lt-LT"/>
        </w:rPr>
        <w:t xml:space="preserve"> gali sunkinti raumenų silpnumą (</w:t>
      </w:r>
      <w:proofErr w:type="spellStart"/>
      <w:r>
        <w:rPr>
          <w:szCs w:val="22"/>
          <w:lang w:val="lt-LT"/>
        </w:rPr>
        <w:t>aminoglikozidai</w:t>
      </w:r>
      <w:proofErr w:type="spellEnd"/>
      <w:r>
        <w:rPr>
          <w:szCs w:val="22"/>
          <w:lang w:val="lt-LT"/>
        </w:rPr>
        <w:t xml:space="preserve"> gali sukelti į </w:t>
      </w:r>
      <w:proofErr w:type="spellStart"/>
      <w:r>
        <w:rPr>
          <w:szCs w:val="22"/>
          <w:lang w:val="lt-LT"/>
        </w:rPr>
        <w:t>kurarė</w:t>
      </w:r>
      <w:proofErr w:type="spellEnd"/>
      <w:r>
        <w:rPr>
          <w:szCs w:val="22"/>
          <w:lang w:val="lt-LT"/>
        </w:rPr>
        <w:t xml:space="preserve"> panašų poveikį nervų ir raumenų funkcijai).</w:t>
      </w:r>
    </w:p>
    <w:p w14:paraId="1B4C075C" w14:textId="77777777" w:rsidR="00803D36" w:rsidRDefault="00803D36" w:rsidP="00803D36">
      <w:pPr>
        <w:spacing w:line="240" w:lineRule="auto"/>
        <w:rPr>
          <w:szCs w:val="22"/>
          <w:lang w:val="lt-LT"/>
        </w:rPr>
      </w:pPr>
    </w:p>
    <w:p w14:paraId="4EC3074C" w14:textId="77777777" w:rsidR="00803D36" w:rsidRDefault="00803D36" w:rsidP="00803D36">
      <w:pPr>
        <w:spacing w:line="240" w:lineRule="auto"/>
        <w:rPr>
          <w:szCs w:val="22"/>
          <w:u w:val="single"/>
          <w:lang w:val="lt-LT"/>
        </w:rPr>
      </w:pPr>
      <w:proofErr w:type="spellStart"/>
      <w:r>
        <w:rPr>
          <w:szCs w:val="22"/>
          <w:u w:val="single"/>
          <w:lang w:val="lt-LT"/>
        </w:rPr>
        <w:t>Nefrotoksinis</w:t>
      </w:r>
      <w:proofErr w:type="spellEnd"/>
      <w:r>
        <w:rPr>
          <w:szCs w:val="22"/>
          <w:u w:val="single"/>
          <w:lang w:val="lt-LT"/>
        </w:rPr>
        <w:t xml:space="preserve"> poveikis</w:t>
      </w:r>
    </w:p>
    <w:p w14:paraId="2AFBD543" w14:textId="4B42494C" w:rsidR="00803D36" w:rsidRDefault="00803D36" w:rsidP="00803D36">
      <w:pPr>
        <w:spacing w:line="240" w:lineRule="auto"/>
        <w:rPr>
          <w:szCs w:val="22"/>
          <w:lang w:val="lt-LT"/>
        </w:rPr>
      </w:pPr>
      <w:r>
        <w:rPr>
          <w:szCs w:val="22"/>
          <w:lang w:val="lt-LT"/>
        </w:rPr>
        <w:t xml:space="preserve">Nors </w:t>
      </w:r>
      <w:proofErr w:type="spellStart"/>
      <w:r>
        <w:rPr>
          <w:szCs w:val="22"/>
          <w:lang w:val="lt-LT"/>
        </w:rPr>
        <w:t>aminoglikozidų</w:t>
      </w:r>
      <w:proofErr w:type="spellEnd"/>
      <w:r>
        <w:rPr>
          <w:szCs w:val="22"/>
          <w:lang w:val="lt-LT"/>
        </w:rPr>
        <w:t xml:space="preserve"> vartojimas </w:t>
      </w:r>
      <w:proofErr w:type="spellStart"/>
      <w:r>
        <w:rPr>
          <w:szCs w:val="22"/>
          <w:lang w:val="lt-LT"/>
        </w:rPr>
        <w:t>parenteriniu</w:t>
      </w:r>
      <w:proofErr w:type="spellEnd"/>
      <w:r>
        <w:rPr>
          <w:szCs w:val="22"/>
          <w:lang w:val="lt-LT"/>
        </w:rPr>
        <w:t xml:space="preserve"> būdu buvo susijęs su </w:t>
      </w:r>
      <w:proofErr w:type="spellStart"/>
      <w:r>
        <w:rPr>
          <w:szCs w:val="22"/>
          <w:lang w:val="lt-LT"/>
        </w:rPr>
        <w:t>nefrotoksiniu</w:t>
      </w:r>
      <w:proofErr w:type="spellEnd"/>
      <w:r>
        <w:rPr>
          <w:szCs w:val="22"/>
          <w:lang w:val="lt-LT"/>
        </w:rPr>
        <w:t xml:space="preserve"> poveikiu, klinikinių įkvepiamojo </w:t>
      </w:r>
      <w:proofErr w:type="spellStart"/>
      <w:r>
        <w:rPr>
          <w:szCs w:val="22"/>
          <w:lang w:val="lt-LT"/>
        </w:rPr>
        <w:t>tobramicino</w:t>
      </w:r>
      <w:proofErr w:type="spellEnd"/>
      <w:r>
        <w:rPr>
          <w:szCs w:val="22"/>
          <w:lang w:val="lt-LT"/>
        </w:rPr>
        <w:t xml:space="preserve"> tyrimų metu duomenų apie </w:t>
      </w:r>
      <w:proofErr w:type="spellStart"/>
      <w:r>
        <w:rPr>
          <w:szCs w:val="22"/>
          <w:lang w:val="lt-LT"/>
        </w:rPr>
        <w:t>nefrotoksinį</w:t>
      </w:r>
      <w:proofErr w:type="spellEnd"/>
      <w:r>
        <w:rPr>
          <w:szCs w:val="22"/>
          <w:lang w:val="lt-LT"/>
        </w:rPr>
        <w:t xml:space="preserve"> poveikį negauta</w:t>
      </w:r>
      <w:r w:rsidR="0016619B">
        <w:rPr>
          <w:szCs w:val="22"/>
          <w:lang w:val="lt-LT"/>
        </w:rPr>
        <w:t>,</w:t>
      </w:r>
      <w:r w:rsidR="0016619B" w:rsidRPr="0016619B">
        <w:rPr>
          <w:lang w:val="lt-LT"/>
        </w:rPr>
        <w:t xml:space="preserve"> </w:t>
      </w:r>
      <w:r w:rsidR="0016619B" w:rsidRPr="0016619B">
        <w:rPr>
          <w:szCs w:val="22"/>
          <w:lang w:val="lt-LT"/>
        </w:rPr>
        <w:t xml:space="preserve">tačiau vaistinį preparatą pateikus į rinką buvo pranešta apie ūminio inkstų pažeidimo (ŪIP) atvejus, nustatytus vartojant įkvepiamąjį </w:t>
      </w:r>
      <w:proofErr w:type="spellStart"/>
      <w:r w:rsidR="0016619B" w:rsidRPr="0016619B">
        <w:rPr>
          <w:szCs w:val="22"/>
          <w:lang w:val="lt-LT"/>
        </w:rPr>
        <w:t>tobramiciną</w:t>
      </w:r>
      <w:proofErr w:type="spellEnd"/>
      <w:r w:rsidR="0016619B" w:rsidRPr="0016619B">
        <w:rPr>
          <w:szCs w:val="22"/>
          <w:lang w:val="lt-LT"/>
        </w:rPr>
        <w:t xml:space="preserve"> (žr. 4.8 skyrių)</w:t>
      </w:r>
      <w:r>
        <w:rPr>
          <w:szCs w:val="22"/>
          <w:lang w:val="lt-LT"/>
        </w:rPr>
        <w:t>.</w:t>
      </w:r>
    </w:p>
    <w:p w14:paraId="1A313F56" w14:textId="77777777" w:rsidR="00803D36" w:rsidRDefault="00803D36" w:rsidP="00803D36">
      <w:pPr>
        <w:spacing w:line="240" w:lineRule="auto"/>
        <w:rPr>
          <w:szCs w:val="22"/>
          <w:lang w:val="lt-LT"/>
        </w:rPr>
      </w:pPr>
      <w:r>
        <w:rPr>
          <w:szCs w:val="22"/>
          <w:lang w:val="lt-LT"/>
        </w:rPr>
        <w:t xml:space="preserve">Jei yra arba įtariama, kad yra inkstų funkcijos sutrikimas, šio vaistinio preparato būtina skirti vartoti atsargiai, be to, reikia stebėti </w:t>
      </w:r>
      <w:proofErr w:type="spellStart"/>
      <w:r>
        <w:rPr>
          <w:szCs w:val="22"/>
          <w:lang w:val="lt-LT"/>
        </w:rPr>
        <w:t>tobramicino</w:t>
      </w:r>
      <w:proofErr w:type="spellEnd"/>
      <w:r>
        <w:rPr>
          <w:szCs w:val="22"/>
          <w:lang w:val="lt-LT"/>
        </w:rPr>
        <w:t xml:space="preserve"> koncentraciją serume. Pacientai, kuriems yra sunkus inkstų funkcijos sutrikimas (t. y. kreatinino kiekis serume &gt;2 mg/dl (176,8 </w:t>
      </w:r>
      <w:proofErr w:type="spellStart"/>
      <w:r>
        <w:rPr>
          <w:szCs w:val="22"/>
          <w:lang w:val="lt-LT"/>
        </w:rPr>
        <w:t>mikromolio</w:t>
      </w:r>
      <w:proofErr w:type="spellEnd"/>
      <w:r>
        <w:rPr>
          <w:szCs w:val="22"/>
          <w:lang w:val="lt-LT"/>
        </w:rPr>
        <w:t>/l)), į klinikinius tyrimus įtraukti nebuvo.</w:t>
      </w:r>
    </w:p>
    <w:p w14:paraId="6E579178" w14:textId="77777777" w:rsidR="00803D36" w:rsidRDefault="00803D36" w:rsidP="00803D36">
      <w:pPr>
        <w:spacing w:line="240" w:lineRule="auto"/>
        <w:rPr>
          <w:szCs w:val="22"/>
          <w:lang w:val="lt-LT"/>
        </w:rPr>
      </w:pPr>
      <w:r>
        <w:rPr>
          <w:szCs w:val="22"/>
          <w:lang w:val="lt-LT"/>
        </w:rPr>
        <w:t xml:space="preserve">Atsižvelgiant į dabartinę klinikinę praktiką, rekomenduojama įvertinti pradinę inkstų funkciją. Kreatinino ir šlapalo kiekį rekomenduojama kartotinai tirti kas 6 pabaigtus gydymo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rPr>
        <w:t xml:space="preserve">ciklus (180 gydymo purškiamuoju </w:t>
      </w:r>
      <w:proofErr w:type="spellStart"/>
      <w:r>
        <w:rPr>
          <w:szCs w:val="22"/>
          <w:lang w:val="lt-LT"/>
        </w:rPr>
        <w:t>aminoglikozidu</w:t>
      </w:r>
      <w:proofErr w:type="spellEnd"/>
      <w:r>
        <w:rPr>
          <w:szCs w:val="22"/>
          <w:lang w:val="lt-LT"/>
        </w:rPr>
        <w:t xml:space="preserve"> dienų).</w:t>
      </w:r>
    </w:p>
    <w:p w14:paraId="30749085" w14:textId="77777777" w:rsidR="00803D36" w:rsidRDefault="00803D36" w:rsidP="00803D36">
      <w:pPr>
        <w:spacing w:line="240" w:lineRule="auto"/>
        <w:rPr>
          <w:szCs w:val="22"/>
          <w:lang w:val="lt-LT"/>
        </w:rPr>
      </w:pPr>
      <w:r>
        <w:rPr>
          <w:szCs w:val="22"/>
          <w:lang w:val="lt-LT"/>
        </w:rPr>
        <w:t>Taip pat žr. aukščiau esantį poskyrį „</w:t>
      </w:r>
      <w:proofErr w:type="spellStart"/>
      <w:r>
        <w:rPr>
          <w:szCs w:val="22"/>
          <w:lang w:val="lt-LT"/>
        </w:rPr>
        <w:t>Tobramicino</w:t>
      </w:r>
      <w:proofErr w:type="spellEnd"/>
      <w:r>
        <w:rPr>
          <w:szCs w:val="22"/>
          <w:lang w:val="lt-LT"/>
        </w:rPr>
        <w:t xml:space="preserve"> koncentracijos serume stebėjimas“.</w:t>
      </w:r>
    </w:p>
    <w:p w14:paraId="02D915C3" w14:textId="77777777" w:rsidR="00803D36" w:rsidRDefault="00803D36" w:rsidP="00803D36">
      <w:pPr>
        <w:spacing w:line="240" w:lineRule="auto"/>
        <w:rPr>
          <w:szCs w:val="22"/>
          <w:lang w:val="lt-LT"/>
        </w:rPr>
      </w:pPr>
    </w:p>
    <w:p w14:paraId="5D248C57" w14:textId="77777777" w:rsidR="00803D36" w:rsidRDefault="00803D36" w:rsidP="00803D36">
      <w:pPr>
        <w:spacing w:line="240" w:lineRule="auto"/>
        <w:rPr>
          <w:szCs w:val="22"/>
          <w:u w:val="single"/>
          <w:lang w:val="lt-LT"/>
        </w:rPr>
      </w:pPr>
      <w:proofErr w:type="spellStart"/>
      <w:r>
        <w:rPr>
          <w:szCs w:val="22"/>
          <w:u w:val="single"/>
          <w:lang w:val="lt-LT"/>
        </w:rPr>
        <w:t>Ototoksinis</w:t>
      </w:r>
      <w:proofErr w:type="spellEnd"/>
      <w:r>
        <w:rPr>
          <w:szCs w:val="22"/>
          <w:u w:val="single"/>
          <w:lang w:val="lt-LT"/>
        </w:rPr>
        <w:t xml:space="preserve"> poveikis</w:t>
      </w:r>
    </w:p>
    <w:p w14:paraId="5E28CFC8" w14:textId="68215465" w:rsidR="00803D36" w:rsidRDefault="00803D36" w:rsidP="00803D36">
      <w:pPr>
        <w:spacing w:line="240" w:lineRule="auto"/>
        <w:rPr>
          <w:szCs w:val="22"/>
          <w:lang w:val="lt-LT"/>
        </w:rPr>
      </w:pPr>
      <w:r>
        <w:rPr>
          <w:szCs w:val="22"/>
          <w:lang w:val="lt-LT"/>
        </w:rPr>
        <w:t xml:space="preserve">Gauta pranešimų apie </w:t>
      </w:r>
      <w:proofErr w:type="spellStart"/>
      <w:r>
        <w:rPr>
          <w:szCs w:val="22"/>
          <w:lang w:val="lt-LT"/>
        </w:rPr>
        <w:t>aminoglikozidų</w:t>
      </w:r>
      <w:proofErr w:type="spellEnd"/>
      <w:r>
        <w:rPr>
          <w:szCs w:val="22"/>
          <w:lang w:val="lt-LT"/>
        </w:rPr>
        <w:t xml:space="preserve"> vartojant </w:t>
      </w:r>
      <w:proofErr w:type="spellStart"/>
      <w:r>
        <w:rPr>
          <w:szCs w:val="22"/>
          <w:lang w:val="lt-LT"/>
        </w:rPr>
        <w:t>parenteriniu</w:t>
      </w:r>
      <w:proofErr w:type="spellEnd"/>
      <w:r>
        <w:rPr>
          <w:szCs w:val="22"/>
          <w:lang w:val="lt-LT"/>
        </w:rPr>
        <w:t xml:space="preserve"> būdu atsiradusį </w:t>
      </w:r>
      <w:proofErr w:type="spellStart"/>
      <w:r>
        <w:rPr>
          <w:szCs w:val="22"/>
          <w:lang w:val="lt-LT"/>
        </w:rPr>
        <w:t>ototoksinį</w:t>
      </w:r>
      <w:proofErr w:type="spellEnd"/>
      <w:r>
        <w:rPr>
          <w:szCs w:val="22"/>
          <w:lang w:val="lt-LT"/>
        </w:rPr>
        <w:t xml:space="preserve"> poveikį, kuris pasireiškia tiek toksiniu poveikiu klausai, tiek pusiausvyros palaikymo sistemai. Toksinis poveikis pusiausvyros palaikymo sistemai gali pasireikšti </w:t>
      </w:r>
      <w:r w:rsidR="00030A53">
        <w:rPr>
          <w:szCs w:val="22"/>
          <w:lang w:val="lt-LT"/>
        </w:rPr>
        <w:t>svaigimu</w:t>
      </w:r>
      <w:r>
        <w:rPr>
          <w:szCs w:val="22"/>
          <w:lang w:val="lt-LT"/>
        </w:rPr>
        <w:t xml:space="preserve"> (</w:t>
      </w:r>
      <w:proofErr w:type="spellStart"/>
      <w:r>
        <w:rPr>
          <w:i/>
          <w:szCs w:val="22"/>
          <w:lang w:val="lt-LT"/>
        </w:rPr>
        <w:t>vertigo</w:t>
      </w:r>
      <w:proofErr w:type="spellEnd"/>
      <w:r>
        <w:rPr>
          <w:szCs w:val="22"/>
          <w:lang w:val="lt-LT"/>
        </w:rPr>
        <w:t xml:space="preserve">), </w:t>
      </w:r>
      <w:proofErr w:type="spellStart"/>
      <w:r>
        <w:rPr>
          <w:szCs w:val="22"/>
          <w:lang w:val="lt-LT"/>
        </w:rPr>
        <w:t>ataksija</w:t>
      </w:r>
      <w:proofErr w:type="spellEnd"/>
      <w:r>
        <w:rPr>
          <w:szCs w:val="22"/>
          <w:lang w:val="lt-LT"/>
        </w:rPr>
        <w:t xml:space="preserve"> ar svaiguliu. Kontroliuotų klinikinių tyrimų metu purškiamojo </w:t>
      </w:r>
      <w:proofErr w:type="spellStart"/>
      <w:r>
        <w:rPr>
          <w:szCs w:val="22"/>
          <w:lang w:val="lt-LT"/>
        </w:rPr>
        <w:t>tobramicino</w:t>
      </w:r>
      <w:proofErr w:type="spellEnd"/>
      <w:r>
        <w:rPr>
          <w:szCs w:val="22"/>
          <w:lang w:val="lt-LT"/>
        </w:rPr>
        <w:t xml:space="preserve"> sukeliamo </w:t>
      </w:r>
      <w:proofErr w:type="spellStart"/>
      <w:r>
        <w:rPr>
          <w:szCs w:val="22"/>
          <w:lang w:val="lt-LT"/>
        </w:rPr>
        <w:t>ototoksinio</w:t>
      </w:r>
      <w:proofErr w:type="spellEnd"/>
      <w:r>
        <w:rPr>
          <w:szCs w:val="22"/>
          <w:lang w:val="lt-LT"/>
        </w:rPr>
        <w:t xml:space="preserve"> poveikio (nustatomo remiantis nusiskundimais dėl klausos susilpnėjimo ar </w:t>
      </w:r>
      <w:proofErr w:type="spellStart"/>
      <w:r>
        <w:rPr>
          <w:szCs w:val="22"/>
          <w:lang w:val="lt-LT"/>
        </w:rPr>
        <w:t>audiometrijos</w:t>
      </w:r>
      <w:proofErr w:type="spellEnd"/>
      <w:r>
        <w:rPr>
          <w:szCs w:val="22"/>
          <w:lang w:val="lt-LT"/>
        </w:rPr>
        <w:t xml:space="preserve"> duomenimis) nepasireiškė. Atvirų tyrimų metu bei po vaistinio preparato pateikimo į rinką kai kuriems pacientams, anksčiau ilgai į veną vartojusiems </w:t>
      </w:r>
      <w:proofErr w:type="spellStart"/>
      <w:r>
        <w:rPr>
          <w:szCs w:val="22"/>
          <w:lang w:val="lt-LT"/>
        </w:rPr>
        <w:t>aminoglikozidų</w:t>
      </w:r>
      <w:proofErr w:type="spellEnd"/>
      <w:r>
        <w:rPr>
          <w:szCs w:val="22"/>
          <w:lang w:val="lt-LT"/>
        </w:rPr>
        <w:t xml:space="preserve"> arba jų vartojusiems kartu su purškiamu </w:t>
      </w:r>
      <w:proofErr w:type="spellStart"/>
      <w:r>
        <w:rPr>
          <w:szCs w:val="22"/>
          <w:lang w:val="lt-LT"/>
        </w:rPr>
        <w:t>tobramicinu</w:t>
      </w:r>
      <w:proofErr w:type="spellEnd"/>
      <w:r>
        <w:rPr>
          <w:szCs w:val="22"/>
          <w:lang w:val="lt-LT"/>
        </w:rPr>
        <w:t>, pasireiškė apkurtimas. Pacientams, kurie neteko klausos, dažnai pasireiškė ūžesys (</w:t>
      </w:r>
      <w:proofErr w:type="spellStart"/>
      <w:r>
        <w:rPr>
          <w:i/>
          <w:szCs w:val="22"/>
          <w:lang w:val="lt-LT"/>
        </w:rPr>
        <w:t>tinnitus</w:t>
      </w:r>
      <w:proofErr w:type="spellEnd"/>
      <w:r>
        <w:rPr>
          <w:szCs w:val="22"/>
          <w:lang w:val="lt-LT"/>
        </w:rPr>
        <w:t xml:space="preserve">). Gydytojai turi atsižvelgti į tai, kad </w:t>
      </w:r>
      <w:proofErr w:type="spellStart"/>
      <w:r>
        <w:rPr>
          <w:szCs w:val="22"/>
          <w:lang w:val="lt-LT"/>
        </w:rPr>
        <w:t>aminoglikozidai</w:t>
      </w:r>
      <w:proofErr w:type="spellEnd"/>
      <w:r>
        <w:rPr>
          <w:szCs w:val="22"/>
          <w:lang w:val="lt-LT"/>
        </w:rPr>
        <w:t xml:space="preserve"> gali sukelti toksinį poveikį pusiausvyrai bei klausai, ir gydymo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rPr>
        <w:t xml:space="preserve">metu tinkamai tirti klausos funkciją. Jei yra rizikos veiksnių (pacientas anksčiau ilgai gydytas sisteminio poveikio </w:t>
      </w:r>
      <w:proofErr w:type="spellStart"/>
      <w:r>
        <w:rPr>
          <w:szCs w:val="22"/>
          <w:lang w:val="lt-LT"/>
        </w:rPr>
        <w:t>aminoglikozidais</w:t>
      </w:r>
      <w:proofErr w:type="spellEnd"/>
      <w:r>
        <w:rPr>
          <w:szCs w:val="22"/>
          <w:lang w:val="lt-LT"/>
        </w:rPr>
        <w:t>), būtina apsvarstyti klausos funkcijos įvertinimo reika</w:t>
      </w:r>
      <w:r w:rsidR="005D5B65">
        <w:rPr>
          <w:szCs w:val="22"/>
          <w:lang w:val="lt-LT"/>
        </w:rPr>
        <w:t>l</w:t>
      </w:r>
      <w:r>
        <w:rPr>
          <w:szCs w:val="22"/>
          <w:lang w:val="lt-LT"/>
        </w:rPr>
        <w:t xml:space="preserve">ingumą prieš gydymo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rPr>
        <w:t>pradžią. Būtina atkreipti dėmesį į ūžesio (</w:t>
      </w:r>
      <w:proofErr w:type="spellStart"/>
      <w:r>
        <w:rPr>
          <w:i/>
          <w:szCs w:val="22"/>
          <w:lang w:val="lt-LT"/>
        </w:rPr>
        <w:t>tinnitus</w:t>
      </w:r>
      <w:proofErr w:type="spellEnd"/>
      <w:r>
        <w:rPr>
          <w:szCs w:val="22"/>
          <w:lang w:val="lt-LT"/>
        </w:rPr>
        <w:t xml:space="preserve">) atsiradimą, kadangi tai yra </w:t>
      </w:r>
      <w:proofErr w:type="spellStart"/>
      <w:r>
        <w:rPr>
          <w:szCs w:val="22"/>
          <w:lang w:val="lt-LT"/>
        </w:rPr>
        <w:t>ototoksinio</w:t>
      </w:r>
      <w:proofErr w:type="spellEnd"/>
      <w:r>
        <w:rPr>
          <w:szCs w:val="22"/>
          <w:lang w:val="lt-LT"/>
        </w:rPr>
        <w:t xml:space="preserve"> poveikio simptomas. </w:t>
      </w:r>
    </w:p>
    <w:p w14:paraId="5EB804E5" w14:textId="77777777" w:rsidR="00803D36" w:rsidRDefault="00803D36" w:rsidP="00803D36">
      <w:pPr>
        <w:spacing w:line="240" w:lineRule="auto"/>
        <w:rPr>
          <w:szCs w:val="22"/>
          <w:lang w:val="lt-LT"/>
        </w:rPr>
      </w:pPr>
    </w:p>
    <w:p w14:paraId="54A0ABD8" w14:textId="77777777" w:rsidR="00803D36" w:rsidRDefault="00803D36" w:rsidP="00803D36">
      <w:pPr>
        <w:spacing w:line="240" w:lineRule="auto"/>
        <w:rPr>
          <w:szCs w:val="22"/>
          <w:lang w:val="lt-LT" w:eastAsia="en-GB"/>
        </w:rPr>
      </w:pP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n-GB"/>
        </w:rPr>
        <w:t>būtina atsargiai skirti vartoti pacientams, kuriems yra arba įtariama, kad yra klausos ar pusiausvyros funkcijos sutrikimas. Gydytojai turi apsvarstyti klausos ištyrimo reikalingumą pacientams, kuriems yra bet kokių klausos sutrikimo požymių arba yra padidėjusi klausos sutrikimo pasireiškimo rizika.</w:t>
      </w:r>
    </w:p>
    <w:p w14:paraId="32ED5177" w14:textId="77777777" w:rsidR="00803D36" w:rsidRDefault="00803D36" w:rsidP="00803D36">
      <w:pPr>
        <w:spacing w:line="240" w:lineRule="auto"/>
        <w:rPr>
          <w:szCs w:val="22"/>
          <w:lang w:val="lt-LT"/>
        </w:rPr>
      </w:pPr>
      <w:r>
        <w:rPr>
          <w:szCs w:val="22"/>
          <w:lang w:val="lt-LT"/>
        </w:rPr>
        <w:lastRenderedPageBreak/>
        <w:t xml:space="preserve">Jei gydymo </w:t>
      </w:r>
      <w:proofErr w:type="spellStart"/>
      <w:r>
        <w:rPr>
          <w:bCs/>
          <w:szCs w:val="22"/>
          <w:lang w:val="lt-LT" w:eastAsia="es-ES"/>
        </w:rPr>
        <w:t>aminoglikozidu</w:t>
      </w:r>
      <w:proofErr w:type="spellEnd"/>
      <w:r>
        <w:rPr>
          <w:color w:val="000000"/>
          <w:szCs w:val="22"/>
          <w:lang w:val="lt-LT" w:eastAsia="es-ES"/>
        </w:rPr>
        <w:t xml:space="preserve"> </w:t>
      </w:r>
      <w:r>
        <w:rPr>
          <w:szCs w:val="22"/>
          <w:lang w:val="lt-LT"/>
        </w:rPr>
        <w:t>metu atsiranda ūžesys (</w:t>
      </w:r>
      <w:proofErr w:type="spellStart"/>
      <w:r>
        <w:rPr>
          <w:i/>
          <w:szCs w:val="22"/>
          <w:lang w:val="lt-LT"/>
        </w:rPr>
        <w:t>tinnitus</w:t>
      </w:r>
      <w:proofErr w:type="spellEnd"/>
      <w:r>
        <w:rPr>
          <w:szCs w:val="22"/>
          <w:lang w:val="lt-LT"/>
        </w:rPr>
        <w:t xml:space="preserve">) arba išnyksta klausa, gydytojas turi apsvarstyti, ar nereikia atlikti klausos tyrimų. Pacientai, tuo pat metu gydomi </w:t>
      </w:r>
      <w:proofErr w:type="spellStart"/>
      <w:r>
        <w:rPr>
          <w:szCs w:val="22"/>
          <w:lang w:val="lt-LT"/>
        </w:rPr>
        <w:t>parenteriniu</w:t>
      </w:r>
      <w:proofErr w:type="spellEnd"/>
      <w:r>
        <w:rPr>
          <w:szCs w:val="22"/>
          <w:lang w:val="lt-LT"/>
        </w:rPr>
        <w:t xml:space="preserve"> būdu vartojamais </w:t>
      </w:r>
      <w:proofErr w:type="spellStart"/>
      <w:r>
        <w:rPr>
          <w:szCs w:val="22"/>
          <w:lang w:val="lt-LT"/>
        </w:rPr>
        <w:t>aminoglikozidais</w:t>
      </w:r>
      <w:proofErr w:type="spellEnd"/>
      <w:r>
        <w:rPr>
          <w:szCs w:val="22"/>
          <w:lang w:val="lt-LT"/>
        </w:rPr>
        <w:t>, turi būti stebimi atsižvelgiant į klinikinę būklę, įvertinant kumuliacinio toksinio poveikio riziką.</w:t>
      </w:r>
    </w:p>
    <w:p w14:paraId="555B0D75" w14:textId="77777777" w:rsidR="00803D36" w:rsidRDefault="00803D36" w:rsidP="00803D36">
      <w:pPr>
        <w:spacing w:line="240" w:lineRule="auto"/>
        <w:rPr>
          <w:szCs w:val="22"/>
          <w:lang w:val="lt-LT"/>
        </w:rPr>
      </w:pPr>
      <w:r>
        <w:rPr>
          <w:szCs w:val="22"/>
          <w:lang w:val="lt-LT"/>
        </w:rPr>
        <w:t>Taip pat žr. aukščiau esantį poskyrį „</w:t>
      </w:r>
      <w:proofErr w:type="spellStart"/>
      <w:r>
        <w:rPr>
          <w:szCs w:val="22"/>
          <w:lang w:val="lt-LT"/>
        </w:rPr>
        <w:t>Tobramicino</w:t>
      </w:r>
      <w:proofErr w:type="spellEnd"/>
      <w:r>
        <w:rPr>
          <w:szCs w:val="22"/>
          <w:lang w:val="lt-LT"/>
        </w:rPr>
        <w:t xml:space="preserve"> koncentracijos serume stebėjimas“.</w:t>
      </w:r>
    </w:p>
    <w:p w14:paraId="2120296F" w14:textId="77777777" w:rsidR="00803D36" w:rsidRDefault="00803D36" w:rsidP="00803D36">
      <w:pPr>
        <w:spacing w:line="240" w:lineRule="auto"/>
        <w:rPr>
          <w:szCs w:val="22"/>
          <w:lang w:val="lt-LT"/>
        </w:rPr>
      </w:pPr>
    </w:p>
    <w:p w14:paraId="69E23853" w14:textId="274137CB" w:rsidR="00803D36" w:rsidRPr="00DD5276" w:rsidRDefault="00803D36" w:rsidP="00803D36">
      <w:pPr>
        <w:spacing w:line="240" w:lineRule="auto"/>
        <w:rPr>
          <w:szCs w:val="22"/>
          <w:u w:val="single"/>
          <w:lang w:val="lt-LT"/>
        </w:rPr>
      </w:pPr>
      <w:proofErr w:type="spellStart"/>
      <w:r w:rsidRPr="00342456">
        <w:rPr>
          <w:szCs w:val="22"/>
          <w:u w:val="single"/>
          <w:lang w:val="lt-LT"/>
        </w:rPr>
        <w:t>Hemopt</w:t>
      </w:r>
      <w:r w:rsidR="003570F1" w:rsidRPr="00342456">
        <w:rPr>
          <w:szCs w:val="22"/>
          <w:u w:val="single"/>
          <w:lang w:val="lt-LT"/>
        </w:rPr>
        <w:t>o</w:t>
      </w:r>
      <w:r w:rsidR="008647E8" w:rsidRPr="00342456">
        <w:rPr>
          <w:szCs w:val="22"/>
          <w:u w:val="single"/>
          <w:lang w:val="lt-LT"/>
        </w:rPr>
        <w:t>jė</w:t>
      </w:r>
      <w:proofErr w:type="spellEnd"/>
      <w:r w:rsidRPr="00DD5276">
        <w:rPr>
          <w:szCs w:val="22"/>
          <w:u w:val="single"/>
          <w:lang w:val="lt-LT"/>
        </w:rPr>
        <w:t xml:space="preserve"> </w:t>
      </w:r>
      <w:r w:rsidR="008647E8" w:rsidRPr="00DD5276">
        <w:rPr>
          <w:szCs w:val="22"/>
          <w:u w:val="single"/>
          <w:lang w:val="lt-LT"/>
        </w:rPr>
        <w:t>(</w:t>
      </w:r>
      <w:proofErr w:type="spellStart"/>
      <w:r w:rsidR="008647E8" w:rsidRPr="00DD5276">
        <w:rPr>
          <w:i/>
          <w:szCs w:val="22"/>
          <w:u w:val="single"/>
          <w:lang w:val="lt-LT"/>
        </w:rPr>
        <w:t>haemoptysis</w:t>
      </w:r>
      <w:proofErr w:type="spellEnd"/>
      <w:r w:rsidR="008647E8" w:rsidRPr="00DD5276">
        <w:rPr>
          <w:szCs w:val="22"/>
          <w:u w:val="single"/>
          <w:lang w:val="lt-LT"/>
        </w:rPr>
        <w:t>)</w:t>
      </w:r>
    </w:p>
    <w:p w14:paraId="2697C06A" w14:textId="08E47897" w:rsidR="00803D36" w:rsidRDefault="00803D36" w:rsidP="00803D36">
      <w:pPr>
        <w:spacing w:line="240" w:lineRule="auto"/>
        <w:rPr>
          <w:szCs w:val="22"/>
          <w:lang w:val="lt-LT"/>
        </w:rPr>
      </w:pPr>
      <w:r w:rsidRPr="00DD5276">
        <w:rPr>
          <w:szCs w:val="22"/>
          <w:lang w:val="lt-LT"/>
        </w:rPr>
        <w:t xml:space="preserve">Purškiamojo tirpalo įkvėpimas gali sukelti kosulio refleksą. Pacientams, kuriems yra aktyvi sunki </w:t>
      </w:r>
      <w:proofErr w:type="spellStart"/>
      <w:r w:rsidRPr="00342456">
        <w:rPr>
          <w:szCs w:val="22"/>
          <w:lang w:val="lt-LT"/>
        </w:rPr>
        <w:t>hemop</w:t>
      </w:r>
      <w:r w:rsidRPr="00DD5276">
        <w:rPr>
          <w:szCs w:val="22"/>
          <w:lang w:val="lt-LT"/>
        </w:rPr>
        <w:t>t</w:t>
      </w:r>
      <w:r w:rsidR="003570F1" w:rsidRPr="00DD5276">
        <w:rPr>
          <w:szCs w:val="22"/>
          <w:lang w:val="lt-LT"/>
        </w:rPr>
        <w:t>o</w:t>
      </w:r>
      <w:r w:rsidR="00E6740A" w:rsidRPr="00DD5276">
        <w:rPr>
          <w:szCs w:val="22"/>
          <w:lang w:val="lt-LT"/>
        </w:rPr>
        <w:t>j</w:t>
      </w:r>
      <w:r w:rsidRPr="00DD5276">
        <w:rPr>
          <w:szCs w:val="22"/>
          <w:lang w:val="lt-LT"/>
        </w:rPr>
        <w:t>ė</w:t>
      </w:r>
      <w:proofErr w:type="spellEnd"/>
      <w:r w:rsidRPr="00DD5276">
        <w:rPr>
          <w:szCs w:val="22"/>
          <w:lang w:val="lt-LT"/>
        </w:rPr>
        <w:t>,</w:t>
      </w:r>
      <w:r>
        <w:rPr>
          <w:szCs w:val="22"/>
          <w:lang w:val="lt-LT"/>
        </w:rPr>
        <w:t xml:space="preserve">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galima skirti vartoti tik tuo atveju, jei manoma, kad gydymo nauda bus didesnė už galimą riziką, įskaitant tolesnį kraujavimą.</w:t>
      </w:r>
    </w:p>
    <w:p w14:paraId="26BD6A71" w14:textId="77777777" w:rsidR="00803D36" w:rsidRDefault="00803D36" w:rsidP="00803D36">
      <w:pPr>
        <w:spacing w:line="240" w:lineRule="auto"/>
        <w:rPr>
          <w:szCs w:val="22"/>
          <w:lang w:val="lt-LT"/>
        </w:rPr>
      </w:pPr>
    </w:p>
    <w:p w14:paraId="4BA932EA" w14:textId="77777777" w:rsidR="00803D36" w:rsidRDefault="00803D36" w:rsidP="00803D36">
      <w:pPr>
        <w:spacing w:line="240" w:lineRule="auto"/>
        <w:rPr>
          <w:szCs w:val="22"/>
          <w:u w:val="single"/>
          <w:lang w:val="lt-LT"/>
        </w:rPr>
      </w:pPr>
      <w:r>
        <w:rPr>
          <w:szCs w:val="22"/>
          <w:u w:val="single"/>
          <w:lang w:val="lt-LT"/>
        </w:rPr>
        <w:t>Mikrobiologinis atsparumas</w:t>
      </w:r>
    </w:p>
    <w:p w14:paraId="351307E3" w14:textId="77777777" w:rsidR="00803D36" w:rsidRDefault="00803D36" w:rsidP="00803D36">
      <w:pPr>
        <w:spacing w:line="240" w:lineRule="auto"/>
        <w:rPr>
          <w:szCs w:val="22"/>
          <w:lang w:val="lt-LT"/>
        </w:rPr>
      </w:pPr>
      <w:r w:rsidRPr="0016619B">
        <w:rPr>
          <w:szCs w:val="22"/>
          <w:lang w:val="es-ES"/>
        </w:rPr>
        <w:t xml:space="preserve">Saugumas ir veiksmingumas nebuvo tirtas pacientams, užkrėstiems </w:t>
      </w:r>
      <w:r w:rsidRPr="0016619B">
        <w:rPr>
          <w:i/>
          <w:szCs w:val="22"/>
          <w:lang w:val="es-ES"/>
        </w:rPr>
        <w:t>Burkholderia cepacia</w:t>
      </w:r>
      <w:r w:rsidRPr="0016619B">
        <w:rPr>
          <w:szCs w:val="22"/>
          <w:lang w:val="es-ES"/>
        </w:rPr>
        <w:t>.</w:t>
      </w:r>
    </w:p>
    <w:p w14:paraId="362250E1" w14:textId="77777777" w:rsidR="00803D36" w:rsidRDefault="00803D36" w:rsidP="00803D36">
      <w:pPr>
        <w:spacing w:line="240" w:lineRule="auto"/>
        <w:rPr>
          <w:szCs w:val="22"/>
          <w:lang w:val="lt-LT"/>
        </w:rPr>
      </w:pPr>
      <w:r>
        <w:rPr>
          <w:szCs w:val="22"/>
          <w:lang w:val="lt-LT"/>
        </w:rPr>
        <w:t xml:space="preserve">Klinikinių tyrimų metu kai kuriems pacientams, gydytiems purškiamuoju </w:t>
      </w:r>
      <w:proofErr w:type="spellStart"/>
      <w:r>
        <w:rPr>
          <w:szCs w:val="22"/>
          <w:lang w:val="lt-LT"/>
        </w:rPr>
        <w:t>tobramicinu</w:t>
      </w:r>
      <w:proofErr w:type="spellEnd"/>
      <w:r>
        <w:rPr>
          <w:szCs w:val="22"/>
          <w:lang w:val="lt-LT"/>
        </w:rPr>
        <w:t xml:space="preserve">, padidėjo </w:t>
      </w:r>
      <w:proofErr w:type="spellStart"/>
      <w:r>
        <w:rPr>
          <w:szCs w:val="22"/>
          <w:lang w:val="lt-LT"/>
        </w:rPr>
        <w:t>aminoglikozidų</w:t>
      </w:r>
      <w:proofErr w:type="spellEnd"/>
      <w:r>
        <w:rPr>
          <w:szCs w:val="22"/>
          <w:lang w:val="lt-LT"/>
        </w:rPr>
        <w:t xml:space="preserve"> minimali slopinamoji koncentracija tirtoms išskirtoms </w:t>
      </w:r>
      <w:r>
        <w:rPr>
          <w:i/>
          <w:szCs w:val="22"/>
          <w:lang w:val="lt-LT"/>
        </w:rPr>
        <w:t xml:space="preserve">P. </w:t>
      </w:r>
      <w:proofErr w:type="spellStart"/>
      <w:r>
        <w:rPr>
          <w:i/>
          <w:szCs w:val="22"/>
          <w:lang w:val="lt-LT"/>
        </w:rPr>
        <w:t>aeruginosa</w:t>
      </w:r>
      <w:proofErr w:type="spellEnd"/>
      <w:r>
        <w:rPr>
          <w:szCs w:val="22"/>
          <w:lang w:val="lt-LT"/>
        </w:rPr>
        <w:t xml:space="preserve"> padermėms. Yra teorinė rizika, kad pacientams, vartojantiems purškiamojo </w:t>
      </w:r>
      <w:proofErr w:type="spellStart"/>
      <w:r>
        <w:rPr>
          <w:szCs w:val="22"/>
          <w:lang w:val="lt-LT"/>
        </w:rPr>
        <w:t>tobramicino</w:t>
      </w:r>
      <w:proofErr w:type="spellEnd"/>
      <w:r>
        <w:rPr>
          <w:szCs w:val="22"/>
          <w:lang w:val="lt-LT"/>
        </w:rPr>
        <w:t xml:space="preserve">, gali atsirasti </w:t>
      </w:r>
      <w:r>
        <w:rPr>
          <w:i/>
          <w:szCs w:val="22"/>
          <w:lang w:val="lt-LT"/>
        </w:rPr>
        <w:t xml:space="preserve">P. </w:t>
      </w:r>
      <w:proofErr w:type="spellStart"/>
      <w:r>
        <w:rPr>
          <w:i/>
          <w:szCs w:val="22"/>
          <w:lang w:val="lt-LT"/>
        </w:rPr>
        <w:t>aeruginosa</w:t>
      </w:r>
      <w:proofErr w:type="spellEnd"/>
      <w:r>
        <w:rPr>
          <w:szCs w:val="22"/>
          <w:lang w:val="lt-LT"/>
        </w:rPr>
        <w:t xml:space="preserve"> padermių, atsparių į veną vartojamam </w:t>
      </w:r>
      <w:proofErr w:type="spellStart"/>
      <w:r>
        <w:rPr>
          <w:szCs w:val="22"/>
          <w:lang w:val="lt-LT"/>
        </w:rPr>
        <w:t>tobramicinui</w:t>
      </w:r>
      <w:proofErr w:type="spellEnd"/>
      <w:r>
        <w:rPr>
          <w:szCs w:val="22"/>
          <w:lang w:val="lt-LT"/>
        </w:rPr>
        <w:t xml:space="preserve"> (žr. 5.1 skyrių).</w:t>
      </w:r>
    </w:p>
    <w:p w14:paraId="5D85912B" w14:textId="77777777" w:rsidR="00803D36" w:rsidRDefault="00803D36" w:rsidP="00803D36">
      <w:pPr>
        <w:spacing w:line="240" w:lineRule="auto"/>
        <w:rPr>
          <w:szCs w:val="22"/>
          <w:lang w:val="lt-LT"/>
        </w:rPr>
      </w:pPr>
    </w:p>
    <w:p w14:paraId="681EF8C2"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073A1807" w14:textId="77777777" w:rsidR="00803D36" w:rsidRDefault="00803D36" w:rsidP="00803D36">
      <w:pPr>
        <w:spacing w:line="240" w:lineRule="auto"/>
        <w:rPr>
          <w:szCs w:val="22"/>
          <w:lang w:val="lt-LT"/>
        </w:rPr>
      </w:pPr>
    </w:p>
    <w:p w14:paraId="5AB86715" w14:textId="77777777" w:rsidR="00803D36" w:rsidRDefault="00803D36" w:rsidP="00803D36">
      <w:pPr>
        <w:spacing w:line="240" w:lineRule="auto"/>
        <w:rPr>
          <w:szCs w:val="22"/>
          <w:lang w:val="lt-LT"/>
        </w:rPr>
      </w:pP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color w:val="000000"/>
          <w:szCs w:val="22"/>
          <w:lang w:val="lt-LT" w:eastAsia="es-ES"/>
        </w:rPr>
        <w:t>s</w:t>
      </w:r>
      <w:r>
        <w:rPr>
          <w:szCs w:val="22"/>
          <w:lang w:val="lt-LT"/>
        </w:rPr>
        <w:t>ąveikos tyrimų neatlikta.</w:t>
      </w:r>
    </w:p>
    <w:p w14:paraId="6F5786B7" w14:textId="77777777" w:rsidR="00803D36" w:rsidRDefault="00803D36" w:rsidP="00803D36">
      <w:pPr>
        <w:spacing w:line="240" w:lineRule="auto"/>
        <w:rPr>
          <w:szCs w:val="22"/>
          <w:lang w:val="lt-LT"/>
        </w:rPr>
      </w:pPr>
    </w:p>
    <w:p w14:paraId="0BD7FE83" w14:textId="77777777" w:rsidR="00803D36" w:rsidRDefault="00803D36" w:rsidP="00803D36">
      <w:pPr>
        <w:spacing w:line="240" w:lineRule="auto"/>
        <w:rPr>
          <w:szCs w:val="22"/>
          <w:lang w:val="lt-LT"/>
        </w:rPr>
      </w:pPr>
      <w:r>
        <w:rPr>
          <w:szCs w:val="22"/>
          <w:lang w:val="lt-LT"/>
        </w:rPr>
        <w:t xml:space="preserve">Klinikinių tyrimų metu pacientams, purškiamojo </w:t>
      </w:r>
      <w:proofErr w:type="spellStart"/>
      <w:r>
        <w:rPr>
          <w:szCs w:val="22"/>
          <w:lang w:val="lt-LT"/>
        </w:rPr>
        <w:t>tobramicino</w:t>
      </w:r>
      <w:proofErr w:type="spellEnd"/>
      <w:r>
        <w:rPr>
          <w:szCs w:val="22"/>
          <w:lang w:val="lt-LT"/>
        </w:rPr>
        <w:t xml:space="preserve"> vartojusiems kartu su </w:t>
      </w:r>
      <w:proofErr w:type="spellStart"/>
      <w:r>
        <w:rPr>
          <w:szCs w:val="22"/>
          <w:lang w:val="lt-LT"/>
        </w:rPr>
        <w:t>dornaze</w:t>
      </w:r>
      <w:proofErr w:type="spellEnd"/>
      <w:r>
        <w:rPr>
          <w:szCs w:val="22"/>
          <w:lang w:val="lt-LT"/>
        </w:rPr>
        <w:t xml:space="preserve"> alfa, β-</w:t>
      </w:r>
      <w:proofErr w:type="spellStart"/>
      <w:r>
        <w:rPr>
          <w:szCs w:val="22"/>
          <w:lang w:val="lt-LT"/>
        </w:rPr>
        <w:t>agonistais</w:t>
      </w:r>
      <w:proofErr w:type="spellEnd"/>
      <w:r>
        <w:rPr>
          <w:szCs w:val="22"/>
          <w:lang w:val="lt-LT"/>
        </w:rPr>
        <w:t xml:space="preserve">, įkvepiamaisiais kortikosteroidais ir kitais geriamaisiais ar </w:t>
      </w:r>
      <w:proofErr w:type="spellStart"/>
      <w:r>
        <w:rPr>
          <w:szCs w:val="22"/>
          <w:lang w:val="lt-LT"/>
        </w:rPr>
        <w:t>parenteriniu</w:t>
      </w:r>
      <w:proofErr w:type="spellEnd"/>
      <w:r>
        <w:rPr>
          <w:szCs w:val="22"/>
          <w:lang w:val="lt-LT"/>
        </w:rPr>
        <w:t xml:space="preserve"> būdu vartojamais </w:t>
      </w:r>
      <w:proofErr w:type="spellStart"/>
      <w:r>
        <w:rPr>
          <w:szCs w:val="22"/>
          <w:lang w:val="lt-LT"/>
        </w:rPr>
        <w:t>antipseudomoniniais</w:t>
      </w:r>
      <w:proofErr w:type="spellEnd"/>
      <w:r>
        <w:rPr>
          <w:szCs w:val="22"/>
          <w:lang w:val="lt-LT"/>
        </w:rPr>
        <w:t xml:space="preserve"> antibiotikais, nustatytos nepageidaujamo poveikio savybės buvo panašios į nustatytas kontrolinės grupės pacientams.</w:t>
      </w:r>
    </w:p>
    <w:p w14:paraId="784BADF2" w14:textId="77777777" w:rsidR="00803D36" w:rsidRDefault="00803D36" w:rsidP="00803D36">
      <w:pPr>
        <w:spacing w:line="240" w:lineRule="auto"/>
        <w:rPr>
          <w:szCs w:val="22"/>
          <w:lang w:val="lt-LT"/>
        </w:rPr>
      </w:pPr>
    </w:p>
    <w:p w14:paraId="0A5D0C43" w14:textId="77777777" w:rsidR="00803D36" w:rsidRDefault="00803D36" w:rsidP="00803D36">
      <w:pPr>
        <w:spacing w:line="240" w:lineRule="auto"/>
        <w:rPr>
          <w:szCs w:val="22"/>
          <w:lang w:val="lt-LT"/>
        </w:rPr>
      </w:pP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rPr>
        <w:t xml:space="preserve">reikia vengti vartoti kartu (ar vieną po kito) su kitais </w:t>
      </w:r>
      <w:proofErr w:type="spellStart"/>
      <w:r>
        <w:rPr>
          <w:szCs w:val="22"/>
          <w:lang w:val="lt-LT"/>
        </w:rPr>
        <w:t>neurotoksinį</w:t>
      </w:r>
      <w:proofErr w:type="spellEnd"/>
      <w:r>
        <w:rPr>
          <w:szCs w:val="22"/>
          <w:lang w:val="lt-LT"/>
        </w:rPr>
        <w:t xml:space="preserve">, </w:t>
      </w:r>
      <w:proofErr w:type="spellStart"/>
      <w:r>
        <w:rPr>
          <w:szCs w:val="22"/>
          <w:lang w:val="lt-LT"/>
        </w:rPr>
        <w:t>nefrotoksinį</w:t>
      </w:r>
      <w:proofErr w:type="spellEnd"/>
      <w:r>
        <w:rPr>
          <w:szCs w:val="22"/>
          <w:lang w:val="lt-LT"/>
        </w:rPr>
        <w:t xml:space="preserve"> ar </w:t>
      </w:r>
      <w:proofErr w:type="spellStart"/>
      <w:r>
        <w:rPr>
          <w:szCs w:val="22"/>
          <w:lang w:val="lt-LT"/>
        </w:rPr>
        <w:t>ototoksinį</w:t>
      </w:r>
      <w:proofErr w:type="spellEnd"/>
      <w:r>
        <w:rPr>
          <w:szCs w:val="22"/>
          <w:lang w:val="lt-LT"/>
        </w:rPr>
        <w:t xml:space="preserve"> poveikį sukelti galinčiais vaistiniais preparatais. Kai kurie diuretikai gali stiprinti toksinį </w:t>
      </w:r>
      <w:proofErr w:type="spellStart"/>
      <w:r>
        <w:rPr>
          <w:szCs w:val="22"/>
          <w:lang w:val="lt-LT"/>
        </w:rPr>
        <w:t>aminoglikozidų</w:t>
      </w:r>
      <w:proofErr w:type="spellEnd"/>
      <w:r>
        <w:rPr>
          <w:szCs w:val="22"/>
          <w:lang w:val="lt-LT"/>
        </w:rPr>
        <w:t xml:space="preserve"> poveikį, nes keičia antibiotiko koncentraciją serume ir audiniuose.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negalima vartoti kartu su </w:t>
      </w:r>
      <w:proofErr w:type="spellStart"/>
      <w:r>
        <w:rPr>
          <w:szCs w:val="22"/>
          <w:lang w:val="lt-LT"/>
        </w:rPr>
        <w:t>furozemidu</w:t>
      </w:r>
      <w:proofErr w:type="spellEnd"/>
      <w:r>
        <w:rPr>
          <w:szCs w:val="22"/>
          <w:lang w:val="lt-LT"/>
        </w:rPr>
        <w:t xml:space="preserve">, šlapalu ar </w:t>
      </w:r>
      <w:proofErr w:type="spellStart"/>
      <w:r>
        <w:rPr>
          <w:szCs w:val="22"/>
          <w:lang w:val="lt-LT"/>
        </w:rPr>
        <w:t>manitoliu</w:t>
      </w:r>
      <w:proofErr w:type="spellEnd"/>
      <w:r>
        <w:rPr>
          <w:szCs w:val="22"/>
          <w:lang w:val="lt-LT"/>
        </w:rPr>
        <w:t>.</w:t>
      </w:r>
    </w:p>
    <w:p w14:paraId="2EAC16D2" w14:textId="77777777" w:rsidR="00803D36" w:rsidRDefault="00803D36" w:rsidP="00803D36">
      <w:pPr>
        <w:spacing w:line="240" w:lineRule="auto"/>
        <w:rPr>
          <w:szCs w:val="22"/>
          <w:lang w:val="lt-LT"/>
        </w:rPr>
      </w:pPr>
    </w:p>
    <w:p w14:paraId="1AF43DC6" w14:textId="77777777" w:rsidR="00803D36" w:rsidRDefault="00803D36" w:rsidP="00803D36">
      <w:pPr>
        <w:spacing w:line="240" w:lineRule="auto"/>
        <w:rPr>
          <w:szCs w:val="22"/>
          <w:lang w:val="lt-LT"/>
        </w:rPr>
      </w:pPr>
      <w:r>
        <w:rPr>
          <w:szCs w:val="22"/>
          <w:lang w:val="lt-LT"/>
        </w:rPr>
        <w:t xml:space="preserve">Gauta duomenų, kad </w:t>
      </w:r>
      <w:proofErr w:type="spellStart"/>
      <w:r>
        <w:rPr>
          <w:szCs w:val="22"/>
          <w:lang w:val="lt-LT"/>
        </w:rPr>
        <w:t>parenteriniu</w:t>
      </w:r>
      <w:proofErr w:type="spellEnd"/>
      <w:r>
        <w:rPr>
          <w:szCs w:val="22"/>
          <w:lang w:val="lt-LT"/>
        </w:rPr>
        <w:t xml:space="preserve"> būdu vartojamų </w:t>
      </w:r>
      <w:proofErr w:type="spellStart"/>
      <w:r>
        <w:rPr>
          <w:szCs w:val="22"/>
          <w:lang w:val="lt-LT"/>
        </w:rPr>
        <w:t>aminoglikozidų</w:t>
      </w:r>
      <w:proofErr w:type="spellEnd"/>
      <w:r>
        <w:rPr>
          <w:szCs w:val="22"/>
          <w:lang w:val="lt-LT"/>
        </w:rPr>
        <w:t xml:space="preserve"> toksinį poveikį gali padidinti ir kitokie vaistiniai preparatai, įskaitant </w:t>
      </w:r>
      <w:proofErr w:type="spellStart"/>
      <w:r>
        <w:rPr>
          <w:szCs w:val="22"/>
          <w:lang w:val="lt-LT"/>
        </w:rPr>
        <w:t>amfotericiną</w:t>
      </w:r>
      <w:proofErr w:type="spellEnd"/>
      <w:r>
        <w:rPr>
          <w:szCs w:val="22"/>
          <w:lang w:val="lt-LT"/>
        </w:rPr>
        <w:t xml:space="preserve"> B, </w:t>
      </w:r>
      <w:proofErr w:type="spellStart"/>
      <w:r>
        <w:rPr>
          <w:szCs w:val="22"/>
          <w:lang w:val="lt-LT"/>
        </w:rPr>
        <w:t>cefalotiną</w:t>
      </w:r>
      <w:proofErr w:type="spellEnd"/>
      <w:r>
        <w:rPr>
          <w:szCs w:val="22"/>
          <w:lang w:val="lt-LT"/>
        </w:rPr>
        <w:t xml:space="preserve">, </w:t>
      </w:r>
      <w:proofErr w:type="spellStart"/>
      <w:r>
        <w:rPr>
          <w:szCs w:val="22"/>
          <w:lang w:val="lt-LT"/>
        </w:rPr>
        <w:t>ciklosporiną</w:t>
      </w:r>
      <w:proofErr w:type="spellEnd"/>
      <w:r>
        <w:rPr>
          <w:szCs w:val="22"/>
          <w:lang w:val="lt-LT"/>
        </w:rPr>
        <w:t xml:space="preserve">, </w:t>
      </w:r>
      <w:proofErr w:type="spellStart"/>
      <w:r>
        <w:rPr>
          <w:szCs w:val="22"/>
          <w:lang w:val="lt-LT"/>
        </w:rPr>
        <w:t>takrolimuzą</w:t>
      </w:r>
      <w:proofErr w:type="spellEnd"/>
      <w:r>
        <w:rPr>
          <w:szCs w:val="22"/>
          <w:lang w:val="lt-LT"/>
        </w:rPr>
        <w:t xml:space="preserve">, </w:t>
      </w:r>
      <w:proofErr w:type="spellStart"/>
      <w:r>
        <w:rPr>
          <w:szCs w:val="22"/>
          <w:lang w:val="lt-LT"/>
        </w:rPr>
        <w:t>polimiksiną</w:t>
      </w:r>
      <w:proofErr w:type="spellEnd"/>
      <w:r>
        <w:rPr>
          <w:szCs w:val="22"/>
          <w:lang w:val="lt-LT"/>
        </w:rPr>
        <w:t xml:space="preserve"> (didėja </w:t>
      </w:r>
      <w:proofErr w:type="spellStart"/>
      <w:r>
        <w:rPr>
          <w:szCs w:val="22"/>
          <w:lang w:val="lt-LT"/>
        </w:rPr>
        <w:t>nefrotoksinio</w:t>
      </w:r>
      <w:proofErr w:type="spellEnd"/>
      <w:r>
        <w:rPr>
          <w:szCs w:val="22"/>
          <w:lang w:val="lt-LT"/>
        </w:rPr>
        <w:t xml:space="preserve"> poveikio rizika), platinos darinius (didėja </w:t>
      </w:r>
      <w:proofErr w:type="spellStart"/>
      <w:r>
        <w:rPr>
          <w:szCs w:val="22"/>
          <w:lang w:val="lt-LT"/>
        </w:rPr>
        <w:t>nefrotoksinio</w:t>
      </w:r>
      <w:proofErr w:type="spellEnd"/>
      <w:r>
        <w:rPr>
          <w:szCs w:val="22"/>
          <w:lang w:val="lt-LT"/>
        </w:rPr>
        <w:t xml:space="preserve"> ir </w:t>
      </w:r>
      <w:proofErr w:type="spellStart"/>
      <w:r>
        <w:rPr>
          <w:szCs w:val="22"/>
          <w:lang w:val="lt-LT"/>
        </w:rPr>
        <w:t>ototoksinio</w:t>
      </w:r>
      <w:proofErr w:type="spellEnd"/>
      <w:r>
        <w:rPr>
          <w:szCs w:val="22"/>
          <w:lang w:val="lt-LT"/>
        </w:rPr>
        <w:t xml:space="preserve"> poveikio rizika), </w:t>
      </w:r>
      <w:proofErr w:type="spellStart"/>
      <w:r>
        <w:rPr>
          <w:szCs w:val="22"/>
          <w:lang w:val="lt-LT"/>
        </w:rPr>
        <w:t>cholinesterazės</w:t>
      </w:r>
      <w:proofErr w:type="spellEnd"/>
      <w:r>
        <w:rPr>
          <w:szCs w:val="22"/>
          <w:lang w:val="lt-LT"/>
        </w:rPr>
        <w:t xml:space="preserve"> inhibitorius ir </w:t>
      </w:r>
      <w:proofErr w:type="spellStart"/>
      <w:r>
        <w:rPr>
          <w:szCs w:val="22"/>
          <w:lang w:val="lt-LT"/>
        </w:rPr>
        <w:t>botulino</w:t>
      </w:r>
      <w:proofErr w:type="spellEnd"/>
      <w:r>
        <w:rPr>
          <w:szCs w:val="22"/>
          <w:lang w:val="lt-LT"/>
        </w:rPr>
        <w:t xml:space="preserve"> toksiną (poveikis nervams ir raumenims).</w:t>
      </w:r>
    </w:p>
    <w:p w14:paraId="26F29359" w14:textId="77777777" w:rsidR="00803D36" w:rsidRDefault="00803D36" w:rsidP="00803D36">
      <w:pPr>
        <w:spacing w:line="240" w:lineRule="auto"/>
        <w:rPr>
          <w:szCs w:val="22"/>
          <w:lang w:val="lt-LT"/>
        </w:rPr>
      </w:pPr>
    </w:p>
    <w:p w14:paraId="430B7C92"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4.6</w:t>
      </w:r>
      <w:r>
        <w:rPr>
          <w:rFonts w:ascii="Times New Roman" w:hAnsi="Times New Roman"/>
          <w:sz w:val="22"/>
          <w:szCs w:val="22"/>
          <w:lang w:val="lt-LT"/>
        </w:rPr>
        <w:tab/>
        <w:t>Vaisingumas, nėštumo ir žindymo laikotarpis</w:t>
      </w:r>
    </w:p>
    <w:p w14:paraId="2AB6D292" w14:textId="77777777" w:rsidR="00803D36" w:rsidRDefault="00803D36" w:rsidP="00803D36">
      <w:pPr>
        <w:spacing w:line="240" w:lineRule="auto"/>
        <w:rPr>
          <w:szCs w:val="22"/>
          <w:lang w:val="lt-LT"/>
        </w:rPr>
      </w:pPr>
    </w:p>
    <w:p w14:paraId="42B8E33C" w14:textId="77777777" w:rsidR="00803D36" w:rsidRDefault="00803D36" w:rsidP="00803D36">
      <w:pPr>
        <w:spacing w:line="240" w:lineRule="auto"/>
        <w:rPr>
          <w:color w:val="0D0D0D"/>
          <w:szCs w:val="22"/>
          <w:lang w:val="lt-LT"/>
        </w:rPr>
      </w:pP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color w:val="0D0D0D"/>
          <w:szCs w:val="22"/>
          <w:lang w:val="lt-LT"/>
        </w:rPr>
        <w:t>nėštumo ir žindymo laikotarpiu galima vartoti tik tuo atveju, jei nauda moteriai yra didesnė už riziką vaisiui ar kūdikiui.</w:t>
      </w:r>
    </w:p>
    <w:p w14:paraId="49F2577A" w14:textId="77777777" w:rsidR="00803D36" w:rsidRDefault="00803D36" w:rsidP="00803D36">
      <w:pPr>
        <w:spacing w:line="240" w:lineRule="auto"/>
        <w:rPr>
          <w:color w:val="0D0D0D"/>
          <w:szCs w:val="22"/>
          <w:lang w:val="lt-LT"/>
        </w:rPr>
      </w:pPr>
    </w:p>
    <w:p w14:paraId="7112C5A0" w14:textId="77777777" w:rsidR="00803D36" w:rsidRDefault="00803D36" w:rsidP="00803D36">
      <w:pPr>
        <w:spacing w:line="240" w:lineRule="auto"/>
        <w:rPr>
          <w:color w:val="0D0D0D"/>
          <w:szCs w:val="22"/>
          <w:u w:val="single"/>
          <w:lang w:val="lt-LT"/>
        </w:rPr>
      </w:pPr>
      <w:r>
        <w:rPr>
          <w:color w:val="0D0D0D"/>
          <w:szCs w:val="22"/>
          <w:u w:val="single"/>
          <w:lang w:val="lt-LT"/>
        </w:rPr>
        <w:t>Nėštumas</w:t>
      </w:r>
    </w:p>
    <w:p w14:paraId="783470F3" w14:textId="77777777" w:rsidR="00803D36" w:rsidRDefault="00803D36" w:rsidP="00803D36">
      <w:pPr>
        <w:spacing w:line="240" w:lineRule="auto"/>
        <w:rPr>
          <w:color w:val="0D0D0D"/>
          <w:szCs w:val="22"/>
          <w:lang w:val="lt-LT"/>
        </w:rPr>
      </w:pPr>
      <w:r>
        <w:rPr>
          <w:color w:val="0D0D0D"/>
          <w:szCs w:val="22"/>
          <w:lang w:val="lt-LT"/>
        </w:rPr>
        <w:t xml:space="preserve">Reikiamų duomenų apie įkvepiamojo </w:t>
      </w:r>
      <w:proofErr w:type="spellStart"/>
      <w:r>
        <w:rPr>
          <w:color w:val="0D0D0D"/>
          <w:szCs w:val="22"/>
          <w:lang w:val="lt-LT"/>
        </w:rPr>
        <w:t>tobramicino</w:t>
      </w:r>
      <w:proofErr w:type="spellEnd"/>
      <w:r>
        <w:rPr>
          <w:color w:val="0D0D0D"/>
          <w:szCs w:val="22"/>
          <w:lang w:val="lt-LT"/>
        </w:rPr>
        <w:t xml:space="preserve"> vartojimą nėštumo metu nėra. Su gyvūnais atlikti tyrimai </w:t>
      </w:r>
      <w:proofErr w:type="spellStart"/>
      <w:r>
        <w:rPr>
          <w:color w:val="0D0D0D"/>
          <w:szCs w:val="22"/>
          <w:lang w:val="lt-LT"/>
        </w:rPr>
        <w:t>teratogeninio</w:t>
      </w:r>
      <w:proofErr w:type="spellEnd"/>
      <w:r>
        <w:rPr>
          <w:color w:val="0D0D0D"/>
          <w:szCs w:val="22"/>
          <w:lang w:val="lt-LT"/>
        </w:rPr>
        <w:t xml:space="preserve"> </w:t>
      </w:r>
      <w:proofErr w:type="spellStart"/>
      <w:r>
        <w:rPr>
          <w:color w:val="0D0D0D"/>
          <w:szCs w:val="22"/>
          <w:lang w:val="lt-LT"/>
        </w:rPr>
        <w:t>tobramicino</w:t>
      </w:r>
      <w:proofErr w:type="spellEnd"/>
      <w:r>
        <w:rPr>
          <w:color w:val="0D0D0D"/>
          <w:szCs w:val="22"/>
          <w:lang w:val="lt-LT"/>
        </w:rPr>
        <w:t xml:space="preserve"> poveikio neparodė (žr. 5.3 skyrių). Vis dėlto, jei nėščios moters organizme sisteminė </w:t>
      </w:r>
      <w:proofErr w:type="spellStart"/>
      <w:r>
        <w:rPr>
          <w:color w:val="0D0D0D"/>
          <w:szCs w:val="22"/>
          <w:lang w:val="lt-LT"/>
        </w:rPr>
        <w:t>aminoglikozidų</w:t>
      </w:r>
      <w:proofErr w:type="spellEnd"/>
      <w:r>
        <w:rPr>
          <w:color w:val="0D0D0D"/>
          <w:szCs w:val="22"/>
          <w:lang w:val="lt-LT"/>
        </w:rPr>
        <w:t xml:space="preserve"> koncentracija tampa didelė, vaisiui gali pasireikšti žalingas poveikis (pvz., gali atsirasti įgimtas kurtumas). Jei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color w:val="0D0D0D"/>
          <w:szCs w:val="22"/>
          <w:lang w:val="lt-LT"/>
        </w:rPr>
        <w:t xml:space="preserve">vartojama nėštumo laikotarpiu arba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color w:val="0D0D0D"/>
          <w:szCs w:val="22"/>
          <w:lang w:val="lt-LT"/>
        </w:rPr>
        <w:t>vartojimo metu pastojama, moteris turi būti informuota apie galimą žalą vaisiui.</w:t>
      </w:r>
    </w:p>
    <w:p w14:paraId="0EDE14CA" w14:textId="77777777" w:rsidR="00803D36" w:rsidRDefault="00803D36" w:rsidP="00803D36">
      <w:pPr>
        <w:spacing w:line="240" w:lineRule="auto"/>
        <w:rPr>
          <w:color w:val="0D0D0D"/>
          <w:szCs w:val="22"/>
          <w:lang w:val="lt-LT"/>
        </w:rPr>
      </w:pPr>
    </w:p>
    <w:p w14:paraId="78D03C42" w14:textId="77777777" w:rsidR="00803D36" w:rsidRDefault="00803D36" w:rsidP="00803D36">
      <w:pPr>
        <w:spacing w:line="240" w:lineRule="auto"/>
        <w:rPr>
          <w:color w:val="0D0D0D"/>
          <w:szCs w:val="22"/>
          <w:u w:val="single"/>
          <w:lang w:val="lt-LT"/>
        </w:rPr>
      </w:pPr>
      <w:r>
        <w:rPr>
          <w:color w:val="0D0D0D"/>
          <w:szCs w:val="22"/>
          <w:u w:val="single"/>
          <w:lang w:val="lt-LT"/>
        </w:rPr>
        <w:t>Žindymas</w:t>
      </w:r>
    </w:p>
    <w:p w14:paraId="67A496A0" w14:textId="3FF2F82C" w:rsidR="00803D36" w:rsidRDefault="00803D36" w:rsidP="00803D36">
      <w:pPr>
        <w:spacing w:line="240" w:lineRule="auto"/>
        <w:rPr>
          <w:color w:val="0D0D0D"/>
          <w:szCs w:val="22"/>
          <w:lang w:val="lt-LT"/>
        </w:rPr>
      </w:pPr>
      <w:r>
        <w:rPr>
          <w:color w:val="0D0D0D"/>
          <w:szCs w:val="22"/>
          <w:lang w:val="lt-LT"/>
        </w:rPr>
        <w:t xml:space="preserve">Sisteminio poveikio </w:t>
      </w:r>
      <w:proofErr w:type="spellStart"/>
      <w:r>
        <w:rPr>
          <w:color w:val="0D0D0D"/>
          <w:szCs w:val="22"/>
          <w:lang w:val="lt-LT"/>
        </w:rPr>
        <w:t>tobramicino</w:t>
      </w:r>
      <w:proofErr w:type="spellEnd"/>
      <w:r>
        <w:rPr>
          <w:color w:val="0D0D0D"/>
          <w:szCs w:val="22"/>
          <w:lang w:val="lt-LT"/>
        </w:rPr>
        <w:t xml:space="preserve"> išsiskiria į motinos pieną. Ar vartojant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proofErr w:type="spellStart"/>
      <w:r>
        <w:rPr>
          <w:color w:val="0D0D0D"/>
          <w:szCs w:val="22"/>
          <w:lang w:val="lt-LT"/>
        </w:rPr>
        <w:t>tobramicino</w:t>
      </w:r>
      <w:proofErr w:type="spellEnd"/>
      <w:r>
        <w:rPr>
          <w:color w:val="0D0D0D"/>
          <w:szCs w:val="22"/>
          <w:lang w:val="lt-LT"/>
        </w:rPr>
        <w:t xml:space="preserve"> koncentracija serume būna pakankamai didelė, kad </w:t>
      </w:r>
      <w:proofErr w:type="spellStart"/>
      <w:r>
        <w:rPr>
          <w:color w:val="0D0D0D"/>
          <w:szCs w:val="22"/>
          <w:lang w:val="lt-LT"/>
        </w:rPr>
        <w:t>tobramicino</w:t>
      </w:r>
      <w:proofErr w:type="spellEnd"/>
      <w:r>
        <w:rPr>
          <w:color w:val="0D0D0D"/>
          <w:szCs w:val="22"/>
          <w:lang w:val="lt-LT"/>
        </w:rPr>
        <w:t xml:space="preserve"> būtų galima nustatyti moters piene, nežinoma. Kadangi </w:t>
      </w:r>
      <w:proofErr w:type="spellStart"/>
      <w:r>
        <w:rPr>
          <w:color w:val="0D0D0D"/>
          <w:szCs w:val="22"/>
          <w:lang w:val="lt-LT"/>
        </w:rPr>
        <w:t>tobramicinas</w:t>
      </w:r>
      <w:proofErr w:type="spellEnd"/>
      <w:r>
        <w:rPr>
          <w:color w:val="0D0D0D"/>
          <w:szCs w:val="22"/>
          <w:lang w:val="lt-LT"/>
        </w:rPr>
        <w:t xml:space="preserve"> kūdikiui gali sukelti </w:t>
      </w:r>
      <w:proofErr w:type="spellStart"/>
      <w:r>
        <w:rPr>
          <w:color w:val="0D0D0D"/>
          <w:szCs w:val="22"/>
          <w:lang w:val="lt-LT"/>
        </w:rPr>
        <w:t>ototoksinį</w:t>
      </w:r>
      <w:proofErr w:type="spellEnd"/>
      <w:r>
        <w:rPr>
          <w:color w:val="0D0D0D"/>
          <w:szCs w:val="22"/>
          <w:lang w:val="lt-LT"/>
        </w:rPr>
        <w:t xml:space="preserve"> ir </w:t>
      </w:r>
      <w:proofErr w:type="spellStart"/>
      <w:r>
        <w:rPr>
          <w:color w:val="0D0D0D"/>
          <w:szCs w:val="22"/>
          <w:lang w:val="lt-LT"/>
        </w:rPr>
        <w:t>nefrotoksinį</w:t>
      </w:r>
      <w:proofErr w:type="spellEnd"/>
      <w:r>
        <w:rPr>
          <w:color w:val="0D0D0D"/>
          <w:szCs w:val="22"/>
          <w:lang w:val="lt-LT"/>
        </w:rPr>
        <w:t xml:space="preserve"> poveikį, būtina nuspręsti, ar nutraukti maitinimą krūtimi, ar gydymą </w:t>
      </w:r>
      <w:proofErr w:type="spellStart"/>
      <w:r>
        <w:rPr>
          <w:bCs/>
          <w:szCs w:val="22"/>
          <w:lang w:val="lt-LT" w:eastAsia="es-ES"/>
        </w:rPr>
        <w:t>Tobramycin</w:t>
      </w:r>
      <w:proofErr w:type="spellEnd"/>
      <w:r>
        <w:rPr>
          <w:bCs/>
          <w:szCs w:val="22"/>
          <w:lang w:val="lt-LT" w:eastAsia="es-ES"/>
        </w:rPr>
        <w:t xml:space="preserve"> </w:t>
      </w:r>
      <w:r w:rsidR="003D089E">
        <w:rPr>
          <w:szCs w:val="22"/>
          <w:lang w:val="lt-LT" w:eastAsia="en-GB"/>
        </w:rPr>
        <w:t xml:space="preserve">Via </w:t>
      </w:r>
      <w:proofErr w:type="spellStart"/>
      <w:r w:rsidR="003D089E">
        <w:rPr>
          <w:szCs w:val="22"/>
          <w:lang w:val="lt-LT" w:eastAsia="en-GB"/>
        </w:rPr>
        <w:t>pharma</w:t>
      </w:r>
      <w:proofErr w:type="spellEnd"/>
      <w:r>
        <w:rPr>
          <w:color w:val="0D0D0D"/>
          <w:szCs w:val="22"/>
          <w:lang w:val="lt-LT"/>
        </w:rPr>
        <w:t>.</w:t>
      </w:r>
    </w:p>
    <w:p w14:paraId="303372A2" w14:textId="77777777" w:rsidR="00803D36" w:rsidRDefault="00803D36" w:rsidP="00803D36">
      <w:pPr>
        <w:spacing w:line="240" w:lineRule="auto"/>
        <w:rPr>
          <w:color w:val="0D0D0D"/>
          <w:szCs w:val="22"/>
          <w:lang w:val="lt-LT"/>
        </w:rPr>
      </w:pPr>
    </w:p>
    <w:p w14:paraId="40C18A04" w14:textId="77777777" w:rsidR="00803D36" w:rsidRDefault="00803D36" w:rsidP="00803D36">
      <w:pPr>
        <w:spacing w:line="240" w:lineRule="auto"/>
        <w:rPr>
          <w:color w:val="0D0D0D"/>
          <w:szCs w:val="22"/>
          <w:u w:val="single"/>
          <w:lang w:val="lt-LT"/>
        </w:rPr>
      </w:pPr>
      <w:r>
        <w:rPr>
          <w:color w:val="0D0D0D"/>
          <w:szCs w:val="22"/>
          <w:u w:val="single"/>
          <w:lang w:val="lt-LT"/>
        </w:rPr>
        <w:lastRenderedPageBreak/>
        <w:t>Vaisingumas</w:t>
      </w:r>
    </w:p>
    <w:p w14:paraId="5BD89B23" w14:textId="77777777" w:rsidR="00803D36" w:rsidRDefault="00803D36" w:rsidP="00803D36">
      <w:pPr>
        <w:spacing w:line="240" w:lineRule="auto"/>
        <w:rPr>
          <w:color w:val="0D0D0D"/>
          <w:szCs w:val="22"/>
          <w:lang w:val="lt-LT"/>
        </w:rPr>
      </w:pPr>
      <w:r>
        <w:rPr>
          <w:color w:val="0D0D0D"/>
          <w:szCs w:val="24"/>
          <w:lang w:val="lt-LT"/>
        </w:rPr>
        <w:t>Tyrimų su gyvūnais metu vaistinio preparato vartojant po oda</w:t>
      </w:r>
      <w:r>
        <w:rPr>
          <w:color w:val="0D0D0D"/>
          <w:szCs w:val="22"/>
          <w:lang w:val="lt-LT"/>
        </w:rPr>
        <w:t>, poveikio patinų ir patelių vislumui nenustatyta (žr. 5.3 skyrių).</w:t>
      </w:r>
    </w:p>
    <w:p w14:paraId="1FC465D5" w14:textId="77777777" w:rsidR="00803D36" w:rsidRDefault="00803D36" w:rsidP="00803D36">
      <w:pPr>
        <w:spacing w:line="240" w:lineRule="auto"/>
        <w:rPr>
          <w:szCs w:val="22"/>
          <w:lang w:val="lt-LT"/>
        </w:rPr>
      </w:pPr>
    </w:p>
    <w:p w14:paraId="4C83673B"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4.7</w:t>
      </w:r>
      <w:r>
        <w:rPr>
          <w:rFonts w:ascii="Times New Roman" w:hAnsi="Times New Roman"/>
          <w:sz w:val="22"/>
          <w:szCs w:val="22"/>
          <w:lang w:val="lt-LT"/>
        </w:rPr>
        <w:tab/>
        <w:t>Poveikis gebėjimui vairuoti ir valdyti mechanizmus</w:t>
      </w:r>
    </w:p>
    <w:p w14:paraId="681C2DE1" w14:textId="77777777" w:rsidR="00803D36" w:rsidRDefault="00803D36" w:rsidP="00803D36">
      <w:pPr>
        <w:spacing w:line="240" w:lineRule="auto"/>
        <w:rPr>
          <w:szCs w:val="22"/>
          <w:lang w:val="lt-LT"/>
        </w:rPr>
      </w:pPr>
    </w:p>
    <w:p w14:paraId="1C18FCB6" w14:textId="77777777" w:rsidR="00803D36" w:rsidRDefault="00803D36" w:rsidP="00803D36">
      <w:pPr>
        <w:spacing w:line="240" w:lineRule="auto"/>
        <w:rPr>
          <w:szCs w:val="22"/>
          <w:lang w:val="lt-LT"/>
        </w:rPr>
      </w:pPr>
      <w:r>
        <w:rPr>
          <w:szCs w:val="22"/>
          <w:lang w:val="lt-LT"/>
        </w:rPr>
        <w:t xml:space="preserve">Atsižvelgiant į praneštas nepageidaujamas reakcijas, purškiamojo </w:t>
      </w:r>
      <w:proofErr w:type="spellStart"/>
      <w:r>
        <w:rPr>
          <w:szCs w:val="22"/>
          <w:lang w:val="lt-LT"/>
        </w:rPr>
        <w:t>tobramicino</w:t>
      </w:r>
      <w:proofErr w:type="spellEnd"/>
      <w:r>
        <w:rPr>
          <w:szCs w:val="22"/>
          <w:lang w:val="lt-LT"/>
        </w:rPr>
        <w:t xml:space="preserve"> poveikis gebėjimui vairuoti ir valdyti mechanizmus nėra tikėtinas.</w:t>
      </w:r>
    </w:p>
    <w:p w14:paraId="05A3A225" w14:textId="77777777" w:rsidR="00803D36" w:rsidRDefault="00803D36" w:rsidP="00803D36">
      <w:pPr>
        <w:spacing w:line="240" w:lineRule="auto"/>
        <w:rPr>
          <w:szCs w:val="22"/>
          <w:lang w:val="lt-LT"/>
        </w:rPr>
      </w:pPr>
    </w:p>
    <w:p w14:paraId="7190189D" w14:textId="77777777" w:rsidR="00803D36" w:rsidRDefault="00803D36" w:rsidP="00803D36">
      <w:pPr>
        <w:spacing w:line="240" w:lineRule="auto"/>
        <w:outlineLvl w:val="0"/>
        <w:rPr>
          <w:szCs w:val="22"/>
          <w:lang w:val="lt-LT"/>
        </w:rPr>
      </w:pPr>
      <w:r>
        <w:rPr>
          <w:b/>
          <w:szCs w:val="22"/>
          <w:lang w:val="lt-LT"/>
        </w:rPr>
        <w:t>4.8</w:t>
      </w:r>
      <w:r>
        <w:rPr>
          <w:b/>
          <w:szCs w:val="22"/>
          <w:lang w:val="lt-LT"/>
        </w:rPr>
        <w:tab/>
        <w:t>Nepageidaujamas poveikis</w:t>
      </w:r>
    </w:p>
    <w:p w14:paraId="400D4190" w14:textId="77777777" w:rsidR="00803D36" w:rsidRDefault="00803D36" w:rsidP="00803D36">
      <w:pPr>
        <w:spacing w:line="240" w:lineRule="auto"/>
        <w:rPr>
          <w:szCs w:val="22"/>
          <w:u w:val="single"/>
          <w:lang w:val="lt-LT"/>
        </w:rPr>
      </w:pPr>
    </w:p>
    <w:p w14:paraId="5798F4F9" w14:textId="77777777" w:rsidR="00803D36" w:rsidRDefault="00803D36" w:rsidP="00803D36">
      <w:pPr>
        <w:tabs>
          <w:tab w:val="clear" w:pos="567"/>
          <w:tab w:val="left" w:pos="1296"/>
        </w:tabs>
        <w:spacing w:line="240" w:lineRule="auto"/>
        <w:rPr>
          <w:szCs w:val="22"/>
          <w:u w:val="single"/>
          <w:lang w:val="lt-LT" w:eastAsia="es-ES"/>
        </w:rPr>
      </w:pPr>
      <w:r>
        <w:rPr>
          <w:iCs/>
          <w:szCs w:val="22"/>
          <w:u w:val="single"/>
          <w:lang w:val="lt-LT" w:eastAsia="lt-LT"/>
        </w:rPr>
        <w:t>Saugumo duomenų santrauka</w:t>
      </w:r>
    </w:p>
    <w:p w14:paraId="21FACF1F" w14:textId="6727761D" w:rsidR="00803D36" w:rsidRDefault="00803D36" w:rsidP="00803D36">
      <w:pPr>
        <w:tabs>
          <w:tab w:val="clear" w:pos="567"/>
          <w:tab w:val="left" w:pos="1296"/>
        </w:tabs>
        <w:spacing w:line="240" w:lineRule="auto"/>
        <w:rPr>
          <w:szCs w:val="22"/>
          <w:lang w:val="lt-LT" w:eastAsia="es-ES"/>
        </w:rPr>
      </w:pPr>
      <w:r>
        <w:rPr>
          <w:szCs w:val="22"/>
          <w:lang w:val="lt-LT" w:eastAsia="es-ES"/>
        </w:rPr>
        <w:t xml:space="preserve">Dviejuose paralelinių grupių, 24 savaičių trukmės, atsitiktinių imčių, </w:t>
      </w:r>
      <w:r w:rsidR="000275FF">
        <w:rPr>
          <w:szCs w:val="22"/>
          <w:lang w:val="lt-LT" w:eastAsia="es-ES"/>
        </w:rPr>
        <w:t xml:space="preserve">dvigubai koduotuose, </w:t>
      </w:r>
      <w:r>
        <w:rPr>
          <w:szCs w:val="22"/>
          <w:lang w:val="lt-LT" w:eastAsia="es-ES"/>
        </w:rPr>
        <w:t>placebu kontroliuot</w:t>
      </w:r>
      <w:r w:rsidR="001B49ED">
        <w:rPr>
          <w:szCs w:val="22"/>
          <w:lang w:val="lt-LT" w:eastAsia="es-ES"/>
        </w:rPr>
        <w:t>uose</w:t>
      </w:r>
      <w:r>
        <w:rPr>
          <w:szCs w:val="22"/>
          <w:lang w:val="lt-LT" w:eastAsia="es-ES"/>
        </w:rPr>
        <w:t xml:space="preserve"> purškiamojo </w:t>
      </w:r>
      <w:proofErr w:type="spellStart"/>
      <w:r>
        <w:rPr>
          <w:szCs w:val="22"/>
          <w:lang w:val="lt-LT" w:eastAsia="es-ES"/>
        </w:rPr>
        <w:t>tobramicino</w:t>
      </w:r>
      <w:proofErr w:type="spellEnd"/>
      <w:r>
        <w:rPr>
          <w:szCs w:val="22"/>
          <w:lang w:val="lt-LT" w:eastAsia="es-ES"/>
        </w:rPr>
        <w:t xml:space="preserve"> tyrimuose dalyvavo 520 cistine fibroze sergančių 6</w:t>
      </w:r>
      <w:r>
        <w:rPr>
          <w:szCs w:val="22"/>
          <w:lang w:val="lt-LT" w:eastAsia="es-ES"/>
        </w:rPr>
        <w:noBreakHyphen/>
        <w:t>63 metų pacientų.</w:t>
      </w:r>
    </w:p>
    <w:p w14:paraId="2DE8A9DC" w14:textId="77777777" w:rsidR="00803D36" w:rsidRDefault="00803D36" w:rsidP="00803D36">
      <w:pPr>
        <w:tabs>
          <w:tab w:val="clear" w:pos="567"/>
          <w:tab w:val="left" w:pos="1296"/>
        </w:tabs>
        <w:spacing w:line="240" w:lineRule="auto"/>
        <w:rPr>
          <w:szCs w:val="22"/>
          <w:lang w:val="lt-LT" w:eastAsia="es-ES"/>
        </w:rPr>
      </w:pPr>
    </w:p>
    <w:p w14:paraId="51C92F58" w14:textId="6FEB3756" w:rsidR="00803D36" w:rsidRDefault="00803D36" w:rsidP="00803D36">
      <w:pPr>
        <w:tabs>
          <w:tab w:val="clear" w:pos="567"/>
          <w:tab w:val="left" w:pos="1296"/>
        </w:tabs>
        <w:spacing w:line="240" w:lineRule="auto"/>
        <w:rPr>
          <w:szCs w:val="22"/>
          <w:lang w:val="lt-LT" w:eastAsia="es-ES"/>
        </w:rPr>
      </w:pPr>
      <w:r>
        <w:rPr>
          <w:szCs w:val="22"/>
          <w:lang w:val="lt-LT" w:eastAsia="es-ES"/>
        </w:rPr>
        <w:t xml:space="preserve">Nepageidaujami reiškiniai, apie kuriuos placebu kontroliuotų purškiamojo </w:t>
      </w:r>
      <w:proofErr w:type="spellStart"/>
      <w:r>
        <w:rPr>
          <w:szCs w:val="22"/>
          <w:lang w:val="lt-LT" w:eastAsia="es-ES"/>
        </w:rPr>
        <w:t>tobramicino</w:t>
      </w:r>
      <w:proofErr w:type="spellEnd"/>
      <w:r>
        <w:rPr>
          <w:szCs w:val="22"/>
          <w:lang w:val="lt-LT" w:eastAsia="es-ES"/>
        </w:rPr>
        <w:t xml:space="preserve"> tyrimų metu pranešta dažniausiai (≥10%), buvo kosulys, </w:t>
      </w:r>
      <w:proofErr w:type="spellStart"/>
      <w:r>
        <w:rPr>
          <w:szCs w:val="22"/>
          <w:lang w:val="lt-LT" w:eastAsia="es-ES"/>
        </w:rPr>
        <w:t>faringitas</w:t>
      </w:r>
      <w:proofErr w:type="spellEnd"/>
      <w:r>
        <w:rPr>
          <w:szCs w:val="22"/>
          <w:lang w:val="lt-LT" w:eastAsia="es-ES"/>
        </w:rPr>
        <w:t xml:space="preserve">, produktyvus kosulys, </w:t>
      </w:r>
      <w:proofErr w:type="spellStart"/>
      <w:r>
        <w:rPr>
          <w:szCs w:val="22"/>
          <w:lang w:val="lt-LT" w:eastAsia="es-ES"/>
        </w:rPr>
        <w:t>astenija</w:t>
      </w:r>
      <w:proofErr w:type="spellEnd"/>
      <w:r>
        <w:rPr>
          <w:szCs w:val="22"/>
          <w:lang w:val="lt-LT" w:eastAsia="es-ES"/>
        </w:rPr>
        <w:t xml:space="preserve">, rinitas, </w:t>
      </w:r>
      <w:proofErr w:type="spellStart"/>
      <w:r>
        <w:rPr>
          <w:szCs w:val="22"/>
          <w:lang w:val="lt-LT" w:eastAsia="es-ES"/>
        </w:rPr>
        <w:t>dispnėja</w:t>
      </w:r>
      <w:proofErr w:type="spellEnd"/>
      <w:r>
        <w:rPr>
          <w:szCs w:val="22"/>
          <w:lang w:val="lt-LT" w:eastAsia="es-ES"/>
        </w:rPr>
        <w:t xml:space="preserve">, karščiavimas, plaučių sutrikimas, galvos skausmas, krūtinės skausmas, skreplių spalvos pokytis, </w:t>
      </w:r>
      <w:proofErr w:type="spellStart"/>
      <w:r>
        <w:rPr>
          <w:szCs w:val="22"/>
          <w:lang w:val="lt-LT" w:eastAsia="es-ES"/>
        </w:rPr>
        <w:t>hemopt</w:t>
      </w:r>
      <w:r w:rsidR="000275FF">
        <w:rPr>
          <w:szCs w:val="22"/>
          <w:lang w:val="lt-LT" w:eastAsia="es-ES"/>
        </w:rPr>
        <w:t>o</w:t>
      </w:r>
      <w:r>
        <w:rPr>
          <w:szCs w:val="22"/>
          <w:lang w:val="lt-LT" w:eastAsia="es-ES"/>
        </w:rPr>
        <w:t>zė</w:t>
      </w:r>
      <w:proofErr w:type="spellEnd"/>
      <w:r>
        <w:rPr>
          <w:szCs w:val="22"/>
          <w:lang w:val="lt-LT" w:eastAsia="es-ES"/>
        </w:rPr>
        <w:t xml:space="preserve">, anoreksija, plaučių funkcijos tyrimų rodmenų pablogėjimas, astma, vėmimas, pilvo skausmas, </w:t>
      </w:r>
      <w:proofErr w:type="spellStart"/>
      <w:r>
        <w:rPr>
          <w:szCs w:val="22"/>
          <w:lang w:val="lt-LT" w:eastAsia="es-ES"/>
        </w:rPr>
        <w:t>disfonija</w:t>
      </w:r>
      <w:proofErr w:type="spellEnd"/>
      <w:r>
        <w:rPr>
          <w:szCs w:val="22"/>
          <w:lang w:val="lt-LT" w:eastAsia="es-ES"/>
        </w:rPr>
        <w:t>, pykinimas ir kūno svorio mažėjimas.</w:t>
      </w:r>
    </w:p>
    <w:p w14:paraId="2E2A1551" w14:textId="77777777" w:rsidR="00803D36" w:rsidRDefault="00803D36" w:rsidP="00803D36">
      <w:pPr>
        <w:tabs>
          <w:tab w:val="clear" w:pos="567"/>
          <w:tab w:val="left" w:pos="1296"/>
        </w:tabs>
        <w:spacing w:line="240" w:lineRule="auto"/>
        <w:rPr>
          <w:szCs w:val="22"/>
          <w:lang w:val="lt-LT" w:eastAsia="es-ES"/>
        </w:rPr>
      </w:pPr>
    </w:p>
    <w:p w14:paraId="1F808FCE" w14:textId="77777777" w:rsidR="00803D36" w:rsidRDefault="00803D36" w:rsidP="00803D36">
      <w:pPr>
        <w:tabs>
          <w:tab w:val="clear" w:pos="567"/>
          <w:tab w:val="left" w:pos="1296"/>
        </w:tabs>
        <w:spacing w:line="240" w:lineRule="auto"/>
        <w:rPr>
          <w:szCs w:val="22"/>
          <w:lang w:val="lt-LT" w:eastAsia="es-ES"/>
        </w:rPr>
      </w:pPr>
      <w:r>
        <w:rPr>
          <w:szCs w:val="22"/>
          <w:lang w:val="lt-LT" w:eastAsia="es-ES"/>
        </w:rPr>
        <w:t xml:space="preserve">Placebo vartojantiems pacientams dauguma reiškinių atsirado panašiu ar didesniu dažniu. </w:t>
      </w:r>
      <w:proofErr w:type="spellStart"/>
      <w:r>
        <w:rPr>
          <w:szCs w:val="22"/>
          <w:lang w:val="lt-LT" w:eastAsia="es-ES"/>
        </w:rPr>
        <w:t>Disfonija</w:t>
      </w:r>
      <w:proofErr w:type="spellEnd"/>
      <w:r>
        <w:rPr>
          <w:szCs w:val="22"/>
          <w:lang w:val="lt-LT" w:eastAsia="es-ES"/>
        </w:rPr>
        <w:t xml:space="preserve"> ir ūžesys (</w:t>
      </w:r>
      <w:proofErr w:type="spellStart"/>
      <w:r>
        <w:rPr>
          <w:i/>
          <w:szCs w:val="22"/>
          <w:lang w:val="lt-LT" w:eastAsia="es-ES"/>
        </w:rPr>
        <w:t>tinnitus</w:t>
      </w:r>
      <w:proofErr w:type="spellEnd"/>
      <w:r>
        <w:rPr>
          <w:szCs w:val="22"/>
          <w:lang w:val="lt-LT" w:eastAsia="es-ES"/>
        </w:rPr>
        <w:t xml:space="preserve">) buvo vieninteliai nepageidaujami reiškiniai, apie kurį reikšmingai dažniau pranešta purškiamojo </w:t>
      </w:r>
      <w:proofErr w:type="spellStart"/>
      <w:r>
        <w:rPr>
          <w:szCs w:val="22"/>
          <w:lang w:val="lt-LT" w:eastAsia="es-ES"/>
        </w:rPr>
        <w:t>tobramicino</w:t>
      </w:r>
      <w:proofErr w:type="spellEnd"/>
      <w:r>
        <w:rPr>
          <w:szCs w:val="22"/>
          <w:lang w:val="lt-LT" w:eastAsia="es-ES"/>
        </w:rPr>
        <w:t xml:space="preserve"> vartojusiųjų grupėje (atitinkamai 12,8% vartojant purškiamojo </w:t>
      </w:r>
      <w:proofErr w:type="spellStart"/>
      <w:r>
        <w:rPr>
          <w:szCs w:val="22"/>
          <w:lang w:val="lt-LT" w:eastAsia="es-ES"/>
        </w:rPr>
        <w:t>tobramicino</w:t>
      </w:r>
      <w:proofErr w:type="spellEnd"/>
      <w:r>
        <w:rPr>
          <w:szCs w:val="22"/>
          <w:lang w:val="lt-LT" w:eastAsia="es-ES"/>
        </w:rPr>
        <w:t xml:space="preserve"> ir 6,5% vartojant placebo bei 3,1% vartojant purškiamojo </w:t>
      </w:r>
      <w:proofErr w:type="spellStart"/>
      <w:r>
        <w:rPr>
          <w:szCs w:val="22"/>
          <w:lang w:val="lt-LT" w:eastAsia="es-ES"/>
        </w:rPr>
        <w:t>tobramicino</w:t>
      </w:r>
      <w:proofErr w:type="spellEnd"/>
      <w:r>
        <w:rPr>
          <w:szCs w:val="22"/>
          <w:lang w:val="lt-LT" w:eastAsia="es-ES"/>
        </w:rPr>
        <w:t xml:space="preserve"> ir 0% vartojant placebo). Ūžesio (</w:t>
      </w:r>
      <w:proofErr w:type="spellStart"/>
      <w:r>
        <w:rPr>
          <w:i/>
          <w:szCs w:val="22"/>
          <w:lang w:val="lt-LT" w:eastAsia="es-ES"/>
        </w:rPr>
        <w:t>tinnitus</w:t>
      </w:r>
      <w:proofErr w:type="spellEnd"/>
      <w:r>
        <w:rPr>
          <w:szCs w:val="22"/>
          <w:lang w:val="lt-LT" w:eastAsia="es-ES"/>
        </w:rPr>
        <w:t xml:space="preserve">) epizodai buvo laikini ir išnyko nenutraukiant purškiamojo </w:t>
      </w:r>
      <w:proofErr w:type="spellStart"/>
      <w:r>
        <w:rPr>
          <w:szCs w:val="22"/>
          <w:lang w:val="lt-LT" w:eastAsia="es-ES"/>
        </w:rPr>
        <w:t>tobramicino</w:t>
      </w:r>
      <w:proofErr w:type="spellEnd"/>
      <w:r>
        <w:rPr>
          <w:szCs w:val="22"/>
          <w:lang w:val="lt-LT" w:eastAsia="es-ES"/>
        </w:rPr>
        <w:t xml:space="preserve"> vartojimo, be to, jie nebuvo susiję su klausos tyrimų metu patvirtintu išliekančiu klausos išnykimu. Kartotiniai purškiamojo </w:t>
      </w:r>
      <w:proofErr w:type="spellStart"/>
      <w:r>
        <w:rPr>
          <w:szCs w:val="22"/>
          <w:lang w:val="lt-LT" w:eastAsia="es-ES"/>
        </w:rPr>
        <w:t>tobramicino</w:t>
      </w:r>
      <w:proofErr w:type="spellEnd"/>
      <w:r>
        <w:rPr>
          <w:szCs w:val="22"/>
          <w:lang w:val="lt-LT" w:eastAsia="es-ES"/>
        </w:rPr>
        <w:t xml:space="preserve"> ekspozicijos ciklai ūžesio (</w:t>
      </w:r>
      <w:proofErr w:type="spellStart"/>
      <w:r>
        <w:rPr>
          <w:i/>
          <w:szCs w:val="22"/>
          <w:lang w:val="lt-LT" w:eastAsia="es-ES"/>
        </w:rPr>
        <w:t>tinnitus</w:t>
      </w:r>
      <w:proofErr w:type="spellEnd"/>
      <w:r>
        <w:rPr>
          <w:szCs w:val="22"/>
          <w:lang w:val="lt-LT" w:eastAsia="es-ES"/>
        </w:rPr>
        <w:t>) rizikos nedidina (žr. 4.4 skyriaus poskyrį „</w:t>
      </w:r>
      <w:proofErr w:type="spellStart"/>
      <w:r>
        <w:rPr>
          <w:szCs w:val="22"/>
          <w:lang w:val="lt-LT" w:eastAsia="es-ES"/>
        </w:rPr>
        <w:t>Ototoksinis</w:t>
      </w:r>
      <w:proofErr w:type="spellEnd"/>
      <w:r>
        <w:rPr>
          <w:szCs w:val="22"/>
          <w:lang w:val="lt-LT" w:eastAsia="es-ES"/>
        </w:rPr>
        <w:t xml:space="preserve"> poveikis“).</w:t>
      </w:r>
    </w:p>
    <w:p w14:paraId="2219A156" w14:textId="77777777" w:rsidR="00803D36" w:rsidRDefault="00803D36" w:rsidP="00803D36">
      <w:pPr>
        <w:tabs>
          <w:tab w:val="clear" w:pos="567"/>
          <w:tab w:val="left" w:pos="1296"/>
        </w:tabs>
        <w:spacing w:line="240" w:lineRule="auto"/>
        <w:rPr>
          <w:szCs w:val="22"/>
          <w:lang w:val="lt-LT" w:eastAsia="es-ES"/>
        </w:rPr>
      </w:pPr>
    </w:p>
    <w:p w14:paraId="4C4F2F5E" w14:textId="77777777" w:rsidR="00803D36" w:rsidRDefault="00803D36" w:rsidP="00803D36">
      <w:pPr>
        <w:tabs>
          <w:tab w:val="clear" w:pos="567"/>
          <w:tab w:val="left" w:pos="1296"/>
        </w:tabs>
        <w:spacing w:line="240" w:lineRule="auto"/>
        <w:rPr>
          <w:szCs w:val="22"/>
          <w:u w:val="single"/>
          <w:lang w:val="lt-LT" w:eastAsia="es-ES"/>
        </w:rPr>
      </w:pPr>
      <w:r>
        <w:rPr>
          <w:iCs/>
          <w:szCs w:val="22"/>
          <w:u w:val="single"/>
          <w:lang w:val="lt-LT" w:eastAsia="lt-LT"/>
        </w:rPr>
        <w:t>Nepageidaujamų reakcijų santrauka lentelėje</w:t>
      </w:r>
    </w:p>
    <w:p w14:paraId="14D8FBCC" w14:textId="77777777" w:rsidR="00803D36" w:rsidRDefault="00803D36" w:rsidP="00803D36">
      <w:pPr>
        <w:tabs>
          <w:tab w:val="clear" w:pos="567"/>
          <w:tab w:val="left" w:pos="1296"/>
        </w:tabs>
        <w:spacing w:line="240" w:lineRule="auto"/>
        <w:rPr>
          <w:szCs w:val="22"/>
          <w:lang w:val="lt-LT" w:eastAsia="es-ES"/>
        </w:rPr>
      </w:pPr>
      <w:r>
        <w:rPr>
          <w:szCs w:val="22"/>
          <w:lang w:val="lt-LT" w:eastAsia="es-ES"/>
        </w:rPr>
        <w:t xml:space="preserve">24 savaičių trukmės placebu kontroliuotų tyrimų ir atvirų jų pratęsimų (taikant aktyvų gydymą) metu 48, 72 ir 96 savaičių gydymą purškiamuoju </w:t>
      </w:r>
      <w:proofErr w:type="spellStart"/>
      <w:r>
        <w:rPr>
          <w:szCs w:val="22"/>
          <w:lang w:val="lt-LT" w:eastAsia="es-ES"/>
        </w:rPr>
        <w:t>tobramicinu</w:t>
      </w:r>
      <w:proofErr w:type="spellEnd"/>
      <w:r>
        <w:rPr>
          <w:szCs w:val="22"/>
          <w:lang w:val="lt-LT" w:eastAsia="es-ES"/>
        </w:rPr>
        <w:t xml:space="preserve"> baigė atitinkamai 313, 264 ir 120 pacientų.</w:t>
      </w:r>
    </w:p>
    <w:p w14:paraId="634081FF" w14:textId="77777777" w:rsidR="00803D36" w:rsidRDefault="00803D36" w:rsidP="00803D36">
      <w:pPr>
        <w:tabs>
          <w:tab w:val="clear" w:pos="567"/>
          <w:tab w:val="left" w:pos="1296"/>
        </w:tabs>
        <w:spacing w:line="240" w:lineRule="auto"/>
        <w:rPr>
          <w:szCs w:val="22"/>
          <w:lang w:val="lt-LT" w:eastAsia="es-ES"/>
        </w:rPr>
      </w:pPr>
    </w:p>
    <w:p w14:paraId="3CC7F904" w14:textId="77777777" w:rsidR="00803D36" w:rsidRDefault="00803D36" w:rsidP="00803D36">
      <w:pPr>
        <w:tabs>
          <w:tab w:val="clear" w:pos="567"/>
          <w:tab w:val="left" w:pos="1296"/>
        </w:tabs>
        <w:spacing w:line="240" w:lineRule="auto"/>
        <w:rPr>
          <w:szCs w:val="22"/>
          <w:lang w:val="lt-LT" w:eastAsia="es-ES"/>
        </w:rPr>
      </w:pPr>
      <w:r>
        <w:rPr>
          <w:szCs w:val="22"/>
          <w:lang w:val="lt-LT" w:eastAsia="es-ES"/>
        </w:rPr>
        <w:t xml:space="preserve">1 lentelėje pateikiamas gydymo metu pasireiškusių nepageidaujamų reakcijų dažnis, remiantis šiais kriterijais: pasireiškė ≥2% purškiamojo </w:t>
      </w:r>
      <w:proofErr w:type="spellStart"/>
      <w:r>
        <w:rPr>
          <w:szCs w:val="22"/>
          <w:lang w:val="lt-LT" w:eastAsia="es-ES"/>
        </w:rPr>
        <w:t>tobramicino</w:t>
      </w:r>
      <w:proofErr w:type="spellEnd"/>
      <w:r>
        <w:rPr>
          <w:szCs w:val="22"/>
          <w:lang w:val="lt-LT" w:eastAsia="es-ES"/>
        </w:rPr>
        <w:t xml:space="preserve"> vartojusių pacientų, dažniau pasireiškė purškiamojo </w:t>
      </w:r>
      <w:proofErr w:type="spellStart"/>
      <w:r>
        <w:rPr>
          <w:szCs w:val="22"/>
          <w:lang w:val="lt-LT" w:eastAsia="es-ES"/>
        </w:rPr>
        <w:t>tobramicino</w:t>
      </w:r>
      <w:proofErr w:type="spellEnd"/>
      <w:r>
        <w:rPr>
          <w:szCs w:val="22"/>
          <w:lang w:val="lt-LT" w:eastAsia="es-ES"/>
        </w:rPr>
        <w:t xml:space="preserve"> grupėje ir įvertintas kaip susijęs su vaistinio preparato vartojimu ≥1% pacientų.</w:t>
      </w:r>
    </w:p>
    <w:p w14:paraId="5EA8DF13" w14:textId="77777777" w:rsidR="00803D36" w:rsidRDefault="00803D36" w:rsidP="00803D36">
      <w:pPr>
        <w:tabs>
          <w:tab w:val="clear" w:pos="567"/>
          <w:tab w:val="left" w:pos="1296"/>
        </w:tabs>
        <w:spacing w:line="240" w:lineRule="auto"/>
        <w:rPr>
          <w:szCs w:val="22"/>
          <w:lang w:val="lt-LT" w:eastAsia="es-ES"/>
        </w:rPr>
      </w:pPr>
    </w:p>
    <w:p w14:paraId="0F82C6D4" w14:textId="77777777" w:rsidR="00803D36" w:rsidRDefault="00803D36" w:rsidP="00803D36">
      <w:pPr>
        <w:tabs>
          <w:tab w:val="clear" w:pos="567"/>
          <w:tab w:val="left" w:pos="1296"/>
        </w:tabs>
        <w:spacing w:line="240" w:lineRule="auto"/>
        <w:rPr>
          <w:szCs w:val="22"/>
          <w:lang w:val="lt-LT" w:eastAsia="es-ES"/>
        </w:rPr>
      </w:pPr>
      <w:r>
        <w:rPr>
          <w:szCs w:val="22"/>
          <w:lang w:val="lt-LT" w:eastAsia="es-ES"/>
        </w:rPr>
        <w:t xml:space="preserve">Klinikinių tyrimų metu nustatytos nepageidaujamos reakcijos į vaistinį preparatą yra išvardytos pagal </w:t>
      </w:r>
      <w:proofErr w:type="spellStart"/>
      <w:r>
        <w:rPr>
          <w:szCs w:val="22"/>
          <w:lang w:val="lt-LT" w:eastAsia="es-ES"/>
        </w:rPr>
        <w:t>MedDRA</w:t>
      </w:r>
      <w:proofErr w:type="spellEnd"/>
      <w:r>
        <w:rPr>
          <w:szCs w:val="22"/>
          <w:lang w:val="lt-LT" w:eastAsia="es-ES"/>
        </w:rPr>
        <w:t xml:space="preserve"> organų sistemų klases. Kiekvienoje organų sistemų klasėje nepageidaujamos reakcijos į vaistinį preparatą yra išvardytos pagal dažnį (dažniausios reakcijos nurodomos pirmiausia). Kiekvieno dažnio grupėje nepageidaujamos reakcijos į vaistinį preparatą pateikiamos mažėjančio sunkumo tvarka. Be to, nepageidaujamų reakcijų į vaistinį preparatą</w:t>
      </w:r>
      <w:r>
        <w:rPr>
          <w:szCs w:val="22"/>
          <w:lang w:val="lt-LT"/>
        </w:rPr>
        <w:t xml:space="preserve"> dažnis apibūdinamas taip </w:t>
      </w:r>
      <w:r>
        <w:rPr>
          <w:szCs w:val="22"/>
          <w:lang w:val="lt-LT" w:eastAsia="es-ES"/>
        </w:rPr>
        <w:t>(CIOMS III)</w:t>
      </w:r>
      <w:r>
        <w:rPr>
          <w:szCs w:val="22"/>
          <w:lang w:val="lt-LT"/>
        </w:rPr>
        <w:t>: labai dažnas (≥ 1/10), dažnas (nuo ≥ 1/100 iki &lt; 1/10), nedažnas (nuo ≥ 1/1000 iki &lt; 1/100), retas (nuo ≥ 1/10000 iki &lt; 1/1000), labai retas (&lt; 1/10000) ir nežinomas (negali būti apskaičiuotas pagal turimus duomenis)</w:t>
      </w:r>
      <w:r>
        <w:rPr>
          <w:szCs w:val="22"/>
          <w:lang w:val="lt-LT" w:eastAsia="es-ES"/>
        </w:rPr>
        <w:t>.</w:t>
      </w:r>
    </w:p>
    <w:p w14:paraId="27126E36" w14:textId="77777777" w:rsidR="00803D36" w:rsidRDefault="00803D36" w:rsidP="00803D36">
      <w:pPr>
        <w:tabs>
          <w:tab w:val="clear" w:pos="567"/>
          <w:tab w:val="left" w:pos="1296"/>
        </w:tabs>
        <w:spacing w:line="240" w:lineRule="auto"/>
        <w:rPr>
          <w:szCs w:val="22"/>
          <w:lang w:val="lt-LT" w:eastAsia="es-ES"/>
        </w:rPr>
      </w:pPr>
    </w:p>
    <w:p w14:paraId="091AD421" w14:textId="77777777" w:rsidR="00803D36" w:rsidRDefault="00803D36" w:rsidP="00803D36">
      <w:pPr>
        <w:tabs>
          <w:tab w:val="clear" w:pos="567"/>
          <w:tab w:val="left" w:pos="1296"/>
        </w:tabs>
        <w:spacing w:line="240" w:lineRule="auto"/>
        <w:rPr>
          <w:b/>
          <w:bCs/>
          <w:szCs w:val="22"/>
          <w:lang w:val="lt-LT" w:eastAsia="es-ES"/>
        </w:rPr>
      </w:pPr>
      <w:r>
        <w:rPr>
          <w:b/>
          <w:bCs/>
          <w:szCs w:val="22"/>
          <w:lang w:val="lt-LT" w:eastAsia="es-ES"/>
        </w:rPr>
        <w:t>1 lentelė. Klinikinių tyrimų metu nustatytos nepageidaujamos reakcijos</w:t>
      </w:r>
    </w:p>
    <w:p w14:paraId="6548A68A" w14:textId="77777777" w:rsidR="00803D36" w:rsidRDefault="00803D36" w:rsidP="00803D36">
      <w:pPr>
        <w:tabs>
          <w:tab w:val="clear" w:pos="567"/>
          <w:tab w:val="left" w:pos="1296"/>
        </w:tabs>
        <w:spacing w:line="240" w:lineRule="auto"/>
        <w:rPr>
          <w:szCs w:val="22"/>
          <w:lang w:val="lt-LT" w:eastAsia="es-ES"/>
        </w:rPr>
      </w:pPr>
    </w:p>
    <w:tbl>
      <w:tblPr>
        <w:tblW w:w="832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64"/>
        <w:gridCol w:w="2161"/>
      </w:tblGrid>
      <w:tr w:rsidR="00803D36" w14:paraId="55724B04" w14:textId="77777777" w:rsidTr="00D0389B">
        <w:trPr>
          <w:tblCellSpacing w:w="0" w:type="dxa"/>
        </w:trPr>
        <w:tc>
          <w:tcPr>
            <w:tcW w:w="3702" w:type="pct"/>
            <w:tcBorders>
              <w:top w:val="outset" w:sz="6" w:space="0" w:color="auto"/>
              <w:left w:val="outset" w:sz="6" w:space="0" w:color="auto"/>
              <w:bottom w:val="outset" w:sz="6" w:space="0" w:color="auto"/>
              <w:right w:val="outset" w:sz="6" w:space="0" w:color="auto"/>
            </w:tcBorders>
            <w:hideMark/>
          </w:tcPr>
          <w:p w14:paraId="2F29F0F3" w14:textId="77777777" w:rsidR="00803D36" w:rsidRPr="00DD5276" w:rsidRDefault="00803D36" w:rsidP="00D0389B">
            <w:pPr>
              <w:tabs>
                <w:tab w:val="clear" w:pos="567"/>
                <w:tab w:val="left" w:pos="1296"/>
              </w:tabs>
              <w:spacing w:line="240" w:lineRule="auto"/>
              <w:rPr>
                <w:b/>
                <w:szCs w:val="22"/>
                <w:lang w:val="lt-LT" w:eastAsia="es-ES"/>
              </w:rPr>
            </w:pPr>
            <w:r w:rsidRPr="00DD5276">
              <w:rPr>
                <w:b/>
                <w:szCs w:val="22"/>
                <w:lang w:val="lt-LT" w:eastAsia="es-ES"/>
              </w:rPr>
              <w:t xml:space="preserve">Nepageidaujamos reakcijos </w:t>
            </w:r>
          </w:p>
        </w:tc>
        <w:tc>
          <w:tcPr>
            <w:tcW w:w="1298" w:type="pct"/>
            <w:tcBorders>
              <w:top w:val="outset" w:sz="6" w:space="0" w:color="auto"/>
              <w:left w:val="outset" w:sz="6" w:space="0" w:color="auto"/>
              <w:bottom w:val="outset" w:sz="6" w:space="0" w:color="auto"/>
              <w:right w:val="outset" w:sz="6" w:space="0" w:color="auto"/>
            </w:tcBorders>
            <w:hideMark/>
          </w:tcPr>
          <w:p w14:paraId="770D5492" w14:textId="77777777" w:rsidR="00803D36" w:rsidRPr="00DD5276" w:rsidRDefault="00803D36" w:rsidP="00D0389B">
            <w:pPr>
              <w:tabs>
                <w:tab w:val="clear" w:pos="567"/>
                <w:tab w:val="left" w:pos="1296"/>
              </w:tabs>
              <w:spacing w:line="240" w:lineRule="auto"/>
              <w:rPr>
                <w:b/>
                <w:szCs w:val="22"/>
                <w:lang w:val="lt-LT" w:eastAsia="es-ES"/>
              </w:rPr>
            </w:pPr>
            <w:r w:rsidRPr="00DD5276">
              <w:rPr>
                <w:b/>
                <w:szCs w:val="22"/>
                <w:lang w:val="lt-LT" w:eastAsia="es-ES"/>
              </w:rPr>
              <w:t>Dažnio kategorija</w:t>
            </w:r>
          </w:p>
        </w:tc>
      </w:tr>
      <w:tr w:rsidR="00803D36" w:rsidRPr="007223D6" w14:paraId="5C64EAB1" w14:textId="77777777" w:rsidTr="00D0389B">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1CB4BA89" w14:textId="77777777" w:rsidR="00803D36" w:rsidRPr="00DD5276" w:rsidRDefault="00803D36" w:rsidP="00D0389B">
            <w:pPr>
              <w:tabs>
                <w:tab w:val="clear" w:pos="567"/>
                <w:tab w:val="left" w:pos="1296"/>
              </w:tabs>
              <w:spacing w:line="240" w:lineRule="auto"/>
              <w:rPr>
                <w:b/>
                <w:bCs/>
                <w:i/>
                <w:szCs w:val="22"/>
                <w:lang w:val="lt-LT" w:eastAsia="es-ES"/>
              </w:rPr>
            </w:pPr>
            <w:r w:rsidRPr="00DD5276">
              <w:rPr>
                <w:rFonts w:eastAsia="Batang"/>
                <w:b/>
                <w:bCs/>
                <w:i/>
                <w:szCs w:val="22"/>
                <w:lang w:val="lt-LT"/>
              </w:rPr>
              <w:t>Kvėpavimo sistemos, krūtinės ląstos ir tarpuplaučio sutrikimai</w:t>
            </w:r>
          </w:p>
        </w:tc>
      </w:tr>
      <w:tr w:rsidR="00803D36" w14:paraId="13929585" w14:textId="77777777" w:rsidTr="00D0389B">
        <w:trPr>
          <w:tblCellSpacing w:w="0" w:type="dxa"/>
        </w:trPr>
        <w:tc>
          <w:tcPr>
            <w:tcW w:w="3702" w:type="pct"/>
            <w:tcBorders>
              <w:top w:val="outset" w:sz="6" w:space="0" w:color="auto"/>
              <w:left w:val="outset" w:sz="6" w:space="0" w:color="auto"/>
              <w:bottom w:val="outset" w:sz="6" w:space="0" w:color="auto"/>
              <w:right w:val="outset" w:sz="6" w:space="0" w:color="auto"/>
            </w:tcBorders>
            <w:hideMark/>
          </w:tcPr>
          <w:p w14:paraId="268C68BC"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Plaučių sutrikimas </w:t>
            </w:r>
          </w:p>
        </w:tc>
        <w:tc>
          <w:tcPr>
            <w:tcW w:w="1298" w:type="pct"/>
            <w:tcBorders>
              <w:top w:val="outset" w:sz="6" w:space="0" w:color="auto"/>
              <w:left w:val="outset" w:sz="6" w:space="0" w:color="auto"/>
              <w:bottom w:val="outset" w:sz="6" w:space="0" w:color="auto"/>
              <w:right w:val="outset" w:sz="6" w:space="0" w:color="auto"/>
            </w:tcBorders>
            <w:hideMark/>
          </w:tcPr>
          <w:p w14:paraId="739AC55E"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Labai dažni </w:t>
            </w:r>
          </w:p>
        </w:tc>
      </w:tr>
      <w:tr w:rsidR="00803D36" w14:paraId="4F4AA9FD" w14:textId="77777777" w:rsidTr="00D0389B">
        <w:trPr>
          <w:tblCellSpacing w:w="0" w:type="dxa"/>
        </w:trPr>
        <w:tc>
          <w:tcPr>
            <w:tcW w:w="3702" w:type="pct"/>
            <w:tcBorders>
              <w:top w:val="outset" w:sz="6" w:space="0" w:color="auto"/>
              <w:left w:val="outset" w:sz="6" w:space="0" w:color="auto"/>
              <w:bottom w:val="outset" w:sz="6" w:space="0" w:color="auto"/>
              <w:right w:val="outset" w:sz="6" w:space="0" w:color="auto"/>
            </w:tcBorders>
            <w:hideMark/>
          </w:tcPr>
          <w:p w14:paraId="797ED838"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Rinitas </w:t>
            </w:r>
          </w:p>
        </w:tc>
        <w:tc>
          <w:tcPr>
            <w:tcW w:w="1298" w:type="pct"/>
            <w:tcBorders>
              <w:top w:val="outset" w:sz="6" w:space="0" w:color="auto"/>
              <w:left w:val="outset" w:sz="6" w:space="0" w:color="auto"/>
              <w:bottom w:val="outset" w:sz="6" w:space="0" w:color="auto"/>
              <w:right w:val="outset" w:sz="6" w:space="0" w:color="auto"/>
            </w:tcBorders>
            <w:hideMark/>
          </w:tcPr>
          <w:p w14:paraId="1239D26F"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Labai dažni </w:t>
            </w:r>
          </w:p>
        </w:tc>
      </w:tr>
      <w:tr w:rsidR="00803D36" w14:paraId="41FC1E41" w14:textId="77777777" w:rsidTr="00D0389B">
        <w:trPr>
          <w:tblCellSpacing w:w="0" w:type="dxa"/>
        </w:trPr>
        <w:tc>
          <w:tcPr>
            <w:tcW w:w="3702" w:type="pct"/>
            <w:tcBorders>
              <w:top w:val="outset" w:sz="6" w:space="0" w:color="auto"/>
              <w:left w:val="outset" w:sz="6" w:space="0" w:color="auto"/>
              <w:bottom w:val="outset" w:sz="6" w:space="0" w:color="auto"/>
              <w:right w:val="outset" w:sz="6" w:space="0" w:color="auto"/>
            </w:tcBorders>
            <w:hideMark/>
          </w:tcPr>
          <w:p w14:paraId="7E683B8D" w14:textId="77777777" w:rsidR="00803D36" w:rsidRDefault="00803D36" w:rsidP="00D0389B">
            <w:pPr>
              <w:tabs>
                <w:tab w:val="clear" w:pos="567"/>
                <w:tab w:val="left" w:pos="1296"/>
              </w:tabs>
              <w:spacing w:line="240" w:lineRule="auto"/>
              <w:rPr>
                <w:szCs w:val="22"/>
                <w:lang w:val="lt-LT" w:eastAsia="es-ES"/>
              </w:rPr>
            </w:pPr>
            <w:proofErr w:type="spellStart"/>
            <w:r>
              <w:rPr>
                <w:szCs w:val="22"/>
                <w:lang w:val="lt-LT" w:eastAsia="es-ES"/>
              </w:rPr>
              <w:lastRenderedPageBreak/>
              <w:t>Disfonija</w:t>
            </w:r>
            <w:proofErr w:type="spellEnd"/>
            <w:r>
              <w:rPr>
                <w:szCs w:val="22"/>
                <w:lang w:val="lt-LT" w:eastAsia="es-ES"/>
              </w:rPr>
              <w:t xml:space="preserve"> </w:t>
            </w:r>
          </w:p>
        </w:tc>
        <w:tc>
          <w:tcPr>
            <w:tcW w:w="1298" w:type="pct"/>
            <w:tcBorders>
              <w:top w:val="outset" w:sz="6" w:space="0" w:color="auto"/>
              <w:left w:val="outset" w:sz="6" w:space="0" w:color="auto"/>
              <w:bottom w:val="outset" w:sz="6" w:space="0" w:color="auto"/>
              <w:right w:val="outset" w:sz="6" w:space="0" w:color="auto"/>
            </w:tcBorders>
            <w:hideMark/>
          </w:tcPr>
          <w:p w14:paraId="7FC19EF5"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Labai dažni </w:t>
            </w:r>
          </w:p>
        </w:tc>
      </w:tr>
      <w:tr w:rsidR="00803D36" w14:paraId="420D025E" w14:textId="77777777" w:rsidTr="00D0389B">
        <w:trPr>
          <w:tblCellSpacing w:w="0" w:type="dxa"/>
        </w:trPr>
        <w:tc>
          <w:tcPr>
            <w:tcW w:w="3702" w:type="pct"/>
            <w:tcBorders>
              <w:top w:val="outset" w:sz="6" w:space="0" w:color="auto"/>
              <w:left w:val="outset" w:sz="6" w:space="0" w:color="auto"/>
              <w:bottom w:val="outset" w:sz="6" w:space="0" w:color="auto"/>
              <w:right w:val="outset" w:sz="6" w:space="0" w:color="auto"/>
            </w:tcBorders>
            <w:hideMark/>
          </w:tcPr>
          <w:p w14:paraId="00218A32"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Skreplių spalvos pokytis </w:t>
            </w:r>
          </w:p>
        </w:tc>
        <w:tc>
          <w:tcPr>
            <w:tcW w:w="1298" w:type="pct"/>
            <w:tcBorders>
              <w:top w:val="outset" w:sz="6" w:space="0" w:color="auto"/>
              <w:left w:val="outset" w:sz="6" w:space="0" w:color="auto"/>
              <w:bottom w:val="outset" w:sz="6" w:space="0" w:color="auto"/>
              <w:right w:val="outset" w:sz="6" w:space="0" w:color="auto"/>
            </w:tcBorders>
            <w:hideMark/>
          </w:tcPr>
          <w:p w14:paraId="21BF46D4"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Labai dažni </w:t>
            </w:r>
          </w:p>
        </w:tc>
      </w:tr>
      <w:tr w:rsidR="00F1792C" w:rsidRPr="007223D6" w14:paraId="5EF1D16B" w14:textId="77777777" w:rsidTr="00F1792C">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4111B24B" w14:textId="62155438" w:rsidR="00F1792C" w:rsidRPr="009C5194" w:rsidRDefault="009C5194" w:rsidP="00D0389B">
            <w:pPr>
              <w:tabs>
                <w:tab w:val="clear" w:pos="567"/>
                <w:tab w:val="left" w:pos="1296"/>
              </w:tabs>
              <w:spacing w:line="240" w:lineRule="auto"/>
              <w:rPr>
                <w:b/>
                <w:bCs/>
                <w:i/>
                <w:iCs/>
                <w:szCs w:val="22"/>
                <w:lang w:val="lt-LT" w:eastAsia="es-ES"/>
              </w:rPr>
            </w:pPr>
            <w:r w:rsidRPr="009C5194">
              <w:rPr>
                <w:b/>
                <w:bCs/>
                <w:i/>
                <w:iCs/>
                <w:szCs w:val="22"/>
                <w:lang w:val="lt-LT" w:eastAsia="es-ES"/>
              </w:rPr>
              <w:t>Inkstų ir šlapimo takų sutrikimai</w:t>
            </w:r>
          </w:p>
        </w:tc>
      </w:tr>
      <w:tr w:rsidR="00F1792C" w14:paraId="217E0487" w14:textId="77777777" w:rsidTr="00D0389B">
        <w:trPr>
          <w:tblCellSpacing w:w="0" w:type="dxa"/>
        </w:trPr>
        <w:tc>
          <w:tcPr>
            <w:tcW w:w="3702" w:type="pct"/>
            <w:tcBorders>
              <w:top w:val="outset" w:sz="6" w:space="0" w:color="auto"/>
              <w:left w:val="outset" w:sz="6" w:space="0" w:color="auto"/>
              <w:bottom w:val="outset" w:sz="6" w:space="0" w:color="auto"/>
              <w:right w:val="outset" w:sz="6" w:space="0" w:color="auto"/>
            </w:tcBorders>
          </w:tcPr>
          <w:p w14:paraId="53ECD732" w14:textId="78780D1F" w:rsidR="00F1792C" w:rsidRDefault="005E305D" w:rsidP="00D0389B">
            <w:pPr>
              <w:tabs>
                <w:tab w:val="clear" w:pos="567"/>
                <w:tab w:val="left" w:pos="1296"/>
              </w:tabs>
              <w:spacing w:line="240" w:lineRule="auto"/>
              <w:rPr>
                <w:szCs w:val="22"/>
                <w:lang w:val="lt-LT" w:eastAsia="es-ES"/>
              </w:rPr>
            </w:pPr>
            <w:r w:rsidRPr="005E305D">
              <w:rPr>
                <w:szCs w:val="22"/>
                <w:lang w:val="lt-LT" w:eastAsia="es-ES"/>
              </w:rPr>
              <w:t>Ūminis inkstų pažeidimas (ŪIP)</w:t>
            </w:r>
          </w:p>
        </w:tc>
        <w:tc>
          <w:tcPr>
            <w:tcW w:w="1298" w:type="pct"/>
            <w:tcBorders>
              <w:top w:val="outset" w:sz="6" w:space="0" w:color="auto"/>
              <w:left w:val="outset" w:sz="6" w:space="0" w:color="auto"/>
              <w:bottom w:val="outset" w:sz="6" w:space="0" w:color="auto"/>
              <w:right w:val="outset" w:sz="6" w:space="0" w:color="auto"/>
            </w:tcBorders>
          </w:tcPr>
          <w:p w14:paraId="4008825D" w14:textId="521F0591" w:rsidR="00F1792C" w:rsidRDefault="002D17AA" w:rsidP="00D0389B">
            <w:pPr>
              <w:tabs>
                <w:tab w:val="clear" w:pos="567"/>
                <w:tab w:val="left" w:pos="1296"/>
              </w:tabs>
              <w:spacing w:line="240" w:lineRule="auto"/>
              <w:rPr>
                <w:szCs w:val="22"/>
                <w:lang w:val="lt-LT" w:eastAsia="es-ES"/>
              </w:rPr>
            </w:pPr>
            <w:r>
              <w:rPr>
                <w:szCs w:val="22"/>
                <w:lang w:val="lt-LT" w:eastAsia="es-ES"/>
              </w:rPr>
              <w:t>N</w:t>
            </w:r>
            <w:r w:rsidR="005E305D">
              <w:rPr>
                <w:szCs w:val="22"/>
                <w:lang w:val="lt-LT" w:eastAsia="es-ES"/>
              </w:rPr>
              <w:t>ežinomas</w:t>
            </w:r>
          </w:p>
        </w:tc>
      </w:tr>
      <w:tr w:rsidR="00803D36" w:rsidRPr="007223D6" w14:paraId="669C524C" w14:textId="77777777" w:rsidTr="00D0389B">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08209FBA" w14:textId="77777777" w:rsidR="00803D36" w:rsidRPr="00DD5276" w:rsidRDefault="00803D36" w:rsidP="00D0389B">
            <w:pPr>
              <w:tabs>
                <w:tab w:val="clear" w:pos="567"/>
                <w:tab w:val="left" w:pos="1296"/>
              </w:tabs>
              <w:spacing w:line="240" w:lineRule="auto"/>
              <w:rPr>
                <w:b/>
                <w:bCs/>
                <w:i/>
                <w:szCs w:val="22"/>
                <w:lang w:val="lt-LT" w:eastAsia="es-ES"/>
              </w:rPr>
            </w:pPr>
            <w:r w:rsidRPr="00DD5276">
              <w:rPr>
                <w:rFonts w:eastAsia="Batang"/>
                <w:b/>
                <w:bCs/>
                <w:i/>
                <w:szCs w:val="22"/>
                <w:lang w:val="lt-LT"/>
              </w:rPr>
              <w:t>Bendrieji sutrikimai ir vartojimo vietos pažeidimai</w:t>
            </w:r>
          </w:p>
        </w:tc>
      </w:tr>
      <w:tr w:rsidR="00803D36" w14:paraId="51709FB2" w14:textId="77777777" w:rsidTr="00D0389B">
        <w:trPr>
          <w:tblCellSpacing w:w="0" w:type="dxa"/>
        </w:trPr>
        <w:tc>
          <w:tcPr>
            <w:tcW w:w="3702" w:type="pct"/>
            <w:tcBorders>
              <w:top w:val="outset" w:sz="6" w:space="0" w:color="auto"/>
              <w:left w:val="outset" w:sz="6" w:space="0" w:color="auto"/>
              <w:bottom w:val="outset" w:sz="6" w:space="0" w:color="auto"/>
              <w:right w:val="outset" w:sz="6" w:space="0" w:color="auto"/>
            </w:tcBorders>
            <w:hideMark/>
          </w:tcPr>
          <w:p w14:paraId="160E2280"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Bendrasis negalavimas </w:t>
            </w:r>
          </w:p>
        </w:tc>
        <w:tc>
          <w:tcPr>
            <w:tcW w:w="1298" w:type="pct"/>
            <w:tcBorders>
              <w:top w:val="outset" w:sz="6" w:space="0" w:color="auto"/>
              <w:left w:val="outset" w:sz="6" w:space="0" w:color="auto"/>
              <w:bottom w:val="outset" w:sz="6" w:space="0" w:color="auto"/>
              <w:right w:val="outset" w:sz="6" w:space="0" w:color="auto"/>
            </w:tcBorders>
            <w:hideMark/>
          </w:tcPr>
          <w:p w14:paraId="374E49C3"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Dažni </w:t>
            </w:r>
          </w:p>
        </w:tc>
      </w:tr>
      <w:tr w:rsidR="00803D36" w14:paraId="0F775CCC" w14:textId="77777777" w:rsidTr="00D0389B">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68AB520B" w14:textId="77777777" w:rsidR="00803D36" w:rsidRPr="00DD5276" w:rsidRDefault="00803D36" w:rsidP="00D0389B">
            <w:pPr>
              <w:tabs>
                <w:tab w:val="clear" w:pos="567"/>
                <w:tab w:val="left" w:pos="1296"/>
              </w:tabs>
              <w:spacing w:line="240" w:lineRule="auto"/>
              <w:rPr>
                <w:b/>
                <w:i/>
                <w:szCs w:val="22"/>
                <w:lang w:val="lt-LT" w:eastAsia="es-ES"/>
              </w:rPr>
            </w:pPr>
            <w:r w:rsidRPr="00DD5276">
              <w:rPr>
                <w:b/>
                <w:i/>
                <w:szCs w:val="22"/>
                <w:lang w:val="lt-LT" w:eastAsia="es-ES"/>
              </w:rPr>
              <w:t>Tyrimai</w:t>
            </w:r>
          </w:p>
        </w:tc>
      </w:tr>
      <w:tr w:rsidR="00803D36" w14:paraId="7AFE203A" w14:textId="77777777" w:rsidTr="00D0389B">
        <w:trPr>
          <w:tblCellSpacing w:w="0" w:type="dxa"/>
        </w:trPr>
        <w:tc>
          <w:tcPr>
            <w:tcW w:w="3702" w:type="pct"/>
            <w:tcBorders>
              <w:top w:val="outset" w:sz="6" w:space="0" w:color="auto"/>
              <w:left w:val="outset" w:sz="6" w:space="0" w:color="auto"/>
              <w:bottom w:val="outset" w:sz="6" w:space="0" w:color="auto"/>
              <w:right w:val="outset" w:sz="6" w:space="0" w:color="auto"/>
            </w:tcBorders>
            <w:hideMark/>
          </w:tcPr>
          <w:p w14:paraId="712FA7B1"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Plaučių funkcijos tyrimų rodmenų pablogėjimas</w:t>
            </w:r>
          </w:p>
        </w:tc>
        <w:tc>
          <w:tcPr>
            <w:tcW w:w="1298" w:type="pct"/>
            <w:tcBorders>
              <w:top w:val="outset" w:sz="6" w:space="0" w:color="auto"/>
              <w:left w:val="outset" w:sz="6" w:space="0" w:color="auto"/>
              <w:bottom w:val="outset" w:sz="6" w:space="0" w:color="auto"/>
              <w:right w:val="outset" w:sz="6" w:space="0" w:color="auto"/>
            </w:tcBorders>
            <w:hideMark/>
          </w:tcPr>
          <w:p w14:paraId="4C412A3C"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Labai dažni </w:t>
            </w:r>
          </w:p>
        </w:tc>
      </w:tr>
      <w:tr w:rsidR="00803D36" w14:paraId="38156B62" w14:textId="77777777" w:rsidTr="00D0389B">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02274883" w14:textId="77777777" w:rsidR="00803D36" w:rsidRPr="00DD5276" w:rsidRDefault="00803D36" w:rsidP="00D0389B">
            <w:pPr>
              <w:tabs>
                <w:tab w:val="clear" w:pos="567"/>
                <w:tab w:val="left" w:pos="1296"/>
              </w:tabs>
              <w:spacing w:line="240" w:lineRule="auto"/>
              <w:rPr>
                <w:b/>
                <w:i/>
                <w:szCs w:val="22"/>
                <w:lang w:val="lt-LT" w:eastAsia="es-ES"/>
              </w:rPr>
            </w:pPr>
            <w:r w:rsidRPr="00DD5276">
              <w:rPr>
                <w:b/>
                <w:i/>
                <w:szCs w:val="22"/>
                <w:lang w:val="lt-LT" w:eastAsia="es-ES"/>
              </w:rPr>
              <w:t>Ausų ir labirintų sutrikimai</w:t>
            </w:r>
          </w:p>
        </w:tc>
      </w:tr>
      <w:tr w:rsidR="00803D36" w14:paraId="12697D61" w14:textId="77777777" w:rsidTr="00D0389B">
        <w:trPr>
          <w:tblCellSpacing w:w="0" w:type="dxa"/>
        </w:trPr>
        <w:tc>
          <w:tcPr>
            <w:tcW w:w="3702" w:type="pct"/>
            <w:tcBorders>
              <w:top w:val="outset" w:sz="6" w:space="0" w:color="auto"/>
              <w:left w:val="outset" w:sz="6" w:space="0" w:color="auto"/>
              <w:bottom w:val="outset" w:sz="6" w:space="0" w:color="auto"/>
              <w:right w:val="outset" w:sz="6" w:space="0" w:color="auto"/>
            </w:tcBorders>
            <w:hideMark/>
          </w:tcPr>
          <w:p w14:paraId="28C5655F"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Ūžesys (</w:t>
            </w:r>
            <w:proofErr w:type="spellStart"/>
            <w:r>
              <w:rPr>
                <w:i/>
                <w:szCs w:val="22"/>
                <w:lang w:val="lt-LT" w:eastAsia="es-ES"/>
              </w:rPr>
              <w:t>tinnitus</w:t>
            </w:r>
            <w:proofErr w:type="spellEnd"/>
            <w:r>
              <w:rPr>
                <w:szCs w:val="22"/>
                <w:lang w:val="lt-LT" w:eastAsia="es-ES"/>
              </w:rPr>
              <w:t>)</w:t>
            </w:r>
          </w:p>
        </w:tc>
        <w:tc>
          <w:tcPr>
            <w:tcW w:w="1298" w:type="pct"/>
            <w:tcBorders>
              <w:top w:val="outset" w:sz="6" w:space="0" w:color="auto"/>
              <w:left w:val="outset" w:sz="6" w:space="0" w:color="auto"/>
              <w:bottom w:val="outset" w:sz="6" w:space="0" w:color="auto"/>
              <w:right w:val="outset" w:sz="6" w:space="0" w:color="auto"/>
            </w:tcBorders>
            <w:hideMark/>
          </w:tcPr>
          <w:p w14:paraId="37CEC507"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Dažni </w:t>
            </w:r>
          </w:p>
        </w:tc>
      </w:tr>
      <w:tr w:rsidR="00803D36" w:rsidRPr="007223D6" w14:paraId="19E5BA13" w14:textId="77777777" w:rsidTr="00D0389B">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73FBB1ED" w14:textId="77777777" w:rsidR="00803D36" w:rsidRPr="00DD5276" w:rsidRDefault="00803D36" w:rsidP="00D0389B">
            <w:pPr>
              <w:pStyle w:val="Pavadinimas"/>
              <w:spacing w:line="256" w:lineRule="auto"/>
              <w:jc w:val="left"/>
              <w:rPr>
                <w:bCs/>
                <w:i/>
                <w:szCs w:val="22"/>
                <w:lang w:val="lt-LT"/>
              </w:rPr>
            </w:pPr>
            <w:r w:rsidRPr="00DD5276">
              <w:rPr>
                <w:bCs/>
                <w:i/>
                <w:szCs w:val="22"/>
                <w:lang w:val="lt-LT"/>
              </w:rPr>
              <w:t>Skeleto, raumenų ir jungiamojo audinio sutrikimai</w:t>
            </w:r>
          </w:p>
        </w:tc>
      </w:tr>
      <w:tr w:rsidR="00803D36" w14:paraId="7182C522" w14:textId="77777777" w:rsidTr="00D0389B">
        <w:trPr>
          <w:tblCellSpacing w:w="0" w:type="dxa"/>
        </w:trPr>
        <w:tc>
          <w:tcPr>
            <w:tcW w:w="3702" w:type="pct"/>
            <w:tcBorders>
              <w:top w:val="outset" w:sz="6" w:space="0" w:color="auto"/>
              <w:left w:val="outset" w:sz="6" w:space="0" w:color="auto"/>
              <w:bottom w:val="outset" w:sz="6" w:space="0" w:color="auto"/>
              <w:right w:val="outset" w:sz="6" w:space="0" w:color="auto"/>
            </w:tcBorders>
            <w:hideMark/>
          </w:tcPr>
          <w:p w14:paraId="1D2030D0" w14:textId="77777777" w:rsidR="00803D36" w:rsidRDefault="00803D36" w:rsidP="00D0389B">
            <w:pPr>
              <w:tabs>
                <w:tab w:val="clear" w:pos="567"/>
                <w:tab w:val="left" w:pos="1296"/>
              </w:tabs>
              <w:spacing w:line="240" w:lineRule="auto"/>
              <w:rPr>
                <w:szCs w:val="22"/>
                <w:lang w:val="lt-LT" w:eastAsia="es-ES"/>
              </w:rPr>
            </w:pPr>
            <w:proofErr w:type="spellStart"/>
            <w:r>
              <w:rPr>
                <w:szCs w:val="22"/>
                <w:lang w:val="lt-LT" w:eastAsia="es-ES"/>
              </w:rPr>
              <w:t>Mialgija</w:t>
            </w:r>
            <w:proofErr w:type="spellEnd"/>
            <w:r>
              <w:rPr>
                <w:szCs w:val="22"/>
                <w:lang w:val="lt-LT" w:eastAsia="es-ES"/>
              </w:rPr>
              <w:t xml:space="preserve"> </w:t>
            </w:r>
          </w:p>
        </w:tc>
        <w:tc>
          <w:tcPr>
            <w:tcW w:w="1298" w:type="pct"/>
            <w:tcBorders>
              <w:top w:val="outset" w:sz="6" w:space="0" w:color="auto"/>
              <w:left w:val="outset" w:sz="6" w:space="0" w:color="auto"/>
              <w:bottom w:val="outset" w:sz="6" w:space="0" w:color="auto"/>
              <w:right w:val="outset" w:sz="6" w:space="0" w:color="auto"/>
            </w:tcBorders>
            <w:hideMark/>
          </w:tcPr>
          <w:p w14:paraId="76FD6118"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Dažni </w:t>
            </w:r>
          </w:p>
        </w:tc>
      </w:tr>
      <w:tr w:rsidR="00803D36" w14:paraId="46F7F79C" w14:textId="77777777" w:rsidTr="00D0389B">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40D1AD73" w14:textId="77777777" w:rsidR="00803D36" w:rsidRPr="00DD5276" w:rsidRDefault="00803D36" w:rsidP="00D0389B">
            <w:pPr>
              <w:tabs>
                <w:tab w:val="clear" w:pos="567"/>
                <w:tab w:val="left" w:pos="1296"/>
              </w:tabs>
              <w:spacing w:line="240" w:lineRule="auto"/>
              <w:rPr>
                <w:b/>
                <w:bCs/>
                <w:i/>
                <w:szCs w:val="22"/>
                <w:lang w:val="lt-LT" w:eastAsia="es-ES"/>
              </w:rPr>
            </w:pPr>
            <w:r w:rsidRPr="00DD5276">
              <w:rPr>
                <w:b/>
                <w:bCs/>
                <w:i/>
                <w:szCs w:val="22"/>
                <w:lang w:val="lt-LT"/>
              </w:rPr>
              <w:t xml:space="preserve">Infekcijos ir </w:t>
            </w:r>
            <w:proofErr w:type="spellStart"/>
            <w:r w:rsidRPr="00DD5276">
              <w:rPr>
                <w:b/>
                <w:bCs/>
                <w:i/>
                <w:szCs w:val="22"/>
                <w:lang w:val="lt-LT"/>
              </w:rPr>
              <w:t>infestacijos</w:t>
            </w:r>
            <w:proofErr w:type="spellEnd"/>
          </w:p>
        </w:tc>
      </w:tr>
      <w:tr w:rsidR="00803D36" w14:paraId="0B6FED06" w14:textId="77777777" w:rsidTr="00D0389B">
        <w:trPr>
          <w:tblCellSpacing w:w="0" w:type="dxa"/>
        </w:trPr>
        <w:tc>
          <w:tcPr>
            <w:tcW w:w="3702" w:type="pct"/>
            <w:tcBorders>
              <w:top w:val="outset" w:sz="6" w:space="0" w:color="auto"/>
              <w:left w:val="outset" w:sz="6" w:space="0" w:color="auto"/>
              <w:bottom w:val="outset" w:sz="6" w:space="0" w:color="auto"/>
              <w:right w:val="outset" w:sz="6" w:space="0" w:color="auto"/>
            </w:tcBorders>
            <w:hideMark/>
          </w:tcPr>
          <w:p w14:paraId="31E2E58D"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Laringitas </w:t>
            </w:r>
          </w:p>
        </w:tc>
        <w:tc>
          <w:tcPr>
            <w:tcW w:w="1298" w:type="pct"/>
            <w:tcBorders>
              <w:top w:val="outset" w:sz="6" w:space="0" w:color="auto"/>
              <w:left w:val="outset" w:sz="6" w:space="0" w:color="auto"/>
              <w:bottom w:val="outset" w:sz="6" w:space="0" w:color="auto"/>
              <w:right w:val="outset" w:sz="6" w:space="0" w:color="auto"/>
            </w:tcBorders>
            <w:hideMark/>
          </w:tcPr>
          <w:p w14:paraId="688D2FCE" w14:textId="77777777" w:rsidR="00803D36" w:rsidRDefault="00803D36" w:rsidP="00D0389B">
            <w:pPr>
              <w:tabs>
                <w:tab w:val="clear" w:pos="567"/>
                <w:tab w:val="left" w:pos="1296"/>
              </w:tabs>
              <w:spacing w:line="240" w:lineRule="auto"/>
              <w:rPr>
                <w:szCs w:val="22"/>
                <w:lang w:val="lt-LT" w:eastAsia="es-ES"/>
              </w:rPr>
            </w:pPr>
            <w:r>
              <w:rPr>
                <w:szCs w:val="22"/>
                <w:lang w:val="lt-LT" w:eastAsia="es-ES"/>
              </w:rPr>
              <w:t xml:space="preserve">Dažni </w:t>
            </w:r>
          </w:p>
        </w:tc>
      </w:tr>
    </w:tbl>
    <w:p w14:paraId="5FE4A3F8" w14:textId="77777777" w:rsidR="00803D36" w:rsidRDefault="00803D36" w:rsidP="00803D36">
      <w:pPr>
        <w:tabs>
          <w:tab w:val="clear" w:pos="567"/>
          <w:tab w:val="left" w:pos="1296"/>
        </w:tabs>
        <w:spacing w:line="240" w:lineRule="auto"/>
        <w:jc w:val="both"/>
        <w:rPr>
          <w:szCs w:val="22"/>
          <w:lang w:val="lt-LT" w:eastAsia="es-ES"/>
        </w:rPr>
      </w:pPr>
    </w:p>
    <w:p w14:paraId="6173420D" w14:textId="77777777" w:rsidR="00803D36" w:rsidRDefault="00803D36" w:rsidP="00803D36">
      <w:pPr>
        <w:tabs>
          <w:tab w:val="clear" w:pos="567"/>
          <w:tab w:val="left" w:pos="1296"/>
        </w:tabs>
        <w:spacing w:line="240" w:lineRule="auto"/>
        <w:rPr>
          <w:szCs w:val="22"/>
          <w:lang w:val="lt-LT" w:eastAsia="es-ES"/>
        </w:rPr>
      </w:pPr>
      <w:r>
        <w:rPr>
          <w:szCs w:val="22"/>
          <w:lang w:val="lt-LT" w:eastAsia="es-ES"/>
        </w:rPr>
        <w:t xml:space="preserve">Dviejų atvirų tyrimų pratęsimų metu ilgėjant purškiamojo </w:t>
      </w:r>
      <w:proofErr w:type="spellStart"/>
      <w:r>
        <w:rPr>
          <w:szCs w:val="22"/>
          <w:lang w:val="lt-LT" w:eastAsia="es-ES"/>
        </w:rPr>
        <w:t>tobramicino</w:t>
      </w:r>
      <w:proofErr w:type="spellEnd"/>
      <w:r>
        <w:rPr>
          <w:szCs w:val="22"/>
          <w:lang w:val="lt-LT" w:eastAsia="es-ES"/>
        </w:rPr>
        <w:t xml:space="preserve"> ekspozicijai, produktyvaus kosulio ir plaučių funkcijos tyrimų rodmenų pablogėjimo dažnis didėjo, tačiau gauta duomenų apie </w:t>
      </w:r>
      <w:proofErr w:type="spellStart"/>
      <w:r>
        <w:rPr>
          <w:szCs w:val="22"/>
          <w:lang w:val="lt-LT" w:eastAsia="es-ES"/>
        </w:rPr>
        <w:t>disfonijos</w:t>
      </w:r>
      <w:proofErr w:type="spellEnd"/>
      <w:r>
        <w:rPr>
          <w:szCs w:val="22"/>
          <w:lang w:val="lt-LT" w:eastAsia="es-ES"/>
        </w:rPr>
        <w:t xml:space="preserve"> dažnio mažėjimą. Apskritai, ilgėjant purškiamojo </w:t>
      </w:r>
      <w:proofErr w:type="spellStart"/>
      <w:r>
        <w:rPr>
          <w:szCs w:val="22"/>
          <w:lang w:val="lt-LT" w:eastAsia="es-ES"/>
        </w:rPr>
        <w:t>tobramicino</w:t>
      </w:r>
      <w:proofErr w:type="spellEnd"/>
      <w:r>
        <w:rPr>
          <w:szCs w:val="22"/>
          <w:lang w:val="lt-LT" w:eastAsia="es-ES"/>
        </w:rPr>
        <w:t xml:space="preserve"> ekspozicijai, mažėjo su šiomis </w:t>
      </w:r>
      <w:proofErr w:type="spellStart"/>
      <w:r>
        <w:rPr>
          <w:szCs w:val="22"/>
          <w:lang w:val="lt-LT" w:eastAsia="es-ES"/>
        </w:rPr>
        <w:t>MedDRA</w:t>
      </w:r>
      <w:proofErr w:type="spellEnd"/>
      <w:r>
        <w:rPr>
          <w:szCs w:val="22"/>
          <w:lang w:val="lt-LT" w:eastAsia="es-ES"/>
        </w:rPr>
        <w:t xml:space="preserve"> organų sistemų klasėmis susijusių nepageidaujamų reiškinių dažnis: „Kvėpavimo sistemos, krūtinės ląstos ir tarpuplaučio sutrikimai“, „Virškinimo trakto sutrikimai“ ir „Bendrieji sutrikimai ir vartojimo vietos pažeidimai“.</w:t>
      </w:r>
    </w:p>
    <w:p w14:paraId="1DB9C836" w14:textId="77777777" w:rsidR="00803D36" w:rsidRDefault="00803D36" w:rsidP="00803D36">
      <w:pPr>
        <w:tabs>
          <w:tab w:val="clear" w:pos="567"/>
          <w:tab w:val="left" w:pos="1296"/>
        </w:tabs>
        <w:spacing w:line="240" w:lineRule="auto"/>
        <w:jc w:val="both"/>
        <w:rPr>
          <w:szCs w:val="22"/>
          <w:lang w:val="lt-LT" w:eastAsia="es-ES"/>
        </w:rPr>
      </w:pPr>
    </w:p>
    <w:p w14:paraId="7B429123" w14:textId="77777777" w:rsidR="00803D36" w:rsidRDefault="00803D36" w:rsidP="00803D36">
      <w:pPr>
        <w:tabs>
          <w:tab w:val="clear" w:pos="567"/>
          <w:tab w:val="left" w:pos="1296"/>
        </w:tabs>
        <w:spacing w:line="240" w:lineRule="auto"/>
        <w:jc w:val="both"/>
        <w:rPr>
          <w:b/>
          <w:bCs/>
          <w:szCs w:val="22"/>
          <w:lang w:val="lt-LT" w:eastAsia="es-ES"/>
        </w:rPr>
      </w:pPr>
      <w:r>
        <w:rPr>
          <w:b/>
          <w:bCs/>
          <w:szCs w:val="22"/>
          <w:lang w:val="lt-LT" w:eastAsia="es-ES"/>
        </w:rPr>
        <w:t>Nepageidaujamos reakcijos, duomenų apie kurias gauta iš spontaninių pranešimų</w:t>
      </w:r>
    </w:p>
    <w:p w14:paraId="43C6DD88" w14:textId="77777777" w:rsidR="00803D36" w:rsidRDefault="00803D36" w:rsidP="00803D36">
      <w:pPr>
        <w:tabs>
          <w:tab w:val="clear" w:pos="567"/>
          <w:tab w:val="left" w:pos="1296"/>
        </w:tabs>
        <w:spacing w:line="240" w:lineRule="auto"/>
        <w:rPr>
          <w:szCs w:val="22"/>
          <w:lang w:val="lt-LT" w:eastAsia="es-ES"/>
        </w:rPr>
      </w:pPr>
      <w:r>
        <w:rPr>
          <w:szCs w:val="22"/>
          <w:lang w:val="lt-LT" w:eastAsia="es-ES"/>
        </w:rPr>
        <w:t>Toliau išvardytos nepageidaujamos reakcijos, apie kurias informacijos gauta remiantis spontaniniais (savanoriškais) pranešimais ir kurių dažnio ar ryšio su vaistinio preparato ekspozicija patikimai nustatyti ne visada įmanoma.</w:t>
      </w:r>
    </w:p>
    <w:p w14:paraId="3F2D80F3" w14:textId="77777777" w:rsidR="00803D36" w:rsidRDefault="00803D36" w:rsidP="00803D36">
      <w:pPr>
        <w:tabs>
          <w:tab w:val="clear" w:pos="567"/>
          <w:tab w:val="left" w:pos="1296"/>
        </w:tabs>
        <w:spacing w:line="240" w:lineRule="auto"/>
        <w:rPr>
          <w:bCs/>
          <w:szCs w:val="22"/>
          <w:lang w:val="lt-LT" w:eastAsia="es-ES"/>
        </w:rPr>
      </w:pPr>
    </w:p>
    <w:p w14:paraId="4FB8BC40" w14:textId="77777777" w:rsidR="00803D36" w:rsidRPr="00342456" w:rsidRDefault="00803D36" w:rsidP="00803D36">
      <w:pPr>
        <w:tabs>
          <w:tab w:val="clear" w:pos="567"/>
          <w:tab w:val="left" w:pos="1296"/>
        </w:tabs>
        <w:spacing w:line="240" w:lineRule="auto"/>
        <w:rPr>
          <w:i/>
          <w:szCs w:val="22"/>
          <w:lang w:val="lt-LT" w:eastAsia="es-ES"/>
        </w:rPr>
      </w:pPr>
      <w:r w:rsidRPr="00342456">
        <w:rPr>
          <w:bCs/>
          <w:i/>
          <w:szCs w:val="22"/>
          <w:lang w:val="lt-LT" w:eastAsia="es-ES"/>
        </w:rPr>
        <w:t>Ausų ir labirintų sutrikimai</w:t>
      </w:r>
    </w:p>
    <w:p w14:paraId="7D1AB225" w14:textId="77777777" w:rsidR="00803D36" w:rsidRDefault="00803D36" w:rsidP="00803D36">
      <w:pPr>
        <w:tabs>
          <w:tab w:val="clear" w:pos="567"/>
          <w:tab w:val="left" w:pos="1296"/>
        </w:tabs>
        <w:spacing w:line="240" w:lineRule="auto"/>
        <w:rPr>
          <w:szCs w:val="22"/>
          <w:lang w:val="lt-LT" w:eastAsia="es-ES"/>
        </w:rPr>
      </w:pPr>
      <w:r>
        <w:rPr>
          <w:szCs w:val="22"/>
          <w:lang w:val="lt-LT" w:eastAsia="es-ES"/>
        </w:rPr>
        <w:t>Apkurtimas.</w:t>
      </w:r>
    </w:p>
    <w:p w14:paraId="04313FEA" w14:textId="77777777" w:rsidR="00803D36" w:rsidRDefault="00803D36" w:rsidP="00803D36">
      <w:pPr>
        <w:tabs>
          <w:tab w:val="clear" w:pos="567"/>
          <w:tab w:val="left" w:pos="1296"/>
        </w:tabs>
        <w:spacing w:line="240" w:lineRule="auto"/>
        <w:jc w:val="both"/>
        <w:rPr>
          <w:bCs/>
          <w:szCs w:val="22"/>
          <w:lang w:val="lt-LT" w:eastAsia="es-ES"/>
        </w:rPr>
      </w:pPr>
    </w:p>
    <w:p w14:paraId="706D9AE5" w14:textId="77777777" w:rsidR="00803D36" w:rsidRPr="00342456" w:rsidRDefault="00803D36" w:rsidP="00803D36">
      <w:pPr>
        <w:tabs>
          <w:tab w:val="clear" w:pos="567"/>
          <w:tab w:val="left" w:pos="1296"/>
        </w:tabs>
        <w:spacing w:line="240" w:lineRule="auto"/>
        <w:jc w:val="both"/>
        <w:rPr>
          <w:i/>
          <w:szCs w:val="22"/>
          <w:lang w:val="lt-LT" w:eastAsia="es-ES"/>
        </w:rPr>
      </w:pPr>
      <w:r w:rsidRPr="00342456">
        <w:rPr>
          <w:bCs/>
          <w:i/>
          <w:szCs w:val="22"/>
          <w:lang w:val="lt-LT" w:eastAsia="es-ES"/>
        </w:rPr>
        <w:t>Odos ir poodinio audinio sutrikimai</w:t>
      </w:r>
    </w:p>
    <w:p w14:paraId="37DC2772" w14:textId="77777777" w:rsidR="00803D36" w:rsidRDefault="00803D36" w:rsidP="00803D36">
      <w:pPr>
        <w:tabs>
          <w:tab w:val="clear" w:pos="567"/>
          <w:tab w:val="left" w:pos="1296"/>
        </w:tabs>
        <w:spacing w:line="240" w:lineRule="auto"/>
        <w:jc w:val="both"/>
        <w:rPr>
          <w:szCs w:val="22"/>
          <w:lang w:val="lt-LT" w:eastAsia="es-ES"/>
        </w:rPr>
      </w:pPr>
      <w:r>
        <w:rPr>
          <w:szCs w:val="22"/>
          <w:lang w:val="lt-LT" w:eastAsia="es-ES"/>
        </w:rPr>
        <w:t>Padidėjęs jautrumas, niežėjimas, dilgėlinė, išbėrimas.</w:t>
      </w:r>
    </w:p>
    <w:p w14:paraId="13E21BC1" w14:textId="77777777" w:rsidR="00803D36" w:rsidRDefault="00803D36" w:rsidP="00803D36">
      <w:pPr>
        <w:tabs>
          <w:tab w:val="clear" w:pos="567"/>
          <w:tab w:val="left" w:pos="1296"/>
        </w:tabs>
        <w:spacing w:line="240" w:lineRule="auto"/>
        <w:jc w:val="both"/>
        <w:rPr>
          <w:bCs/>
          <w:szCs w:val="22"/>
          <w:lang w:val="lt-LT" w:eastAsia="es-ES"/>
        </w:rPr>
      </w:pPr>
    </w:p>
    <w:p w14:paraId="644F7EB2" w14:textId="77777777" w:rsidR="00803D36" w:rsidRPr="00342456" w:rsidRDefault="00803D36" w:rsidP="00803D36">
      <w:pPr>
        <w:tabs>
          <w:tab w:val="clear" w:pos="567"/>
          <w:tab w:val="left" w:pos="1296"/>
        </w:tabs>
        <w:spacing w:line="240" w:lineRule="auto"/>
        <w:jc w:val="both"/>
        <w:rPr>
          <w:i/>
          <w:szCs w:val="22"/>
          <w:lang w:val="lt-LT" w:eastAsia="es-ES"/>
        </w:rPr>
      </w:pPr>
      <w:r w:rsidRPr="00342456">
        <w:rPr>
          <w:bCs/>
          <w:i/>
          <w:szCs w:val="22"/>
          <w:lang w:val="lt-LT" w:eastAsia="es-ES"/>
        </w:rPr>
        <w:t>Nervų sistemos sutrikimai</w:t>
      </w:r>
    </w:p>
    <w:p w14:paraId="58BC6CB9" w14:textId="77777777" w:rsidR="00803D36" w:rsidRDefault="00803D36" w:rsidP="00803D36">
      <w:pPr>
        <w:tabs>
          <w:tab w:val="clear" w:pos="567"/>
          <w:tab w:val="left" w:pos="1296"/>
        </w:tabs>
        <w:spacing w:line="240" w:lineRule="auto"/>
        <w:jc w:val="both"/>
        <w:rPr>
          <w:szCs w:val="22"/>
          <w:lang w:val="lt-LT" w:eastAsia="es-ES"/>
        </w:rPr>
      </w:pPr>
      <w:r>
        <w:rPr>
          <w:szCs w:val="22"/>
          <w:lang w:val="lt-LT" w:eastAsia="es-ES"/>
        </w:rPr>
        <w:t xml:space="preserve">Afonija, </w:t>
      </w:r>
      <w:proofErr w:type="spellStart"/>
      <w:r>
        <w:rPr>
          <w:szCs w:val="22"/>
          <w:lang w:val="lt-LT" w:eastAsia="es-ES"/>
        </w:rPr>
        <w:t>disgeuzija</w:t>
      </w:r>
      <w:proofErr w:type="spellEnd"/>
      <w:r>
        <w:rPr>
          <w:szCs w:val="22"/>
          <w:lang w:val="lt-LT" w:eastAsia="es-ES"/>
        </w:rPr>
        <w:t>.</w:t>
      </w:r>
    </w:p>
    <w:p w14:paraId="4FA3CAED" w14:textId="77777777" w:rsidR="00803D36" w:rsidRDefault="00803D36" w:rsidP="00803D36">
      <w:pPr>
        <w:tabs>
          <w:tab w:val="clear" w:pos="567"/>
          <w:tab w:val="left" w:pos="1296"/>
        </w:tabs>
        <w:spacing w:line="240" w:lineRule="auto"/>
        <w:rPr>
          <w:bCs/>
          <w:szCs w:val="22"/>
          <w:lang w:val="lt-LT" w:eastAsia="es-ES"/>
        </w:rPr>
      </w:pPr>
    </w:p>
    <w:p w14:paraId="59ACB825" w14:textId="77777777" w:rsidR="00803D36" w:rsidRPr="00342456" w:rsidRDefault="00803D36" w:rsidP="00803D36">
      <w:pPr>
        <w:tabs>
          <w:tab w:val="clear" w:pos="567"/>
          <w:tab w:val="left" w:pos="1296"/>
        </w:tabs>
        <w:spacing w:line="240" w:lineRule="auto"/>
        <w:rPr>
          <w:szCs w:val="22"/>
          <w:lang w:val="lt-LT" w:eastAsia="es-ES"/>
        </w:rPr>
      </w:pPr>
      <w:r w:rsidRPr="00342456">
        <w:rPr>
          <w:rFonts w:eastAsia="Batang"/>
          <w:i/>
          <w:szCs w:val="22"/>
          <w:lang w:val="lt-LT"/>
        </w:rPr>
        <w:t>Kvėpavimo sistemos, krūtinės ląstos ir tarpuplaučio sutrikimai</w:t>
      </w:r>
      <w:r w:rsidRPr="00342456">
        <w:rPr>
          <w:szCs w:val="22"/>
          <w:lang w:val="lt-LT" w:eastAsia="es-ES"/>
        </w:rPr>
        <w:t xml:space="preserve"> </w:t>
      </w:r>
    </w:p>
    <w:p w14:paraId="5221394F" w14:textId="77777777" w:rsidR="00803D36" w:rsidRDefault="00803D36" w:rsidP="00803D36">
      <w:pPr>
        <w:tabs>
          <w:tab w:val="clear" w:pos="567"/>
          <w:tab w:val="left" w:pos="1296"/>
        </w:tabs>
        <w:spacing w:line="240" w:lineRule="auto"/>
        <w:rPr>
          <w:szCs w:val="22"/>
          <w:lang w:val="lt-LT" w:eastAsia="es-ES"/>
        </w:rPr>
      </w:pPr>
      <w:r>
        <w:rPr>
          <w:szCs w:val="22"/>
          <w:lang w:val="lt-LT" w:eastAsia="es-ES"/>
        </w:rPr>
        <w:t>Bronchų spazmas, burnos ir gerklės skausmas.</w:t>
      </w:r>
    </w:p>
    <w:p w14:paraId="5FA06BAE" w14:textId="77777777" w:rsidR="00803D36" w:rsidRDefault="00803D36" w:rsidP="00803D36">
      <w:pPr>
        <w:tabs>
          <w:tab w:val="clear" w:pos="567"/>
          <w:tab w:val="left" w:pos="1296"/>
        </w:tabs>
        <w:spacing w:line="240" w:lineRule="auto"/>
        <w:rPr>
          <w:szCs w:val="22"/>
          <w:lang w:val="lt-LT" w:eastAsia="es-ES"/>
        </w:rPr>
      </w:pPr>
    </w:p>
    <w:p w14:paraId="284FE634" w14:textId="77777777" w:rsidR="00803D36" w:rsidRDefault="00803D36" w:rsidP="00803D36">
      <w:pPr>
        <w:tabs>
          <w:tab w:val="clear" w:pos="567"/>
          <w:tab w:val="left" w:pos="1296"/>
        </w:tabs>
        <w:spacing w:line="240" w:lineRule="auto"/>
        <w:rPr>
          <w:szCs w:val="22"/>
          <w:lang w:val="lt-LT" w:eastAsia="es-ES"/>
        </w:rPr>
      </w:pPr>
      <w:r>
        <w:rPr>
          <w:szCs w:val="22"/>
          <w:lang w:val="lt-LT"/>
        </w:rPr>
        <w:t xml:space="preserve">Atvirų tyrimų metu bei po vaistinio preparato pateikimo į rinką kai kuriems pacientams, anksčiau ilgai į veną vartojusiems </w:t>
      </w:r>
      <w:proofErr w:type="spellStart"/>
      <w:r>
        <w:rPr>
          <w:szCs w:val="22"/>
          <w:lang w:val="lt-LT"/>
        </w:rPr>
        <w:t>aminoglikozidų</w:t>
      </w:r>
      <w:proofErr w:type="spellEnd"/>
      <w:r>
        <w:rPr>
          <w:szCs w:val="22"/>
          <w:lang w:val="lt-LT"/>
        </w:rPr>
        <w:t xml:space="preserve"> arba jų vartojusiems kartu su purškiamuoju </w:t>
      </w:r>
      <w:proofErr w:type="spellStart"/>
      <w:r>
        <w:rPr>
          <w:szCs w:val="22"/>
          <w:lang w:val="lt-LT"/>
        </w:rPr>
        <w:t>tobramicinu</w:t>
      </w:r>
      <w:proofErr w:type="spellEnd"/>
      <w:r>
        <w:rPr>
          <w:szCs w:val="22"/>
          <w:lang w:val="lt-LT"/>
        </w:rPr>
        <w:t>, pasireiškė apkurtimas</w:t>
      </w:r>
      <w:r>
        <w:rPr>
          <w:szCs w:val="22"/>
          <w:lang w:val="lt-LT" w:eastAsia="es-ES"/>
        </w:rPr>
        <w:t xml:space="preserve"> (žr. 4.4 </w:t>
      </w:r>
      <w:r>
        <w:rPr>
          <w:szCs w:val="22"/>
          <w:lang w:val="lt-LT"/>
        </w:rPr>
        <w:t>skyrių</w:t>
      </w:r>
      <w:r>
        <w:rPr>
          <w:szCs w:val="22"/>
          <w:lang w:val="lt-LT" w:eastAsia="es-ES"/>
        </w:rPr>
        <w:t xml:space="preserve">). </w:t>
      </w:r>
      <w:proofErr w:type="spellStart"/>
      <w:r>
        <w:rPr>
          <w:szCs w:val="22"/>
          <w:lang w:val="lt-LT" w:eastAsia="es-ES"/>
        </w:rPr>
        <w:t>Aminoglikozidų</w:t>
      </w:r>
      <w:proofErr w:type="spellEnd"/>
      <w:r>
        <w:rPr>
          <w:szCs w:val="22"/>
          <w:lang w:val="lt-LT" w:eastAsia="es-ES"/>
        </w:rPr>
        <w:t xml:space="preserve"> vartojimas </w:t>
      </w:r>
      <w:proofErr w:type="spellStart"/>
      <w:r>
        <w:rPr>
          <w:szCs w:val="22"/>
          <w:lang w:val="lt-LT" w:eastAsia="es-ES"/>
        </w:rPr>
        <w:t>parenteriniu</w:t>
      </w:r>
      <w:proofErr w:type="spellEnd"/>
      <w:r>
        <w:rPr>
          <w:szCs w:val="22"/>
          <w:lang w:val="lt-LT" w:eastAsia="es-ES"/>
        </w:rPr>
        <w:t xml:space="preserve"> būdu buvo susijęs su padidėjusiu jautrumu ir </w:t>
      </w:r>
      <w:proofErr w:type="spellStart"/>
      <w:r>
        <w:rPr>
          <w:szCs w:val="22"/>
          <w:lang w:val="lt-LT" w:eastAsia="es-ES"/>
        </w:rPr>
        <w:t>ototoksiniu</w:t>
      </w:r>
      <w:proofErr w:type="spellEnd"/>
      <w:r>
        <w:rPr>
          <w:szCs w:val="22"/>
          <w:lang w:val="lt-LT" w:eastAsia="es-ES"/>
        </w:rPr>
        <w:t xml:space="preserve"> bei </w:t>
      </w:r>
      <w:proofErr w:type="spellStart"/>
      <w:r>
        <w:rPr>
          <w:szCs w:val="22"/>
          <w:lang w:val="lt-LT" w:eastAsia="es-ES"/>
        </w:rPr>
        <w:t>nefrotoksiniu</w:t>
      </w:r>
      <w:proofErr w:type="spellEnd"/>
      <w:r>
        <w:rPr>
          <w:szCs w:val="22"/>
          <w:lang w:val="lt-LT" w:eastAsia="es-ES"/>
        </w:rPr>
        <w:t xml:space="preserve"> poveikiu (žr. 4.3 ir 4.4 skyrius).</w:t>
      </w:r>
    </w:p>
    <w:p w14:paraId="1C3F1343" w14:textId="77777777" w:rsidR="00803D36" w:rsidRDefault="00803D36" w:rsidP="00803D36">
      <w:pPr>
        <w:autoSpaceDE w:val="0"/>
        <w:autoSpaceDN w:val="0"/>
        <w:adjustRightInd w:val="0"/>
        <w:spacing w:line="240" w:lineRule="auto"/>
        <w:rPr>
          <w:szCs w:val="22"/>
          <w:u w:val="single"/>
          <w:lang w:val="lt-LT"/>
        </w:rPr>
      </w:pPr>
    </w:p>
    <w:p w14:paraId="3AD2B7EC" w14:textId="77777777" w:rsidR="00803D36" w:rsidRDefault="00803D36" w:rsidP="00803D36">
      <w:pPr>
        <w:autoSpaceDE w:val="0"/>
        <w:autoSpaceDN w:val="0"/>
        <w:adjustRightInd w:val="0"/>
        <w:spacing w:line="240" w:lineRule="auto"/>
        <w:rPr>
          <w:szCs w:val="22"/>
          <w:u w:val="single"/>
          <w:lang w:val="lt-LT"/>
        </w:rPr>
      </w:pPr>
      <w:r>
        <w:rPr>
          <w:szCs w:val="22"/>
          <w:u w:val="single"/>
          <w:lang w:val="lt-LT"/>
        </w:rPr>
        <w:t>Pranešimas apie įtariamas nepageidaujamas reakcijas</w:t>
      </w:r>
    </w:p>
    <w:p w14:paraId="40E6B69F" w14:textId="18A51705" w:rsidR="00803D36" w:rsidRDefault="00803D36" w:rsidP="00803D36">
      <w:pPr>
        <w:autoSpaceDE w:val="0"/>
        <w:autoSpaceDN w:val="0"/>
        <w:adjustRightInd w:val="0"/>
        <w:spacing w:line="240" w:lineRule="auto"/>
        <w:rPr>
          <w:szCs w:val="22"/>
          <w:lang w:val="lt-LT"/>
        </w:rPr>
      </w:pPr>
      <w:r>
        <w:rPr>
          <w:szCs w:val="22"/>
          <w:lang w:val="lt-LT"/>
        </w:rPr>
        <w:t>Svarbu pranešti apie įtariamas nepageidaujamas reakcijas, pastebėtas po vaistinio preparato registracijos, nes tai leidžia nuolat stebėti vaistinio preparato naudos ir rizikos santykį. Sveikatos priežiūros</w:t>
      </w:r>
      <w:r w:rsidR="00051704">
        <w:rPr>
          <w:szCs w:val="22"/>
          <w:lang w:val="lt-LT"/>
        </w:rPr>
        <w:t xml:space="preserve"> ar farmacijos</w:t>
      </w:r>
      <w:r>
        <w:rPr>
          <w:szCs w:val="22"/>
          <w:lang w:val="lt-LT"/>
        </w:rPr>
        <w:t xml:space="preserve"> specialistai turi pranešti apie bet kokias įtariamas nepageidaujamas reakcijas, užpildę </w:t>
      </w:r>
      <w:r w:rsidR="00EE5D59">
        <w:rPr>
          <w:szCs w:val="22"/>
          <w:lang w:val="lt-LT"/>
        </w:rPr>
        <w:t>ir pateikę praneši</w:t>
      </w:r>
      <w:r w:rsidR="00881685">
        <w:rPr>
          <w:szCs w:val="22"/>
          <w:lang w:val="lt-LT"/>
        </w:rPr>
        <w:t xml:space="preserve">mo formą </w:t>
      </w:r>
      <w:r w:rsidR="00881685" w:rsidRPr="00881685">
        <w:rPr>
          <w:szCs w:val="22"/>
          <w:lang w:val="lt-LT"/>
        </w:rPr>
        <w:t>Valstybin</w:t>
      </w:r>
      <w:r w:rsidR="00C9678B">
        <w:rPr>
          <w:szCs w:val="22"/>
          <w:lang w:val="lt-LT"/>
        </w:rPr>
        <w:t>ės</w:t>
      </w:r>
      <w:r w:rsidR="00881685" w:rsidRPr="00881685">
        <w:rPr>
          <w:szCs w:val="22"/>
          <w:lang w:val="lt-LT"/>
        </w:rPr>
        <w:t xml:space="preserve"> vaistų kontrolės tarnyb</w:t>
      </w:r>
      <w:r w:rsidR="00C9678B">
        <w:rPr>
          <w:szCs w:val="22"/>
          <w:lang w:val="lt-LT"/>
        </w:rPr>
        <w:t>os</w:t>
      </w:r>
      <w:r w:rsidR="00881685" w:rsidRPr="00881685">
        <w:rPr>
          <w:szCs w:val="22"/>
          <w:lang w:val="lt-LT"/>
        </w:rPr>
        <w:t xml:space="preserve"> prie Lietuvos Respublikos sveikatos apsaugos ministerijos </w:t>
      </w:r>
      <w:r w:rsidR="00C9678B">
        <w:rPr>
          <w:szCs w:val="22"/>
          <w:lang w:val="lt-LT"/>
        </w:rPr>
        <w:t>tinklapyje</w:t>
      </w:r>
      <w:r>
        <w:rPr>
          <w:szCs w:val="22"/>
          <w:lang w:val="lt-LT"/>
        </w:rPr>
        <w:t xml:space="preserve"> http</w:t>
      </w:r>
      <w:r w:rsidR="00C9678B">
        <w:rPr>
          <w:szCs w:val="22"/>
          <w:lang w:val="lt-LT"/>
        </w:rPr>
        <w:t>s</w:t>
      </w:r>
      <w:r>
        <w:rPr>
          <w:szCs w:val="22"/>
          <w:lang w:val="lt-LT"/>
        </w:rPr>
        <w:t>://</w:t>
      </w:r>
      <w:hyperlink r:id="rId5" w:history="1">
        <w:r w:rsidR="00CA2803" w:rsidRPr="00CA2803">
          <w:rPr>
            <w:rStyle w:val="Hipersaitas"/>
            <w:rFonts w:eastAsia="SimSun"/>
            <w:szCs w:val="22"/>
            <w:lang w:val="lt-LT"/>
          </w:rPr>
          <w:t>www.vvkt.lrt.lt/lt</w:t>
        </w:r>
      </w:hyperlink>
      <w:r>
        <w:rPr>
          <w:szCs w:val="22"/>
          <w:lang w:val="lt-LT"/>
        </w:rPr>
        <w:t xml:space="preserve">/ </w:t>
      </w:r>
      <w:r w:rsidR="0078521A">
        <w:rPr>
          <w:szCs w:val="22"/>
          <w:lang w:val="lt-LT"/>
        </w:rPr>
        <w:t>nurodytais būdais.</w:t>
      </w:r>
    </w:p>
    <w:p w14:paraId="6DF8BC17" w14:textId="77777777" w:rsidR="003D089E" w:rsidRDefault="003D089E" w:rsidP="00803D36">
      <w:pPr>
        <w:spacing w:line="240" w:lineRule="auto"/>
        <w:rPr>
          <w:szCs w:val="22"/>
          <w:lang w:val="lt-LT"/>
        </w:rPr>
      </w:pPr>
    </w:p>
    <w:p w14:paraId="7A549F62" w14:textId="77777777" w:rsidR="00803D36" w:rsidRDefault="00803D36" w:rsidP="00803D36">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lastRenderedPageBreak/>
        <w:t>4.9</w:t>
      </w:r>
      <w:r>
        <w:rPr>
          <w:rFonts w:ascii="Times New Roman" w:hAnsi="Times New Roman"/>
          <w:sz w:val="22"/>
          <w:szCs w:val="22"/>
          <w:lang w:val="lt-LT"/>
        </w:rPr>
        <w:tab/>
        <w:t>Perdozavimas</w:t>
      </w:r>
    </w:p>
    <w:p w14:paraId="1B737B80" w14:textId="77777777" w:rsidR="00803D36" w:rsidRDefault="00803D36" w:rsidP="00803D36">
      <w:pPr>
        <w:spacing w:line="240" w:lineRule="auto"/>
        <w:rPr>
          <w:szCs w:val="22"/>
          <w:lang w:val="lt-LT"/>
        </w:rPr>
      </w:pPr>
    </w:p>
    <w:p w14:paraId="38558B95" w14:textId="77777777" w:rsidR="00803D36" w:rsidRDefault="00803D36" w:rsidP="00803D36">
      <w:pPr>
        <w:spacing w:line="240" w:lineRule="auto"/>
        <w:rPr>
          <w:szCs w:val="22"/>
          <w:lang w:val="lt-LT"/>
        </w:rPr>
      </w:pPr>
      <w:r>
        <w:rPr>
          <w:szCs w:val="22"/>
          <w:lang w:val="lt-LT"/>
        </w:rPr>
        <w:t xml:space="preserve">Sisteminis biologinis įkvepiamojo </w:t>
      </w:r>
      <w:proofErr w:type="spellStart"/>
      <w:r>
        <w:rPr>
          <w:szCs w:val="22"/>
          <w:lang w:val="lt-LT"/>
        </w:rPr>
        <w:t>tobramicino</w:t>
      </w:r>
      <w:proofErr w:type="spellEnd"/>
      <w:r>
        <w:rPr>
          <w:szCs w:val="22"/>
          <w:lang w:val="lt-LT"/>
        </w:rPr>
        <w:t xml:space="preserve"> prieinamumas yra mažas. Galimas aerozolio perdozavimo simptomas yra sunkus užkimimas.</w:t>
      </w:r>
    </w:p>
    <w:p w14:paraId="44D8A1CE" w14:textId="77777777" w:rsidR="00803D36" w:rsidRDefault="00803D36" w:rsidP="00803D36">
      <w:pPr>
        <w:spacing w:line="240" w:lineRule="auto"/>
        <w:rPr>
          <w:szCs w:val="22"/>
          <w:lang w:val="lt-LT"/>
        </w:rPr>
      </w:pPr>
    </w:p>
    <w:p w14:paraId="45C42B09" w14:textId="77777777" w:rsidR="00803D36" w:rsidRDefault="00803D36" w:rsidP="00803D36">
      <w:pPr>
        <w:spacing w:line="240" w:lineRule="auto"/>
        <w:rPr>
          <w:szCs w:val="22"/>
          <w:lang w:val="lt-LT"/>
        </w:rPr>
      </w:pPr>
      <w:r>
        <w:rPr>
          <w:szCs w:val="22"/>
          <w:lang w:val="lt-LT"/>
        </w:rPr>
        <w:t xml:space="preserve">Jei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netyčia nuryjama, toksinis </w:t>
      </w:r>
      <w:proofErr w:type="spellStart"/>
      <w:r>
        <w:rPr>
          <w:szCs w:val="22"/>
          <w:lang w:val="lt-LT"/>
        </w:rPr>
        <w:t>tobramicino</w:t>
      </w:r>
      <w:proofErr w:type="spellEnd"/>
      <w:r>
        <w:rPr>
          <w:szCs w:val="22"/>
          <w:lang w:val="lt-LT"/>
        </w:rPr>
        <w:t xml:space="preserve"> poveikis nėra tikėtinas, kadangi iš nepažeisto virškinimo trakto </w:t>
      </w:r>
      <w:proofErr w:type="spellStart"/>
      <w:r>
        <w:rPr>
          <w:szCs w:val="22"/>
          <w:lang w:val="lt-LT"/>
        </w:rPr>
        <w:t>tobramicinas</w:t>
      </w:r>
      <w:proofErr w:type="spellEnd"/>
      <w:r>
        <w:rPr>
          <w:szCs w:val="22"/>
          <w:lang w:val="lt-LT"/>
        </w:rPr>
        <w:t xml:space="preserve"> absorbuojamas blogai.</w:t>
      </w:r>
    </w:p>
    <w:p w14:paraId="11B3D1E3" w14:textId="77777777" w:rsidR="00803D36" w:rsidRDefault="00803D36" w:rsidP="00803D36">
      <w:pPr>
        <w:spacing w:line="240" w:lineRule="auto"/>
        <w:rPr>
          <w:szCs w:val="22"/>
          <w:lang w:val="lt-LT"/>
        </w:rPr>
      </w:pPr>
    </w:p>
    <w:p w14:paraId="3A87AE3B" w14:textId="2DB6C14D" w:rsidR="00803D36" w:rsidRDefault="00803D36" w:rsidP="00803D36">
      <w:pPr>
        <w:spacing w:line="240" w:lineRule="auto"/>
        <w:rPr>
          <w:szCs w:val="22"/>
          <w:lang w:val="lt-LT"/>
        </w:rPr>
      </w:pPr>
      <w:r>
        <w:rPr>
          <w:szCs w:val="22"/>
          <w:lang w:val="lt-LT"/>
        </w:rPr>
        <w:t xml:space="preserve">Jei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netyčia sušvirkščiama į veną, gali atsirasti </w:t>
      </w:r>
      <w:proofErr w:type="spellStart"/>
      <w:r>
        <w:rPr>
          <w:szCs w:val="22"/>
          <w:lang w:val="lt-LT"/>
        </w:rPr>
        <w:t>parenteriniu</w:t>
      </w:r>
      <w:proofErr w:type="spellEnd"/>
      <w:r>
        <w:rPr>
          <w:szCs w:val="22"/>
          <w:lang w:val="lt-LT"/>
        </w:rPr>
        <w:t xml:space="preserve"> būdu pavartoto </w:t>
      </w:r>
      <w:proofErr w:type="spellStart"/>
      <w:r>
        <w:rPr>
          <w:szCs w:val="22"/>
          <w:lang w:val="lt-LT"/>
        </w:rPr>
        <w:t>tobramicino</w:t>
      </w:r>
      <w:proofErr w:type="spellEnd"/>
      <w:r>
        <w:rPr>
          <w:szCs w:val="22"/>
          <w:lang w:val="lt-LT"/>
        </w:rPr>
        <w:t xml:space="preserve"> perdozavimo požymių ir simptomų, pvz., svaigulys, ūžesys (</w:t>
      </w:r>
      <w:proofErr w:type="spellStart"/>
      <w:r>
        <w:rPr>
          <w:i/>
          <w:szCs w:val="22"/>
          <w:lang w:val="lt-LT"/>
        </w:rPr>
        <w:t>tinnitus</w:t>
      </w:r>
      <w:proofErr w:type="spellEnd"/>
      <w:r>
        <w:rPr>
          <w:szCs w:val="22"/>
          <w:lang w:val="lt-LT"/>
        </w:rPr>
        <w:t xml:space="preserve">), </w:t>
      </w:r>
      <w:r w:rsidR="00263EE2">
        <w:rPr>
          <w:szCs w:val="22"/>
          <w:lang w:val="lt-LT"/>
        </w:rPr>
        <w:t>svaigimas</w:t>
      </w:r>
      <w:r>
        <w:rPr>
          <w:szCs w:val="22"/>
          <w:lang w:val="lt-LT"/>
        </w:rPr>
        <w:t xml:space="preserve"> (</w:t>
      </w:r>
      <w:proofErr w:type="spellStart"/>
      <w:r>
        <w:rPr>
          <w:i/>
          <w:szCs w:val="22"/>
          <w:lang w:val="lt-LT"/>
        </w:rPr>
        <w:t>vertigo</w:t>
      </w:r>
      <w:proofErr w:type="spellEnd"/>
      <w:r>
        <w:rPr>
          <w:szCs w:val="22"/>
          <w:lang w:val="lt-LT"/>
        </w:rPr>
        <w:t>), klausos pablogėjimas, kvėpavimo sutrikimas ir (arba) nervų ir raumenų blokada bei inkstų funkcijos sutrikimas.</w:t>
      </w:r>
    </w:p>
    <w:p w14:paraId="0233F331" w14:textId="77777777" w:rsidR="00803D36" w:rsidRDefault="00803D36" w:rsidP="00803D36">
      <w:pPr>
        <w:spacing w:line="240" w:lineRule="auto"/>
        <w:rPr>
          <w:szCs w:val="22"/>
          <w:lang w:val="lt-LT"/>
        </w:rPr>
      </w:pPr>
    </w:p>
    <w:p w14:paraId="1E05458B" w14:textId="77777777" w:rsidR="00803D36" w:rsidRDefault="00803D36" w:rsidP="00803D36">
      <w:pPr>
        <w:spacing w:line="240" w:lineRule="auto"/>
        <w:rPr>
          <w:szCs w:val="22"/>
          <w:lang w:val="lt-LT"/>
        </w:rPr>
      </w:pPr>
      <w:r>
        <w:rPr>
          <w:szCs w:val="22"/>
          <w:lang w:val="lt-LT"/>
        </w:rPr>
        <w:t xml:space="preserve">Jei pasireiškia ūminis toksinis poveikis, būtina nedelsiant nutraukti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vartojimą ir atlikti pradinius inkstų funkcijos tyrimus. Įvertinant perdozavimą, gali būti naudinga nustatyti </w:t>
      </w:r>
      <w:proofErr w:type="spellStart"/>
      <w:r>
        <w:rPr>
          <w:szCs w:val="22"/>
          <w:lang w:val="lt-LT"/>
        </w:rPr>
        <w:t>tobramicino</w:t>
      </w:r>
      <w:proofErr w:type="spellEnd"/>
      <w:r>
        <w:rPr>
          <w:szCs w:val="22"/>
          <w:lang w:val="lt-LT"/>
        </w:rPr>
        <w:t xml:space="preserve"> koncentraciją serume. Bet kokio perdozavimo atveju reikia apsvarstyti galimą vaistinių preparatų sąveiką, galinčią veikti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arba kito vaistinio preparato eliminaciją.</w:t>
      </w:r>
    </w:p>
    <w:p w14:paraId="4B499574" w14:textId="77777777" w:rsidR="00803D36" w:rsidRDefault="00803D36" w:rsidP="00803D36">
      <w:pPr>
        <w:spacing w:line="240" w:lineRule="auto"/>
        <w:rPr>
          <w:szCs w:val="22"/>
          <w:lang w:val="lt-LT"/>
        </w:rPr>
      </w:pPr>
    </w:p>
    <w:p w14:paraId="60F75735" w14:textId="77777777" w:rsidR="00803D36" w:rsidRDefault="00803D36" w:rsidP="00803D36">
      <w:pPr>
        <w:spacing w:line="240" w:lineRule="auto"/>
        <w:rPr>
          <w:szCs w:val="22"/>
          <w:lang w:val="lt-LT"/>
        </w:rPr>
      </w:pPr>
    </w:p>
    <w:p w14:paraId="0BD984D1"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FARMAKOLOGINĖS SAVYBĖS</w:t>
      </w:r>
    </w:p>
    <w:p w14:paraId="32C9035E" w14:textId="77777777" w:rsidR="00803D36" w:rsidRDefault="00803D36" w:rsidP="00803D36">
      <w:pPr>
        <w:spacing w:line="240" w:lineRule="auto"/>
        <w:rPr>
          <w:szCs w:val="22"/>
          <w:lang w:val="lt-LT"/>
        </w:rPr>
      </w:pPr>
    </w:p>
    <w:p w14:paraId="649304E3"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5.1</w:t>
      </w:r>
      <w:r>
        <w:rPr>
          <w:rFonts w:ascii="Times New Roman" w:hAnsi="Times New Roman"/>
          <w:bCs w:val="0"/>
          <w:sz w:val="22"/>
          <w:szCs w:val="22"/>
          <w:lang w:val="lt-LT"/>
        </w:rPr>
        <w:t xml:space="preserve"> </w:t>
      </w:r>
      <w:r>
        <w:rPr>
          <w:rFonts w:ascii="Times New Roman" w:hAnsi="Times New Roman"/>
          <w:sz w:val="22"/>
          <w:szCs w:val="22"/>
          <w:lang w:val="lt-LT"/>
        </w:rPr>
        <w:tab/>
      </w:r>
      <w:proofErr w:type="spellStart"/>
      <w:r>
        <w:rPr>
          <w:rFonts w:ascii="Times New Roman" w:hAnsi="Times New Roman"/>
          <w:sz w:val="22"/>
          <w:szCs w:val="22"/>
          <w:lang w:val="lt-LT"/>
        </w:rPr>
        <w:t>Farmakodinaminės</w:t>
      </w:r>
      <w:proofErr w:type="spellEnd"/>
      <w:r>
        <w:rPr>
          <w:rFonts w:ascii="Times New Roman" w:hAnsi="Times New Roman"/>
          <w:sz w:val="22"/>
          <w:szCs w:val="22"/>
          <w:lang w:val="lt-LT"/>
        </w:rPr>
        <w:t xml:space="preserve"> savybės</w:t>
      </w:r>
    </w:p>
    <w:p w14:paraId="772F6D33" w14:textId="77777777" w:rsidR="00803D36" w:rsidRDefault="00803D36" w:rsidP="00803D36">
      <w:pPr>
        <w:spacing w:line="240" w:lineRule="auto"/>
        <w:rPr>
          <w:szCs w:val="22"/>
          <w:lang w:val="lt-LT"/>
        </w:rPr>
      </w:pPr>
    </w:p>
    <w:p w14:paraId="717D3D94" w14:textId="77777777" w:rsidR="00803D36" w:rsidRDefault="00803D36" w:rsidP="00803D36">
      <w:pPr>
        <w:spacing w:line="240" w:lineRule="auto"/>
        <w:rPr>
          <w:szCs w:val="22"/>
          <w:lang w:val="lt-LT"/>
        </w:rPr>
      </w:pPr>
      <w:proofErr w:type="spellStart"/>
      <w:r>
        <w:rPr>
          <w:szCs w:val="22"/>
          <w:lang w:val="lt-LT"/>
        </w:rPr>
        <w:t>Farmakoterapinė</w:t>
      </w:r>
      <w:proofErr w:type="spellEnd"/>
      <w:r>
        <w:rPr>
          <w:szCs w:val="22"/>
          <w:lang w:val="lt-LT"/>
        </w:rPr>
        <w:t xml:space="preserve"> grupė – </w:t>
      </w:r>
      <w:proofErr w:type="spellStart"/>
      <w:r>
        <w:rPr>
          <w:szCs w:val="22"/>
          <w:lang w:val="lt-LT"/>
        </w:rPr>
        <w:t>aminoglikozidų</w:t>
      </w:r>
      <w:proofErr w:type="spellEnd"/>
      <w:r>
        <w:rPr>
          <w:szCs w:val="22"/>
          <w:lang w:val="lt-LT"/>
        </w:rPr>
        <w:t xml:space="preserve"> grupės antibakteriniai preparatai, ATC kodas – J01GB01.</w:t>
      </w:r>
    </w:p>
    <w:p w14:paraId="6CB040F0" w14:textId="77777777" w:rsidR="00803D36" w:rsidRDefault="00803D36" w:rsidP="00803D36">
      <w:pPr>
        <w:spacing w:line="240" w:lineRule="auto"/>
        <w:rPr>
          <w:szCs w:val="22"/>
          <w:lang w:val="lt-LT"/>
        </w:rPr>
      </w:pPr>
    </w:p>
    <w:p w14:paraId="40B81FDD" w14:textId="77777777" w:rsidR="00803D36" w:rsidRDefault="00803D36" w:rsidP="00803D36">
      <w:pPr>
        <w:spacing w:line="240" w:lineRule="auto"/>
        <w:rPr>
          <w:szCs w:val="22"/>
          <w:u w:val="single"/>
          <w:lang w:val="lt-LT"/>
        </w:rPr>
      </w:pPr>
      <w:r>
        <w:rPr>
          <w:szCs w:val="22"/>
          <w:u w:val="single"/>
          <w:lang w:val="lt-LT"/>
        </w:rPr>
        <w:t>Veikimo mechanizmas</w:t>
      </w:r>
    </w:p>
    <w:p w14:paraId="72AB31AE" w14:textId="77777777" w:rsidR="00803D36" w:rsidRDefault="00803D36" w:rsidP="00803D36">
      <w:pPr>
        <w:spacing w:line="240" w:lineRule="auto"/>
        <w:rPr>
          <w:szCs w:val="22"/>
          <w:lang w:val="lt-LT"/>
        </w:rPr>
      </w:pPr>
      <w:proofErr w:type="spellStart"/>
      <w:r>
        <w:rPr>
          <w:szCs w:val="22"/>
          <w:lang w:val="lt-LT"/>
        </w:rPr>
        <w:t>Tobramicinas</w:t>
      </w:r>
      <w:proofErr w:type="spellEnd"/>
      <w:r>
        <w:rPr>
          <w:szCs w:val="22"/>
          <w:lang w:val="lt-LT"/>
        </w:rPr>
        <w:t xml:space="preserve"> yra </w:t>
      </w:r>
      <w:proofErr w:type="spellStart"/>
      <w:r>
        <w:rPr>
          <w:szCs w:val="22"/>
          <w:lang w:val="lt-LT"/>
        </w:rPr>
        <w:t>aminoglikozidų</w:t>
      </w:r>
      <w:proofErr w:type="spellEnd"/>
      <w:r>
        <w:rPr>
          <w:szCs w:val="22"/>
          <w:lang w:val="lt-LT"/>
        </w:rPr>
        <w:t xml:space="preserve"> grupės antibiotikas, išgaunamas iš </w:t>
      </w:r>
      <w:proofErr w:type="spellStart"/>
      <w:r>
        <w:rPr>
          <w:i/>
          <w:szCs w:val="22"/>
          <w:lang w:val="lt-LT"/>
        </w:rPr>
        <w:t>Streptomyces</w:t>
      </w:r>
      <w:proofErr w:type="spellEnd"/>
      <w:r>
        <w:rPr>
          <w:i/>
          <w:szCs w:val="22"/>
          <w:lang w:val="lt-LT"/>
        </w:rPr>
        <w:t xml:space="preserve"> </w:t>
      </w:r>
      <w:proofErr w:type="spellStart"/>
      <w:r>
        <w:rPr>
          <w:i/>
          <w:szCs w:val="22"/>
          <w:lang w:val="lt-LT"/>
        </w:rPr>
        <w:t>tenebrarius</w:t>
      </w:r>
      <w:proofErr w:type="spellEnd"/>
      <w:r>
        <w:rPr>
          <w:szCs w:val="22"/>
          <w:lang w:val="lt-LT"/>
        </w:rPr>
        <w:t xml:space="preserve">. </w:t>
      </w:r>
      <w:proofErr w:type="spellStart"/>
      <w:r>
        <w:rPr>
          <w:szCs w:val="22"/>
          <w:lang w:val="lt-LT"/>
        </w:rPr>
        <w:t>Tobramicinas</w:t>
      </w:r>
      <w:proofErr w:type="spellEnd"/>
      <w:r>
        <w:rPr>
          <w:szCs w:val="22"/>
          <w:lang w:val="lt-LT"/>
        </w:rPr>
        <w:t xml:space="preserve"> veikia pirmiausia sutrikdydamas baltymų sintezę, dėl to pakinta ląstelės membranos laidumas, progresuoja ląstelės apvalkalėlio irimas ir ląstelė žūva. Jei </w:t>
      </w:r>
      <w:proofErr w:type="spellStart"/>
      <w:r>
        <w:rPr>
          <w:szCs w:val="22"/>
          <w:lang w:val="lt-LT"/>
        </w:rPr>
        <w:t>tobramicino</w:t>
      </w:r>
      <w:proofErr w:type="spellEnd"/>
      <w:r>
        <w:rPr>
          <w:szCs w:val="22"/>
          <w:lang w:val="lt-LT"/>
        </w:rPr>
        <w:t xml:space="preserve"> koncentracija yra lygi slopinamajai ar kiek didesnė, pasireiškia baktericidinis poveikis.</w:t>
      </w:r>
    </w:p>
    <w:p w14:paraId="2C9DDC98" w14:textId="77777777" w:rsidR="00803D36" w:rsidRDefault="00803D36" w:rsidP="00803D36">
      <w:pPr>
        <w:spacing w:line="240" w:lineRule="auto"/>
        <w:rPr>
          <w:szCs w:val="22"/>
          <w:lang w:val="lt-LT"/>
        </w:rPr>
      </w:pPr>
    </w:p>
    <w:p w14:paraId="3F247AC7" w14:textId="77777777" w:rsidR="00803D36" w:rsidRPr="00DD5276" w:rsidRDefault="00803D36" w:rsidP="00803D36">
      <w:pPr>
        <w:spacing w:line="240" w:lineRule="auto"/>
        <w:rPr>
          <w:i/>
          <w:iCs/>
          <w:szCs w:val="22"/>
          <w:lang w:val="lt-LT"/>
        </w:rPr>
      </w:pPr>
      <w:r w:rsidRPr="00DD5276">
        <w:rPr>
          <w:i/>
          <w:iCs/>
          <w:szCs w:val="22"/>
          <w:lang w:val="lt-LT"/>
        </w:rPr>
        <w:t>Jautrumo ribos</w:t>
      </w:r>
    </w:p>
    <w:p w14:paraId="53BF7354" w14:textId="77777777" w:rsidR="00803D36" w:rsidRDefault="00803D36" w:rsidP="00803D36">
      <w:pPr>
        <w:spacing w:line="240" w:lineRule="auto"/>
        <w:rPr>
          <w:szCs w:val="22"/>
          <w:lang w:val="lt-LT"/>
        </w:rPr>
      </w:pPr>
      <w:r>
        <w:rPr>
          <w:szCs w:val="22"/>
          <w:lang w:val="lt-LT"/>
        </w:rPr>
        <w:t xml:space="preserve">Nustatytos </w:t>
      </w:r>
      <w:proofErr w:type="spellStart"/>
      <w:r>
        <w:rPr>
          <w:szCs w:val="22"/>
          <w:lang w:val="lt-LT"/>
        </w:rPr>
        <w:t>parenteriniu</w:t>
      </w:r>
      <w:proofErr w:type="spellEnd"/>
      <w:r>
        <w:rPr>
          <w:szCs w:val="22"/>
          <w:lang w:val="lt-LT"/>
        </w:rPr>
        <w:t xml:space="preserve"> būdu vartojamo </w:t>
      </w:r>
      <w:proofErr w:type="spellStart"/>
      <w:r>
        <w:rPr>
          <w:szCs w:val="22"/>
          <w:lang w:val="lt-LT"/>
        </w:rPr>
        <w:t>tobramicino</w:t>
      </w:r>
      <w:proofErr w:type="spellEnd"/>
      <w:r>
        <w:rPr>
          <w:szCs w:val="22"/>
          <w:lang w:val="lt-LT"/>
        </w:rPr>
        <w:t xml:space="preserve"> jautrumo ribos aerozolio formos vaistiniam preparatui netinka.</w:t>
      </w:r>
    </w:p>
    <w:p w14:paraId="72B8437E" w14:textId="77777777" w:rsidR="00803D36" w:rsidRDefault="00803D36" w:rsidP="00803D36">
      <w:pPr>
        <w:spacing w:line="240" w:lineRule="auto"/>
        <w:rPr>
          <w:szCs w:val="22"/>
          <w:lang w:val="lt-LT"/>
        </w:rPr>
      </w:pPr>
    </w:p>
    <w:p w14:paraId="22021AC8" w14:textId="77777777" w:rsidR="00803D36" w:rsidRDefault="00803D36" w:rsidP="00803D36">
      <w:pPr>
        <w:spacing w:line="240" w:lineRule="auto"/>
        <w:rPr>
          <w:szCs w:val="22"/>
          <w:lang w:val="lt-LT"/>
        </w:rPr>
      </w:pPr>
      <w:r>
        <w:rPr>
          <w:szCs w:val="22"/>
          <w:lang w:val="lt-LT"/>
        </w:rPr>
        <w:t xml:space="preserve">Sergant cistine fibroze (CF) susidarantys skrepliai slopina lokalų biologinį purškiamųjų </w:t>
      </w:r>
      <w:proofErr w:type="spellStart"/>
      <w:r>
        <w:rPr>
          <w:szCs w:val="22"/>
          <w:lang w:val="lt-LT"/>
        </w:rPr>
        <w:t>aminoglikozidų</w:t>
      </w:r>
      <w:proofErr w:type="spellEnd"/>
      <w:r>
        <w:rPr>
          <w:szCs w:val="22"/>
          <w:lang w:val="lt-LT"/>
        </w:rPr>
        <w:t xml:space="preserve"> poveikį, todėl aerozolio forma pavartoto </w:t>
      </w:r>
      <w:proofErr w:type="spellStart"/>
      <w:r>
        <w:rPr>
          <w:szCs w:val="22"/>
          <w:lang w:val="lt-LT"/>
        </w:rPr>
        <w:t>tobramicino</w:t>
      </w:r>
      <w:proofErr w:type="spellEnd"/>
      <w:r>
        <w:rPr>
          <w:szCs w:val="22"/>
          <w:lang w:val="lt-LT"/>
        </w:rPr>
        <w:t xml:space="preserve"> koncentracija skrepliuose </w:t>
      </w:r>
      <w:r>
        <w:rPr>
          <w:i/>
          <w:szCs w:val="22"/>
          <w:lang w:val="lt-LT"/>
        </w:rPr>
        <w:t xml:space="preserve">P. </w:t>
      </w:r>
      <w:proofErr w:type="spellStart"/>
      <w:r>
        <w:rPr>
          <w:i/>
          <w:szCs w:val="22"/>
          <w:lang w:val="lt-LT"/>
        </w:rPr>
        <w:t>aeruginosa</w:t>
      </w:r>
      <w:proofErr w:type="spellEnd"/>
      <w:r>
        <w:rPr>
          <w:szCs w:val="22"/>
          <w:lang w:val="lt-LT"/>
        </w:rPr>
        <w:t xml:space="preserve"> augimui slopinti bei baktericidiniam poveikiui sukelti turi būti atitinkamai maždaug dešimt ir dvidešimt penkis kartus didesnė nei minimali slopinamoji koncentracija (MSK). Kontroliuotų klinikinių tyrimų metu 97% purškiamojo </w:t>
      </w:r>
      <w:proofErr w:type="spellStart"/>
      <w:r>
        <w:rPr>
          <w:szCs w:val="22"/>
          <w:lang w:val="lt-LT"/>
        </w:rPr>
        <w:t>tobramicino</w:t>
      </w:r>
      <w:proofErr w:type="spellEnd"/>
      <w:r>
        <w:rPr>
          <w:szCs w:val="22"/>
          <w:lang w:val="lt-LT"/>
        </w:rPr>
        <w:t xml:space="preserve"> vartojusių pacientų skrepliuose </w:t>
      </w:r>
      <w:proofErr w:type="spellStart"/>
      <w:r>
        <w:rPr>
          <w:szCs w:val="22"/>
          <w:lang w:val="lt-LT"/>
        </w:rPr>
        <w:t>tobramicino</w:t>
      </w:r>
      <w:proofErr w:type="spellEnd"/>
      <w:r>
        <w:rPr>
          <w:szCs w:val="22"/>
          <w:lang w:val="lt-LT"/>
        </w:rPr>
        <w:t xml:space="preserve"> koncentracija buvo 10 kartų didesnė už didžiausią MSK, nustatytą tiriant iš paciento išskirtą </w:t>
      </w:r>
      <w:r>
        <w:rPr>
          <w:i/>
          <w:szCs w:val="22"/>
          <w:lang w:val="lt-LT"/>
        </w:rPr>
        <w:t xml:space="preserve">P. </w:t>
      </w:r>
      <w:proofErr w:type="spellStart"/>
      <w:r>
        <w:rPr>
          <w:i/>
          <w:szCs w:val="22"/>
          <w:lang w:val="lt-LT"/>
        </w:rPr>
        <w:t>aeruginosa</w:t>
      </w:r>
      <w:proofErr w:type="spellEnd"/>
      <w:r>
        <w:rPr>
          <w:szCs w:val="22"/>
          <w:lang w:val="lt-LT"/>
        </w:rPr>
        <w:t xml:space="preserve">, o 95% pacientų didžiausia MSK buvo viršyta 25 kartus. Palankus klinikinis poveikis pasireiškė daugumai pacientų, iš kurių išskirtų padermių MSK buvo didesnė nei </w:t>
      </w:r>
      <w:proofErr w:type="spellStart"/>
      <w:r>
        <w:rPr>
          <w:szCs w:val="22"/>
          <w:lang w:val="lt-LT"/>
        </w:rPr>
        <w:t>parenteriniu</w:t>
      </w:r>
      <w:proofErr w:type="spellEnd"/>
      <w:r>
        <w:rPr>
          <w:szCs w:val="22"/>
          <w:lang w:val="lt-LT"/>
        </w:rPr>
        <w:t xml:space="preserve"> būdu vartojamo </w:t>
      </w:r>
      <w:proofErr w:type="spellStart"/>
      <w:r>
        <w:rPr>
          <w:szCs w:val="22"/>
          <w:lang w:val="lt-LT"/>
        </w:rPr>
        <w:t>tobramicino</w:t>
      </w:r>
      <w:proofErr w:type="spellEnd"/>
      <w:r>
        <w:rPr>
          <w:szCs w:val="22"/>
          <w:lang w:val="lt-LT"/>
        </w:rPr>
        <w:t xml:space="preserve"> jautrumo ribos.</w:t>
      </w:r>
    </w:p>
    <w:p w14:paraId="45CA349C" w14:textId="77777777" w:rsidR="00803D36" w:rsidRDefault="00803D36" w:rsidP="00803D36">
      <w:pPr>
        <w:spacing w:line="240" w:lineRule="auto"/>
        <w:rPr>
          <w:szCs w:val="22"/>
          <w:lang w:val="lt-LT"/>
        </w:rPr>
      </w:pPr>
    </w:p>
    <w:p w14:paraId="79512939" w14:textId="77777777" w:rsidR="00803D36" w:rsidRPr="00DD5276" w:rsidRDefault="00803D36" w:rsidP="00803D36">
      <w:pPr>
        <w:spacing w:line="240" w:lineRule="auto"/>
        <w:rPr>
          <w:i/>
          <w:iCs/>
          <w:szCs w:val="22"/>
          <w:lang w:val="lt-LT"/>
        </w:rPr>
      </w:pPr>
      <w:r w:rsidRPr="00DD5276">
        <w:rPr>
          <w:i/>
          <w:iCs/>
          <w:szCs w:val="22"/>
          <w:lang w:val="lt-LT"/>
        </w:rPr>
        <w:t>Jautrumas</w:t>
      </w:r>
    </w:p>
    <w:p w14:paraId="661E5F2B" w14:textId="77777777" w:rsidR="00803D36" w:rsidRDefault="00803D36" w:rsidP="00803D36">
      <w:pPr>
        <w:spacing w:line="240" w:lineRule="auto"/>
        <w:rPr>
          <w:szCs w:val="22"/>
          <w:lang w:val="lt-LT"/>
        </w:rPr>
      </w:pPr>
      <w:r>
        <w:rPr>
          <w:szCs w:val="22"/>
          <w:lang w:val="lt-LT"/>
        </w:rPr>
        <w:t xml:space="preserve">Kadangi įprastinių jautrumo ribų purškiamam preparatui nėra, mikroorganizmus skirstyti į jautrius ir nejautrius purškiamajam </w:t>
      </w:r>
      <w:proofErr w:type="spellStart"/>
      <w:r>
        <w:rPr>
          <w:szCs w:val="22"/>
          <w:lang w:val="lt-LT"/>
        </w:rPr>
        <w:t>tobramicinui</w:t>
      </w:r>
      <w:proofErr w:type="spellEnd"/>
      <w:r>
        <w:rPr>
          <w:szCs w:val="22"/>
          <w:lang w:val="lt-LT"/>
        </w:rPr>
        <w:t xml:space="preserve"> reikia labai atsargiai.</w:t>
      </w:r>
      <w:r>
        <w:rPr>
          <w:color w:val="000000"/>
          <w:szCs w:val="22"/>
          <w:lang w:val="lt-LT" w:eastAsia="es-ES"/>
        </w:rPr>
        <w:t xml:space="preserve"> Vis dėlto klinikiniai tyrimai parodė, kad atsparumą vaistiniam preparatui </w:t>
      </w:r>
      <w:proofErr w:type="spellStart"/>
      <w:r>
        <w:rPr>
          <w:i/>
          <w:iCs/>
          <w:color w:val="000000"/>
          <w:szCs w:val="22"/>
          <w:lang w:val="lt-LT" w:eastAsia="es-ES"/>
        </w:rPr>
        <w:t>in</w:t>
      </w:r>
      <w:proofErr w:type="spellEnd"/>
      <w:r>
        <w:rPr>
          <w:i/>
          <w:iCs/>
          <w:color w:val="000000"/>
          <w:szCs w:val="22"/>
          <w:lang w:val="lt-LT" w:eastAsia="es-ES"/>
        </w:rPr>
        <w:t xml:space="preserve"> </w:t>
      </w:r>
      <w:proofErr w:type="spellStart"/>
      <w:r>
        <w:rPr>
          <w:i/>
          <w:iCs/>
          <w:color w:val="000000"/>
          <w:szCs w:val="22"/>
          <w:lang w:val="lt-LT" w:eastAsia="es-ES"/>
        </w:rPr>
        <w:t>vitro</w:t>
      </w:r>
      <w:proofErr w:type="spellEnd"/>
      <w:r>
        <w:rPr>
          <w:color w:val="000000"/>
          <w:szCs w:val="22"/>
          <w:lang w:val="lt-LT" w:eastAsia="es-ES"/>
        </w:rPr>
        <w:t xml:space="preserve"> rodantys mikrobiologiniai duomenys dar nereiškia, kad gydymas nebus pacientui kliniškai naudingas.</w:t>
      </w:r>
    </w:p>
    <w:p w14:paraId="3635D907" w14:textId="77777777" w:rsidR="00803D36" w:rsidRDefault="00803D36" w:rsidP="00803D36">
      <w:pPr>
        <w:spacing w:line="240" w:lineRule="auto"/>
        <w:rPr>
          <w:szCs w:val="22"/>
          <w:lang w:val="lt-LT"/>
        </w:rPr>
      </w:pPr>
    </w:p>
    <w:p w14:paraId="4AD3A44E" w14:textId="77777777" w:rsidR="00803D36" w:rsidRDefault="00803D36" w:rsidP="00803D36">
      <w:pPr>
        <w:spacing w:line="240" w:lineRule="auto"/>
        <w:rPr>
          <w:szCs w:val="22"/>
          <w:lang w:val="lt-LT"/>
        </w:rPr>
      </w:pPr>
      <w:r>
        <w:rPr>
          <w:szCs w:val="22"/>
          <w:lang w:val="lt-LT"/>
        </w:rPr>
        <w:t xml:space="preserve">Daugumai pacientų, iš kurių išskirtos </w:t>
      </w:r>
      <w:r>
        <w:rPr>
          <w:i/>
          <w:szCs w:val="22"/>
          <w:lang w:val="lt-LT"/>
        </w:rPr>
        <w:t xml:space="preserve">P. </w:t>
      </w:r>
      <w:proofErr w:type="spellStart"/>
      <w:r>
        <w:rPr>
          <w:i/>
          <w:szCs w:val="22"/>
          <w:lang w:val="lt-LT"/>
        </w:rPr>
        <w:t>aeruginosa</w:t>
      </w:r>
      <w:proofErr w:type="spellEnd"/>
      <w:r>
        <w:rPr>
          <w:szCs w:val="22"/>
          <w:lang w:val="lt-LT"/>
        </w:rPr>
        <w:t xml:space="preserve"> pradinė </w:t>
      </w:r>
      <w:proofErr w:type="spellStart"/>
      <w:r>
        <w:rPr>
          <w:szCs w:val="22"/>
          <w:lang w:val="lt-LT"/>
        </w:rPr>
        <w:t>tobramicino</w:t>
      </w:r>
      <w:proofErr w:type="spellEnd"/>
      <w:r>
        <w:rPr>
          <w:szCs w:val="22"/>
          <w:lang w:val="lt-LT"/>
        </w:rPr>
        <w:t xml:space="preserve"> MSK buvo &lt;128 </w:t>
      </w:r>
      <w:proofErr w:type="spellStart"/>
      <w:r>
        <w:rPr>
          <w:szCs w:val="22"/>
          <w:lang w:val="lt-LT"/>
        </w:rPr>
        <w:t>mikrogramai</w:t>
      </w:r>
      <w:proofErr w:type="spellEnd"/>
      <w:r>
        <w:rPr>
          <w:szCs w:val="22"/>
          <w:lang w:val="lt-LT"/>
        </w:rPr>
        <w:t xml:space="preserve">/ml, plaučių funkcija po gydymo purškiamuoju </w:t>
      </w:r>
      <w:proofErr w:type="spellStart"/>
      <w:r>
        <w:rPr>
          <w:szCs w:val="22"/>
          <w:lang w:val="lt-LT"/>
        </w:rPr>
        <w:t>tobramicinu</w:t>
      </w:r>
      <w:proofErr w:type="spellEnd"/>
      <w:r>
        <w:rPr>
          <w:szCs w:val="22"/>
          <w:lang w:val="lt-LT"/>
        </w:rPr>
        <w:t xml:space="preserve"> pagerėjo. Tikimybė, kad klinikinė reakcija pasireikš ligoniams, iš kurių išskirtos </w:t>
      </w:r>
      <w:r>
        <w:rPr>
          <w:i/>
          <w:szCs w:val="22"/>
          <w:lang w:val="lt-LT"/>
        </w:rPr>
        <w:t xml:space="preserve">P. </w:t>
      </w:r>
      <w:proofErr w:type="spellStart"/>
      <w:r>
        <w:rPr>
          <w:i/>
          <w:szCs w:val="22"/>
          <w:lang w:val="lt-LT"/>
        </w:rPr>
        <w:t>aeruginosa</w:t>
      </w:r>
      <w:proofErr w:type="spellEnd"/>
      <w:r>
        <w:rPr>
          <w:szCs w:val="22"/>
          <w:lang w:val="lt-LT"/>
        </w:rPr>
        <w:t xml:space="preserve"> pradinė MSK yra ≥128 </w:t>
      </w:r>
      <w:proofErr w:type="spellStart"/>
      <w:r>
        <w:rPr>
          <w:szCs w:val="22"/>
          <w:lang w:val="lt-LT"/>
        </w:rPr>
        <w:t>mikrogramai</w:t>
      </w:r>
      <w:proofErr w:type="spellEnd"/>
      <w:r>
        <w:rPr>
          <w:szCs w:val="22"/>
          <w:lang w:val="lt-LT"/>
        </w:rPr>
        <w:t>/ml, yra mažesnė. Vis dėlto placebu kontroliuotų tyrimų metu septyniems iš 13 pacientų (54%), iš kurių išskirtų padermių MSK buvo ≥128 </w:t>
      </w:r>
      <w:proofErr w:type="spellStart"/>
      <w:r>
        <w:rPr>
          <w:szCs w:val="22"/>
          <w:lang w:val="lt-LT"/>
        </w:rPr>
        <w:t>mikrogramai</w:t>
      </w:r>
      <w:proofErr w:type="spellEnd"/>
      <w:r>
        <w:rPr>
          <w:szCs w:val="22"/>
          <w:lang w:val="lt-LT"/>
        </w:rPr>
        <w:t xml:space="preserve">/ml, plaučių funkcija gydymo purškiamuoju </w:t>
      </w:r>
      <w:proofErr w:type="spellStart"/>
      <w:r>
        <w:rPr>
          <w:szCs w:val="22"/>
          <w:lang w:val="lt-LT"/>
        </w:rPr>
        <w:t>tobramicinu</w:t>
      </w:r>
      <w:proofErr w:type="spellEnd"/>
      <w:r>
        <w:rPr>
          <w:szCs w:val="22"/>
          <w:lang w:val="lt-LT"/>
        </w:rPr>
        <w:t xml:space="preserve"> metu pagerėjo.</w:t>
      </w:r>
    </w:p>
    <w:p w14:paraId="3453181B" w14:textId="77777777" w:rsidR="00803D36" w:rsidRDefault="00803D36" w:rsidP="00803D36">
      <w:pPr>
        <w:spacing w:line="240" w:lineRule="auto"/>
        <w:rPr>
          <w:szCs w:val="22"/>
          <w:lang w:val="lt-LT"/>
        </w:rPr>
      </w:pPr>
    </w:p>
    <w:p w14:paraId="72D0A07E" w14:textId="77777777" w:rsidR="00803D36" w:rsidRDefault="00803D36" w:rsidP="00803D36">
      <w:pPr>
        <w:spacing w:line="240" w:lineRule="auto"/>
        <w:rPr>
          <w:szCs w:val="22"/>
          <w:lang w:val="lt-LT"/>
        </w:rPr>
      </w:pPr>
      <w:r>
        <w:rPr>
          <w:szCs w:val="22"/>
          <w:lang w:val="lt-LT"/>
        </w:rPr>
        <w:t xml:space="preserve">Visu tyrimų pratesimų 96 savaičių laikotarpiu </w:t>
      </w:r>
      <w:r>
        <w:rPr>
          <w:i/>
          <w:szCs w:val="22"/>
          <w:lang w:val="lt-LT"/>
        </w:rPr>
        <w:t xml:space="preserve">P. </w:t>
      </w:r>
      <w:proofErr w:type="spellStart"/>
      <w:r>
        <w:rPr>
          <w:i/>
          <w:szCs w:val="22"/>
          <w:lang w:val="lt-LT"/>
        </w:rPr>
        <w:t>aeruginosa</w:t>
      </w:r>
      <w:proofErr w:type="spellEnd"/>
      <w:r>
        <w:rPr>
          <w:i/>
          <w:szCs w:val="22"/>
          <w:lang w:val="lt-LT"/>
        </w:rPr>
        <w:t xml:space="preserve"> </w:t>
      </w:r>
      <w:proofErr w:type="spellStart"/>
      <w:r>
        <w:rPr>
          <w:szCs w:val="22"/>
          <w:lang w:val="lt-LT"/>
        </w:rPr>
        <w:t>tobramcino</w:t>
      </w:r>
      <w:proofErr w:type="spellEnd"/>
      <w:r>
        <w:rPr>
          <w:szCs w:val="22"/>
          <w:lang w:val="lt-LT"/>
        </w:rPr>
        <w:t xml:space="preserve"> MSK</w:t>
      </w:r>
      <w:r>
        <w:rPr>
          <w:szCs w:val="22"/>
          <w:vertAlign w:val="subscript"/>
          <w:lang w:val="lt-LT"/>
        </w:rPr>
        <w:t>50</w:t>
      </w:r>
      <w:r>
        <w:rPr>
          <w:szCs w:val="22"/>
          <w:lang w:val="lt-LT"/>
        </w:rPr>
        <w:t xml:space="preserve"> didėjo nuo 1 </w:t>
      </w:r>
      <w:proofErr w:type="spellStart"/>
      <w:r>
        <w:rPr>
          <w:szCs w:val="22"/>
          <w:lang w:val="lt-LT"/>
        </w:rPr>
        <w:t>mikrogramo</w:t>
      </w:r>
      <w:proofErr w:type="spellEnd"/>
      <w:r>
        <w:rPr>
          <w:szCs w:val="22"/>
          <w:lang w:val="lt-LT"/>
        </w:rPr>
        <w:t>/ml iki 2 </w:t>
      </w:r>
      <w:proofErr w:type="spellStart"/>
      <w:r>
        <w:rPr>
          <w:szCs w:val="22"/>
          <w:lang w:val="lt-LT"/>
        </w:rPr>
        <w:t>mikrogramų</w:t>
      </w:r>
      <w:proofErr w:type="spellEnd"/>
      <w:r>
        <w:rPr>
          <w:szCs w:val="22"/>
          <w:lang w:val="lt-LT"/>
        </w:rPr>
        <w:t>/ml, MSK</w:t>
      </w:r>
      <w:r>
        <w:rPr>
          <w:szCs w:val="22"/>
          <w:vertAlign w:val="subscript"/>
          <w:lang w:val="lt-LT"/>
        </w:rPr>
        <w:t>90</w:t>
      </w:r>
      <w:r>
        <w:rPr>
          <w:szCs w:val="22"/>
          <w:lang w:val="lt-LT"/>
        </w:rPr>
        <w:t xml:space="preserve"> didėjo nuo 8 </w:t>
      </w:r>
      <w:proofErr w:type="spellStart"/>
      <w:r>
        <w:rPr>
          <w:szCs w:val="22"/>
          <w:lang w:val="lt-LT"/>
        </w:rPr>
        <w:t>mikrogramų</w:t>
      </w:r>
      <w:proofErr w:type="spellEnd"/>
      <w:r>
        <w:rPr>
          <w:szCs w:val="22"/>
          <w:lang w:val="lt-LT"/>
        </w:rPr>
        <w:t>/ml iki 32 </w:t>
      </w:r>
      <w:proofErr w:type="spellStart"/>
      <w:r>
        <w:rPr>
          <w:szCs w:val="22"/>
          <w:lang w:val="lt-LT"/>
        </w:rPr>
        <w:t>mikrogramų</w:t>
      </w:r>
      <w:proofErr w:type="spellEnd"/>
      <w:r>
        <w:rPr>
          <w:szCs w:val="22"/>
          <w:lang w:val="lt-LT"/>
        </w:rPr>
        <w:t>/ml.</w:t>
      </w:r>
    </w:p>
    <w:p w14:paraId="48A9F610" w14:textId="77777777" w:rsidR="00803D36" w:rsidRDefault="00803D36" w:rsidP="00803D36">
      <w:pPr>
        <w:spacing w:line="240" w:lineRule="auto"/>
        <w:rPr>
          <w:szCs w:val="22"/>
          <w:lang w:val="lt-LT"/>
        </w:rPr>
      </w:pPr>
    </w:p>
    <w:p w14:paraId="3B519A0E" w14:textId="77777777" w:rsidR="00803D36" w:rsidRDefault="00803D36" w:rsidP="00803D36">
      <w:pPr>
        <w:spacing w:line="240" w:lineRule="auto"/>
        <w:rPr>
          <w:szCs w:val="22"/>
          <w:lang w:val="lt-LT"/>
        </w:rPr>
      </w:pPr>
      <w:r>
        <w:rPr>
          <w:szCs w:val="22"/>
          <w:lang w:val="lt-LT"/>
        </w:rPr>
        <w:t xml:space="preserve">Atsižvelgiant į duomenis </w:t>
      </w: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xml:space="preserve"> ir (arba) klinikinę patirtį, toliau pateikta tikėtina organizmų, susijusių su plaučių infekcija CF metu, reakcija į </w:t>
      </w:r>
      <w:proofErr w:type="spellStart"/>
      <w:r>
        <w:rPr>
          <w:szCs w:val="22"/>
          <w:lang w:val="lt-LT"/>
        </w:rPr>
        <w:t>tobramiciną</w:t>
      </w:r>
      <w:proofErr w:type="spellEnd"/>
      <w:r>
        <w:rPr>
          <w:szCs w:val="22"/>
          <w:lang w:val="lt-LT"/>
        </w:rPr>
        <w:t>.</w:t>
      </w:r>
    </w:p>
    <w:p w14:paraId="5FB2C53E" w14:textId="77777777" w:rsidR="00803D36" w:rsidRDefault="00803D36" w:rsidP="00803D36">
      <w:pPr>
        <w:spacing w:line="240" w:lineRule="auto"/>
        <w:rPr>
          <w:szCs w:val="22"/>
          <w:lang w:val="lt-LT"/>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553"/>
        <w:gridCol w:w="6064"/>
      </w:tblGrid>
      <w:tr w:rsidR="00803D36" w:rsidRPr="007223D6" w14:paraId="66D838CB" w14:textId="77777777" w:rsidTr="00D0389B">
        <w:trPr>
          <w:tblCellSpacing w:w="0" w:type="dxa"/>
          <w:jc w:val="center"/>
        </w:trPr>
        <w:tc>
          <w:tcPr>
            <w:tcW w:w="2735" w:type="dxa"/>
            <w:tcBorders>
              <w:top w:val="outset" w:sz="6" w:space="0" w:color="auto"/>
              <w:left w:val="nil"/>
              <w:bottom w:val="outset" w:sz="6" w:space="0" w:color="auto"/>
              <w:right w:val="outset" w:sz="6" w:space="0" w:color="auto"/>
            </w:tcBorders>
            <w:hideMark/>
          </w:tcPr>
          <w:p w14:paraId="6845BE20" w14:textId="77777777" w:rsidR="00803D36" w:rsidRDefault="00803D36" w:rsidP="00D0389B">
            <w:pPr>
              <w:pStyle w:val="prastasiniatinklio"/>
              <w:spacing w:before="0" w:beforeAutospacing="0" w:after="0" w:afterAutospacing="0" w:line="256" w:lineRule="auto"/>
              <w:rPr>
                <w:sz w:val="22"/>
                <w:szCs w:val="22"/>
                <w:lang w:val="lt-LT"/>
              </w:rPr>
            </w:pPr>
            <w:r>
              <w:rPr>
                <w:sz w:val="22"/>
                <w:szCs w:val="22"/>
                <w:lang w:val="lt-LT"/>
              </w:rPr>
              <w:t>Jautrūs</w:t>
            </w:r>
          </w:p>
        </w:tc>
        <w:tc>
          <w:tcPr>
            <w:tcW w:w="6564" w:type="dxa"/>
            <w:tcBorders>
              <w:top w:val="outset" w:sz="6" w:space="0" w:color="auto"/>
              <w:left w:val="outset" w:sz="6" w:space="0" w:color="auto"/>
              <w:bottom w:val="outset" w:sz="6" w:space="0" w:color="auto"/>
              <w:right w:val="nil"/>
            </w:tcBorders>
            <w:hideMark/>
          </w:tcPr>
          <w:p w14:paraId="569BD353" w14:textId="77777777" w:rsidR="00803D36" w:rsidRDefault="00803D36" w:rsidP="00D0389B">
            <w:pPr>
              <w:pStyle w:val="prastasiniatinklio"/>
              <w:spacing w:before="0" w:beforeAutospacing="0" w:after="0" w:afterAutospacing="0" w:line="256" w:lineRule="auto"/>
              <w:rPr>
                <w:i/>
                <w:sz w:val="22"/>
                <w:szCs w:val="22"/>
                <w:lang w:val="lt-LT"/>
              </w:rPr>
            </w:pPr>
            <w:proofErr w:type="spellStart"/>
            <w:r>
              <w:rPr>
                <w:i/>
                <w:iCs/>
                <w:sz w:val="22"/>
                <w:szCs w:val="22"/>
                <w:lang w:val="lt-LT"/>
              </w:rPr>
              <w:t>Pseudomonas</w:t>
            </w:r>
            <w:proofErr w:type="spellEnd"/>
            <w:r>
              <w:rPr>
                <w:i/>
                <w:iCs/>
                <w:sz w:val="22"/>
                <w:szCs w:val="22"/>
                <w:lang w:val="lt-LT"/>
              </w:rPr>
              <w:t xml:space="preserve"> </w:t>
            </w:r>
            <w:proofErr w:type="spellStart"/>
            <w:r>
              <w:rPr>
                <w:i/>
                <w:iCs/>
                <w:sz w:val="22"/>
                <w:szCs w:val="22"/>
                <w:lang w:val="lt-LT"/>
              </w:rPr>
              <w:t>aeruginosa</w:t>
            </w:r>
            <w:proofErr w:type="spellEnd"/>
            <w:r>
              <w:rPr>
                <w:i/>
                <w:iCs/>
                <w:sz w:val="22"/>
                <w:szCs w:val="22"/>
                <w:lang w:val="lt-LT"/>
              </w:rPr>
              <w:t xml:space="preserve"> </w:t>
            </w:r>
          </w:p>
          <w:p w14:paraId="3307011A" w14:textId="77777777" w:rsidR="00803D36" w:rsidRDefault="00803D36" w:rsidP="00D0389B">
            <w:pPr>
              <w:pStyle w:val="prastasiniatinklio"/>
              <w:spacing w:before="0" w:beforeAutospacing="0" w:after="0" w:afterAutospacing="0" w:line="256" w:lineRule="auto"/>
              <w:rPr>
                <w:i/>
                <w:sz w:val="22"/>
                <w:szCs w:val="22"/>
                <w:lang w:val="lt-LT"/>
              </w:rPr>
            </w:pPr>
            <w:proofErr w:type="spellStart"/>
            <w:r>
              <w:rPr>
                <w:i/>
                <w:iCs/>
                <w:sz w:val="22"/>
                <w:szCs w:val="22"/>
                <w:lang w:val="lt-LT"/>
              </w:rPr>
              <w:t>Haemophilus</w:t>
            </w:r>
            <w:proofErr w:type="spellEnd"/>
            <w:r>
              <w:rPr>
                <w:i/>
                <w:iCs/>
                <w:sz w:val="22"/>
                <w:szCs w:val="22"/>
                <w:lang w:val="lt-LT"/>
              </w:rPr>
              <w:t xml:space="preserve"> </w:t>
            </w:r>
            <w:proofErr w:type="spellStart"/>
            <w:r>
              <w:rPr>
                <w:i/>
                <w:iCs/>
                <w:sz w:val="22"/>
                <w:szCs w:val="22"/>
                <w:lang w:val="lt-LT"/>
              </w:rPr>
              <w:t>influenzae</w:t>
            </w:r>
            <w:proofErr w:type="spellEnd"/>
            <w:r>
              <w:rPr>
                <w:i/>
                <w:iCs/>
                <w:sz w:val="22"/>
                <w:szCs w:val="22"/>
                <w:lang w:val="lt-LT"/>
              </w:rPr>
              <w:t xml:space="preserve"> </w:t>
            </w:r>
          </w:p>
          <w:p w14:paraId="2EC21624" w14:textId="77777777" w:rsidR="00803D36" w:rsidRDefault="00803D36" w:rsidP="00D0389B">
            <w:pPr>
              <w:pStyle w:val="prastasiniatinklio"/>
              <w:spacing w:before="0" w:beforeAutospacing="0" w:after="0" w:afterAutospacing="0" w:line="256" w:lineRule="auto"/>
              <w:rPr>
                <w:i/>
                <w:sz w:val="22"/>
                <w:szCs w:val="22"/>
                <w:lang w:val="lt-LT"/>
              </w:rPr>
            </w:pPr>
            <w:proofErr w:type="spellStart"/>
            <w:r>
              <w:rPr>
                <w:i/>
                <w:iCs/>
                <w:sz w:val="22"/>
                <w:szCs w:val="22"/>
                <w:lang w:val="lt-LT"/>
              </w:rPr>
              <w:t>Staphylococcus</w:t>
            </w:r>
            <w:proofErr w:type="spellEnd"/>
            <w:r>
              <w:rPr>
                <w:i/>
                <w:iCs/>
                <w:sz w:val="22"/>
                <w:szCs w:val="22"/>
                <w:lang w:val="lt-LT"/>
              </w:rPr>
              <w:t xml:space="preserve"> </w:t>
            </w:r>
            <w:proofErr w:type="spellStart"/>
            <w:r>
              <w:rPr>
                <w:i/>
                <w:iCs/>
                <w:sz w:val="22"/>
                <w:szCs w:val="22"/>
                <w:lang w:val="lt-LT"/>
              </w:rPr>
              <w:t>aureus</w:t>
            </w:r>
            <w:proofErr w:type="spellEnd"/>
          </w:p>
        </w:tc>
      </w:tr>
      <w:tr w:rsidR="00803D36" w:rsidRPr="007223D6" w14:paraId="650A8EB5" w14:textId="77777777" w:rsidTr="00D0389B">
        <w:trPr>
          <w:tblCellSpacing w:w="0" w:type="dxa"/>
          <w:jc w:val="center"/>
        </w:trPr>
        <w:tc>
          <w:tcPr>
            <w:tcW w:w="2735" w:type="dxa"/>
            <w:tcBorders>
              <w:top w:val="outset" w:sz="6" w:space="0" w:color="auto"/>
              <w:left w:val="nil"/>
              <w:bottom w:val="outset" w:sz="6" w:space="0" w:color="auto"/>
              <w:right w:val="outset" w:sz="6" w:space="0" w:color="auto"/>
            </w:tcBorders>
            <w:hideMark/>
          </w:tcPr>
          <w:p w14:paraId="1007BC29" w14:textId="77777777" w:rsidR="00803D36" w:rsidRDefault="00803D36" w:rsidP="00D0389B">
            <w:pPr>
              <w:pStyle w:val="prastasiniatinklio"/>
              <w:spacing w:before="0" w:beforeAutospacing="0" w:after="0" w:afterAutospacing="0" w:line="256" w:lineRule="auto"/>
              <w:rPr>
                <w:sz w:val="22"/>
                <w:szCs w:val="22"/>
                <w:lang w:val="lt-LT"/>
              </w:rPr>
            </w:pPr>
            <w:r>
              <w:rPr>
                <w:sz w:val="22"/>
                <w:szCs w:val="22"/>
                <w:lang w:val="lt-LT"/>
              </w:rPr>
              <w:t>Nejautrūs</w:t>
            </w:r>
          </w:p>
        </w:tc>
        <w:tc>
          <w:tcPr>
            <w:tcW w:w="6564" w:type="dxa"/>
            <w:tcBorders>
              <w:top w:val="outset" w:sz="6" w:space="0" w:color="auto"/>
              <w:left w:val="outset" w:sz="6" w:space="0" w:color="auto"/>
              <w:bottom w:val="outset" w:sz="6" w:space="0" w:color="auto"/>
              <w:right w:val="nil"/>
            </w:tcBorders>
            <w:hideMark/>
          </w:tcPr>
          <w:p w14:paraId="13CA2067" w14:textId="77777777" w:rsidR="00803D36" w:rsidRDefault="00803D36" w:rsidP="00D0389B">
            <w:pPr>
              <w:pStyle w:val="prastasiniatinklio"/>
              <w:spacing w:before="0" w:beforeAutospacing="0" w:after="0" w:afterAutospacing="0" w:line="256" w:lineRule="auto"/>
              <w:rPr>
                <w:i/>
                <w:sz w:val="22"/>
                <w:szCs w:val="22"/>
                <w:lang w:val="lt-LT"/>
              </w:rPr>
            </w:pPr>
            <w:proofErr w:type="spellStart"/>
            <w:r>
              <w:rPr>
                <w:i/>
                <w:iCs/>
                <w:sz w:val="22"/>
                <w:szCs w:val="22"/>
                <w:lang w:val="lt-LT"/>
              </w:rPr>
              <w:t>Burkholderia</w:t>
            </w:r>
            <w:proofErr w:type="spellEnd"/>
            <w:r>
              <w:rPr>
                <w:i/>
                <w:iCs/>
                <w:sz w:val="22"/>
                <w:szCs w:val="22"/>
                <w:lang w:val="lt-LT"/>
              </w:rPr>
              <w:t xml:space="preserve"> </w:t>
            </w:r>
            <w:proofErr w:type="spellStart"/>
            <w:r>
              <w:rPr>
                <w:i/>
                <w:iCs/>
                <w:sz w:val="22"/>
                <w:szCs w:val="22"/>
                <w:lang w:val="lt-LT"/>
              </w:rPr>
              <w:t>cepacia</w:t>
            </w:r>
            <w:proofErr w:type="spellEnd"/>
          </w:p>
          <w:p w14:paraId="4C49C90A" w14:textId="77777777" w:rsidR="00803D36" w:rsidRDefault="00803D36" w:rsidP="00D0389B">
            <w:pPr>
              <w:pStyle w:val="prastasiniatinklio"/>
              <w:spacing w:before="0" w:beforeAutospacing="0" w:after="0" w:afterAutospacing="0" w:line="256" w:lineRule="auto"/>
              <w:rPr>
                <w:i/>
                <w:sz w:val="22"/>
                <w:szCs w:val="22"/>
                <w:lang w:val="lt-LT"/>
              </w:rPr>
            </w:pPr>
            <w:proofErr w:type="spellStart"/>
            <w:r>
              <w:rPr>
                <w:i/>
                <w:iCs/>
                <w:sz w:val="22"/>
                <w:szCs w:val="22"/>
                <w:lang w:val="lt-LT"/>
              </w:rPr>
              <w:t>Stenotrophomonas</w:t>
            </w:r>
            <w:proofErr w:type="spellEnd"/>
            <w:r>
              <w:rPr>
                <w:i/>
                <w:iCs/>
                <w:sz w:val="22"/>
                <w:szCs w:val="22"/>
                <w:lang w:val="lt-LT"/>
              </w:rPr>
              <w:t xml:space="preserve"> </w:t>
            </w:r>
            <w:proofErr w:type="spellStart"/>
            <w:r>
              <w:rPr>
                <w:i/>
                <w:iCs/>
                <w:sz w:val="22"/>
                <w:szCs w:val="22"/>
                <w:lang w:val="lt-LT"/>
              </w:rPr>
              <w:t>maltophilia</w:t>
            </w:r>
            <w:proofErr w:type="spellEnd"/>
            <w:r>
              <w:rPr>
                <w:i/>
                <w:iCs/>
                <w:sz w:val="22"/>
                <w:szCs w:val="22"/>
                <w:lang w:val="lt-LT"/>
              </w:rPr>
              <w:t xml:space="preserve"> </w:t>
            </w:r>
          </w:p>
          <w:p w14:paraId="45B25242" w14:textId="77777777" w:rsidR="00803D36" w:rsidRDefault="00803D36" w:rsidP="00D0389B">
            <w:pPr>
              <w:pStyle w:val="prastasiniatinklio"/>
              <w:spacing w:before="0" w:beforeAutospacing="0" w:after="0" w:afterAutospacing="0" w:line="256" w:lineRule="auto"/>
              <w:rPr>
                <w:i/>
                <w:sz w:val="22"/>
                <w:szCs w:val="22"/>
                <w:lang w:val="lt-LT"/>
              </w:rPr>
            </w:pPr>
            <w:proofErr w:type="spellStart"/>
            <w:r>
              <w:rPr>
                <w:i/>
                <w:iCs/>
                <w:sz w:val="22"/>
                <w:szCs w:val="22"/>
                <w:lang w:val="lt-LT"/>
              </w:rPr>
              <w:t>Alcaligenes</w:t>
            </w:r>
            <w:proofErr w:type="spellEnd"/>
            <w:r>
              <w:rPr>
                <w:i/>
                <w:iCs/>
                <w:sz w:val="22"/>
                <w:szCs w:val="22"/>
                <w:lang w:val="lt-LT"/>
              </w:rPr>
              <w:t xml:space="preserve"> </w:t>
            </w:r>
            <w:proofErr w:type="spellStart"/>
            <w:r>
              <w:rPr>
                <w:i/>
                <w:iCs/>
                <w:sz w:val="22"/>
                <w:szCs w:val="22"/>
                <w:lang w:val="lt-LT"/>
              </w:rPr>
              <w:t>xylosoxidans</w:t>
            </w:r>
            <w:proofErr w:type="spellEnd"/>
          </w:p>
        </w:tc>
      </w:tr>
    </w:tbl>
    <w:p w14:paraId="6111A2B3" w14:textId="77777777" w:rsidR="00803D36" w:rsidRDefault="00803D36" w:rsidP="00803D36">
      <w:pPr>
        <w:spacing w:line="240" w:lineRule="auto"/>
        <w:rPr>
          <w:szCs w:val="22"/>
          <w:lang w:val="lt-LT"/>
        </w:rPr>
      </w:pPr>
    </w:p>
    <w:p w14:paraId="7C9B8AE9" w14:textId="77777777" w:rsidR="00803D36" w:rsidRDefault="00803D36" w:rsidP="00803D36">
      <w:pPr>
        <w:spacing w:line="240" w:lineRule="auto"/>
        <w:rPr>
          <w:rFonts w:eastAsia="Batang"/>
          <w:szCs w:val="22"/>
          <w:lang w:val="lt-LT"/>
        </w:rPr>
      </w:pPr>
      <w:r>
        <w:rPr>
          <w:rFonts w:eastAsia="Batang"/>
          <w:szCs w:val="22"/>
          <w:lang w:val="lt-LT"/>
        </w:rPr>
        <w:t xml:space="preserve">Klinikinių tyrimų metu nustatyta, kad gydymas purškiamuoju </w:t>
      </w:r>
      <w:proofErr w:type="spellStart"/>
      <w:r>
        <w:rPr>
          <w:rFonts w:eastAsia="Batang"/>
          <w:szCs w:val="22"/>
          <w:lang w:val="lt-LT"/>
        </w:rPr>
        <w:t>tobramicinu</w:t>
      </w:r>
      <w:proofErr w:type="spellEnd"/>
      <w:r>
        <w:rPr>
          <w:rFonts w:eastAsia="Batang"/>
          <w:szCs w:val="22"/>
          <w:lang w:val="lt-LT"/>
        </w:rPr>
        <w:t xml:space="preserve"> šiek tiek, tačiau neabejotinai padidino minimalią slopinamąją </w:t>
      </w:r>
      <w:proofErr w:type="spellStart"/>
      <w:r>
        <w:rPr>
          <w:rFonts w:eastAsia="Batang"/>
          <w:szCs w:val="22"/>
          <w:lang w:val="lt-LT"/>
        </w:rPr>
        <w:t>tobramicino</w:t>
      </w:r>
      <w:proofErr w:type="spellEnd"/>
      <w:r>
        <w:rPr>
          <w:rFonts w:eastAsia="Batang"/>
          <w:szCs w:val="22"/>
          <w:lang w:val="lt-LT"/>
        </w:rPr>
        <w:t xml:space="preserve">, </w:t>
      </w:r>
      <w:proofErr w:type="spellStart"/>
      <w:r>
        <w:rPr>
          <w:rFonts w:eastAsia="Batang"/>
          <w:szCs w:val="22"/>
          <w:lang w:val="lt-LT"/>
        </w:rPr>
        <w:t>amikacino</w:t>
      </w:r>
      <w:proofErr w:type="spellEnd"/>
      <w:r>
        <w:rPr>
          <w:rFonts w:eastAsia="Batang"/>
          <w:szCs w:val="22"/>
          <w:lang w:val="lt-LT"/>
        </w:rPr>
        <w:t xml:space="preserve"> ir </w:t>
      </w:r>
      <w:proofErr w:type="spellStart"/>
      <w:r>
        <w:rPr>
          <w:rFonts w:eastAsia="Batang"/>
          <w:szCs w:val="22"/>
          <w:lang w:val="lt-LT"/>
        </w:rPr>
        <w:t>gentamicino</w:t>
      </w:r>
      <w:proofErr w:type="spellEnd"/>
      <w:r>
        <w:rPr>
          <w:rFonts w:eastAsia="Batang"/>
          <w:szCs w:val="22"/>
          <w:lang w:val="lt-LT"/>
        </w:rPr>
        <w:t xml:space="preserve"> koncentraciją išskirtoms </w:t>
      </w:r>
      <w:r>
        <w:rPr>
          <w:rFonts w:eastAsia="Batang"/>
          <w:i/>
          <w:szCs w:val="22"/>
          <w:lang w:val="lt-LT"/>
        </w:rPr>
        <w:t xml:space="preserve">P. </w:t>
      </w:r>
      <w:proofErr w:type="spellStart"/>
      <w:r>
        <w:rPr>
          <w:rFonts w:eastAsia="Batang"/>
          <w:i/>
          <w:szCs w:val="22"/>
          <w:lang w:val="lt-LT"/>
        </w:rPr>
        <w:t>aeruginosa</w:t>
      </w:r>
      <w:proofErr w:type="spellEnd"/>
      <w:r>
        <w:rPr>
          <w:rFonts w:eastAsia="Batang"/>
          <w:szCs w:val="22"/>
          <w:lang w:val="lt-LT"/>
        </w:rPr>
        <w:t xml:space="preserve"> padermėms. Kiekvienas papildomas 6 mėnesių gydymo laikotarpis šią koncentraciją padidindavo panašiai tiek, kiek ji padidėjo per 6 mėnesius kontroliuotų tyrimų metu. Labiausiai paplitęs </w:t>
      </w:r>
      <w:r>
        <w:rPr>
          <w:rFonts w:eastAsia="Batang"/>
          <w:i/>
          <w:szCs w:val="22"/>
          <w:lang w:val="lt-LT"/>
        </w:rPr>
        <w:t xml:space="preserve">P. </w:t>
      </w:r>
      <w:proofErr w:type="spellStart"/>
      <w:r>
        <w:rPr>
          <w:rFonts w:eastAsia="Batang"/>
          <w:i/>
          <w:szCs w:val="22"/>
          <w:lang w:val="lt-LT"/>
        </w:rPr>
        <w:t>aeruginosa</w:t>
      </w:r>
      <w:proofErr w:type="spellEnd"/>
      <w:r>
        <w:rPr>
          <w:rFonts w:eastAsia="Batang"/>
          <w:i/>
          <w:szCs w:val="22"/>
          <w:lang w:val="lt-LT"/>
        </w:rPr>
        <w:t>,</w:t>
      </w:r>
      <w:r>
        <w:rPr>
          <w:rFonts w:eastAsia="Batang"/>
          <w:szCs w:val="22"/>
          <w:lang w:val="lt-LT"/>
        </w:rPr>
        <w:t xml:space="preserve"> išskirtos iš CF sergančių pacientų, kuriems yra lėtinė infekcija, organizmo, atsparumo </w:t>
      </w:r>
      <w:proofErr w:type="spellStart"/>
      <w:r>
        <w:rPr>
          <w:rFonts w:eastAsia="Batang"/>
          <w:szCs w:val="22"/>
          <w:lang w:val="lt-LT"/>
        </w:rPr>
        <w:t>aminoglikozidams</w:t>
      </w:r>
      <w:proofErr w:type="spellEnd"/>
      <w:r>
        <w:rPr>
          <w:rFonts w:eastAsia="Batang"/>
          <w:szCs w:val="22"/>
          <w:lang w:val="lt-LT"/>
        </w:rPr>
        <w:t xml:space="preserve"> atsiradimo mechanizmas yra pralaidumo išnykimas, sumažinantis jautrumą visiems </w:t>
      </w:r>
      <w:proofErr w:type="spellStart"/>
      <w:r>
        <w:rPr>
          <w:rFonts w:eastAsia="Batang"/>
          <w:szCs w:val="22"/>
          <w:lang w:val="lt-LT"/>
        </w:rPr>
        <w:t>aminoglikozidams</w:t>
      </w:r>
      <w:proofErr w:type="spellEnd"/>
      <w:r>
        <w:rPr>
          <w:rFonts w:eastAsia="Batang"/>
          <w:szCs w:val="22"/>
          <w:lang w:val="lt-LT"/>
        </w:rPr>
        <w:t xml:space="preserve">. Nustatyta, kad iš CF sergančių pacientų išskirtai </w:t>
      </w:r>
      <w:r>
        <w:rPr>
          <w:rFonts w:eastAsia="Batang"/>
          <w:i/>
          <w:szCs w:val="22"/>
          <w:lang w:val="lt-LT"/>
        </w:rPr>
        <w:t xml:space="preserve">P. </w:t>
      </w:r>
      <w:proofErr w:type="spellStart"/>
      <w:r>
        <w:rPr>
          <w:rFonts w:eastAsia="Batang"/>
          <w:i/>
          <w:szCs w:val="22"/>
          <w:lang w:val="lt-LT"/>
        </w:rPr>
        <w:t>aeruginosa</w:t>
      </w:r>
      <w:proofErr w:type="spellEnd"/>
      <w:r>
        <w:rPr>
          <w:rFonts w:eastAsia="Batang"/>
          <w:szCs w:val="22"/>
          <w:lang w:val="lt-LT"/>
        </w:rPr>
        <w:t xml:space="preserve"> būdingas adaptacinis atsparumas </w:t>
      </w:r>
      <w:proofErr w:type="spellStart"/>
      <w:r>
        <w:rPr>
          <w:rFonts w:eastAsia="Batang"/>
          <w:szCs w:val="22"/>
          <w:lang w:val="lt-LT"/>
        </w:rPr>
        <w:t>aminoglikozidams</w:t>
      </w:r>
      <w:proofErr w:type="spellEnd"/>
      <w:r>
        <w:rPr>
          <w:rFonts w:eastAsia="Batang"/>
          <w:szCs w:val="22"/>
          <w:lang w:val="lt-LT"/>
        </w:rPr>
        <w:t xml:space="preserve"> (jam būdingas jautrumo atsinaujinimas, kai antibiotikas pašalinamas).</w:t>
      </w:r>
    </w:p>
    <w:p w14:paraId="762CFD55" w14:textId="77777777" w:rsidR="00803D36" w:rsidRDefault="00803D36" w:rsidP="00803D36">
      <w:pPr>
        <w:spacing w:line="240" w:lineRule="auto"/>
        <w:rPr>
          <w:rFonts w:eastAsia="Batang"/>
          <w:szCs w:val="22"/>
          <w:lang w:val="lt-LT"/>
        </w:rPr>
      </w:pPr>
    </w:p>
    <w:p w14:paraId="36FFAD46" w14:textId="77777777" w:rsidR="00803D36" w:rsidRPr="00DD5276" w:rsidRDefault="00803D36" w:rsidP="00803D36">
      <w:pPr>
        <w:spacing w:line="240" w:lineRule="auto"/>
        <w:rPr>
          <w:rFonts w:eastAsia="Batang"/>
          <w:i/>
          <w:iCs/>
          <w:szCs w:val="22"/>
          <w:lang w:val="lt-LT"/>
        </w:rPr>
      </w:pPr>
      <w:r w:rsidRPr="00DD5276">
        <w:rPr>
          <w:rFonts w:eastAsia="Batang"/>
          <w:i/>
          <w:iCs/>
          <w:szCs w:val="22"/>
          <w:lang w:val="lt-LT"/>
        </w:rPr>
        <w:t>Kita informacija</w:t>
      </w:r>
    </w:p>
    <w:p w14:paraId="6F4109BC" w14:textId="77777777" w:rsidR="00803D36" w:rsidRDefault="00803D36" w:rsidP="00803D36">
      <w:pPr>
        <w:spacing w:line="240" w:lineRule="auto"/>
        <w:rPr>
          <w:rFonts w:eastAsia="Batang"/>
          <w:szCs w:val="22"/>
          <w:lang w:val="lt-LT"/>
        </w:rPr>
      </w:pPr>
      <w:r>
        <w:rPr>
          <w:rFonts w:eastAsia="Batang"/>
          <w:szCs w:val="22"/>
          <w:lang w:val="lt-LT"/>
        </w:rPr>
        <w:t xml:space="preserve">Duomenų, kad iki 18 mėnesių purškiamojo </w:t>
      </w:r>
      <w:proofErr w:type="spellStart"/>
      <w:r>
        <w:rPr>
          <w:rFonts w:eastAsia="Batang"/>
          <w:szCs w:val="22"/>
          <w:lang w:val="lt-LT"/>
        </w:rPr>
        <w:t>tobramicino</w:t>
      </w:r>
      <w:proofErr w:type="spellEnd"/>
      <w:r>
        <w:rPr>
          <w:rFonts w:eastAsia="Batang"/>
          <w:szCs w:val="22"/>
          <w:lang w:val="lt-LT"/>
        </w:rPr>
        <w:t xml:space="preserve"> vartojusiems pacientams, palyginti su juo negydytais pacientais, padidėtų </w:t>
      </w:r>
      <w:r>
        <w:rPr>
          <w:rFonts w:eastAsia="Batang"/>
          <w:i/>
          <w:szCs w:val="22"/>
          <w:lang w:val="lt-LT"/>
        </w:rPr>
        <w:t xml:space="preserve">B. </w:t>
      </w:r>
      <w:proofErr w:type="spellStart"/>
      <w:r>
        <w:rPr>
          <w:rFonts w:eastAsia="Batang"/>
          <w:i/>
          <w:szCs w:val="22"/>
          <w:lang w:val="lt-LT"/>
        </w:rPr>
        <w:t>cepacia</w:t>
      </w:r>
      <w:proofErr w:type="spellEnd"/>
      <w:r>
        <w:rPr>
          <w:rFonts w:eastAsia="Batang"/>
          <w:i/>
          <w:szCs w:val="22"/>
          <w:lang w:val="lt-LT"/>
        </w:rPr>
        <w:t xml:space="preserve">, S. </w:t>
      </w:r>
      <w:proofErr w:type="spellStart"/>
      <w:r>
        <w:rPr>
          <w:rFonts w:eastAsia="Batang"/>
          <w:i/>
          <w:szCs w:val="22"/>
          <w:lang w:val="lt-LT"/>
        </w:rPr>
        <w:t>maltophilia</w:t>
      </w:r>
      <w:proofErr w:type="spellEnd"/>
      <w:r>
        <w:rPr>
          <w:rFonts w:eastAsia="Batang"/>
          <w:i/>
          <w:szCs w:val="22"/>
          <w:lang w:val="lt-LT"/>
        </w:rPr>
        <w:t xml:space="preserve"> </w:t>
      </w:r>
      <w:r>
        <w:rPr>
          <w:rFonts w:eastAsia="Batang"/>
          <w:szCs w:val="22"/>
          <w:lang w:val="lt-LT"/>
        </w:rPr>
        <w:t>ar</w:t>
      </w:r>
      <w:r>
        <w:rPr>
          <w:rFonts w:eastAsia="Batang"/>
          <w:i/>
          <w:szCs w:val="22"/>
          <w:lang w:val="lt-LT"/>
        </w:rPr>
        <w:t xml:space="preserve"> A. </w:t>
      </w:r>
      <w:proofErr w:type="spellStart"/>
      <w:r>
        <w:rPr>
          <w:rFonts w:eastAsia="Batang"/>
          <w:i/>
          <w:szCs w:val="22"/>
          <w:lang w:val="lt-LT"/>
        </w:rPr>
        <w:t>xylosoxidans</w:t>
      </w:r>
      <w:proofErr w:type="spellEnd"/>
      <w:r>
        <w:rPr>
          <w:rFonts w:eastAsia="Batang"/>
          <w:i/>
          <w:szCs w:val="22"/>
          <w:lang w:val="lt-LT"/>
        </w:rPr>
        <w:t xml:space="preserve"> </w:t>
      </w:r>
      <w:r>
        <w:rPr>
          <w:rFonts w:eastAsia="Batang"/>
          <w:szCs w:val="22"/>
          <w:lang w:val="lt-LT"/>
        </w:rPr>
        <w:t xml:space="preserve">infekcijos rizika, nėra. Iš pacientų, vartojusių purškiamojo </w:t>
      </w:r>
      <w:proofErr w:type="spellStart"/>
      <w:r>
        <w:rPr>
          <w:rFonts w:eastAsia="Batang"/>
          <w:szCs w:val="22"/>
          <w:lang w:val="lt-LT"/>
        </w:rPr>
        <w:t>tobramicino</w:t>
      </w:r>
      <w:proofErr w:type="spellEnd"/>
      <w:r>
        <w:rPr>
          <w:rFonts w:eastAsia="Batang"/>
          <w:szCs w:val="22"/>
          <w:lang w:val="lt-LT"/>
        </w:rPr>
        <w:t xml:space="preserve">, skreplių dažniau buvo išskiriama </w:t>
      </w:r>
      <w:proofErr w:type="spellStart"/>
      <w:r>
        <w:rPr>
          <w:rFonts w:eastAsia="Batang"/>
          <w:i/>
          <w:szCs w:val="22"/>
          <w:lang w:val="lt-LT"/>
        </w:rPr>
        <w:t>Aspergillus</w:t>
      </w:r>
      <w:proofErr w:type="spellEnd"/>
      <w:r>
        <w:rPr>
          <w:rFonts w:eastAsia="Batang"/>
          <w:szCs w:val="22"/>
          <w:lang w:val="lt-LT"/>
        </w:rPr>
        <w:t xml:space="preserve"> rūšių, tačiau klinikinių sutrikimų, pvz., alerginė bronchų ir plaučių </w:t>
      </w:r>
      <w:proofErr w:type="spellStart"/>
      <w:r>
        <w:rPr>
          <w:rFonts w:eastAsia="Batang"/>
          <w:szCs w:val="22"/>
          <w:lang w:val="lt-LT"/>
        </w:rPr>
        <w:t>aspergiliozė</w:t>
      </w:r>
      <w:proofErr w:type="spellEnd"/>
      <w:r>
        <w:rPr>
          <w:rFonts w:eastAsia="Batang"/>
          <w:szCs w:val="22"/>
          <w:lang w:val="lt-LT"/>
        </w:rPr>
        <w:t xml:space="preserve"> (ABPA) atsirado retai, jos dažnumas buvo panašus kaip ir kontrolinėje grupėje.</w:t>
      </w:r>
    </w:p>
    <w:p w14:paraId="2D1F5F5E" w14:textId="77777777" w:rsidR="00803D36" w:rsidRDefault="00803D36" w:rsidP="00803D36">
      <w:pPr>
        <w:spacing w:line="240" w:lineRule="auto"/>
        <w:rPr>
          <w:szCs w:val="22"/>
          <w:lang w:val="lt-LT"/>
        </w:rPr>
      </w:pPr>
    </w:p>
    <w:p w14:paraId="279A6C8C" w14:textId="77777777" w:rsidR="00803D36" w:rsidRDefault="00803D36" w:rsidP="00803D36">
      <w:pPr>
        <w:spacing w:line="240" w:lineRule="auto"/>
        <w:rPr>
          <w:rFonts w:eastAsia="Batang"/>
          <w:szCs w:val="22"/>
          <w:lang w:val="lt-LT"/>
        </w:rPr>
      </w:pPr>
      <w:r>
        <w:rPr>
          <w:rFonts w:eastAsia="Batang"/>
          <w:szCs w:val="22"/>
          <w:lang w:val="lt-LT"/>
        </w:rPr>
        <w:t>Duomenų apie klinikinį saugumą ir veiksmingumą gydant jaunesnius kaip 6 metų pacientus nepakanka.</w:t>
      </w:r>
    </w:p>
    <w:p w14:paraId="6A42F0B4" w14:textId="77777777" w:rsidR="00803D36" w:rsidRDefault="00803D36" w:rsidP="00803D36">
      <w:pPr>
        <w:spacing w:line="240" w:lineRule="auto"/>
        <w:rPr>
          <w:szCs w:val="22"/>
          <w:lang w:val="lt-LT"/>
        </w:rPr>
      </w:pPr>
    </w:p>
    <w:p w14:paraId="25190BEC" w14:textId="77777777" w:rsidR="00803D36" w:rsidRDefault="00803D36" w:rsidP="00803D36">
      <w:pPr>
        <w:spacing w:line="240" w:lineRule="auto"/>
        <w:rPr>
          <w:szCs w:val="22"/>
          <w:lang w:val="lt-LT"/>
        </w:rPr>
      </w:pPr>
      <w:r>
        <w:rPr>
          <w:szCs w:val="22"/>
          <w:lang w:val="lt-LT"/>
        </w:rPr>
        <w:t>Atviro tyrimo be kontrolinės grupės metu 88 CF sergantys pacientai (37 pacientai buvo 6 mėnesių – 6 metų, 41 pacientas – 6</w:t>
      </w:r>
      <w:r>
        <w:rPr>
          <w:szCs w:val="22"/>
          <w:lang w:val="lt-LT"/>
        </w:rPr>
        <w:noBreakHyphen/>
        <w:t xml:space="preserve">18 metų ir 10 pacientų vyresni kaip 18 metų), kuriems pasireiškė ankstyvoji (ne lėtinė) </w:t>
      </w:r>
      <w:r>
        <w:rPr>
          <w:i/>
          <w:szCs w:val="22"/>
          <w:lang w:val="lt-LT"/>
        </w:rPr>
        <w:t>P. </w:t>
      </w:r>
      <w:proofErr w:type="spellStart"/>
      <w:r>
        <w:rPr>
          <w:i/>
          <w:szCs w:val="22"/>
          <w:lang w:val="lt-LT"/>
        </w:rPr>
        <w:t>aeruginosa</w:t>
      </w:r>
      <w:proofErr w:type="spellEnd"/>
      <w:r>
        <w:rPr>
          <w:szCs w:val="22"/>
          <w:lang w:val="lt-LT"/>
        </w:rPr>
        <w:t xml:space="preserve"> infekcija, purškiamuoju </w:t>
      </w:r>
      <w:proofErr w:type="spellStart"/>
      <w:r>
        <w:rPr>
          <w:szCs w:val="22"/>
          <w:lang w:val="lt-LT"/>
        </w:rPr>
        <w:t>tobramicinu</w:t>
      </w:r>
      <w:proofErr w:type="spellEnd"/>
      <w:r>
        <w:rPr>
          <w:szCs w:val="22"/>
          <w:lang w:val="lt-LT"/>
        </w:rPr>
        <w:t xml:space="preserve"> buvo gydomi 28 dienas. Po 28 dienų pacientai buvo suskirstyti į atsitiktines imtis santykiu 1:1 ir arba gydymą nutraukė (n=45), arba buvo gydomi dar 28 dienas (n=43).</w:t>
      </w:r>
    </w:p>
    <w:p w14:paraId="4CEB311A" w14:textId="77777777" w:rsidR="00803D36" w:rsidRDefault="00803D36" w:rsidP="00803D36">
      <w:pPr>
        <w:spacing w:line="240" w:lineRule="auto"/>
        <w:rPr>
          <w:szCs w:val="22"/>
          <w:lang w:val="lt-LT"/>
        </w:rPr>
      </w:pPr>
    </w:p>
    <w:p w14:paraId="75C7A083" w14:textId="77777777" w:rsidR="00803D36" w:rsidRDefault="00803D36" w:rsidP="00803D36">
      <w:pPr>
        <w:spacing w:line="240" w:lineRule="auto"/>
        <w:rPr>
          <w:szCs w:val="22"/>
          <w:lang w:val="lt-LT"/>
        </w:rPr>
      </w:pPr>
      <w:r>
        <w:rPr>
          <w:szCs w:val="22"/>
          <w:lang w:val="lt-LT"/>
        </w:rPr>
        <w:t xml:space="preserve">Pagrindinė vertinamoji baigtis buvo laiko iki </w:t>
      </w:r>
      <w:r>
        <w:rPr>
          <w:i/>
          <w:szCs w:val="22"/>
          <w:lang w:val="lt-LT"/>
        </w:rPr>
        <w:t xml:space="preserve">P. </w:t>
      </w:r>
      <w:proofErr w:type="spellStart"/>
      <w:r>
        <w:rPr>
          <w:i/>
          <w:szCs w:val="22"/>
          <w:lang w:val="lt-LT"/>
        </w:rPr>
        <w:t>aeruginosa</w:t>
      </w:r>
      <w:proofErr w:type="spellEnd"/>
      <w:r>
        <w:rPr>
          <w:szCs w:val="22"/>
          <w:lang w:val="lt-LT"/>
        </w:rPr>
        <w:t xml:space="preserve"> (bet kokios padermės) infekcijos atsinaujinimo mediana, kuri 28 dienų ir 56 dienų grupėse buvo atitinkamai 26,1 mėnesio ir 25,8 mėnesio. Nustatyta, kad 28 dienų ir 56 dienų grupėse atitinkamai 93% ir 92% pacientų </w:t>
      </w:r>
      <w:r>
        <w:rPr>
          <w:i/>
          <w:szCs w:val="22"/>
          <w:lang w:val="lt-LT"/>
        </w:rPr>
        <w:t xml:space="preserve">P. </w:t>
      </w:r>
      <w:proofErr w:type="spellStart"/>
      <w:r>
        <w:rPr>
          <w:i/>
          <w:szCs w:val="22"/>
          <w:lang w:val="lt-LT"/>
        </w:rPr>
        <w:t>aeruginosa</w:t>
      </w:r>
      <w:proofErr w:type="spellEnd"/>
      <w:r>
        <w:rPr>
          <w:szCs w:val="22"/>
          <w:lang w:val="lt-LT"/>
        </w:rPr>
        <w:t xml:space="preserve"> infekcija nepasireiškė 1 mėnesį po gydymo pabaigos. Purškiamojo </w:t>
      </w:r>
      <w:proofErr w:type="spellStart"/>
      <w:r>
        <w:rPr>
          <w:szCs w:val="22"/>
          <w:lang w:val="lt-LT"/>
        </w:rPr>
        <w:t>tobramicino</w:t>
      </w:r>
      <w:proofErr w:type="spellEnd"/>
      <w:r>
        <w:rPr>
          <w:szCs w:val="22"/>
          <w:lang w:val="lt-LT"/>
        </w:rPr>
        <w:t xml:space="preserve"> vartojimas ilgiau kaip 28 dienas iš eilės nėra patvirtintas.</w:t>
      </w:r>
    </w:p>
    <w:p w14:paraId="0665BB47" w14:textId="77777777" w:rsidR="00803D36" w:rsidRDefault="00803D36" w:rsidP="00803D36">
      <w:pPr>
        <w:spacing w:line="240" w:lineRule="auto"/>
        <w:rPr>
          <w:szCs w:val="22"/>
          <w:lang w:val="lt-LT"/>
        </w:rPr>
      </w:pPr>
    </w:p>
    <w:p w14:paraId="07CE45AC" w14:textId="77777777" w:rsidR="00803D36" w:rsidRPr="00E07B2A" w:rsidRDefault="00803D36" w:rsidP="00803D36">
      <w:pPr>
        <w:spacing w:line="240" w:lineRule="auto"/>
        <w:rPr>
          <w:szCs w:val="22"/>
          <w:u w:val="single"/>
          <w:lang w:val="lt-LT"/>
        </w:rPr>
      </w:pPr>
      <w:r w:rsidRPr="00E07B2A">
        <w:rPr>
          <w:szCs w:val="22"/>
          <w:u w:val="single"/>
          <w:lang w:val="lt-LT"/>
        </w:rPr>
        <w:t>Klinikinis veiksmingumas</w:t>
      </w:r>
    </w:p>
    <w:p w14:paraId="14F25AED" w14:textId="77777777" w:rsidR="00803D36" w:rsidRDefault="00803D36" w:rsidP="00803D36">
      <w:pPr>
        <w:tabs>
          <w:tab w:val="clear" w:pos="567"/>
          <w:tab w:val="left" w:pos="1296"/>
        </w:tabs>
        <w:spacing w:line="240" w:lineRule="auto"/>
        <w:ind w:right="-142"/>
        <w:rPr>
          <w:szCs w:val="22"/>
          <w:lang w:val="lt-LT"/>
        </w:rPr>
      </w:pPr>
      <w:r>
        <w:rPr>
          <w:szCs w:val="22"/>
          <w:lang w:val="lt-LT"/>
        </w:rPr>
        <w:t>Buvo atlikti du identiškos struktūros, dvigubai koduoti, atsitiktinių imčių, placebu kontroliuoti, paralelinių grupių, 24 savaičių trukmės klinikiniai tyrimai (1</w:t>
      </w:r>
      <w:r>
        <w:rPr>
          <w:szCs w:val="22"/>
          <w:lang w:val="lt-LT"/>
        </w:rPr>
        <w:noBreakHyphen/>
        <w:t>asis tyrimas ir 2</w:t>
      </w:r>
      <w:r>
        <w:rPr>
          <w:szCs w:val="22"/>
          <w:lang w:val="lt-LT"/>
        </w:rPr>
        <w:noBreakHyphen/>
        <w:t xml:space="preserve">asis tyrimas), kuriuose dalyvavo cistine fibroze su pasireiškusia </w:t>
      </w:r>
      <w:r>
        <w:rPr>
          <w:i/>
          <w:szCs w:val="22"/>
          <w:lang w:val="lt-LT"/>
        </w:rPr>
        <w:t xml:space="preserve">P. </w:t>
      </w:r>
      <w:proofErr w:type="spellStart"/>
      <w:r>
        <w:rPr>
          <w:i/>
          <w:szCs w:val="22"/>
          <w:lang w:val="lt-LT"/>
        </w:rPr>
        <w:t>aeruginosa</w:t>
      </w:r>
      <w:proofErr w:type="spellEnd"/>
      <w:r>
        <w:rPr>
          <w:szCs w:val="22"/>
          <w:lang w:val="lt-LT"/>
        </w:rPr>
        <w:t xml:space="preserve"> infekcija sergantys pacientai; šiais tyrimais buvo siekiama gauti duomenų pradinei 1999 m. atliktai registracijai paremti. Į šiuos tyrimus buvo įtraukta 520 tiriamųjų, kurių pradinis FEV</w:t>
      </w:r>
      <w:r>
        <w:rPr>
          <w:szCs w:val="22"/>
          <w:vertAlign w:val="subscript"/>
          <w:lang w:val="lt-LT"/>
        </w:rPr>
        <w:t>1</w:t>
      </w:r>
      <w:r>
        <w:rPr>
          <w:szCs w:val="22"/>
          <w:lang w:val="lt-LT"/>
        </w:rPr>
        <w:t xml:space="preserve"> buvo nuo 25% iki 75% numatyto normalaus rodmens. Į tyrimus nebuvo įtraukti pacientai, </w:t>
      </w:r>
      <w:r>
        <w:rPr>
          <w:color w:val="000000"/>
          <w:szCs w:val="22"/>
          <w:lang w:val="lt-LT" w:eastAsia="es-ES"/>
        </w:rPr>
        <w:t xml:space="preserve">kurie buvo jaunesni kaip 6 metų, kurių pradinis kreatinino kiekis buvo </w:t>
      </w:r>
      <w:r>
        <w:rPr>
          <w:szCs w:val="22"/>
          <w:lang w:val="lt-LT"/>
        </w:rPr>
        <w:t>&gt;2 mg/dl</w:t>
      </w:r>
      <w:r>
        <w:rPr>
          <w:color w:val="000000"/>
          <w:szCs w:val="22"/>
          <w:lang w:val="lt-LT" w:eastAsia="es-ES"/>
        </w:rPr>
        <w:t xml:space="preserve"> ar kuriems iš skreplių buvo išskirta </w:t>
      </w:r>
      <w:proofErr w:type="spellStart"/>
      <w:r>
        <w:rPr>
          <w:i/>
          <w:iCs/>
          <w:color w:val="000000"/>
          <w:szCs w:val="22"/>
          <w:lang w:val="lt-LT" w:eastAsia="es-ES"/>
        </w:rPr>
        <w:t>Burkholderia</w:t>
      </w:r>
      <w:proofErr w:type="spellEnd"/>
      <w:r>
        <w:rPr>
          <w:i/>
          <w:iCs/>
          <w:color w:val="000000"/>
          <w:szCs w:val="22"/>
          <w:lang w:val="lt-LT" w:eastAsia="es-ES"/>
        </w:rPr>
        <w:t xml:space="preserve"> </w:t>
      </w:r>
      <w:proofErr w:type="spellStart"/>
      <w:r>
        <w:rPr>
          <w:i/>
          <w:iCs/>
          <w:color w:val="000000"/>
          <w:szCs w:val="22"/>
          <w:lang w:val="lt-LT" w:eastAsia="es-ES"/>
        </w:rPr>
        <w:t>cepacia</w:t>
      </w:r>
      <w:proofErr w:type="spellEnd"/>
      <w:r>
        <w:rPr>
          <w:color w:val="000000"/>
          <w:szCs w:val="22"/>
          <w:lang w:val="lt-LT" w:eastAsia="es-ES"/>
        </w:rPr>
        <w:t>.</w:t>
      </w:r>
      <w:r>
        <w:rPr>
          <w:szCs w:val="22"/>
          <w:lang w:val="lt-LT"/>
        </w:rPr>
        <w:t xml:space="preserve"> Šių klinikinių tyrimų metu </w:t>
      </w:r>
      <w:r>
        <w:rPr>
          <w:szCs w:val="22"/>
          <w:lang w:val="lt-LT"/>
        </w:rPr>
        <w:lastRenderedPageBreak/>
        <w:t xml:space="preserve">258 pacientai ambulatorinėmis sąlygomis vartojo purškiamojo </w:t>
      </w:r>
      <w:proofErr w:type="spellStart"/>
      <w:r>
        <w:rPr>
          <w:szCs w:val="22"/>
          <w:lang w:val="lt-LT"/>
        </w:rPr>
        <w:t>tobramicino</w:t>
      </w:r>
      <w:proofErr w:type="spellEnd"/>
      <w:r>
        <w:rPr>
          <w:szCs w:val="22"/>
          <w:lang w:val="lt-LT"/>
        </w:rPr>
        <w:t xml:space="preserve">, naudodami portatyvinį PARI LC PLUS™ daugkartinį purkštuvą su </w:t>
      </w:r>
      <w:proofErr w:type="spellStart"/>
      <w:r>
        <w:rPr>
          <w:szCs w:val="22"/>
          <w:lang w:val="lt-LT"/>
        </w:rPr>
        <w:t>DeVilbiss</w:t>
      </w:r>
      <w:proofErr w:type="spellEnd"/>
      <w:r>
        <w:rPr>
          <w:szCs w:val="22"/>
          <w:vertAlign w:val="superscript"/>
          <w:lang w:val="lt-LT"/>
        </w:rPr>
        <w:t>®</w:t>
      </w:r>
      <w:r>
        <w:rPr>
          <w:szCs w:val="22"/>
          <w:lang w:val="lt-LT"/>
        </w:rPr>
        <w:t xml:space="preserve"> </w:t>
      </w:r>
      <w:proofErr w:type="spellStart"/>
      <w:r>
        <w:rPr>
          <w:szCs w:val="22"/>
          <w:lang w:val="lt-LT"/>
        </w:rPr>
        <w:t>Pulmo</w:t>
      </w:r>
      <w:proofErr w:type="spellEnd"/>
      <w:r>
        <w:rPr>
          <w:szCs w:val="22"/>
          <w:lang w:val="lt-LT"/>
        </w:rPr>
        <w:t>-Aide</w:t>
      </w:r>
      <w:r>
        <w:rPr>
          <w:szCs w:val="22"/>
          <w:vertAlign w:val="superscript"/>
          <w:lang w:val="lt-LT"/>
        </w:rPr>
        <w:t>®</w:t>
      </w:r>
      <w:r>
        <w:rPr>
          <w:szCs w:val="22"/>
          <w:lang w:val="lt-LT"/>
        </w:rPr>
        <w:t xml:space="preserve"> kompresoriumi.</w:t>
      </w:r>
    </w:p>
    <w:p w14:paraId="30970154" w14:textId="77777777" w:rsidR="00803D36" w:rsidRDefault="00803D36" w:rsidP="00803D36">
      <w:pPr>
        <w:tabs>
          <w:tab w:val="clear" w:pos="567"/>
          <w:tab w:val="left" w:pos="1296"/>
        </w:tabs>
        <w:spacing w:line="240" w:lineRule="auto"/>
        <w:ind w:right="-142"/>
        <w:rPr>
          <w:szCs w:val="22"/>
          <w:lang w:val="lt-LT"/>
        </w:rPr>
      </w:pPr>
    </w:p>
    <w:p w14:paraId="2C1AB514" w14:textId="77777777" w:rsidR="00803D36" w:rsidRDefault="00803D36" w:rsidP="00803D36">
      <w:pPr>
        <w:tabs>
          <w:tab w:val="clear" w:pos="567"/>
          <w:tab w:val="left" w:pos="1296"/>
        </w:tabs>
        <w:spacing w:line="240" w:lineRule="auto"/>
        <w:ind w:right="-142"/>
        <w:rPr>
          <w:szCs w:val="22"/>
          <w:lang w:val="lt-LT"/>
        </w:rPr>
      </w:pPr>
      <w:r>
        <w:rPr>
          <w:szCs w:val="22"/>
          <w:lang w:val="lt-LT"/>
        </w:rPr>
        <w:t xml:space="preserve">Kiekvieno tyrimo metu purškiamojo </w:t>
      </w:r>
      <w:proofErr w:type="spellStart"/>
      <w:r>
        <w:rPr>
          <w:szCs w:val="22"/>
          <w:lang w:val="lt-LT"/>
        </w:rPr>
        <w:t>tobramicino</w:t>
      </w:r>
      <w:proofErr w:type="spellEnd"/>
      <w:r>
        <w:rPr>
          <w:szCs w:val="22"/>
          <w:lang w:val="lt-LT"/>
        </w:rPr>
        <w:t xml:space="preserve"> vartojusiems pacientams reikšmingai pagerėjo plaučių funkcija ir vaistinio preparato vartojimo laikotarpiais reikšmingai sumažėjo </w:t>
      </w:r>
      <w:r>
        <w:rPr>
          <w:i/>
          <w:szCs w:val="22"/>
          <w:lang w:val="lt-LT"/>
        </w:rPr>
        <w:t xml:space="preserve">P. </w:t>
      </w:r>
      <w:proofErr w:type="spellStart"/>
      <w:r>
        <w:rPr>
          <w:i/>
          <w:szCs w:val="22"/>
          <w:lang w:val="lt-LT"/>
        </w:rPr>
        <w:t>aeruginosa</w:t>
      </w:r>
      <w:proofErr w:type="spellEnd"/>
      <w:r>
        <w:rPr>
          <w:szCs w:val="22"/>
          <w:lang w:val="lt-LT"/>
        </w:rPr>
        <w:t xml:space="preserve"> kolonijas formuojančių vienetų (KFV) skaičius skrepliuose. Vidutinis FEV</w:t>
      </w:r>
      <w:r>
        <w:rPr>
          <w:szCs w:val="22"/>
          <w:vertAlign w:val="subscript"/>
          <w:lang w:val="lt-LT"/>
        </w:rPr>
        <w:t>1</w:t>
      </w:r>
      <w:r>
        <w:rPr>
          <w:szCs w:val="22"/>
          <w:lang w:val="lt-LT"/>
        </w:rPr>
        <w:t xml:space="preserve"> 28 dienų vaistinio preparato nevartojimo laikotarpiu išliko didesnis nei pradinis rodmuo, tačiau daugumai pacientų jis kažkiek sumažėdavo. Vaistinio preparato nevartojimo laikotarpiais bakterijų tankis skrepliuose vėl tapdavo toks, koks buvo tyrimo pradžioje. Kiekvieno kito ciklo metu bakterijų tankio skrepliuose sumažėjimas būdavo mažesnis.</w:t>
      </w:r>
    </w:p>
    <w:p w14:paraId="17A197A3" w14:textId="77777777" w:rsidR="00803D36" w:rsidRDefault="00803D36" w:rsidP="00803D36">
      <w:pPr>
        <w:tabs>
          <w:tab w:val="clear" w:pos="567"/>
          <w:tab w:val="left" w:pos="1296"/>
        </w:tabs>
        <w:spacing w:line="240" w:lineRule="auto"/>
        <w:ind w:right="-142"/>
        <w:rPr>
          <w:szCs w:val="22"/>
          <w:lang w:val="lt-LT"/>
        </w:rPr>
      </w:pPr>
    </w:p>
    <w:p w14:paraId="2D42F3C0" w14:textId="77777777" w:rsidR="00803D36" w:rsidRDefault="00803D36" w:rsidP="00803D36">
      <w:pPr>
        <w:tabs>
          <w:tab w:val="clear" w:pos="567"/>
          <w:tab w:val="left" w:pos="1296"/>
        </w:tabs>
        <w:spacing w:line="240" w:lineRule="auto"/>
        <w:ind w:right="-142"/>
        <w:rPr>
          <w:szCs w:val="22"/>
          <w:lang w:val="lt-LT"/>
        </w:rPr>
      </w:pPr>
      <w:r>
        <w:rPr>
          <w:szCs w:val="22"/>
          <w:lang w:val="lt-LT"/>
        </w:rPr>
        <w:t xml:space="preserve">Purškiamuoju </w:t>
      </w:r>
      <w:proofErr w:type="spellStart"/>
      <w:r>
        <w:rPr>
          <w:szCs w:val="22"/>
          <w:lang w:val="lt-LT"/>
        </w:rPr>
        <w:t>tobramicinu</w:t>
      </w:r>
      <w:proofErr w:type="spellEnd"/>
      <w:r>
        <w:rPr>
          <w:szCs w:val="22"/>
          <w:lang w:val="lt-LT"/>
        </w:rPr>
        <w:t xml:space="preserve"> gydyti pacientai vidutiniškai mažiau dienų buvo gydomi ligoninėje ir mažiau dienų </w:t>
      </w:r>
      <w:proofErr w:type="spellStart"/>
      <w:r>
        <w:rPr>
          <w:szCs w:val="22"/>
          <w:lang w:val="lt-LT"/>
        </w:rPr>
        <w:t>parenteriniu</w:t>
      </w:r>
      <w:proofErr w:type="spellEnd"/>
      <w:r>
        <w:rPr>
          <w:szCs w:val="22"/>
          <w:lang w:val="lt-LT"/>
        </w:rPr>
        <w:t xml:space="preserve"> būdu vartojo </w:t>
      </w:r>
      <w:proofErr w:type="spellStart"/>
      <w:r>
        <w:rPr>
          <w:szCs w:val="22"/>
          <w:lang w:val="lt-LT"/>
        </w:rPr>
        <w:t>antipseudomoninių</w:t>
      </w:r>
      <w:proofErr w:type="spellEnd"/>
      <w:r>
        <w:rPr>
          <w:szCs w:val="22"/>
          <w:lang w:val="lt-LT"/>
        </w:rPr>
        <w:t xml:space="preserve"> antibiotikų, palyginti su placebo vartojusiais pacientais.</w:t>
      </w:r>
    </w:p>
    <w:p w14:paraId="7C8DD4AE" w14:textId="77777777" w:rsidR="00803D36" w:rsidRDefault="00803D36" w:rsidP="00803D36">
      <w:pPr>
        <w:tabs>
          <w:tab w:val="clear" w:pos="567"/>
          <w:tab w:val="left" w:pos="1296"/>
        </w:tabs>
        <w:spacing w:line="240" w:lineRule="auto"/>
        <w:ind w:right="-142"/>
        <w:rPr>
          <w:szCs w:val="22"/>
          <w:lang w:val="lt-LT"/>
        </w:rPr>
      </w:pPr>
    </w:p>
    <w:p w14:paraId="6824FF6F" w14:textId="77777777" w:rsidR="00803D36" w:rsidRDefault="00803D36" w:rsidP="00803D36">
      <w:pPr>
        <w:tabs>
          <w:tab w:val="clear" w:pos="567"/>
          <w:tab w:val="left" w:pos="1296"/>
        </w:tabs>
        <w:spacing w:line="240" w:lineRule="auto"/>
        <w:ind w:right="-142"/>
        <w:rPr>
          <w:szCs w:val="22"/>
          <w:lang w:val="lt-LT"/>
        </w:rPr>
      </w:pPr>
      <w:r>
        <w:rPr>
          <w:szCs w:val="22"/>
          <w:lang w:val="lt-LT"/>
        </w:rPr>
        <w:t>1</w:t>
      </w:r>
      <w:r>
        <w:rPr>
          <w:szCs w:val="22"/>
          <w:lang w:val="lt-LT"/>
        </w:rPr>
        <w:noBreakHyphen/>
        <w:t>ojo ir 2</w:t>
      </w:r>
      <w:r>
        <w:rPr>
          <w:szCs w:val="22"/>
          <w:lang w:val="lt-LT"/>
        </w:rPr>
        <w:noBreakHyphen/>
        <w:t xml:space="preserve">ojo tyrimų atviruose pratęsimuose dalyvavo 396 pacientai iš 464, baigusių dalyvavimą kuriame nors iš dviejų 24 savaičių koduotų tyrimų. </w:t>
      </w:r>
      <w:r>
        <w:rPr>
          <w:szCs w:val="22"/>
          <w:lang w:val="lt-LT" w:eastAsia="es-ES"/>
        </w:rPr>
        <w:t xml:space="preserve">48, 72 ir 96 savaičių gydymą purškiamuoju </w:t>
      </w:r>
      <w:proofErr w:type="spellStart"/>
      <w:r>
        <w:rPr>
          <w:szCs w:val="22"/>
          <w:lang w:val="lt-LT" w:eastAsia="es-ES"/>
        </w:rPr>
        <w:t>tobramicinu</w:t>
      </w:r>
      <w:proofErr w:type="spellEnd"/>
      <w:r>
        <w:rPr>
          <w:szCs w:val="22"/>
          <w:lang w:val="lt-LT" w:eastAsia="es-ES"/>
        </w:rPr>
        <w:t xml:space="preserve"> baigė atitinkamai iš viso 313, 264 ir 120 pacientų</w:t>
      </w:r>
      <w:r>
        <w:rPr>
          <w:szCs w:val="22"/>
          <w:lang w:val="lt-LT"/>
        </w:rPr>
        <w:t xml:space="preserve">. Plaučių funkcijos blogėjimo greitis dvigubai koduotu atsitiktinių imčių gydymo laikotarpiu buvo reikšmingai mažesnis po gydymo purškiamuoju </w:t>
      </w:r>
      <w:proofErr w:type="spellStart"/>
      <w:r>
        <w:rPr>
          <w:szCs w:val="22"/>
          <w:lang w:val="lt-LT"/>
        </w:rPr>
        <w:t>tobramicinu</w:t>
      </w:r>
      <w:proofErr w:type="spellEnd"/>
      <w:r>
        <w:rPr>
          <w:szCs w:val="22"/>
          <w:lang w:val="lt-LT"/>
        </w:rPr>
        <w:t xml:space="preserve"> pradėjimo, palyginti su nustatytu placebo vartojusiems pacientams. Apskaičiuotas regresinio plaučių funkcijos blogėjimo modelio nuolydis (</w:t>
      </w:r>
      <w:r>
        <w:rPr>
          <w:i/>
          <w:szCs w:val="22"/>
          <w:lang w:val="lt-LT"/>
        </w:rPr>
        <w:t>slope</w:t>
      </w:r>
      <w:r>
        <w:rPr>
          <w:szCs w:val="22"/>
          <w:lang w:val="lt-LT"/>
        </w:rPr>
        <w:t xml:space="preserve">) buvo -6,52% koduoto placebo vartojimo metu ir -2,53% gydymo purškiamuoju </w:t>
      </w:r>
      <w:proofErr w:type="spellStart"/>
      <w:r>
        <w:rPr>
          <w:szCs w:val="22"/>
          <w:lang w:val="lt-LT"/>
        </w:rPr>
        <w:t>tobramicinu</w:t>
      </w:r>
      <w:proofErr w:type="spellEnd"/>
      <w:r>
        <w:rPr>
          <w:szCs w:val="22"/>
          <w:lang w:val="lt-LT"/>
        </w:rPr>
        <w:t xml:space="preserve"> metu (p=0,0001).</w:t>
      </w:r>
    </w:p>
    <w:p w14:paraId="6E6838A3" w14:textId="77777777" w:rsidR="00803D36" w:rsidRDefault="00803D36" w:rsidP="00803D36">
      <w:pPr>
        <w:tabs>
          <w:tab w:val="clear" w:pos="567"/>
          <w:tab w:val="left" w:pos="1296"/>
        </w:tabs>
        <w:spacing w:line="240" w:lineRule="auto"/>
        <w:ind w:right="-142"/>
        <w:rPr>
          <w:szCs w:val="22"/>
          <w:lang w:val="lt-LT"/>
        </w:rPr>
      </w:pPr>
    </w:p>
    <w:p w14:paraId="2F51B3F6" w14:textId="77777777" w:rsidR="00803D36" w:rsidRDefault="00803D36" w:rsidP="00803D36">
      <w:pPr>
        <w:tabs>
          <w:tab w:val="clear" w:pos="567"/>
          <w:tab w:val="left" w:pos="1296"/>
        </w:tabs>
        <w:spacing w:line="240" w:lineRule="auto"/>
        <w:ind w:right="-142"/>
        <w:rPr>
          <w:szCs w:val="22"/>
          <w:lang w:val="lt-LT"/>
        </w:rPr>
      </w:pPr>
      <w:r>
        <w:rPr>
          <w:szCs w:val="22"/>
          <w:lang w:val="lt-LT"/>
        </w:rPr>
        <w:t xml:space="preserve">Kontroliuotų klinikinių tyrimų metu 6 mėnesius taikant nurodytą </w:t>
      </w:r>
      <w:proofErr w:type="spellStart"/>
      <w:r>
        <w:rPr>
          <w:szCs w:val="22"/>
          <w:lang w:val="lt-LT"/>
        </w:rPr>
        <w:t>tobramicino</w:t>
      </w:r>
      <w:proofErr w:type="spellEnd"/>
      <w:r>
        <w:rPr>
          <w:szCs w:val="22"/>
          <w:lang w:val="lt-LT"/>
        </w:rPr>
        <w:t xml:space="preserve"> dozavimo schemą, nustatyta, kad plaučių funkcijos pagerėjimas, palyginti su pradiniais rodmenimis, buvo palaikomas 28 dienų vaistinio preparato nevartojimo laikotarpiu.</w:t>
      </w:r>
    </w:p>
    <w:p w14:paraId="6C71A9D3" w14:textId="77777777" w:rsidR="00803D36" w:rsidRDefault="00803D36" w:rsidP="00803D36">
      <w:pPr>
        <w:tabs>
          <w:tab w:val="clear" w:pos="567"/>
          <w:tab w:val="left" w:pos="1296"/>
        </w:tabs>
        <w:spacing w:line="240" w:lineRule="auto"/>
        <w:ind w:right="-142"/>
        <w:rPr>
          <w:szCs w:val="22"/>
          <w:lang w:val="lt-LT"/>
        </w:rPr>
      </w:pPr>
    </w:p>
    <w:p w14:paraId="5F8CEC1A" w14:textId="77777777" w:rsidR="00803D36" w:rsidRPr="00DD5276" w:rsidRDefault="00803D36" w:rsidP="00803D36">
      <w:pPr>
        <w:tabs>
          <w:tab w:val="clear" w:pos="567"/>
          <w:tab w:val="left" w:pos="1296"/>
        </w:tabs>
        <w:spacing w:line="240" w:lineRule="auto"/>
        <w:ind w:right="-142"/>
        <w:rPr>
          <w:b/>
          <w:bCs/>
          <w:i/>
          <w:szCs w:val="22"/>
          <w:lang w:val="lt-LT"/>
        </w:rPr>
      </w:pPr>
      <w:proofErr w:type="spellStart"/>
      <w:r w:rsidRPr="00DD5276">
        <w:rPr>
          <w:b/>
          <w:bCs/>
          <w:i/>
          <w:szCs w:val="22"/>
          <w:lang w:val="lt-LT"/>
        </w:rPr>
        <w:t>Tobramicino</w:t>
      </w:r>
      <w:proofErr w:type="spellEnd"/>
      <w:r w:rsidRPr="00DD5276">
        <w:rPr>
          <w:b/>
          <w:bCs/>
          <w:i/>
          <w:szCs w:val="22"/>
          <w:lang w:val="lt-LT"/>
        </w:rPr>
        <w:t xml:space="preserve"> dozavimo schema kontroliuotų klinikinių tyrimų metu</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230"/>
        <w:gridCol w:w="1426"/>
        <w:gridCol w:w="1408"/>
        <w:gridCol w:w="1426"/>
        <w:gridCol w:w="1408"/>
      </w:tblGrid>
      <w:tr w:rsidR="00803D36" w14:paraId="214F81ED" w14:textId="77777777" w:rsidTr="00D0389B">
        <w:tc>
          <w:tcPr>
            <w:tcW w:w="2815" w:type="dxa"/>
            <w:gridSpan w:val="2"/>
            <w:tcBorders>
              <w:top w:val="single" w:sz="4" w:space="0" w:color="auto"/>
              <w:left w:val="single" w:sz="4" w:space="0" w:color="auto"/>
              <w:bottom w:val="single" w:sz="4" w:space="0" w:color="auto"/>
              <w:right w:val="single" w:sz="4" w:space="0" w:color="auto"/>
            </w:tcBorders>
            <w:hideMark/>
          </w:tcPr>
          <w:p w14:paraId="3C4A8361" w14:textId="77777777" w:rsidR="00803D36" w:rsidRPr="00DD5276" w:rsidRDefault="00803D36" w:rsidP="00D0389B">
            <w:pPr>
              <w:tabs>
                <w:tab w:val="clear" w:pos="567"/>
                <w:tab w:val="left" w:pos="1296"/>
              </w:tabs>
              <w:spacing w:line="240" w:lineRule="auto"/>
              <w:ind w:right="-142"/>
              <w:rPr>
                <w:b/>
                <w:bCs/>
                <w:szCs w:val="22"/>
                <w:lang w:val="lt-LT"/>
              </w:rPr>
            </w:pPr>
            <w:r w:rsidRPr="00DD5276">
              <w:rPr>
                <w:b/>
                <w:bCs/>
                <w:szCs w:val="22"/>
                <w:lang w:val="lt-LT"/>
              </w:rPr>
              <w:t>1 ciklas</w:t>
            </w:r>
          </w:p>
        </w:tc>
        <w:tc>
          <w:tcPr>
            <w:tcW w:w="2815" w:type="dxa"/>
            <w:gridSpan w:val="2"/>
            <w:tcBorders>
              <w:top w:val="single" w:sz="4" w:space="0" w:color="auto"/>
              <w:left w:val="single" w:sz="4" w:space="0" w:color="auto"/>
              <w:bottom w:val="single" w:sz="4" w:space="0" w:color="auto"/>
              <w:right w:val="single" w:sz="4" w:space="0" w:color="auto"/>
            </w:tcBorders>
            <w:hideMark/>
          </w:tcPr>
          <w:p w14:paraId="119EE33A" w14:textId="77777777" w:rsidR="00803D36" w:rsidRPr="00DD5276" w:rsidRDefault="00803D36" w:rsidP="00D0389B">
            <w:pPr>
              <w:tabs>
                <w:tab w:val="clear" w:pos="567"/>
                <w:tab w:val="left" w:pos="1296"/>
              </w:tabs>
              <w:spacing w:line="240" w:lineRule="auto"/>
              <w:ind w:right="-142"/>
              <w:rPr>
                <w:b/>
                <w:bCs/>
                <w:szCs w:val="22"/>
                <w:lang w:val="lt-LT"/>
              </w:rPr>
            </w:pPr>
            <w:r w:rsidRPr="00DD5276">
              <w:rPr>
                <w:b/>
                <w:bCs/>
                <w:szCs w:val="22"/>
                <w:lang w:val="lt-LT"/>
              </w:rPr>
              <w:t>2 ciklas</w:t>
            </w:r>
          </w:p>
        </w:tc>
        <w:tc>
          <w:tcPr>
            <w:tcW w:w="2815" w:type="dxa"/>
            <w:gridSpan w:val="2"/>
            <w:tcBorders>
              <w:top w:val="single" w:sz="4" w:space="0" w:color="auto"/>
              <w:left w:val="single" w:sz="4" w:space="0" w:color="auto"/>
              <w:bottom w:val="single" w:sz="4" w:space="0" w:color="auto"/>
              <w:right w:val="single" w:sz="4" w:space="0" w:color="auto"/>
            </w:tcBorders>
            <w:hideMark/>
          </w:tcPr>
          <w:p w14:paraId="177FEA62" w14:textId="77777777" w:rsidR="00803D36" w:rsidRPr="00DD5276" w:rsidRDefault="00803D36" w:rsidP="00D0389B">
            <w:pPr>
              <w:tabs>
                <w:tab w:val="clear" w:pos="567"/>
                <w:tab w:val="left" w:pos="1296"/>
              </w:tabs>
              <w:spacing w:line="240" w:lineRule="auto"/>
              <w:ind w:right="-142"/>
              <w:rPr>
                <w:b/>
                <w:bCs/>
                <w:szCs w:val="22"/>
                <w:lang w:val="lt-LT"/>
              </w:rPr>
            </w:pPr>
            <w:r w:rsidRPr="00DD5276">
              <w:rPr>
                <w:b/>
                <w:bCs/>
                <w:szCs w:val="22"/>
                <w:lang w:val="lt-LT"/>
              </w:rPr>
              <w:t>3 ciklas</w:t>
            </w:r>
          </w:p>
        </w:tc>
      </w:tr>
      <w:tr w:rsidR="00803D36" w14:paraId="2ABBE1B1" w14:textId="77777777" w:rsidTr="00D0389B">
        <w:tc>
          <w:tcPr>
            <w:tcW w:w="1585" w:type="dxa"/>
            <w:tcBorders>
              <w:top w:val="single" w:sz="4" w:space="0" w:color="auto"/>
              <w:left w:val="single" w:sz="4" w:space="0" w:color="auto"/>
              <w:bottom w:val="single" w:sz="4" w:space="0" w:color="auto"/>
              <w:right w:val="single" w:sz="4" w:space="0" w:color="auto"/>
            </w:tcBorders>
            <w:hideMark/>
          </w:tcPr>
          <w:p w14:paraId="02383027" w14:textId="77777777" w:rsidR="00803D36" w:rsidRPr="00DD5276" w:rsidRDefault="00803D36" w:rsidP="00D0389B">
            <w:pPr>
              <w:tabs>
                <w:tab w:val="clear" w:pos="567"/>
                <w:tab w:val="left" w:pos="1296"/>
              </w:tabs>
              <w:spacing w:line="240" w:lineRule="auto"/>
              <w:ind w:right="-142"/>
              <w:rPr>
                <w:b/>
                <w:bCs/>
                <w:szCs w:val="22"/>
                <w:lang w:val="lt-LT"/>
              </w:rPr>
            </w:pPr>
            <w:r w:rsidRPr="00DD5276">
              <w:rPr>
                <w:b/>
                <w:bCs/>
                <w:szCs w:val="22"/>
                <w:lang w:val="lt-LT"/>
              </w:rPr>
              <w:t>28 dienos</w:t>
            </w:r>
          </w:p>
        </w:tc>
        <w:tc>
          <w:tcPr>
            <w:tcW w:w="1230" w:type="dxa"/>
            <w:tcBorders>
              <w:top w:val="single" w:sz="4" w:space="0" w:color="auto"/>
              <w:left w:val="single" w:sz="4" w:space="0" w:color="auto"/>
              <w:bottom w:val="single" w:sz="4" w:space="0" w:color="auto"/>
              <w:right w:val="single" w:sz="4" w:space="0" w:color="auto"/>
            </w:tcBorders>
            <w:hideMark/>
          </w:tcPr>
          <w:p w14:paraId="409BED7C" w14:textId="77777777" w:rsidR="00803D36" w:rsidRPr="00DD5276" w:rsidRDefault="00803D36" w:rsidP="00D0389B">
            <w:pPr>
              <w:tabs>
                <w:tab w:val="clear" w:pos="567"/>
                <w:tab w:val="left" w:pos="1296"/>
              </w:tabs>
              <w:spacing w:line="240" w:lineRule="auto"/>
              <w:ind w:right="-142"/>
              <w:rPr>
                <w:b/>
                <w:bCs/>
                <w:szCs w:val="22"/>
                <w:lang w:val="lt-LT"/>
              </w:rPr>
            </w:pPr>
            <w:r w:rsidRPr="00DD5276">
              <w:rPr>
                <w:b/>
                <w:bCs/>
                <w:szCs w:val="22"/>
                <w:lang w:val="lt-LT"/>
              </w:rPr>
              <w:t>28 dienos</w:t>
            </w:r>
          </w:p>
        </w:tc>
        <w:tc>
          <w:tcPr>
            <w:tcW w:w="1407" w:type="dxa"/>
            <w:tcBorders>
              <w:top w:val="single" w:sz="4" w:space="0" w:color="auto"/>
              <w:left w:val="single" w:sz="4" w:space="0" w:color="auto"/>
              <w:bottom w:val="single" w:sz="4" w:space="0" w:color="auto"/>
              <w:right w:val="single" w:sz="4" w:space="0" w:color="auto"/>
            </w:tcBorders>
            <w:hideMark/>
          </w:tcPr>
          <w:p w14:paraId="38F2730F" w14:textId="77777777" w:rsidR="00803D36" w:rsidRPr="00DD5276" w:rsidRDefault="00803D36" w:rsidP="00D0389B">
            <w:pPr>
              <w:tabs>
                <w:tab w:val="clear" w:pos="567"/>
                <w:tab w:val="left" w:pos="1296"/>
              </w:tabs>
              <w:spacing w:line="240" w:lineRule="auto"/>
              <w:ind w:right="-142"/>
              <w:rPr>
                <w:b/>
                <w:bCs/>
                <w:szCs w:val="22"/>
                <w:lang w:val="lt-LT"/>
              </w:rPr>
            </w:pPr>
            <w:r w:rsidRPr="00DD5276">
              <w:rPr>
                <w:b/>
                <w:bCs/>
                <w:szCs w:val="22"/>
                <w:lang w:val="lt-LT"/>
              </w:rPr>
              <w:t>28 dienos</w:t>
            </w:r>
          </w:p>
        </w:tc>
        <w:tc>
          <w:tcPr>
            <w:tcW w:w="1408" w:type="dxa"/>
            <w:tcBorders>
              <w:top w:val="single" w:sz="4" w:space="0" w:color="auto"/>
              <w:left w:val="single" w:sz="4" w:space="0" w:color="auto"/>
              <w:bottom w:val="single" w:sz="4" w:space="0" w:color="auto"/>
              <w:right w:val="single" w:sz="4" w:space="0" w:color="auto"/>
            </w:tcBorders>
            <w:hideMark/>
          </w:tcPr>
          <w:p w14:paraId="4834DC18" w14:textId="77777777" w:rsidR="00803D36" w:rsidRPr="00DD5276" w:rsidRDefault="00803D36" w:rsidP="00D0389B">
            <w:pPr>
              <w:tabs>
                <w:tab w:val="clear" w:pos="567"/>
                <w:tab w:val="left" w:pos="1296"/>
              </w:tabs>
              <w:spacing w:line="240" w:lineRule="auto"/>
              <w:ind w:right="-142"/>
              <w:rPr>
                <w:b/>
                <w:bCs/>
                <w:szCs w:val="22"/>
                <w:lang w:val="lt-LT"/>
              </w:rPr>
            </w:pPr>
            <w:r w:rsidRPr="00DD5276">
              <w:rPr>
                <w:b/>
                <w:bCs/>
                <w:szCs w:val="22"/>
                <w:lang w:val="lt-LT"/>
              </w:rPr>
              <w:t>28 dienos</w:t>
            </w:r>
          </w:p>
        </w:tc>
        <w:tc>
          <w:tcPr>
            <w:tcW w:w="1407" w:type="dxa"/>
            <w:tcBorders>
              <w:top w:val="single" w:sz="4" w:space="0" w:color="auto"/>
              <w:left w:val="single" w:sz="4" w:space="0" w:color="auto"/>
              <w:bottom w:val="single" w:sz="4" w:space="0" w:color="auto"/>
              <w:right w:val="single" w:sz="4" w:space="0" w:color="auto"/>
            </w:tcBorders>
            <w:hideMark/>
          </w:tcPr>
          <w:p w14:paraId="2EEC4FCC" w14:textId="77777777" w:rsidR="00803D36" w:rsidRPr="00DD5276" w:rsidRDefault="00803D36" w:rsidP="00D0389B">
            <w:pPr>
              <w:tabs>
                <w:tab w:val="clear" w:pos="567"/>
                <w:tab w:val="left" w:pos="1296"/>
              </w:tabs>
              <w:spacing w:line="240" w:lineRule="auto"/>
              <w:ind w:right="-142"/>
              <w:rPr>
                <w:b/>
                <w:bCs/>
                <w:szCs w:val="22"/>
                <w:lang w:val="lt-LT"/>
              </w:rPr>
            </w:pPr>
            <w:r w:rsidRPr="00DD5276">
              <w:rPr>
                <w:b/>
                <w:bCs/>
                <w:szCs w:val="22"/>
                <w:lang w:val="lt-LT"/>
              </w:rPr>
              <w:t>28 dienos</w:t>
            </w:r>
          </w:p>
        </w:tc>
        <w:tc>
          <w:tcPr>
            <w:tcW w:w="1408" w:type="dxa"/>
            <w:tcBorders>
              <w:top w:val="single" w:sz="4" w:space="0" w:color="auto"/>
              <w:left w:val="single" w:sz="4" w:space="0" w:color="auto"/>
              <w:bottom w:val="single" w:sz="4" w:space="0" w:color="auto"/>
              <w:right w:val="single" w:sz="4" w:space="0" w:color="auto"/>
            </w:tcBorders>
            <w:hideMark/>
          </w:tcPr>
          <w:p w14:paraId="3ABE1F19" w14:textId="77777777" w:rsidR="00803D36" w:rsidRPr="00DD5276" w:rsidRDefault="00803D36" w:rsidP="00D0389B">
            <w:pPr>
              <w:tabs>
                <w:tab w:val="clear" w:pos="567"/>
                <w:tab w:val="left" w:pos="1296"/>
              </w:tabs>
              <w:spacing w:line="240" w:lineRule="auto"/>
              <w:ind w:right="-142"/>
              <w:rPr>
                <w:b/>
                <w:bCs/>
                <w:szCs w:val="22"/>
                <w:lang w:val="lt-LT"/>
              </w:rPr>
            </w:pPr>
            <w:r w:rsidRPr="00DD5276">
              <w:rPr>
                <w:b/>
                <w:bCs/>
                <w:szCs w:val="22"/>
                <w:lang w:val="lt-LT"/>
              </w:rPr>
              <w:t>28 dienos</w:t>
            </w:r>
          </w:p>
        </w:tc>
      </w:tr>
      <w:tr w:rsidR="00803D36" w14:paraId="335D29A6" w14:textId="77777777" w:rsidTr="00D0389B">
        <w:tc>
          <w:tcPr>
            <w:tcW w:w="1585" w:type="dxa"/>
            <w:tcBorders>
              <w:top w:val="single" w:sz="4" w:space="0" w:color="auto"/>
              <w:left w:val="single" w:sz="4" w:space="0" w:color="auto"/>
              <w:bottom w:val="single" w:sz="4" w:space="0" w:color="auto"/>
              <w:right w:val="single" w:sz="4" w:space="0" w:color="auto"/>
            </w:tcBorders>
            <w:vAlign w:val="center"/>
            <w:hideMark/>
          </w:tcPr>
          <w:p w14:paraId="04CE1474" w14:textId="77777777" w:rsidR="00803D36" w:rsidRDefault="00803D36" w:rsidP="00D0389B">
            <w:pPr>
              <w:tabs>
                <w:tab w:val="clear" w:pos="567"/>
                <w:tab w:val="left" w:pos="1296"/>
              </w:tabs>
              <w:spacing w:line="240" w:lineRule="auto"/>
              <w:ind w:right="-142"/>
              <w:rPr>
                <w:szCs w:val="22"/>
                <w:lang w:val="lt-LT"/>
              </w:rPr>
            </w:pPr>
            <w:proofErr w:type="spellStart"/>
            <w:r>
              <w:rPr>
                <w:szCs w:val="22"/>
                <w:lang w:val="lt-LT"/>
              </w:rPr>
              <w:t>Tobramicinas</w:t>
            </w:r>
            <w:proofErr w:type="spellEnd"/>
            <w:r>
              <w:rPr>
                <w:szCs w:val="22"/>
                <w:lang w:val="lt-LT"/>
              </w:rPr>
              <w:t xml:space="preserve"> 300 mg du kartus per parą</w:t>
            </w:r>
          </w:p>
          <w:p w14:paraId="70F34EC0" w14:textId="77777777" w:rsidR="00803D36" w:rsidRDefault="00803D36" w:rsidP="00D0389B">
            <w:pPr>
              <w:tabs>
                <w:tab w:val="clear" w:pos="567"/>
                <w:tab w:val="left" w:pos="1296"/>
              </w:tabs>
              <w:spacing w:line="240" w:lineRule="auto"/>
              <w:ind w:right="-142"/>
              <w:rPr>
                <w:szCs w:val="22"/>
                <w:lang w:val="lt-LT"/>
              </w:rPr>
            </w:pPr>
            <w:r>
              <w:rPr>
                <w:szCs w:val="22"/>
                <w:lang w:val="lt-LT"/>
              </w:rPr>
              <w:t>ir įprastinis gydymas</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12106D3" w14:textId="77777777" w:rsidR="00803D36" w:rsidRDefault="00803D36" w:rsidP="00D0389B">
            <w:pPr>
              <w:tabs>
                <w:tab w:val="clear" w:pos="567"/>
                <w:tab w:val="left" w:pos="1296"/>
              </w:tabs>
              <w:spacing w:line="240" w:lineRule="auto"/>
              <w:ind w:right="-142"/>
              <w:rPr>
                <w:szCs w:val="22"/>
                <w:lang w:val="lt-LT"/>
              </w:rPr>
            </w:pPr>
            <w:r>
              <w:rPr>
                <w:szCs w:val="22"/>
                <w:lang w:val="lt-LT"/>
              </w:rPr>
              <w:t>Įprastinis gydymas</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B0F95DC" w14:textId="77777777" w:rsidR="00803D36" w:rsidRDefault="00803D36" w:rsidP="00D0389B">
            <w:pPr>
              <w:tabs>
                <w:tab w:val="clear" w:pos="567"/>
                <w:tab w:val="left" w:pos="1296"/>
              </w:tabs>
              <w:spacing w:line="240" w:lineRule="auto"/>
              <w:ind w:right="-142"/>
              <w:rPr>
                <w:szCs w:val="22"/>
                <w:lang w:val="lt-LT"/>
              </w:rPr>
            </w:pPr>
            <w:proofErr w:type="spellStart"/>
            <w:r>
              <w:rPr>
                <w:szCs w:val="22"/>
                <w:lang w:val="lt-LT"/>
              </w:rPr>
              <w:t>Tobramicinas</w:t>
            </w:r>
            <w:proofErr w:type="spellEnd"/>
            <w:r>
              <w:rPr>
                <w:szCs w:val="22"/>
                <w:lang w:val="lt-LT"/>
              </w:rPr>
              <w:t xml:space="preserve"> 300 mg du kartus per parą ir įprastinis gydymas</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FF4DE29" w14:textId="77777777" w:rsidR="00803D36" w:rsidRDefault="00803D36" w:rsidP="00D0389B">
            <w:pPr>
              <w:tabs>
                <w:tab w:val="clear" w:pos="567"/>
                <w:tab w:val="left" w:pos="1296"/>
              </w:tabs>
              <w:spacing w:line="240" w:lineRule="auto"/>
              <w:ind w:right="-142"/>
              <w:rPr>
                <w:szCs w:val="22"/>
                <w:lang w:val="lt-LT"/>
              </w:rPr>
            </w:pPr>
            <w:r>
              <w:rPr>
                <w:szCs w:val="22"/>
                <w:lang w:val="lt-LT"/>
              </w:rPr>
              <w:t>Įprastinis gydymas</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FFB7814" w14:textId="77777777" w:rsidR="00803D36" w:rsidRDefault="00803D36" w:rsidP="00D0389B">
            <w:pPr>
              <w:tabs>
                <w:tab w:val="clear" w:pos="567"/>
                <w:tab w:val="left" w:pos="1296"/>
              </w:tabs>
              <w:spacing w:line="240" w:lineRule="auto"/>
              <w:ind w:right="-142"/>
              <w:rPr>
                <w:szCs w:val="22"/>
                <w:lang w:val="lt-LT"/>
              </w:rPr>
            </w:pPr>
            <w:proofErr w:type="spellStart"/>
            <w:r>
              <w:rPr>
                <w:szCs w:val="22"/>
                <w:lang w:val="lt-LT"/>
              </w:rPr>
              <w:t>Tobramicinas</w:t>
            </w:r>
            <w:proofErr w:type="spellEnd"/>
            <w:r>
              <w:rPr>
                <w:szCs w:val="22"/>
                <w:lang w:val="lt-LT"/>
              </w:rPr>
              <w:t xml:space="preserve"> 300 mg du kartus per parą ir įprastinis gydymas</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D3A5F0C" w14:textId="77777777" w:rsidR="00803D36" w:rsidRDefault="00803D36" w:rsidP="00D0389B">
            <w:pPr>
              <w:tabs>
                <w:tab w:val="clear" w:pos="567"/>
                <w:tab w:val="left" w:pos="1296"/>
              </w:tabs>
              <w:spacing w:line="240" w:lineRule="auto"/>
              <w:ind w:right="-142"/>
              <w:rPr>
                <w:szCs w:val="22"/>
                <w:lang w:val="lt-LT"/>
              </w:rPr>
            </w:pPr>
            <w:r>
              <w:rPr>
                <w:szCs w:val="22"/>
                <w:lang w:val="lt-LT"/>
              </w:rPr>
              <w:t>Įprastinis gydymas</w:t>
            </w:r>
          </w:p>
        </w:tc>
      </w:tr>
    </w:tbl>
    <w:p w14:paraId="18139A6D" w14:textId="77777777" w:rsidR="00803D36" w:rsidRDefault="00803D36" w:rsidP="00803D36">
      <w:pPr>
        <w:tabs>
          <w:tab w:val="clear" w:pos="567"/>
          <w:tab w:val="left" w:pos="1296"/>
        </w:tabs>
        <w:spacing w:line="240" w:lineRule="auto"/>
        <w:ind w:right="-142"/>
        <w:rPr>
          <w:szCs w:val="22"/>
          <w:lang w:val="lt-LT"/>
        </w:rPr>
      </w:pPr>
      <w:r>
        <w:rPr>
          <w:szCs w:val="22"/>
          <w:lang w:val="lt-LT"/>
        </w:rPr>
        <w:t xml:space="preserve"> </w:t>
      </w:r>
    </w:p>
    <w:p w14:paraId="43180843" w14:textId="77777777" w:rsidR="00803D36" w:rsidRDefault="00803D36" w:rsidP="00803D36">
      <w:pPr>
        <w:tabs>
          <w:tab w:val="clear" w:pos="567"/>
          <w:tab w:val="left" w:pos="1296"/>
        </w:tabs>
        <w:spacing w:line="240" w:lineRule="auto"/>
        <w:ind w:right="-142"/>
        <w:rPr>
          <w:szCs w:val="22"/>
          <w:lang w:val="lt-LT"/>
        </w:rPr>
      </w:pPr>
      <w:r>
        <w:rPr>
          <w:szCs w:val="22"/>
          <w:lang w:val="lt-LT"/>
        </w:rPr>
        <w:t>Saugumas ir veiksmingumas buvo vertinami kontroliuotų ir atvirų klinikinių tyrimų metu, kurių trukmė buvo iki 96 savaičių (12 ciklų), tačiau į tyrimus nebuvo įtraukti pacientai, kurie buvo jaunesni kaip 6 metų, kurių forsuoto iškvepiamo tūris per 1 sekundę (FEV</w:t>
      </w:r>
      <w:r>
        <w:rPr>
          <w:szCs w:val="22"/>
          <w:vertAlign w:val="subscript"/>
          <w:lang w:val="lt-LT"/>
        </w:rPr>
        <w:t>1</w:t>
      </w:r>
      <w:r>
        <w:rPr>
          <w:szCs w:val="22"/>
          <w:lang w:val="lt-LT"/>
        </w:rPr>
        <w:t xml:space="preserve">) buvo &lt;25% arba &gt;75% numatytojo rodmens ar kuriems buvo nustatyta kolonizacija </w:t>
      </w:r>
      <w:proofErr w:type="spellStart"/>
      <w:r>
        <w:rPr>
          <w:i/>
          <w:iCs/>
          <w:szCs w:val="22"/>
          <w:lang w:val="lt-LT"/>
        </w:rPr>
        <w:t>Burkholderia</w:t>
      </w:r>
      <w:proofErr w:type="spellEnd"/>
      <w:r>
        <w:rPr>
          <w:i/>
          <w:iCs/>
          <w:szCs w:val="22"/>
          <w:lang w:val="lt-LT"/>
        </w:rPr>
        <w:t xml:space="preserve"> </w:t>
      </w:r>
      <w:proofErr w:type="spellStart"/>
      <w:r>
        <w:rPr>
          <w:i/>
          <w:iCs/>
          <w:szCs w:val="22"/>
          <w:lang w:val="lt-LT"/>
        </w:rPr>
        <w:t>cepacia</w:t>
      </w:r>
      <w:proofErr w:type="spellEnd"/>
      <w:r>
        <w:rPr>
          <w:szCs w:val="22"/>
          <w:lang w:val="lt-LT"/>
        </w:rPr>
        <w:t xml:space="preserve">. </w:t>
      </w:r>
    </w:p>
    <w:p w14:paraId="0C01C2D1" w14:textId="77777777" w:rsidR="00F719F1" w:rsidRDefault="00F719F1" w:rsidP="00803D36">
      <w:pPr>
        <w:tabs>
          <w:tab w:val="clear" w:pos="567"/>
          <w:tab w:val="left" w:pos="1296"/>
        </w:tabs>
        <w:spacing w:line="240" w:lineRule="auto"/>
        <w:ind w:right="-142"/>
        <w:rPr>
          <w:szCs w:val="22"/>
          <w:lang w:val="lt-LT"/>
        </w:rPr>
      </w:pPr>
    </w:p>
    <w:p w14:paraId="3A9B828D" w14:textId="77777777" w:rsidR="00F719F1" w:rsidRDefault="00F719F1" w:rsidP="00803D36">
      <w:pPr>
        <w:tabs>
          <w:tab w:val="clear" w:pos="567"/>
          <w:tab w:val="left" w:pos="1296"/>
        </w:tabs>
        <w:spacing w:line="240" w:lineRule="auto"/>
        <w:ind w:right="-142"/>
        <w:rPr>
          <w:szCs w:val="22"/>
          <w:lang w:val="lt-LT"/>
        </w:rPr>
      </w:pPr>
      <w:r w:rsidRPr="00F719F1">
        <w:rPr>
          <w:szCs w:val="22"/>
          <w:lang w:val="lt-LT"/>
        </w:rPr>
        <w:t xml:space="preserve">Klinikiniai tyrimai parodė, kad atsparumą vaistiniam preparatui </w:t>
      </w:r>
      <w:proofErr w:type="spellStart"/>
      <w:r w:rsidRPr="00F719F1">
        <w:rPr>
          <w:i/>
          <w:iCs/>
          <w:szCs w:val="22"/>
          <w:lang w:val="lt-LT"/>
        </w:rPr>
        <w:t>in</w:t>
      </w:r>
      <w:proofErr w:type="spellEnd"/>
      <w:r w:rsidRPr="00F719F1">
        <w:rPr>
          <w:i/>
          <w:iCs/>
          <w:szCs w:val="22"/>
          <w:lang w:val="lt-LT"/>
        </w:rPr>
        <w:t xml:space="preserve"> </w:t>
      </w:r>
      <w:proofErr w:type="spellStart"/>
      <w:r w:rsidRPr="00F719F1">
        <w:rPr>
          <w:i/>
          <w:iCs/>
          <w:szCs w:val="22"/>
          <w:lang w:val="lt-LT"/>
        </w:rPr>
        <w:t>vitro</w:t>
      </w:r>
      <w:proofErr w:type="spellEnd"/>
      <w:r w:rsidRPr="00F719F1">
        <w:rPr>
          <w:szCs w:val="22"/>
          <w:lang w:val="lt-LT"/>
        </w:rPr>
        <w:t xml:space="preserve"> rodantys mikrobiologiniai duomenys dar nereiškia, kad gydymas nebus pacientui kliniškai naudingas.</w:t>
      </w:r>
    </w:p>
    <w:p w14:paraId="7AEC1EA8" w14:textId="77777777" w:rsidR="00803D36" w:rsidRDefault="00803D36" w:rsidP="00803D36">
      <w:pPr>
        <w:tabs>
          <w:tab w:val="clear" w:pos="567"/>
          <w:tab w:val="left" w:pos="709"/>
          <w:tab w:val="left" w:pos="1276"/>
          <w:tab w:val="left" w:pos="1418"/>
        </w:tabs>
        <w:spacing w:line="240" w:lineRule="auto"/>
        <w:ind w:right="-142"/>
        <w:rPr>
          <w:szCs w:val="22"/>
          <w:lang w:val="lt-LT"/>
        </w:rPr>
      </w:pPr>
    </w:p>
    <w:p w14:paraId="4F60FF27"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5.2</w:t>
      </w:r>
      <w:r>
        <w:rPr>
          <w:rFonts w:ascii="Times New Roman" w:hAnsi="Times New Roman"/>
          <w:sz w:val="22"/>
          <w:szCs w:val="22"/>
          <w:lang w:val="lt-LT"/>
        </w:rPr>
        <w:tab/>
      </w:r>
      <w:proofErr w:type="spellStart"/>
      <w:r>
        <w:rPr>
          <w:rFonts w:ascii="Times New Roman" w:hAnsi="Times New Roman"/>
          <w:sz w:val="22"/>
          <w:szCs w:val="22"/>
          <w:lang w:val="lt-LT"/>
        </w:rPr>
        <w:t>Farmakokinetinės</w:t>
      </w:r>
      <w:proofErr w:type="spellEnd"/>
      <w:r>
        <w:rPr>
          <w:rFonts w:ascii="Times New Roman" w:hAnsi="Times New Roman"/>
          <w:sz w:val="22"/>
          <w:szCs w:val="22"/>
          <w:lang w:val="lt-LT"/>
        </w:rPr>
        <w:t xml:space="preserve"> savybės</w:t>
      </w:r>
    </w:p>
    <w:p w14:paraId="57295934" w14:textId="77777777" w:rsidR="00803D36" w:rsidRDefault="00803D36" w:rsidP="00803D36">
      <w:pPr>
        <w:tabs>
          <w:tab w:val="clear" w:pos="567"/>
          <w:tab w:val="left" w:pos="1296"/>
        </w:tabs>
        <w:spacing w:line="240" w:lineRule="auto"/>
        <w:rPr>
          <w:szCs w:val="22"/>
          <w:lang w:val="lt-LT"/>
        </w:rPr>
      </w:pPr>
    </w:p>
    <w:p w14:paraId="684FF827" w14:textId="77777777" w:rsidR="00803D36" w:rsidRDefault="00803D36" w:rsidP="00803D36">
      <w:pPr>
        <w:spacing w:line="240" w:lineRule="auto"/>
        <w:ind w:right="-142"/>
        <w:rPr>
          <w:szCs w:val="22"/>
          <w:u w:val="single"/>
          <w:lang w:val="lt-LT"/>
        </w:rPr>
      </w:pPr>
      <w:r>
        <w:rPr>
          <w:szCs w:val="22"/>
          <w:u w:val="single"/>
          <w:lang w:val="lt-LT"/>
        </w:rPr>
        <w:t>Absorbcija</w:t>
      </w:r>
    </w:p>
    <w:p w14:paraId="5EEFEF52" w14:textId="77777777" w:rsidR="00803D36" w:rsidRDefault="00803D36" w:rsidP="00803D36">
      <w:pPr>
        <w:spacing w:line="240" w:lineRule="auto"/>
        <w:ind w:right="-142"/>
        <w:rPr>
          <w:szCs w:val="22"/>
          <w:lang w:val="lt-LT"/>
        </w:rPr>
      </w:pPr>
      <w:proofErr w:type="spellStart"/>
      <w:r>
        <w:rPr>
          <w:szCs w:val="22"/>
          <w:lang w:val="lt-LT"/>
        </w:rPr>
        <w:t>Tobramicinas</w:t>
      </w:r>
      <w:proofErr w:type="spellEnd"/>
      <w:r>
        <w:rPr>
          <w:szCs w:val="22"/>
          <w:lang w:val="lt-LT"/>
        </w:rPr>
        <w:t xml:space="preserve"> yra </w:t>
      </w:r>
      <w:proofErr w:type="spellStart"/>
      <w:r>
        <w:rPr>
          <w:szCs w:val="22"/>
          <w:lang w:val="lt-LT"/>
        </w:rPr>
        <w:t>katijoninė</w:t>
      </w:r>
      <w:proofErr w:type="spellEnd"/>
      <w:r>
        <w:rPr>
          <w:szCs w:val="22"/>
          <w:lang w:val="lt-LT"/>
        </w:rPr>
        <w:t xml:space="preserve"> polinė molekulė, kuri sunkiai prasiskverbia pro epitelio membranas. Tikėtina, kad po </w:t>
      </w:r>
      <w:proofErr w:type="spellStart"/>
      <w:r>
        <w:rPr>
          <w:szCs w:val="22"/>
          <w:lang w:val="lt-LT"/>
        </w:rPr>
        <w:t>tobramicino</w:t>
      </w:r>
      <w:proofErr w:type="spellEnd"/>
      <w:r>
        <w:rPr>
          <w:szCs w:val="22"/>
          <w:lang w:val="lt-LT"/>
        </w:rPr>
        <w:t xml:space="preserve"> purškiamojo tirpalo įkvėpimo sisteminė </w:t>
      </w:r>
      <w:proofErr w:type="spellStart"/>
      <w:r>
        <w:rPr>
          <w:szCs w:val="22"/>
          <w:lang w:val="lt-LT"/>
        </w:rPr>
        <w:t>tobramicino</w:t>
      </w:r>
      <w:proofErr w:type="spellEnd"/>
      <w:r>
        <w:rPr>
          <w:szCs w:val="22"/>
          <w:lang w:val="lt-LT"/>
        </w:rPr>
        <w:t xml:space="preserve"> ekspozicija pasireiškia dėl į plaučius patekusios vaistinio preparato dalies absorbcijos plaučiuose, kadangi po pavartojimo per burną </w:t>
      </w:r>
      <w:proofErr w:type="spellStart"/>
      <w:r>
        <w:rPr>
          <w:szCs w:val="22"/>
          <w:lang w:val="lt-LT"/>
        </w:rPr>
        <w:t>tobramicinas</w:t>
      </w:r>
      <w:proofErr w:type="spellEnd"/>
      <w:r>
        <w:rPr>
          <w:szCs w:val="22"/>
          <w:lang w:val="lt-LT"/>
        </w:rPr>
        <w:t xml:space="preserve"> yra pratiškai neabsorbuojamas. </w:t>
      </w:r>
      <w:proofErr w:type="spellStart"/>
      <w:r>
        <w:rPr>
          <w:szCs w:val="22"/>
          <w:lang w:val="lt-LT"/>
        </w:rPr>
        <w:t>Tobramicino</w:t>
      </w:r>
      <w:proofErr w:type="spellEnd"/>
      <w:r>
        <w:rPr>
          <w:szCs w:val="22"/>
          <w:lang w:val="lt-LT"/>
        </w:rPr>
        <w:t xml:space="preserve"> biologinis prieinamumas po purškiamojo tirpalo pavartojimo gali svyruoti, tai priklauso nuo purkštuvo naudojimo skirtumų ir kvėpavimo takų patologijos.</w:t>
      </w:r>
    </w:p>
    <w:p w14:paraId="35BCFFFF" w14:textId="77777777" w:rsidR="00803D36" w:rsidRDefault="00803D36" w:rsidP="00803D36">
      <w:pPr>
        <w:spacing w:line="240" w:lineRule="auto"/>
        <w:ind w:right="-142"/>
        <w:rPr>
          <w:szCs w:val="22"/>
          <w:lang w:val="lt-LT"/>
        </w:rPr>
      </w:pPr>
    </w:p>
    <w:p w14:paraId="2EB59FFF" w14:textId="77777777" w:rsidR="00803D36" w:rsidRDefault="00803D36" w:rsidP="00803D36">
      <w:pPr>
        <w:spacing w:line="240" w:lineRule="auto"/>
        <w:ind w:right="-142"/>
        <w:rPr>
          <w:szCs w:val="22"/>
          <w:u w:val="single"/>
          <w:lang w:val="lt-LT"/>
        </w:rPr>
      </w:pPr>
      <w:r>
        <w:rPr>
          <w:szCs w:val="22"/>
          <w:u w:val="single"/>
          <w:lang w:val="lt-LT"/>
        </w:rPr>
        <w:t>Koncentracija skrepliuose</w:t>
      </w:r>
    </w:p>
    <w:p w14:paraId="08C7C29F" w14:textId="77777777" w:rsidR="00803D36" w:rsidRDefault="00803D36" w:rsidP="00803D36">
      <w:pPr>
        <w:spacing w:line="240" w:lineRule="auto"/>
        <w:ind w:right="-142"/>
        <w:rPr>
          <w:szCs w:val="22"/>
          <w:lang w:val="lt-LT"/>
        </w:rPr>
      </w:pPr>
      <w:r>
        <w:rPr>
          <w:szCs w:val="22"/>
          <w:lang w:val="lt-LT"/>
        </w:rPr>
        <w:t xml:space="preserve">Po pirmosios 300 mg purškiamojo </w:t>
      </w:r>
      <w:proofErr w:type="spellStart"/>
      <w:r>
        <w:rPr>
          <w:szCs w:val="22"/>
          <w:lang w:val="lt-LT"/>
        </w:rPr>
        <w:t>tobramicino</w:t>
      </w:r>
      <w:proofErr w:type="spellEnd"/>
      <w:r>
        <w:rPr>
          <w:szCs w:val="22"/>
          <w:lang w:val="lt-LT"/>
        </w:rPr>
        <w:t xml:space="preserve"> dozės įkvėpimo praėjus dešimčiai minučių, vidutinė </w:t>
      </w:r>
      <w:proofErr w:type="spellStart"/>
      <w:r>
        <w:rPr>
          <w:szCs w:val="22"/>
          <w:lang w:val="lt-LT"/>
        </w:rPr>
        <w:t>tobramicino</w:t>
      </w:r>
      <w:proofErr w:type="spellEnd"/>
      <w:r>
        <w:rPr>
          <w:szCs w:val="22"/>
          <w:lang w:val="lt-LT"/>
        </w:rPr>
        <w:t xml:space="preserve"> koncentracija skrepliuose buvo 1,237 </w:t>
      </w:r>
      <w:proofErr w:type="spellStart"/>
      <w:r>
        <w:rPr>
          <w:szCs w:val="22"/>
          <w:lang w:val="lt-LT"/>
        </w:rPr>
        <w:t>mikrogramo</w:t>
      </w:r>
      <w:proofErr w:type="spellEnd"/>
      <w:r>
        <w:rPr>
          <w:szCs w:val="22"/>
          <w:lang w:val="lt-LT"/>
        </w:rPr>
        <w:t>/g (35</w:t>
      </w:r>
      <w:r>
        <w:rPr>
          <w:szCs w:val="22"/>
          <w:lang w:val="lt-LT"/>
        </w:rPr>
        <w:noBreakHyphen/>
        <w:t>7,414 </w:t>
      </w:r>
      <w:proofErr w:type="spellStart"/>
      <w:r>
        <w:rPr>
          <w:szCs w:val="22"/>
          <w:lang w:val="lt-LT"/>
        </w:rPr>
        <w:t>mikrogramo</w:t>
      </w:r>
      <w:proofErr w:type="spellEnd"/>
      <w:r>
        <w:rPr>
          <w:szCs w:val="22"/>
          <w:lang w:val="lt-LT"/>
        </w:rPr>
        <w:t xml:space="preserve">/g). </w:t>
      </w:r>
      <w:proofErr w:type="spellStart"/>
      <w:r>
        <w:rPr>
          <w:szCs w:val="22"/>
          <w:lang w:val="lt-LT"/>
        </w:rPr>
        <w:lastRenderedPageBreak/>
        <w:t>Tobramicinas</w:t>
      </w:r>
      <w:proofErr w:type="spellEnd"/>
      <w:r>
        <w:rPr>
          <w:szCs w:val="22"/>
          <w:lang w:val="lt-LT"/>
        </w:rPr>
        <w:t xml:space="preserve"> skrepliuose nesikaupia. Po 20 gydymo </w:t>
      </w:r>
      <w:proofErr w:type="spellStart"/>
      <w:r>
        <w:rPr>
          <w:szCs w:val="22"/>
          <w:lang w:val="lt-LT"/>
        </w:rPr>
        <w:t>tobramicino</w:t>
      </w:r>
      <w:proofErr w:type="spellEnd"/>
      <w:r>
        <w:rPr>
          <w:szCs w:val="22"/>
          <w:lang w:val="lt-LT"/>
        </w:rPr>
        <w:t xml:space="preserve"> purškiamuoju tirpalu savaičių vidutinė </w:t>
      </w:r>
      <w:proofErr w:type="spellStart"/>
      <w:r>
        <w:rPr>
          <w:szCs w:val="22"/>
          <w:lang w:val="lt-LT"/>
        </w:rPr>
        <w:t>tobramicino</w:t>
      </w:r>
      <w:proofErr w:type="spellEnd"/>
      <w:r>
        <w:rPr>
          <w:szCs w:val="22"/>
          <w:lang w:val="lt-LT"/>
        </w:rPr>
        <w:t xml:space="preserve"> koncentracija skrepliuose, po įkvėpimo praėjus 10 minučių, buvo 1,154 </w:t>
      </w:r>
      <w:proofErr w:type="spellStart"/>
      <w:r>
        <w:rPr>
          <w:szCs w:val="22"/>
          <w:lang w:val="lt-LT"/>
        </w:rPr>
        <w:t>mikrogramo</w:t>
      </w:r>
      <w:proofErr w:type="spellEnd"/>
      <w:r>
        <w:rPr>
          <w:szCs w:val="22"/>
          <w:lang w:val="lt-LT"/>
        </w:rPr>
        <w:t>/g (nuo 39 </w:t>
      </w:r>
      <w:proofErr w:type="spellStart"/>
      <w:r>
        <w:rPr>
          <w:szCs w:val="22"/>
          <w:lang w:val="lt-LT"/>
        </w:rPr>
        <w:t>mikrogramų</w:t>
      </w:r>
      <w:proofErr w:type="spellEnd"/>
      <w:r>
        <w:rPr>
          <w:szCs w:val="22"/>
          <w:lang w:val="lt-LT"/>
        </w:rPr>
        <w:t>/g iki 8,085 </w:t>
      </w:r>
      <w:proofErr w:type="spellStart"/>
      <w:r>
        <w:rPr>
          <w:szCs w:val="22"/>
          <w:lang w:val="lt-LT"/>
        </w:rPr>
        <w:t>mikrogramo</w:t>
      </w:r>
      <w:proofErr w:type="spellEnd"/>
      <w:r>
        <w:rPr>
          <w:szCs w:val="22"/>
          <w:lang w:val="lt-LT"/>
        </w:rPr>
        <w:t xml:space="preserve">/g). </w:t>
      </w:r>
      <w:proofErr w:type="spellStart"/>
      <w:r>
        <w:rPr>
          <w:szCs w:val="22"/>
          <w:lang w:val="lt-LT"/>
        </w:rPr>
        <w:t>Tobramicino</w:t>
      </w:r>
      <w:proofErr w:type="spellEnd"/>
      <w:r>
        <w:rPr>
          <w:szCs w:val="22"/>
          <w:lang w:val="lt-LT"/>
        </w:rPr>
        <w:t xml:space="preserve"> koncentracija skrepliuose buvo labai skirtinga. Po įkvėpimo praėjus dviem valandoms, </w:t>
      </w:r>
      <w:proofErr w:type="spellStart"/>
      <w:r>
        <w:rPr>
          <w:szCs w:val="22"/>
          <w:lang w:val="lt-LT"/>
        </w:rPr>
        <w:t>tobramicino</w:t>
      </w:r>
      <w:proofErr w:type="spellEnd"/>
      <w:r>
        <w:rPr>
          <w:szCs w:val="22"/>
          <w:lang w:val="lt-LT"/>
        </w:rPr>
        <w:t xml:space="preserve"> koncentracija skrepliuose sumažėjo ir buvo 14% koncentracijos, nustatytos po įkvėpimo praėjus 10 minučių.</w:t>
      </w:r>
    </w:p>
    <w:p w14:paraId="7281FE16" w14:textId="77777777" w:rsidR="00803D36" w:rsidRDefault="00803D36" w:rsidP="00803D36">
      <w:pPr>
        <w:spacing w:line="240" w:lineRule="auto"/>
        <w:ind w:right="-142"/>
        <w:rPr>
          <w:szCs w:val="22"/>
          <w:lang w:val="lt-LT"/>
        </w:rPr>
      </w:pPr>
    </w:p>
    <w:p w14:paraId="7FFD9843" w14:textId="77777777" w:rsidR="00803D36" w:rsidRDefault="00803D36" w:rsidP="00803D36">
      <w:pPr>
        <w:spacing w:line="240" w:lineRule="auto"/>
        <w:ind w:right="-142"/>
        <w:rPr>
          <w:szCs w:val="22"/>
          <w:u w:val="single"/>
          <w:lang w:val="lt-LT"/>
        </w:rPr>
      </w:pPr>
      <w:r>
        <w:rPr>
          <w:szCs w:val="22"/>
          <w:u w:val="single"/>
          <w:lang w:val="lt-LT"/>
        </w:rPr>
        <w:t>Koncentracija serume</w:t>
      </w:r>
    </w:p>
    <w:p w14:paraId="3EC72F5C" w14:textId="77777777" w:rsidR="00803D36" w:rsidRDefault="00803D36" w:rsidP="00803D36">
      <w:pPr>
        <w:spacing w:line="240" w:lineRule="auto"/>
        <w:ind w:right="-142"/>
        <w:rPr>
          <w:szCs w:val="22"/>
          <w:lang w:val="lt-LT"/>
        </w:rPr>
      </w:pPr>
      <w:r>
        <w:rPr>
          <w:szCs w:val="22"/>
          <w:lang w:val="lt-LT"/>
        </w:rPr>
        <w:t xml:space="preserve">Po vienkartinės 300 mg </w:t>
      </w:r>
      <w:proofErr w:type="spellStart"/>
      <w:r>
        <w:rPr>
          <w:szCs w:val="22"/>
          <w:lang w:val="lt-LT"/>
        </w:rPr>
        <w:t>tobramicino</w:t>
      </w:r>
      <w:proofErr w:type="spellEnd"/>
      <w:r>
        <w:rPr>
          <w:szCs w:val="22"/>
          <w:lang w:val="lt-LT"/>
        </w:rPr>
        <w:t xml:space="preserve"> purškiamojo tirpalo dozės įkvėpimo praėjus 1 valandai, vidutinė </w:t>
      </w:r>
      <w:proofErr w:type="spellStart"/>
      <w:r>
        <w:rPr>
          <w:szCs w:val="22"/>
          <w:lang w:val="lt-LT"/>
        </w:rPr>
        <w:t>tobramicino</w:t>
      </w:r>
      <w:proofErr w:type="spellEnd"/>
      <w:r>
        <w:rPr>
          <w:szCs w:val="22"/>
          <w:lang w:val="lt-LT"/>
        </w:rPr>
        <w:t xml:space="preserve"> koncentracija CF sergančių pacientų serume buvo 0,95 </w:t>
      </w:r>
      <w:proofErr w:type="spellStart"/>
      <w:r>
        <w:rPr>
          <w:szCs w:val="22"/>
          <w:lang w:val="lt-LT"/>
        </w:rPr>
        <w:t>mikrogramo</w:t>
      </w:r>
      <w:proofErr w:type="spellEnd"/>
      <w:r>
        <w:rPr>
          <w:szCs w:val="22"/>
          <w:lang w:val="lt-LT"/>
        </w:rPr>
        <w:t>/ml (ribos: nuo neišmatuojamos iki 3,62 </w:t>
      </w:r>
      <w:proofErr w:type="spellStart"/>
      <w:r>
        <w:rPr>
          <w:szCs w:val="22"/>
          <w:lang w:val="lt-LT"/>
        </w:rPr>
        <w:t>mikrogramo</w:t>
      </w:r>
      <w:proofErr w:type="spellEnd"/>
      <w:r>
        <w:rPr>
          <w:szCs w:val="22"/>
          <w:lang w:val="lt-LT"/>
        </w:rPr>
        <w:t xml:space="preserve">/ml). Po 20 gydymo </w:t>
      </w:r>
      <w:proofErr w:type="spellStart"/>
      <w:r>
        <w:rPr>
          <w:szCs w:val="22"/>
          <w:lang w:val="lt-LT"/>
        </w:rPr>
        <w:t>tobramicino</w:t>
      </w:r>
      <w:proofErr w:type="spellEnd"/>
      <w:r>
        <w:rPr>
          <w:szCs w:val="22"/>
          <w:lang w:val="lt-LT"/>
        </w:rPr>
        <w:t xml:space="preserve"> purškiamuoju tirpalu savaičių vidutinė </w:t>
      </w:r>
      <w:proofErr w:type="spellStart"/>
      <w:r>
        <w:rPr>
          <w:szCs w:val="22"/>
          <w:lang w:val="lt-LT"/>
        </w:rPr>
        <w:t>tobramicino</w:t>
      </w:r>
      <w:proofErr w:type="spellEnd"/>
      <w:r>
        <w:rPr>
          <w:szCs w:val="22"/>
          <w:lang w:val="lt-LT"/>
        </w:rPr>
        <w:t xml:space="preserve"> koncentracijos serume praėjus 1 valandai po įkvėpimo buvo 1,05 </w:t>
      </w:r>
      <w:proofErr w:type="spellStart"/>
      <w:r>
        <w:rPr>
          <w:szCs w:val="22"/>
          <w:lang w:val="lt-LT"/>
        </w:rPr>
        <w:t>mikrogramo</w:t>
      </w:r>
      <w:proofErr w:type="spellEnd"/>
      <w:r>
        <w:rPr>
          <w:szCs w:val="22"/>
          <w:lang w:val="lt-LT"/>
        </w:rPr>
        <w:t>/ml (ribos: nuo neišmatuojamos iki 3,41 </w:t>
      </w:r>
      <w:proofErr w:type="spellStart"/>
      <w:r>
        <w:rPr>
          <w:szCs w:val="22"/>
          <w:lang w:val="lt-LT"/>
        </w:rPr>
        <w:t>mikrogramo</w:t>
      </w:r>
      <w:proofErr w:type="spellEnd"/>
      <w:r>
        <w:rPr>
          <w:szCs w:val="22"/>
          <w:lang w:val="lt-LT"/>
        </w:rPr>
        <w:t>/ml). Palyginimui, po vienkartinės 1,5</w:t>
      </w:r>
      <w:r>
        <w:rPr>
          <w:szCs w:val="22"/>
          <w:lang w:val="lt-LT"/>
        </w:rPr>
        <w:noBreakHyphen/>
        <w:t>2 mg/kg kūno svorio dozės suleidimo į veną arba raumenis didžiausia koncentracija paprastai būna 4</w:t>
      </w:r>
      <w:r>
        <w:rPr>
          <w:szCs w:val="22"/>
          <w:lang w:val="lt-LT"/>
        </w:rPr>
        <w:noBreakHyphen/>
        <w:t>12 </w:t>
      </w:r>
      <w:proofErr w:type="spellStart"/>
      <w:r>
        <w:rPr>
          <w:szCs w:val="22"/>
          <w:lang w:val="lt-LT"/>
        </w:rPr>
        <w:t>mikrogramo</w:t>
      </w:r>
      <w:proofErr w:type="spellEnd"/>
      <w:r>
        <w:rPr>
          <w:szCs w:val="22"/>
          <w:lang w:val="lt-LT"/>
        </w:rPr>
        <w:t xml:space="preserve">/ml. </w:t>
      </w:r>
    </w:p>
    <w:p w14:paraId="7A70C159" w14:textId="77777777" w:rsidR="00803D36" w:rsidRDefault="00803D36" w:rsidP="00803D36">
      <w:pPr>
        <w:spacing w:line="240" w:lineRule="auto"/>
        <w:ind w:right="-142"/>
        <w:rPr>
          <w:szCs w:val="22"/>
          <w:lang w:val="lt-LT"/>
        </w:rPr>
      </w:pPr>
    </w:p>
    <w:p w14:paraId="52B666DF" w14:textId="77777777" w:rsidR="00803D36" w:rsidRDefault="00803D36" w:rsidP="00803D36">
      <w:pPr>
        <w:spacing w:line="240" w:lineRule="auto"/>
        <w:ind w:right="-142"/>
        <w:rPr>
          <w:szCs w:val="22"/>
          <w:u w:val="single"/>
          <w:lang w:val="lt-LT"/>
        </w:rPr>
      </w:pPr>
      <w:r>
        <w:rPr>
          <w:szCs w:val="22"/>
          <w:u w:val="single"/>
          <w:lang w:val="lt-LT"/>
        </w:rPr>
        <w:t>Pasiskirstymas</w:t>
      </w:r>
    </w:p>
    <w:p w14:paraId="3A955673" w14:textId="77777777" w:rsidR="00803D36" w:rsidRDefault="00803D36" w:rsidP="00803D36">
      <w:pPr>
        <w:spacing w:line="240" w:lineRule="auto"/>
        <w:ind w:right="-142"/>
        <w:rPr>
          <w:szCs w:val="22"/>
          <w:lang w:val="lt-LT"/>
        </w:rPr>
      </w:pPr>
      <w:r>
        <w:rPr>
          <w:szCs w:val="22"/>
          <w:lang w:val="lt-LT"/>
        </w:rPr>
        <w:t xml:space="preserve">Po </w:t>
      </w:r>
      <w:proofErr w:type="spellStart"/>
      <w:r>
        <w:rPr>
          <w:szCs w:val="22"/>
          <w:lang w:val="lt-LT"/>
        </w:rPr>
        <w:t>tobramicino</w:t>
      </w:r>
      <w:proofErr w:type="spellEnd"/>
      <w:r>
        <w:rPr>
          <w:szCs w:val="22"/>
          <w:lang w:val="lt-LT"/>
        </w:rPr>
        <w:t xml:space="preserve"> purškiamojo tirpalo pavartojimo daugiausia </w:t>
      </w:r>
      <w:proofErr w:type="spellStart"/>
      <w:r>
        <w:rPr>
          <w:szCs w:val="22"/>
          <w:lang w:val="lt-LT"/>
        </w:rPr>
        <w:t>tobramicino</w:t>
      </w:r>
      <w:proofErr w:type="spellEnd"/>
      <w:r>
        <w:rPr>
          <w:szCs w:val="22"/>
          <w:lang w:val="lt-LT"/>
        </w:rPr>
        <w:t xml:space="preserve"> būna kvėpavimo takuose. Mažiau kaip 10% </w:t>
      </w:r>
      <w:proofErr w:type="spellStart"/>
      <w:r>
        <w:rPr>
          <w:szCs w:val="22"/>
          <w:lang w:val="lt-LT"/>
        </w:rPr>
        <w:t>tobramicino</w:t>
      </w:r>
      <w:proofErr w:type="spellEnd"/>
      <w:r>
        <w:rPr>
          <w:szCs w:val="22"/>
          <w:lang w:val="lt-LT"/>
        </w:rPr>
        <w:t xml:space="preserve"> prisijungia prie plazmos baltymų.</w:t>
      </w:r>
    </w:p>
    <w:p w14:paraId="0E2240AA" w14:textId="77777777" w:rsidR="00803D36" w:rsidRDefault="00803D36" w:rsidP="00803D36">
      <w:pPr>
        <w:spacing w:line="240" w:lineRule="auto"/>
        <w:ind w:right="-142"/>
        <w:rPr>
          <w:szCs w:val="22"/>
          <w:lang w:val="lt-LT"/>
        </w:rPr>
      </w:pPr>
    </w:p>
    <w:p w14:paraId="531766CA" w14:textId="77777777" w:rsidR="00803D36" w:rsidRDefault="00803D36" w:rsidP="00803D36">
      <w:pPr>
        <w:spacing w:line="240" w:lineRule="auto"/>
        <w:ind w:right="-142"/>
        <w:rPr>
          <w:szCs w:val="22"/>
          <w:u w:val="single"/>
          <w:lang w:val="lt-LT"/>
        </w:rPr>
      </w:pPr>
      <w:proofErr w:type="spellStart"/>
      <w:r>
        <w:rPr>
          <w:szCs w:val="22"/>
          <w:u w:val="single"/>
          <w:lang w:val="lt-LT"/>
        </w:rPr>
        <w:t>Biotransformacija</w:t>
      </w:r>
      <w:proofErr w:type="spellEnd"/>
    </w:p>
    <w:p w14:paraId="43CF3397" w14:textId="77777777" w:rsidR="00803D36" w:rsidRDefault="00803D36" w:rsidP="00803D36">
      <w:pPr>
        <w:spacing w:line="240" w:lineRule="auto"/>
        <w:ind w:right="-142"/>
        <w:rPr>
          <w:szCs w:val="22"/>
          <w:lang w:val="lt-LT"/>
        </w:rPr>
      </w:pPr>
      <w:proofErr w:type="spellStart"/>
      <w:r>
        <w:rPr>
          <w:szCs w:val="22"/>
          <w:lang w:val="lt-LT"/>
        </w:rPr>
        <w:t>Tobramicinas</w:t>
      </w:r>
      <w:proofErr w:type="spellEnd"/>
      <w:r>
        <w:rPr>
          <w:szCs w:val="22"/>
          <w:lang w:val="lt-LT"/>
        </w:rPr>
        <w:t xml:space="preserve"> nėra </w:t>
      </w:r>
      <w:proofErr w:type="spellStart"/>
      <w:r>
        <w:rPr>
          <w:szCs w:val="22"/>
          <w:lang w:val="lt-LT"/>
        </w:rPr>
        <w:t>metabolizuojamas</w:t>
      </w:r>
      <w:proofErr w:type="spellEnd"/>
      <w:r>
        <w:rPr>
          <w:szCs w:val="22"/>
          <w:lang w:val="lt-LT"/>
        </w:rPr>
        <w:t xml:space="preserve"> ir didžioji jo dalis išskiriama su šlapimu nepakitusia forma.</w:t>
      </w:r>
    </w:p>
    <w:p w14:paraId="7EFB0A62" w14:textId="77777777" w:rsidR="00803D36" w:rsidRDefault="00803D36" w:rsidP="00803D36">
      <w:pPr>
        <w:spacing w:line="240" w:lineRule="auto"/>
        <w:ind w:right="-142"/>
        <w:rPr>
          <w:szCs w:val="22"/>
          <w:lang w:val="lt-LT"/>
        </w:rPr>
      </w:pPr>
    </w:p>
    <w:p w14:paraId="7FCA4C55" w14:textId="77777777" w:rsidR="00803D36" w:rsidRDefault="00803D36" w:rsidP="00803D36">
      <w:pPr>
        <w:spacing w:line="240" w:lineRule="auto"/>
        <w:ind w:right="-142"/>
        <w:rPr>
          <w:szCs w:val="22"/>
          <w:u w:val="single"/>
          <w:lang w:val="lt-LT"/>
        </w:rPr>
      </w:pPr>
      <w:r>
        <w:rPr>
          <w:szCs w:val="22"/>
          <w:u w:val="single"/>
          <w:lang w:val="lt-LT"/>
        </w:rPr>
        <w:t>Eliminacija</w:t>
      </w:r>
    </w:p>
    <w:p w14:paraId="0EDF471A" w14:textId="77777777" w:rsidR="00803D36" w:rsidRDefault="00803D36" w:rsidP="00803D36">
      <w:pPr>
        <w:spacing w:line="240" w:lineRule="auto"/>
        <w:ind w:right="-142"/>
        <w:rPr>
          <w:szCs w:val="22"/>
          <w:lang w:val="lt-LT"/>
        </w:rPr>
      </w:pPr>
      <w:r>
        <w:rPr>
          <w:szCs w:val="22"/>
          <w:lang w:val="lt-LT"/>
        </w:rPr>
        <w:t xml:space="preserve">Įkvepiamojo </w:t>
      </w:r>
      <w:proofErr w:type="spellStart"/>
      <w:r>
        <w:rPr>
          <w:szCs w:val="22"/>
          <w:lang w:val="lt-LT"/>
        </w:rPr>
        <w:t>tobramicino</w:t>
      </w:r>
      <w:proofErr w:type="spellEnd"/>
      <w:r>
        <w:rPr>
          <w:szCs w:val="22"/>
          <w:lang w:val="lt-LT"/>
        </w:rPr>
        <w:t xml:space="preserve"> eliminacija netirta.</w:t>
      </w:r>
    </w:p>
    <w:p w14:paraId="26B76B6A" w14:textId="77777777" w:rsidR="00803D36" w:rsidRDefault="00803D36" w:rsidP="00803D36">
      <w:pPr>
        <w:spacing w:line="240" w:lineRule="auto"/>
        <w:ind w:right="-142"/>
        <w:rPr>
          <w:szCs w:val="22"/>
          <w:lang w:val="lt-LT"/>
        </w:rPr>
      </w:pPr>
    </w:p>
    <w:p w14:paraId="65A09979" w14:textId="77777777" w:rsidR="00803D36" w:rsidRDefault="00803D36" w:rsidP="00803D36">
      <w:pPr>
        <w:spacing w:line="240" w:lineRule="auto"/>
        <w:ind w:right="-142"/>
        <w:rPr>
          <w:szCs w:val="22"/>
          <w:lang w:val="lt-LT"/>
        </w:rPr>
      </w:pPr>
      <w:r>
        <w:rPr>
          <w:szCs w:val="22"/>
          <w:lang w:val="lt-LT"/>
        </w:rPr>
        <w:t xml:space="preserve">Į veną sušvirkštas </w:t>
      </w:r>
      <w:proofErr w:type="spellStart"/>
      <w:r>
        <w:rPr>
          <w:szCs w:val="22"/>
          <w:lang w:val="lt-LT"/>
        </w:rPr>
        <w:t>tobramicinas</w:t>
      </w:r>
      <w:proofErr w:type="spellEnd"/>
      <w:r>
        <w:rPr>
          <w:szCs w:val="22"/>
          <w:lang w:val="lt-LT"/>
        </w:rPr>
        <w:t xml:space="preserve"> daugiausia šalinamas vykstant filtracijai </w:t>
      </w:r>
      <w:proofErr w:type="spellStart"/>
      <w:r>
        <w:rPr>
          <w:szCs w:val="22"/>
          <w:lang w:val="lt-LT"/>
        </w:rPr>
        <w:t>glomeruluose</w:t>
      </w:r>
      <w:proofErr w:type="spellEnd"/>
      <w:r>
        <w:rPr>
          <w:szCs w:val="22"/>
          <w:lang w:val="lt-LT"/>
        </w:rPr>
        <w:t xml:space="preserve"> ir išskiriamas nepakitusia forma. Tariamasis pusinės </w:t>
      </w:r>
      <w:proofErr w:type="spellStart"/>
      <w:r>
        <w:rPr>
          <w:szCs w:val="22"/>
          <w:lang w:val="lt-LT"/>
        </w:rPr>
        <w:t>tobramicino</w:t>
      </w:r>
      <w:proofErr w:type="spellEnd"/>
      <w:r>
        <w:rPr>
          <w:szCs w:val="22"/>
          <w:lang w:val="lt-LT"/>
        </w:rPr>
        <w:t xml:space="preserve"> eliminacijos iš cistine fibroze sergančių pacientų serumo laikas po 300 mg vienkartinės </w:t>
      </w:r>
      <w:proofErr w:type="spellStart"/>
      <w:r>
        <w:rPr>
          <w:szCs w:val="22"/>
          <w:lang w:val="lt-LT"/>
        </w:rPr>
        <w:t>tobramicino</w:t>
      </w:r>
      <w:proofErr w:type="spellEnd"/>
      <w:r>
        <w:rPr>
          <w:szCs w:val="22"/>
          <w:lang w:val="lt-LT"/>
        </w:rPr>
        <w:t xml:space="preserve"> purškiamojo tirpalo dozės įkvėpimo buvo 3 valandos.</w:t>
      </w:r>
    </w:p>
    <w:p w14:paraId="5D2C9A3C" w14:textId="77777777" w:rsidR="00803D36" w:rsidRDefault="00803D36" w:rsidP="00803D36">
      <w:pPr>
        <w:spacing w:line="240" w:lineRule="auto"/>
        <w:ind w:right="-142"/>
        <w:rPr>
          <w:szCs w:val="22"/>
          <w:lang w:val="lt-LT"/>
        </w:rPr>
      </w:pPr>
    </w:p>
    <w:p w14:paraId="1325E37D" w14:textId="77777777" w:rsidR="00803D36" w:rsidRDefault="00803D36" w:rsidP="00803D36">
      <w:pPr>
        <w:spacing w:line="240" w:lineRule="auto"/>
        <w:ind w:right="-142"/>
        <w:rPr>
          <w:szCs w:val="22"/>
          <w:lang w:val="lt-LT"/>
        </w:rPr>
      </w:pPr>
      <w:r>
        <w:rPr>
          <w:szCs w:val="22"/>
          <w:lang w:val="lt-LT"/>
        </w:rPr>
        <w:t xml:space="preserve">Manoma, kad </w:t>
      </w:r>
      <w:proofErr w:type="spellStart"/>
      <w:r>
        <w:rPr>
          <w:szCs w:val="22"/>
          <w:lang w:val="lt-LT"/>
        </w:rPr>
        <w:t>tobramicino</w:t>
      </w:r>
      <w:proofErr w:type="spellEnd"/>
      <w:r>
        <w:rPr>
          <w:szCs w:val="22"/>
          <w:lang w:val="lt-LT"/>
        </w:rPr>
        <w:t xml:space="preserve"> ekspozicija priklauso nuo inkstų funkcijos, tačiau duomenų nėra, kadangi pacientai, kurių serume kreatinino kiekis buvo 2 mg/dl (176,8 </w:t>
      </w:r>
      <w:proofErr w:type="spellStart"/>
      <w:r>
        <w:rPr>
          <w:szCs w:val="22"/>
          <w:lang w:val="lt-LT"/>
        </w:rPr>
        <w:t>mikromolio</w:t>
      </w:r>
      <w:proofErr w:type="spellEnd"/>
      <w:r>
        <w:rPr>
          <w:szCs w:val="22"/>
          <w:lang w:val="lt-LT"/>
        </w:rPr>
        <w:t>/l) ar didesnis arba kraujyje šlapalo kiekis buvo 40 mg/dl ar didesnis, į klinikinius tyrimus įtraukiami nebuvo.</w:t>
      </w:r>
    </w:p>
    <w:p w14:paraId="2F94F745" w14:textId="77777777" w:rsidR="00803D36" w:rsidRDefault="00803D36" w:rsidP="00803D36">
      <w:pPr>
        <w:spacing w:line="240" w:lineRule="auto"/>
        <w:ind w:right="-142"/>
        <w:rPr>
          <w:szCs w:val="22"/>
          <w:lang w:val="lt-LT"/>
        </w:rPr>
      </w:pPr>
    </w:p>
    <w:p w14:paraId="00DEE923" w14:textId="77777777" w:rsidR="00803D36" w:rsidRDefault="00803D36" w:rsidP="00803D36">
      <w:pPr>
        <w:spacing w:line="240" w:lineRule="auto"/>
        <w:ind w:right="-142"/>
        <w:rPr>
          <w:szCs w:val="22"/>
          <w:lang w:val="lt-LT"/>
        </w:rPr>
      </w:pPr>
      <w:r>
        <w:rPr>
          <w:szCs w:val="22"/>
          <w:lang w:val="lt-LT"/>
        </w:rPr>
        <w:t xml:space="preserve">Manoma, kad po purškiamojo </w:t>
      </w:r>
      <w:proofErr w:type="spellStart"/>
      <w:r>
        <w:rPr>
          <w:szCs w:val="22"/>
          <w:lang w:val="lt-LT"/>
        </w:rPr>
        <w:t>tobramicino</w:t>
      </w:r>
      <w:proofErr w:type="spellEnd"/>
      <w:r>
        <w:rPr>
          <w:szCs w:val="22"/>
          <w:lang w:val="lt-LT"/>
        </w:rPr>
        <w:t xml:space="preserve"> pavartojimo neabsorbuotas </w:t>
      </w:r>
      <w:proofErr w:type="spellStart"/>
      <w:r>
        <w:rPr>
          <w:szCs w:val="22"/>
          <w:lang w:val="lt-LT"/>
        </w:rPr>
        <w:t>tobramicinas</w:t>
      </w:r>
      <w:proofErr w:type="spellEnd"/>
      <w:r>
        <w:rPr>
          <w:szCs w:val="22"/>
          <w:lang w:val="lt-LT"/>
        </w:rPr>
        <w:t xml:space="preserve"> daugiausia šalinamas su iškosimais skrepliais. </w:t>
      </w:r>
    </w:p>
    <w:p w14:paraId="02A299BE" w14:textId="77777777" w:rsidR="00803D36" w:rsidRDefault="00803D36" w:rsidP="00803D36">
      <w:pPr>
        <w:spacing w:line="240" w:lineRule="auto"/>
        <w:ind w:right="-142"/>
        <w:rPr>
          <w:szCs w:val="22"/>
          <w:lang w:val="lt-LT"/>
        </w:rPr>
      </w:pPr>
    </w:p>
    <w:p w14:paraId="32F0C014"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5.3</w:t>
      </w:r>
      <w:r>
        <w:rPr>
          <w:rFonts w:ascii="Times New Roman" w:hAnsi="Times New Roman"/>
          <w:sz w:val="22"/>
          <w:szCs w:val="22"/>
          <w:lang w:val="lt-LT"/>
        </w:rPr>
        <w:tab/>
      </w:r>
      <w:proofErr w:type="spellStart"/>
      <w:r>
        <w:rPr>
          <w:rFonts w:ascii="Times New Roman" w:hAnsi="Times New Roman"/>
          <w:sz w:val="22"/>
          <w:szCs w:val="22"/>
          <w:lang w:val="lt-LT"/>
        </w:rPr>
        <w:t>Ikiklinikinių</w:t>
      </w:r>
      <w:proofErr w:type="spellEnd"/>
      <w:r>
        <w:rPr>
          <w:rFonts w:ascii="Times New Roman" w:hAnsi="Times New Roman"/>
          <w:sz w:val="22"/>
          <w:szCs w:val="22"/>
          <w:lang w:val="lt-LT"/>
        </w:rPr>
        <w:t xml:space="preserve"> saugumo tyrimų duomenys</w:t>
      </w:r>
    </w:p>
    <w:p w14:paraId="59058B21" w14:textId="77777777" w:rsidR="00803D36" w:rsidRDefault="00803D36" w:rsidP="00803D36">
      <w:pPr>
        <w:tabs>
          <w:tab w:val="clear" w:pos="567"/>
          <w:tab w:val="left" w:pos="1296"/>
        </w:tabs>
        <w:spacing w:line="240" w:lineRule="auto"/>
        <w:rPr>
          <w:szCs w:val="22"/>
          <w:lang w:val="lt-LT"/>
        </w:rPr>
      </w:pPr>
    </w:p>
    <w:p w14:paraId="44B74399" w14:textId="77777777" w:rsidR="00803D36" w:rsidRDefault="00803D36" w:rsidP="00803D36">
      <w:pPr>
        <w:spacing w:line="240" w:lineRule="auto"/>
        <w:rPr>
          <w:szCs w:val="22"/>
          <w:lang w:val="lt-LT"/>
        </w:rPr>
      </w:pPr>
      <w:r>
        <w:rPr>
          <w:szCs w:val="22"/>
          <w:lang w:val="lt-LT"/>
        </w:rPr>
        <w:t xml:space="preserve">Farmakologinio saugumo, kartotinių dozių toksiškumo, </w:t>
      </w:r>
      <w:proofErr w:type="spellStart"/>
      <w:r>
        <w:rPr>
          <w:szCs w:val="22"/>
          <w:lang w:val="lt-LT"/>
        </w:rPr>
        <w:t>genotoksiškumo</w:t>
      </w:r>
      <w:proofErr w:type="spellEnd"/>
      <w:r>
        <w:rPr>
          <w:szCs w:val="22"/>
          <w:lang w:val="lt-LT"/>
        </w:rPr>
        <w:t xml:space="preserve"> ir toksinio poveikio reprodukcijai </w:t>
      </w:r>
      <w:proofErr w:type="spellStart"/>
      <w:r>
        <w:rPr>
          <w:szCs w:val="22"/>
          <w:lang w:val="lt-LT"/>
        </w:rPr>
        <w:t>ikiklinikinių</w:t>
      </w:r>
      <w:proofErr w:type="spellEnd"/>
      <w:r>
        <w:rPr>
          <w:szCs w:val="22"/>
          <w:lang w:val="lt-LT"/>
        </w:rPr>
        <w:t xml:space="preserve"> tyrimų duomenys parodė, kad svarbiausias kenksmingas poveikis žmogui yra toksinis poveikis inkstams ir </w:t>
      </w:r>
      <w:proofErr w:type="spellStart"/>
      <w:r>
        <w:rPr>
          <w:szCs w:val="22"/>
          <w:lang w:val="lt-LT"/>
        </w:rPr>
        <w:t>ototoksinis</w:t>
      </w:r>
      <w:proofErr w:type="spellEnd"/>
      <w:r>
        <w:rPr>
          <w:szCs w:val="22"/>
          <w:lang w:val="lt-LT"/>
        </w:rPr>
        <w:t xml:space="preserve"> poveikis. Kartotinių dozių toksiškumo tyrimų metu nustatyti toksinio poveikio organai taikiniai buvo inkstai ir pusiausvyros/klausos sistema. Apskritai toksinis poveikis nustatytas, kai sisteminė </w:t>
      </w:r>
      <w:proofErr w:type="spellStart"/>
      <w:r>
        <w:rPr>
          <w:szCs w:val="22"/>
          <w:lang w:val="lt-LT"/>
        </w:rPr>
        <w:t>tobramicino</w:t>
      </w:r>
      <w:proofErr w:type="spellEnd"/>
      <w:r>
        <w:rPr>
          <w:szCs w:val="22"/>
          <w:lang w:val="lt-LT"/>
        </w:rPr>
        <w:t xml:space="preserve"> koncentracija buvo didesnė nei būna įkvėpus rekomenduojamą klinikinę dozę.</w:t>
      </w:r>
    </w:p>
    <w:p w14:paraId="45A91534" w14:textId="77777777" w:rsidR="00803D36" w:rsidRDefault="00803D36" w:rsidP="00803D36">
      <w:pPr>
        <w:spacing w:line="240" w:lineRule="auto"/>
        <w:rPr>
          <w:szCs w:val="22"/>
          <w:lang w:val="lt-LT"/>
        </w:rPr>
      </w:pPr>
    </w:p>
    <w:p w14:paraId="029F56D1" w14:textId="77777777" w:rsidR="00803D36" w:rsidRDefault="00803D36" w:rsidP="00803D36">
      <w:pPr>
        <w:spacing w:line="240" w:lineRule="auto"/>
        <w:rPr>
          <w:szCs w:val="22"/>
          <w:lang w:val="lt-LT"/>
        </w:rPr>
      </w:pPr>
      <w:r>
        <w:rPr>
          <w:szCs w:val="22"/>
          <w:lang w:val="lt-LT"/>
        </w:rPr>
        <w:t xml:space="preserve">Įkvepiamojo </w:t>
      </w:r>
      <w:proofErr w:type="spellStart"/>
      <w:r>
        <w:rPr>
          <w:szCs w:val="22"/>
          <w:lang w:val="lt-LT"/>
        </w:rPr>
        <w:t>tobramicino</w:t>
      </w:r>
      <w:proofErr w:type="spellEnd"/>
      <w:r>
        <w:rPr>
          <w:szCs w:val="22"/>
          <w:lang w:val="lt-LT"/>
        </w:rPr>
        <w:t xml:space="preserve"> kancerogeninio poveikio tyrimų metu jokių navikų atsiradimo dažnis nepadidėjo. Atlikus įvairius </w:t>
      </w:r>
      <w:proofErr w:type="spellStart"/>
      <w:r>
        <w:rPr>
          <w:szCs w:val="22"/>
          <w:lang w:val="lt-LT"/>
        </w:rPr>
        <w:t>genotoksiškumo</w:t>
      </w:r>
      <w:proofErr w:type="spellEnd"/>
      <w:r>
        <w:rPr>
          <w:szCs w:val="22"/>
          <w:lang w:val="lt-LT"/>
        </w:rPr>
        <w:t xml:space="preserve"> tyrimus nustatyta, kad </w:t>
      </w:r>
      <w:proofErr w:type="spellStart"/>
      <w:r>
        <w:rPr>
          <w:szCs w:val="22"/>
          <w:lang w:val="lt-LT"/>
        </w:rPr>
        <w:t>tobramicinui</w:t>
      </w:r>
      <w:proofErr w:type="spellEnd"/>
      <w:r>
        <w:rPr>
          <w:szCs w:val="22"/>
          <w:lang w:val="lt-LT"/>
        </w:rPr>
        <w:t xml:space="preserve"> </w:t>
      </w:r>
      <w:proofErr w:type="spellStart"/>
      <w:r>
        <w:rPr>
          <w:szCs w:val="22"/>
          <w:lang w:val="lt-LT"/>
        </w:rPr>
        <w:t>genotoksinis</w:t>
      </w:r>
      <w:proofErr w:type="spellEnd"/>
      <w:r>
        <w:rPr>
          <w:szCs w:val="22"/>
          <w:lang w:val="lt-LT"/>
        </w:rPr>
        <w:t xml:space="preserve"> poveikis nebūdingas.</w:t>
      </w:r>
    </w:p>
    <w:p w14:paraId="35D24B1F" w14:textId="77777777" w:rsidR="00803D36" w:rsidRDefault="00803D36" w:rsidP="00803D36">
      <w:pPr>
        <w:spacing w:line="240" w:lineRule="auto"/>
        <w:rPr>
          <w:szCs w:val="22"/>
          <w:lang w:val="lt-LT"/>
        </w:rPr>
      </w:pPr>
    </w:p>
    <w:p w14:paraId="5F98AAC5" w14:textId="77777777" w:rsidR="00803D36" w:rsidRDefault="00803D36" w:rsidP="00803D36">
      <w:pPr>
        <w:spacing w:line="240" w:lineRule="auto"/>
        <w:rPr>
          <w:szCs w:val="22"/>
          <w:lang w:val="lt-LT"/>
        </w:rPr>
      </w:pPr>
      <w:r>
        <w:rPr>
          <w:szCs w:val="22"/>
          <w:lang w:val="lt-LT"/>
        </w:rPr>
        <w:t xml:space="preserve">Įkvepiamojo </w:t>
      </w:r>
      <w:proofErr w:type="spellStart"/>
      <w:r>
        <w:rPr>
          <w:szCs w:val="22"/>
          <w:lang w:val="lt-LT"/>
        </w:rPr>
        <w:t>tobramicino</w:t>
      </w:r>
      <w:proofErr w:type="spellEnd"/>
      <w:r>
        <w:rPr>
          <w:szCs w:val="22"/>
          <w:lang w:val="lt-LT"/>
        </w:rPr>
        <w:t xml:space="preserve"> toksinio poveikio reprodukcijai tyrimų neatlikta, tačiau žiurkėms po oda švirkščiant 100 mg/kg kūno svorio paros dozę, o triušiams – didžiausią toleruojamą 20 mg/kg kūno svorio paros dozę, </w:t>
      </w:r>
      <w:proofErr w:type="spellStart"/>
      <w:r>
        <w:rPr>
          <w:szCs w:val="22"/>
          <w:lang w:val="lt-LT"/>
        </w:rPr>
        <w:t>teratogeninio</w:t>
      </w:r>
      <w:proofErr w:type="spellEnd"/>
      <w:r>
        <w:rPr>
          <w:szCs w:val="22"/>
          <w:lang w:val="lt-LT"/>
        </w:rPr>
        <w:t xml:space="preserve"> poveikio neatsirado. Didesnių (40 mg/kg kūno svorio per parą ar didesnių) </w:t>
      </w:r>
      <w:proofErr w:type="spellStart"/>
      <w:r>
        <w:rPr>
          <w:szCs w:val="22"/>
          <w:lang w:val="lt-LT"/>
        </w:rPr>
        <w:t>parenteriniu</w:t>
      </w:r>
      <w:proofErr w:type="spellEnd"/>
      <w:r>
        <w:rPr>
          <w:szCs w:val="22"/>
          <w:lang w:val="lt-LT"/>
        </w:rPr>
        <w:t xml:space="preserve"> būdu vartojamų dozių </w:t>
      </w:r>
      <w:proofErr w:type="spellStart"/>
      <w:r>
        <w:rPr>
          <w:szCs w:val="22"/>
          <w:lang w:val="lt-LT"/>
        </w:rPr>
        <w:t>teratogeninio</w:t>
      </w:r>
      <w:proofErr w:type="spellEnd"/>
      <w:r>
        <w:rPr>
          <w:szCs w:val="22"/>
          <w:lang w:val="lt-LT"/>
        </w:rPr>
        <w:t xml:space="preserve"> poveikio triušiams įvertinti nebuvo galima, kadangi jos sukėlė toksinį poveikį patelėms ir abortą. </w:t>
      </w:r>
      <w:proofErr w:type="spellStart"/>
      <w:r>
        <w:rPr>
          <w:szCs w:val="22"/>
          <w:lang w:val="lt-LT"/>
        </w:rPr>
        <w:t>Ikiklinikinių</w:t>
      </w:r>
      <w:proofErr w:type="spellEnd"/>
      <w:r>
        <w:rPr>
          <w:szCs w:val="22"/>
          <w:lang w:val="lt-LT"/>
        </w:rPr>
        <w:t xml:space="preserve"> </w:t>
      </w:r>
      <w:proofErr w:type="spellStart"/>
      <w:r>
        <w:rPr>
          <w:szCs w:val="22"/>
          <w:lang w:val="lt-LT"/>
        </w:rPr>
        <w:t>tobramicino</w:t>
      </w:r>
      <w:proofErr w:type="spellEnd"/>
      <w:r>
        <w:rPr>
          <w:szCs w:val="22"/>
          <w:lang w:val="lt-LT"/>
        </w:rPr>
        <w:t xml:space="preserve"> poveikio reprodukcijai tyrimų metu </w:t>
      </w:r>
      <w:proofErr w:type="spellStart"/>
      <w:r>
        <w:rPr>
          <w:szCs w:val="22"/>
          <w:lang w:val="lt-LT"/>
        </w:rPr>
        <w:t>ototoksinis</w:t>
      </w:r>
      <w:proofErr w:type="spellEnd"/>
      <w:r>
        <w:rPr>
          <w:szCs w:val="22"/>
          <w:lang w:val="lt-LT"/>
        </w:rPr>
        <w:t xml:space="preserve"> poveikis jaunikliams nebuvo vertinamas. Remiantis turimais su gyvūnais </w:t>
      </w:r>
      <w:r>
        <w:rPr>
          <w:szCs w:val="22"/>
          <w:lang w:val="lt-LT"/>
        </w:rPr>
        <w:lastRenderedPageBreak/>
        <w:t xml:space="preserve">atliktų tyrimų duomenimis, kai yra preparato ekspozicija </w:t>
      </w:r>
      <w:proofErr w:type="spellStart"/>
      <w:r>
        <w:rPr>
          <w:szCs w:val="22"/>
          <w:lang w:val="lt-LT"/>
        </w:rPr>
        <w:t>prenataliniame</w:t>
      </w:r>
      <w:proofErr w:type="spellEnd"/>
      <w:r>
        <w:rPr>
          <w:szCs w:val="22"/>
          <w:lang w:val="lt-LT"/>
        </w:rPr>
        <w:t xml:space="preserve"> laikotarpyje, toksinio poveikio (pvz., </w:t>
      </w:r>
      <w:proofErr w:type="spellStart"/>
      <w:r>
        <w:rPr>
          <w:szCs w:val="22"/>
          <w:lang w:val="lt-LT"/>
        </w:rPr>
        <w:t>ototoksinio</w:t>
      </w:r>
      <w:proofErr w:type="spellEnd"/>
      <w:r>
        <w:rPr>
          <w:szCs w:val="22"/>
          <w:lang w:val="lt-LT"/>
        </w:rPr>
        <w:t xml:space="preserve"> poveikio) rizikos atmesti negalima.</w:t>
      </w:r>
    </w:p>
    <w:p w14:paraId="7EDC357C" w14:textId="77777777" w:rsidR="00803D36" w:rsidRDefault="00803D36" w:rsidP="00803D36">
      <w:pPr>
        <w:spacing w:line="240" w:lineRule="auto"/>
        <w:rPr>
          <w:szCs w:val="22"/>
          <w:lang w:val="lt-LT"/>
        </w:rPr>
      </w:pPr>
    </w:p>
    <w:p w14:paraId="60FCC1CB" w14:textId="77777777" w:rsidR="00803D36" w:rsidRDefault="00803D36" w:rsidP="00803D36">
      <w:pPr>
        <w:spacing w:line="240" w:lineRule="auto"/>
        <w:rPr>
          <w:szCs w:val="22"/>
          <w:lang w:val="lt-LT"/>
        </w:rPr>
      </w:pPr>
      <w:r>
        <w:rPr>
          <w:szCs w:val="22"/>
          <w:lang w:val="lt-LT"/>
        </w:rPr>
        <w:t xml:space="preserve">Po oda vartojamas </w:t>
      </w:r>
      <w:proofErr w:type="spellStart"/>
      <w:r>
        <w:rPr>
          <w:szCs w:val="22"/>
          <w:lang w:val="lt-LT"/>
        </w:rPr>
        <w:t>tobramicinas</w:t>
      </w:r>
      <w:proofErr w:type="spellEnd"/>
      <w:r>
        <w:rPr>
          <w:szCs w:val="22"/>
          <w:lang w:val="lt-LT"/>
        </w:rPr>
        <w:t xml:space="preserve"> (iki 100 mg/kg kūno svorio dozė) patinų bei patelių poravimosi elgsenos nekeitė ir vislumo nesumažino.</w:t>
      </w:r>
    </w:p>
    <w:p w14:paraId="5BA36A60" w14:textId="77777777" w:rsidR="00803D36" w:rsidRDefault="00803D36" w:rsidP="00803D36">
      <w:pPr>
        <w:tabs>
          <w:tab w:val="clear" w:pos="567"/>
          <w:tab w:val="left" w:pos="1296"/>
        </w:tabs>
        <w:spacing w:line="240" w:lineRule="auto"/>
        <w:rPr>
          <w:szCs w:val="22"/>
          <w:lang w:val="lt-LT"/>
        </w:rPr>
      </w:pPr>
    </w:p>
    <w:p w14:paraId="2734D8B7" w14:textId="77777777" w:rsidR="00803D36" w:rsidRDefault="00803D36" w:rsidP="00803D36">
      <w:pPr>
        <w:tabs>
          <w:tab w:val="clear" w:pos="567"/>
          <w:tab w:val="left" w:pos="1296"/>
        </w:tabs>
        <w:spacing w:line="240" w:lineRule="auto"/>
        <w:rPr>
          <w:szCs w:val="22"/>
          <w:lang w:val="lt-LT"/>
        </w:rPr>
      </w:pPr>
    </w:p>
    <w:p w14:paraId="316AB747"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FARMACINĖ INFORMACIJA</w:t>
      </w:r>
    </w:p>
    <w:p w14:paraId="6605ED9E" w14:textId="77777777" w:rsidR="00803D36" w:rsidRDefault="00803D36" w:rsidP="00803D36">
      <w:pPr>
        <w:tabs>
          <w:tab w:val="clear" w:pos="567"/>
          <w:tab w:val="left" w:pos="1296"/>
        </w:tabs>
        <w:spacing w:line="240" w:lineRule="auto"/>
        <w:rPr>
          <w:szCs w:val="22"/>
          <w:lang w:val="lt-LT"/>
        </w:rPr>
      </w:pPr>
    </w:p>
    <w:p w14:paraId="0C79A38A"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6.1</w:t>
      </w:r>
      <w:r>
        <w:rPr>
          <w:rFonts w:ascii="Times New Roman" w:hAnsi="Times New Roman"/>
          <w:sz w:val="22"/>
          <w:szCs w:val="22"/>
          <w:lang w:val="lt-LT"/>
        </w:rPr>
        <w:tab/>
        <w:t>Pagalbinių medžiagų sąrašas</w:t>
      </w:r>
    </w:p>
    <w:p w14:paraId="31839025" w14:textId="77777777" w:rsidR="00803D36" w:rsidRDefault="00803D36" w:rsidP="00803D36">
      <w:pPr>
        <w:tabs>
          <w:tab w:val="clear" w:pos="567"/>
          <w:tab w:val="left" w:pos="1296"/>
        </w:tabs>
        <w:spacing w:line="240" w:lineRule="auto"/>
        <w:rPr>
          <w:szCs w:val="22"/>
          <w:lang w:val="lt-LT"/>
        </w:rPr>
      </w:pPr>
    </w:p>
    <w:p w14:paraId="1F3D98F6" w14:textId="77777777" w:rsidR="00803D36" w:rsidRDefault="00803D36" w:rsidP="00803D36">
      <w:pPr>
        <w:tabs>
          <w:tab w:val="clear" w:pos="567"/>
          <w:tab w:val="left" w:pos="1296"/>
        </w:tabs>
        <w:spacing w:line="240" w:lineRule="auto"/>
        <w:rPr>
          <w:szCs w:val="22"/>
          <w:lang w:val="lt-LT"/>
        </w:rPr>
      </w:pPr>
      <w:r>
        <w:rPr>
          <w:szCs w:val="22"/>
          <w:lang w:val="lt-LT"/>
        </w:rPr>
        <w:t>Natrio chloridas</w:t>
      </w:r>
    </w:p>
    <w:p w14:paraId="1921CDB7" w14:textId="77777777" w:rsidR="00803D36" w:rsidRDefault="00803D36" w:rsidP="00803D36">
      <w:pPr>
        <w:tabs>
          <w:tab w:val="clear" w:pos="567"/>
          <w:tab w:val="left" w:pos="1296"/>
        </w:tabs>
        <w:spacing w:line="240" w:lineRule="auto"/>
        <w:rPr>
          <w:szCs w:val="22"/>
          <w:lang w:val="lt-LT"/>
        </w:rPr>
      </w:pPr>
      <w:r>
        <w:rPr>
          <w:szCs w:val="22"/>
          <w:lang w:val="lt-LT"/>
        </w:rPr>
        <w:t>Injekcinis vanduo</w:t>
      </w:r>
    </w:p>
    <w:p w14:paraId="40DDAFBC" w14:textId="77777777" w:rsidR="00803D36" w:rsidRDefault="00803D36" w:rsidP="00803D36">
      <w:pPr>
        <w:tabs>
          <w:tab w:val="clear" w:pos="567"/>
          <w:tab w:val="left" w:pos="1296"/>
        </w:tabs>
        <w:spacing w:line="240" w:lineRule="auto"/>
        <w:rPr>
          <w:szCs w:val="22"/>
          <w:lang w:val="lt-LT"/>
        </w:rPr>
      </w:pPr>
      <w:r>
        <w:rPr>
          <w:szCs w:val="22"/>
          <w:lang w:val="lt-LT"/>
        </w:rPr>
        <w:t>Sulfato rūgštis arba natrio hidroksidas (pH koreguoti)</w:t>
      </w:r>
    </w:p>
    <w:p w14:paraId="13AB995D" w14:textId="77777777" w:rsidR="00803D36" w:rsidRDefault="00803D36" w:rsidP="00803D36">
      <w:pPr>
        <w:tabs>
          <w:tab w:val="clear" w:pos="567"/>
          <w:tab w:val="left" w:pos="1296"/>
        </w:tabs>
        <w:spacing w:line="240" w:lineRule="auto"/>
        <w:rPr>
          <w:szCs w:val="22"/>
          <w:lang w:val="lt-LT"/>
        </w:rPr>
      </w:pPr>
    </w:p>
    <w:p w14:paraId="39274500"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6.2</w:t>
      </w:r>
      <w:r>
        <w:rPr>
          <w:rFonts w:ascii="Times New Roman" w:hAnsi="Times New Roman"/>
          <w:sz w:val="22"/>
          <w:szCs w:val="22"/>
          <w:lang w:val="lt-LT"/>
        </w:rPr>
        <w:tab/>
        <w:t>Nesuderinamumas</w:t>
      </w:r>
    </w:p>
    <w:p w14:paraId="328EDE07" w14:textId="77777777" w:rsidR="00803D36" w:rsidRDefault="00803D36" w:rsidP="00803D36">
      <w:pPr>
        <w:tabs>
          <w:tab w:val="clear" w:pos="567"/>
          <w:tab w:val="left" w:pos="1296"/>
        </w:tabs>
        <w:spacing w:line="240" w:lineRule="auto"/>
        <w:rPr>
          <w:szCs w:val="22"/>
          <w:lang w:val="lt-LT"/>
        </w:rPr>
      </w:pPr>
    </w:p>
    <w:p w14:paraId="2DE881E5" w14:textId="77777777" w:rsidR="00803D36" w:rsidRDefault="00803D36" w:rsidP="00803D36">
      <w:pPr>
        <w:tabs>
          <w:tab w:val="clear" w:pos="567"/>
          <w:tab w:val="left" w:pos="1296"/>
        </w:tabs>
        <w:spacing w:line="240" w:lineRule="auto"/>
        <w:rPr>
          <w:szCs w:val="22"/>
          <w:lang w:val="lt-LT"/>
        </w:rPr>
      </w:pPr>
      <w:r>
        <w:rPr>
          <w:szCs w:val="22"/>
          <w:lang w:val="lt-LT"/>
        </w:rPr>
        <w:t xml:space="preserve">Suderinamumo tyrimų neatlikta, todėl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skiesti ar maišyti su kitais vaistiniais preparatais purkštuve negalima.</w:t>
      </w:r>
    </w:p>
    <w:p w14:paraId="4BCBEF61" w14:textId="77777777" w:rsidR="00803D36" w:rsidRDefault="00803D36" w:rsidP="00803D36">
      <w:pPr>
        <w:tabs>
          <w:tab w:val="clear" w:pos="567"/>
          <w:tab w:val="left" w:pos="1296"/>
        </w:tabs>
        <w:spacing w:line="240" w:lineRule="auto"/>
        <w:rPr>
          <w:szCs w:val="22"/>
          <w:lang w:val="lt-LT"/>
        </w:rPr>
      </w:pPr>
    </w:p>
    <w:p w14:paraId="69AB3720"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6.3</w:t>
      </w:r>
      <w:r>
        <w:rPr>
          <w:rFonts w:ascii="Times New Roman" w:hAnsi="Times New Roman"/>
          <w:sz w:val="22"/>
          <w:szCs w:val="22"/>
          <w:lang w:val="lt-LT"/>
        </w:rPr>
        <w:tab/>
        <w:t>Tinkamumo laikas</w:t>
      </w:r>
    </w:p>
    <w:p w14:paraId="686EAD20" w14:textId="77777777" w:rsidR="00803D36" w:rsidRDefault="00803D36" w:rsidP="00803D36">
      <w:pPr>
        <w:tabs>
          <w:tab w:val="clear" w:pos="567"/>
          <w:tab w:val="left" w:pos="1296"/>
        </w:tabs>
        <w:spacing w:line="240" w:lineRule="auto"/>
        <w:rPr>
          <w:szCs w:val="22"/>
          <w:lang w:val="lt-LT"/>
        </w:rPr>
      </w:pPr>
    </w:p>
    <w:p w14:paraId="78F4910B" w14:textId="77777777" w:rsidR="00803D36" w:rsidRDefault="00803D36" w:rsidP="00803D36">
      <w:pPr>
        <w:tabs>
          <w:tab w:val="clear" w:pos="567"/>
          <w:tab w:val="left" w:pos="1296"/>
        </w:tabs>
        <w:spacing w:line="240" w:lineRule="auto"/>
        <w:rPr>
          <w:szCs w:val="22"/>
          <w:lang w:val="lt-LT"/>
        </w:rPr>
      </w:pPr>
      <w:r>
        <w:rPr>
          <w:szCs w:val="22"/>
          <w:lang w:val="lt-LT"/>
        </w:rPr>
        <w:t xml:space="preserve">3 metai. </w:t>
      </w:r>
    </w:p>
    <w:p w14:paraId="596D4CD4" w14:textId="77777777" w:rsidR="00803D36" w:rsidRDefault="00803D36" w:rsidP="00803D36">
      <w:pPr>
        <w:tabs>
          <w:tab w:val="clear" w:pos="567"/>
          <w:tab w:val="left" w:pos="1296"/>
        </w:tabs>
        <w:spacing w:line="240" w:lineRule="auto"/>
        <w:rPr>
          <w:szCs w:val="22"/>
          <w:lang w:val="lt-LT"/>
        </w:rPr>
      </w:pPr>
      <w:r>
        <w:rPr>
          <w:szCs w:val="22"/>
          <w:lang w:val="lt-LT"/>
        </w:rPr>
        <w:t xml:space="preserve">Vartoti </w:t>
      </w:r>
      <w:proofErr w:type="spellStart"/>
      <w:r>
        <w:rPr>
          <w:szCs w:val="22"/>
          <w:lang w:val="lt-LT"/>
        </w:rPr>
        <w:t>vienkartinai</w:t>
      </w:r>
      <w:proofErr w:type="spellEnd"/>
      <w:r>
        <w:rPr>
          <w:szCs w:val="22"/>
          <w:lang w:val="lt-LT"/>
        </w:rPr>
        <w:t xml:space="preserve">. Po </w:t>
      </w:r>
      <w:r w:rsidR="00AB6D9C">
        <w:rPr>
          <w:szCs w:val="22"/>
          <w:lang w:val="lt-LT"/>
        </w:rPr>
        <w:t xml:space="preserve">vienkartinės </w:t>
      </w:r>
      <w:r>
        <w:rPr>
          <w:szCs w:val="22"/>
          <w:lang w:val="lt-LT"/>
        </w:rPr>
        <w:t>ampulės atidarymo visą jos turinį būtina vartoti nedelsiant (žr. 6.6 skyrių). Bet kokį likutį būtina išpilti.</w:t>
      </w:r>
    </w:p>
    <w:p w14:paraId="51294857" w14:textId="77777777" w:rsidR="00803D36" w:rsidRDefault="00803D36" w:rsidP="00803D36">
      <w:pPr>
        <w:tabs>
          <w:tab w:val="clear" w:pos="567"/>
          <w:tab w:val="left" w:pos="1296"/>
        </w:tabs>
        <w:spacing w:line="240" w:lineRule="auto"/>
        <w:rPr>
          <w:szCs w:val="22"/>
          <w:lang w:val="lt-LT"/>
        </w:rPr>
      </w:pPr>
    </w:p>
    <w:p w14:paraId="37C91DF4" w14:textId="77777777" w:rsidR="00803D36" w:rsidRDefault="00803D36" w:rsidP="00803D36">
      <w:pPr>
        <w:tabs>
          <w:tab w:val="clear" w:pos="567"/>
          <w:tab w:val="left" w:pos="1296"/>
        </w:tabs>
        <w:spacing w:line="240" w:lineRule="auto"/>
        <w:rPr>
          <w:szCs w:val="22"/>
          <w:lang w:val="lt-LT"/>
        </w:rPr>
      </w:pPr>
      <w:r>
        <w:rPr>
          <w:szCs w:val="22"/>
          <w:lang w:val="lt-LT"/>
        </w:rPr>
        <w:t xml:space="preserve">Po išėmimo iš šaldytuvo (arba jei laikyti šaldytuve neįmanoma),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maišiukus (neatidarytus ar atidarytus) ne aukštesnėje kaip 25 °C temperatūroje galima laikyti iki 28 dienų.</w:t>
      </w:r>
    </w:p>
    <w:p w14:paraId="398EE625" w14:textId="77777777" w:rsidR="00803D36" w:rsidRDefault="00803D36" w:rsidP="00803D36">
      <w:pPr>
        <w:tabs>
          <w:tab w:val="clear" w:pos="567"/>
          <w:tab w:val="left" w:pos="1296"/>
        </w:tabs>
        <w:spacing w:line="240" w:lineRule="auto"/>
        <w:rPr>
          <w:szCs w:val="22"/>
          <w:lang w:val="lt-LT"/>
        </w:rPr>
      </w:pPr>
    </w:p>
    <w:p w14:paraId="3A1FDE60"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6.4</w:t>
      </w:r>
      <w:r>
        <w:rPr>
          <w:rFonts w:ascii="Times New Roman" w:hAnsi="Times New Roman"/>
          <w:sz w:val="22"/>
          <w:szCs w:val="22"/>
          <w:lang w:val="lt-LT"/>
        </w:rPr>
        <w:tab/>
        <w:t>Specialios laikymo sąlygos</w:t>
      </w:r>
    </w:p>
    <w:p w14:paraId="73A2E6E8" w14:textId="77777777" w:rsidR="00803D36" w:rsidRDefault="00803D36" w:rsidP="00803D36">
      <w:pPr>
        <w:tabs>
          <w:tab w:val="clear" w:pos="567"/>
          <w:tab w:val="left" w:pos="1296"/>
        </w:tabs>
        <w:spacing w:line="240" w:lineRule="auto"/>
        <w:rPr>
          <w:szCs w:val="22"/>
          <w:lang w:val="lt-LT"/>
        </w:rPr>
      </w:pPr>
    </w:p>
    <w:p w14:paraId="4B8150E9" w14:textId="77777777" w:rsidR="00803D36" w:rsidRDefault="00803D36" w:rsidP="00803D36">
      <w:pPr>
        <w:spacing w:line="240" w:lineRule="auto"/>
        <w:rPr>
          <w:rFonts w:eastAsia="Batang"/>
          <w:szCs w:val="22"/>
          <w:highlight w:val="yellow"/>
          <w:lang w:val="lt-LT"/>
        </w:rPr>
      </w:pPr>
      <w:r>
        <w:rPr>
          <w:rFonts w:eastAsia="Batang"/>
          <w:szCs w:val="22"/>
          <w:lang w:val="lt-LT"/>
        </w:rPr>
        <w:t xml:space="preserve">Laikyti šaldytuve (2 </w:t>
      </w:r>
      <w:r>
        <w:rPr>
          <w:rFonts w:eastAsia="Batang"/>
          <w:szCs w:val="22"/>
          <w:lang w:val="lt-LT"/>
        </w:rPr>
        <w:sym w:font="Symbol" w:char="F0B0"/>
      </w:r>
      <w:r>
        <w:rPr>
          <w:rFonts w:eastAsia="Batang"/>
          <w:szCs w:val="22"/>
          <w:lang w:val="lt-LT"/>
        </w:rPr>
        <w:t xml:space="preserve">C – 8 </w:t>
      </w:r>
      <w:r>
        <w:rPr>
          <w:rFonts w:eastAsia="Batang"/>
          <w:szCs w:val="22"/>
          <w:lang w:val="lt-LT"/>
        </w:rPr>
        <w:sym w:font="Symbol" w:char="F0B0"/>
      </w:r>
      <w:r>
        <w:rPr>
          <w:rFonts w:eastAsia="Batang"/>
          <w:szCs w:val="22"/>
          <w:lang w:val="lt-LT"/>
        </w:rPr>
        <w:t>C).</w:t>
      </w:r>
    </w:p>
    <w:p w14:paraId="3B09D396" w14:textId="77777777" w:rsidR="00803D36" w:rsidRDefault="00803D36" w:rsidP="00803D36">
      <w:pPr>
        <w:tabs>
          <w:tab w:val="clear" w:pos="567"/>
          <w:tab w:val="left" w:pos="1296"/>
        </w:tabs>
        <w:spacing w:line="240" w:lineRule="auto"/>
        <w:rPr>
          <w:szCs w:val="22"/>
          <w:lang w:val="lt-LT"/>
        </w:rPr>
      </w:pPr>
    </w:p>
    <w:p w14:paraId="0306EC46"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6.5</w:t>
      </w:r>
      <w:r>
        <w:rPr>
          <w:rFonts w:ascii="Times New Roman" w:hAnsi="Times New Roman"/>
          <w:sz w:val="22"/>
          <w:szCs w:val="22"/>
          <w:lang w:val="lt-LT"/>
        </w:rPr>
        <w:tab/>
      </w:r>
      <w:proofErr w:type="spellStart"/>
      <w:r>
        <w:rPr>
          <w:rFonts w:ascii="Times New Roman" w:hAnsi="Times New Roman"/>
          <w:sz w:val="22"/>
          <w:szCs w:val="22"/>
          <w:lang w:val="lt-LT"/>
        </w:rPr>
        <w:t>Talpyklės</w:t>
      </w:r>
      <w:proofErr w:type="spellEnd"/>
      <w:r>
        <w:rPr>
          <w:rFonts w:ascii="Times New Roman" w:hAnsi="Times New Roman"/>
          <w:sz w:val="22"/>
          <w:szCs w:val="22"/>
          <w:lang w:val="lt-LT"/>
        </w:rPr>
        <w:t xml:space="preserve"> pobūdis ir jos turinys</w:t>
      </w:r>
    </w:p>
    <w:p w14:paraId="3BA2F78C" w14:textId="77777777" w:rsidR="00803D36" w:rsidRDefault="00803D36" w:rsidP="00803D36">
      <w:pPr>
        <w:tabs>
          <w:tab w:val="clear" w:pos="567"/>
          <w:tab w:val="left" w:pos="1296"/>
        </w:tabs>
        <w:spacing w:line="240" w:lineRule="auto"/>
        <w:rPr>
          <w:szCs w:val="22"/>
          <w:lang w:val="lt-LT"/>
        </w:rPr>
      </w:pPr>
    </w:p>
    <w:p w14:paraId="75FF7F97" w14:textId="57225F8B" w:rsidR="00803D36" w:rsidRDefault="00803D36" w:rsidP="00803D36">
      <w:pPr>
        <w:tabs>
          <w:tab w:val="clear" w:pos="567"/>
          <w:tab w:val="left" w:pos="1296"/>
        </w:tabs>
        <w:spacing w:line="240" w:lineRule="auto"/>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tiekiamas 5 ml vienkartinio naudojimo mažo tankio polietileno ampulėse. Vienoje dėžutėje iš viso yra 56 ampulės (8 užlydyti folijos maišiukai). Kiekviename folijos maišiuke yra 7 ampulės.</w:t>
      </w:r>
    </w:p>
    <w:p w14:paraId="65CEAA81" w14:textId="77777777" w:rsidR="00803D36" w:rsidRDefault="00803D36" w:rsidP="00803D36">
      <w:pPr>
        <w:tabs>
          <w:tab w:val="clear" w:pos="567"/>
          <w:tab w:val="left" w:pos="1296"/>
        </w:tabs>
        <w:spacing w:line="240" w:lineRule="auto"/>
        <w:rPr>
          <w:szCs w:val="22"/>
          <w:lang w:val="lt-LT"/>
        </w:rPr>
      </w:pPr>
    </w:p>
    <w:p w14:paraId="4470115F" w14:textId="77777777" w:rsidR="00803D36" w:rsidRDefault="00803D36" w:rsidP="00803D36">
      <w:pPr>
        <w:pStyle w:val="Antrat4"/>
        <w:spacing w:line="240" w:lineRule="auto"/>
        <w:rPr>
          <w:rFonts w:ascii="Times New Roman" w:hAnsi="Times New Roman"/>
          <w:sz w:val="22"/>
          <w:szCs w:val="22"/>
          <w:lang w:val="lt-LT"/>
        </w:rPr>
      </w:pPr>
      <w:bookmarkStart w:id="0" w:name="OLE_LINK1"/>
      <w:r>
        <w:rPr>
          <w:rFonts w:ascii="Times New Roman" w:hAnsi="Times New Roman"/>
          <w:sz w:val="22"/>
          <w:szCs w:val="22"/>
          <w:lang w:val="lt-LT"/>
        </w:rPr>
        <w:t>6.6</w:t>
      </w:r>
      <w:r>
        <w:rPr>
          <w:rFonts w:ascii="Times New Roman" w:hAnsi="Times New Roman"/>
          <w:sz w:val="22"/>
          <w:szCs w:val="22"/>
          <w:lang w:val="lt-LT"/>
        </w:rPr>
        <w:tab/>
        <w:t>Specialūs reikalavimai atliekoms tvarkyti</w:t>
      </w:r>
    </w:p>
    <w:bookmarkEnd w:id="0"/>
    <w:p w14:paraId="1A5742AE" w14:textId="77777777" w:rsidR="00803D36" w:rsidRDefault="00803D36" w:rsidP="00803D36">
      <w:pPr>
        <w:tabs>
          <w:tab w:val="clear" w:pos="567"/>
          <w:tab w:val="left" w:pos="1296"/>
        </w:tabs>
        <w:spacing w:line="240" w:lineRule="auto"/>
        <w:rPr>
          <w:szCs w:val="22"/>
          <w:lang w:val="lt-LT"/>
        </w:rPr>
      </w:pPr>
    </w:p>
    <w:p w14:paraId="20A5C689" w14:textId="297B9E3B" w:rsidR="00803D36" w:rsidRDefault="00803D36" w:rsidP="00803D36">
      <w:pPr>
        <w:tabs>
          <w:tab w:val="clear" w:pos="567"/>
          <w:tab w:val="left" w:pos="1296"/>
        </w:tabs>
        <w:spacing w:line="240" w:lineRule="auto"/>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yra sterilus, </w:t>
      </w:r>
      <w:proofErr w:type="spellStart"/>
      <w:r>
        <w:rPr>
          <w:szCs w:val="22"/>
          <w:lang w:val="lt-LT"/>
        </w:rPr>
        <w:t>nepirogeninis</w:t>
      </w:r>
      <w:proofErr w:type="spellEnd"/>
      <w:r>
        <w:rPr>
          <w:szCs w:val="22"/>
          <w:lang w:val="lt-LT"/>
        </w:rPr>
        <w:t xml:space="preserve">, vandens pagrindu paruoštas vienkartinio vartojimo </w:t>
      </w:r>
      <w:r w:rsidR="00FD2671">
        <w:rPr>
          <w:szCs w:val="22"/>
          <w:lang w:val="lt-LT"/>
        </w:rPr>
        <w:t xml:space="preserve">vaistinis </w:t>
      </w:r>
      <w:r>
        <w:rPr>
          <w:szCs w:val="22"/>
          <w:lang w:val="lt-LT"/>
        </w:rPr>
        <w:t>preparatas. Kadangi jame nėra konservantų, po ampulės atidarymo visą jos turinį būtina vartoti nedelsiant, o bet kokį nesuvartotą tirpalo likutį reikia išpilti. Atidarytų ampulių niekada negalima laikyti kartotiniam vartojimui.</w:t>
      </w:r>
    </w:p>
    <w:p w14:paraId="12BE2786" w14:textId="77777777" w:rsidR="00803D36" w:rsidRDefault="00803D36" w:rsidP="00803D36">
      <w:pPr>
        <w:tabs>
          <w:tab w:val="clear" w:pos="567"/>
          <w:tab w:val="left" w:pos="1296"/>
        </w:tabs>
        <w:spacing w:line="240" w:lineRule="auto"/>
        <w:rPr>
          <w:szCs w:val="22"/>
          <w:lang w:val="lt-LT"/>
        </w:rPr>
      </w:pPr>
    </w:p>
    <w:p w14:paraId="6B2F0D2A" w14:textId="77777777" w:rsidR="00803D36" w:rsidRDefault="00803D36" w:rsidP="00803D36">
      <w:pPr>
        <w:tabs>
          <w:tab w:val="clear" w:pos="567"/>
          <w:tab w:val="left" w:pos="1296"/>
        </w:tabs>
        <w:spacing w:line="240" w:lineRule="auto"/>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tirpalas paprastai yra gelsvas, tačiau spalva gali šiek tiek keistis ir, jei vaistinis preparatas laikomas taip, kaip rekomenduojama, tai nerodo aktyvumo sumažėjimo.</w:t>
      </w:r>
    </w:p>
    <w:p w14:paraId="0718FAA6" w14:textId="77777777" w:rsidR="00AB6D9C" w:rsidRDefault="00AB6D9C" w:rsidP="00803D36">
      <w:pPr>
        <w:tabs>
          <w:tab w:val="clear" w:pos="567"/>
          <w:tab w:val="left" w:pos="1296"/>
        </w:tabs>
        <w:spacing w:line="240" w:lineRule="auto"/>
        <w:rPr>
          <w:szCs w:val="22"/>
          <w:lang w:val="lt-LT"/>
        </w:rPr>
      </w:pPr>
    </w:p>
    <w:p w14:paraId="6454657B" w14:textId="77777777" w:rsidR="00AB6D9C" w:rsidRDefault="00AB6D9C" w:rsidP="00AB6D9C">
      <w:pPr>
        <w:tabs>
          <w:tab w:val="clear" w:pos="567"/>
          <w:tab w:val="left" w:pos="1296"/>
        </w:tabs>
        <w:spacing w:line="240" w:lineRule="auto"/>
        <w:rPr>
          <w:szCs w:val="22"/>
          <w:lang w:val="lt-LT"/>
        </w:rPr>
      </w:pPr>
      <w:r>
        <w:rPr>
          <w:szCs w:val="22"/>
          <w:lang w:val="lt-LT"/>
        </w:rPr>
        <w:t>Nesuvartotą vaistinį preparatą ar atliekas reikia tvarkyti laikantis vietinių reikalavimų.</w:t>
      </w:r>
    </w:p>
    <w:p w14:paraId="0A5B7759" w14:textId="77777777" w:rsidR="00803D36" w:rsidRDefault="00803D36" w:rsidP="00803D36">
      <w:pPr>
        <w:tabs>
          <w:tab w:val="clear" w:pos="567"/>
          <w:tab w:val="left" w:pos="1296"/>
        </w:tabs>
        <w:spacing w:line="240" w:lineRule="auto"/>
        <w:rPr>
          <w:szCs w:val="22"/>
          <w:lang w:val="lt-LT"/>
        </w:rPr>
      </w:pPr>
    </w:p>
    <w:p w14:paraId="71FE37B1" w14:textId="77777777" w:rsidR="00803D36" w:rsidRDefault="00803D36" w:rsidP="00803D36">
      <w:pPr>
        <w:tabs>
          <w:tab w:val="clear" w:pos="567"/>
          <w:tab w:val="left" w:pos="1296"/>
        </w:tabs>
        <w:spacing w:line="240" w:lineRule="auto"/>
        <w:rPr>
          <w:szCs w:val="22"/>
          <w:lang w:val="lt-LT"/>
        </w:rPr>
      </w:pPr>
    </w:p>
    <w:p w14:paraId="40AB8181"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7.</w:t>
      </w:r>
      <w:r>
        <w:rPr>
          <w:rFonts w:ascii="Times New Roman" w:hAnsi="Times New Roman"/>
          <w:sz w:val="22"/>
          <w:szCs w:val="22"/>
          <w:lang w:val="lt-LT"/>
        </w:rPr>
        <w:tab/>
        <w:t>REGISTRUOTOJAS</w:t>
      </w:r>
    </w:p>
    <w:p w14:paraId="0E94039D" w14:textId="77777777" w:rsidR="00803D36" w:rsidRDefault="00803D36" w:rsidP="00803D36">
      <w:pPr>
        <w:tabs>
          <w:tab w:val="clear" w:pos="567"/>
          <w:tab w:val="left" w:pos="1296"/>
        </w:tabs>
        <w:spacing w:line="240" w:lineRule="auto"/>
        <w:rPr>
          <w:szCs w:val="22"/>
          <w:lang w:val="lt-LT"/>
        </w:rPr>
      </w:pPr>
    </w:p>
    <w:p w14:paraId="5F5B5807" w14:textId="77777777" w:rsidR="00803D36" w:rsidRDefault="00803D36" w:rsidP="00803D36">
      <w:pPr>
        <w:tabs>
          <w:tab w:val="clear" w:pos="567"/>
          <w:tab w:val="left" w:pos="1296"/>
        </w:tabs>
        <w:spacing w:line="240" w:lineRule="auto"/>
        <w:rPr>
          <w:szCs w:val="22"/>
          <w:lang w:val="lt-LT"/>
        </w:rPr>
      </w:pPr>
      <w:r>
        <w:rPr>
          <w:szCs w:val="22"/>
          <w:lang w:val="lt-LT"/>
        </w:rPr>
        <w:t xml:space="preserve">UAB Via </w:t>
      </w:r>
      <w:proofErr w:type="spellStart"/>
      <w:r>
        <w:rPr>
          <w:szCs w:val="22"/>
          <w:lang w:val="lt-LT"/>
        </w:rPr>
        <w:t>pharma</w:t>
      </w:r>
      <w:proofErr w:type="spellEnd"/>
    </w:p>
    <w:p w14:paraId="4E4CF503" w14:textId="77777777" w:rsidR="00803D36" w:rsidRDefault="00803D36" w:rsidP="00803D36">
      <w:pPr>
        <w:tabs>
          <w:tab w:val="clear" w:pos="567"/>
          <w:tab w:val="left" w:pos="1296"/>
        </w:tabs>
        <w:spacing w:line="240" w:lineRule="auto"/>
        <w:rPr>
          <w:szCs w:val="22"/>
          <w:lang w:val="lt-LT"/>
        </w:rPr>
      </w:pPr>
      <w:r>
        <w:rPr>
          <w:szCs w:val="22"/>
          <w:lang w:val="lt-LT"/>
        </w:rPr>
        <w:t xml:space="preserve">J. </w:t>
      </w:r>
      <w:proofErr w:type="spellStart"/>
      <w:r>
        <w:rPr>
          <w:szCs w:val="22"/>
          <w:lang w:val="lt-LT"/>
        </w:rPr>
        <w:t>Galvydžio</w:t>
      </w:r>
      <w:proofErr w:type="spellEnd"/>
      <w:r>
        <w:rPr>
          <w:szCs w:val="22"/>
          <w:lang w:val="lt-LT"/>
        </w:rPr>
        <w:t xml:space="preserve"> g. 5 </w:t>
      </w:r>
    </w:p>
    <w:p w14:paraId="79604037" w14:textId="77777777" w:rsidR="00803D36" w:rsidRDefault="00803D36" w:rsidP="00803D36">
      <w:pPr>
        <w:tabs>
          <w:tab w:val="clear" w:pos="567"/>
          <w:tab w:val="left" w:pos="1296"/>
        </w:tabs>
        <w:spacing w:line="240" w:lineRule="auto"/>
        <w:rPr>
          <w:szCs w:val="22"/>
          <w:lang w:val="lt-LT"/>
        </w:rPr>
      </w:pPr>
      <w:r>
        <w:rPr>
          <w:szCs w:val="22"/>
          <w:lang w:val="lt-LT"/>
        </w:rPr>
        <w:t xml:space="preserve">LT-08236 Vilnius </w:t>
      </w:r>
    </w:p>
    <w:p w14:paraId="7C8C6CCC" w14:textId="77777777" w:rsidR="00803D36" w:rsidRDefault="00803D36" w:rsidP="00803D36">
      <w:pPr>
        <w:tabs>
          <w:tab w:val="clear" w:pos="567"/>
          <w:tab w:val="left" w:pos="1296"/>
        </w:tabs>
        <w:spacing w:line="240" w:lineRule="auto"/>
        <w:rPr>
          <w:szCs w:val="22"/>
          <w:lang w:val="lt-LT"/>
        </w:rPr>
      </w:pPr>
      <w:r>
        <w:rPr>
          <w:szCs w:val="22"/>
          <w:lang w:val="lt-LT"/>
        </w:rPr>
        <w:lastRenderedPageBreak/>
        <w:t>Lietuva</w:t>
      </w:r>
    </w:p>
    <w:p w14:paraId="3236C0D3" w14:textId="77777777" w:rsidR="00803D36" w:rsidRDefault="00803D36" w:rsidP="00803D36">
      <w:pPr>
        <w:tabs>
          <w:tab w:val="clear" w:pos="567"/>
          <w:tab w:val="left" w:pos="1296"/>
        </w:tabs>
        <w:spacing w:line="240" w:lineRule="auto"/>
        <w:rPr>
          <w:szCs w:val="22"/>
          <w:lang w:val="lt-LT"/>
        </w:rPr>
      </w:pPr>
    </w:p>
    <w:p w14:paraId="79903C16" w14:textId="77777777" w:rsidR="00803D36" w:rsidRDefault="00803D36" w:rsidP="00803D36">
      <w:pPr>
        <w:tabs>
          <w:tab w:val="clear" w:pos="567"/>
          <w:tab w:val="left" w:pos="1296"/>
        </w:tabs>
        <w:spacing w:line="240" w:lineRule="auto"/>
        <w:rPr>
          <w:szCs w:val="22"/>
          <w:lang w:val="lt-LT"/>
        </w:rPr>
      </w:pPr>
    </w:p>
    <w:p w14:paraId="2D5E053D"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8.</w:t>
      </w:r>
      <w:r>
        <w:rPr>
          <w:rFonts w:ascii="Times New Roman" w:hAnsi="Times New Roman"/>
          <w:sz w:val="22"/>
          <w:szCs w:val="22"/>
          <w:lang w:val="lt-LT"/>
        </w:rPr>
        <w:tab/>
        <w:t xml:space="preserve">REGISTRACIJOS PAŽYMĖJIMO NUMERIS (-IAI) </w:t>
      </w:r>
    </w:p>
    <w:p w14:paraId="0AFBC8B5" w14:textId="77777777" w:rsidR="00803D36" w:rsidRDefault="00803D36" w:rsidP="00803D36">
      <w:pPr>
        <w:tabs>
          <w:tab w:val="clear" w:pos="567"/>
          <w:tab w:val="left" w:pos="1296"/>
        </w:tabs>
        <w:spacing w:line="240" w:lineRule="auto"/>
        <w:rPr>
          <w:szCs w:val="22"/>
          <w:lang w:val="lt-LT"/>
        </w:rPr>
      </w:pPr>
    </w:p>
    <w:p w14:paraId="784F8F88" w14:textId="77777777" w:rsidR="00803D36" w:rsidRDefault="00803D36" w:rsidP="00803D36">
      <w:pPr>
        <w:tabs>
          <w:tab w:val="clear" w:pos="567"/>
          <w:tab w:val="left" w:pos="1296"/>
        </w:tabs>
        <w:spacing w:line="240" w:lineRule="auto"/>
        <w:rPr>
          <w:szCs w:val="22"/>
          <w:lang w:val="lt-LT"/>
        </w:rPr>
      </w:pPr>
      <w:r>
        <w:rPr>
          <w:szCs w:val="22"/>
          <w:lang w:val="lt-LT"/>
        </w:rPr>
        <w:t>LT/1/16/3931/001</w:t>
      </w:r>
    </w:p>
    <w:p w14:paraId="1F42550F" w14:textId="77777777" w:rsidR="00803D36" w:rsidRDefault="00803D36" w:rsidP="00803D36">
      <w:pPr>
        <w:tabs>
          <w:tab w:val="clear" w:pos="567"/>
          <w:tab w:val="left" w:pos="1296"/>
        </w:tabs>
        <w:spacing w:line="240" w:lineRule="auto"/>
        <w:rPr>
          <w:szCs w:val="22"/>
          <w:lang w:val="lt-LT"/>
        </w:rPr>
      </w:pPr>
    </w:p>
    <w:p w14:paraId="4EC5F5A4" w14:textId="77777777" w:rsidR="00803D36" w:rsidRDefault="00803D36" w:rsidP="00803D36">
      <w:pPr>
        <w:tabs>
          <w:tab w:val="clear" w:pos="567"/>
          <w:tab w:val="left" w:pos="1296"/>
        </w:tabs>
        <w:spacing w:line="240" w:lineRule="auto"/>
        <w:rPr>
          <w:szCs w:val="22"/>
          <w:lang w:val="lt-LT"/>
        </w:rPr>
      </w:pPr>
    </w:p>
    <w:p w14:paraId="1B6D8293"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9.</w:t>
      </w:r>
      <w:r>
        <w:rPr>
          <w:rFonts w:ascii="Times New Roman" w:hAnsi="Times New Roman"/>
          <w:sz w:val="22"/>
          <w:szCs w:val="22"/>
          <w:lang w:val="lt-LT"/>
        </w:rPr>
        <w:tab/>
        <w:t>REGISTRAVIMO / PERREGISTRAVIMO DATA</w:t>
      </w:r>
    </w:p>
    <w:p w14:paraId="53370DC1" w14:textId="77777777" w:rsidR="00803D36" w:rsidRDefault="00803D36" w:rsidP="00803D36">
      <w:pPr>
        <w:tabs>
          <w:tab w:val="clear" w:pos="567"/>
          <w:tab w:val="left" w:pos="1296"/>
        </w:tabs>
        <w:spacing w:line="240" w:lineRule="auto"/>
        <w:rPr>
          <w:szCs w:val="22"/>
          <w:lang w:val="lt-LT"/>
        </w:rPr>
      </w:pPr>
    </w:p>
    <w:p w14:paraId="0217827A" w14:textId="7014CBDC" w:rsidR="00803D36" w:rsidRDefault="00803D36" w:rsidP="00803D36">
      <w:pPr>
        <w:tabs>
          <w:tab w:val="clear" w:pos="567"/>
          <w:tab w:val="left" w:pos="1296"/>
        </w:tabs>
        <w:spacing w:line="240" w:lineRule="auto"/>
        <w:rPr>
          <w:noProof/>
          <w:szCs w:val="22"/>
          <w:lang w:val="lt-LT"/>
        </w:rPr>
      </w:pPr>
      <w:r>
        <w:rPr>
          <w:noProof/>
          <w:szCs w:val="22"/>
          <w:lang w:val="lt-LT"/>
        </w:rPr>
        <w:t>Registravimo data 2016 m. birželio 17 d.</w:t>
      </w:r>
    </w:p>
    <w:p w14:paraId="5AF5423C" w14:textId="63F7E50F" w:rsidR="00AB6D9C" w:rsidRDefault="00AB6D9C" w:rsidP="00803D36">
      <w:pPr>
        <w:tabs>
          <w:tab w:val="clear" w:pos="567"/>
          <w:tab w:val="left" w:pos="1296"/>
        </w:tabs>
        <w:spacing w:line="240" w:lineRule="auto"/>
        <w:rPr>
          <w:noProof/>
          <w:szCs w:val="22"/>
          <w:lang w:val="lt-LT"/>
        </w:rPr>
      </w:pPr>
      <w:r>
        <w:rPr>
          <w:noProof/>
          <w:szCs w:val="22"/>
          <w:lang w:val="lt-LT"/>
        </w:rPr>
        <w:t xml:space="preserve">Paskutinio perregistravimo data 2021 m. </w:t>
      </w:r>
      <w:r w:rsidR="002811DB">
        <w:rPr>
          <w:noProof/>
          <w:szCs w:val="22"/>
          <w:lang w:val="lt-LT"/>
        </w:rPr>
        <w:t>rugpjūčio 27 d.</w:t>
      </w:r>
    </w:p>
    <w:p w14:paraId="0DFACF52" w14:textId="77777777" w:rsidR="00803D36" w:rsidRDefault="00803D36" w:rsidP="00803D36">
      <w:pPr>
        <w:tabs>
          <w:tab w:val="clear" w:pos="567"/>
          <w:tab w:val="left" w:pos="1296"/>
        </w:tabs>
        <w:spacing w:line="240" w:lineRule="auto"/>
        <w:rPr>
          <w:szCs w:val="22"/>
          <w:lang w:val="lt-LT"/>
        </w:rPr>
      </w:pPr>
    </w:p>
    <w:p w14:paraId="69F026E6" w14:textId="77777777" w:rsidR="00803D36" w:rsidRDefault="00803D36" w:rsidP="00803D36">
      <w:pPr>
        <w:tabs>
          <w:tab w:val="clear" w:pos="567"/>
          <w:tab w:val="left" w:pos="1296"/>
        </w:tabs>
        <w:spacing w:line="240" w:lineRule="auto"/>
        <w:rPr>
          <w:szCs w:val="22"/>
          <w:lang w:val="lt-LT"/>
        </w:rPr>
      </w:pPr>
    </w:p>
    <w:p w14:paraId="3D11228B"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10.</w:t>
      </w:r>
      <w:r>
        <w:rPr>
          <w:rFonts w:ascii="Times New Roman" w:hAnsi="Times New Roman"/>
          <w:sz w:val="22"/>
          <w:szCs w:val="22"/>
          <w:lang w:val="lt-LT"/>
        </w:rPr>
        <w:tab/>
        <w:t>TEKSTO PERŽIŪROS DATA</w:t>
      </w:r>
    </w:p>
    <w:p w14:paraId="5566F1EE" w14:textId="77777777" w:rsidR="00803D36" w:rsidRDefault="00803D36" w:rsidP="00803D36">
      <w:pPr>
        <w:tabs>
          <w:tab w:val="clear" w:pos="567"/>
          <w:tab w:val="left" w:pos="1296"/>
        </w:tabs>
        <w:spacing w:line="240" w:lineRule="auto"/>
        <w:rPr>
          <w:szCs w:val="22"/>
          <w:lang w:val="lt-LT"/>
        </w:rPr>
      </w:pPr>
    </w:p>
    <w:p w14:paraId="0C73E8A8" w14:textId="51C98EE0" w:rsidR="00AB6D9C" w:rsidRDefault="007223D6" w:rsidP="00803D36">
      <w:pPr>
        <w:tabs>
          <w:tab w:val="clear" w:pos="567"/>
          <w:tab w:val="left" w:pos="1296"/>
        </w:tabs>
        <w:spacing w:line="240" w:lineRule="auto"/>
        <w:rPr>
          <w:szCs w:val="22"/>
          <w:lang w:val="lt-LT"/>
        </w:rPr>
      </w:pPr>
      <w:r>
        <w:rPr>
          <w:noProof/>
          <w:szCs w:val="22"/>
          <w:lang w:val="lt-LT"/>
        </w:rPr>
        <w:t>2026 m. balandžio 17 d.</w:t>
      </w:r>
    </w:p>
    <w:p w14:paraId="72A7C3A9" w14:textId="77777777" w:rsidR="00900D58" w:rsidRDefault="00900D58" w:rsidP="00803D36">
      <w:pPr>
        <w:pStyle w:val="Paprastasistekstas"/>
        <w:tabs>
          <w:tab w:val="left" w:pos="5954"/>
          <w:tab w:val="left" w:pos="6237"/>
          <w:tab w:val="left" w:pos="6663"/>
          <w:tab w:val="left" w:pos="6946"/>
        </w:tabs>
        <w:rPr>
          <w:rFonts w:ascii="Times New Roman" w:hAnsi="Times New Roman"/>
          <w:sz w:val="22"/>
          <w:szCs w:val="22"/>
          <w:lang w:val="lt-LT"/>
        </w:rPr>
      </w:pPr>
    </w:p>
    <w:p w14:paraId="55B12B94" w14:textId="1EBDCE80" w:rsidR="00803D36" w:rsidRPr="00033117" w:rsidRDefault="00803D36" w:rsidP="00803D36">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6" w:history="1">
        <w:r w:rsidR="00033117" w:rsidRPr="00033117">
          <w:rPr>
            <w:rStyle w:val="Hipersaitas"/>
            <w:rFonts w:ascii="Times New Roman" w:hAnsi="Times New Roman"/>
            <w:sz w:val="22"/>
            <w:szCs w:val="22"/>
            <w:lang w:val="lt-LT"/>
          </w:rPr>
          <w:t>https://www.vvkt.lrv.lt/lt</w:t>
        </w:r>
      </w:hyperlink>
      <w:r w:rsidR="00033117">
        <w:rPr>
          <w:lang w:val="lt-LT"/>
        </w:rPr>
        <w:t>/</w:t>
      </w:r>
    </w:p>
    <w:p w14:paraId="08E1AF9A" w14:textId="77777777" w:rsidR="00803D36" w:rsidRDefault="00803D36" w:rsidP="00803D36">
      <w:pPr>
        <w:pStyle w:val="Paprastasistekstas"/>
        <w:tabs>
          <w:tab w:val="left" w:pos="5954"/>
          <w:tab w:val="left" w:pos="6237"/>
          <w:tab w:val="left" w:pos="6663"/>
          <w:tab w:val="left" w:pos="6946"/>
        </w:tabs>
        <w:jc w:val="center"/>
        <w:rPr>
          <w:rFonts w:ascii="Times New Roman" w:hAnsi="Times New Roman"/>
          <w:sz w:val="22"/>
          <w:szCs w:val="22"/>
          <w:lang w:val="lt-LT"/>
        </w:rPr>
      </w:pPr>
    </w:p>
    <w:p w14:paraId="551A4A76" w14:textId="77777777" w:rsidR="00803D36" w:rsidRDefault="00803D36" w:rsidP="00803D36">
      <w:pPr>
        <w:pStyle w:val="Paprastasistekstas"/>
        <w:tabs>
          <w:tab w:val="left" w:pos="4962"/>
        </w:tabs>
        <w:rPr>
          <w:rFonts w:ascii="Times New Roman" w:hAnsi="Times New Roman"/>
          <w:color w:val="000000"/>
          <w:sz w:val="22"/>
          <w:szCs w:val="22"/>
          <w:lang w:val="lt-LT"/>
        </w:rPr>
      </w:pPr>
      <w:r>
        <w:rPr>
          <w:szCs w:val="22"/>
          <w:lang w:val="lt-LT"/>
        </w:rPr>
        <w:br w:type="page"/>
      </w:r>
    </w:p>
    <w:p w14:paraId="6CA76E73" w14:textId="77777777" w:rsidR="00803D36" w:rsidRDefault="00803D36" w:rsidP="00803D36">
      <w:pPr>
        <w:spacing w:line="240" w:lineRule="auto"/>
        <w:rPr>
          <w:szCs w:val="22"/>
          <w:lang w:val="lt-LT"/>
        </w:rPr>
      </w:pPr>
    </w:p>
    <w:p w14:paraId="6E452CF5" w14:textId="77777777" w:rsidR="00803D36" w:rsidRDefault="00803D36" w:rsidP="00803D36">
      <w:pPr>
        <w:spacing w:line="240" w:lineRule="auto"/>
        <w:rPr>
          <w:szCs w:val="22"/>
          <w:lang w:val="lt-LT"/>
        </w:rPr>
      </w:pPr>
    </w:p>
    <w:p w14:paraId="6EDAA485" w14:textId="77777777" w:rsidR="00803D36" w:rsidRDefault="00803D36" w:rsidP="00803D36">
      <w:pPr>
        <w:spacing w:line="240" w:lineRule="auto"/>
        <w:rPr>
          <w:szCs w:val="22"/>
          <w:lang w:val="lt-LT"/>
        </w:rPr>
      </w:pPr>
    </w:p>
    <w:p w14:paraId="54E66359" w14:textId="77777777" w:rsidR="00803D36" w:rsidRDefault="00803D36" w:rsidP="00803D36">
      <w:pPr>
        <w:spacing w:line="240" w:lineRule="auto"/>
        <w:rPr>
          <w:szCs w:val="22"/>
          <w:lang w:val="lt-LT"/>
        </w:rPr>
      </w:pPr>
    </w:p>
    <w:p w14:paraId="257E2FDD" w14:textId="77777777" w:rsidR="00803D36" w:rsidRDefault="00803D36" w:rsidP="00803D36">
      <w:pPr>
        <w:spacing w:line="240" w:lineRule="auto"/>
        <w:rPr>
          <w:szCs w:val="22"/>
          <w:lang w:val="lt-LT"/>
        </w:rPr>
      </w:pPr>
    </w:p>
    <w:p w14:paraId="74FF05A7" w14:textId="77777777" w:rsidR="00803D36" w:rsidRDefault="00803D36" w:rsidP="00803D36">
      <w:pPr>
        <w:spacing w:line="240" w:lineRule="auto"/>
        <w:rPr>
          <w:szCs w:val="22"/>
          <w:lang w:val="lt-LT"/>
        </w:rPr>
      </w:pPr>
    </w:p>
    <w:p w14:paraId="7688C5BC" w14:textId="77777777" w:rsidR="00803D36" w:rsidRDefault="00803D36" w:rsidP="00803D36">
      <w:pPr>
        <w:spacing w:line="240" w:lineRule="auto"/>
        <w:rPr>
          <w:szCs w:val="22"/>
          <w:lang w:val="lt-LT"/>
        </w:rPr>
      </w:pPr>
    </w:p>
    <w:p w14:paraId="7816B70D" w14:textId="77777777" w:rsidR="00803D36" w:rsidRDefault="00803D36" w:rsidP="00803D36">
      <w:pPr>
        <w:spacing w:line="240" w:lineRule="auto"/>
        <w:rPr>
          <w:szCs w:val="22"/>
          <w:lang w:val="lt-LT"/>
        </w:rPr>
      </w:pPr>
    </w:p>
    <w:p w14:paraId="1A79745F" w14:textId="77777777" w:rsidR="00803D36" w:rsidRDefault="00803D36" w:rsidP="00803D36">
      <w:pPr>
        <w:spacing w:line="240" w:lineRule="auto"/>
        <w:rPr>
          <w:szCs w:val="22"/>
          <w:lang w:val="lt-LT"/>
        </w:rPr>
      </w:pPr>
    </w:p>
    <w:p w14:paraId="407223B9" w14:textId="77777777" w:rsidR="00803D36" w:rsidRDefault="00803D36" w:rsidP="00803D36">
      <w:pPr>
        <w:spacing w:line="240" w:lineRule="auto"/>
        <w:rPr>
          <w:szCs w:val="22"/>
          <w:lang w:val="lt-LT"/>
        </w:rPr>
      </w:pPr>
    </w:p>
    <w:p w14:paraId="75D1476C" w14:textId="77777777" w:rsidR="00803D36" w:rsidRDefault="00803D36" w:rsidP="00803D36">
      <w:pPr>
        <w:spacing w:line="240" w:lineRule="auto"/>
        <w:rPr>
          <w:szCs w:val="22"/>
          <w:lang w:val="lt-LT"/>
        </w:rPr>
      </w:pPr>
    </w:p>
    <w:p w14:paraId="78ADE48E" w14:textId="77777777" w:rsidR="00803D36" w:rsidRDefault="00803D36" w:rsidP="00803D36">
      <w:pPr>
        <w:spacing w:line="240" w:lineRule="auto"/>
        <w:rPr>
          <w:szCs w:val="22"/>
          <w:lang w:val="lt-LT"/>
        </w:rPr>
      </w:pPr>
    </w:p>
    <w:p w14:paraId="42261233" w14:textId="77777777" w:rsidR="00803D36" w:rsidRDefault="00803D36" w:rsidP="00803D36">
      <w:pPr>
        <w:spacing w:line="240" w:lineRule="auto"/>
        <w:rPr>
          <w:szCs w:val="22"/>
          <w:lang w:val="lt-LT"/>
        </w:rPr>
      </w:pPr>
    </w:p>
    <w:p w14:paraId="4994F6AF" w14:textId="77777777" w:rsidR="00803D36" w:rsidRDefault="00803D36" w:rsidP="00803D36">
      <w:pPr>
        <w:spacing w:line="240" w:lineRule="auto"/>
        <w:rPr>
          <w:szCs w:val="22"/>
          <w:lang w:val="lt-LT"/>
        </w:rPr>
      </w:pPr>
    </w:p>
    <w:p w14:paraId="72C86E57" w14:textId="77777777" w:rsidR="00803D36" w:rsidRDefault="00803D36" w:rsidP="00803D36">
      <w:pPr>
        <w:spacing w:line="240" w:lineRule="auto"/>
        <w:rPr>
          <w:szCs w:val="22"/>
          <w:lang w:val="lt-LT"/>
        </w:rPr>
      </w:pPr>
    </w:p>
    <w:p w14:paraId="0E3DE67C" w14:textId="77777777" w:rsidR="00803D36" w:rsidRDefault="00803D36" w:rsidP="00803D36">
      <w:pPr>
        <w:spacing w:line="240" w:lineRule="auto"/>
        <w:rPr>
          <w:szCs w:val="22"/>
          <w:lang w:val="lt-LT"/>
        </w:rPr>
      </w:pPr>
    </w:p>
    <w:p w14:paraId="77BFE5A8" w14:textId="77777777" w:rsidR="00803D36" w:rsidRDefault="00803D36" w:rsidP="00803D36">
      <w:pPr>
        <w:spacing w:line="240" w:lineRule="auto"/>
        <w:rPr>
          <w:szCs w:val="22"/>
          <w:lang w:val="lt-LT"/>
        </w:rPr>
      </w:pPr>
    </w:p>
    <w:p w14:paraId="17DA4A3B" w14:textId="77777777" w:rsidR="00803D36" w:rsidRDefault="00803D36" w:rsidP="00803D36">
      <w:pPr>
        <w:spacing w:line="240" w:lineRule="auto"/>
        <w:jc w:val="center"/>
        <w:rPr>
          <w:b/>
          <w:szCs w:val="22"/>
          <w:lang w:val="lt-LT"/>
        </w:rPr>
      </w:pPr>
    </w:p>
    <w:p w14:paraId="2C5E7800" w14:textId="77777777" w:rsidR="00803D36" w:rsidRDefault="00803D36" w:rsidP="00803D36">
      <w:pPr>
        <w:spacing w:line="240" w:lineRule="auto"/>
        <w:jc w:val="center"/>
        <w:rPr>
          <w:b/>
          <w:szCs w:val="22"/>
          <w:lang w:val="lt-LT"/>
        </w:rPr>
      </w:pPr>
    </w:p>
    <w:p w14:paraId="3F2E652D" w14:textId="77777777" w:rsidR="00803D36" w:rsidRDefault="00803D36" w:rsidP="00803D36">
      <w:pPr>
        <w:spacing w:line="240" w:lineRule="auto"/>
        <w:jc w:val="center"/>
        <w:rPr>
          <w:b/>
          <w:szCs w:val="22"/>
          <w:lang w:val="lt-LT"/>
        </w:rPr>
      </w:pPr>
    </w:p>
    <w:p w14:paraId="71EC4CA1" w14:textId="77777777" w:rsidR="00803D36" w:rsidRDefault="00803D36" w:rsidP="00803D36">
      <w:pPr>
        <w:spacing w:line="240" w:lineRule="auto"/>
        <w:jc w:val="center"/>
        <w:rPr>
          <w:b/>
          <w:szCs w:val="22"/>
          <w:lang w:val="lt-LT"/>
        </w:rPr>
      </w:pPr>
    </w:p>
    <w:p w14:paraId="1144C22A" w14:textId="77777777" w:rsidR="00803D36" w:rsidRDefault="00803D36" w:rsidP="00803D36">
      <w:pPr>
        <w:spacing w:line="240" w:lineRule="auto"/>
        <w:jc w:val="center"/>
        <w:rPr>
          <w:b/>
          <w:szCs w:val="22"/>
          <w:lang w:val="lt-LT"/>
        </w:rPr>
      </w:pPr>
    </w:p>
    <w:p w14:paraId="15D97A89" w14:textId="77777777" w:rsidR="00803D36" w:rsidRDefault="00803D36" w:rsidP="00803D36">
      <w:pPr>
        <w:spacing w:line="240" w:lineRule="auto"/>
        <w:jc w:val="center"/>
        <w:rPr>
          <w:b/>
          <w:szCs w:val="22"/>
          <w:lang w:val="lt-LT"/>
        </w:rPr>
      </w:pPr>
    </w:p>
    <w:p w14:paraId="533E92DD" w14:textId="77777777" w:rsidR="00803D36" w:rsidRDefault="00803D36" w:rsidP="00803D36">
      <w:pPr>
        <w:spacing w:line="240" w:lineRule="auto"/>
        <w:jc w:val="center"/>
        <w:rPr>
          <w:b/>
          <w:szCs w:val="22"/>
          <w:lang w:val="lt-LT"/>
        </w:rPr>
      </w:pPr>
      <w:r>
        <w:rPr>
          <w:b/>
          <w:szCs w:val="22"/>
          <w:lang w:val="lt-LT"/>
        </w:rPr>
        <w:t>II PRIEDAS</w:t>
      </w:r>
    </w:p>
    <w:p w14:paraId="229511DC" w14:textId="77777777" w:rsidR="00803D36" w:rsidRDefault="00803D36" w:rsidP="00803D36">
      <w:pPr>
        <w:spacing w:line="240" w:lineRule="auto"/>
        <w:ind w:left="1701" w:right="1416" w:hanging="567"/>
        <w:rPr>
          <w:szCs w:val="22"/>
          <w:lang w:val="lt-LT"/>
        </w:rPr>
      </w:pPr>
    </w:p>
    <w:p w14:paraId="4BDAFC23" w14:textId="77777777" w:rsidR="00803D36" w:rsidRDefault="00803D36" w:rsidP="00803D36">
      <w:pPr>
        <w:spacing w:line="240" w:lineRule="auto"/>
        <w:jc w:val="center"/>
        <w:rPr>
          <w:i/>
          <w:szCs w:val="22"/>
          <w:lang w:val="lt-LT"/>
        </w:rPr>
      </w:pPr>
      <w:r>
        <w:rPr>
          <w:b/>
          <w:szCs w:val="22"/>
          <w:lang w:val="lt-LT"/>
        </w:rPr>
        <w:t>REGISTRACIJOS SĄLYGOS</w:t>
      </w:r>
    </w:p>
    <w:p w14:paraId="2B07B50A" w14:textId="77777777" w:rsidR="00803D36" w:rsidRDefault="00803D36" w:rsidP="00803D36">
      <w:pPr>
        <w:spacing w:line="240" w:lineRule="auto"/>
        <w:rPr>
          <w:szCs w:val="22"/>
          <w:lang w:val="lt-LT"/>
        </w:rPr>
      </w:pPr>
    </w:p>
    <w:p w14:paraId="61B910CE" w14:textId="77777777" w:rsidR="00803D36" w:rsidRDefault="00803D36" w:rsidP="00803D36">
      <w:pPr>
        <w:tabs>
          <w:tab w:val="clear" w:pos="567"/>
          <w:tab w:val="left" w:pos="1701"/>
        </w:tabs>
        <w:spacing w:line="240" w:lineRule="auto"/>
        <w:ind w:left="1701" w:right="567" w:hanging="567"/>
        <w:rPr>
          <w:b/>
          <w:szCs w:val="22"/>
          <w:lang w:val="lt-LT"/>
        </w:rPr>
      </w:pPr>
      <w:r>
        <w:rPr>
          <w:b/>
          <w:szCs w:val="22"/>
          <w:lang w:val="lt-LT"/>
        </w:rPr>
        <w:t>A.</w:t>
      </w:r>
      <w:r>
        <w:rPr>
          <w:b/>
          <w:szCs w:val="22"/>
          <w:lang w:val="lt-LT"/>
        </w:rPr>
        <w:tab/>
        <w:t>GAMINTOJAS (-AI), ATSAKINGAS (-I) UŽ SERIJŲ IŠLEIDIMĄ</w:t>
      </w:r>
    </w:p>
    <w:p w14:paraId="13C69651" w14:textId="77777777" w:rsidR="00803D36" w:rsidRDefault="00803D36" w:rsidP="00803D36">
      <w:pPr>
        <w:tabs>
          <w:tab w:val="clear" w:pos="567"/>
          <w:tab w:val="left" w:pos="1701"/>
        </w:tabs>
        <w:spacing w:line="240" w:lineRule="auto"/>
        <w:ind w:left="567" w:right="567" w:hanging="567"/>
        <w:rPr>
          <w:szCs w:val="22"/>
          <w:lang w:val="lt-LT"/>
        </w:rPr>
      </w:pPr>
    </w:p>
    <w:p w14:paraId="44814EFB" w14:textId="77777777" w:rsidR="00803D36" w:rsidRDefault="00803D36" w:rsidP="00803D36">
      <w:pPr>
        <w:tabs>
          <w:tab w:val="clear" w:pos="567"/>
          <w:tab w:val="left" w:pos="1701"/>
        </w:tabs>
        <w:spacing w:line="240" w:lineRule="auto"/>
        <w:ind w:left="1701" w:right="567" w:hanging="567"/>
        <w:rPr>
          <w:b/>
          <w:szCs w:val="22"/>
          <w:lang w:val="lt-LT"/>
        </w:rPr>
      </w:pPr>
      <w:r>
        <w:rPr>
          <w:b/>
          <w:szCs w:val="22"/>
          <w:lang w:val="lt-LT"/>
        </w:rPr>
        <w:t>B.</w:t>
      </w:r>
      <w:r>
        <w:rPr>
          <w:b/>
          <w:szCs w:val="22"/>
          <w:lang w:val="lt-LT"/>
        </w:rPr>
        <w:tab/>
        <w:t>TIEKIMO IR VARTOJIMO SĄLYGOS AR APRIBOJIMAI</w:t>
      </w:r>
    </w:p>
    <w:p w14:paraId="2FBFDDCF" w14:textId="77777777" w:rsidR="00803D36" w:rsidRDefault="00803D36" w:rsidP="00803D36">
      <w:pPr>
        <w:tabs>
          <w:tab w:val="clear" w:pos="567"/>
          <w:tab w:val="left" w:pos="1701"/>
        </w:tabs>
        <w:spacing w:line="240" w:lineRule="auto"/>
        <w:ind w:left="567" w:right="567" w:hanging="567"/>
        <w:rPr>
          <w:szCs w:val="22"/>
          <w:lang w:val="lt-LT"/>
        </w:rPr>
      </w:pPr>
    </w:p>
    <w:p w14:paraId="6EAD13E1" w14:textId="77777777" w:rsidR="00803D36" w:rsidRDefault="00803D36" w:rsidP="00803D36">
      <w:pPr>
        <w:spacing w:line="240" w:lineRule="auto"/>
        <w:rPr>
          <w:szCs w:val="22"/>
          <w:lang w:val="lt-LT"/>
        </w:rPr>
      </w:pPr>
    </w:p>
    <w:p w14:paraId="00E09C19" w14:textId="77777777" w:rsidR="00803D36" w:rsidRDefault="00803D36" w:rsidP="00803D36">
      <w:pPr>
        <w:spacing w:line="240" w:lineRule="auto"/>
        <w:ind w:right="-1"/>
        <w:rPr>
          <w:szCs w:val="22"/>
          <w:lang w:val="lt-LT"/>
        </w:rPr>
      </w:pPr>
    </w:p>
    <w:p w14:paraId="43D11A36" w14:textId="77777777" w:rsidR="00803D36" w:rsidRDefault="00803D36" w:rsidP="00803D36">
      <w:pPr>
        <w:spacing w:line="240" w:lineRule="auto"/>
        <w:ind w:left="567" w:hanging="567"/>
        <w:rPr>
          <w:b/>
          <w:szCs w:val="22"/>
          <w:lang w:val="lt-LT"/>
        </w:rPr>
      </w:pPr>
      <w:r>
        <w:rPr>
          <w:snapToGrid w:val="0"/>
          <w:szCs w:val="22"/>
          <w:lang w:val="lt-LT"/>
        </w:rPr>
        <w:br w:type="page"/>
      </w:r>
      <w:r>
        <w:rPr>
          <w:b/>
          <w:szCs w:val="22"/>
          <w:lang w:val="lt-LT"/>
        </w:rPr>
        <w:lastRenderedPageBreak/>
        <w:t>A.</w:t>
      </w:r>
      <w:r>
        <w:rPr>
          <w:b/>
          <w:szCs w:val="22"/>
          <w:lang w:val="lt-LT"/>
        </w:rPr>
        <w:tab/>
        <w:t>GAMINTOJAS (-AI), ATSAKINGAS (-I) UŽ SERIJŲ IŠLEIDIMĄ</w:t>
      </w:r>
    </w:p>
    <w:p w14:paraId="47E76D1F" w14:textId="77777777" w:rsidR="00803D36" w:rsidRDefault="00803D36" w:rsidP="00803D36">
      <w:pPr>
        <w:spacing w:line="240" w:lineRule="auto"/>
        <w:rPr>
          <w:szCs w:val="22"/>
          <w:lang w:val="lt-LT"/>
        </w:rPr>
      </w:pPr>
    </w:p>
    <w:p w14:paraId="14522BF6" w14:textId="77777777" w:rsidR="00803D36" w:rsidRDefault="00803D36" w:rsidP="00803D36">
      <w:pPr>
        <w:spacing w:line="240" w:lineRule="auto"/>
        <w:jc w:val="both"/>
        <w:rPr>
          <w:szCs w:val="22"/>
          <w:lang w:val="lt-LT"/>
        </w:rPr>
      </w:pPr>
      <w:r>
        <w:rPr>
          <w:szCs w:val="22"/>
          <w:u w:val="single"/>
          <w:lang w:val="lt-LT"/>
        </w:rPr>
        <w:t>Gamintojo (-ų), atsakingo (-ų) už serijų išleidimą, pavadinimas (-ai) ir adresas (-ai)</w:t>
      </w:r>
    </w:p>
    <w:p w14:paraId="2F6D2CD9" w14:textId="77777777" w:rsidR="00803D36" w:rsidRDefault="00803D36" w:rsidP="00803D36">
      <w:pPr>
        <w:spacing w:line="240" w:lineRule="auto"/>
        <w:rPr>
          <w:szCs w:val="22"/>
          <w:lang w:val="lt-LT"/>
        </w:rPr>
      </w:pPr>
    </w:p>
    <w:p w14:paraId="0A5E4851" w14:textId="77777777" w:rsidR="00803D36" w:rsidRDefault="00803D36" w:rsidP="00803D36">
      <w:pPr>
        <w:spacing w:line="240" w:lineRule="auto"/>
        <w:rPr>
          <w:szCs w:val="22"/>
          <w:lang w:val="lt-LT"/>
        </w:rPr>
      </w:pPr>
      <w:r>
        <w:rPr>
          <w:szCs w:val="22"/>
          <w:lang w:val="lt-LT"/>
        </w:rPr>
        <w:t>MEDICHEM S.A.</w:t>
      </w:r>
    </w:p>
    <w:p w14:paraId="5E0909D7" w14:textId="77777777" w:rsidR="00803D36" w:rsidRDefault="004D168F" w:rsidP="00803D36">
      <w:pPr>
        <w:spacing w:line="240" w:lineRule="auto"/>
        <w:rPr>
          <w:szCs w:val="22"/>
          <w:lang w:val="lt-LT"/>
        </w:rPr>
      </w:pPr>
      <w:r w:rsidRPr="0016619B">
        <w:rPr>
          <w:bCs/>
          <w:szCs w:val="22"/>
          <w:lang w:val="es-ES" w:eastAsia="es-ES"/>
        </w:rPr>
        <w:t xml:space="preserve">Narcís Monturiol, 41 A, </w:t>
      </w:r>
      <w:proofErr w:type="spellStart"/>
      <w:r w:rsidR="00803D36">
        <w:rPr>
          <w:szCs w:val="22"/>
          <w:lang w:val="lt-LT"/>
        </w:rPr>
        <w:t>Sant</w:t>
      </w:r>
      <w:proofErr w:type="spellEnd"/>
      <w:r w:rsidR="00803D36">
        <w:rPr>
          <w:szCs w:val="22"/>
          <w:lang w:val="lt-LT"/>
        </w:rPr>
        <w:t xml:space="preserve"> </w:t>
      </w:r>
      <w:proofErr w:type="spellStart"/>
      <w:r w:rsidR="00803D36">
        <w:rPr>
          <w:szCs w:val="22"/>
          <w:lang w:val="lt-LT"/>
        </w:rPr>
        <w:t>Joan</w:t>
      </w:r>
      <w:proofErr w:type="spellEnd"/>
      <w:r w:rsidR="00803D36">
        <w:rPr>
          <w:szCs w:val="22"/>
          <w:lang w:val="lt-LT"/>
        </w:rPr>
        <w:t xml:space="preserve"> </w:t>
      </w:r>
      <w:proofErr w:type="spellStart"/>
      <w:r w:rsidR="00803D36">
        <w:rPr>
          <w:szCs w:val="22"/>
          <w:lang w:val="lt-LT"/>
        </w:rPr>
        <w:t>Despí</w:t>
      </w:r>
      <w:proofErr w:type="spellEnd"/>
      <w:r w:rsidR="00803D36">
        <w:rPr>
          <w:szCs w:val="22"/>
          <w:lang w:val="lt-LT"/>
        </w:rPr>
        <w:t xml:space="preserve">, 08970 </w:t>
      </w:r>
      <w:proofErr w:type="spellStart"/>
      <w:r w:rsidR="00803D36">
        <w:rPr>
          <w:szCs w:val="22"/>
          <w:lang w:val="lt-LT"/>
        </w:rPr>
        <w:t>Barcelona</w:t>
      </w:r>
      <w:proofErr w:type="spellEnd"/>
    </w:p>
    <w:p w14:paraId="1BCB62B6" w14:textId="77777777" w:rsidR="00803D36" w:rsidRDefault="00803D36" w:rsidP="00803D36">
      <w:pPr>
        <w:spacing w:line="240" w:lineRule="auto"/>
        <w:rPr>
          <w:szCs w:val="22"/>
          <w:lang w:val="lt-LT"/>
        </w:rPr>
      </w:pPr>
      <w:r>
        <w:rPr>
          <w:szCs w:val="22"/>
          <w:lang w:val="lt-LT"/>
        </w:rPr>
        <w:t>Ispanija</w:t>
      </w:r>
    </w:p>
    <w:p w14:paraId="64969F48" w14:textId="77777777" w:rsidR="00803D36" w:rsidRDefault="00803D36" w:rsidP="00803D36">
      <w:pPr>
        <w:spacing w:line="240" w:lineRule="auto"/>
        <w:rPr>
          <w:szCs w:val="22"/>
          <w:lang w:val="lt-LT"/>
        </w:rPr>
      </w:pPr>
    </w:p>
    <w:p w14:paraId="01696BB8" w14:textId="77777777" w:rsidR="00803D36" w:rsidRDefault="00803D36" w:rsidP="00803D36">
      <w:pPr>
        <w:spacing w:line="240" w:lineRule="auto"/>
        <w:rPr>
          <w:szCs w:val="22"/>
          <w:lang w:val="lt-LT"/>
        </w:rPr>
      </w:pPr>
    </w:p>
    <w:p w14:paraId="44562E29" w14:textId="77777777" w:rsidR="00803D36" w:rsidRDefault="00803D36" w:rsidP="00803D36">
      <w:pPr>
        <w:spacing w:line="240" w:lineRule="auto"/>
        <w:ind w:left="567" w:hanging="567"/>
        <w:rPr>
          <w:szCs w:val="22"/>
          <w:lang w:val="lt-LT"/>
        </w:rPr>
      </w:pPr>
      <w:r>
        <w:rPr>
          <w:b/>
          <w:szCs w:val="22"/>
          <w:lang w:val="lt-LT"/>
        </w:rPr>
        <w:t>B.</w:t>
      </w:r>
      <w:r>
        <w:rPr>
          <w:b/>
          <w:szCs w:val="22"/>
          <w:lang w:val="lt-LT"/>
        </w:rPr>
        <w:tab/>
        <w:t>TIEKIMO IR VARTOJIMO SĄLYGOS AR APRIBOJIMAI</w:t>
      </w:r>
    </w:p>
    <w:p w14:paraId="3935BD34" w14:textId="77777777" w:rsidR="00803D36" w:rsidRDefault="00803D36" w:rsidP="00803D36">
      <w:pPr>
        <w:spacing w:line="240" w:lineRule="auto"/>
        <w:rPr>
          <w:szCs w:val="22"/>
          <w:lang w:val="lt-LT"/>
        </w:rPr>
      </w:pPr>
    </w:p>
    <w:p w14:paraId="5DA83ED1" w14:textId="77777777" w:rsidR="00803D36" w:rsidRDefault="00803D36" w:rsidP="00803D36">
      <w:pPr>
        <w:spacing w:line="240" w:lineRule="auto"/>
        <w:rPr>
          <w:szCs w:val="22"/>
          <w:lang w:val="lt-LT"/>
        </w:rPr>
      </w:pPr>
      <w:r>
        <w:rPr>
          <w:szCs w:val="22"/>
          <w:lang w:val="lt-LT"/>
        </w:rPr>
        <w:t>Receptinis vaistinis preparatas.</w:t>
      </w:r>
    </w:p>
    <w:p w14:paraId="1A7ECA58" w14:textId="77777777" w:rsidR="00803D36" w:rsidRDefault="00803D36" w:rsidP="00803D36">
      <w:pPr>
        <w:pStyle w:val="Paprastasistekstas"/>
        <w:tabs>
          <w:tab w:val="left" w:pos="4962"/>
        </w:tabs>
        <w:rPr>
          <w:rFonts w:ascii="Times New Roman" w:hAnsi="Times New Roman"/>
          <w:color w:val="000000"/>
          <w:sz w:val="22"/>
          <w:szCs w:val="22"/>
          <w:lang w:val="lt-LT"/>
        </w:rPr>
      </w:pPr>
      <w:r>
        <w:rPr>
          <w:b/>
          <w:szCs w:val="22"/>
          <w:lang w:val="lt-LT"/>
        </w:rPr>
        <w:br w:type="page"/>
      </w:r>
    </w:p>
    <w:p w14:paraId="0D255376" w14:textId="77777777" w:rsidR="00803D36" w:rsidRDefault="00803D36" w:rsidP="00803D36">
      <w:pPr>
        <w:spacing w:line="240" w:lineRule="auto"/>
        <w:ind w:right="566"/>
        <w:rPr>
          <w:szCs w:val="22"/>
          <w:lang w:val="lt-LT"/>
        </w:rPr>
      </w:pPr>
    </w:p>
    <w:p w14:paraId="6BFF7FE6" w14:textId="77777777" w:rsidR="00803D36" w:rsidRDefault="00803D36" w:rsidP="00803D36">
      <w:pPr>
        <w:spacing w:line="240" w:lineRule="auto"/>
        <w:rPr>
          <w:szCs w:val="22"/>
          <w:lang w:val="lt-LT"/>
        </w:rPr>
      </w:pPr>
    </w:p>
    <w:p w14:paraId="43DA96F0" w14:textId="77777777" w:rsidR="00803D36" w:rsidRDefault="00803D36" w:rsidP="00803D36">
      <w:pPr>
        <w:spacing w:line="240" w:lineRule="auto"/>
        <w:rPr>
          <w:szCs w:val="22"/>
          <w:lang w:val="lt-LT"/>
        </w:rPr>
      </w:pPr>
    </w:p>
    <w:p w14:paraId="33DD3CBF" w14:textId="77777777" w:rsidR="00803D36" w:rsidRDefault="00803D36" w:rsidP="00803D36">
      <w:pPr>
        <w:spacing w:line="240" w:lineRule="auto"/>
        <w:rPr>
          <w:szCs w:val="22"/>
          <w:lang w:val="lt-LT"/>
        </w:rPr>
      </w:pPr>
    </w:p>
    <w:p w14:paraId="497030C5" w14:textId="77777777" w:rsidR="00803D36" w:rsidRDefault="00803D36" w:rsidP="00803D36">
      <w:pPr>
        <w:spacing w:line="240" w:lineRule="auto"/>
        <w:rPr>
          <w:szCs w:val="22"/>
          <w:lang w:val="lt-LT"/>
        </w:rPr>
      </w:pPr>
    </w:p>
    <w:p w14:paraId="700BD70C" w14:textId="77777777" w:rsidR="00803D36" w:rsidRDefault="00803D36" w:rsidP="00803D36">
      <w:pPr>
        <w:spacing w:line="240" w:lineRule="auto"/>
        <w:rPr>
          <w:szCs w:val="22"/>
          <w:lang w:val="lt-LT"/>
        </w:rPr>
      </w:pPr>
    </w:p>
    <w:p w14:paraId="1145CD44" w14:textId="77777777" w:rsidR="00803D36" w:rsidRDefault="00803D36" w:rsidP="00803D36">
      <w:pPr>
        <w:spacing w:line="240" w:lineRule="auto"/>
        <w:rPr>
          <w:szCs w:val="22"/>
          <w:lang w:val="lt-LT"/>
        </w:rPr>
      </w:pPr>
    </w:p>
    <w:p w14:paraId="3DE05E61" w14:textId="77777777" w:rsidR="00803D36" w:rsidRDefault="00803D36" w:rsidP="00803D36">
      <w:pPr>
        <w:spacing w:line="240" w:lineRule="auto"/>
        <w:rPr>
          <w:szCs w:val="22"/>
          <w:lang w:val="lt-LT"/>
        </w:rPr>
      </w:pPr>
    </w:p>
    <w:p w14:paraId="63917D50" w14:textId="77777777" w:rsidR="00803D36" w:rsidRDefault="00803D36" w:rsidP="00803D36">
      <w:pPr>
        <w:spacing w:line="240" w:lineRule="auto"/>
        <w:rPr>
          <w:szCs w:val="22"/>
          <w:lang w:val="lt-LT"/>
        </w:rPr>
      </w:pPr>
    </w:p>
    <w:p w14:paraId="5F814A3D" w14:textId="77777777" w:rsidR="00803D36" w:rsidRDefault="00803D36" w:rsidP="00803D36">
      <w:pPr>
        <w:spacing w:line="240" w:lineRule="auto"/>
        <w:rPr>
          <w:szCs w:val="22"/>
          <w:lang w:val="lt-LT"/>
        </w:rPr>
      </w:pPr>
    </w:p>
    <w:p w14:paraId="7E0A00BD" w14:textId="77777777" w:rsidR="00803D36" w:rsidRDefault="00803D36" w:rsidP="00803D36">
      <w:pPr>
        <w:spacing w:line="240" w:lineRule="auto"/>
        <w:rPr>
          <w:szCs w:val="22"/>
          <w:lang w:val="lt-LT"/>
        </w:rPr>
      </w:pPr>
    </w:p>
    <w:p w14:paraId="60CB5928" w14:textId="77777777" w:rsidR="00803D36" w:rsidRDefault="00803D36" w:rsidP="00803D36">
      <w:pPr>
        <w:spacing w:line="240" w:lineRule="auto"/>
        <w:rPr>
          <w:szCs w:val="22"/>
          <w:lang w:val="lt-LT"/>
        </w:rPr>
      </w:pPr>
    </w:p>
    <w:p w14:paraId="74282F2A" w14:textId="77777777" w:rsidR="00803D36" w:rsidRDefault="00803D36" w:rsidP="00803D36">
      <w:pPr>
        <w:spacing w:line="240" w:lineRule="auto"/>
        <w:rPr>
          <w:szCs w:val="22"/>
          <w:lang w:val="lt-LT"/>
        </w:rPr>
      </w:pPr>
    </w:p>
    <w:p w14:paraId="44A66414" w14:textId="77777777" w:rsidR="00803D36" w:rsidRDefault="00803D36" w:rsidP="00803D36">
      <w:pPr>
        <w:spacing w:line="240" w:lineRule="auto"/>
        <w:rPr>
          <w:szCs w:val="22"/>
          <w:lang w:val="lt-LT"/>
        </w:rPr>
      </w:pPr>
    </w:p>
    <w:p w14:paraId="3E5A3CFD" w14:textId="77777777" w:rsidR="00803D36" w:rsidRDefault="00803D36" w:rsidP="00803D36">
      <w:pPr>
        <w:spacing w:line="240" w:lineRule="auto"/>
        <w:rPr>
          <w:szCs w:val="22"/>
          <w:lang w:val="lt-LT"/>
        </w:rPr>
      </w:pPr>
    </w:p>
    <w:p w14:paraId="26E29B11" w14:textId="77777777" w:rsidR="00803D36" w:rsidRDefault="00803D36" w:rsidP="00803D36">
      <w:pPr>
        <w:spacing w:line="240" w:lineRule="auto"/>
        <w:rPr>
          <w:szCs w:val="22"/>
          <w:lang w:val="lt-LT"/>
        </w:rPr>
      </w:pPr>
    </w:p>
    <w:p w14:paraId="5E6396E4" w14:textId="77777777" w:rsidR="00803D36" w:rsidRDefault="00803D36" w:rsidP="00803D36">
      <w:pPr>
        <w:spacing w:line="240" w:lineRule="auto"/>
        <w:rPr>
          <w:szCs w:val="22"/>
          <w:lang w:val="lt-LT"/>
        </w:rPr>
      </w:pPr>
    </w:p>
    <w:p w14:paraId="2DA0A01E" w14:textId="77777777" w:rsidR="00803D36" w:rsidRDefault="00803D36" w:rsidP="00803D36">
      <w:pPr>
        <w:spacing w:line="240" w:lineRule="auto"/>
        <w:outlineLvl w:val="0"/>
        <w:rPr>
          <w:b/>
          <w:szCs w:val="22"/>
          <w:lang w:val="lt-LT"/>
        </w:rPr>
      </w:pPr>
    </w:p>
    <w:p w14:paraId="062B58F9" w14:textId="77777777" w:rsidR="00803D36" w:rsidRDefault="00803D36" w:rsidP="00803D36">
      <w:pPr>
        <w:spacing w:line="240" w:lineRule="auto"/>
        <w:outlineLvl w:val="0"/>
        <w:rPr>
          <w:b/>
          <w:szCs w:val="22"/>
          <w:lang w:val="lt-LT"/>
        </w:rPr>
      </w:pPr>
    </w:p>
    <w:p w14:paraId="4800F32A" w14:textId="77777777" w:rsidR="00803D36" w:rsidRDefault="00803D36" w:rsidP="00803D36">
      <w:pPr>
        <w:spacing w:line="240" w:lineRule="auto"/>
        <w:outlineLvl w:val="0"/>
        <w:rPr>
          <w:b/>
          <w:szCs w:val="22"/>
          <w:lang w:val="lt-LT"/>
        </w:rPr>
      </w:pPr>
    </w:p>
    <w:p w14:paraId="677D80A0" w14:textId="77777777" w:rsidR="00803D36" w:rsidRDefault="00803D36" w:rsidP="00803D36">
      <w:pPr>
        <w:spacing w:line="240" w:lineRule="auto"/>
        <w:outlineLvl w:val="0"/>
        <w:rPr>
          <w:b/>
          <w:szCs w:val="22"/>
          <w:lang w:val="lt-LT"/>
        </w:rPr>
      </w:pPr>
    </w:p>
    <w:p w14:paraId="54BC6951" w14:textId="77777777" w:rsidR="00803D36" w:rsidRDefault="00803D36" w:rsidP="00803D36">
      <w:pPr>
        <w:spacing w:line="240" w:lineRule="auto"/>
        <w:outlineLvl w:val="0"/>
        <w:rPr>
          <w:b/>
          <w:szCs w:val="22"/>
          <w:lang w:val="lt-LT"/>
        </w:rPr>
      </w:pPr>
    </w:p>
    <w:p w14:paraId="5B21378B" w14:textId="77777777" w:rsidR="00803D36" w:rsidRDefault="00803D36" w:rsidP="00803D36">
      <w:pPr>
        <w:spacing w:line="240" w:lineRule="auto"/>
        <w:outlineLvl w:val="0"/>
        <w:rPr>
          <w:b/>
          <w:szCs w:val="22"/>
          <w:lang w:val="lt-LT"/>
        </w:rPr>
      </w:pPr>
    </w:p>
    <w:p w14:paraId="245CB7A6" w14:textId="77777777" w:rsidR="00803D36" w:rsidRDefault="00803D36" w:rsidP="00803D36">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III PRIEDAS</w:t>
      </w:r>
    </w:p>
    <w:p w14:paraId="13FE2137" w14:textId="77777777" w:rsidR="00803D36" w:rsidRDefault="00803D36" w:rsidP="00803D36">
      <w:pPr>
        <w:spacing w:line="240" w:lineRule="auto"/>
        <w:rPr>
          <w:szCs w:val="22"/>
          <w:lang w:val="lt-LT"/>
        </w:rPr>
      </w:pPr>
    </w:p>
    <w:p w14:paraId="174D0084" w14:textId="77777777" w:rsidR="00803D36" w:rsidRDefault="00803D36" w:rsidP="00803D36">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ŽENKLINIMAS IR PAKUOTĖS LAPELIS</w:t>
      </w:r>
    </w:p>
    <w:p w14:paraId="00199103" w14:textId="77777777" w:rsidR="00803D36" w:rsidRDefault="00803D36" w:rsidP="00803D36">
      <w:pPr>
        <w:spacing w:line="240" w:lineRule="auto"/>
        <w:rPr>
          <w:szCs w:val="22"/>
          <w:lang w:val="lt-LT"/>
        </w:rPr>
      </w:pPr>
      <w:r>
        <w:rPr>
          <w:snapToGrid w:val="0"/>
          <w:szCs w:val="22"/>
          <w:lang w:val="lt-LT"/>
        </w:rPr>
        <w:br w:type="page"/>
      </w:r>
    </w:p>
    <w:p w14:paraId="6FDCD762" w14:textId="77777777" w:rsidR="00803D36" w:rsidRDefault="00803D36" w:rsidP="00803D36">
      <w:pPr>
        <w:spacing w:line="240" w:lineRule="auto"/>
        <w:rPr>
          <w:szCs w:val="22"/>
          <w:lang w:val="lt-LT"/>
        </w:rPr>
      </w:pPr>
    </w:p>
    <w:p w14:paraId="063FCCC2" w14:textId="77777777" w:rsidR="00803D36" w:rsidRDefault="00803D36" w:rsidP="00803D36">
      <w:pPr>
        <w:spacing w:line="240" w:lineRule="auto"/>
        <w:rPr>
          <w:szCs w:val="22"/>
          <w:lang w:val="lt-LT"/>
        </w:rPr>
      </w:pPr>
    </w:p>
    <w:p w14:paraId="589EDCDB" w14:textId="77777777" w:rsidR="00803D36" w:rsidRDefault="00803D36" w:rsidP="00803D36">
      <w:pPr>
        <w:spacing w:line="240" w:lineRule="auto"/>
        <w:rPr>
          <w:szCs w:val="22"/>
          <w:lang w:val="lt-LT"/>
        </w:rPr>
      </w:pPr>
    </w:p>
    <w:p w14:paraId="618BA81B" w14:textId="77777777" w:rsidR="00803D36" w:rsidRDefault="00803D36" w:rsidP="00803D36">
      <w:pPr>
        <w:spacing w:line="240" w:lineRule="auto"/>
        <w:rPr>
          <w:szCs w:val="22"/>
          <w:lang w:val="lt-LT"/>
        </w:rPr>
      </w:pPr>
    </w:p>
    <w:p w14:paraId="45BCF8E3" w14:textId="77777777" w:rsidR="00803D36" w:rsidRDefault="00803D36" w:rsidP="00803D36">
      <w:pPr>
        <w:spacing w:line="240" w:lineRule="auto"/>
        <w:rPr>
          <w:szCs w:val="22"/>
          <w:lang w:val="lt-LT"/>
        </w:rPr>
      </w:pPr>
    </w:p>
    <w:p w14:paraId="7DA4F793" w14:textId="77777777" w:rsidR="00803D36" w:rsidRDefault="00803D36" w:rsidP="00803D36">
      <w:pPr>
        <w:spacing w:line="240" w:lineRule="auto"/>
        <w:rPr>
          <w:szCs w:val="22"/>
          <w:lang w:val="lt-LT"/>
        </w:rPr>
      </w:pPr>
    </w:p>
    <w:p w14:paraId="3CBABDCF" w14:textId="77777777" w:rsidR="00803D36" w:rsidRDefault="00803D36" w:rsidP="00803D36">
      <w:pPr>
        <w:spacing w:line="240" w:lineRule="auto"/>
        <w:rPr>
          <w:szCs w:val="22"/>
          <w:lang w:val="lt-LT"/>
        </w:rPr>
      </w:pPr>
    </w:p>
    <w:p w14:paraId="63108E55" w14:textId="77777777" w:rsidR="00803D36" w:rsidRDefault="00803D36" w:rsidP="00803D36">
      <w:pPr>
        <w:spacing w:line="240" w:lineRule="auto"/>
        <w:rPr>
          <w:szCs w:val="22"/>
          <w:lang w:val="lt-LT"/>
        </w:rPr>
      </w:pPr>
    </w:p>
    <w:p w14:paraId="0D312E72" w14:textId="77777777" w:rsidR="00803D36" w:rsidRDefault="00803D36" w:rsidP="00803D36">
      <w:pPr>
        <w:spacing w:line="240" w:lineRule="auto"/>
        <w:rPr>
          <w:szCs w:val="22"/>
          <w:lang w:val="lt-LT"/>
        </w:rPr>
      </w:pPr>
    </w:p>
    <w:p w14:paraId="32CF7D8B" w14:textId="77777777" w:rsidR="00803D36" w:rsidRDefault="00803D36" w:rsidP="00803D36">
      <w:pPr>
        <w:spacing w:line="240" w:lineRule="auto"/>
        <w:rPr>
          <w:szCs w:val="22"/>
          <w:lang w:val="lt-LT"/>
        </w:rPr>
      </w:pPr>
    </w:p>
    <w:p w14:paraId="5D1004D4" w14:textId="77777777" w:rsidR="00803D36" w:rsidRDefault="00803D36" w:rsidP="00803D36">
      <w:pPr>
        <w:spacing w:line="240" w:lineRule="auto"/>
        <w:rPr>
          <w:szCs w:val="22"/>
          <w:lang w:val="lt-LT"/>
        </w:rPr>
      </w:pPr>
    </w:p>
    <w:p w14:paraId="4A960FDB" w14:textId="77777777" w:rsidR="00803D36" w:rsidRDefault="00803D36" w:rsidP="00803D36">
      <w:pPr>
        <w:spacing w:line="240" w:lineRule="auto"/>
        <w:rPr>
          <w:szCs w:val="22"/>
          <w:lang w:val="lt-LT"/>
        </w:rPr>
      </w:pPr>
    </w:p>
    <w:p w14:paraId="79EB3266" w14:textId="77777777" w:rsidR="00803D36" w:rsidRDefault="00803D36" w:rsidP="00803D36">
      <w:pPr>
        <w:spacing w:line="240" w:lineRule="auto"/>
        <w:rPr>
          <w:szCs w:val="22"/>
          <w:lang w:val="lt-LT"/>
        </w:rPr>
      </w:pPr>
    </w:p>
    <w:p w14:paraId="4EF97E32" w14:textId="77777777" w:rsidR="00803D36" w:rsidRDefault="00803D36" w:rsidP="00803D36">
      <w:pPr>
        <w:spacing w:line="240" w:lineRule="auto"/>
        <w:rPr>
          <w:szCs w:val="22"/>
          <w:lang w:val="lt-LT"/>
        </w:rPr>
      </w:pPr>
    </w:p>
    <w:p w14:paraId="546B29D7" w14:textId="77777777" w:rsidR="00803D36" w:rsidRDefault="00803D36" w:rsidP="00803D36">
      <w:pPr>
        <w:spacing w:line="240" w:lineRule="auto"/>
        <w:rPr>
          <w:szCs w:val="22"/>
          <w:lang w:val="lt-LT"/>
        </w:rPr>
      </w:pPr>
    </w:p>
    <w:p w14:paraId="2E31099A" w14:textId="77777777" w:rsidR="00803D36" w:rsidRDefault="00803D36" w:rsidP="00803D36">
      <w:pPr>
        <w:spacing w:line="240" w:lineRule="auto"/>
        <w:rPr>
          <w:szCs w:val="22"/>
          <w:lang w:val="lt-LT"/>
        </w:rPr>
      </w:pPr>
    </w:p>
    <w:p w14:paraId="2A4A3363" w14:textId="77777777" w:rsidR="00803D36" w:rsidRDefault="00803D36" w:rsidP="00803D36">
      <w:pPr>
        <w:spacing w:line="240" w:lineRule="auto"/>
        <w:rPr>
          <w:szCs w:val="22"/>
          <w:lang w:val="lt-LT"/>
        </w:rPr>
      </w:pPr>
    </w:p>
    <w:p w14:paraId="7BA219A7" w14:textId="77777777" w:rsidR="00803D36" w:rsidRDefault="00803D36" w:rsidP="00803D36">
      <w:pPr>
        <w:spacing w:line="240" w:lineRule="auto"/>
        <w:rPr>
          <w:szCs w:val="22"/>
          <w:lang w:val="lt-LT"/>
        </w:rPr>
      </w:pPr>
    </w:p>
    <w:p w14:paraId="14BF20D2" w14:textId="77777777" w:rsidR="00803D36" w:rsidRDefault="00803D36" w:rsidP="00803D36">
      <w:pPr>
        <w:spacing w:line="240" w:lineRule="auto"/>
        <w:rPr>
          <w:szCs w:val="22"/>
          <w:lang w:val="lt-LT"/>
        </w:rPr>
      </w:pPr>
    </w:p>
    <w:p w14:paraId="035AC33A" w14:textId="77777777" w:rsidR="00803D36" w:rsidRDefault="00803D36" w:rsidP="00803D36">
      <w:pPr>
        <w:spacing w:line="240" w:lineRule="auto"/>
        <w:rPr>
          <w:szCs w:val="22"/>
          <w:lang w:val="lt-LT"/>
        </w:rPr>
      </w:pPr>
    </w:p>
    <w:p w14:paraId="4C003E9E" w14:textId="77777777" w:rsidR="00803D36" w:rsidRDefault="00803D36" w:rsidP="00803D36">
      <w:pPr>
        <w:spacing w:line="240" w:lineRule="auto"/>
        <w:rPr>
          <w:szCs w:val="22"/>
          <w:lang w:val="lt-LT"/>
        </w:rPr>
      </w:pPr>
    </w:p>
    <w:p w14:paraId="406F163B" w14:textId="77777777" w:rsidR="00803D36" w:rsidRDefault="00803D36" w:rsidP="00803D36">
      <w:pPr>
        <w:spacing w:line="240" w:lineRule="auto"/>
        <w:rPr>
          <w:szCs w:val="22"/>
          <w:lang w:val="lt-LT"/>
        </w:rPr>
      </w:pPr>
    </w:p>
    <w:p w14:paraId="00B49F51" w14:textId="77777777" w:rsidR="00803D36" w:rsidRDefault="00803D36" w:rsidP="00803D36">
      <w:pPr>
        <w:spacing w:line="240" w:lineRule="auto"/>
        <w:rPr>
          <w:szCs w:val="22"/>
          <w:lang w:val="lt-LT"/>
        </w:rPr>
      </w:pPr>
    </w:p>
    <w:p w14:paraId="2C509DA6" w14:textId="77777777" w:rsidR="00803D36" w:rsidRDefault="00803D36" w:rsidP="00803D36">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A. ŽENKLINIMAS</w:t>
      </w:r>
    </w:p>
    <w:p w14:paraId="2BBCBE20" w14:textId="77777777" w:rsidR="00803D36" w:rsidRDefault="00803D36" w:rsidP="00803D36">
      <w:pPr>
        <w:spacing w:line="240" w:lineRule="auto"/>
        <w:rPr>
          <w:szCs w:val="22"/>
          <w:lang w:val="lt-LT"/>
        </w:rPr>
      </w:pPr>
      <w:r>
        <w:rPr>
          <w:snapToGrid w:val="0"/>
          <w:szCs w:val="22"/>
          <w:lang w:val="lt-LT"/>
        </w:rPr>
        <w:br w:type="page"/>
      </w:r>
    </w:p>
    <w:p w14:paraId="02D6A849"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lastRenderedPageBreak/>
        <w:t>INFORMACIJA ANT IŠORINĖS PAKUOTĖS</w:t>
      </w:r>
    </w:p>
    <w:p w14:paraId="00029B67"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F1073F4"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DĖŽUTĖ, KURIOJE YRA 56 AMPULĖS</w:t>
      </w:r>
    </w:p>
    <w:p w14:paraId="353D534E" w14:textId="77777777" w:rsidR="00803D36" w:rsidRDefault="00803D36" w:rsidP="00803D36">
      <w:pPr>
        <w:spacing w:line="240" w:lineRule="auto"/>
        <w:rPr>
          <w:szCs w:val="22"/>
          <w:lang w:val="lt-LT"/>
        </w:rPr>
      </w:pPr>
    </w:p>
    <w:p w14:paraId="0CB1ABEF" w14:textId="77777777" w:rsidR="00803D36" w:rsidRDefault="00803D36" w:rsidP="00803D36">
      <w:pPr>
        <w:spacing w:line="240" w:lineRule="auto"/>
        <w:rPr>
          <w:szCs w:val="22"/>
          <w:lang w:val="lt-LT"/>
        </w:rPr>
      </w:pPr>
    </w:p>
    <w:p w14:paraId="171DA613"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6778EDDB" w14:textId="77777777" w:rsidR="00803D36" w:rsidRDefault="00803D36" w:rsidP="00803D36">
      <w:pPr>
        <w:spacing w:line="240" w:lineRule="auto"/>
        <w:rPr>
          <w:szCs w:val="22"/>
          <w:lang w:val="lt-LT"/>
        </w:rPr>
      </w:pPr>
    </w:p>
    <w:p w14:paraId="2549EB4A" w14:textId="77777777" w:rsidR="00803D36" w:rsidRDefault="00803D36" w:rsidP="00803D36">
      <w:pPr>
        <w:spacing w:line="240" w:lineRule="auto"/>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300 mg/5 ml purškiamasis įkvepiamasis tirpalas</w:t>
      </w:r>
    </w:p>
    <w:p w14:paraId="1FD42B9C" w14:textId="285DA0AE" w:rsidR="00803D36" w:rsidRDefault="007656D7" w:rsidP="00803D36">
      <w:pPr>
        <w:spacing w:line="240" w:lineRule="auto"/>
        <w:rPr>
          <w:szCs w:val="22"/>
          <w:lang w:val="lt-LT"/>
        </w:rPr>
      </w:pPr>
      <w:proofErr w:type="spellStart"/>
      <w:r>
        <w:rPr>
          <w:szCs w:val="22"/>
          <w:lang w:val="lt-LT"/>
        </w:rPr>
        <w:t>t</w:t>
      </w:r>
      <w:r w:rsidR="00803D36">
        <w:rPr>
          <w:szCs w:val="22"/>
          <w:lang w:val="lt-LT"/>
        </w:rPr>
        <w:t>obramycinum</w:t>
      </w:r>
      <w:proofErr w:type="spellEnd"/>
    </w:p>
    <w:p w14:paraId="2999BC37" w14:textId="77777777" w:rsidR="00803D36" w:rsidRDefault="00803D36" w:rsidP="00803D36">
      <w:pPr>
        <w:spacing w:line="240" w:lineRule="auto"/>
        <w:rPr>
          <w:szCs w:val="22"/>
          <w:lang w:val="lt-LT"/>
        </w:rPr>
      </w:pPr>
    </w:p>
    <w:p w14:paraId="09D65AD5" w14:textId="77777777" w:rsidR="00803D36" w:rsidRDefault="00803D36" w:rsidP="00803D36">
      <w:pPr>
        <w:spacing w:line="240" w:lineRule="auto"/>
        <w:rPr>
          <w:szCs w:val="22"/>
          <w:lang w:val="lt-LT"/>
        </w:rPr>
      </w:pPr>
    </w:p>
    <w:p w14:paraId="7F67507A"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t>VEIKLIOJI (-IOS) MEDŽIAGA (-OS) IR JOS (-Ų) KIEKIS (-IAI)</w:t>
      </w:r>
    </w:p>
    <w:p w14:paraId="398753E1" w14:textId="77777777" w:rsidR="00803D36" w:rsidRDefault="00803D36" w:rsidP="00803D36">
      <w:pPr>
        <w:spacing w:line="240" w:lineRule="auto"/>
        <w:rPr>
          <w:szCs w:val="22"/>
          <w:lang w:val="lt-LT"/>
        </w:rPr>
      </w:pPr>
    </w:p>
    <w:p w14:paraId="17A9A673" w14:textId="2AE9EB1C" w:rsidR="00803D36" w:rsidRDefault="007656D7" w:rsidP="00803D36">
      <w:pPr>
        <w:spacing w:line="240" w:lineRule="auto"/>
        <w:rPr>
          <w:szCs w:val="22"/>
          <w:lang w:val="lt-LT"/>
        </w:rPr>
      </w:pPr>
      <w:r>
        <w:rPr>
          <w:szCs w:val="22"/>
          <w:lang w:val="lt-LT"/>
        </w:rPr>
        <w:t xml:space="preserve">Kiekvienoje </w:t>
      </w:r>
      <w:r w:rsidR="00803D36">
        <w:rPr>
          <w:szCs w:val="22"/>
          <w:lang w:val="lt-LT"/>
        </w:rPr>
        <w:t xml:space="preserve">5 ml ampulėje yra 300 mg </w:t>
      </w:r>
      <w:proofErr w:type="spellStart"/>
      <w:r w:rsidR="00803D36">
        <w:rPr>
          <w:szCs w:val="22"/>
          <w:lang w:val="lt-LT"/>
        </w:rPr>
        <w:t>tobramicino</w:t>
      </w:r>
      <w:proofErr w:type="spellEnd"/>
      <w:r w:rsidR="00803D36">
        <w:rPr>
          <w:szCs w:val="22"/>
          <w:lang w:val="lt-LT"/>
        </w:rPr>
        <w:t>.</w:t>
      </w:r>
    </w:p>
    <w:p w14:paraId="626336BC" w14:textId="77777777" w:rsidR="00803D36" w:rsidRDefault="00803D36" w:rsidP="00803D36">
      <w:pPr>
        <w:spacing w:line="240" w:lineRule="auto"/>
        <w:rPr>
          <w:szCs w:val="22"/>
          <w:lang w:val="lt-LT"/>
        </w:rPr>
      </w:pPr>
    </w:p>
    <w:p w14:paraId="1337A38A" w14:textId="77777777" w:rsidR="00803D36" w:rsidRDefault="00803D36" w:rsidP="00803D36">
      <w:pPr>
        <w:spacing w:line="240" w:lineRule="auto"/>
        <w:rPr>
          <w:szCs w:val="22"/>
          <w:lang w:val="lt-LT"/>
        </w:rPr>
      </w:pPr>
    </w:p>
    <w:p w14:paraId="5889A56C"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t>PAGALBINIŲ MEDŽIAGŲ SĄRAŠAS</w:t>
      </w:r>
    </w:p>
    <w:p w14:paraId="339BF43B" w14:textId="77777777" w:rsidR="00803D36" w:rsidRDefault="00803D36" w:rsidP="00803D36">
      <w:pPr>
        <w:spacing w:line="240" w:lineRule="auto"/>
        <w:rPr>
          <w:szCs w:val="22"/>
          <w:lang w:val="lt-LT"/>
        </w:rPr>
      </w:pPr>
    </w:p>
    <w:p w14:paraId="00F546AA" w14:textId="77777777" w:rsidR="00803D36" w:rsidRDefault="00803D36" w:rsidP="00803D36">
      <w:pPr>
        <w:spacing w:line="240" w:lineRule="auto"/>
        <w:rPr>
          <w:szCs w:val="22"/>
          <w:lang w:val="lt-LT"/>
        </w:rPr>
      </w:pPr>
      <w:r>
        <w:rPr>
          <w:szCs w:val="22"/>
          <w:lang w:val="lt-LT"/>
        </w:rPr>
        <w:t>Pagalbinės medžiagos: natrio chloridas, natrio hidroksidas (pH koreguoti), sulfato rūgštis (pH koreguoti) ir injekcinis vanduo.</w:t>
      </w:r>
    </w:p>
    <w:p w14:paraId="5CA4A952" w14:textId="77777777" w:rsidR="00803D36" w:rsidRDefault="00803D36" w:rsidP="00803D36">
      <w:pPr>
        <w:spacing w:line="240" w:lineRule="auto"/>
        <w:rPr>
          <w:szCs w:val="22"/>
          <w:lang w:val="lt-LT"/>
        </w:rPr>
      </w:pPr>
    </w:p>
    <w:p w14:paraId="34008628" w14:textId="77777777" w:rsidR="00803D36" w:rsidRDefault="00803D36" w:rsidP="00803D36">
      <w:pPr>
        <w:spacing w:line="240" w:lineRule="auto"/>
        <w:rPr>
          <w:szCs w:val="22"/>
          <w:lang w:val="lt-LT"/>
        </w:rPr>
      </w:pPr>
      <w:r>
        <w:rPr>
          <w:szCs w:val="22"/>
          <w:lang w:val="lt-LT"/>
        </w:rPr>
        <w:t>Daugiau informacijos pateikiama pakuotės lapelyje.</w:t>
      </w:r>
    </w:p>
    <w:p w14:paraId="132789E5" w14:textId="77777777" w:rsidR="00803D36" w:rsidRDefault="00803D36" w:rsidP="00803D36">
      <w:pPr>
        <w:spacing w:line="240" w:lineRule="auto"/>
        <w:rPr>
          <w:szCs w:val="22"/>
          <w:lang w:val="lt-LT"/>
        </w:rPr>
      </w:pPr>
    </w:p>
    <w:p w14:paraId="6EE1D61A" w14:textId="77777777" w:rsidR="00803D36" w:rsidRDefault="00803D36" w:rsidP="00803D36">
      <w:pPr>
        <w:spacing w:line="240" w:lineRule="auto"/>
        <w:rPr>
          <w:szCs w:val="22"/>
          <w:lang w:val="lt-LT"/>
        </w:rPr>
      </w:pPr>
    </w:p>
    <w:p w14:paraId="68DFA153"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t>FARMACINĖ FORMA IR KIEKIS PAKUOTĖJE</w:t>
      </w:r>
    </w:p>
    <w:p w14:paraId="663CCCFC" w14:textId="77777777" w:rsidR="00803D36" w:rsidRDefault="00803D36" w:rsidP="00803D36">
      <w:pPr>
        <w:spacing w:line="240" w:lineRule="auto"/>
        <w:rPr>
          <w:szCs w:val="22"/>
          <w:lang w:val="lt-LT"/>
        </w:rPr>
      </w:pPr>
    </w:p>
    <w:p w14:paraId="4590C599" w14:textId="77777777" w:rsidR="00803D36" w:rsidRDefault="00803D36" w:rsidP="00803D36">
      <w:pPr>
        <w:spacing w:line="240" w:lineRule="auto"/>
        <w:rPr>
          <w:szCs w:val="22"/>
          <w:lang w:val="lt-LT"/>
        </w:rPr>
      </w:pPr>
      <w:r>
        <w:rPr>
          <w:szCs w:val="22"/>
          <w:lang w:val="lt-LT"/>
        </w:rPr>
        <w:t>Purškiamasis įkvepiamasis tirpalas</w:t>
      </w:r>
    </w:p>
    <w:p w14:paraId="5DF9678E" w14:textId="77777777" w:rsidR="00803D36" w:rsidRDefault="00803D36" w:rsidP="00803D36">
      <w:pPr>
        <w:spacing w:line="240" w:lineRule="auto"/>
        <w:rPr>
          <w:szCs w:val="22"/>
          <w:lang w:val="lt-LT"/>
        </w:rPr>
      </w:pPr>
    </w:p>
    <w:p w14:paraId="44069EC8" w14:textId="77777777" w:rsidR="00803D36" w:rsidRDefault="00803D36" w:rsidP="00803D36">
      <w:pPr>
        <w:spacing w:line="240" w:lineRule="auto"/>
        <w:rPr>
          <w:szCs w:val="22"/>
          <w:lang w:val="lt-LT"/>
        </w:rPr>
      </w:pPr>
      <w:r>
        <w:rPr>
          <w:szCs w:val="22"/>
          <w:lang w:val="lt-LT"/>
        </w:rPr>
        <w:t>56 ampulės po 5 ml.</w:t>
      </w:r>
    </w:p>
    <w:p w14:paraId="4D064396" w14:textId="77777777" w:rsidR="00803D36" w:rsidRDefault="00803D36" w:rsidP="00803D36">
      <w:pPr>
        <w:spacing w:line="240" w:lineRule="auto"/>
        <w:rPr>
          <w:szCs w:val="22"/>
          <w:lang w:val="lt-LT"/>
        </w:rPr>
      </w:pPr>
    </w:p>
    <w:p w14:paraId="045B9EAC" w14:textId="77777777" w:rsidR="00803D36" w:rsidRDefault="00803D36" w:rsidP="00803D36">
      <w:pPr>
        <w:spacing w:line="240" w:lineRule="auto"/>
        <w:rPr>
          <w:szCs w:val="22"/>
          <w:lang w:val="lt-LT"/>
        </w:rPr>
      </w:pPr>
    </w:p>
    <w:p w14:paraId="49E2E368"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t>VARTOJIMO METODAS IR BŪDAS (-AI)</w:t>
      </w:r>
    </w:p>
    <w:p w14:paraId="203AEC18" w14:textId="77777777" w:rsidR="00803D36" w:rsidRDefault="00803D36" w:rsidP="00803D36">
      <w:pPr>
        <w:spacing w:line="240" w:lineRule="auto"/>
        <w:rPr>
          <w:szCs w:val="22"/>
          <w:lang w:val="lt-LT"/>
        </w:rPr>
      </w:pPr>
    </w:p>
    <w:p w14:paraId="0F8009FF" w14:textId="77777777" w:rsidR="00803D36" w:rsidRDefault="00803D36" w:rsidP="00803D36">
      <w:pPr>
        <w:spacing w:line="240" w:lineRule="auto"/>
        <w:rPr>
          <w:szCs w:val="22"/>
          <w:lang w:val="lt-LT"/>
        </w:rPr>
      </w:pPr>
      <w:r>
        <w:rPr>
          <w:szCs w:val="22"/>
          <w:lang w:val="lt-LT"/>
        </w:rPr>
        <w:t>Prieš vartojimą perskaitykite pakuotės lapelį.</w:t>
      </w:r>
    </w:p>
    <w:p w14:paraId="3E0C34BC" w14:textId="77777777" w:rsidR="00803D36" w:rsidRDefault="00803D36" w:rsidP="00803D36">
      <w:pPr>
        <w:spacing w:line="240" w:lineRule="auto"/>
        <w:rPr>
          <w:szCs w:val="22"/>
          <w:lang w:val="lt-LT"/>
        </w:rPr>
      </w:pPr>
      <w:r>
        <w:rPr>
          <w:szCs w:val="22"/>
          <w:lang w:val="lt-LT"/>
        </w:rPr>
        <w:t>Įkvėpti.</w:t>
      </w:r>
    </w:p>
    <w:p w14:paraId="754FD381" w14:textId="77777777" w:rsidR="00803D36" w:rsidRDefault="00803D36" w:rsidP="00803D36">
      <w:pPr>
        <w:spacing w:line="240" w:lineRule="auto"/>
        <w:rPr>
          <w:szCs w:val="22"/>
          <w:lang w:val="lt-LT"/>
        </w:rPr>
      </w:pPr>
      <w:r>
        <w:rPr>
          <w:szCs w:val="22"/>
          <w:lang w:val="lt-LT"/>
        </w:rPr>
        <w:t>Kiekviena ampulė skirta vartoti vieną kartą.</w:t>
      </w:r>
    </w:p>
    <w:p w14:paraId="1271F972" w14:textId="77777777" w:rsidR="00803D36" w:rsidRDefault="00803D36" w:rsidP="00803D36">
      <w:pPr>
        <w:spacing w:line="240" w:lineRule="auto"/>
        <w:rPr>
          <w:szCs w:val="22"/>
          <w:lang w:val="lt-LT"/>
        </w:rPr>
      </w:pPr>
    </w:p>
    <w:p w14:paraId="397B4E60" w14:textId="77777777" w:rsidR="00803D36" w:rsidRDefault="00803D36" w:rsidP="00803D36">
      <w:pPr>
        <w:spacing w:line="240" w:lineRule="auto"/>
        <w:rPr>
          <w:szCs w:val="22"/>
          <w:lang w:val="lt-LT"/>
        </w:rPr>
      </w:pPr>
    </w:p>
    <w:p w14:paraId="4A7A890C"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t>SPECIALUS ĮSPĖJIMAS, KAD VAISTINĮ PREPARATĄ BŪTINA LAIKYTI VAIKAMS NEPASTEBIMOJE IR  NEPASIEKIAMOJE VIETOJE</w:t>
      </w:r>
    </w:p>
    <w:p w14:paraId="59E878D6" w14:textId="77777777" w:rsidR="00803D36" w:rsidRDefault="00803D36" w:rsidP="00803D36">
      <w:pPr>
        <w:spacing w:line="240" w:lineRule="auto"/>
        <w:rPr>
          <w:szCs w:val="22"/>
          <w:lang w:val="lt-LT"/>
        </w:rPr>
      </w:pPr>
    </w:p>
    <w:p w14:paraId="46707DA9" w14:textId="77777777" w:rsidR="00803D36" w:rsidRDefault="00803D36" w:rsidP="00803D36">
      <w:pPr>
        <w:spacing w:line="240" w:lineRule="auto"/>
        <w:rPr>
          <w:szCs w:val="22"/>
          <w:lang w:val="lt-LT"/>
        </w:rPr>
      </w:pPr>
      <w:r>
        <w:rPr>
          <w:szCs w:val="22"/>
          <w:lang w:val="lt-LT"/>
        </w:rPr>
        <w:t>Laikyti vaikams nepastebimoje ir nepasiekiamoje vietoje.</w:t>
      </w:r>
    </w:p>
    <w:p w14:paraId="6491A704" w14:textId="77777777" w:rsidR="00803D36" w:rsidRDefault="00803D36" w:rsidP="00803D36">
      <w:pPr>
        <w:spacing w:line="240" w:lineRule="auto"/>
        <w:rPr>
          <w:szCs w:val="22"/>
          <w:lang w:val="lt-LT"/>
        </w:rPr>
      </w:pPr>
    </w:p>
    <w:p w14:paraId="42C13080" w14:textId="77777777" w:rsidR="00803D36" w:rsidRDefault="00803D36" w:rsidP="00803D36">
      <w:pPr>
        <w:spacing w:line="240" w:lineRule="auto"/>
        <w:rPr>
          <w:szCs w:val="22"/>
          <w:lang w:val="lt-LT"/>
        </w:rPr>
      </w:pPr>
    </w:p>
    <w:p w14:paraId="086E757F"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t>KITAS (-I) SPECIALUS (-ŪS) ĮSPĖJIMAS (-AI) (JEI REIKIA)</w:t>
      </w:r>
    </w:p>
    <w:p w14:paraId="109E3832" w14:textId="77777777" w:rsidR="00803D36" w:rsidRDefault="00803D36" w:rsidP="00803D36">
      <w:pPr>
        <w:spacing w:line="240" w:lineRule="auto"/>
        <w:rPr>
          <w:szCs w:val="22"/>
          <w:lang w:val="lt-LT"/>
        </w:rPr>
      </w:pPr>
    </w:p>
    <w:p w14:paraId="20DE8C57" w14:textId="77777777" w:rsidR="00803D36" w:rsidRDefault="00803D36" w:rsidP="00803D36">
      <w:pPr>
        <w:spacing w:line="240" w:lineRule="auto"/>
        <w:rPr>
          <w:szCs w:val="22"/>
          <w:lang w:val="lt-LT"/>
        </w:rPr>
      </w:pPr>
    </w:p>
    <w:p w14:paraId="14BAA599"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8.</w:t>
      </w:r>
      <w:r>
        <w:rPr>
          <w:b/>
          <w:szCs w:val="22"/>
          <w:lang w:val="lt-LT"/>
        </w:rPr>
        <w:tab/>
        <w:t>TINKAMUMO LAIKAS</w:t>
      </w:r>
    </w:p>
    <w:p w14:paraId="576F96B4" w14:textId="77777777" w:rsidR="00803D36" w:rsidRDefault="00803D36" w:rsidP="00803D36">
      <w:pPr>
        <w:spacing w:line="240" w:lineRule="auto"/>
        <w:rPr>
          <w:szCs w:val="22"/>
          <w:lang w:val="lt-LT"/>
        </w:rPr>
      </w:pPr>
    </w:p>
    <w:p w14:paraId="6EF5531A" w14:textId="77777777" w:rsidR="00803D36" w:rsidRDefault="00803D36" w:rsidP="00803D36">
      <w:pPr>
        <w:spacing w:line="240" w:lineRule="auto"/>
        <w:rPr>
          <w:szCs w:val="22"/>
          <w:lang w:val="lt-LT"/>
        </w:rPr>
      </w:pPr>
      <w:r>
        <w:rPr>
          <w:szCs w:val="22"/>
          <w:lang w:val="lt-LT"/>
        </w:rPr>
        <w:t>EXP: {mm-MMMM}</w:t>
      </w:r>
    </w:p>
    <w:p w14:paraId="5481F2DF" w14:textId="77777777" w:rsidR="00803D36" w:rsidRDefault="00803D36" w:rsidP="00803D36">
      <w:pPr>
        <w:numPr>
          <w:ilvl w:val="12"/>
          <w:numId w:val="0"/>
        </w:numPr>
        <w:tabs>
          <w:tab w:val="clear" w:pos="567"/>
          <w:tab w:val="left" w:pos="1296"/>
        </w:tabs>
        <w:spacing w:line="240" w:lineRule="auto"/>
        <w:ind w:right="-2"/>
        <w:rPr>
          <w:szCs w:val="22"/>
          <w:lang w:val="lt-LT"/>
        </w:rPr>
      </w:pPr>
    </w:p>
    <w:p w14:paraId="184F3A8B"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Atidarytos ampulės laikyti negalima. Atidarytą ampulę būtina vartoti nedelsiant, bet kokį nesuvartotą likutį būtina išpilti.</w:t>
      </w:r>
    </w:p>
    <w:p w14:paraId="32859EB2" w14:textId="77777777" w:rsidR="00803D36" w:rsidRDefault="00803D36" w:rsidP="00803D36">
      <w:pPr>
        <w:spacing w:line="240" w:lineRule="auto"/>
        <w:rPr>
          <w:szCs w:val="22"/>
          <w:lang w:val="lt-LT"/>
        </w:rPr>
      </w:pPr>
    </w:p>
    <w:p w14:paraId="4B25CEFB" w14:textId="77777777" w:rsidR="00803D36" w:rsidRDefault="00803D36" w:rsidP="00803D36">
      <w:pPr>
        <w:spacing w:line="240" w:lineRule="auto"/>
        <w:rPr>
          <w:szCs w:val="22"/>
          <w:lang w:val="lt-LT"/>
        </w:rPr>
      </w:pPr>
    </w:p>
    <w:p w14:paraId="0482557E" w14:textId="77777777" w:rsidR="00803D36" w:rsidRDefault="00803D36" w:rsidP="00803D3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lastRenderedPageBreak/>
        <w:t>9.</w:t>
      </w:r>
      <w:r>
        <w:rPr>
          <w:b/>
          <w:szCs w:val="22"/>
          <w:lang w:val="lt-LT"/>
        </w:rPr>
        <w:tab/>
        <w:t>SPECIALIOS LAIKYMO SĄLYGOS</w:t>
      </w:r>
    </w:p>
    <w:p w14:paraId="1716823E" w14:textId="77777777" w:rsidR="00803D36" w:rsidRDefault="00803D36" w:rsidP="00803D36">
      <w:pPr>
        <w:spacing w:line="240" w:lineRule="auto"/>
        <w:rPr>
          <w:szCs w:val="22"/>
          <w:lang w:val="lt-LT"/>
        </w:rPr>
      </w:pPr>
    </w:p>
    <w:p w14:paraId="558F323B" w14:textId="77777777" w:rsidR="00803D36" w:rsidRDefault="00803D36" w:rsidP="00803D36">
      <w:pPr>
        <w:spacing w:line="240" w:lineRule="auto"/>
        <w:rPr>
          <w:szCs w:val="22"/>
          <w:lang w:val="lt-LT"/>
        </w:rPr>
      </w:pPr>
      <w:r>
        <w:rPr>
          <w:szCs w:val="22"/>
          <w:lang w:val="lt-LT"/>
        </w:rPr>
        <w:t>Laikyti šaldytuve</w:t>
      </w:r>
      <w:r>
        <w:rPr>
          <w:lang w:val="lt-LT"/>
        </w:rPr>
        <w:t xml:space="preserve"> (2 </w:t>
      </w:r>
      <w:r>
        <w:rPr>
          <w:szCs w:val="22"/>
          <w:lang w:val="lt-LT"/>
        </w:rPr>
        <w:sym w:font="Symbol" w:char="F0B0"/>
      </w:r>
      <w:r>
        <w:rPr>
          <w:lang w:val="lt-LT"/>
        </w:rPr>
        <w:t xml:space="preserve">C – 8 </w:t>
      </w:r>
      <w:r>
        <w:rPr>
          <w:szCs w:val="22"/>
          <w:lang w:val="lt-LT"/>
        </w:rPr>
        <w:sym w:font="Symbol" w:char="F0B0"/>
      </w:r>
      <w:r>
        <w:rPr>
          <w:lang w:val="lt-LT"/>
        </w:rPr>
        <w:t>C).</w:t>
      </w:r>
    </w:p>
    <w:p w14:paraId="7186D3A1" w14:textId="77777777" w:rsidR="00803D36" w:rsidRDefault="00803D36" w:rsidP="00803D36">
      <w:pPr>
        <w:spacing w:line="240" w:lineRule="auto"/>
        <w:rPr>
          <w:szCs w:val="22"/>
          <w:lang w:val="lt-LT"/>
        </w:rPr>
      </w:pPr>
    </w:p>
    <w:p w14:paraId="5C71AB4B" w14:textId="77777777" w:rsidR="00803D36" w:rsidRDefault="00803D36" w:rsidP="00803D36">
      <w:pPr>
        <w:spacing w:line="240" w:lineRule="auto"/>
        <w:rPr>
          <w:szCs w:val="22"/>
          <w:lang w:val="lt-LT"/>
        </w:rPr>
      </w:pPr>
    </w:p>
    <w:p w14:paraId="0FC533FE"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10.</w:t>
      </w:r>
      <w:r>
        <w:rPr>
          <w:b/>
          <w:szCs w:val="22"/>
          <w:lang w:val="lt-LT"/>
        </w:rPr>
        <w:tab/>
        <w:t>SPECIALIOS ATSARGUMO PRIEMONĖS DĖL NESUVARTOTO VAISTINIO PREPARATO AR JO ATLIEKŲ TVARKYMO (JEI REIKIA)</w:t>
      </w:r>
    </w:p>
    <w:p w14:paraId="1B683F4A" w14:textId="77777777" w:rsidR="00803D36" w:rsidRDefault="00803D36" w:rsidP="00803D36">
      <w:pPr>
        <w:spacing w:line="240" w:lineRule="auto"/>
        <w:rPr>
          <w:szCs w:val="22"/>
          <w:lang w:val="lt-LT"/>
        </w:rPr>
      </w:pPr>
    </w:p>
    <w:p w14:paraId="0950AD36" w14:textId="77777777" w:rsidR="00803D36" w:rsidRDefault="00803D36" w:rsidP="00803D36">
      <w:pPr>
        <w:spacing w:line="240" w:lineRule="auto"/>
        <w:rPr>
          <w:szCs w:val="22"/>
          <w:lang w:val="lt-LT"/>
        </w:rPr>
      </w:pPr>
    </w:p>
    <w:p w14:paraId="7711B459"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r>
      <w:r>
        <w:rPr>
          <w:b/>
          <w:caps/>
          <w:szCs w:val="22"/>
          <w:lang w:val="lt-LT"/>
        </w:rPr>
        <w:t xml:space="preserve"> REGISTRUOTOJO PAVADINIMAS IR ADRESAS</w:t>
      </w:r>
    </w:p>
    <w:p w14:paraId="7D40C253" w14:textId="77777777" w:rsidR="00803D36" w:rsidRDefault="00803D36" w:rsidP="00803D36">
      <w:pPr>
        <w:spacing w:line="240" w:lineRule="auto"/>
        <w:rPr>
          <w:szCs w:val="22"/>
          <w:lang w:val="lt-LT"/>
        </w:rPr>
      </w:pPr>
    </w:p>
    <w:p w14:paraId="386BDE11" w14:textId="77777777" w:rsidR="00803D36" w:rsidRDefault="00803D36" w:rsidP="00803D36">
      <w:pPr>
        <w:spacing w:line="240" w:lineRule="auto"/>
        <w:rPr>
          <w:szCs w:val="22"/>
          <w:lang w:val="lt-LT"/>
        </w:rPr>
      </w:pPr>
      <w:r>
        <w:rPr>
          <w:szCs w:val="22"/>
          <w:lang w:val="lt-LT"/>
        </w:rPr>
        <w:t xml:space="preserve">UAB Via </w:t>
      </w:r>
      <w:proofErr w:type="spellStart"/>
      <w:r>
        <w:rPr>
          <w:szCs w:val="22"/>
          <w:lang w:val="lt-LT"/>
        </w:rPr>
        <w:t>pharma</w:t>
      </w:r>
      <w:proofErr w:type="spellEnd"/>
    </w:p>
    <w:p w14:paraId="1D330C04" w14:textId="77777777" w:rsidR="00803D36" w:rsidRDefault="00803D36" w:rsidP="00803D36">
      <w:pPr>
        <w:spacing w:line="240" w:lineRule="auto"/>
        <w:rPr>
          <w:szCs w:val="22"/>
          <w:lang w:val="lt-LT"/>
        </w:rPr>
      </w:pPr>
      <w:r>
        <w:rPr>
          <w:szCs w:val="22"/>
          <w:lang w:val="lt-LT"/>
        </w:rPr>
        <w:t xml:space="preserve">J. </w:t>
      </w:r>
      <w:proofErr w:type="spellStart"/>
      <w:r>
        <w:rPr>
          <w:szCs w:val="22"/>
          <w:lang w:val="lt-LT"/>
        </w:rPr>
        <w:t>Galvydžio</w:t>
      </w:r>
      <w:proofErr w:type="spellEnd"/>
      <w:r>
        <w:rPr>
          <w:szCs w:val="22"/>
          <w:lang w:val="lt-LT"/>
        </w:rPr>
        <w:t xml:space="preserve"> g. 5 </w:t>
      </w:r>
    </w:p>
    <w:p w14:paraId="4A60C720" w14:textId="77777777" w:rsidR="00803D36" w:rsidRDefault="00803D36" w:rsidP="00803D36">
      <w:pPr>
        <w:spacing w:line="240" w:lineRule="auto"/>
        <w:rPr>
          <w:szCs w:val="22"/>
          <w:lang w:val="lt-LT"/>
        </w:rPr>
      </w:pPr>
      <w:r>
        <w:rPr>
          <w:szCs w:val="22"/>
          <w:lang w:val="lt-LT"/>
        </w:rPr>
        <w:t xml:space="preserve">LT-08236 Vilnius </w:t>
      </w:r>
    </w:p>
    <w:p w14:paraId="7DC3F003" w14:textId="77777777" w:rsidR="00803D36" w:rsidRDefault="00803D36" w:rsidP="00803D36">
      <w:pPr>
        <w:spacing w:line="240" w:lineRule="auto"/>
        <w:rPr>
          <w:szCs w:val="22"/>
          <w:lang w:val="lt-LT"/>
        </w:rPr>
      </w:pPr>
      <w:r>
        <w:rPr>
          <w:szCs w:val="22"/>
          <w:lang w:val="lt-LT"/>
        </w:rPr>
        <w:t>Lietuva</w:t>
      </w:r>
    </w:p>
    <w:p w14:paraId="60DB97AD" w14:textId="77777777" w:rsidR="00803D36" w:rsidRDefault="00803D36" w:rsidP="00803D36">
      <w:pPr>
        <w:spacing w:line="240" w:lineRule="auto"/>
        <w:rPr>
          <w:szCs w:val="22"/>
          <w:lang w:val="lt-LT"/>
        </w:rPr>
      </w:pPr>
    </w:p>
    <w:p w14:paraId="6356B9F6" w14:textId="77777777" w:rsidR="00803D36" w:rsidRDefault="00803D36" w:rsidP="00803D36">
      <w:pPr>
        <w:spacing w:line="240" w:lineRule="auto"/>
        <w:rPr>
          <w:szCs w:val="22"/>
          <w:lang w:val="lt-LT"/>
        </w:rPr>
      </w:pPr>
    </w:p>
    <w:p w14:paraId="112904B6"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12.</w:t>
      </w:r>
      <w:r>
        <w:rPr>
          <w:b/>
          <w:szCs w:val="22"/>
          <w:lang w:val="lt-LT"/>
        </w:rPr>
        <w:tab/>
        <w:t xml:space="preserve">REGISTRACIJOS PAŽYMĖJIMO NUMERIS (-IAI) </w:t>
      </w:r>
    </w:p>
    <w:p w14:paraId="6DA674A2" w14:textId="77777777" w:rsidR="00803D36" w:rsidRDefault="00803D36" w:rsidP="00803D36">
      <w:pPr>
        <w:spacing w:line="240" w:lineRule="auto"/>
        <w:rPr>
          <w:szCs w:val="22"/>
          <w:lang w:val="lt-LT"/>
        </w:rPr>
      </w:pPr>
    </w:p>
    <w:p w14:paraId="25D565BC" w14:textId="77777777" w:rsidR="00803D36" w:rsidRDefault="00803D36" w:rsidP="00803D36">
      <w:pPr>
        <w:tabs>
          <w:tab w:val="clear" w:pos="567"/>
          <w:tab w:val="left" w:pos="1296"/>
        </w:tabs>
        <w:spacing w:line="240" w:lineRule="auto"/>
        <w:rPr>
          <w:szCs w:val="22"/>
          <w:lang w:val="lt-LT"/>
        </w:rPr>
      </w:pPr>
      <w:r>
        <w:rPr>
          <w:szCs w:val="22"/>
          <w:lang w:val="lt-LT"/>
        </w:rPr>
        <w:t>LT/1/16/3931/001</w:t>
      </w:r>
    </w:p>
    <w:p w14:paraId="06ACB2F2" w14:textId="77777777" w:rsidR="00803D36" w:rsidRDefault="00803D36" w:rsidP="00803D36">
      <w:pPr>
        <w:spacing w:line="240" w:lineRule="auto"/>
        <w:rPr>
          <w:szCs w:val="22"/>
          <w:lang w:val="lt-LT"/>
        </w:rPr>
      </w:pPr>
    </w:p>
    <w:p w14:paraId="2A5992A1" w14:textId="77777777" w:rsidR="00803D36" w:rsidRDefault="00803D36" w:rsidP="00803D36">
      <w:pPr>
        <w:spacing w:line="240" w:lineRule="auto"/>
        <w:rPr>
          <w:szCs w:val="22"/>
          <w:lang w:val="lt-LT"/>
        </w:rPr>
      </w:pPr>
    </w:p>
    <w:p w14:paraId="495B047A"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13.</w:t>
      </w:r>
      <w:r>
        <w:rPr>
          <w:b/>
          <w:szCs w:val="22"/>
          <w:lang w:val="lt-LT"/>
        </w:rPr>
        <w:tab/>
        <w:t xml:space="preserve">SERIJOS NUMERIS </w:t>
      </w:r>
    </w:p>
    <w:p w14:paraId="43C79BEE" w14:textId="77777777" w:rsidR="00803D36" w:rsidRDefault="00803D36" w:rsidP="00803D36">
      <w:pPr>
        <w:spacing w:line="240" w:lineRule="auto"/>
        <w:rPr>
          <w:szCs w:val="22"/>
          <w:lang w:val="lt-LT"/>
        </w:rPr>
      </w:pPr>
    </w:p>
    <w:p w14:paraId="5BB5CA9B" w14:textId="77777777" w:rsidR="00803D36" w:rsidRDefault="00803D36" w:rsidP="00803D36">
      <w:pPr>
        <w:spacing w:line="240" w:lineRule="auto"/>
        <w:rPr>
          <w:szCs w:val="22"/>
          <w:lang w:val="lt-LT"/>
        </w:rPr>
      </w:pPr>
      <w:r>
        <w:rPr>
          <w:szCs w:val="22"/>
          <w:lang w:val="lt-LT"/>
        </w:rPr>
        <w:t>Lot:</w:t>
      </w:r>
    </w:p>
    <w:p w14:paraId="682A91A5" w14:textId="77777777" w:rsidR="00803D36" w:rsidRDefault="00803D36" w:rsidP="00803D36">
      <w:pPr>
        <w:spacing w:line="240" w:lineRule="auto"/>
        <w:rPr>
          <w:szCs w:val="22"/>
          <w:lang w:val="lt-LT"/>
        </w:rPr>
      </w:pPr>
    </w:p>
    <w:p w14:paraId="44225204" w14:textId="77777777" w:rsidR="00803D36" w:rsidRDefault="00803D36" w:rsidP="00803D36">
      <w:pPr>
        <w:spacing w:line="240" w:lineRule="auto"/>
        <w:rPr>
          <w:szCs w:val="22"/>
          <w:lang w:val="lt-LT"/>
        </w:rPr>
      </w:pPr>
    </w:p>
    <w:p w14:paraId="73B12C95"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t>PARDAVIMO (IŠDAVIMO) TVARKA</w:t>
      </w:r>
    </w:p>
    <w:p w14:paraId="6F0834C1" w14:textId="77777777" w:rsidR="00803D36" w:rsidRDefault="00803D36" w:rsidP="00803D36">
      <w:pPr>
        <w:spacing w:line="240" w:lineRule="auto"/>
        <w:rPr>
          <w:szCs w:val="22"/>
          <w:lang w:val="lt-LT"/>
        </w:rPr>
      </w:pPr>
    </w:p>
    <w:p w14:paraId="28DCCE38" w14:textId="77777777" w:rsidR="00803D36" w:rsidRDefault="00803D36" w:rsidP="00803D36">
      <w:pPr>
        <w:spacing w:line="240" w:lineRule="auto"/>
        <w:rPr>
          <w:szCs w:val="22"/>
          <w:lang w:val="lt-LT"/>
        </w:rPr>
      </w:pPr>
      <w:r>
        <w:rPr>
          <w:szCs w:val="22"/>
          <w:lang w:val="lt-LT"/>
        </w:rPr>
        <w:t>Receptinis vaistas.</w:t>
      </w:r>
    </w:p>
    <w:p w14:paraId="39E008CB" w14:textId="77777777" w:rsidR="00803D36" w:rsidRDefault="00803D36" w:rsidP="00803D36">
      <w:pPr>
        <w:spacing w:line="240" w:lineRule="auto"/>
        <w:rPr>
          <w:szCs w:val="22"/>
          <w:lang w:val="lt-LT"/>
        </w:rPr>
      </w:pPr>
    </w:p>
    <w:p w14:paraId="62BE3467" w14:textId="77777777" w:rsidR="00803D36" w:rsidRDefault="00803D36" w:rsidP="00803D36">
      <w:pPr>
        <w:spacing w:line="240" w:lineRule="auto"/>
        <w:rPr>
          <w:szCs w:val="22"/>
          <w:lang w:val="lt-LT"/>
        </w:rPr>
      </w:pPr>
    </w:p>
    <w:p w14:paraId="35ED3965" w14:textId="77777777" w:rsidR="00803D36" w:rsidRDefault="00803D36" w:rsidP="00803D36">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t>VARTOJIMO INSTRUKCIJA</w:t>
      </w:r>
    </w:p>
    <w:p w14:paraId="68BFB9B2" w14:textId="77777777" w:rsidR="00803D36" w:rsidRDefault="00803D36" w:rsidP="00803D36">
      <w:pPr>
        <w:spacing w:line="240" w:lineRule="auto"/>
        <w:rPr>
          <w:szCs w:val="22"/>
          <w:lang w:val="lt-LT"/>
        </w:rPr>
      </w:pPr>
    </w:p>
    <w:p w14:paraId="1E43D1FC" w14:textId="77777777" w:rsidR="00803D36" w:rsidRDefault="00803D36" w:rsidP="00803D36">
      <w:pPr>
        <w:spacing w:line="240" w:lineRule="auto"/>
        <w:rPr>
          <w:szCs w:val="22"/>
          <w:lang w:val="lt-LT"/>
        </w:rPr>
      </w:pPr>
    </w:p>
    <w:p w14:paraId="2ADB6EBD" w14:textId="77777777" w:rsidR="00803D36" w:rsidRDefault="00803D36" w:rsidP="00803D36">
      <w:pPr>
        <w:pBdr>
          <w:top w:val="single" w:sz="4" w:space="1" w:color="auto"/>
          <w:left w:val="single" w:sz="4" w:space="4" w:color="auto"/>
          <w:bottom w:val="single" w:sz="4" w:space="0" w:color="auto"/>
          <w:right w:val="single" w:sz="4" w:space="4" w:color="auto"/>
        </w:pBdr>
        <w:spacing w:line="240" w:lineRule="auto"/>
        <w:rPr>
          <w:szCs w:val="22"/>
          <w:lang w:val="lt-LT"/>
        </w:rPr>
      </w:pPr>
      <w:r>
        <w:rPr>
          <w:b/>
          <w:szCs w:val="22"/>
          <w:lang w:val="lt-LT"/>
        </w:rPr>
        <w:t>16.</w:t>
      </w:r>
      <w:r>
        <w:rPr>
          <w:b/>
          <w:szCs w:val="22"/>
          <w:lang w:val="lt-LT"/>
        </w:rPr>
        <w:tab/>
        <w:t>INFORMACIJA BRAILIO RAŠTU</w:t>
      </w:r>
    </w:p>
    <w:p w14:paraId="3F34195C" w14:textId="77777777" w:rsidR="00803D36" w:rsidRDefault="00803D36" w:rsidP="00803D36">
      <w:pPr>
        <w:spacing w:line="240" w:lineRule="auto"/>
        <w:rPr>
          <w:szCs w:val="22"/>
          <w:lang w:val="lt-LT"/>
        </w:rPr>
      </w:pPr>
    </w:p>
    <w:p w14:paraId="4CBDA9F3" w14:textId="77777777" w:rsidR="00803D36" w:rsidRDefault="00803D36" w:rsidP="00803D36">
      <w:pPr>
        <w:spacing w:line="240" w:lineRule="auto"/>
        <w:rPr>
          <w:szCs w:val="22"/>
          <w:lang w:val="lt-LT"/>
        </w:rPr>
      </w:pPr>
      <w:r>
        <w:rPr>
          <w:szCs w:val="22"/>
          <w:highlight w:val="lightGray"/>
          <w:lang w:val="lt-LT"/>
        </w:rPr>
        <w:t>Priimtas pagrindimas informacijos Brailio raštu nepateikti.</w:t>
      </w:r>
    </w:p>
    <w:p w14:paraId="232DACB7" w14:textId="77777777" w:rsidR="00803D36" w:rsidRDefault="00803D36" w:rsidP="00803D36">
      <w:pPr>
        <w:spacing w:line="240" w:lineRule="auto"/>
        <w:rPr>
          <w:snapToGrid w:val="0"/>
          <w:szCs w:val="22"/>
          <w:lang w:val="lt-LT"/>
        </w:rPr>
      </w:pPr>
    </w:p>
    <w:p w14:paraId="2A47AF5D" w14:textId="77777777" w:rsidR="00803D36" w:rsidRPr="008150DE" w:rsidRDefault="00803D36" w:rsidP="00803D36">
      <w:pPr>
        <w:widowControl w:val="0"/>
        <w:snapToGrid/>
        <w:spacing w:line="240" w:lineRule="auto"/>
        <w:rPr>
          <w:szCs w:val="22"/>
          <w:shd w:val="clear" w:color="auto" w:fill="CCCCCC"/>
          <w:lang w:val="lt-LT" w:eastAsia="lt-LT" w:bidi="lt-LT"/>
        </w:rPr>
      </w:pPr>
    </w:p>
    <w:p w14:paraId="1B1F562F" w14:textId="77777777" w:rsidR="00803D36" w:rsidRPr="008150DE" w:rsidRDefault="00803D36" w:rsidP="00803D36">
      <w:pPr>
        <w:widowControl w:val="0"/>
        <w:pBdr>
          <w:top w:val="single" w:sz="4" w:space="1" w:color="auto"/>
          <w:left w:val="single" w:sz="4" w:space="4" w:color="auto"/>
          <w:bottom w:val="single" w:sz="4" w:space="1" w:color="auto"/>
          <w:right w:val="single" w:sz="4" w:space="4" w:color="auto"/>
        </w:pBdr>
        <w:snapToGrid/>
        <w:spacing w:line="240" w:lineRule="auto"/>
        <w:ind w:left="1080" w:hanging="1080"/>
        <w:outlineLvl w:val="0"/>
        <w:rPr>
          <w:i/>
          <w:szCs w:val="22"/>
          <w:lang w:val="lt-LT" w:eastAsia="lt-LT" w:bidi="lt-LT"/>
        </w:rPr>
      </w:pPr>
      <w:r w:rsidRPr="008150DE">
        <w:rPr>
          <w:b/>
          <w:szCs w:val="22"/>
          <w:lang w:val="lt-LT" w:eastAsia="lt-LT" w:bidi="lt-LT"/>
        </w:rPr>
        <w:t>17.</w:t>
      </w:r>
      <w:r w:rsidRPr="008150DE">
        <w:rPr>
          <w:b/>
          <w:szCs w:val="22"/>
          <w:lang w:val="lt-LT" w:eastAsia="lt-LT" w:bidi="lt-LT"/>
        </w:rPr>
        <w:tab/>
        <w:t>UNIKALUS IDENTIFIKATORIUS – 2D BRŪKŠNINIS KODAS</w:t>
      </w:r>
    </w:p>
    <w:p w14:paraId="1C3A02EC" w14:textId="77777777" w:rsidR="00803D36" w:rsidRPr="008150DE" w:rsidRDefault="00803D36" w:rsidP="00803D36">
      <w:pPr>
        <w:widowControl w:val="0"/>
        <w:tabs>
          <w:tab w:val="clear" w:pos="567"/>
        </w:tabs>
        <w:snapToGrid/>
        <w:spacing w:line="240" w:lineRule="auto"/>
        <w:rPr>
          <w:szCs w:val="22"/>
          <w:lang w:val="lt-LT" w:eastAsia="lt-LT" w:bidi="lt-LT"/>
        </w:rPr>
      </w:pPr>
    </w:p>
    <w:p w14:paraId="788ED3E6" w14:textId="77777777" w:rsidR="00803D36" w:rsidRPr="008150DE" w:rsidRDefault="00803D36" w:rsidP="00803D36">
      <w:pPr>
        <w:widowControl w:val="0"/>
        <w:snapToGrid/>
        <w:spacing w:line="240" w:lineRule="auto"/>
        <w:rPr>
          <w:szCs w:val="22"/>
          <w:lang w:val="lt-LT" w:eastAsia="lt-LT" w:bidi="lt-LT"/>
        </w:rPr>
      </w:pPr>
      <w:r w:rsidRPr="008150DE">
        <w:rPr>
          <w:szCs w:val="22"/>
          <w:highlight w:val="lightGray"/>
          <w:lang w:val="lt-LT" w:eastAsia="lt-LT" w:bidi="lt-LT"/>
        </w:rPr>
        <w:t>2D brūkšninis kodas su nurodytu unikaliu identifikatoriumi.</w:t>
      </w:r>
    </w:p>
    <w:p w14:paraId="1A64194A" w14:textId="77777777" w:rsidR="00803D36" w:rsidRPr="008150DE" w:rsidRDefault="00803D36" w:rsidP="00803D36">
      <w:pPr>
        <w:widowControl w:val="0"/>
        <w:snapToGrid/>
        <w:spacing w:line="240" w:lineRule="auto"/>
        <w:rPr>
          <w:szCs w:val="22"/>
          <w:lang w:val="lt-LT" w:eastAsia="lt-LT" w:bidi="lt-LT"/>
        </w:rPr>
      </w:pPr>
    </w:p>
    <w:p w14:paraId="0D2AF3BE" w14:textId="77777777" w:rsidR="00803D36" w:rsidRPr="008150DE" w:rsidRDefault="00803D36" w:rsidP="00803D36">
      <w:pPr>
        <w:widowControl w:val="0"/>
        <w:tabs>
          <w:tab w:val="clear" w:pos="567"/>
        </w:tabs>
        <w:snapToGrid/>
        <w:spacing w:line="240" w:lineRule="auto"/>
        <w:rPr>
          <w:szCs w:val="22"/>
          <w:lang w:val="lt-LT" w:eastAsia="lt-LT" w:bidi="lt-LT"/>
        </w:rPr>
      </w:pPr>
    </w:p>
    <w:p w14:paraId="43D57AEB" w14:textId="77777777" w:rsidR="00803D36" w:rsidRPr="008150DE" w:rsidRDefault="00803D36" w:rsidP="00803D36">
      <w:pPr>
        <w:widowControl w:val="0"/>
        <w:pBdr>
          <w:top w:val="single" w:sz="4" w:space="1" w:color="auto"/>
          <w:left w:val="single" w:sz="4" w:space="4" w:color="auto"/>
          <w:bottom w:val="single" w:sz="4" w:space="1" w:color="auto"/>
          <w:right w:val="single" w:sz="4" w:space="4" w:color="auto"/>
        </w:pBdr>
        <w:snapToGrid/>
        <w:spacing w:line="240" w:lineRule="auto"/>
        <w:ind w:left="1080" w:hanging="1080"/>
        <w:outlineLvl w:val="0"/>
        <w:rPr>
          <w:i/>
          <w:szCs w:val="22"/>
          <w:lang w:val="lt-LT" w:eastAsia="lt-LT" w:bidi="lt-LT"/>
        </w:rPr>
      </w:pPr>
      <w:r w:rsidRPr="008150DE">
        <w:rPr>
          <w:b/>
          <w:szCs w:val="22"/>
          <w:lang w:val="lt-LT" w:eastAsia="lt-LT" w:bidi="lt-LT"/>
        </w:rPr>
        <w:t>18.</w:t>
      </w:r>
      <w:r w:rsidRPr="008150DE">
        <w:rPr>
          <w:b/>
          <w:szCs w:val="22"/>
          <w:lang w:val="lt-LT" w:eastAsia="lt-LT" w:bidi="lt-LT"/>
        </w:rPr>
        <w:tab/>
        <w:t>UNIKALUS IDENTIFIKATORIUS – ŽMONĖMS SUPRANTAMI DUOMENYS</w:t>
      </w:r>
    </w:p>
    <w:p w14:paraId="6FD95A5E" w14:textId="77777777" w:rsidR="00803D36" w:rsidRPr="008150DE" w:rsidRDefault="00803D36" w:rsidP="00803D36">
      <w:pPr>
        <w:widowControl w:val="0"/>
        <w:tabs>
          <w:tab w:val="clear" w:pos="567"/>
        </w:tabs>
        <w:snapToGrid/>
        <w:spacing w:line="240" w:lineRule="auto"/>
        <w:rPr>
          <w:szCs w:val="22"/>
          <w:lang w:val="lt-LT" w:eastAsia="lt-LT" w:bidi="lt-LT"/>
        </w:rPr>
      </w:pPr>
    </w:p>
    <w:p w14:paraId="006CAF8E" w14:textId="77777777" w:rsidR="00803D36" w:rsidRPr="008150DE" w:rsidRDefault="00803D36" w:rsidP="00803D36">
      <w:pPr>
        <w:widowControl w:val="0"/>
        <w:snapToGrid/>
        <w:spacing w:line="240" w:lineRule="auto"/>
        <w:rPr>
          <w:szCs w:val="22"/>
          <w:lang w:val="lt-LT" w:eastAsia="lt-LT" w:bidi="lt-LT"/>
        </w:rPr>
      </w:pPr>
      <w:r w:rsidRPr="008150DE">
        <w:rPr>
          <w:szCs w:val="22"/>
          <w:lang w:val="lt-LT" w:eastAsia="lt-LT" w:bidi="lt-LT"/>
        </w:rPr>
        <w:t>PC:</w:t>
      </w:r>
    </w:p>
    <w:p w14:paraId="6497812C" w14:textId="77777777" w:rsidR="00803D36" w:rsidRPr="008150DE" w:rsidRDefault="00803D36" w:rsidP="00803D36">
      <w:pPr>
        <w:widowControl w:val="0"/>
        <w:snapToGrid/>
        <w:spacing w:line="240" w:lineRule="auto"/>
        <w:rPr>
          <w:szCs w:val="22"/>
          <w:lang w:val="lt-LT" w:eastAsia="lt-LT" w:bidi="lt-LT"/>
        </w:rPr>
      </w:pPr>
      <w:r w:rsidRPr="008150DE">
        <w:rPr>
          <w:szCs w:val="22"/>
          <w:lang w:val="lt-LT" w:eastAsia="lt-LT" w:bidi="lt-LT"/>
        </w:rPr>
        <w:t>SN:</w:t>
      </w:r>
    </w:p>
    <w:p w14:paraId="234363BB" w14:textId="77777777" w:rsidR="00803D36" w:rsidRDefault="00803D36" w:rsidP="00803D36">
      <w:pPr>
        <w:widowControl w:val="0"/>
        <w:snapToGrid/>
        <w:spacing w:line="240" w:lineRule="auto"/>
        <w:rPr>
          <w:szCs w:val="22"/>
          <w:lang w:val="lt-LT"/>
        </w:rPr>
      </w:pPr>
      <w:r w:rsidRPr="008150DE">
        <w:rPr>
          <w:szCs w:val="22"/>
          <w:highlight w:val="lightGray"/>
          <w:lang w:val="lt-LT" w:eastAsia="lt-LT" w:bidi="lt-LT"/>
        </w:rPr>
        <w:t>NN:</w:t>
      </w:r>
      <w:r>
        <w:rPr>
          <w:snapToGrid w:val="0"/>
          <w:szCs w:val="22"/>
          <w:lang w:val="lt-LT"/>
        </w:rPr>
        <w:br w:type="page"/>
      </w:r>
    </w:p>
    <w:p w14:paraId="6B55CDB4"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lastRenderedPageBreak/>
        <w:t>INFORMACIJA ANT IŠORINĖS PAKUOTĖS</w:t>
      </w:r>
    </w:p>
    <w:p w14:paraId="55C16B40"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83C4FA3"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MAIŠIUKAS, KURIAME YRA 7 AMPULĖS</w:t>
      </w:r>
    </w:p>
    <w:p w14:paraId="3CC814CE" w14:textId="77777777" w:rsidR="00803D36" w:rsidRDefault="00803D36" w:rsidP="00803D36">
      <w:pPr>
        <w:spacing w:line="240" w:lineRule="auto"/>
        <w:rPr>
          <w:szCs w:val="22"/>
          <w:lang w:val="lt-LT"/>
        </w:rPr>
      </w:pPr>
    </w:p>
    <w:p w14:paraId="62D2EE96" w14:textId="77777777" w:rsidR="00803D36" w:rsidRDefault="00803D36" w:rsidP="00803D36">
      <w:pPr>
        <w:spacing w:line="240" w:lineRule="auto"/>
        <w:rPr>
          <w:szCs w:val="22"/>
          <w:lang w:val="lt-LT"/>
        </w:rPr>
      </w:pPr>
    </w:p>
    <w:p w14:paraId="5117E2D5"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1C65E644" w14:textId="77777777" w:rsidR="00803D36" w:rsidRDefault="00803D36" w:rsidP="00803D36">
      <w:pPr>
        <w:spacing w:line="240" w:lineRule="auto"/>
        <w:rPr>
          <w:szCs w:val="22"/>
          <w:lang w:val="lt-LT"/>
        </w:rPr>
      </w:pPr>
    </w:p>
    <w:p w14:paraId="0C3F6CDD" w14:textId="77777777" w:rsidR="00803D36" w:rsidRDefault="00803D36" w:rsidP="00803D36">
      <w:pPr>
        <w:spacing w:line="240" w:lineRule="auto"/>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300 mg/5 ml purškiamasis įkvepiamasis tirpalas</w:t>
      </w:r>
    </w:p>
    <w:p w14:paraId="78400990" w14:textId="6AED57FA" w:rsidR="00803D36" w:rsidRDefault="007656D7" w:rsidP="00803D36">
      <w:pPr>
        <w:spacing w:line="240" w:lineRule="auto"/>
        <w:rPr>
          <w:szCs w:val="22"/>
          <w:lang w:val="lt-LT"/>
        </w:rPr>
      </w:pPr>
      <w:proofErr w:type="spellStart"/>
      <w:r>
        <w:rPr>
          <w:szCs w:val="22"/>
          <w:lang w:val="lt-LT"/>
        </w:rPr>
        <w:t>t</w:t>
      </w:r>
      <w:r w:rsidR="00803D36">
        <w:rPr>
          <w:szCs w:val="22"/>
          <w:lang w:val="lt-LT"/>
        </w:rPr>
        <w:t>obramycinum</w:t>
      </w:r>
      <w:proofErr w:type="spellEnd"/>
    </w:p>
    <w:p w14:paraId="4BBBCAC1" w14:textId="77777777" w:rsidR="00803D36" w:rsidRDefault="00803D36" w:rsidP="00803D36">
      <w:pPr>
        <w:spacing w:line="240" w:lineRule="auto"/>
        <w:rPr>
          <w:szCs w:val="22"/>
          <w:lang w:val="lt-LT"/>
        </w:rPr>
      </w:pPr>
    </w:p>
    <w:p w14:paraId="7E5E2840" w14:textId="77777777" w:rsidR="00803D36" w:rsidRDefault="00803D36" w:rsidP="00803D36">
      <w:pPr>
        <w:spacing w:line="240" w:lineRule="auto"/>
        <w:rPr>
          <w:szCs w:val="22"/>
          <w:lang w:val="lt-LT"/>
        </w:rPr>
      </w:pPr>
    </w:p>
    <w:p w14:paraId="7D3B0CCB"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t>VEIKLIOJI (-IOS) MEDŽIAGA (-OS) IR JOS (-Ų) KIEKIS (-IAI)</w:t>
      </w:r>
    </w:p>
    <w:p w14:paraId="5D66B72A" w14:textId="77777777" w:rsidR="00803D36" w:rsidRDefault="00803D36" w:rsidP="00803D36">
      <w:pPr>
        <w:spacing w:line="240" w:lineRule="auto"/>
        <w:rPr>
          <w:szCs w:val="22"/>
          <w:lang w:val="lt-LT"/>
        </w:rPr>
      </w:pPr>
    </w:p>
    <w:p w14:paraId="488DA3FE" w14:textId="7A2C1727" w:rsidR="00803D36" w:rsidRDefault="007656D7" w:rsidP="00803D36">
      <w:pPr>
        <w:spacing w:line="240" w:lineRule="auto"/>
        <w:rPr>
          <w:szCs w:val="22"/>
          <w:lang w:val="lt-LT"/>
        </w:rPr>
      </w:pPr>
      <w:r>
        <w:rPr>
          <w:szCs w:val="22"/>
          <w:lang w:val="lt-LT"/>
        </w:rPr>
        <w:t xml:space="preserve">Kiekvienoje </w:t>
      </w:r>
      <w:r w:rsidR="00803D36">
        <w:rPr>
          <w:szCs w:val="22"/>
          <w:lang w:val="lt-LT"/>
        </w:rPr>
        <w:t>5 ml</w:t>
      </w:r>
      <w:r>
        <w:rPr>
          <w:szCs w:val="22"/>
          <w:lang w:val="lt-LT"/>
        </w:rPr>
        <w:t xml:space="preserve"> </w:t>
      </w:r>
      <w:r w:rsidR="00803D36">
        <w:rPr>
          <w:szCs w:val="22"/>
          <w:lang w:val="lt-LT"/>
        </w:rPr>
        <w:t xml:space="preserve">ampulėje yra 300 mg </w:t>
      </w:r>
      <w:proofErr w:type="spellStart"/>
      <w:r w:rsidR="00803D36">
        <w:rPr>
          <w:szCs w:val="22"/>
          <w:lang w:val="lt-LT"/>
        </w:rPr>
        <w:t>tobramicino</w:t>
      </w:r>
      <w:proofErr w:type="spellEnd"/>
      <w:r w:rsidR="00803D36">
        <w:rPr>
          <w:szCs w:val="22"/>
          <w:lang w:val="lt-LT"/>
        </w:rPr>
        <w:t>.</w:t>
      </w:r>
    </w:p>
    <w:p w14:paraId="7CD92A07" w14:textId="77777777" w:rsidR="00803D36" w:rsidRDefault="00803D36" w:rsidP="00803D36">
      <w:pPr>
        <w:spacing w:line="240" w:lineRule="auto"/>
        <w:rPr>
          <w:szCs w:val="22"/>
          <w:lang w:val="lt-LT"/>
        </w:rPr>
      </w:pPr>
    </w:p>
    <w:p w14:paraId="322E37D2" w14:textId="77777777" w:rsidR="00803D36" w:rsidRDefault="00803D36" w:rsidP="00803D36">
      <w:pPr>
        <w:spacing w:line="240" w:lineRule="auto"/>
        <w:rPr>
          <w:szCs w:val="22"/>
          <w:lang w:val="lt-LT"/>
        </w:rPr>
      </w:pPr>
    </w:p>
    <w:p w14:paraId="32202EB5"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t>PAGALBINIŲ MEDŽIAGŲ SĄRAŠAS</w:t>
      </w:r>
    </w:p>
    <w:p w14:paraId="17ACB12B" w14:textId="77777777" w:rsidR="00803D36" w:rsidRDefault="00803D36" w:rsidP="00803D36">
      <w:pPr>
        <w:spacing w:line="240" w:lineRule="auto"/>
        <w:rPr>
          <w:szCs w:val="22"/>
          <w:lang w:val="lt-LT"/>
        </w:rPr>
      </w:pPr>
    </w:p>
    <w:p w14:paraId="5715892C" w14:textId="77777777" w:rsidR="00803D36" w:rsidRDefault="00803D36" w:rsidP="00803D36">
      <w:pPr>
        <w:spacing w:line="240" w:lineRule="auto"/>
        <w:rPr>
          <w:szCs w:val="22"/>
          <w:lang w:val="lt-LT"/>
        </w:rPr>
      </w:pPr>
      <w:r>
        <w:rPr>
          <w:szCs w:val="22"/>
          <w:lang w:val="lt-LT"/>
        </w:rPr>
        <w:t>Pagalbinės medžiagos: natrio chloridas, natrio hidroksidas (pH koreguoti), sulfato rūgštis (pH koreguoti) ir injekcinis vanduo.</w:t>
      </w:r>
    </w:p>
    <w:p w14:paraId="703C52EB" w14:textId="77777777" w:rsidR="00803D36" w:rsidRDefault="00803D36" w:rsidP="00803D36">
      <w:pPr>
        <w:spacing w:line="240" w:lineRule="auto"/>
        <w:rPr>
          <w:szCs w:val="22"/>
          <w:lang w:val="lt-LT"/>
        </w:rPr>
      </w:pPr>
    </w:p>
    <w:p w14:paraId="5545FDD3" w14:textId="77777777" w:rsidR="00803D36" w:rsidRDefault="00803D36" w:rsidP="00803D36">
      <w:pPr>
        <w:spacing w:line="240" w:lineRule="auto"/>
        <w:rPr>
          <w:szCs w:val="22"/>
          <w:lang w:val="lt-LT"/>
        </w:rPr>
      </w:pPr>
      <w:r>
        <w:rPr>
          <w:szCs w:val="22"/>
          <w:lang w:val="lt-LT"/>
        </w:rPr>
        <w:t>Daugiau informacijos pateikiama pakuotės lapelyje.</w:t>
      </w:r>
    </w:p>
    <w:p w14:paraId="79277C9D" w14:textId="77777777" w:rsidR="00803D36" w:rsidRDefault="00803D36" w:rsidP="00803D36">
      <w:pPr>
        <w:spacing w:line="240" w:lineRule="auto"/>
        <w:rPr>
          <w:szCs w:val="22"/>
          <w:lang w:val="lt-LT"/>
        </w:rPr>
      </w:pPr>
    </w:p>
    <w:p w14:paraId="7AE481A0" w14:textId="77777777" w:rsidR="00803D36" w:rsidRDefault="00803D36" w:rsidP="00803D36">
      <w:pPr>
        <w:spacing w:line="240" w:lineRule="auto"/>
        <w:rPr>
          <w:szCs w:val="22"/>
          <w:lang w:val="lt-LT"/>
        </w:rPr>
      </w:pPr>
    </w:p>
    <w:p w14:paraId="2B4DDB3A"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t>FARMACINĖ FORMA IR KIEKIS PAKUOTĖJE</w:t>
      </w:r>
    </w:p>
    <w:p w14:paraId="64DFFC89" w14:textId="77777777" w:rsidR="00803D36" w:rsidRDefault="00803D36" w:rsidP="00803D36">
      <w:pPr>
        <w:spacing w:line="240" w:lineRule="auto"/>
        <w:rPr>
          <w:szCs w:val="22"/>
          <w:lang w:val="lt-LT"/>
        </w:rPr>
      </w:pPr>
    </w:p>
    <w:p w14:paraId="7FE80402" w14:textId="77777777" w:rsidR="00803D36" w:rsidRDefault="00803D36" w:rsidP="00803D36">
      <w:pPr>
        <w:spacing w:line="240" w:lineRule="auto"/>
        <w:rPr>
          <w:szCs w:val="22"/>
          <w:lang w:val="lt-LT"/>
        </w:rPr>
      </w:pPr>
      <w:r>
        <w:rPr>
          <w:szCs w:val="22"/>
          <w:lang w:val="lt-LT"/>
        </w:rPr>
        <w:t>Purškiamasis įkvepiamasis tirpalas</w:t>
      </w:r>
    </w:p>
    <w:p w14:paraId="02EEC4AE" w14:textId="77777777" w:rsidR="00803D36" w:rsidRDefault="00803D36" w:rsidP="00803D36">
      <w:pPr>
        <w:spacing w:line="240" w:lineRule="auto"/>
        <w:rPr>
          <w:szCs w:val="22"/>
          <w:lang w:val="lt-LT"/>
        </w:rPr>
      </w:pPr>
    </w:p>
    <w:p w14:paraId="1CFBF5BE" w14:textId="77777777" w:rsidR="00803D36" w:rsidRDefault="00803D36" w:rsidP="00803D36">
      <w:pPr>
        <w:spacing w:line="240" w:lineRule="auto"/>
        <w:rPr>
          <w:szCs w:val="22"/>
          <w:lang w:val="lt-LT"/>
        </w:rPr>
      </w:pPr>
      <w:r>
        <w:rPr>
          <w:szCs w:val="22"/>
          <w:lang w:val="lt-LT"/>
        </w:rPr>
        <w:t>7 ampulės po 5 ml.</w:t>
      </w:r>
    </w:p>
    <w:p w14:paraId="090F4C27" w14:textId="77777777" w:rsidR="00803D36" w:rsidRDefault="00803D36" w:rsidP="00803D36">
      <w:pPr>
        <w:spacing w:line="240" w:lineRule="auto"/>
        <w:rPr>
          <w:szCs w:val="22"/>
          <w:lang w:val="lt-LT"/>
        </w:rPr>
      </w:pPr>
    </w:p>
    <w:p w14:paraId="2AE91B48" w14:textId="77777777" w:rsidR="00803D36" w:rsidRDefault="00803D36" w:rsidP="00803D36">
      <w:pPr>
        <w:spacing w:line="240" w:lineRule="auto"/>
        <w:rPr>
          <w:szCs w:val="22"/>
          <w:lang w:val="lt-LT"/>
        </w:rPr>
      </w:pPr>
    </w:p>
    <w:p w14:paraId="4BC86BF4"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t>VARTOJIMO METODAS IR BŪDAS (-AI)</w:t>
      </w:r>
    </w:p>
    <w:p w14:paraId="62E23E77" w14:textId="77777777" w:rsidR="00803D36" w:rsidRDefault="00803D36" w:rsidP="00803D36">
      <w:pPr>
        <w:spacing w:line="240" w:lineRule="auto"/>
        <w:rPr>
          <w:szCs w:val="22"/>
          <w:lang w:val="lt-LT"/>
        </w:rPr>
      </w:pPr>
    </w:p>
    <w:p w14:paraId="1C83385E" w14:textId="77777777" w:rsidR="00803D36" w:rsidRDefault="00803D36" w:rsidP="00803D36">
      <w:pPr>
        <w:spacing w:line="240" w:lineRule="auto"/>
        <w:rPr>
          <w:szCs w:val="22"/>
          <w:lang w:val="lt-LT"/>
        </w:rPr>
      </w:pPr>
      <w:r>
        <w:rPr>
          <w:szCs w:val="22"/>
          <w:lang w:val="lt-LT"/>
        </w:rPr>
        <w:t>Prieš vartojimą perskaitykite pakuotės lapelį.</w:t>
      </w:r>
    </w:p>
    <w:p w14:paraId="71163F85" w14:textId="77777777" w:rsidR="00803D36" w:rsidRDefault="00803D36" w:rsidP="00803D36">
      <w:pPr>
        <w:spacing w:line="240" w:lineRule="auto"/>
        <w:rPr>
          <w:szCs w:val="22"/>
          <w:lang w:val="lt-LT"/>
        </w:rPr>
      </w:pPr>
      <w:r>
        <w:rPr>
          <w:szCs w:val="22"/>
          <w:lang w:val="lt-LT"/>
        </w:rPr>
        <w:t>Įkvėpti.</w:t>
      </w:r>
    </w:p>
    <w:p w14:paraId="7D8FB531" w14:textId="77777777" w:rsidR="00803D36" w:rsidRDefault="00803D36" w:rsidP="00803D36">
      <w:pPr>
        <w:spacing w:line="240" w:lineRule="auto"/>
        <w:rPr>
          <w:szCs w:val="22"/>
          <w:lang w:val="lt-LT"/>
        </w:rPr>
      </w:pPr>
    </w:p>
    <w:p w14:paraId="0D271DF4" w14:textId="77777777" w:rsidR="00803D36" w:rsidRDefault="00803D36" w:rsidP="00803D36">
      <w:pPr>
        <w:spacing w:line="240" w:lineRule="auto"/>
        <w:rPr>
          <w:szCs w:val="22"/>
          <w:lang w:val="lt-LT"/>
        </w:rPr>
      </w:pPr>
    </w:p>
    <w:p w14:paraId="30B4C493"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t>SPECIALUS ĮSPĖJIMAS, KAD VAISTINĮ PREPARATĄ BŪTINA LAIKYTI VAIKAMS NEPASTEBIMOJE IR  NEPASIEKIAMOJE VIETOJE</w:t>
      </w:r>
    </w:p>
    <w:p w14:paraId="21E61851" w14:textId="77777777" w:rsidR="00803D36" w:rsidRDefault="00803D36" w:rsidP="00803D36">
      <w:pPr>
        <w:spacing w:line="240" w:lineRule="auto"/>
        <w:rPr>
          <w:szCs w:val="22"/>
          <w:lang w:val="lt-LT"/>
        </w:rPr>
      </w:pPr>
    </w:p>
    <w:p w14:paraId="133F97E5" w14:textId="77777777" w:rsidR="00803D36" w:rsidRDefault="00803D36" w:rsidP="00803D36">
      <w:pPr>
        <w:spacing w:line="240" w:lineRule="auto"/>
        <w:rPr>
          <w:szCs w:val="22"/>
          <w:lang w:val="lt-LT"/>
        </w:rPr>
      </w:pPr>
      <w:r>
        <w:rPr>
          <w:szCs w:val="22"/>
          <w:lang w:val="lt-LT"/>
        </w:rPr>
        <w:t>Laikyti vaikams nepastebimoje ir nepasiekiamoje vietoje.</w:t>
      </w:r>
    </w:p>
    <w:p w14:paraId="09B2F613" w14:textId="77777777" w:rsidR="00803D36" w:rsidRDefault="00803D36" w:rsidP="00803D36">
      <w:pPr>
        <w:spacing w:line="240" w:lineRule="auto"/>
        <w:rPr>
          <w:szCs w:val="22"/>
          <w:lang w:val="lt-LT"/>
        </w:rPr>
      </w:pPr>
    </w:p>
    <w:p w14:paraId="3196EE20" w14:textId="77777777" w:rsidR="00803D36" w:rsidRDefault="00803D36" w:rsidP="00803D36">
      <w:pPr>
        <w:spacing w:line="240" w:lineRule="auto"/>
        <w:rPr>
          <w:szCs w:val="22"/>
          <w:lang w:val="lt-LT"/>
        </w:rPr>
      </w:pPr>
    </w:p>
    <w:p w14:paraId="063A1673"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t>KITAS (-I) SPECIALUS (-ŪS) ĮSPĖJIMAS (-AI) (JEI REIKIA)</w:t>
      </w:r>
    </w:p>
    <w:p w14:paraId="7D7BDE90" w14:textId="77777777" w:rsidR="00803D36" w:rsidRDefault="00803D36" w:rsidP="00803D36">
      <w:pPr>
        <w:spacing w:line="240" w:lineRule="auto"/>
        <w:rPr>
          <w:szCs w:val="22"/>
          <w:lang w:val="lt-LT"/>
        </w:rPr>
      </w:pPr>
    </w:p>
    <w:p w14:paraId="141641A3" w14:textId="77777777" w:rsidR="00803D36" w:rsidRDefault="00803D36" w:rsidP="00803D36">
      <w:pPr>
        <w:spacing w:line="240" w:lineRule="auto"/>
        <w:rPr>
          <w:szCs w:val="22"/>
          <w:lang w:val="lt-LT"/>
        </w:rPr>
      </w:pPr>
    </w:p>
    <w:p w14:paraId="34E0BF7D"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8.</w:t>
      </w:r>
      <w:r>
        <w:rPr>
          <w:b/>
          <w:szCs w:val="22"/>
          <w:lang w:val="lt-LT"/>
        </w:rPr>
        <w:tab/>
        <w:t>TINKAMUMO LAIKAS</w:t>
      </w:r>
    </w:p>
    <w:p w14:paraId="2D1EFDDF" w14:textId="77777777" w:rsidR="00803D36" w:rsidRDefault="00803D36" w:rsidP="00803D36">
      <w:pPr>
        <w:spacing w:line="240" w:lineRule="auto"/>
        <w:rPr>
          <w:szCs w:val="22"/>
          <w:lang w:val="lt-LT"/>
        </w:rPr>
      </w:pPr>
    </w:p>
    <w:p w14:paraId="18FE173A" w14:textId="77777777" w:rsidR="00803D36" w:rsidRDefault="00803D36" w:rsidP="00803D36">
      <w:pPr>
        <w:spacing w:line="240" w:lineRule="auto"/>
        <w:rPr>
          <w:szCs w:val="22"/>
          <w:lang w:val="lt-LT"/>
        </w:rPr>
      </w:pPr>
      <w:r>
        <w:rPr>
          <w:szCs w:val="22"/>
          <w:lang w:val="lt-LT"/>
        </w:rPr>
        <w:t>EXP: {mm-MMMM}</w:t>
      </w:r>
    </w:p>
    <w:p w14:paraId="66CDBCEC" w14:textId="77777777" w:rsidR="00803D36" w:rsidRDefault="00803D36" w:rsidP="00803D36">
      <w:pPr>
        <w:numPr>
          <w:ilvl w:val="12"/>
          <w:numId w:val="0"/>
        </w:numPr>
        <w:tabs>
          <w:tab w:val="clear" w:pos="567"/>
          <w:tab w:val="left" w:pos="1296"/>
        </w:tabs>
        <w:spacing w:line="240" w:lineRule="auto"/>
        <w:ind w:right="-2"/>
        <w:rPr>
          <w:szCs w:val="22"/>
          <w:lang w:val="lt-LT"/>
        </w:rPr>
      </w:pPr>
    </w:p>
    <w:p w14:paraId="7DD5940E"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Atidarytos ampulės laikyti negalima. Atidarytą ampulę būtina vartoti nedelsiant, bet kokį nesuvartotą likutį būtina išpilti.</w:t>
      </w:r>
    </w:p>
    <w:p w14:paraId="059DD3A0" w14:textId="77777777" w:rsidR="00803D36" w:rsidRDefault="00803D36" w:rsidP="00803D36">
      <w:pPr>
        <w:spacing w:line="240" w:lineRule="auto"/>
        <w:rPr>
          <w:szCs w:val="22"/>
          <w:lang w:val="lt-LT"/>
        </w:rPr>
      </w:pPr>
    </w:p>
    <w:p w14:paraId="12CC6264" w14:textId="77777777" w:rsidR="00803D36" w:rsidRDefault="00803D36" w:rsidP="00803D36">
      <w:pPr>
        <w:spacing w:line="240" w:lineRule="auto"/>
        <w:rPr>
          <w:szCs w:val="22"/>
          <w:lang w:val="lt-LT"/>
        </w:rPr>
      </w:pPr>
    </w:p>
    <w:p w14:paraId="45E751D2" w14:textId="77777777" w:rsidR="00803D36" w:rsidRDefault="00803D36" w:rsidP="00803D3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lastRenderedPageBreak/>
        <w:t>9.</w:t>
      </w:r>
      <w:r>
        <w:rPr>
          <w:b/>
          <w:szCs w:val="22"/>
          <w:lang w:val="lt-LT"/>
        </w:rPr>
        <w:tab/>
        <w:t>SPECIALIOS LAIKYMO SĄLYGOS</w:t>
      </w:r>
    </w:p>
    <w:p w14:paraId="563AC7AB" w14:textId="77777777" w:rsidR="00803D36" w:rsidRDefault="00803D36" w:rsidP="00803D36">
      <w:pPr>
        <w:spacing w:line="240" w:lineRule="auto"/>
        <w:rPr>
          <w:szCs w:val="22"/>
          <w:lang w:val="lt-LT"/>
        </w:rPr>
      </w:pPr>
    </w:p>
    <w:p w14:paraId="280AD7EB" w14:textId="77777777" w:rsidR="00803D36" w:rsidRDefault="00803D36" w:rsidP="00803D36">
      <w:pPr>
        <w:spacing w:line="240" w:lineRule="auto"/>
        <w:rPr>
          <w:szCs w:val="22"/>
          <w:lang w:val="lt-LT"/>
        </w:rPr>
      </w:pPr>
      <w:r>
        <w:rPr>
          <w:szCs w:val="22"/>
          <w:lang w:val="lt-LT"/>
        </w:rPr>
        <w:t>Laikyti šaldytuve</w:t>
      </w:r>
      <w:r>
        <w:rPr>
          <w:lang w:val="lt-LT"/>
        </w:rPr>
        <w:t xml:space="preserve"> (2 </w:t>
      </w:r>
      <w:r>
        <w:rPr>
          <w:szCs w:val="22"/>
          <w:lang w:val="lt-LT"/>
        </w:rPr>
        <w:sym w:font="Symbol" w:char="F0B0"/>
      </w:r>
      <w:r>
        <w:rPr>
          <w:lang w:val="lt-LT"/>
        </w:rPr>
        <w:t xml:space="preserve">C – 8 </w:t>
      </w:r>
      <w:r>
        <w:rPr>
          <w:szCs w:val="22"/>
          <w:lang w:val="lt-LT"/>
        </w:rPr>
        <w:sym w:font="Symbol" w:char="F0B0"/>
      </w:r>
      <w:r>
        <w:rPr>
          <w:lang w:val="lt-LT"/>
        </w:rPr>
        <w:t>C)</w:t>
      </w:r>
      <w:r>
        <w:rPr>
          <w:szCs w:val="22"/>
          <w:lang w:val="lt-LT"/>
        </w:rPr>
        <w:t>.</w:t>
      </w:r>
    </w:p>
    <w:p w14:paraId="430A2252" w14:textId="77777777" w:rsidR="00803D36" w:rsidRDefault="00803D36" w:rsidP="00803D36">
      <w:pPr>
        <w:spacing w:line="240" w:lineRule="auto"/>
        <w:rPr>
          <w:szCs w:val="22"/>
          <w:lang w:val="lt-LT"/>
        </w:rPr>
      </w:pPr>
    </w:p>
    <w:p w14:paraId="76D3765B" w14:textId="77777777" w:rsidR="00803D36" w:rsidRDefault="00803D36" w:rsidP="00803D36">
      <w:pPr>
        <w:spacing w:line="240" w:lineRule="auto"/>
        <w:rPr>
          <w:szCs w:val="22"/>
          <w:lang w:val="lt-LT"/>
        </w:rPr>
      </w:pPr>
    </w:p>
    <w:p w14:paraId="297087B5"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10.</w:t>
      </w:r>
      <w:r>
        <w:rPr>
          <w:b/>
          <w:szCs w:val="22"/>
          <w:lang w:val="lt-LT"/>
        </w:rPr>
        <w:tab/>
        <w:t>SPECIALIOS ATSARGUMO PRIEMONĖS DĖL NESUVARTOTO VAISTINIO PREPARATO AR JO ATLIEKŲ TVARKYMO (JEI REIKIA)</w:t>
      </w:r>
    </w:p>
    <w:p w14:paraId="5D12EDF7" w14:textId="77777777" w:rsidR="00803D36" w:rsidRDefault="00803D36" w:rsidP="00803D36">
      <w:pPr>
        <w:spacing w:line="240" w:lineRule="auto"/>
        <w:rPr>
          <w:szCs w:val="22"/>
          <w:lang w:val="lt-LT"/>
        </w:rPr>
      </w:pPr>
    </w:p>
    <w:p w14:paraId="3A3FF3F3" w14:textId="77777777" w:rsidR="00803D36" w:rsidRDefault="00803D36" w:rsidP="00803D36">
      <w:pPr>
        <w:spacing w:line="240" w:lineRule="auto"/>
        <w:rPr>
          <w:szCs w:val="22"/>
          <w:lang w:val="lt-LT"/>
        </w:rPr>
      </w:pPr>
    </w:p>
    <w:p w14:paraId="427E753D"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r>
      <w:r>
        <w:rPr>
          <w:b/>
          <w:caps/>
          <w:szCs w:val="22"/>
          <w:lang w:val="lt-LT"/>
        </w:rPr>
        <w:t xml:space="preserve"> REGISTRUOTOJO PAVADINIMAS IR ADRESAS</w:t>
      </w:r>
    </w:p>
    <w:p w14:paraId="08647556" w14:textId="77777777" w:rsidR="00803D36" w:rsidRDefault="00803D36" w:rsidP="00803D36">
      <w:pPr>
        <w:spacing w:line="240" w:lineRule="auto"/>
        <w:rPr>
          <w:szCs w:val="22"/>
          <w:lang w:val="lt-LT"/>
        </w:rPr>
      </w:pPr>
    </w:p>
    <w:p w14:paraId="10F6255C" w14:textId="77777777" w:rsidR="00803D36" w:rsidRDefault="00803D36" w:rsidP="00803D36">
      <w:pPr>
        <w:spacing w:line="240" w:lineRule="auto"/>
        <w:rPr>
          <w:szCs w:val="22"/>
          <w:lang w:val="lt-LT"/>
        </w:rPr>
      </w:pPr>
      <w:r>
        <w:rPr>
          <w:szCs w:val="22"/>
          <w:lang w:val="lt-LT"/>
        </w:rPr>
        <w:t xml:space="preserve">UAB Via </w:t>
      </w:r>
      <w:proofErr w:type="spellStart"/>
      <w:r>
        <w:rPr>
          <w:szCs w:val="22"/>
          <w:lang w:val="lt-LT"/>
        </w:rPr>
        <w:t>pharma</w:t>
      </w:r>
      <w:proofErr w:type="spellEnd"/>
    </w:p>
    <w:p w14:paraId="4E03E7FA" w14:textId="77777777" w:rsidR="00803D36" w:rsidRDefault="00803D36" w:rsidP="00803D36">
      <w:pPr>
        <w:spacing w:line="240" w:lineRule="auto"/>
        <w:rPr>
          <w:szCs w:val="22"/>
          <w:lang w:val="lt-LT"/>
        </w:rPr>
      </w:pPr>
      <w:r>
        <w:rPr>
          <w:szCs w:val="22"/>
          <w:lang w:val="lt-LT"/>
        </w:rPr>
        <w:t xml:space="preserve">J. </w:t>
      </w:r>
      <w:proofErr w:type="spellStart"/>
      <w:r>
        <w:rPr>
          <w:szCs w:val="22"/>
          <w:lang w:val="lt-LT"/>
        </w:rPr>
        <w:t>Galvydžio</w:t>
      </w:r>
      <w:proofErr w:type="spellEnd"/>
      <w:r>
        <w:rPr>
          <w:szCs w:val="22"/>
          <w:lang w:val="lt-LT"/>
        </w:rPr>
        <w:t xml:space="preserve"> g. 5 </w:t>
      </w:r>
    </w:p>
    <w:p w14:paraId="06E74C72" w14:textId="77777777" w:rsidR="00803D36" w:rsidRDefault="00803D36" w:rsidP="00803D36">
      <w:pPr>
        <w:spacing w:line="240" w:lineRule="auto"/>
        <w:rPr>
          <w:szCs w:val="22"/>
          <w:lang w:val="lt-LT"/>
        </w:rPr>
      </w:pPr>
      <w:r>
        <w:rPr>
          <w:szCs w:val="22"/>
          <w:lang w:val="lt-LT"/>
        </w:rPr>
        <w:t xml:space="preserve">LT-08236 Vilnius </w:t>
      </w:r>
    </w:p>
    <w:p w14:paraId="726C7718" w14:textId="77777777" w:rsidR="00803D36" w:rsidRDefault="00803D36" w:rsidP="00803D36">
      <w:pPr>
        <w:spacing w:line="240" w:lineRule="auto"/>
        <w:rPr>
          <w:szCs w:val="22"/>
          <w:lang w:val="lt-LT"/>
        </w:rPr>
      </w:pPr>
      <w:r>
        <w:rPr>
          <w:szCs w:val="22"/>
          <w:lang w:val="lt-LT"/>
        </w:rPr>
        <w:t>Lietuva</w:t>
      </w:r>
    </w:p>
    <w:p w14:paraId="4621D113" w14:textId="77777777" w:rsidR="00803D36" w:rsidRDefault="00803D36" w:rsidP="00803D36">
      <w:pPr>
        <w:spacing w:line="240" w:lineRule="auto"/>
        <w:rPr>
          <w:szCs w:val="22"/>
          <w:lang w:val="lt-LT"/>
        </w:rPr>
      </w:pPr>
    </w:p>
    <w:p w14:paraId="1A5E9B66" w14:textId="77777777" w:rsidR="00803D36" w:rsidRDefault="00803D36" w:rsidP="00803D36">
      <w:pPr>
        <w:spacing w:line="240" w:lineRule="auto"/>
        <w:rPr>
          <w:szCs w:val="22"/>
          <w:lang w:val="lt-LT"/>
        </w:rPr>
      </w:pPr>
    </w:p>
    <w:p w14:paraId="3A7C5532"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12.</w:t>
      </w:r>
      <w:r>
        <w:rPr>
          <w:b/>
          <w:szCs w:val="22"/>
          <w:lang w:val="lt-LT"/>
        </w:rPr>
        <w:tab/>
        <w:t xml:space="preserve">REGISTRACIJOS PAŽYMĖJIMO NUMERIS (-IAI) </w:t>
      </w:r>
    </w:p>
    <w:p w14:paraId="4EDD4165" w14:textId="77777777" w:rsidR="00803D36" w:rsidRDefault="00803D36" w:rsidP="00803D36">
      <w:pPr>
        <w:spacing w:line="240" w:lineRule="auto"/>
        <w:rPr>
          <w:szCs w:val="22"/>
          <w:lang w:val="lt-LT"/>
        </w:rPr>
      </w:pPr>
    </w:p>
    <w:p w14:paraId="19229E8E" w14:textId="77777777" w:rsidR="00803D36" w:rsidRDefault="00803D36" w:rsidP="00803D36">
      <w:pPr>
        <w:tabs>
          <w:tab w:val="clear" w:pos="567"/>
          <w:tab w:val="left" w:pos="1296"/>
        </w:tabs>
        <w:spacing w:line="240" w:lineRule="auto"/>
        <w:rPr>
          <w:szCs w:val="22"/>
          <w:lang w:val="lt-LT"/>
        </w:rPr>
      </w:pPr>
      <w:r>
        <w:rPr>
          <w:szCs w:val="22"/>
          <w:lang w:val="lt-LT"/>
        </w:rPr>
        <w:t>LT/1/16/3931/001</w:t>
      </w:r>
    </w:p>
    <w:p w14:paraId="60295F69" w14:textId="77777777" w:rsidR="00803D36" w:rsidRDefault="00803D36" w:rsidP="00803D36">
      <w:pPr>
        <w:spacing w:line="240" w:lineRule="auto"/>
        <w:rPr>
          <w:szCs w:val="22"/>
          <w:lang w:val="lt-LT"/>
        </w:rPr>
      </w:pPr>
    </w:p>
    <w:p w14:paraId="2E3E3755" w14:textId="77777777" w:rsidR="00803D36" w:rsidRDefault="00803D36" w:rsidP="00803D36">
      <w:pPr>
        <w:spacing w:line="240" w:lineRule="auto"/>
        <w:rPr>
          <w:szCs w:val="22"/>
          <w:lang w:val="lt-LT"/>
        </w:rPr>
      </w:pPr>
    </w:p>
    <w:p w14:paraId="23DD78D8"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13.</w:t>
      </w:r>
      <w:r>
        <w:rPr>
          <w:b/>
          <w:szCs w:val="22"/>
          <w:lang w:val="lt-LT"/>
        </w:rPr>
        <w:tab/>
        <w:t xml:space="preserve">SERIJOS NUMERIS </w:t>
      </w:r>
    </w:p>
    <w:p w14:paraId="0271BC75" w14:textId="77777777" w:rsidR="00803D36" w:rsidRDefault="00803D36" w:rsidP="00803D36">
      <w:pPr>
        <w:spacing w:line="240" w:lineRule="auto"/>
        <w:rPr>
          <w:szCs w:val="22"/>
          <w:lang w:val="lt-LT"/>
        </w:rPr>
      </w:pPr>
    </w:p>
    <w:p w14:paraId="60577AA4" w14:textId="77777777" w:rsidR="00803D36" w:rsidRDefault="00803D36" w:rsidP="00803D36">
      <w:pPr>
        <w:spacing w:line="240" w:lineRule="auto"/>
        <w:rPr>
          <w:szCs w:val="22"/>
          <w:lang w:val="lt-LT"/>
        </w:rPr>
      </w:pPr>
      <w:r>
        <w:rPr>
          <w:szCs w:val="22"/>
          <w:lang w:val="lt-LT"/>
        </w:rPr>
        <w:t>Lot:</w:t>
      </w:r>
    </w:p>
    <w:p w14:paraId="1708D0E1" w14:textId="77777777" w:rsidR="00803D36" w:rsidRDefault="00803D36" w:rsidP="00803D36">
      <w:pPr>
        <w:spacing w:line="240" w:lineRule="auto"/>
        <w:rPr>
          <w:szCs w:val="22"/>
          <w:lang w:val="lt-LT"/>
        </w:rPr>
      </w:pPr>
    </w:p>
    <w:p w14:paraId="4842166A" w14:textId="77777777" w:rsidR="00803D36" w:rsidRDefault="00803D36" w:rsidP="00803D36">
      <w:pPr>
        <w:spacing w:line="240" w:lineRule="auto"/>
        <w:rPr>
          <w:szCs w:val="22"/>
          <w:lang w:val="lt-LT"/>
        </w:rPr>
      </w:pPr>
    </w:p>
    <w:p w14:paraId="2A62AFB5"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t>PARDAVIMO (IŠDAVIMO) TVARKA</w:t>
      </w:r>
    </w:p>
    <w:p w14:paraId="26FB8C5F" w14:textId="77777777" w:rsidR="00803D36" w:rsidRDefault="00803D36" w:rsidP="00803D36">
      <w:pPr>
        <w:spacing w:line="240" w:lineRule="auto"/>
        <w:rPr>
          <w:szCs w:val="22"/>
          <w:lang w:val="lt-LT"/>
        </w:rPr>
      </w:pPr>
    </w:p>
    <w:p w14:paraId="1B44D548" w14:textId="77777777" w:rsidR="00803D36" w:rsidRDefault="00803D36" w:rsidP="00803D36">
      <w:pPr>
        <w:spacing w:line="240" w:lineRule="auto"/>
        <w:rPr>
          <w:szCs w:val="22"/>
          <w:lang w:val="lt-LT"/>
        </w:rPr>
      </w:pPr>
      <w:r>
        <w:rPr>
          <w:szCs w:val="22"/>
          <w:lang w:val="lt-LT"/>
        </w:rPr>
        <w:t>Receptinis vaistas.</w:t>
      </w:r>
    </w:p>
    <w:p w14:paraId="3AB6EA8C" w14:textId="77777777" w:rsidR="00803D36" w:rsidRDefault="00803D36" w:rsidP="00803D36">
      <w:pPr>
        <w:spacing w:line="240" w:lineRule="auto"/>
        <w:rPr>
          <w:szCs w:val="22"/>
          <w:lang w:val="lt-LT"/>
        </w:rPr>
      </w:pPr>
    </w:p>
    <w:p w14:paraId="1650C9F7" w14:textId="77777777" w:rsidR="00803D36" w:rsidRDefault="00803D36" w:rsidP="00803D36">
      <w:pPr>
        <w:spacing w:line="240" w:lineRule="auto"/>
        <w:rPr>
          <w:szCs w:val="22"/>
          <w:lang w:val="lt-LT"/>
        </w:rPr>
      </w:pPr>
    </w:p>
    <w:p w14:paraId="3460B8B0" w14:textId="77777777" w:rsidR="00803D36" w:rsidRDefault="00803D36" w:rsidP="00803D36">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t>VARTOJIMO INSTRUKCIJA</w:t>
      </w:r>
    </w:p>
    <w:p w14:paraId="7D99F500" w14:textId="77777777" w:rsidR="00803D36" w:rsidRDefault="00803D36" w:rsidP="00803D36">
      <w:pPr>
        <w:spacing w:line="240" w:lineRule="auto"/>
        <w:rPr>
          <w:szCs w:val="22"/>
          <w:lang w:val="lt-LT"/>
        </w:rPr>
      </w:pPr>
    </w:p>
    <w:p w14:paraId="165902A1" w14:textId="77777777" w:rsidR="00803D36" w:rsidRDefault="00803D36" w:rsidP="00803D36">
      <w:pPr>
        <w:spacing w:line="240" w:lineRule="auto"/>
        <w:rPr>
          <w:szCs w:val="22"/>
          <w:lang w:val="lt-LT"/>
        </w:rPr>
      </w:pPr>
    </w:p>
    <w:p w14:paraId="6FC69741" w14:textId="77777777" w:rsidR="00803D36" w:rsidRDefault="00803D36" w:rsidP="00803D36">
      <w:pPr>
        <w:pBdr>
          <w:top w:val="single" w:sz="4" w:space="1" w:color="auto"/>
          <w:left w:val="single" w:sz="4" w:space="4" w:color="auto"/>
          <w:bottom w:val="single" w:sz="4" w:space="0" w:color="auto"/>
          <w:right w:val="single" w:sz="4" w:space="4" w:color="auto"/>
        </w:pBdr>
        <w:spacing w:line="240" w:lineRule="auto"/>
        <w:rPr>
          <w:szCs w:val="22"/>
          <w:lang w:val="lt-LT"/>
        </w:rPr>
      </w:pPr>
      <w:r>
        <w:rPr>
          <w:b/>
          <w:szCs w:val="22"/>
          <w:lang w:val="lt-LT"/>
        </w:rPr>
        <w:t>16.</w:t>
      </w:r>
      <w:r>
        <w:rPr>
          <w:b/>
          <w:szCs w:val="22"/>
          <w:lang w:val="lt-LT"/>
        </w:rPr>
        <w:tab/>
        <w:t>INFORMACIJA BRAILIO RAŠTU</w:t>
      </w:r>
    </w:p>
    <w:p w14:paraId="30A57E5E" w14:textId="77777777" w:rsidR="00803D36" w:rsidRDefault="00803D36" w:rsidP="00803D36">
      <w:pPr>
        <w:spacing w:line="240" w:lineRule="auto"/>
        <w:rPr>
          <w:szCs w:val="22"/>
          <w:lang w:val="lt-LT"/>
        </w:rPr>
      </w:pPr>
    </w:p>
    <w:p w14:paraId="57EDA966" w14:textId="77777777" w:rsidR="00803D36" w:rsidRDefault="00803D36" w:rsidP="00803D36">
      <w:pPr>
        <w:spacing w:line="240" w:lineRule="auto"/>
        <w:rPr>
          <w:szCs w:val="22"/>
          <w:lang w:val="lt-LT"/>
        </w:rPr>
      </w:pPr>
      <w:r>
        <w:rPr>
          <w:szCs w:val="22"/>
          <w:highlight w:val="lightGray"/>
          <w:lang w:val="lt-LT"/>
        </w:rPr>
        <w:t>Priimtas pagrindimas informacijos Brailio raštu nepateikti.</w:t>
      </w:r>
    </w:p>
    <w:p w14:paraId="5388924F" w14:textId="77777777" w:rsidR="00803D36" w:rsidRDefault="00803D36" w:rsidP="00803D36">
      <w:pPr>
        <w:spacing w:line="240" w:lineRule="auto"/>
        <w:rPr>
          <w:b/>
          <w:szCs w:val="22"/>
          <w:lang w:val="lt-LT"/>
        </w:rPr>
      </w:pPr>
      <w:r>
        <w:rPr>
          <w:snapToGrid w:val="0"/>
          <w:szCs w:val="22"/>
          <w:lang w:val="lt-LT"/>
        </w:rPr>
        <w:br w:type="page"/>
      </w:r>
    </w:p>
    <w:p w14:paraId="3961BBE3"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lastRenderedPageBreak/>
        <w:t>MINIMALI INFORMACIJA ANT MAŽŲ VIDINIŲ PAKUOČIŲ</w:t>
      </w:r>
    </w:p>
    <w:p w14:paraId="7571CF79"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rPr>
          <w:b/>
          <w:szCs w:val="22"/>
          <w:lang w:val="lt-LT"/>
        </w:rPr>
      </w:pPr>
    </w:p>
    <w:p w14:paraId="2A315742"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rPr>
          <w:szCs w:val="22"/>
          <w:lang w:val="lt-LT"/>
        </w:rPr>
      </w:pPr>
      <w:r>
        <w:rPr>
          <w:b/>
          <w:szCs w:val="22"/>
          <w:lang w:val="lt-LT"/>
        </w:rPr>
        <w:t>AMPULĖS ETIKETĖ</w:t>
      </w:r>
    </w:p>
    <w:p w14:paraId="41ED5405" w14:textId="77777777" w:rsidR="00803D36" w:rsidRDefault="00803D36" w:rsidP="00803D36">
      <w:pPr>
        <w:spacing w:line="240" w:lineRule="auto"/>
        <w:rPr>
          <w:szCs w:val="22"/>
          <w:lang w:val="lt-LT"/>
        </w:rPr>
      </w:pPr>
    </w:p>
    <w:p w14:paraId="48BD23E0" w14:textId="77777777" w:rsidR="00803D36" w:rsidRDefault="00803D36" w:rsidP="00803D36">
      <w:pPr>
        <w:spacing w:line="240" w:lineRule="auto"/>
        <w:rPr>
          <w:szCs w:val="22"/>
          <w:lang w:val="lt-LT"/>
        </w:rPr>
      </w:pPr>
    </w:p>
    <w:p w14:paraId="1B161CF9"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w:t>
      </w:r>
      <w:r>
        <w:rPr>
          <w:b/>
          <w:szCs w:val="22"/>
          <w:lang w:val="lt-LT"/>
        </w:rPr>
        <w:tab/>
      </w:r>
      <w:r>
        <w:rPr>
          <w:b/>
          <w:caps/>
          <w:szCs w:val="22"/>
          <w:lang w:val="lt-LT"/>
        </w:rPr>
        <w:t>Vaistinio preparato pavadinimas ir vartojimo būdas (-ai)</w:t>
      </w:r>
    </w:p>
    <w:p w14:paraId="3A6232B5" w14:textId="77777777" w:rsidR="00803D36" w:rsidRDefault="00803D36" w:rsidP="00803D36">
      <w:pPr>
        <w:spacing w:line="240" w:lineRule="auto"/>
        <w:rPr>
          <w:szCs w:val="22"/>
          <w:lang w:val="lt-LT"/>
        </w:rPr>
      </w:pPr>
    </w:p>
    <w:p w14:paraId="644010B6" w14:textId="77777777" w:rsidR="00803D36" w:rsidRDefault="00803D36" w:rsidP="00803D36">
      <w:pPr>
        <w:spacing w:line="240" w:lineRule="auto"/>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300 mg/5 ml purškiamasis įkvepiamasis tirpalas</w:t>
      </w:r>
    </w:p>
    <w:p w14:paraId="08CDF07C" w14:textId="0881316D" w:rsidR="00803D36" w:rsidRDefault="007656D7" w:rsidP="00803D36">
      <w:pPr>
        <w:spacing w:line="240" w:lineRule="auto"/>
        <w:rPr>
          <w:szCs w:val="22"/>
          <w:lang w:val="lt-LT"/>
        </w:rPr>
      </w:pPr>
      <w:proofErr w:type="spellStart"/>
      <w:r>
        <w:rPr>
          <w:szCs w:val="22"/>
          <w:lang w:val="lt-LT"/>
        </w:rPr>
        <w:t>t</w:t>
      </w:r>
      <w:r w:rsidR="00803D36">
        <w:rPr>
          <w:szCs w:val="22"/>
          <w:lang w:val="lt-LT"/>
        </w:rPr>
        <w:t>obramycinum</w:t>
      </w:r>
      <w:proofErr w:type="spellEnd"/>
    </w:p>
    <w:p w14:paraId="5F8F7AC5" w14:textId="77777777" w:rsidR="00803D36" w:rsidRDefault="00803D36" w:rsidP="00803D36">
      <w:pPr>
        <w:spacing w:line="240" w:lineRule="auto"/>
        <w:rPr>
          <w:szCs w:val="22"/>
          <w:lang w:val="lt-LT"/>
        </w:rPr>
      </w:pPr>
    </w:p>
    <w:p w14:paraId="1E65BA79" w14:textId="77777777" w:rsidR="00803D36" w:rsidRDefault="00803D36" w:rsidP="00803D36">
      <w:pPr>
        <w:spacing w:line="240" w:lineRule="auto"/>
        <w:rPr>
          <w:szCs w:val="22"/>
          <w:lang w:val="lt-LT"/>
        </w:rPr>
      </w:pPr>
    </w:p>
    <w:p w14:paraId="3FAF84CE"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2.</w:t>
      </w:r>
      <w:r>
        <w:rPr>
          <w:b/>
          <w:szCs w:val="22"/>
          <w:lang w:val="lt-LT"/>
        </w:rPr>
        <w:tab/>
        <w:t>VARTOJIMO METODAS</w:t>
      </w:r>
    </w:p>
    <w:p w14:paraId="4B86AC4D" w14:textId="77777777" w:rsidR="00803D36" w:rsidRDefault="00803D36" w:rsidP="00803D36">
      <w:pPr>
        <w:spacing w:line="240" w:lineRule="auto"/>
        <w:rPr>
          <w:szCs w:val="22"/>
          <w:lang w:val="lt-LT"/>
        </w:rPr>
      </w:pPr>
    </w:p>
    <w:p w14:paraId="088CDB2B" w14:textId="77777777" w:rsidR="00803D36" w:rsidRDefault="00803D36" w:rsidP="00803D36">
      <w:pPr>
        <w:spacing w:line="240" w:lineRule="auto"/>
        <w:rPr>
          <w:szCs w:val="22"/>
          <w:lang w:val="lt-LT"/>
        </w:rPr>
      </w:pPr>
      <w:r>
        <w:rPr>
          <w:szCs w:val="22"/>
          <w:lang w:val="lt-LT"/>
        </w:rPr>
        <w:t>Įkvėpti</w:t>
      </w:r>
    </w:p>
    <w:p w14:paraId="1EC0C841" w14:textId="77777777" w:rsidR="00803D36" w:rsidRDefault="00803D36" w:rsidP="00803D36">
      <w:pPr>
        <w:spacing w:line="240" w:lineRule="auto"/>
        <w:rPr>
          <w:szCs w:val="22"/>
          <w:lang w:val="lt-LT"/>
        </w:rPr>
      </w:pPr>
    </w:p>
    <w:p w14:paraId="64CF31F7" w14:textId="77777777" w:rsidR="00803D36" w:rsidRDefault="00803D36" w:rsidP="00803D36">
      <w:pPr>
        <w:spacing w:line="240" w:lineRule="auto"/>
        <w:rPr>
          <w:szCs w:val="22"/>
          <w:lang w:val="lt-LT"/>
        </w:rPr>
      </w:pPr>
    </w:p>
    <w:p w14:paraId="7BBCAE16"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3.</w:t>
      </w:r>
      <w:r>
        <w:rPr>
          <w:b/>
          <w:szCs w:val="22"/>
          <w:lang w:val="lt-LT"/>
        </w:rPr>
        <w:tab/>
        <w:t>TINKAMUMO LAIKAS</w:t>
      </w:r>
    </w:p>
    <w:p w14:paraId="106F8EA3" w14:textId="77777777" w:rsidR="00803D36" w:rsidRDefault="00803D36" w:rsidP="00803D36">
      <w:pPr>
        <w:spacing w:line="240" w:lineRule="auto"/>
        <w:rPr>
          <w:szCs w:val="22"/>
          <w:lang w:val="lt-LT"/>
        </w:rPr>
      </w:pPr>
    </w:p>
    <w:p w14:paraId="22BFB472" w14:textId="77777777" w:rsidR="00803D36" w:rsidRDefault="00803D36" w:rsidP="00803D36">
      <w:pPr>
        <w:spacing w:line="240" w:lineRule="auto"/>
        <w:rPr>
          <w:szCs w:val="22"/>
          <w:lang w:val="lt-LT"/>
        </w:rPr>
      </w:pPr>
      <w:r>
        <w:rPr>
          <w:szCs w:val="22"/>
          <w:lang w:val="lt-LT"/>
        </w:rPr>
        <w:t>EXP: {mm-MMMM}</w:t>
      </w:r>
    </w:p>
    <w:p w14:paraId="2F7A39DB" w14:textId="77777777" w:rsidR="00803D36" w:rsidRDefault="00803D36" w:rsidP="00803D36">
      <w:pPr>
        <w:spacing w:line="240" w:lineRule="auto"/>
        <w:rPr>
          <w:szCs w:val="22"/>
          <w:lang w:val="lt-LT"/>
        </w:rPr>
      </w:pPr>
    </w:p>
    <w:p w14:paraId="7F0A4220" w14:textId="77777777" w:rsidR="00803D36" w:rsidRDefault="00803D36" w:rsidP="00803D36">
      <w:pPr>
        <w:spacing w:line="240" w:lineRule="auto"/>
        <w:rPr>
          <w:szCs w:val="22"/>
          <w:lang w:val="lt-LT"/>
        </w:rPr>
      </w:pPr>
    </w:p>
    <w:p w14:paraId="4797AEF9" w14:textId="77777777" w:rsidR="00803D36" w:rsidRDefault="00803D36" w:rsidP="00803D36">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4.</w:t>
      </w:r>
      <w:r>
        <w:rPr>
          <w:b/>
          <w:szCs w:val="22"/>
          <w:lang w:val="lt-LT"/>
        </w:rPr>
        <w:tab/>
        <w:t xml:space="preserve">SERIJOS NUMERIS </w:t>
      </w:r>
    </w:p>
    <w:p w14:paraId="21206F49" w14:textId="77777777" w:rsidR="00803D36" w:rsidRDefault="00803D36" w:rsidP="00803D36">
      <w:pPr>
        <w:spacing w:line="240" w:lineRule="auto"/>
        <w:rPr>
          <w:szCs w:val="22"/>
          <w:lang w:val="lt-LT"/>
        </w:rPr>
      </w:pPr>
    </w:p>
    <w:p w14:paraId="7459FB6A" w14:textId="77777777" w:rsidR="00803D36" w:rsidRDefault="00803D36" w:rsidP="00803D36">
      <w:pPr>
        <w:spacing w:line="240" w:lineRule="auto"/>
        <w:rPr>
          <w:szCs w:val="22"/>
          <w:lang w:val="lt-LT"/>
        </w:rPr>
      </w:pPr>
      <w:r>
        <w:rPr>
          <w:szCs w:val="22"/>
          <w:lang w:val="lt-LT"/>
        </w:rPr>
        <w:t>Lot:</w:t>
      </w:r>
    </w:p>
    <w:p w14:paraId="3B0EFEAE" w14:textId="77777777" w:rsidR="00803D36" w:rsidRDefault="00803D36" w:rsidP="00803D36">
      <w:pPr>
        <w:spacing w:line="240" w:lineRule="auto"/>
        <w:rPr>
          <w:szCs w:val="22"/>
          <w:lang w:val="lt-LT"/>
        </w:rPr>
      </w:pPr>
    </w:p>
    <w:p w14:paraId="494D25B6" w14:textId="77777777" w:rsidR="00803D36" w:rsidRDefault="00803D36" w:rsidP="00803D36">
      <w:pPr>
        <w:spacing w:line="240" w:lineRule="auto"/>
        <w:rPr>
          <w:szCs w:val="22"/>
          <w:lang w:val="lt-LT"/>
        </w:rPr>
      </w:pPr>
    </w:p>
    <w:p w14:paraId="2FACA26A"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5.</w:t>
      </w:r>
      <w:r>
        <w:rPr>
          <w:b/>
          <w:szCs w:val="22"/>
          <w:lang w:val="lt-LT"/>
        </w:rPr>
        <w:tab/>
        <w:t>KIEKIS (MASĖ, TŪRIS ARBA VIENETAI)</w:t>
      </w:r>
    </w:p>
    <w:p w14:paraId="0CDF9A8C" w14:textId="77777777" w:rsidR="00803D36" w:rsidRDefault="00803D36" w:rsidP="00803D36">
      <w:pPr>
        <w:spacing w:line="240" w:lineRule="auto"/>
        <w:rPr>
          <w:szCs w:val="22"/>
          <w:lang w:val="lt-LT"/>
        </w:rPr>
      </w:pPr>
    </w:p>
    <w:p w14:paraId="79389EC2" w14:textId="77777777" w:rsidR="00803D36" w:rsidRDefault="00803D36" w:rsidP="00803D36">
      <w:pPr>
        <w:spacing w:line="240" w:lineRule="auto"/>
        <w:rPr>
          <w:szCs w:val="22"/>
          <w:lang w:val="lt-LT"/>
        </w:rPr>
      </w:pPr>
      <w:r>
        <w:rPr>
          <w:szCs w:val="22"/>
          <w:lang w:val="lt-LT"/>
        </w:rPr>
        <w:t>300 mg/5 ml</w:t>
      </w:r>
    </w:p>
    <w:p w14:paraId="0C2F77A2" w14:textId="77777777" w:rsidR="00803D36" w:rsidRDefault="00803D36" w:rsidP="00803D36">
      <w:pPr>
        <w:spacing w:line="240" w:lineRule="auto"/>
        <w:rPr>
          <w:szCs w:val="22"/>
          <w:lang w:val="lt-LT"/>
        </w:rPr>
      </w:pPr>
    </w:p>
    <w:p w14:paraId="140D3EC5" w14:textId="77777777" w:rsidR="00803D36" w:rsidRDefault="00803D36" w:rsidP="00803D36">
      <w:pPr>
        <w:spacing w:line="240" w:lineRule="auto"/>
        <w:rPr>
          <w:szCs w:val="22"/>
          <w:lang w:val="lt-LT"/>
        </w:rPr>
      </w:pPr>
    </w:p>
    <w:p w14:paraId="5B2DD8E4" w14:textId="77777777" w:rsidR="00803D36" w:rsidRDefault="00803D36" w:rsidP="00803D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6.</w:t>
      </w:r>
      <w:r>
        <w:rPr>
          <w:b/>
          <w:szCs w:val="22"/>
          <w:lang w:val="lt-LT"/>
        </w:rPr>
        <w:tab/>
        <w:t>KITA</w:t>
      </w:r>
    </w:p>
    <w:p w14:paraId="08E68E0E" w14:textId="77777777" w:rsidR="00803D36" w:rsidRDefault="00803D36" w:rsidP="00803D36">
      <w:pPr>
        <w:spacing w:line="240" w:lineRule="auto"/>
        <w:outlineLvl w:val="0"/>
        <w:rPr>
          <w:szCs w:val="22"/>
          <w:lang w:val="lt-LT"/>
        </w:rPr>
      </w:pPr>
    </w:p>
    <w:p w14:paraId="0FE45FCB" w14:textId="77777777" w:rsidR="00803D36" w:rsidRDefault="00803D36" w:rsidP="00803D36">
      <w:pPr>
        <w:spacing w:line="240" w:lineRule="auto"/>
        <w:outlineLvl w:val="0"/>
        <w:rPr>
          <w:szCs w:val="22"/>
          <w:lang w:val="lt-LT"/>
        </w:rPr>
      </w:pPr>
      <w:r>
        <w:rPr>
          <w:snapToGrid w:val="0"/>
          <w:szCs w:val="22"/>
          <w:lang w:val="lt-LT"/>
        </w:rPr>
        <w:br w:type="page"/>
      </w:r>
    </w:p>
    <w:p w14:paraId="473BA4C5" w14:textId="77777777" w:rsidR="00803D36" w:rsidRDefault="00803D36" w:rsidP="00803D36">
      <w:pPr>
        <w:spacing w:line="240" w:lineRule="auto"/>
        <w:outlineLvl w:val="0"/>
        <w:rPr>
          <w:szCs w:val="22"/>
          <w:lang w:val="lt-LT"/>
        </w:rPr>
      </w:pPr>
    </w:p>
    <w:p w14:paraId="562CF1FB" w14:textId="77777777" w:rsidR="00803D36" w:rsidRDefault="00803D36" w:rsidP="00803D36">
      <w:pPr>
        <w:spacing w:line="240" w:lineRule="auto"/>
        <w:outlineLvl w:val="0"/>
        <w:rPr>
          <w:szCs w:val="22"/>
          <w:lang w:val="lt-LT"/>
        </w:rPr>
      </w:pPr>
    </w:p>
    <w:p w14:paraId="154C10EA" w14:textId="77777777" w:rsidR="00803D36" w:rsidRDefault="00803D36" w:rsidP="00803D36">
      <w:pPr>
        <w:spacing w:line="240" w:lineRule="auto"/>
        <w:outlineLvl w:val="0"/>
        <w:rPr>
          <w:szCs w:val="22"/>
          <w:lang w:val="lt-LT"/>
        </w:rPr>
      </w:pPr>
    </w:p>
    <w:p w14:paraId="2231959C" w14:textId="77777777" w:rsidR="00803D36" w:rsidRDefault="00803D36" w:rsidP="00803D36">
      <w:pPr>
        <w:spacing w:line="240" w:lineRule="auto"/>
        <w:outlineLvl w:val="0"/>
        <w:rPr>
          <w:szCs w:val="22"/>
          <w:lang w:val="lt-LT"/>
        </w:rPr>
      </w:pPr>
    </w:p>
    <w:p w14:paraId="634548C7" w14:textId="77777777" w:rsidR="00803D36" w:rsidRDefault="00803D36" w:rsidP="00803D36">
      <w:pPr>
        <w:spacing w:line="240" w:lineRule="auto"/>
        <w:outlineLvl w:val="0"/>
        <w:rPr>
          <w:szCs w:val="22"/>
          <w:lang w:val="lt-LT"/>
        </w:rPr>
      </w:pPr>
    </w:p>
    <w:p w14:paraId="7405E297" w14:textId="77777777" w:rsidR="00803D36" w:rsidRDefault="00803D36" w:rsidP="00803D36">
      <w:pPr>
        <w:spacing w:line="240" w:lineRule="auto"/>
        <w:outlineLvl w:val="0"/>
        <w:rPr>
          <w:szCs w:val="22"/>
          <w:lang w:val="lt-LT"/>
        </w:rPr>
      </w:pPr>
    </w:p>
    <w:p w14:paraId="20D2B511" w14:textId="77777777" w:rsidR="00803D36" w:rsidRDefault="00803D36" w:rsidP="00803D36">
      <w:pPr>
        <w:spacing w:line="240" w:lineRule="auto"/>
        <w:outlineLvl w:val="0"/>
        <w:rPr>
          <w:szCs w:val="22"/>
          <w:lang w:val="lt-LT"/>
        </w:rPr>
      </w:pPr>
    </w:p>
    <w:p w14:paraId="4E790A8B" w14:textId="77777777" w:rsidR="00803D36" w:rsidRDefault="00803D36" w:rsidP="00803D36">
      <w:pPr>
        <w:spacing w:line="240" w:lineRule="auto"/>
        <w:outlineLvl w:val="0"/>
        <w:rPr>
          <w:szCs w:val="22"/>
          <w:lang w:val="lt-LT"/>
        </w:rPr>
      </w:pPr>
    </w:p>
    <w:p w14:paraId="14964746" w14:textId="77777777" w:rsidR="00803D36" w:rsidRDefault="00803D36" w:rsidP="00803D36">
      <w:pPr>
        <w:spacing w:line="240" w:lineRule="auto"/>
        <w:outlineLvl w:val="0"/>
        <w:rPr>
          <w:szCs w:val="22"/>
          <w:lang w:val="lt-LT"/>
        </w:rPr>
      </w:pPr>
    </w:p>
    <w:p w14:paraId="6438F490" w14:textId="77777777" w:rsidR="00803D36" w:rsidRDefault="00803D36" w:rsidP="00803D36">
      <w:pPr>
        <w:spacing w:line="240" w:lineRule="auto"/>
        <w:outlineLvl w:val="0"/>
        <w:rPr>
          <w:szCs w:val="22"/>
          <w:lang w:val="lt-LT"/>
        </w:rPr>
      </w:pPr>
    </w:p>
    <w:p w14:paraId="780B11A0" w14:textId="77777777" w:rsidR="00803D36" w:rsidRDefault="00803D36" w:rsidP="00803D36">
      <w:pPr>
        <w:spacing w:line="240" w:lineRule="auto"/>
        <w:outlineLvl w:val="0"/>
        <w:rPr>
          <w:szCs w:val="22"/>
          <w:lang w:val="lt-LT"/>
        </w:rPr>
      </w:pPr>
    </w:p>
    <w:p w14:paraId="5BB014BE" w14:textId="77777777" w:rsidR="00803D36" w:rsidRDefault="00803D36" w:rsidP="00803D36">
      <w:pPr>
        <w:spacing w:line="240" w:lineRule="auto"/>
        <w:outlineLvl w:val="0"/>
        <w:rPr>
          <w:szCs w:val="22"/>
          <w:lang w:val="lt-LT"/>
        </w:rPr>
      </w:pPr>
    </w:p>
    <w:p w14:paraId="0D18B357" w14:textId="77777777" w:rsidR="00803D36" w:rsidRDefault="00803D36" w:rsidP="00803D36">
      <w:pPr>
        <w:spacing w:line="240" w:lineRule="auto"/>
        <w:outlineLvl w:val="0"/>
        <w:rPr>
          <w:szCs w:val="22"/>
          <w:lang w:val="lt-LT"/>
        </w:rPr>
      </w:pPr>
    </w:p>
    <w:p w14:paraId="07A4BCD1" w14:textId="77777777" w:rsidR="00803D36" w:rsidRDefault="00803D36" w:rsidP="00803D36">
      <w:pPr>
        <w:spacing w:line="240" w:lineRule="auto"/>
        <w:outlineLvl w:val="0"/>
        <w:rPr>
          <w:szCs w:val="22"/>
          <w:lang w:val="lt-LT"/>
        </w:rPr>
      </w:pPr>
    </w:p>
    <w:p w14:paraId="55EC57D8" w14:textId="77777777" w:rsidR="00803D36" w:rsidRDefault="00803D36" w:rsidP="00803D36">
      <w:pPr>
        <w:spacing w:line="240" w:lineRule="auto"/>
        <w:outlineLvl w:val="0"/>
        <w:rPr>
          <w:szCs w:val="22"/>
          <w:lang w:val="lt-LT"/>
        </w:rPr>
      </w:pPr>
    </w:p>
    <w:p w14:paraId="66F2E2F7" w14:textId="77777777" w:rsidR="00803D36" w:rsidRDefault="00803D36" w:rsidP="00803D36">
      <w:pPr>
        <w:spacing w:line="240" w:lineRule="auto"/>
        <w:outlineLvl w:val="0"/>
        <w:rPr>
          <w:szCs w:val="22"/>
          <w:lang w:val="lt-LT"/>
        </w:rPr>
      </w:pPr>
    </w:p>
    <w:p w14:paraId="0EFA1458" w14:textId="77777777" w:rsidR="00803D36" w:rsidRDefault="00803D36" w:rsidP="00803D36">
      <w:pPr>
        <w:spacing w:line="240" w:lineRule="auto"/>
        <w:outlineLvl w:val="0"/>
        <w:rPr>
          <w:szCs w:val="22"/>
          <w:lang w:val="lt-LT"/>
        </w:rPr>
      </w:pPr>
    </w:p>
    <w:p w14:paraId="2AEB3C0D" w14:textId="77777777" w:rsidR="00803D36" w:rsidRDefault="00803D36" w:rsidP="00803D36">
      <w:pPr>
        <w:spacing w:line="240" w:lineRule="auto"/>
        <w:outlineLvl w:val="0"/>
        <w:rPr>
          <w:szCs w:val="22"/>
          <w:lang w:val="lt-LT"/>
        </w:rPr>
      </w:pPr>
    </w:p>
    <w:p w14:paraId="1D6B8E86" w14:textId="77777777" w:rsidR="00803D36" w:rsidRDefault="00803D36" w:rsidP="00803D36">
      <w:pPr>
        <w:spacing w:line="240" w:lineRule="auto"/>
        <w:outlineLvl w:val="0"/>
        <w:rPr>
          <w:szCs w:val="22"/>
          <w:lang w:val="lt-LT"/>
        </w:rPr>
      </w:pPr>
    </w:p>
    <w:p w14:paraId="42476F50" w14:textId="77777777" w:rsidR="00803D36" w:rsidRDefault="00803D36" w:rsidP="00803D36">
      <w:pPr>
        <w:spacing w:line="240" w:lineRule="auto"/>
        <w:outlineLvl w:val="0"/>
        <w:rPr>
          <w:szCs w:val="22"/>
          <w:lang w:val="lt-LT"/>
        </w:rPr>
      </w:pPr>
    </w:p>
    <w:p w14:paraId="49863896" w14:textId="77777777" w:rsidR="00803D36" w:rsidRDefault="00803D36" w:rsidP="00803D36">
      <w:pPr>
        <w:spacing w:line="240" w:lineRule="auto"/>
        <w:outlineLvl w:val="0"/>
        <w:rPr>
          <w:szCs w:val="22"/>
          <w:lang w:val="lt-LT"/>
        </w:rPr>
      </w:pPr>
    </w:p>
    <w:p w14:paraId="3D35BB3E" w14:textId="77777777" w:rsidR="00803D36" w:rsidRDefault="00803D36" w:rsidP="00803D36">
      <w:pPr>
        <w:spacing w:line="240" w:lineRule="auto"/>
        <w:outlineLvl w:val="0"/>
        <w:rPr>
          <w:szCs w:val="22"/>
          <w:lang w:val="lt-LT"/>
        </w:rPr>
      </w:pPr>
    </w:p>
    <w:p w14:paraId="515D10D0" w14:textId="77777777" w:rsidR="00803D36" w:rsidRDefault="00803D36" w:rsidP="00803D36">
      <w:pPr>
        <w:spacing w:line="240" w:lineRule="auto"/>
        <w:outlineLvl w:val="0"/>
        <w:rPr>
          <w:szCs w:val="22"/>
          <w:lang w:val="lt-LT"/>
        </w:rPr>
      </w:pPr>
    </w:p>
    <w:p w14:paraId="7A5AECDA" w14:textId="77777777" w:rsidR="00803D36" w:rsidRDefault="00803D36" w:rsidP="00803D36">
      <w:pPr>
        <w:spacing w:line="240" w:lineRule="auto"/>
        <w:jc w:val="center"/>
        <w:outlineLvl w:val="0"/>
        <w:rPr>
          <w:b/>
          <w:szCs w:val="22"/>
          <w:lang w:val="lt-LT"/>
        </w:rPr>
      </w:pPr>
      <w:r>
        <w:rPr>
          <w:b/>
          <w:szCs w:val="22"/>
          <w:lang w:val="lt-LT"/>
        </w:rPr>
        <w:t>B. PAKUOTĖS LAPELIS</w:t>
      </w:r>
    </w:p>
    <w:p w14:paraId="0D3D599D" w14:textId="77777777" w:rsidR="00803D36" w:rsidRDefault="00803D36" w:rsidP="00803D36">
      <w:pPr>
        <w:pStyle w:val="Antrat2"/>
        <w:spacing w:before="0" w:after="0" w:line="240" w:lineRule="auto"/>
        <w:jc w:val="center"/>
        <w:rPr>
          <w:rFonts w:ascii="Times New Roman" w:hAnsi="Times New Roman"/>
          <w:bCs w:val="0"/>
          <w:i w:val="0"/>
          <w:iCs w:val="0"/>
          <w:sz w:val="22"/>
          <w:szCs w:val="22"/>
          <w:lang w:val="lt-LT"/>
        </w:rPr>
      </w:pPr>
      <w:r>
        <w:rPr>
          <w:b w:val="0"/>
          <w:bCs w:val="0"/>
          <w:iCs w:val="0"/>
          <w:snapToGrid w:val="0"/>
          <w:szCs w:val="22"/>
          <w:lang w:val="lt-LT"/>
        </w:rPr>
        <w:br w:type="page"/>
      </w:r>
      <w:r>
        <w:rPr>
          <w:rFonts w:ascii="Times New Roman" w:hAnsi="Times New Roman"/>
          <w:i w:val="0"/>
          <w:sz w:val="22"/>
          <w:szCs w:val="22"/>
          <w:lang w:val="lt-LT"/>
        </w:rPr>
        <w:lastRenderedPageBreak/>
        <w:t>Pakuotės lapelis:</w:t>
      </w:r>
      <w:r>
        <w:rPr>
          <w:rFonts w:ascii="Times New Roman" w:hAnsi="Times New Roman"/>
          <w:bCs w:val="0"/>
          <w:i w:val="0"/>
          <w:iCs w:val="0"/>
          <w:sz w:val="22"/>
          <w:szCs w:val="22"/>
          <w:lang w:val="lt-LT"/>
        </w:rPr>
        <w:t xml:space="preserve"> </w:t>
      </w:r>
      <w:r>
        <w:rPr>
          <w:rFonts w:ascii="Times New Roman" w:hAnsi="Times New Roman"/>
          <w:i w:val="0"/>
          <w:sz w:val="22"/>
          <w:szCs w:val="22"/>
          <w:lang w:val="lt-LT"/>
        </w:rPr>
        <w:t>informacija pacientui</w:t>
      </w:r>
    </w:p>
    <w:p w14:paraId="05A39D9A" w14:textId="77777777" w:rsidR="00803D36" w:rsidRDefault="00803D36" w:rsidP="00803D36">
      <w:pPr>
        <w:numPr>
          <w:ilvl w:val="12"/>
          <w:numId w:val="0"/>
        </w:numPr>
        <w:shd w:val="clear" w:color="auto" w:fill="FFFFFF"/>
        <w:tabs>
          <w:tab w:val="clear" w:pos="567"/>
          <w:tab w:val="left" w:pos="1296"/>
        </w:tabs>
        <w:spacing w:line="240" w:lineRule="auto"/>
        <w:jc w:val="center"/>
        <w:rPr>
          <w:szCs w:val="22"/>
          <w:lang w:val="lt-LT"/>
        </w:rPr>
      </w:pPr>
    </w:p>
    <w:p w14:paraId="70E1CDF2" w14:textId="77777777" w:rsidR="00803D36" w:rsidRDefault="00803D36" w:rsidP="00803D36">
      <w:pPr>
        <w:spacing w:line="240" w:lineRule="auto"/>
        <w:jc w:val="center"/>
        <w:rPr>
          <w:b/>
          <w:szCs w:val="22"/>
          <w:lang w:val="lt-LT"/>
        </w:rPr>
      </w:pPr>
      <w:proofErr w:type="spellStart"/>
      <w:r>
        <w:rPr>
          <w:b/>
          <w:szCs w:val="22"/>
          <w:lang w:val="lt-LT"/>
        </w:rPr>
        <w:t>Tobramycin</w:t>
      </w:r>
      <w:proofErr w:type="spellEnd"/>
      <w:r>
        <w:rPr>
          <w:b/>
          <w:szCs w:val="22"/>
          <w:lang w:val="lt-LT"/>
        </w:rPr>
        <w:t xml:space="preserve"> Via </w:t>
      </w:r>
      <w:proofErr w:type="spellStart"/>
      <w:r>
        <w:rPr>
          <w:b/>
          <w:szCs w:val="22"/>
          <w:lang w:val="lt-LT"/>
        </w:rPr>
        <w:t>pharma</w:t>
      </w:r>
      <w:proofErr w:type="spellEnd"/>
      <w:r>
        <w:rPr>
          <w:b/>
          <w:szCs w:val="22"/>
          <w:lang w:val="lt-LT"/>
        </w:rPr>
        <w:t xml:space="preserve"> 300 mg/5 ml purškiamasis įkvepiamasis tirpalas</w:t>
      </w:r>
    </w:p>
    <w:p w14:paraId="21A6B52D" w14:textId="5F51D89F" w:rsidR="00803D36" w:rsidRDefault="00736E77" w:rsidP="00803D36">
      <w:pPr>
        <w:numPr>
          <w:ilvl w:val="12"/>
          <w:numId w:val="0"/>
        </w:numPr>
        <w:tabs>
          <w:tab w:val="clear" w:pos="567"/>
          <w:tab w:val="left" w:pos="1296"/>
        </w:tabs>
        <w:spacing w:line="240" w:lineRule="auto"/>
        <w:jc w:val="center"/>
        <w:rPr>
          <w:szCs w:val="22"/>
          <w:lang w:val="lt-LT"/>
        </w:rPr>
      </w:pPr>
      <w:proofErr w:type="spellStart"/>
      <w:r>
        <w:rPr>
          <w:szCs w:val="22"/>
          <w:lang w:val="lt-LT"/>
        </w:rPr>
        <w:t>t</w:t>
      </w:r>
      <w:r w:rsidR="00803D36">
        <w:rPr>
          <w:szCs w:val="22"/>
          <w:lang w:val="lt-LT"/>
        </w:rPr>
        <w:t>obramicinas</w:t>
      </w:r>
      <w:proofErr w:type="spellEnd"/>
    </w:p>
    <w:p w14:paraId="1381475B" w14:textId="77777777" w:rsidR="00803D36" w:rsidRDefault="00803D36" w:rsidP="00803D36">
      <w:pPr>
        <w:tabs>
          <w:tab w:val="clear" w:pos="567"/>
          <w:tab w:val="left" w:pos="1296"/>
        </w:tabs>
        <w:spacing w:line="240" w:lineRule="auto"/>
        <w:rPr>
          <w:szCs w:val="22"/>
          <w:lang w:val="lt-LT"/>
        </w:rPr>
      </w:pPr>
    </w:p>
    <w:p w14:paraId="619B36E3" w14:textId="77777777" w:rsidR="00803D36" w:rsidRDefault="00803D36" w:rsidP="00803D36">
      <w:pPr>
        <w:tabs>
          <w:tab w:val="clear" w:pos="567"/>
          <w:tab w:val="left" w:pos="1296"/>
        </w:tabs>
        <w:suppressAutoHyphens/>
        <w:spacing w:line="240" w:lineRule="auto"/>
        <w:ind w:left="142" w:hanging="142"/>
        <w:rPr>
          <w:szCs w:val="22"/>
          <w:lang w:val="lt-LT"/>
        </w:rPr>
      </w:pPr>
      <w:r>
        <w:rPr>
          <w:b/>
          <w:szCs w:val="22"/>
          <w:lang w:val="lt-LT"/>
        </w:rPr>
        <w:t>Atidžiai perskaitykite visą šį lapelį, prieš pradėdami vartoti vaistą, nes jame pateikiama Jums svarbi informacija.</w:t>
      </w:r>
    </w:p>
    <w:p w14:paraId="1A959196" w14:textId="77777777" w:rsidR="00803D36" w:rsidRDefault="00803D36" w:rsidP="00803D36">
      <w:pPr>
        <w:numPr>
          <w:ilvl w:val="0"/>
          <w:numId w:val="2"/>
        </w:numPr>
        <w:tabs>
          <w:tab w:val="clear" w:pos="567"/>
          <w:tab w:val="left" w:pos="1296"/>
        </w:tabs>
        <w:spacing w:line="240" w:lineRule="auto"/>
        <w:ind w:left="567" w:right="-2" w:hanging="567"/>
        <w:rPr>
          <w:szCs w:val="22"/>
          <w:lang w:val="lt-LT"/>
        </w:rPr>
      </w:pPr>
      <w:r>
        <w:rPr>
          <w:szCs w:val="22"/>
          <w:lang w:val="lt-LT"/>
        </w:rPr>
        <w:t xml:space="preserve">Neišmeskite šio lapelio, nes vėl gali prireikti jį perskaityti. </w:t>
      </w:r>
    </w:p>
    <w:p w14:paraId="76FEE947" w14:textId="77777777" w:rsidR="00803D36" w:rsidRDefault="00803D36" w:rsidP="00803D36">
      <w:pPr>
        <w:numPr>
          <w:ilvl w:val="0"/>
          <w:numId w:val="2"/>
        </w:numPr>
        <w:tabs>
          <w:tab w:val="clear" w:pos="567"/>
          <w:tab w:val="left" w:pos="1296"/>
        </w:tabs>
        <w:spacing w:line="240" w:lineRule="auto"/>
        <w:ind w:left="567" w:right="-2" w:hanging="567"/>
        <w:rPr>
          <w:szCs w:val="22"/>
          <w:lang w:val="lt-LT"/>
        </w:rPr>
      </w:pPr>
      <w:r>
        <w:rPr>
          <w:szCs w:val="22"/>
          <w:lang w:val="lt-LT"/>
        </w:rPr>
        <w:t>Jeigu kiltų daugiau klausimų, kreipkitės į gydytoją arba vaistininką.</w:t>
      </w:r>
    </w:p>
    <w:p w14:paraId="2C483511" w14:textId="77777777" w:rsidR="00803D36" w:rsidRDefault="00803D36" w:rsidP="00803D36">
      <w:pPr>
        <w:spacing w:line="240" w:lineRule="auto"/>
        <w:ind w:left="567" w:right="-2" w:hanging="567"/>
        <w:rPr>
          <w:szCs w:val="22"/>
          <w:lang w:val="lt-LT"/>
        </w:rPr>
      </w:pPr>
      <w:r>
        <w:rPr>
          <w:szCs w:val="22"/>
          <w:lang w:val="lt-LT"/>
        </w:rPr>
        <w:t>-</w:t>
      </w:r>
      <w:r>
        <w:rPr>
          <w:szCs w:val="22"/>
          <w:lang w:val="lt-LT"/>
        </w:rPr>
        <w:tab/>
        <w:t>Šis vaistas skirtas tik Jums, todėl kitiems žmonėms jo duoti negalima. Vaistas gali jiems pakenkti (net tiems, kurių ligos požymiai yra tokie patys kaip Jūsų).</w:t>
      </w:r>
    </w:p>
    <w:p w14:paraId="692892C8" w14:textId="77777777" w:rsidR="00803D36" w:rsidRDefault="00803D36" w:rsidP="00803D36">
      <w:pPr>
        <w:numPr>
          <w:ilvl w:val="0"/>
          <w:numId w:val="2"/>
        </w:numPr>
        <w:spacing w:line="240" w:lineRule="auto"/>
        <w:ind w:left="567" w:hanging="567"/>
        <w:rPr>
          <w:szCs w:val="22"/>
          <w:lang w:val="lt-LT"/>
        </w:rPr>
      </w:pPr>
      <w:r>
        <w:rPr>
          <w:szCs w:val="22"/>
          <w:lang w:val="lt-LT"/>
        </w:rPr>
        <w:t>Jeigu pasireiškė šalutinis poveikis (net jeigu jis šiame lapelyje nenurodytas), kreipkitės į gydytoją arba vaistininką. Žr. 4 skyrių.</w:t>
      </w:r>
    </w:p>
    <w:p w14:paraId="5493F90B" w14:textId="77777777" w:rsidR="00803D36" w:rsidRDefault="00803D36" w:rsidP="00803D36">
      <w:pPr>
        <w:tabs>
          <w:tab w:val="clear" w:pos="567"/>
          <w:tab w:val="left" w:pos="1296"/>
        </w:tabs>
        <w:spacing w:line="240" w:lineRule="auto"/>
        <w:ind w:right="-2"/>
        <w:rPr>
          <w:szCs w:val="22"/>
          <w:lang w:val="lt-LT"/>
        </w:rPr>
      </w:pPr>
    </w:p>
    <w:p w14:paraId="4BC5F489"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Apie ką rašoma šiame lapelyje?</w:t>
      </w:r>
    </w:p>
    <w:p w14:paraId="044307EF" w14:textId="77777777" w:rsidR="00803D36" w:rsidRDefault="00803D36" w:rsidP="00803D36">
      <w:pPr>
        <w:numPr>
          <w:ilvl w:val="12"/>
          <w:numId w:val="0"/>
        </w:numPr>
        <w:tabs>
          <w:tab w:val="clear" w:pos="567"/>
          <w:tab w:val="left" w:pos="1296"/>
        </w:tabs>
        <w:spacing w:line="240" w:lineRule="auto"/>
        <w:ind w:right="-2"/>
        <w:rPr>
          <w:szCs w:val="22"/>
          <w:lang w:val="lt-LT"/>
        </w:rPr>
      </w:pPr>
    </w:p>
    <w:p w14:paraId="1A941F56" w14:textId="77777777" w:rsidR="00803D36" w:rsidRDefault="00803D36" w:rsidP="00803D36">
      <w:pPr>
        <w:numPr>
          <w:ilvl w:val="12"/>
          <w:numId w:val="0"/>
        </w:numPr>
        <w:tabs>
          <w:tab w:val="clear" w:pos="567"/>
          <w:tab w:val="left" w:pos="1296"/>
        </w:tabs>
        <w:spacing w:line="240" w:lineRule="auto"/>
        <w:ind w:left="567" w:right="-2" w:hanging="567"/>
        <w:rPr>
          <w:szCs w:val="22"/>
          <w:lang w:val="lt-LT"/>
        </w:rPr>
      </w:pPr>
      <w:r>
        <w:rPr>
          <w:szCs w:val="22"/>
          <w:lang w:val="lt-LT"/>
        </w:rPr>
        <w:t>1.</w:t>
      </w:r>
      <w:r>
        <w:rPr>
          <w:szCs w:val="22"/>
          <w:lang w:val="lt-LT"/>
        </w:rPr>
        <w:tab/>
        <w:t xml:space="preserve">Kas yra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ir kam jis vartojamas </w:t>
      </w:r>
    </w:p>
    <w:p w14:paraId="3F82F2F8" w14:textId="77777777" w:rsidR="00803D36" w:rsidRDefault="00803D36" w:rsidP="00803D36">
      <w:pPr>
        <w:numPr>
          <w:ilvl w:val="12"/>
          <w:numId w:val="0"/>
        </w:numPr>
        <w:tabs>
          <w:tab w:val="clear" w:pos="567"/>
          <w:tab w:val="left" w:pos="1296"/>
        </w:tabs>
        <w:spacing w:line="240" w:lineRule="auto"/>
        <w:ind w:left="567" w:right="-2" w:hanging="567"/>
        <w:rPr>
          <w:szCs w:val="22"/>
          <w:lang w:val="lt-LT"/>
        </w:rPr>
      </w:pPr>
      <w:r>
        <w:rPr>
          <w:szCs w:val="22"/>
          <w:lang w:val="lt-LT"/>
        </w:rPr>
        <w:t>2.</w:t>
      </w:r>
      <w:r>
        <w:rPr>
          <w:szCs w:val="22"/>
          <w:lang w:val="lt-LT"/>
        </w:rPr>
        <w:tab/>
        <w:t xml:space="preserve">Kas žinotina prieš vartojant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p>
    <w:p w14:paraId="1DAFEDEF" w14:textId="77777777" w:rsidR="00803D36" w:rsidRDefault="00803D36" w:rsidP="00803D36">
      <w:pPr>
        <w:numPr>
          <w:ilvl w:val="12"/>
          <w:numId w:val="0"/>
        </w:numPr>
        <w:tabs>
          <w:tab w:val="clear" w:pos="567"/>
          <w:tab w:val="left" w:pos="1296"/>
        </w:tabs>
        <w:spacing w:line="240" w:lineRule="auto"/>
        <w:ind w:left="567" w:right="-2" w:hanging="567"/>
        <w:rPr>
          <w:szCs w:val="22"/>
          <w:lang w:val="lt-LT"/>
        </w:rPr>
      </w:pPr>
      <w:r>
        <w:rPr>
          <w:szCs w:val="22"/>
          <w:lang w:val="lt-LT"/>
        </w:rPr>
        <w:t>3.</w:t>
      </w:r>
      <w:r>
        <w:rPr>
          <w:szCs w:val="22"/>
          <w:lang w:val="lt-LT"/>
        </w:rPr>
        <w:tab/>
        <w:t xml:space="preserve">Kaip vartoti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p>
    <w:p w14:paraId="0147BB80" w14:textId="77777777" w:rsidR="00803D36" w:rsidRDefault="00803D36" w:rsidP="00803D36">
      <w:pPr>
        <w:numPr>
          <w:ilvl w:val="12"/>
          <w:numId w:val="0"/>
        </w:numPr>
        <w:tabs>
          <w:tab w:val="clear" w:pos="567"/>
          <w:tab w:val="left" w:pos="1296"/>
        </w:tabs>
        <w:spacing w:line="240" w:lineRule="auto"/>
        <w:ind w:left="567" w:right="-2" w:hanging="567"/>
        <w:rPr>
          <w:szCs w:val="22"/>
          <w:lang w:val="lt-LT"/>
        </w:rPr>
      </w:pPr>
      <w:r>
        <w:rPr>
          <w:szCs w:val="22"/>
          <w:lang w:val="lt-LT"/>
        </w:rPr>
        <w:t>4.</w:t>
      </w:r>
      <w:r>
        <w:rPr>
          <w:szCs w:val="22"/>
          <w:lang w:val="lt-LT"/>
        </w:rPr>
        <w:tab/>
        <w:t xml:space="preserve">Galimas šalutinis poveikis </w:t>
      </w:r>
    </w:p>
    <w:p w14:paraId="37F0D087" w14:textId="77777777" w:rsidR="00803D36" w:rsidRDefault="00803D36" w:rsidP="00803D36">
      <w:pPr>
        <w:numPr>
          <w:ilvl w:val="12"/>
          <w:numId w:val="0"/>
        </w:numPr>
        <w:tabs>
          <w:tab w:val="clear" w:pos="567"/>
          <w:tab w:val="left" w:pos="709"/>
        </w:tabs>
        <w:spacing w:line="240" w:lineRule="auto"/>
        <w:ind w:left="567" w:right="-2" w:hanging="567"/>
        <w:rPr>
          <w:szCs w:val="22"/>
          <w:lang w:val="lt-LT"/>
        </w:rPr>
      </w:pPr>
      <w:r>
        <w:rPr>
          <w:szCs w:val="22"/>
          <w:lang w:val="lt-LT"/>
        </w:rPr>
        <w:t>5.</w:t>
      </w:r>
      <w:r>
        <w:rPr>
          <w:szCs w:val="22"/>
          <w:lang w:val="lt-LT"/>
        </w:rPr>
        <w:tab/>
        <w:t xml:space="preserve">Kaip laikyti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p>
    <w:p w14:paraId="2C7C9945" w14:textId="77777777" w:rsidR="00803D36" w:rsidRDefault="00803D36" w:rsidP="00803D36">
      <w:pPr>
        <w:numPr>
          <w:ilvl w:val="12"/>
          <w:numId w:val="0"/>
        </w:numPr>
        <w:tabs>
          <w:tab w:val="clear" w:pos="567"/>
          <w:tab w:val="left" w:pos="1296"/>
        </w:tabs>
        <w:spacing w:line="240" w:lineRule="auto"/>
        <w:ind w:left="567" w:right="-2" w:hanging="567"/>
        <w:rPr>
          <w:szCs w:val="22"/>
          <w:lang w:val="lt-LT"/>
        </w:rPr>
      </w:pPr>
      <w:r>
        <w:rPr>
          <w:szCs w:val="22"/>
          <w:lang w:val="lt-LT"/>
        </w:rPr>
        <w:t>6.</w:t>
      </w:r>
      <w:r>
        <w:rPr>
          <w:szCs w:val="22"/>
          <w:lang w:val="lt-LT"/>
        </w:rPr>
        <w:tab/>
        <w:t>Pakuotės turinys ir kita informacija</w:t>
      </w:r>
    </w:p>
    <w:p w14:paraId="4310C348" w14:textId="77777777" w:rsidR="00803D36" w:rsidRDefault="00803D36" w:rsidP="00803D36">
      <w:pPr>
        <w:numPr>
          <w:ilvl w:val="12"/>
          <w:numId w:val="0"/>
        </w:numPr>
        <w:tabs>
          <w:tab w:val="clear" w:pos="567"/>
          <w:tab w:val="left" w:pos="1296"/>
        </w:tabs>
        <w:spacing w:line="240" w:lineRule="auto"/>
        <w:ind w:right="-2"/>
        <w:rPr>
          <w:szCs w:val="22"/>
          <w:lang w:val="lt-LT"/>
        </w:rPr>
      </w:pPr>
    </w:p>
    <w:p w14:paraId="75208B7A" w14:textId="77777777" w:rsidR="00803D36" w:rsidRDefault="00803D36" w:rsidP="00803D36">
      <w:pPr>
        <w:numPr>
          <w:ilvl w:val="12"/>
          <w:numId w:val="0"/>
        </w:numPr>
        <w:tabs>
          <w:tab w:val="clear" w:pos="567"/>
          <w:tab w:val="left" w:pos="1296"/>
        </w:tabs>
        <w:spacing w:line="240" w:lineRule="auto"/>
        <w:ind w:right="-2"/>
        <w:rPr>
          <w:szCs w:val="22"/>
          <w:lang w:val="lt-LT"/>
        </w:rPr>
      </w:pPr>
    </w:p>
    <w:p w14:paraId="7C93BDDA"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 xml:space="preserve">Kas yra </w:t>
      </w:r>
      <w:proofErr w:type="spellStart"/>
      <w:r>
        <w:rPr>
          <w:rFonts w:ascii="Times New Roman" w:hAnsi="Times New Roman"/>
          <w:sz w:val="22"/>
          <w:szCs w:val="22"/>
          <w:lang w:val="lt-LT"/>
        </w:rPr>
        <w:t>Tobramycin</w:t>
      </w:r>
      <w:proofErr w:type="spellEnd"/>
      <w:r>
        <w:rPr>
          <w:rFonts w:ascii="Times New Roman" w:hAnsi="Times New Roman"/>
          <w:sz w:val="22"/>
          <w:szCs w:val="22"/>
          <w:lang w:val="lt-LT"/>
        </w:rPr>
        <w:t xml:space="preserve"> Via </w:t>
      </w:r>
      <w:proofErr w:type="spellStart"/>
      <w:r>
        <w:rPr>
          <w:rFonts w:ascii="Times New Roman" w:hAnsi="Times New Roman"/>
          <w:sz w:val="22"/>
          <w:szCs w:val="22"/>
          <w:lang w:val="lt-LT"/>
        </w:rPr>
        <w:t>pharma</w:t>
      </w:r>
      <w:proofErr w:type="spellEnd"/>
      <w:r>
        <w:rPr>
          <w:rFonts w:ascii="Times New Roman" w:hAnsi="Times New Roman"/>
          <w:sz w:val="22"/>
          <w:szCs w:val="22"/>
          <w:lang w:val="lt-LT"/>
        </w:rPr>
        <w:t xml:space="preserve"> ir kam jis vartojamas</w:t>
      </w:r>
    </w:p>
    <w:p w14:paraId="4AE7622F" w14:textId="77777777" w:rsidR="00803D36" w:rsidRDefault="00803D36" w:rsidP="00803D36">
      <w:pPr>
        <w:numPr>
          <w:ilvl w:val="12"/>
          <w:numId w:val="0"/>
        </w:numPr>
        <w:tabs>
          <w:tab w:val="clear" w:pos="567"/>
          <w:tab w:val="left" w:pos="1296"/>
        </w:tabs>
        <w:spacing w:line="240" w:lineRule="auto"/>
        <w:ind w:right="-2"/>
        <w:rPr>
          <w:szCs w:val="22"/>
          <w:lang w:val="lt-LT"/>
        </w:rPr>
      </w:pPr>
    </w:p>
    <w:p w14:paraId="29AE8702" w14:textId="77777777" w:rsidR="00803D36" w:rsidRDefault="00803D36" w:rsidP="00803D36">
      <w:pPr>
        <w:numPr>
          <w:ilvl w:val="12"/>
          <w:numId w:val="0"/>
        </w:numPr>
        <w:tabs>
          <w:tab w:val="clear" w:pos="567"/>
          <w:tab w:val="left" w:pos="1296"/>
        </w:tabs>
        <w:spacing w:line="240" w:lineRule="auto"/>
        <w:ind w:right="-2"/>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yra </w:t>
      </w:r>
      <w:proofErr w:type="spellStart"/>
      <w:r>
        <w:rPr>
          <w:szCs w:val="22"/>
          <w:lang w:val="lt-LT"/>
        </w:rPr>
        <w:t>aminoglikozidų</w:t>
      </w:r>
      <w:proofErr w:type="spellEnd"/>
      <w:r>
        <w:rPr>
          <w:szCs w:val="22"/>
          <w:lang w:val="lt-LT"/>
        </w:rPr>
        <w:t xml:space="preserve"> grupės antibiotikas.</w:t>
      </w:r>
    </w:p>
    <w:p w14:paraId="277E1AB7" w14:textId="77777777" w:rsidR="00803D36" w:rsidRDefault="00803D36" w:rsidP="00803D36">
      <w:pPr>
        <w:numPr>
          <w:ilvl w:val="12"/>
          <w:numId w:val="0"/>
        </w:numPr>
        <w:tabs>
          <w:tab w:val="clear" w:pos="567"/>
          <w:tab w:val="left" w:pos="1296"/>
        </w:tabs>
        <w:spacing w:line="240" w:lineRule="auto"/>
        <w:ind w:right="-2"/>
        <w:rPr>
          <w:szCs w:val="22"/>
          <w:lang w:val="lt-LT"/>
        </w:rPr>
      </w:pPr>
    </w:p>
    <w:p w14:paraId="2BD3A0CB" w14:textId="77777777" w:rsidR="00803D36" w:rsidRDefault="00803D36" w:rsidP="00803D36">
      <w:pPr>
        <w:numPr>
          <w:ilvl w:val="12"/>
          <w:numId w:val="0"/>
        </w:numPr>
        <w:tabs>
          <w:tab w:val="clear" w:pos="567"/>
          <w:tab w:val="left" w:pos="1296"/>
        </w:tabs>
        <w:spacing w:line="240" w:lineRule="auto"/>
        <w:ind w:right="-2"/>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vartojamas bakterijų, vadinamų </w:t>
      </w:r>
      <w:proofErr w:type="spellStart"/>
      <w:r>
        <w:rPr>
          <w:i/>
          <w:szCs w:val="22"/>
          <w:lang w:val="lt-LT"/>
        </w:rPr>
        <w:t>Pseudomonas</w:t>
      </w:r>
      <w:proofErr w:type="spellEnd"/>
      <w:r>
        <w:rPr>
          <w:i/>
          <w:szCs w:val="22"/>
          <w:lang w:val="lt-LT"/>
        </w:rPr>
        <w:t xml:space="preserve"> </w:t>
      </w:r>
      <w:proofErr w:type="spellStart"/>
      <w:r>
        <w:rPr>
          <w:i/>
          <w:szCs w:val="22"/>
          <w:lang w:val="lt-LT"/>
        </w:rPr>
        <w:t>aeruginosa</w:t>
      </w:r>
      <w:proofErr w:type="spellEnd"/>
      <w:r>
        <w:rPr>
          <w:szCs w:val="22"/>
          <w:lang w:val="lt-LT"/>
        </w:rPr>
        <w:t>, sukeltai plaučių infekcinei ligai gydyti 6 metų ir vyresniems pacientams, sergantiems cistine fibroze.</w:t>
      </w:r>
    </w:p>
    <w:p w14:paraId="70CC5C11" w14:textId="77777777" w:rsidR="00803D36" w:rsidRDefault="00803D36" w:rsidP="00803D36">
      <w:pPr>
        <w:numPr>
          <w:ilvl w:val="12"/>
          <w:numId w:val="0"/>
        </w:numPr>
        <w:tabs>
          <w:tab w:val="clear" w:pos="567"/>
          <w:tab w:val="left" w:pos="1296"/>
        </w:tabs>
        <w:spacing w:line="240" w:lineRule="auto"/>
        <w:ind w:right="-2"/>
        <w:rPr>
          <w:szCs w:val="22"/>
          <w:lang w:val="lt-LT"/>
        </w:rPr>
      </w:pPr>
    </w:p>
    <w:p w14:paraId="6AF4ED96" w14:textId="77777777" w:rsidR="00803D36" w:rsidRDefault="00803D36" w:rsidP="00803D36">
      <w:pPr>
        <w:numPr>
          <w:ilvl w:val="12"/>
          <w:numId w:val="0"/>
        </w:numPr>
        <w:tabs>
          <w:tab w:val="clear" w:pos="567"/>
          <w:tab w:val="left" w:pos="1296"/>
        </w:tabs>
        <w:spacing w:line="240" w:lineRule="auto"/>
        <w:ind w:right="-2"/>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naikina infekcinę ligą sukeliančias </w:t>
      </w:r>
      <w:proofErr w:type="spellStart"/>
      <w:r>
        <w:rPr>
          <w:i/>
          <w:szCs w:val="22"/>
          <w:lang w:val="lt-LT"/>
        </w:rPr>
        <w:t>Pseudomonas</w:t>
      </w:r>
      <w:proofErr w:type="spellEnd"/>
      <w:r>
        <w:rPr>
          <w:i/>
          <w:szCs w:val="22"/>
          <w:lang w:val="lt-LT"/>
        </w:rPr>
        <w:t xml:space="preserve"> </w:t>
      </w:r>
      <w:proofErr w:type="spellStart"/>
      <w:r>
        <w:rPr>
          <w:i/>
          <w:szCs w:val="22"/>
          <w:lang w:val="lt-LT"/>
        </w:rPr>
        <w:t>aeruginosa</w:t>
      </w:r>
      <w:proofErr w:type="spellEnd"/>
      <w:r>
        <w:rPr>
          <w:szCs w:val="22"/>
          <w:lang w:val="lt-LT"/>
        </w:rPr>
        <w:t xml:space="preserve"> bakterijas plaučiuose ir padeda gerinti kvėpavimą.</w:t>
      </w:r>
    </w:p>
    <w:p w14:paraId="514B859B" w14:textId="77777777" w:rsidR="00803D36" w:rsidRDefault="00803D36" w:rsidP="00803D36">
      <w:pPr>
        <w:numPr>
          <w:ilvl w:val="12"/>
          <w:numId w:val="0"/>
        </w:numPr>
        <w:tabs>
          <w:tab w:val="clear" w:pos="567"/>
          <w:tab w:val="left" w:pos="1296"/>
        </w:tabs>
        <w:spacing w:line="240" w:lineRule="auto"/>
        <w:ind w:right="-2"/>
        <w:rPr>
          <w:szCs w:val="22"/>
          <w:lang w:val="lt-LT"/>
        </w:rPr>
      </w:pPr>
    </w:p>
    <w:p w14:paraId="59517DB9"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Įkvėpus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antibiotikas gali patekti tiesiogiai į plaučius ir ten kovoti su infekciją sukeliančia bakterija. Norėdami pasiekti geriausių gydymo šiuo vaistu rezultatų, jį vartokite taip, kaip nurodyta šiame lapelyje.</w:t>
      </w:r>
    </w:p>
    <w:p w14:paraId="26510A0F" w14:textId="77777777" w:rsidR="00803D36" w:rsidRDefault="00803D36" w:rsidP="00803D36">
      <w:pPr>
        <w:numPr>
          <w:ilvl w:val="12"/>
          <w:numId w:val="0"/>
        </w:numPr>
        <w:tabs>
          <w:tab w:val="clear" w:pos="567"/>
          <w:tab w:val="left" w:pos="1296"/>
        </w:tabs>
        <w:spacing w:line="240" w:lineRule="auto"/>
        <w:ind w:right="-2"/>
        <w:rPr>
          <w:szCs w:val="22"/>
          <w:lang w:val="lt-LT"/>
        </w:rPr>
      </w:pPr>
    </w:p>
    <w:p w14:paraId="0DFBB1DA" w14:textId="77777777" w:rsidR="00803D36" w:rsidRDefault="00803D36" w:rsidP="00803D36">
      <w:pPr>
        <w:numPr>
          <w:ilvl w:val="12"/>
          <w:numId w:val="0"/>
        </w:numPr>
        <w:tabs>
          <w:tab w:val="clear" w:pos="567"/>
          <w:tab w:val="left" w:pos="1296"/>
        </w:tabs>
        <w:spacing w:line="240" w:lineRule="auto"/>
        <w:ind w:right="-2"/>
        <w:rPr>
          <w:b/>
          <w:i/>
          <w:szCs w:val="22"/>
          <w:lang w:val="lt-LT"/>
        </w:rPr>
      </w:pPr>
      <w:r>
        <w:rPr>
          <w:b/>
          <w:i/>
          <w:szCs w:val="22"/>
          <w:lang w:val="lt-LT"/>
        </w:rPr>
        <w:t xml:space="preserve">Kas yra </w:t>
      </w:r>
      <w:proofErr w:type="spellStart"/>
      <w:r>
        <w:rPr>
          <w:b/>
          <w:i/>
          <w:szCs w:val="22"/>
          <w:lang w:val="lt-LT"/>
        </w:rPr>
        <w:t>Pseudomonas</w:t>
      </w:r>
      <w:proofErr w:type="spellEnd"/>
      <w:r>
        <w:rPr>
          <w:b/>
          <w:i/>
          <w:szCs w:val="22"/>
          <w:lang w:val="lt-LT"/>
        </w:rPr>
        <w:t xml:space="preserve"> </w:t>
      </w:r>
      <w:proofErr w:type="spellStart"/>
      <w:r>
        <w:rPr>
          <w:b/>
          <w:i/>
          <w:szCs w:val="22"/>
          <w:lang w:val="lt-LT"/>
        </w:rPr>
        <w:t>aeruginosa</w:t>
      </w:r>
      <w:proofErr w:type="spellEnd"/>
    </w:p>
    <w:p w14:paraId="0BE2A7DA"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Tai yra labai paplitusios bakterijos, kuriomis kažkuriuo gyvenimo laikotarpiu būna infekuoti beveik visi cistine fibroze sergantys pacientai. Kai kuriems žmonėms ši infekcija neatsiranda labai ilgai, o kai kuriems ji pasireiškia labai jauniems.</w:t>
      </w:r>
    </w:p>
    <w:p w14:paraId="114E1DC1" w14:textId="77777777" w:rsidR="00803D36" w:rsidRDefault="00803D36" w:rsidP="00803D36">
      <w:pPr>
        <w:numPr>
          <w:ilvl w:val="12"/>
          <w:numId w:val="0"/>
        </w:numPr>
        <w:tabs>
          <w:tab w:val="clear" w:pos="567"/>
          <w:tab w:val="left" w:pos="1296"/>
        </w:tabs>
        <w:spacing w:line="240" w:lineRule="auto"/>
        <w:ind w:right="-2"/>
        <w:rPr>
          <w:szCs w:val="22"/>
          <w:lang w:val="lt-LT"/>
        </w:rPr>
      </w:pPr>
    </w:p>
    <w:p w14:paraId="7CD83A7E"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Tai viena iš labiausiai kenksmingų bakterijų cistine fibroze sergantiems asmenims. Jei infekcija nėra tinkamai kontroliuojama, ji toliau pažeidžia Jūsų plaučius ir dar labiau sutrikdo kvėpavimą.</w:t>
      </w:r>
    </w:p>
    <w:p w14:paraId="0E48FB9F" w14:textId="77777777" w:rsidR="00803D36" w:rsidRDefault="00803D36" w:rsidP="00803D36">
      <w:pPr>
        <w:numPr>
          <w:ilvl w:val="12"/>
          <w:numId w:val="0"/>
        </w:numPr>
        <w:tabs>
          <w:tab w:val="clear" w:pos="567"/>
          <w:tab w:val="left" w:pos="1296"/>
        </w:tabs>
        <w:spacing w:line="240" w:lineRule="auto"/>
        <w:ind w:right="-2"/>
        <w:rPr>
          <w:szCs w:val="22"/>
          <w:lang w:val="lt-LT"/>
        </w:rPr>
      </w:pPr>
    </w:p>
    <w:p w14:paraId="20E9C261" w14:textId="77777777" w:rsidR="00803D36" w:rsidRDefault="00803D36" w:rsidP="00803D36">
      <w:pPr>
        <w:numPr>
          <w:ilvl w:val="12"/>
          <w:numId w:val="0"/>
        </w:numPr>
        <w:tabs>
          <w:tab w:val="clear" w:pos="567"/>
          <w:tab w:val="left" w:pos="1296"/>
        </w:tabs>
        <w:spacing w:line="240" w:lineRule="auto"/>
        <w:ind w:right="-2"/>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naikina plaučių infekcinę ligą sukeliančias bakterijas. Infekciją galima sėkmingai kontroliuoti, jei gydymas pradedamas anksti.</w:t>
      </w:r>
    </w:p>
    <w:p w14:paraId="42D2BEE2" w14:textId="77777777" w:rsidR="00803D36" w:rsidRDefault="00803D36" w:rsidP="00803D36">
      <w:pPr>
        <w:numPr>
          <w:ilvl w:val="12"/>
          <w:numId w:val="0"/>
        </w:numPr>
        <w:tabs>
          <w:tab w:val="clear" w:pos="567"/>
          <w:tab w:val="left" w:pos="1296"/>
        </w:tabs>
        <w:spacing w:line="240" w:lineRule="auto"/>
        <w:ind w:right="-2"/>
        <w:rPr>
          <w:szCs w:val="22"/>
          <w:lang w:val="lt-LT"/>
        </w:rPr>
      </w:pPr>
    </w:p>
    <w:p w14:paraId="29F1AE0F" w14:textId="77777777" w:rsidR="00803D36" w:rsidRDefault="00803D36" w:rsidP="00803D36">
      <w:pPr>
        <w:numPr>
          <w:ilvl w:val="12"/>
          <w:numId w:val="0"/>
        </w:numPr>
        <w:tabs>
          <w:tab w:val="clear" w:pos="567"/>
          <w:tab w:val="left" w:pos="1296"/>
        </w:tabs>
        <w:spacing w:line="240" w:lineRule="auto"/>
        <w:ind w:right="-2"/>
        <w:rPr>
          <w:szCs w:val="22"/>
          <w:lang w:val="lt-LT"/>
        </w:rPr>
      </w:pPr>
    </w:p>
    <w:p w14:paraId="37AF33A4"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 xml:space="preserve">Kas žinotina prieš vartojant </w:t>
      </w:r>
      <w:proofErr w:type="spellStart"/>
      <w:r>
        <w:rPr>
          <w:rFonts w:ascii="Times New Roman" w:hAnsi="Times New Roman"/>
          <w:sz w:val="22"/>
          <w:szCs w:val="22"/>
          <w:lang w:val="lt-LT"/>
        </w:rPr>
        <w:t>Tobramycin</w:t>
      </w:r>
      <w:proofErr w:type="spellEnd"/>
      <w:r>
        <w:rPr>
          <w:rFonts w:ascii="Times New Roman" w:hAnsi="Times New Roman"/>
          <w:sz w:val="22"/>
          <w:szCs w:val="22"/>
          <w:lang w:val="lt-LT"/>
        </w:rPr>
        <w:t xml:space="preserve"> Via </w:t>
      </w:r>
      <w:proofErr w:type="spellStart"/>
      <w:r>
        <w:rPr>
          <w:rFonts w:ascii="Times New Roman" w:hAnsi="Times New Roman"/>
          <w:sz w:val="22"/>
          <w:szCs w:val="22"/>
          <w:lang w:val="lt-LT"/>
        </w:rPr>
        <w:t>pharma</w:t>
      </w:r>
      <w:proofErr w:type="spellEnd"/>
    </w:p>
    <w:p w14:paraId="575CEB46" w14:textId="77777777" w:rsidR="00803D36" w:rsidRDefault="00803D36" w:rsidP="00803D36">
      <w:pPr>
        <w:numPr>
          <w:ilvl w:val="12"/>
          <w:numId w:val="0"/>
        </w:numPr>
        <w:tabs>
          <w:tab w:val="clear" w:pos="567"/>
          <w:tab w:val="left" w:pos="1296"/>
        </w:tabs>
        <w:spacing w:line="240" w:lineRule="auto"/>
        <w:ind w:right="-2"/>
        <w:rPr>
          <w:szCs w:val="22"/>
          <w:lang w:val="lt-LT"/>
        </w:rPr>
      </w:pPr>
    </w:p>
    <w:p w14:paraId="22BACE53" w14:textId="77777777" w:rsidR="00803D36" w:rsidRDefault="00803D36" w:rsidP="00803D36">
      <w:pPr>
        <w:pStyle w:val="Antrat4"/>
        <w:spacing w:line="240" w:lineRule="auto"/>
        <w:rPr>
          <w:rFonts w:ascii="Times New Roman" w:hAnsi="Times New Roman"/>
          <w:sz w:val="22"/>
          <w:szCs w:val="22"/>
          <w:lang w:val="lt-LT"/>
        </w:rPr>
      </w:pPr>
      <w:proofErr w:type="spellStart"/>
      <w:r>
        <w:rPr>
          <w:rFonts w:ascii="Times New Roman" w:hAnsi="Times New Roman"/>
          <w:sz w:val="22"/>
          <w:szCs w:val="22"/>
          <w:lang w:val="lt-LT"/>
        </w:rPr>
        <w:t>Tobramycin</w:t>
      </w:r>
      <w:proofErr w:type="spellEnd"/>
      <w:r>
        <w:rPr>
          <w:rFonts w:ascii="Times New Roman" w:hAnsi="Times New Roman"/>
          <w:sz w:val="22"/>
          <w:szCs w:val="22"/>
          <w:lang w:val="lt-LT"/>
        </w:rPr>
        <w:t xml:space="preserve"> Via </w:t>
      </w:r>
      <w:proofErr w:type="spellStart"/>
      <w:r>
        <w:rPr>
          <w:rFonts w:ascii="Times New Roman" w:hAnsi="Times New Roman"/>
          <w:sz w:val="22"/>
          <w:szCs w:val="22"/>
          <w:lang w:val="lt-LT"/>
        </w:rPr>
        <w:t>pharma</w:t>
      </w:r>
      <w:proofErr w:type="spellEnd"/>
      <w:r>
        <w:rPr>
          <w:rFonts w:ascii="Times New Roman" w:hAnsi="Times New Roman"/>
          <w:sz w:val="22"/>
          <w:szCs w:val="22"/>
          <w:lang w:val="lt-LT"/>
        </w:rPr>
        <w:t xml:space="preserve"> vartoti negalima:</w:t>
      </w:r>
    </w:p>
    <w:p w14:paraId="7389FD39" w14:textId="77777777" w:rsidR="00803D36" w:rsidRDefault="00803D36" w:rsidP="00803D36">
      <w:pPr>
        <w:numPr>
          <w:ilvl w:val="12"/>
          <w:numId w:val="0"/>
        </w:numPr>
        <w:spacing w:line="240" w:lineRule="auto"/>
        <w:ind w:left="567" w:hanging="567"/>
        <w:rPr>
          <w:szCs w:val="22"/>
          <w:lang w:val="lt-LT"/>
        </w:rPr>
      </w:pPr>
      <w:r>
        <w:rPr>
          <w:szCs w:val="22"/>
          <w:lang w:val="lt-LT"/>
        </w:rPr>
        <w:t>-</w:t>
      </w:r>
      <w:r>
        <w:rPr>
          <w:szCs w:val="22"/>
          <w:lang w:val="lt-LT"/>
        </w:rPr>
        <w:tab/>
        <w:t xml:space="preserve">jeigu yra alergija (padidėjęs jautrumas) </w:t>
      </w:r>
      <w:proofErr w:type="spellStart"/>
      <w:r>
        <w:rPr>
          <w:szCs w:val="22"/>
          <w:lang w:val="lt-LT"/>
        </w:rPr>
        <w:t>tobramicinui</w:t>
      </w:r>
      <w:proofErr w:type="spellEnd"/>
      <w:r>
        <w:rPr>
          <w:szCs w:val="22"/>
          <w:lang w:val="lt-LT"/>
        </w:rPr>
        <w:t xml:space="preserve">, bet kuriam kitam </w:t>
      </w:r>
      <w:proofErr w:type="spellStart"/>
      <w:r>
        <w:rPr>
          <w:szCs w:val="22"/>
          <w:lang w:val="lt-LT"/>
        </w:rPr>
        <w:t>aminoglikozidų</w:t>
      </w:r>
      <w:proofErr w:type="spellEnd"/>
      <w:r>
        <w:rPr>
          <w:szCs w:val="22"/>
          <w:lang w:val="lt-LT"/>
        </w:rPr>
        <w:t xml:space="preserve"> grupės antibiotikui arba bet kuriai pagalbinei šio vaisto medžiagai (jos išvardytos 6 skyriuje).</w:t>
      </w:r>
    </w:p>
    <w:p w14:paraId="0FC460F5" w14:textId="77777777" w:rsidR="00803D36" w:rsidRDefault="00803D36" w:rsidP="00803D36">
      <w:pPr>
        <w:numPr>
          <w:ilvl w:val="12"/>
          <w:numId w:val="0"/>
        </w:numPr>
        <w:spacing w:line="240" w:lineRule="auto"/>
        <w:rPr>
          <w:szCs w:val="22"/>
          <w:lang w:val="lt-LT"/>
        </w:rPr>
      </w:pPr>
      <w:r>
        <w:rPr>
          <w:szCs w:val="22"/>
          <w:lang w:val="lt-LT"/>
        </w:rPr>
        <w:t xml:space="preserve">Jei Jums yra tokia būklė, apie tai gydytojui pasakykite prieš pradėdami gydymą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w:t>
      </w:r>
    </w:p>
    <w:p w14:paraId="7BC8442F" w14:textId="77777777" w:rsidR="00803D36" w:rsidRDefault="00803D36" w:rsidP="00803D36">
      <w:pPr>
        <w:numPr>
          <w:ilvl w:val="12"/>
          <w:numId w:val="0"/>
        </w:numPr>
        <w:tabs>
          <w:tab w:val="clear" w:pos="567"/>
          <w:tab w:val="left" w:pos="1296"/>
        </w:tabs>
        <w:spacing w:line="240" w:lineRule="auto"/>
        <w:ind w:right="-2"/>
        <w:rPr>
          <w:szCs w:val="22"/>
          <w:lang w:val="lt-LT"/>
        </w:rPr>
      </w:pPr>
    </w:p>
    <w:p w14:paraId="4CECAD38"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 xml:space="preserve">Įspėjimai ir atsargumo priemonės </w:t>
      </w:r>
    </w:p>
    <w:p w14:paraId="2EBE17C9"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Pasitarkite su gydytoju arba vaistininku, prieš pradėdami vartoti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jeigu yra ar kada nors buvo bet kuris iš toliau išvardytų sutrikimų:</w:t>
      </w:r>
    </w:p>
    <w:p w14:paraId="4DA336B6" w14:textId="77777777" w:rsidR="00803D36" w:rsidRDefault="00803D36" w:rsidP="00803D36">
      <w:pPr>
        <w:numPr>
          <w:ilvl w:val="0"/>
          <w:numId w:val="3"/>
        </w:numPr>
        <w:tabs>
          <w:tab w:val="clear" w:pos="567"/>
          <w:tab w:val="left" w:pos="1296"/>
        </w:tabs>
        <w:spacing w:line="240" w:lineRule="auto"/>
        <w:ind w:left="567" w:right="-2" w:hanging="567"/>
        <w:rPr>
          <w:szCs w:val="22"/>
          <w:lang w:val="lt-LT"/>
        </w:rPr>
      </w:pPr>
      <w:r>
        <w:rPr>
          <w:szCs w:val="22"/>
          <w:lang w:val="lt-LT"/>
        </w:rPr>
        <w:t>klausos sutrikimas (įskaitant ūžimą ausyse ir svaigulį);</w:t>
      </w:r>
    </w:p>
    <w:p w14:paraId="0976C2E8" w14:textId="77777777" w:rsidR="00803D36" w:rsidRDefault="00803D36" w:rsidP="00803D36">
      <w:pPr>
        <w:numPr>
          <w:ilvl w:val="0"/>
          <w:numId w:val="3"/>
        </w:numPr>
        <w:tabs>
          <w:tab w:val="clear" w:pos="567"/>
          <w:tab w:val="left" w:pos="1296"/>
        </w:tabs>
        <w:spacing w:line="240" w:lineRule="auto"/>
        <w:ind w:left="567" w:right="-2" w:hanging="567"/>
        <w:rPr>
          <w:szCs w:val="22"/>
          <w:lang w:val="lt-LT"/>
        </w:rPr>
      </w:pPr>
      <w:r>
        <w:rPr>
          <w:szCs w:val="22"/>
          <w:lang w:val="lt-LT"/>
        </w:rPr>
        <w:t>inkstų sutrikimas;</w:t>
      </w:r>
    </w:p>
    <w:p w14:paraId="2C1FE924" w14:textId="77777777" w:rsidR="00803D36" w:rsidRDefault="00803D36" w:rsidP="00803D36">
      <w:pPr>
        <w:numPr>
          <w:ilvl w:val="0"/>
          <w:numId w:val="3"/>
        </w:numPr>
        <w:tabs>
          <w:tab w:val="clear" w:pos="567"/>
          <w:tab w:val="left" w:pos="1296"/>
        </w:tabs>
        <w:spacing w:line="240" w:lineRule="auto"/>
        <w:ind w:left="567" w:right="-2" w:hanging="567"/>
        <w:rPr>
          <w:szCs w:val="22"/>
          <w:lang w:val="lt-LT"/>
        </w:rPr>
      </w:pPr>
      <w:r>
        <w:rPr>
          <w:szCs w:val="22"/>
          <w:lang w:val="lt-LT"/>
        </w:rPr>
        <w:t>neįprastai apsunkintas kvėpavimas su švokštimu ar kosuliu, sunkumo pojūtis krūtinėje;</w:t>
      </w:r>
    </w:p>
    <w:p w14:paraId="5F3FE005" w14:textId="77777777" w:rsidR="00803D36" w:rsidRDefault="00803D36" w:rsidP="00803D36">
      <w:pPr>
        <w:numPr>
          <w:ilvl w:val="0"/>
          <w:numId w:val="3"/>
        </w:numPr>
        <w:tabs>
          <w:tab w:val="clear" w:pos="567"/>
          <w:tab w:val="left" w:pos="1296"/>
        </w:tabs>
        <w:spacing w:line="240" w:lineRule="auto"/>
        <w:ind w:left="567" w:right="-2" w:hanging="567"/>
        <w:rPr>
          <w:szCs w:val="22"/>
          <w:lang w:val="lt-LT"/>
        </w:rPr>
      </w:pPr>
      <w:r>
        <w:rPr>
          <w:szCs w:val="22"/>
          <w:lang w:val="lt-LT"/>
        </w:rPr>
        <w:t>kraujas skrepliuose (atkosėtame turinyje);</w:t>
      </w:r>
    </w:p>
    <w:p w14:paraId="308206C5" w14:textId="77777777" w:rsidR="00803D36" w:rsidRDefault="00803D36" w:rsidP="00803D36">
      <w:pPr>
        <w:numPr>
          <w:ilvl w:val="0"/>
          <w:numId w:val="3"/>
        </w:numPr>
        <w:tabs>
          <w:tab w:val="clear" w:pos="567"/>
          <w:tab w:val="left" w:pos="1296"/>
        </w:tabs>
        <w:spacing w:line="240" w:lineRule="auto"/>
        <w:ind w:left="567" w:right="-2" w:hanging="567"/>
        <w:rPr>
          <w:szCs w:val="22"/>
          <w:lang w:val="lt-LT"/>
        </w:rPr>
      </w:pPr>
      <w:r>
        <w:rPr>
          <w:szCs w:val="22"/>
          <w:lang w:val="lt-LT"/>
        </w:rPr>
        <w:t xml:space="preserve">raumenų silpnumas, kuris tęsiasi ar bėgant laikui stiprėja (tai dažniausiai yra su tokiomis būklėmis, kaip </w:t>
      </w:r>
      <w:proofErr w:type="spellStart"/>
      <w:r>
        <w:rPr>
          <w:szCs w:val="22"/>
          <w:lang w:val="lt-LT"/>
        </w:rPr>
        <w:t>miastenija</w:t>
      </w:r>
      <w:proofErr w:type="spellEnd"/>
      <w:r>
        <w:rPr>
          <w:szCs w:val="22"/>
          <w:lang w:val="lt-LT"/>
        </w:rPr>
        <w:t xml:space="preserve"> ar Parkinsono liga, susijęs simptomas).</w:t>
      </w:r>
    </w:p>
    <w:p w14:paraId="074A7D13" w14:textId="77777777" w:rsidR="00803D36" w:rsidRDefault="00803D36" w:rsidP="00803D36">
      <w:pPr>
        <w:tabs>
          <w:tab w:val="clear" w:pos="567"/>
          <w:tab w:val="left" w:pos="1296"/>
        </w:tabs>
        <w:spacing w:line="240" w:lineRule="auto"/>
        <w:ind w:right="-2"/>
        <w:rPr>
          <w:szCs w:val="22"/>
          <w:lang w:val="lt-LT"/>
        </w:rPr>
      </w:pPr>
    </w:p>
    <w:p w14:paraId="4FACFCA5"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Įkvepiami vaistai gali sukelti sunkumo pojūtį krūtinėje ir švokštimą, toks poveikis galimas ir po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pavartojimo. Jūsų gydytojas stebės Jūsų būklę vartojant pirmąją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dozę bei patikrins Jūsų plaučių veiklą prieš vaisto vartojimą ir po jo. Gydytojas gali paprašyti Jūsų prieš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įkvėpimą vartoti bronchus plečiantį vaistą (jei jo dar nevartojate), pvz., </w:t>
      </w:r>
      <w:proofErr w:type="spellStart"/>
      <w:r>
        <w:rPr>
          <w:szCs w:val="22"/>
          <w:lang w:val="lt-LT"/>
        </w:rPr>
        <w:t>salbutamolį</w:t>
      </w:r>
      <w:proofErr w:type="spellEnd"/>
      <w:r>
        <w:rPr>
          <w:szCs w:val="22"/>
          <w:lang w:val="lt-LT"/>
        </w:rPr>
        <w:t>.</w:t>
      </w:r>
    </w:p>
    <w:p w14:paraId="3A652F5E" w14:textId="77777777" w:rsidR="00803D36" w:rsidRDefault="00803D36" w:rsidP="00803D36">
      <w:pPr>
        <w:numPr>
          <w:ilvl w:val="12"/>
          <w:numId w:val="0"/>
        </w:numPr>
        <w:tabs>
          <w:tab w:val="clear" w:pos="567"/>
          <w:tab w:val="left" w:pos="1296"/>
        </w:tabs>
        <w:spacing w:line="240" w:lineRule="auto"/>
        <w:ind w:right="-2"/>
        <w:rPr>
          <w:szCs w:val="22"/>
          <w:lang w:val="lt-LT"/>
        </w:rPr>
      </w:pPr>
    </w:p>
    <w:p w14:paraId="56D6F26D"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Vartojant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po tam tikro laiko </w:t>
      </w:r>
      <w:proofErr w:type="spellStart"/>
      <w:r>
        <w:rPr>
          <w:i/>
          <w:szCs w:val="22"/>
          <w:lang w:val="lt-LT"/>
        </w:rPr>
        <w:t>Pseudomonas</w:t>
      </w:r>
      <w:proofErr w:type="spellEnd"/>
      <w:r>
        <w:rPr>
          <w:szCs w:val="22"/>
          <w:lang w:val="lt-LT"/>
        </w:rPr>
        <w:t xml:space="preserve"> padermės gali tapti atsparios gydymui. Tai reiškia, kad, laikui bėgant, vaistas gali nebeveikti taip gerai, kaip turėtų. Jeigu Jums dėl to neramu, pasitarkite su gydytoju.</w:t>
      </w:r>
    </w:p>
    <w:p w14:paraId="0F1F322B" w14:textId="77777777" w:rsidR="00803D36" w:rsidRDefault="00803D36" w:rsidP="00803D36">
      <w:pPr>
        <w:numPr>
          <w:ilvl w:val="12"/>
          <w:numId w:val="0"/>
        </w:numPr>
        <w:tabs>
          <w:tab w:val="clear" w:pos="567"/>
          <w:tab w:val="left" w:pos="1296"/>
        </w:tabs>
        <w:spacing w:line="240" w:lineRule="auto"/>
        <w:ind w:right="-2"/>
        <w:rPr>
          <w:szCs w:val="22"/>
          <w:lang w:val="lt-LT"/>
        </w:rPr>
      </w:pPr>
    </w:p>
    <w:p w14:paraId="3AD444AF" w14:textId="77777777" w:rsidR="00803D36" w:rsidRDefault="00803D36" w:rsidP="00803D36">
      <w:pPr>
        <w:numPr>
          <w:ilvl w:val="12"/>
          <w:numId w:val="0"/>
        </w:numPr>
        <w:tabs>
          <w:tab w:val="clear" w:pos="567"/>
          <w:tab w:val="left" w:pos="1296"/>
        </w:tabs>
        <w:spacing w:line="240" w:lineRule="auto"/>
        <w:ind w:right="-2"/>
        <w:rPr>
          <w:szCs w:val="22"/>
          <w:lang w:val="lt-LT"/>
        </w:rPr>
      </w:pPr>
      <w:proofErr w:type="spellStart"/>
      <w:r>
        <w:rPr>
          <w:szCs w:val="22"/>
          <w:lang w:val="lt-LT"/>
        </w:rPr>
        <w:t>Injekuojamas</w:t>
      </w:r>
      <w:proofErr w:type="spellEnd"/>
      <w:r>
        <w:rPr>
          <w:szCs w:val="22"/>
          <w:lang w:val="lt-LT"/>
        </w:rPr>
        <w:t xml:space="preserve"> </w:t>
      </w:r>
      <w:proofErr w:type="spellStart"/>
      <w:r>
        <w:rPr>
          <w:szCs w:val="22"/>
          <w:lang w:val="lt-LT"/>
        </w:rPr>
        <w:t>tobramicinas</w:t>
      </w:r>
      <w:proofErr w:type="spellEnd"/>
      <w:r>
        <w:rPr>
          <w:szCs w:val="22"/>
          <w:lang w:val="lt-LT"/>
        </w:rPr>
        <w:t xml:space="preserve"> kartais gali sukelti apkurtimą, svaigulį ir inkstų pažeidimą bei pakenkti dar negimusiam vaikui.</w:t>
      </w:r>
    </w:p>
    <w:p w14:paraId="7C5BB5BA" w14:textId="77777777" w:rsidR="00803D36" w:rsidRDefault="00803D36" w:rsidP="00803D36">
      <w:pPr>
        <w:numPr>
          <w:ilvl w:val="12"/>
          <w:numId w:val="0"/>
        </w:numPr>
        <w:tabs>
          <w:tab w:val="clear" w:pos="567"/>
          <w:tab w:val="left" w:pos="1296"/>
        </w:tabs>
        <w:spacing w:line="240" w:lineRule="auto"/>
        <w:ind w:right="-2"/>
        <w:rPr>
          <w:szCs w:val="22"/>
          <w:lang w:val="lt-LT"/>
        </w:rPr>
      </w:pPr>
    </w:p>
    <w:p w14:paraId="65579DB3"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Vaikams ir paaugliams</w:t>
      </w:r>
    </w:p>
    <w:p w14:paraId="6D49C30D" w14:textId="77777777" w:rsidR="00803D36" w:rsidRDefault="00803D36" w:rsidP="00803D36">
      <w:pPr>
        <w:numPr>
          <w:ilvl w:val="12"/>
          <w:numId w:val="0"/>
        </w:numPr>
        <w:tabs>
          <w:tab w:val="clear" w:pos="567"/>
          <w:tab w:val="left" w:pos="1296"/>
        </w:tabs>
        <w:spacing w:line="240" w:lineRule="auto"/>
        <w:ind w:right="-2"/>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gali vartoti 6 metų ir vyresni vaikai ir paaugliai. Jaunesniems kaip 6 metų vaikams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vartoti negalima.</w:t>
      </w:r>
    </w:p>
    <w:p w14:paraId="41CCC08F" w14:textId="77777777" w:rsidR="00803D36" w:rsidRDefault="00803D36" w:rsidP="00803D36">
      <w:pPr>
        <w:numPr>
          <w:ilvl w:val="12"/>
          <w:numId w:val="0"/>
        </w:numPr>
        <w:tabs>
          <w:tab w:val="clear" w:pos="567"/>
          <w:tab w:val="left" w:pos="1296"/>
        </w:tabs>
        <w:spacing w:line="240" w:lineRule="auto"/>
        <w:ind w:right="-2"/>
        <w:rPr>
          <w:szCs w:val="22"/>
          <w:lang w:val="lt-LT"/>
        </w:rPr>
      </w:pPr>
    </w:p>
    <w:p w14:paraId="67040B15"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 xml:space="preserve">Kiti vaistai ir </w:t>
      </w:r>
      <w:proofErr w:type="spellStart"/>
      <w:r>
        <w:rPr>
          <w:rFonts w:ascii="Times New Roman" w:hAnsi="Times New Roman"/>
          <w:sz w:val="22"/>
          <w:szCs w:val="22"/>
          <w:lang w:val="lt-LT"/>
        </w:rPr>
        <w:t>Tobramycin</w:t>
      </w:r>
      <w:proofErr w:type="spellEnd"/>
      <w:r>
        <w:rPr>
          <w:rFonts w:ascii="Times New Roman" w:hAnsi="Times New Roman"/>
          <w:sz w:val="22"/>
          <w:szCs w:val="22"/>
          <w:lang w:val="lt-LT"/>
        </w:rPr>
        <w:t xml:space="preserve"> Via </w:t>
      </w:r>
      <w:proofErr w:type="spellStart"/>
      <w:r>
        <w:rPr>
          <w:rFonts w:ascii="Times New Roman" w:hAnsi="Times New Roman"/>
          <w:sz w:val="22"/>
          <w:szCs w:val="22"/>
          <w:lang w:val="lt-LT"/>
        </w:rPr>
        <w:t>pharma</w:t>
      </w:r>
      <w:proofErr w:type="spellEnd"/>
    </w:p>
    <w:p w14:paraId="212A1C5E"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Jeigu vartojate ar neseniai vartojote kitų vaistų arba dėl to nesate tikri, apie tai pasakykite gydytojui arba vaistininkui.</w:t>
      </w:r>
    </w:p>
    <w:p w14:paraId="678EFFAA" w14:textId="77777777" w:rsidR="00803D36" w:rsidRDefault="00803D36" w:rsidP="00803D36">
      <w:pPr>
        <w:numPr>
          <w:ilvl w:val="12"/>
          <w:numId w:val="0"/>
        </w:numPr>
        <w:tabs>
          <w:tab w:val="clear" w:pos="567"/>
          <w:tab w:val="left" w:pos="1296"/>
        </w:tabs>
        <w:spacing w:line="240" w:lineRule="auto"/>
        <w:ind w:right="-2"/>
        <w:rPr>
          <w:szCs w:val="22"/>
          <w:lang w:val="lt-LT"/>
        </w:rPr>
      </w:pPr>
    </w:p>
    <w:p w14:paraId="73F2FB77"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Gydymosi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metu negalima vartoti šių vaistų:</w:t>
      </w:r>
    </w:p>
    <w:p w14:paraId="4BA5F4D9" w14:textId="77777777" w:rsidR="00803D36" w:rsidRDefault="00803D36" w:rsidP="00803D36">
      <w:pPr>
        <w:numPr>
          <w:ilvl w:val="0"/>
          <w:numId w:val="3"/>
        </w:numPr>
        <w:tabs>
          <w:tab w:val="clear" w:pos="567"/>
          <w:tab w:val="left" w:pos="1296"/>
        </w:tabs>
        <w:spacing w:line="240" w:lineRule="auto"/>
        <w:ind w:left="567" w:right="-2" w:hanging="567"/>
        <w:rPr>
          <w:szCs w:val="22"/>
          <w:lang w:val="lt-LT"/>
        </w:rPr>
      </w:pPr>
      <w:proofErr w:type="spellStart"/>
      <w:r>
        <w:rPr>
          <w:szCs w:val="22"/>
          <w:lang w:val="lt-LT"/>
        </w:rPr>
        <w:t>furozemido</w:t>
      </w:r>
      <w:proofErr w:type="spellEnd"/>
      <w:r>
        <w:rPr>
          <w:szCs w:val="22"/>
          <w:lang w:val="lt-LT"/>
        </w:rPr>
        <w:t xml:space="preserve"> (diuretiko, t. y. šlapimo išsiskyrimą skatinančio vaisto);</w:t>
      </w:r>
    </w:p>
    <w:p w14:paraId="38AF02F9" w14:textId="77777777" w:rsidR="00803D36" w:rsidRDefault="00803D36" w:rsidP="00803D36">
      <w:pPr>
        <w:numPr>
          <w:ilvl w:val="0"/>
          <w:numId w:val="3"/>
        </w:numPr>
        <w:tabs>
          <w:tab w:val="clear" w:pos="567"/>
          <w:tab w:val="left" w:pos="1296"/>
        </w:tabs>
        <w:spacing w:line="240" w:lineRule="auto"/>
        <w:ind w:left="567" w:right="-2" w:hanging="567"/>
        <w:rPr>
          <w:szCs w:val="22"/>
          <w:lang w:val="lt-LT"/>
        </w:rPr>
      </w:pPr>
      <w:r>
        <w:rPr>
          <w:szCs w:val="22"/>
          <w:lang w:val="lt-LT"/>
        </w:rPr>
        <w:t xml:space="preserve">šlapalo ar </w:t>
      </w:r>
      <w:proofErr w:type="spellStart"/>
      <w:r>
        <w:rPr>
          <w:szCs w:val="22"/>
          <w:lang w:val="lt-LT"/>
        </w:rPr>
        <w:t>manitolio</w:t>
      </w:r>
      <w:proofErr w:type="spellEnd"/>
      <w:r>
        <w:rPr>
          <w:szCs w:val="22"/>
          <w:lang w:val="lt-LT"/>
        </w:rPr>
        <w:t>;</w:t>
      </w:r>
    </w:p>
    <w:p w14:paraId="2D11D1A4" w14:textId="77777777" w:rsidR="00803D36" w:rsidRDefault="00803D36" w:rsidP="00803D36">
      <w:pPr>
        <w:numPr>
          <w:ilvl w:val="0"/>
          <w:numId w:val="3"/>
        </w:numPr>
        <w:tabs>
          <w:tab w:val="clear" w:pos="567"/>
          <w:tab w:val="left" w:pos="1296"/>
        </w:tabs>
        <w:spacing w:line="240" w:lineRule="auto"/>
        <w:ind w:left="567" w:right="-2" w:hanging="567"/>
        <w:rPr>
          <w:szCs w:val="22"/>
          <w:lang w:val="lt-LT"/>
        </w:rPr>
      </w:pPr>
      <w:r>
        <w:rPr>
          <w:szCs w:val="22"/>
          <w:lang w:val="lt-LT"/>
        </w:rPr>
        <w:t>kitų vaistų, kurie gali pažeisti nervų sistemą, inkstus ar klausą.</w:t>
      </w:r>
    </w:p>
    <w:p w14:paraId="1FA4497C" w14:textId="77777777" w:rsidR="00803D36" w:rsidRDefault="00803D36" w:rsidP="00803D36">
      <w:pPr>
        <w:tabs>
          <w:tab w:val="clear" w:pos="567"/>
          <w:tab w:val="left" w:pos="1296"/>
        </w:tabs>
        <w:spacing w:line="240" w:lineRule="auto"/>
        <w:ind w:right="-2"/>
        <w:rPr>
          <w:szCs w:val="22"/>
          <w:lang w:val="lt-LT"/>
        </w:rPr>
      </w:pPr>
    </w:p>
    <w:p w14:paraId="7CA3E9C4"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Toliau išvardyti vaistai gali didinti žalingo poveikio tikimybę, jeigu jų vartojama gydymo </w:t>
      </w:r>
      <w:r>
        <w:rPr>
          <w:b/>
          <w:szCs w:val="22"/>
          <w:lang w:val="lt-LT"/>
        </w:rPr>
        <w:t>injekciniu</w:t>
      </w:r>
      <w:r>
        <w:rPr>
          <w:szCs w:val="22"/>
          <w:lang w:val="lt-LT"/>
        </w:rPr>
        <w:t xml:space="preserve"> </w:t>
      </w:r>
      <w:proofErr w:type="spellStart"/>
      <w:r>
        <w:rPr>
          <w:szCs w:val="22"/>
          <w:lang w:val="lt-LT"/>
        </w:rPr>
        <w:t>tobramicinu</w:t>
      </w:r>
      <w:proofErr w:type="spellEnd"/>
      <w:r>
        <w:rPr>
          <w:szCs w:val="22"/>
          <w:lang w:val="lt-LT"/>
        </w:rPr>
        <w:t xml:space="preserve"> metu:</w:t>
      </w:r>
    </w:p>
    <w:p w14:paraId="374C0E99" w14:textId="77777777" w:rsidR="00803D36" w:rsidRDefault="00803D36" w:rsidP="00803D36">
      <w:pPr>
        <w:numPr>
          <w:ilvl w:val="0"/>
          <w:numId w:val="3"/>
        </w:numPr>
        <w:tabs>
          <w:tab w:val="clear" w:pos="567"/>
          <w:tab w:val="left" w:pos="1296"/>
        </w:tabs>
        <w:spacing w:line="240" w:lineRule="auto"/>
        <w:ind w:left="567" w:right="-2" w:hanging="567"/>
        <w:rPr>
          <w:szCs w:val="22"/>
          <w:lang w:val="lt-LT"/>
        </w:rPr>
      </w:pPr>
      <w:proofErr w:type="spellStart"/>
      <w:r>
        <w:rPr>
          <w:szCs w:val="22"/>
          <w:lang w:val="lt-LT"/>
        </w:rPr>
        <w:t>amfotericinas</w:t>
      </w:r>
      <w:proofErr w:type="spellEnd"/>
      <w:r>
        <w:rPr>
          <w:szCs w:val="22"/>
          <w:lang w:val="lt-LT"/>
        </w:rPr>
        <w:t xml:space="preserve"> B, </w:t>
      </w:r>
      <w:proofErr w:type="spellStart"/>
      <w:r>
        <w:rPr>
          <w:szCs w:val="22"/>
          <w:lang w:val="lt-LT"/>
        </w:rPr>
        <w:t>cefalotinas</w:t>
      </w:r>
      <w:proofErr w:type="spellEnd"/>
      <w:r>
        <w:rPr>
          <w:szCs w:val="22"/>
          <w:lang w:val="lt-LT"/>
        </w:rPr>
        <w:t xml:space="preserve">, </w:t>
      </w:r>
      <w:proofErr w:type="spellStart"/>
      <w:r>
        <w:rPr>
          <w:szCs w:val="22"/>
          <w:lang w:val="lt-LT"/>
        </w:rPr>
        <w:t>ciklosporinas</w:t>
      </w:r>
      <w:proofErr w:type="spellEnd"/>
      <w:r>
        <w:rPr>
          <w:szCs w:val="22"/>
          <w:lang w:val="lt-LT"/>
        </w:rPr>
        <w:t xml:space="preserve">, </w:t>
      </w:r>
      <w:proofErr w:type="spellStart"/>
      <w:r>
        <w:rPr>
          <w:szCs w:val="22"/>
          <w:lang w:val="lt-LT"/>
        </w:rPr>
        <w:t>takrolimuzas</w:t>
      </w:r>
      <w:proofErr w:type="spellEnd"/>
      <w:r>
        <w:rPr>
          <w:szCs w:val="22"/>
          <w:lang w:val="lt-LT"/>
        </w:rPr>
        <w:t xml:space="preserve">, </w:t>
      </w:r>
      <w:proofErr w:type="spellStart"/>
      <w:r>
        <w:rPr>
          <w:szCs w:val="22"/>
          <w:lang w:val="lt-LT"/>
        </w:rPr>
        <w:t>polimiksinai</w:t>
      </w:r>
      <w:proofErr w:type="spellEnd"/>
      <w:r>
        <w:rPr>
          <w:szCs w:val="22"/>
          <w:lang w:val="lt-LT"/>
        </w:rPr>
        <w:t xml:space="preserve"> (šie vaistai gali pažeisti inkstus);</w:t>
      </w:r>
    </w:p>
    <w:p w14:paraId="7BD8C9F0" w14:textId="77777777" w:rsidR="00803D36" w:rsidRDefault="00803D36" w:rsidP="00803D36">
      <w:pPr>
        <w:numPr>
          <w:ilvl w:val="0"/>
          <w:numId w:val="3"/>
        </w:numPr>
        <w:tabs>
          <w:tab w:val="clear" w:pos="567"/>
          <w:tab w:val="left" w:pos="1296"/>
        </w:tabs>
        <w:spacing w:line="240" w:lineRule="auto"/>
        <w:ind w:left="567" w:right="-2" w:hanging="567"/>
        <w:rPr>
          <w:szCs w:val="22"/>
          <w:lang w:val="lt-LT"/>
        </w:rPr>
      </w:pPr>
      <w:r>
        <w:rPr>
          <w:szCs w:val="22"/>
          <w:lang w:val="lt-LT"/>
        </w:rPr>
        <w:t xml:space="preserve">platinos dariniai, pvz., </w:t>
      </w:r>
      <w:proofErr w:type="spellStart"/>
      <w:r>
        <w:rPr>
          <w:szCs w:val="22"/>
          <w:lang w:val="lt-LT"/>
        </w:rPr>
        <w:t>karboplatina</w:t>
      </w:r>
      <w:proofErr w:type="spellEnd"/>
      <w:r>
        <w:rPr>
          <w:szCs w:val="22"/>
          <w:lang w:val="lt-LT"/>
        </w:rPr>
        <w:t xml:space="preserve"> ir </w:t>
      </w:r>
      <w:proofErr w:type="spellStart"/>
      <w:r>
        <w:rPr>
          <w:szCs w:val="22"/>
          <w:lang w:val="lt-LT"/>
        </w:rPr>
        <w:t>cisplatina</w:t>
      </w:r>
      <w:proofErr w:type="spellEnd"/>
      <w:r>
        <w:rPr>
          <w:szCs w:val="22"/>
          <w:lang w:val="lt-LT"/>
        </w:rPr>
        <w:t xml:space="preserve"> (šie vaistai gali pažeisti inkstus ar klausą);</w:t>
      </w:r>
    </w:p>
    <w:p w14:paraId="46C7EB88" w14:textId="77777777" w:rsidR="00803D36" w:rsidRDefault="00803D36" w:rsidP="00803D36">
      <w:pPr>
        <w:numPr>
          <w:ilvl w:val="0"/>
          <w:numId w:val="3"/>
        </w:numPr>
        <w:tabs>
          <w:tab w:val="clear" w:pos="567"/>
          <w:tab w:val="left" w:pos="1296"/>
        </w:tabs>
        <w:spacing w:line="240" w:lineRule="auto"/>
        <w:ind w:left="567" w:right="-2" w:hanging="567"/>
        <w:rPr>
          <w:szCs w:val="22"/>
          <w:lang w:val="lt-LT"/>
        </w:rPr>
      </w:pPr>
      <w:proofErr w:type="spellStart"/>
      <w:r>
        <w:rPr>
          <w:szCs w:val="22"/>
          <w:lang w:val="lt-LT"/>
        </w:rPr>
        <w:t>cholinesterazės</w:t>
      </w:r>
      <w:proofErr w:type="spellEnd"/>
      <w:r>
        <w:rPr>
          <w:szCs w:val="22"/>
          <w:lang w:val="lt-LT"/>
        </w:rPr>
        <w:t xml:space="preserve"> inhibitoriai, pvz., </w:t>
      </w:r>
      <w:proofErr w:type="spellStart"/>
      <w:r>
        <w:rPr>
          <w:szCs w:val="22"/>
          <w:lang w:val="lt-LT"/>
        </w:rPr>
        <w:t>neostigminas</w:t>
      </w:r>
      <w:proofErr w:type="spellEnd"/>
      <w:r>
        <w:rPr>
          <w:szCs w:val="22"/>
          <w:lang w:val="lt-LT"/>
        </w:rPr>
        <w:t xml:space="preserve"> ir </w:t>
      </w:r>
      <w:proofErr w:type="spellStart"/>
      <w:r>
        <w:rPr>
          <w:szCs w:val="22"/>
          <w:lang w:val="lt-LT"/>
        </w:rPr>
        <w:t>piridostigminas</w:t>
      </w:r>
      <w:proofErr w:type="spellEnd"/>
      <w:r>
        <w:rPr>
          <w:szCs w:val="22"/>
          <w:lang w:val="lt-LT"/>
        </w:rPr>
        <w:t xml:space="preserve">, ar </w:t>
      </w:r>
      <w:proofErr w:type="spellStart"/>
      <w:r>
        <w:rPr>
          <w:szCs w:val="22"/>
          <w:lang w:val="lt-LT"/>
        </w:rPr>
        <w:t>botulino</w:t>
      </w:r>
      <w:proofErr w:type="spellEnd"/>
      <w:r>
        <w:rPr>
          <w:szCs w:val="22"/>
          <w:lang w:val="lt-LT"/>
        </w:rPr>
        <w:t xml:space="preserve"> toksinas (šie vaistai gali sukelti ar sustiprinti raumenų silpnumą).</w:t>
      </w:r>
    </w:p>
    <w:p w14:paraId="7EA3973F" w14:textId="77777777" w:rsidR="00803D36" w:rsidRDefault="00803D36" w:rsidP="00803D36">
      <w:pPr>
        <w:tabs>
          <w:tab w:val="clear" w:pos="567"/>
          <w:tab w:val="left" w:pos="1296"/>
        </w:tabs>
        <w:spacing w:line="240" w:lineRule="auto"/>
        <w:ind w:right="-2"/>
        <w:rPr>
          <w:szCs w:val="22"/>
          <w:lang w:val="lt-LT"/>
        </w:rPr>
      </w:pPr>
    </w:p>
    <w:p w14:paraId="64EE39BB"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Jei vartojate vieną ar kelis iš paminėtų vaistų, tai su savo gydytoju aptarkite prieš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vartojimą.</w:t>
      </w:r>
    </w:p>
    <w:p w14:paraId="22299FDD" w14:textId="77777777" w:rsidR="00803D36" w:rsidRDefault="00803D36" w:rsidP="00803D36">
      <w:pPr>
        <w:numPr>
          <w:ilvl w:val="12"/>
          <w:numId w:val="0"/>
        </w:numPr>
        <w:tabs>
          <w:tab w:val="clear" w:pos="567"/>
          <w:tab w:val="left" w:pos="1296"/>
        </w:tabs>
        <w:spacing w:line="240" w:lineRule="auto"/>
        <w:ind w:right="-2"/>
        <w:rPr>
          <w:szCs w:val="22"/>
          <w:lang w:val="lt-LT"/>
        </w:rPr>
      </w:pPr>
    </w:p>
    <w:p w14:paraId="31E6AE76" w14:textId="77777777" w:rsidR="00803D36" w:rsidRDefault="00803D36" w:rsidP="00803D36">
      <w:pPr>
        <w:numPr>
          <w:ilvl w:val="12"/>
          <w:numId w:val="0"/>
        </w:numPr>
        <w:tabs>
          <w:tab w:val="clear" w:pos="567"/>
          <w:tab w:val="left" w:pos="1296"/>
        </w:tabs>
        <w:spacing w:line="240" w:lineRule="auto"/>
        <w:ind w:right="-2"/>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purkštuve negalima maišyti ar skiesti su jokiais kitais vaistais.</w:t>
      </w:r>
    </w:p>
    <w:p w14:paraId="79BFC226" w14:textId="77777777" w:rsidR="00803D36" w:rsidRDefault="00803D36" w:rsidP="00803D36">
      <w:pPr>
        <w:numPr>
          <w:ilvl w:val="12"/>
          <w:numId w:val="0"/>
        </w:numPr>
        <w:tabs>
          <w:tab w:val="clear" w:pos="567"/>
          <w:tab w:val="left" w:pos="1296"/>
        </w:tabs>
        <w:spacing w:line="240" w:lineRule="auto"/>
        <w:ind w:right="-2"/>
        <w:rPr>
          <w:szCs w:val="22"/>
          <w:lang w:val="lt-LT"/>
        </w:rPr>
      </w:pPr>
    </w:p>
    <w:p w14:paraId="4C88317A" w14:textId="77777777" w:rsidR="00803D36" w:rsidRDefault="00803D36" w:rsidP="00803D36">
      <w:pPr>
        <w:numPr>
          <w:ilvl w:val="12"/>
          <w:numId w:val="0"/>
        </w:numPr>
        <w:tabs>
          <w:tab w:val="clear" w:pos="567"/>
          <w:tab w:val="left" w:pos="1296"/>
        </w:tabs>
        <w:spacing w:line="240" w:lineRule="auto"/>
        <w:ind w:right="-2"/>
        <w:rPr>
          <w:szCs w:val="22"/>
          <w:lang w:val="lt-LT"/>
        </w:rPr>
      </w:pPr>
      <w:r>
        <w:rPr>
          <w:bCs/>
          <w:szCs w:val="22"/>
          <w:lang w:val="lt-LT" w:eastAsia="es-ES"/>
        </w:rPr>
        <w:t xml:space="preserve">Jei Jums taikomas kelių skirtingų rūšių gydymas nuo cistinės fibrozės, naudojama tokia seka: </w:t>
      </w:r>
    </w:p>
    <w:p w14:paraId="1FDEF0F6" w14:textId="77777777" w:rsidR="00803D36" w:rsidRDefault="00803D36" w:rsidP="00803D36">
      <w:pPr>
        <w:numPr>
          <w:ilvl w:val="12"/>
          <w:numId w:val="0"/>
        </w:numPr>
        <w:tabs>
          <w:tab w:val="clear" w:pos="567"/>
          <w:tab w:val="left" w:pos="1296"/>
        </w:tabs>
        <w:spacing w:line="240" w:lineRule="auto"/>
        <w:ind w:left="567" w:right="-2" w:hanging="567"/>
        <w:rPr>
          <w:szCs w:val="22"/>
          <w:lang w:val="lt-LT"/>
        </w:rPr>
      </w:pPr>
      <w:r>
        <w:rPr>
          <w:szCs w:val="22"/>
          <w:lang w:val="lt-LT"/>
        </w:rPr>
        <w:t>1.</w:t>
      </w:r>
      <w:r>
        <w:rPr>
          <w:szCs w:val="22"/>
          <w:lang w:val="lt-LT"/>
        </w:rPr>
        <w:tab/>
      </w:r>
      <w:r>
        <w:rPr>
          <w:bCs/>
          <w:szCs w:val="22"/>
          <w:lang w:val="lt-LT" w:eastAsia="es-ES"/>
        </w:rPr>
        <w:t>bronchus plečiantys vaistai</w:t>
      </w:r>
      <w:r>
        <w:rPr>
          <w:szCs w:val="22"/>
          <w:lang w:val="lt-LT"/>
        </w:rPr>
        <w:t xml:space="preserve">, pvz., </w:t>
      </w:r>
      <w:proofErr w:type="spellStart"/>
      <w:r>
        <w:rPr>
          <w:szCs w:val="22"/>
          <w:lang w:val="lt-LT"/>
        </w:rPr>
        <w:t>salbutamolis</w:t>
      </w:r>
      <w:proofErr w:type="spellEnd"/>
      <w:r>
        <w:rPr>
          <w:szCs w:val="22"/>
          <w:lang w:val="lt-LT"/>
        </w:rPr>
        <w:t>;</w:t>
      </w:r>
    </w:p>
    <w:p w14:paraId="46CEC676" w14:textId="77777777" w:rsidR="00803D36" w:rsidRDefault="00803D36" w:rsidP="00803D36">
      <w:pPr>
        <w:numPr>
          <w:ilvl w:val="12"/>
          <w:numId w:val="0"/>
        </w:numPr>
        <w:tabs>
          <w:tab w:val="clear" w:pos="567"/>
          <w:tab w:val="left" w:pos="1296"/>
        </w:tabs>
        <w:spacing w:line="240" w:lineRule="auto"/>
        <w:ind w:left="567" w:right="-2" w:hanging="567"/>
        <w:rPr>
          <w:szCs w:val="22"/>
          <w:lang w:val="lt-LT"/>
        </w:rPr>
      </w:pPr>
      <w:r>
        <w:rPr>
          <w:szCs w:val="22"/>
          <w:lang w:val="lt-LT"/>
        </w:rPr>
        <w:t>2.</w:t>
      </w:r>
      <w:r>
        <w:rPr>
          <w:szCs w:val="22"/>
          <w:lang w:val="lt-LT"/>
        </w:rPr>
        <w:tab/>
      </w:r>
      <w:r>
        <w:rPr>
          <w:bCs/>
          <w:szCs w:val="22"/>
          <w:lang w:val="lt-LT" w:eastAsia="es-ES"/>
        </w:rPr>
        <w:t>krūtinės ląstos fizioterapija;</w:t>
      </w:r>
    </w:p>
    <w:p w14:paraId="05A08672" w14:textId="77777777" w:rsidR="00803D36" w:rsidRDefault="00803D36" w:rsidP="00803D36">
      <w:pPr>
        <w:numPr>
          <w:ilvl w:val="12"/>
          <w:numId w:val="0"/>
        </w:numPr>
        <w:tabs>
          <w:tab w:val="clear" w:pos="567"/>
          <w:tab w:val="left" w:pos="1296"/>
        </w:tabs>
        <w:spacing w:line="240" w:lineRule="auto"/>
        <w:ind w:left="567" w:right="-2" w:hanging="567"/>
        <w:rPr>
          <w:szCs w:val="22"/>
          <w:lang w:val="lt-LT"/>
        </w:rPr>
      </w:pPr>
      <w:r>
        <w:rPr>
          <w:szCs w:val="22"/>
          <w:lang w:val="lt-LT"/>
        </w:rPr>
        <w:t>3.</w:t>
      </w:r>
      <w:r>
        <w:rPr>
          <w:szCs w:val="22"/>
          <w:lang w:val="lt-LT"/>
        </w:rPr>
        <w:tab/>
      </w:r>
      <w:r>
        <w:rPr>
          <w:bCs/>
          <w:szCs w:val="22"/>
          <w:lang w:val="lt-LT" w:eastAsia="es-ES"/>
        </w:rPr>
        <w:t>kiti įkvepiamieji vaistai;</w:t>
      </w:r>
    </w:p>
    <w:p w14:paraId="7A527444" w14:textId="77777777" w:rsidR="00803D36" w:rsidRDefault="00803D36" w:rsidP="00803D36">
      <w:pPr>
        <w:numPr>
          <w:ilvl w:val="12"/>
          <w:numId w:val="0"/>
        </w:numPr>
        <w:tabs>
          <w:tab w:val="clear" w:pos="567"/>
          <w:tab w:val="left" w:pos="1296"/>
        </w:tabs>
        <w:spacing w:line="240" w:lineRule="auto"/>
        <w:ind w:left="567" w:right="-2" w:hanging="567"/>
        <w:rPr>
          <w:szCs w:val="22"/>
          <w:lang w:val="lt-LT"/>
        </w:rPr>
      </w:pPr>
      <w:r>
        <w:rPr>
          <w:szCs w:val="22"/>
          <w:lang w:val="lt-LT"/>
        </w:rPr>
        <w:t>4.</w:t>
      </w:r>
      <w:r>
        <w:rPr>
          <w:szCs w:val="22"/>
          <w:lang w:val="lt-LT"/>
        </w:rPr>
        <w:tab/>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w:t>
      </w:r>
    </w:p>
    <w:p w14:paraId="48433F07" w14:textId="77777777" w:rsidR="00803D36" w:rsidRDefault="00803D36" w:rsidP="00803D36">
      <w:pPr>
        <w:numPr>
          <w:ilvl w:val="12"/>
          <w:numId w:val="0"/>
        </w:numPr>
        <w:tabs>
          <w:tab w:val="clear" w:pos="567"/>
          <w:tab w:val="left" w:pos="1296"/>
        </w:tabs>
        <w:spacing w:line="240" w:lineRule="auto"/>
        <w:ind w:right="-2"/>
        <w:rPr>
          <w:szCs w:val="22"/>
          <w:lang w:val="lt-LT"/>
        </w:rPr>
      </w:pPr>
    </w:p>
    <w:p w14:paraId="56D5BFCA"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lastRenderedPageBreak/>
        <w:t>Be to, tokią gydymo seką turi patvirtinti gydytojas.</w:t>
      </w:r>
    </w:p>
    <w:p w14:paraId="612B96D3" w14:textId="77777777" w:rsidR="00803D36" w:rsidRDefault="00803D36" w:rsidP="00803D36">
      <w:pPr>
        <w:numPr>
          <w:ilvl w:val="12"/>
          <w:numId w:val="0"/>
        </w:numPr>
        <w:tabs>
          <w:tab w:val="clear" w:pos="567"/>
          <w:tab w:val="left" w:pos="1296"/>
        </w:tabs>
        <w:spacing w:line="240" w:lineRule="auto"/>
        <w:rPr>
          <w:szCs w:val="22"/>
          <w:lang w:val="lt-LT"/>
        </w:rPr>
      </w:pPr>
    </w:p>
    <w:p w14:paraId="604612D0"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Nėštumas, žindymo laikotarpis ir vaisingumas</w:t>
      </w:r>
    </w:p>
    <w:p w14:paraId="7B4CA08F" w14:textId="77777777" w:rsidR="00803D36" w:rsidRDefault="00803D36" w:rsidP="00803D36">
      <w:pPr>
        <w:numPr>
          <w:ilvl w:val="12"/>
          <w:numId w:val="0"/>
        </w:numPr>
        <w:tabs>
          <w:tab w:val="clear" w:pos="567"/>
          <w:tab w:val="left" w:pos="1296"/>
        </w:tabs>
        <w:spacing w:line="240" w:lineRule="auto"/>
        <w:rPr>
          <w:szCs w:val="22"/>
          <w:lang w:val="lt-LT"/>
        </w:rPr>
      </w:pPr>
      <w:r>
        <w:rPr>
          <w:szCs w:val="22"/>
          <w:lang w:val="lt-LT"/>
        </w:rPr>
        <w:t>Jeigu esate nėščia, žindote kūdikį, manote, kad galbūt esate nėščia, arba planuojate pastoti, tai prieš vartodama šį vaistą, pasitarkite su gydytoju.</w:t>
      </w:r>
    </w:p>
    <w:p w14:paraId="45B87679" w14:textId="77777777" w:rsidR="00803D36" w:rsidRDefault="00803D36" w:rsidP="00803D36">
      <w:pPr>
        <w:numPr>
          <w:ilvl w:val="12"/>
          <w:numId w:val="0"/>
        </w:numPr>
        <w:tabs>
          <w:tab w:val="clear" w:pos="567"/>
          <w:tab w:val="left" w:pos="1296"/>
        </w:tabs>
        <w:spacing w:line="240" w:lineRule="auto"/>
        <w:rPr>
          <w:szCs w:val="22"/>
          <w:lang w:val="lt-LT"/>
        </w:rPr>
      </w:pPr>
    </w:p>
    <w:p w14:paraId="50A5E8C8" w14:textId="77777777" w:rsidR="00803D36" w:rsidRDefault="00803D36" w:rsidP="00803D36">
      <w:pPr>
        <w:numPr>
          <w:ilvl w:val="12"/>
          <w:numId w:val="0"/>
        </w:numPr>
        <w:tabs>
          <w:tab w:val="clear" w:pos="567"/>
          <w:tab w:val="left" w:pos="1296"/>
        </w:tabs>
        <w:spacing w:line="240" w:lineRule="auto"/>
        <w:rPr>
          <w:szCs w:val="22"/>
          <w:lang w:val="lt-LT"/>
        </w:rPr>
      </w:pPr>
      <w:r>
        <w:rPr>
          <w:szCs w:val="22"/>
          <w:lang w:val="lt-LT"/>
        </w:rPr>
        <w:t>Nežinoma, ar įkvepiant šio vaisto nėštumo metu sukeliamas šalutinis poveikis.</w:t>
      </w:r>
    </w:p>
    <w:p w14:paraId="07E01EEB" w14:textId="77777777" w:rsidR="00803D36" w:rsidRDefault="00803D36" w:rsidP="00803D36">
      <w:pPr>
        <w:numPr>
          <w:ilvl w:val="12"/>
          <w:numId w:val="0"/>
        </w:numPr>
        <w:tabs>
          <w:tab w:val="clear" w:pos="567"/>
          <w:tab w:val="left" w:pos="1296"/>
        </w:tabs>
        <w:spacing w:line="240" w:lineRule="auto"/>
        <w:rPr>
          <w:szCs w:val="22"/>
          <w:lang w:val="lt-LT"/>
        </w:rPr>
      </w:pPr>
    </w:p>
    <w:p w14:paraId="3C0EE42E" w14:textId="77777777" w:rsidR="00803D36" w:rsidRDefault="00803D36" w:rsidP="00803D36">
      <w:pPr>
        <w:numPr>
          <w:ilvl w:val="12"/>
          <w:numId w:val="0"/>
        </w:numPr>
        <w:tabs>
          <w:tab w:val="clear" w:pos="567"/>
          <w:tab w:val="left" w:pos="1296"/>
        </w:tabs>
        <w:spacing w:line="240" w:lineRule="auto"/>
        <w:rPr>
          <w:szCs w:val="22"/>
          <w:lang w:val="lt-LT"/>
        </w:rPr>
      </w:pPr>
      <w:proofErr w:type="spellStart"/>
      <w:r>
        <w:rPr>
          <w:szCs w:val="22"/>
          <w:lang w:val="lt-LT"/>
        </w:rPr>
        <w:t>Injekuojamas</w:t>
      </w:r>
      <w:proofErr w:type="spellEnd"/>
      <w:r>
        <w:rPr>
          <w:szCs w:val="22"/>
          <w:lang w:val="lt-LT"/>
        </w:rPr>
        <w:t xml:space="preserve"> </w:t>
      </w:r>
      <w:proofErr w:type="spellStart"/>
      <w:r>
        <w:rPr>
          <w:szCs w:val="22"/>
          <w:lang w:val="lt-LT"/>
        </w:rPr>
        <w:t>tobramicinas</w:t>
      </w:r>
      <w:proofErr w:type="spellEnd"/>
      <w:r>
        <w:rPr>
          <w:szCs w:val="22"/>
          <w:lang w:val="lt-LT"/>
        </w:rPr>
        <w:t xml:space="preserve">, kaip ir kitokie </w:t>
      </w:r>
      <w:proofErr w:type="spellStart"/>
      <w:r>
        <w:rPr>
          <w:szCs w:val="22"/>
          <w:lang w:val="lt-LT"/>
        </w:rPr>
        <w:t>aminoglikozidų</w:t>
      </w:r>
      <w:proofErr w:type="spellEnd"/>
      <w:r>
        <w:rPr>
          <w:szCs w:val="22"/>
          <w:lang w:val="lt-LT"/>
        </w:rPr>
        <w:t xml:space="preserve"> grupės antibiotikai, gali sukelti žalingą poveikį dar negimusiam vaikui, pvz., kurtumą.</w:t>
      </w:r>
    </w:p>
    <w:p w14:paraId="22548524" w14:textId="77777777" w:rsidR="00803D36" w:rsidRDefault="00803D36" w:rsidP="00803D36">
      <w:pPr>
        <w:numPr>
          <w:ilvl w:val="12"/>
          <w:numId w:val="0"/>
        </w:numPr>
        <w:tabs>
          <w:tab w:val="clear" w:pos="567"/>
          <w:tab w:val="left" w:pos="1296"/>
        </w:tabs>
        <w:spacing w:line="240" w:lineRule="auto"/>
        <w:rPr>
          <w:szCs w:val="22"/>
          <w:lang w:val="lt-LT"/>
        </w:rPr>
      </w:pPr>
    </w:p>
    <w:p w14:paraId="1F84740C"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Vairavimas ir mechanizmų valdymas</w:t>
      </w:r>
    </w:p>
    <w:p w14:paraId="3764AC27" w14:textId="77777777" w:rsidR="00803D36" w:rsidRDefault="00803D36" w:rsidP="00803D36">
      <w:pPr>
        <w:numPr>
          <w:ilvl w:val="12"/>
          <w:numId w:val="0"/>
        </w:numPr>
        <w:tabs>
          <w:tab w:val="clear" w:pos="567"/>
          <w:tab w:val="left" w:pos="1296"/>
        </w:tabs>
        <w:spacing w:line="240" w:lineRule="auto"/>
        <w:ind w:right="-2"/>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gebėjimo vairuoti ir valdyti mechanizmus veikti neturėtų.</w:t>
      </w:r>
    </w:p>
    <w:p w14:paraId="2C2D2C0F" w14:textId="77777777" w:rsidR="00803D36" w:rsidRDefault="00803D36" w:rsidP="00803D36">
      <w:pPr>
        <w:numPr>
          <w:ilvl w:val="12"/>
          <w:numId w:val="0"/>
        </w:numPr>
        <w:tabs>
          <w:tab w:val="clear" w:pos="567"/>
          <w:tab w:val="left" w:pos="1296"/>
        </w:tabs>
        <w:spacing w:line="240" w:lineRule="auto"/>
        <w:ind w:right="-2"/>
        <w:rPr>
          <w:szCs w:val="22"/>
          <w:lang w:val="lt-LT"/>
        </w:rPr>
      </w:pPr>
    </w:p>
    <w:p w14:paraId="5C0017C2" w14:textId="77777777" w:rsidR="00803D36" w:rsidRDefault="00803D36" w:rsidP="00803D36">
      <w:pPr>
        <w:numPr>
          <w:ilvl w:val="12"/>
          <w:numId w:val="0"/>
        </w:numPr>
        <w:tabs>
          <w:tab w:val="clear" w:pos="567"/>
          <w:tab w:val="left" w:pos="1296"/>
        </w:tabs>
        <w:spacing w:line="240" w:lineRule="auto"/>
        <w:ind w:right="-2"/>
        <w:rPr>
          <w:szCs w:val="22"/>
          <w:lang w:val="lt-LT"/>
        </w:rPr>
      </w:pPr>
    </w:p>
    <w:p w14:paraId="0A9C654A"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 xml:space="preserve">Kaip vartoti </w:t>
      </w:r>
      <w:proofErr w:type="spellStart"/>
      <w:r>
        <w:rPr>
          <w:rFonts w:ascii="Times New Roman" w:hAnsi="Times New Roman"/>
          <w:sz w:val="22"/>
          <w:szCs w:val="22"/>
          <w:lang w:val="lt-LT"/>
        </w:rPr>
        <w:t>Tobramycin</w:t>
      </w:r>
      <w:proofErr w:type="spellEnd"/>
      <w:r>
        <w:rPr>
          <w:rFonts w:ascii="Times New Roman" w:hAnsi="Times New Roman"/>
          <w:sz w:val="22"/>
          <w:szCs w:val="22"/>
          <w:lang w:val="lt-LT"/>
        </w:rPr>
        <w:t xml:space="preserve"> Via </w:t>
      </w:r>
      <w:proofErr w:type="spellStart"/>
      <w:r>
        <w:rPr>
          <w:rFonts w:ascii="Times New Roman" w:hAnsi="Times New Roman"/>
          <w:sz w:val="22"/>
          <w:szCs w:val="22"/>
          <w:lang w:val="lt-LT"/>
        </w:rPr>
        <w:t>pharma</w:t>
      </w:r>
      <w:proofErr w:type="spellEnd"/>
    </w:p>
    <w:p w14:paraId="2CE68C5E" w14:textId="77777777" w:rsidR="00803D36" w:rsidRDefault="00803D36" w:rsidP="00803D36">
      <w:pPr>
        <w:numPr>
          <w:ilvl w:val="12"/>
          <w:numId w:val="0"/>
        </w:numPr>
        <w:tabs>
          <w:tab w:val="clear" w:pos="567"/>
          <w:tab w:val="left" w:pos="1296"/>
        </w:tabs>
        <w:spacing w:line="240" w:lineRule="auto"/>
        <w:ind w:right="-2"/>
        <w:rPr>
          <w:szCs w:val="22"/>
          <w:lang w:val="lt-LT"/>
        </w:rPr>
      </w:pPr>
    </w:p>
    <w:p w14:paraId="23A3CCBD"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Visada vartokite šį vaistą tiksliai kaip nurodė gydytojas. Jeigu abejojate, kreipkitės į gydytoją.</w:t>
      </w:r>
    </w:p>
    <w:p w14:paraId="5DF2394A" w14:textId="77777777" w:rsidR="00803D36" w:rsidRDefault="00803D36" w:rsidP="00803D36">
      <w:pPr>
        <w:numPr>
          <w:ilvl w:val="12"/>
          <w:numId w:val="0"/>
        </w:numPr>
        <w:tabs>
          <w:tab w:val="clear" w:pos="567"/>
          <w:tab w:val="left" w:pos="1296"/>
        </w:tabs>
        <w:spacing w:line="240" w:lineRule="auto"/>
        <w:ind w:right="-2"/>
        <w:rPr>
          <w:szCs w:val="22"/>
          <w:lang w:val="lt-LT"/>
        </w:rPr>
      </w:pPr>
    </w:p>
    <w:p w14:paraId="308CA26D" w14:textId="77777777" w:rsidR="00803D36" w:rsidRDefault="00803D36" w:rsidP="00803D36">
      <w:pPr>
        <w:tabs>
          <w:tab w:val="clear" w:pos="567"/>
          <w:tab w:val="left" w:pos="1296"/>
        </w:tabs>
        <w:autoSpaceDE w:val="0"/>
        <w:autoSpaceDN w:val="0"/>
        <w:adjustRightInd w:val="0"/>
        <w:spacing w:line="240" w:lineRule="auto"/>
        <w:jc w:val="both"/>
        <w:rPr>
          <w:b/>
          <w:bCs/>
          <w:szCs w:val="22"/>
          <w:lang w:val="lt-LT" w:eastAsia="es-ES"/>
        </w:rPr>
      </w:pPr>
      <w:r>
        <w:rPr>
          <w:b/>
          <w:bCs/>
          <w:szCs w:val="22"/>
          <w:lang w:val="lt-LT" w:eastAsia="es-ES"/>
        </w:rPr>
        <w:t>Kokią šio vaisto dozę ir kaip dažnai vartoti</w:t>
      </w:r>
    </w:p>
    <w:p w14:paraId="1E400192" w14:textId="77777777" w:rsidR="00803D36" w:rsidRDefault="00803D36" w:rsidP="00803D36">
      <w:pPr>
        <w:tabs>
          <w:tab w:val="clear" w:pos="567"/>
          <w:tab w:val="left" w:pos="1296"/>
        </w:tabs>
        <w:autoSpaceDE w:val="0"/>
        <w:autoSpaceDN w:val="0"/>
        <w:adjustRightInd w:val="0"/>
        <w:spacing w:line="240" w:lineRule="auto"/>
        <w:rPr>
          <w:b/>
          <w:bCs/>
          <w:szCs w:val="22"/>
          <w:lang w:val="lt-LT" w:eastAsia="es-ES"/>
        </w:rPr>
      </w:pPr>
    </w:p>
    <w:p w14:paraId="18890CF1" w14:textId="77777777" w:rsidR="00803D36" w:rsidRDefault="00803D36" w:rsidP="00803D36">
      <w:pPr>
        <w:numPr>
          <w:ilvl w:val="0"/>
          <w:numId w:val="4"/>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Rekomenduojama dozė visiems 6 metų ir vyresniems pacientams yra tokia pati.</w:t>
      </w:r>
    </w:p>
    <w:p w14:paraId="5CC2374A" w14:textId="77777777" w:rsidR="00803D36" w:rsidRDefault="00803D36" w:rsidP="00803D36">
      <w:pPr>
        <w:numPr>
          <w:ilvl w:val="0"/>
          <w:numId w:val="4"/>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 xml:space="preserve">28 dienas kasdien reikia suvartoti </w:t>
      </w:r>
      <w:r>
        <w:rPr>
          <w:b/>
          <w:bCs/>
          <w:szCs w:val="22"/>
          <w:lang w:val="lt-LT" w:eastAsia="es-ES"/>
        </w:rPr>
        <w:t xml:space="preserve">dvi </w:t>
      </w:r>
      <w:r>
        <w:rPr>
          <w:szCs w:val="22"/>
          <w:lang w:val="lt-LT" w:eastAsia="es-ES"/>
        </w:rPr>
        <w:t>ampules. Visą vienos ampulės turinį reikia įkvėpti ryte, kitos – vakare. Geriausia, kad tarp dozių vartojimo būtų 12 valandų pertrauka.</w:t>
      </w:r>
    </w:p>
    <w:p w14:paraId="21D00580" w14:textId="77777777" w:rsidR="00803D36" w:rsidRDefault="00803D36" w:rsidP="00803D36">
      <w:pPr>
        <w:numPr>
          <w:ilvl w:val="0"/>
          <w:numId w:val="4"/>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 xml:space="preserve">Tarp dviejų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s-ES"/>
        </w:rPr>
        <w:t xml:space="preserve">įkvėpimų turi praeiti mažiausiai </w:t>
      </w:r>
      <w:r>
        <w:rPr>
          <w:b/>
          <w:bCs/>
          <w:szCs w:val="22"/>
          <w:lang w:val="lt-LT" w:eastAsia="es-ES"/>
        </w:rPr>
        <w:t>6 valandos.</w:t>
      </w:r>
    </w:p>
    <w:p w14:paraId="446FBD64" w14:textId="77777777" w:rsidR="00803D36" w:rsidRDefault="00803D36" w:rsidP="00803D36">
      <w:pPr>
        <w:numPr>
          <w:ilvl w:val="0"/>
          <w:numId w:val="4"/>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 xml:space="preserve">Po 28 vaisto vartojimo dienų daroma 28 dienų pertrauka, kai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n-GB"/>
        </w:rPr>
        <w:t>visai nevartojama</w:t>
      </w:r>
      <w:r>
        <w:rPr>
          <w:szCs w:val="22"/>
          <w:lang w:val="lt-LT" w:eastAsia="es-ES"/>
        </w:rPr>
        <w:t xml:space="preserve">, ir po to pradedamas kitas kursas. </w:t>
      </w:r>
    </w:p>
    <w:p w14:paraId="0DC18085" w14:textId="77777777" w:rsidR="00803D36" w:rsidRDefault="00803D36" w:rsidP="00803D36">
      <w:pPr>
        <w:numPr>
          <w:ilvl w:val="0"/>
          <w:numId w:val="4"/>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 xml:space="preserve">28 gydymo dienų laikotarpiu svarbu vaisto kiekvieną dieną vartoti du kartus per parą bei išlaikyti </w:t>
      </w:r>
      <w:r>
        <w:rPr>
          <w:b/>
          <w:szCs w:val="22"/>
          <w:lang w:val="lt-LT" w:eastAsia="es-ES"/>
        </w:rPr>
        <w:t xml:space="preserve">28 dienų vaisto vartojimo ir 28 dienų vaisto nevartojimo ciklą. </w:t>
      </w:r>
    </w:p>
    <w:p w14:paraId="536C23F7" w14:textId="77777777" w:rsidR="00803D36" w:rsidRDefault="00803D36" w:rsidP="00803D36">
      <w:pPr>
        <w:tabs>
          <w:tab w:val="clear" w:pos="567"/>
          <w:tab w:val="left" w:pos="1296"/>
        </w:tabs>
        <w:autoSpaceDE w:val="0"/>
        <w:autoSpaceDN w:val="0"/>
        <w:adjustRightInd w:val="0"/>
        <w:spacing w:line="240" w:lineRule="auto"/>
        <w:jc w:val="center"/>
        <w:rPr>
          <w:szCs w:val="22"/>
          <w:lang w:val="lt-LT" w:eastAsia="es-ES"/>
        </w:rPr>
      </w:pPr>
    </w:p>
    <w:p w14:paraId="76AC96AA" w14:textId="77777777" w:rsidR="00803D36" w:rsidRDefault="00803D36" w:rsidP="00803D36">
      <w:pPr>
        <w:tabs>
          <w:tab w:val="clear" w:pos="567"/>
          <w:tab w:val="left" w:pos="1296"/>
        </w:tabs>
        <w:autoSpaceDE w:val="0"/>
        <w:autoSpaceDN w:val="0"/>
        <w:adjustRightInd w:val="0"/>
        <w:spacing w:line="240" w:lineRule="auto"/>
        <w:jc w:val="center"/>
        <w:rPr>
          <w:szCs w:val="22"/>
          <w:lang w:val="lt-LT" w:eastAsia="es-ES"/>
        </w:rPr>
      </w:pPr>
    </w:p>
    <w:p w14:paraId="561CF317" w14:textId="77777777" w:rsidR="00803D36" w:rsidRDefault="00803D36" w:rsidP="00803D36">
      <w:pPr>
        <w:tabs>
          <w:tab w:val="clear" w:pos="567"/>
          <w:tab w:val="left" w:pos="1296"/>
        </w:tabs>
        <w:autoSpaceDE w:val="0"/>
        <w:autoSpaceDN w:val="0"/>
        <w:adjustRightInd w:val="0"/>
        <w:spacing w:line="240" w:lineRule="auto"/>
        <w:jc w:val="center"/>
        <w:rPr>
          <w:szCs w:val="22"/>
          <w:lang w:val="lt-LT" w:eastAsia="es-ES"/>
        </w:rPr>
      </w:pPr>
    </w:p>
    <w:p w14:paraId="2FA69299" w14:textId="77777777" w:rsidR="00803D36" w:rsidRDefault="00803D36" w:rsidP="00803D36">
      <w:pPr>
        <w:tabs>
          <w:tab w:val="clear" w:pos="567"/>
          <w:tab w:val="left" w:pos="1296"/>
        </w:tabs>
        <w:autoSpaceDE w:val="0"/>
        <w:autoSpaceDN w:val="0"/>
        <w:adjustRightInd w:val="0"/>
        <w:spacing w:line="240" w:lineRule="auto"/>
        <w:jc w:val="center"/>
        <w:rPr>
          <w:szCs w:val="22"/>
          <w:lang w:val="lt-LT" w:eastAsia="es-ES"/>
        </w:rPr>
      </w:pPr>
      <w:r>
        <w:rPr>
          <w:noProof/>
          <w:lang w:val="lt-LT" w:eastAsia="lt-LT"/>
        </w:rPr>
        <mc:AlternateContent>
          <mc:Choice Requires="wps">
            <w:drawing>
              <wp:anchor distT="0" distB="0" distL="114300" distR="114300" simplePos="0" relativeHeight="251659264" behindDoc="0" locked="0" layoutInCell="0" allowOverlap="1" wp14:anchorId="77E425C8" wp14:editId="068A7374">
                <wp:simplePos x="0" y="0"/>
                <wp:positionH relativeFrom="column">
                  <wp:posOffset>1424940</wp:posOffset>
                </wp:positionH>
                <wp:positionV relativeFrom="paragraph">
                  <wp:posOffset>113665</wp:posOffset>
                </wp:positionV>
                <wp:extent cx="1714500" cy="114300"/>
                <wp:effectExtent l="0" t="0" r="38100" b="38100"/>
                <wp:wrapNone/>
                <wp:docPr id="6" name="Arrow: Curved Dow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
                        </a:xfrm>
                        <a:prstGeom prst="curvedDownArrow">
                          <a:avLst>
                            <a:gd name="adj1" fmla="val 233333"/>
                            <a:gd name="adj2" fmla="val 53333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EEC8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6" o:spid="_x0000_s1026" type="#_x0000_t105" style="position:absolute;margin-left:112.2pt;margin-top:8.95pt;width:13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" o:allowincell="f" adj="13920"/>
            </w:pict>
          </mc:Fallback>
        </mc:AlternateContent>
      </w:r>
    </w:p>
    <w:p w14:paraId="2452B7DF" w14:textId="77777777" w:rsidR="00803D36" w:rsidRDefault="00803D36" w:rsidP="00803D36">
      <w:pPr>
        <w:tabs>
          <w:tab w:val="clear" w:pos="567"/>
          <w:tab w:val="left" w:pos="1296"/>
        </w:tabs>
        <w:autoSpaceDE w:val="0"/>
        <w:autoSpaceDN w:val="0"/>
        <w:adjustRightInd w:val="0"/>
        <w:spacing w:line="240" w:lineRule="auto"/>
        <w:jc w:val="center"/>
        <w:rPr>
          <w:szCs w:val="22"/>
          <w:lang w:val="lt-LT"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720"/>
      </w:tblGrid>
      <w:tr w:rsidR="00803D36" w14:paraId="06C4DD92" w14:textId="77777777" w:rsidTr="00D0389B">
        <w:tc>
          <w:tcPr>
            <w:tcW w:w="3600" w:type="dxa"/>
            <w:tcBorders>
              <w:top w:val="single" w:sz="4" w:space="0" w:color="auto"/>
              <w:left w:val="single" w:sz="4" w:space="0" w:color="auto"/>
              <w:bottom w:val="single" w:sz="4" w:space="0" w:color="auto"/>
              <w:right w:val="single" w:sz="4" w:space="0" w:color="auto"/>
            </w:tcBorders>
            <w:shd w:val="clear" w:color="auto" w:fill="E6E6E6"/>
            <w:hideMark/>
          </w:tcPr>
          <w:p w14:paraId="1464BA02" w14:textId="77777777" w:rsidR="00803D36" w:rsidRDefault="00803D36" w:rsidP="00D0389B">
            <w:pPr>
              <w:tabs>
                <w:tab w:val="clear" w:pos="567"/>
                <w:tab w:val="left" w:pos="1296"/>
              </w:tabs>
              <w:autoSpaceDE w:val="0"/>
              <w:autoSpaceDN w:val="0"/>
              <w:adjustRightInd w:val="0"/>
              <w:spacing w:line="240" w:lineRule="auto"/>
              <w:jc w:val="center"/>
              <w:rPr>
                <w:b/>
                <w:szCs w:val="22"/>
                <w:lang w:val="lt-LT" w:eastAsia="es-ES"/>
              </w:rPr>
            </w:pPr>
            <w:proofErr w:type="spellStart"/>
            <w:r>
              <w:rPr>
                <w:b/>
                <w:bCs/>
                <w:szCs w:val="22"/>
                <w:lang w:val="lt-LT" w:eastAsia="es-ES"/>
              </w:rPr>
              <w:t>Tobramycin</w:t>
            </w:r>
            <w:proofErr w:type="spellEnd"/>
            <w:r>
              <w:rPr>
                <w:b/>
                <w:bCs/>
                <w:szCs w:val="22"/>
                <w:lang w:val="lt-LT" w:eastAsia="es-ES"/>
              </w:rPr>
              <w:t xml:space="preserve"> Via </w:t>
            </w:r>
            <w:proofErr w:type="spellStart"/>
            <w:r>
              <w:rPr>
                <w:b/>
                <w:bCs/>
                <w:szCs w:val="22"/>
                <w:lang w:val="lt-LT" w:eastAsia="es-ES"/>
              </w:rPr>
              <w:t>pharma</w:t>
            </w:r>
            <w:proofErr w:type="spellEnd"/>
            <w:r>
              <w:rPr>
                <w:b/>
                <w:bCs/>
                <w:szCs w:val="22"/>
                <w:lang w:val="lt-LT" w:eastAsia="es-ES"/>
              </w:rPr>
              <w:t xml:space="preserve"> </w:t>
            </w:r>
            <w:r>
              <w:rPr>
                <w:b/>
                <w:szCs w:val="22"/>
                <w:lang w:val="lt-LT" w:eastAsia="en-GB"/>
              </w:rPr>
              <w:t>VARTOJAMA</w:t>
            </w:r>
          </w:p>
        </w:tc>
        <w:tc>
          <w:tcPr>
            <w:tcW w:w="3720" w:type="dxa"/>
            <w:tcBorders>
              <w:top w:val="single" w:sz="4" w:space="0" w:color="auto"/>
              <w:left w:val="single" w:sz="4" w:space="0" w:color="auto"/>
              <w:bottom w:val="single" w:sz="4" w:space="0" w:color="auto"/>
              <w:right w:val="single" w:sz="4" w:space="0" w:color="auto"/>
            </w:tcBorders>
            <w:hideMark/>
          </w:tcPr>
          <w:p w14:paraId="7740A9F4" w14:textId="77777777" w:rsidR="00803D36" w:rsidRDefault="00803D36" w:rsidP="00D0389B">
            <w:pPr>
              <w:tabs>
                <w:tab w:val="clear" w:pos="567"/>
                <w:tab w:val="left" w:pos="1296"/>
              </w:tabs>
              <w:autoSpaceDE w:val="0"/>
              <w:autoSpaceDN w:val="0"/>
              <w:adjustRightInd w:val="0"/>
              <w:spacing w:line="240" w:lineRule="auto"/>
              <w:jc w:val="center"/>
              <w:rPr>
                <w:b/>
                <w:szCs w:val="22"/>
                <w:lang w:val="lt-LT" w:eastAsia="es-ES"/>
              </w:rPr>
            </w:pPr>
            <w:proofErr w:type="spellStart"/>
            <w:r>
              <w:rPr>
                <w:b/>
                <w:bCs/>
                <w:szCs w:val="22"/>
                <w:lang w:val="lt-LT" w:eastAsia="es-ES"/>
              </w:rPr>
              <w:t>Tobramycin</w:t>
            </w:r>
            <w:proofErr w:type="spellEnd"/>
            <w:r>
              <w:rPr>
                <w:b/>
                <w:bCs/>
                <w:szCs w:val="22"/>
                <w:lang w:val="lt-LT" w:eastAsia="es-ES"/>
              </w:rPr>
              <w:t xml:space="preserve"> Via </w:t>
            </w:r>
            <w:proofErr w:type="spellStart"/>
            <w:r>
              <w:rPr>
                <w:b/>
                <w:bCs/>
                <w:szCs w:val="22"/>
                <w:lang w:val="lt-LT" w:eastAsia="es-ES"/>
              </w:rPr>
              <w:t>pharma</w:t>
            </w:r>
            <w:proofErr w:type="spellEnd"/>
            <w:r>
              <w:rPr>
                <w:b/>
                <w:bCs/>
                <w:szCs w:val="22"/>
                <w:lang w:val="lt-LT" w:eastAsia="es-ES"/>
              </w:rPr>
              <w:t xml:space="preserve"> </w:t>
            </w:r>
            <w:r>
              <w:rPr>
                <w:b/>
                <w:szCs w:val="22"/>
                <w:lang w:val="lt-LT" w:eastAsia="en-GB"/>
              </w:rPr>
              <w:t>NEVARTOJAMA</w:t>
            </w:r>
          </w:p>
        </w:tc>
      </w:tr>
      <w:tr w:rsidR="00803D36" w:rsidRPr="007223D6" w14:paraId="5ACFB103" w14:textId="77777777" w:rsidTr="00D0389B">
        <w:tc>
          <w:tcPr>
            <w:tcW w:w="3600" w:type="dxa"/>
            <w:tcBorders>
              <w:top w:val="single" w:sz="4" w:space="0" w:color="auto"/>
              <w:left w:val="single" w:sz="4" w:space="0" w:color="auto"/>
              <w:bottom w:val="single" w:sz="4" w:space="0" w:color="auto"/>
              <w:right w:val="single" w:sz="4" w:space="0" w:color="auto"/>
            </w:tcBorders>
            <w:hideMark/>
          </w:tcPr>
          <w:p w14:paraId="4974DB1E" w14:textId="77777777" w:rsidR="00803D36" w:rsidRDefault="00803D36" w:rsidP="00D0389B">
            <w:pPr>
              <w:tabs>
                <w:tab w:val="clear" w:pos="567"/>
                <w:tab w:val="left" w:pos="1296"/>
              </w:tabs>
              <w:autoSpaceDE w:val="0"/>
              <w:autoSpaceDN w:val="0"/>
              <w:adjustRightInd w:val="0"/>
              <w:spacing w:line="240" w:lineRule="auto"/>
              <w:jc w:val="center"/>
              <w:rPr>
                <w:szCs w:val="22"/>
                <w:lang w:val="lt-LT" w:eastAsia="es-ES"/>
              </w:rPr>
            </w:pP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s-ES"/>
              </w:rPr>
              <w:t>kasdien vartokite du kartus per parą 28 dienas</w:t>
            </w:r>
          </w:p>
        </w:tc>
        <w:tc>
          <w:tcPr>
            <w:tcW w:w="3720" w:type="dxa"/>
            <w:tcBorders>
              <w:top w:val="single" w:sz="4" w:space="0" w:color="auto"/>
              <w:left w:val="single" w:sz="4" w:space="0" w:color="auto"/>
              <w:bottom w:val="single" w:sz="4" w:space="0" w:color="auto"/>
              <w:right w:val="single" w:sz="4" w:space="0" w:color="auto"/>
            </w:tcBorders>
            <w:hideMark/>
          </w:tcPr>
          <w:p w14:paraId="2306E6C4" w14:textId="77777777" w:rsidR="00803D36" w:rsidRDefault="00803D36" w:rsidP="00D0389B">
            <w:pPr>
              <w:tabs>
                <w:tab w:val="clear" w:pos="567"/>
                <w:tab w:val="left" w:pos="1296"/>
              </w:tabs>
              <w:autoSpaceDE w:val="0"/>
              <w:autoSpaceDN w:val="0"/>
              <w:adjustRightInd w:val="0"/>
              <w:spacing w:line="240" w:lineRule="auto"/>
              <w:jc w:val="center"/>
              <w:rPr>
                <w:szCs w:val="22"/>
                <w:lang w:val="lt-LT" w:eastAsia="es-ES"/>
              </w:rPr>
            </w:pPr>
            <w:r>
              <w:rPr>
                <w:szCs w:val="22"/>
                <w:lang w:val="lt-LT" w:eastAsia="es-ES"/>
              </w:rPr>
              <w:t xml:space="preserve">Kitas 28 dienas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s-ES"/>
              </w:rPr>
              <w:t>nevartokite visai</w:t>
            </w:r>
          </w:p>
        </w:tc>
      </w:tr>
    </w:tbl>
    <w:p w14:paraId="6CC6A8B0" w14:textId="77777777" w:rsidR="00803D36" w:rsidRDefault="00803D36" w:rsidP="00803D36">
      <w:pPr>
        <w:tabs>
          <w:tab w:val="clear" w:pos="567"/>
          <w:tab w:val="left" w:pos="1296"/>
        </w:tabs>
        <w:autoSpaceDE w:val="0"/>
        <w:autoSpaceDN w:val="0"/>
        <w:adjustRightInd w:val="0"/>
        <w:spacing w:line="240" w:lineRule="auto"/>
        <w:jc w:val="center"/>
        <w:rPr>
          <w:szCs w:val="22"/>
          <w:lang w:val="lt-LT" w:eastAsia="es-ES"/>
        </w:rPr>
      </w:pPr>
      <w:r>
        <w:rPr>
          <w:noProof/>
          <w:lang w:val="lt-LT" w:eastAsia="lt-LT"/>
        </w:rPr>
        <mc:AlternateContent>
          <mc:Choice Requires="wps">
            <w:drawing>
              <wp:anchor distT="0" distB="0" distL="114300" distR="114300" simplePos="0" relativeHeight="251660288" behindDoc="0" locked="0" layoutInCell="0" allowOverlap="1" wp14:anchorId="087BDE1E" wp14:editId="1304E87D">
                <wp:simplePos x="0" y="0"/>
                <wp:positionH relativeFrom="column">
                  <wp:posOffset>1455420</wp:posOffset>
                </wp:positionH>
                <wp:positionV relativeFrom="paragraph">
                  <wp:posOffset>83820</wp:posOffset>
                </wp:positionV>
                <wp:extent cx="1714500" cy="114300"/>
                <wp:effectExtent l="0" t="19050" r="19050" b="19050"/>
                <wp:wrapNone/>
                <wp:docPr id="5" name="Arrow: Curved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714500" cy="114300"/>
                        </a:xfrm>
                        <a:prstGeom prst="curvedDownArrow">
                          <a:avLst>
                            <a:gd name="adj1" fmla="val 233333"/>
                            <a:gd name="adj2" fmla="val 53333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8F18" id="Arrow: Curved Down 5" o:spid="_x0000_s1026" type="#_x0000_t105" style="position:absolute;margin-left:114.6pt;margin-top:6.6pt;width:135pt;height:9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" o:allowincell="f" adj="13920"/>
            </w:pict>
          </mc:Fallback>
        </mc:AlternateContent>
      </w:r>
    </w:p>
    <w:p w14:paraId="1C4257A8" w14:textId="77777777" w:rsidR="00803D36" w:rsidRDefault="00803D36" w:rsidP="00803D36">
      <w:pPr>
        <w:tabs>
          <w:tab w:val="clear" w:pos="567"/>
          <w:tab w:val="left" w:pos="1296"/>
        </w:tabs>
        <w:autoSpaceDE w:val="0"/>
        <w:autoSpaceDN w:val="0"/>
        <w:adjustRightInd w:val="0"/>
        <w:spacing w:line="240" w:lineRule="auto"/>
        <w:jc w:val="both"/>
        <w:rPr>
          <w:szCs w:val="22"/>
          <w:lang w:val="lt-LT" w:eastAsia="es-ES"/>
        </w:rPr>
      </w:pPr>
    </w:p>
    <w:p w14:paraId="38299B47" w14:textId="77777777" w:rsidR="00803D36" w:rsidRDefault="00803D36" w:rsidP="00803D36">
      <w:pPr>
        <w:tabs>
          <w:tab w:val="clear" w:pos="567"/>
          <w:tab w:val="left" w:pos="1296"/>
        </w:tabs>
        <w:autoSpaceDE w:val="0"/>
        <w:autoSpaceDN w:val="0"/>
        <w:adjustRightInd w:val="0"/>
        <w:spacing w:line="240" w:lineRule="auto"/>
        <w:ind w:left="3000"/>
        <w:jc w:val="both"/>
        <w:rPr>
          <w:b/>
          <w:bCs/>
          <w:szCs w:val="22"/>
          <w:lang w:val="lt-LT" w:eastAsia="es-ES"/>
        </w:rPr>
      </w:pPr>
      <w:r>
        <w:rPr>
          <w:b/>
          <w:bCs/>
          <w:szCs w:val="22"/>
          <w:lang w:val="lt-LT" w:eastAsia="es-ES"/>
        </w:rPr>
        <w:t>Kartokite ciklą</w:t>
      </w:r>
    </w:p>
    <w:p w14:paraId="2F36C511" w14:textId="77777777" w:rsidR="00803D36" w:rsidRDefault="00803D36" w:rsidP="00803D36">
      <w:pPr>
        <w:numPr>
          <w:ilvl w:val="12"/>
          <w:numId w:val="0"/>
        </w:numPr>
        <w:tabs>
          <w:tab w:val="clear" w:pos="567"/>
          <w:tab w:val="left" w:pos="1296"/>
        </w:tabs>
        <w:spacing w:line="240" w:lineRule="auto"/>
        <w:ind w:right="-2"/>
        <w:rPr>
          <w:szCs w:val="22"/>
          <w:lang w:val="lt-LT"/>
        </w:rPr>
      </w:pPr>
    </w:p>
    <w:p w14:paraId="6332E195" w14:textId="77777777" w:rsidR="00803D36" w:rsidRDefault="00803D36" w:rsidP="00803D36">
      <w:pPr>
        <w:pStyle w:val="Antrat4"/>
        <w:spacing w:line="240" w:lineRule="auto"/>
        <w:rPr>
          <w:rFonts w:ascii="Times New Roman" w:hAnsi="Times New Roman"/>
          <w:b w:val="0"/>
          <w:sz w:val="22"/>
          <w:szCs w:val="22"/>
          <w:lang w:val="lt-LT"/>
        </w:rPr>
      </w:pPr>
      <w:r>
        <w:rPr>
          <w:rFonts w:ascii="Times New Roman" w:hAnsi="Times New Roman"/>
          <w:sz w:val="22"/>
          <w:szCs w:val="22"/>
          <w:lang w:val="lt-LT"/>
        </w:rPr>
        <w:t xml:space="preserve">Ką daryti pavartojus per didelę </w:t>
      </w:r>
      <w:proofErr w:type="spellStart"/>
      <w:r>
        <w:rPr>
          <w:rFonts w:ascii="Times New Roman" w:hAnsi="Times New Roman"/>
          <w:sz w:val="22"/>
          <w:szCs w:val="22"/>
          <w:lang w:val="lt-LT"/>
        </w:rPr>
        <w:t>Tobramycin</w:t>
      </w:r>
      <w:proofErr w:type="spellEnd"/>
      <w:r>
        <w:rPr>
          <w:rFonts w:ascii="Times New Roman" w:hAnsi="Times New Roman"/>
          <w:sz w:val="22"/>
          <w:szCs w:val="22"/>
          <w:lang w:val="lt-LT"/>
        </w:rPr>
        <w:t xml:space="preserve"> Via </w:t>
      </w:r>
      <w:proofErr w:type="spellStart"/>
      <w:r>
        <w:rPr>
          <w:rFonts w:ascii="Times New Roman" w:hAnsi="Times New Roman"/>
          <w:sz w:val="22"/>
          <w:szCs w:val="22"/>
          <w:lang w:val="lt-LT"/>
        </w:rPr>
        <w:t>pharma</w:t>
      </w:r>
      <w:proofErr w:type="spellEnd"/>
      <w:r>
        <w:rPr>
          <w:rFonts w:ascii="Times New Roman" w:hAnsi="Times New Roman"/>
          <w:sz w:val="22"/>
          <w:szCs w:val="22"/>
          <w:lang w:val="lt-LT"/>
        </w:rPr>
        <w:t xml:space="preserve"> dozę?</w:t>
      </w:r>
    </w:p>
    <w:p w14:paraId="32050B1D" w14:textId="77777777" w:rsidR="00803D36" w:rsidRDefault="00803D36" w:rsidP="00803D36">
      <w:pPr>
        <w:spacing w:line="240" w:lineRule="auto"/>
        <w:rPr>
          <w:szCs w:val="22"/>
          <w:lang w:val="lt-LT" w:eastAsia="x-none"/>
        </w:rPr>
      </w:pPr>
      <w:r>
        <w:rPr>
          <w:szCs w:val="22"/>
          <w:lang w:val="lt-LT" w:eastAsia="x-none"/>
        </w:rPr>
        <w:t xml:space="preserve">Įkvėpę per daug </w:t>
      </w:r>
      <w:proofErr w:type="spellStart"/>
      <w:r>
        <w:rPr>
          <w:szCs w:val="22"/>
          <w:lang w:val="lt-LT" w:eastAsia="x-none"/>
        </w:rPr>
        <w:t>Tobramycin</w:t>
      </w:r>
      <w:proofErr w:type="spellEnd"/>
      <w:r>
        <w:rPr>
          <w:szCs w:val="22"/>
          <w:lang w:val="lt-LT" w:eastAsia="x-none"/>
        </w:rPr>
        <w:t xml:space="preserve"> Via </w:t>
      </w:r>
      <w:proofErr w:type="spellStart"/>
      <w:r>
        <w:rPr>
          <w:szCs w:val="22"/>
          <w:lang w:val="lt-LT" w:eastAsia="x-none"/>
        </w:rPr>
        <w:t>pharma</w:t>
      </w:r>
      <w:proofErr w:type="spellEnd"/>
      <w:r>
        <w:rPr>
          <w:szCs w:val="22"/>
          <w:lang w:val="lt-LT" w:eastAsia="x-none"/>
        </w:rPr>
        <w:t xml:space="preserve"> galite labai užkimti. Kiek įmanoma greičiau pasitarkite su gydytoju. Jei </w:t>
      </w:r>
      <w:proofErr w:type="spellStart"/>
      <w:r>
        <w:rPr>
          <w:szCs w:val="22"/>
          <w:lang w:val="lt-LT" w:eastAsia="x-none"/>
        </w:rPr>
        <w:t>Tobramycin</w:t>
      </w:r>
      <w:proofErr w:type="spellEnd"/>
      <w:r>
        <w:rPr>
          <w:szCs w:val="22"/>
          <w:lang w:val="lt-LT" w:eastAsia="x-none"/>
        </w:rPr>
        <w:t xml:space="preserve"> Via </w:t>
      </w:r>
      <w:proofErr w:type="spellStart"/>
      <w:r>
        <w:rPr>
          <w:szCs w:val="22"/>
          <w:lang w:val="lt-LT" w:eastAsia="x-none"/>
        </w:rPr>
        <w:t>pharma</w:t>
      </w:r>
      <w:proofErr w:type="spellEnd"/>
      <w:r>
        <w:rPr>
          <w:szCs w:val="22"/>
          <w:lang w:val="lt-LT" w:eastAsia="x-none"/>
        </w:rPr>
        <w:t xml:space="preserve"> nurysite, turite kiek įmanoma greičiau kreiptis į gydytoją.</w:t>
      </w:r>
    </w:p>
    <w:p w14:paraId="0688264A" w14:textId="77777777" w:rsidR="00803D36" w:rsidRDefault="00803D36" w:rsidP="00803D36">
      <w:pPr>
        <w:spacing w:line="240" w:lineRule="auto"/>
        <w:rPr>
          <w:szCs w:val="22"/>
          <w:lang w:val="lt-LT" w:eastAsia="x-none"/>
        </w:rPr>
      </w:pPr>
    </w:p>
    <w:p w14:paraId="303194B0"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 xml:space="preserve">Pamiršus pavartoti </w:t>
      </w:r>
      <w:proofErr w:type="spellStart"/>
      <w:r>
        <w:rPr>
          <w:rFonts w:ascii="Times New Roman" w:hAnsi="Times New Roman"/>
          <w:sz w:val="22"/>
          <w:szCs w:val="22"/>
          <w:lang w:val="lt-LT"/>
        </w:rPr>
        <w:t>Tobramycin</w:t>
      </w:r>
      <w:proofErr w:type="spellEnd"/>
      <w:r>
        <w:rPr>
          <w:rFonts w:ascii="Times New Roman" w:hAnsi="Times New Roman"/>
          <w:sz w:val="22"/>
          <w:szCs w:val="22"/>
          <w:lang w:val="lt-LT"/>
        </w:rPr>
        <w:t xml:space="preserve"> Via </w:t>
      </w:r>
      <w:proofErr w:type="spellStart"/>
      <w:r>
        <w:rPr>
          <w:rFonts w:ascii="Times New Roman" w:hAnsi="Times New Roman"/>
          <w:sz w:val="22"/>
          <w:szCs w:val="22"/>
          <w:lang w:val="lt-LT"/>
        </w:rPr>
        <w:t>pharma</w:t>
      </w:r>
      <w:proofErr w:type="spellEnd"/>
    </w:p>
    <w:p w14:paraId="7921F96D"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Jei pamiršote pavartoti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ir iki kitos dozės pavartojimo liko ne mažiau kaip 6 valandos, dozę suvartokite kiek įmanoma greičiau. Kitu atveju palaukite ir laiku įkvėpkite kitą dozę.</w:t>
      </w:r>
    </w:p>
    <w:p w14:paraId="276AD478"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Negalima vartoti dvigubos dozės norint kompensuoti praleistą dozę.</w:t>
      </w:r>
    </w:p>
    <w:p w14:paraId="4865BB76" w14:textId="77777777" w:rsidR="00803D36" w:rsidRDefault="00803D36" w:rsidP="00803D36">
      <w:pPr>
        <w:numPr>
          <w:ilvl w:val="12"/>
          <w:numId w:val="0"/>
        </w:numPr>
        <w:tabs>
          <w:tab w:val="clear" w:pos="567"/>
          <w:tab w:val="left" w:pos="1296"/>
        </w:tabs>
        <w:spacing w:line="240" w:lineRule="auto"/>
        <w:ind w:right="-2"/>
        <w:rPr>
          <w:szCs w:val="22"/>
          <w:lang w:val="lt-LT"/>
        </w:rPr>
      </w:pPr>
    </w:p>
    <w:p w14:paraId="01D57CBB" w14:textId="77777777" w:rsidR="00803D36" w:rsidRDefault="00803D36" w:rsidP="00803D36">
      <w:pPr>
        <w:tabs>
          <w:tab w:val="clear" w:pos="567"/>
          <w:tab w:val="left" w:pos="1296"/>
        </w:tabs>
        <w:autoSpaceDE w:val="0"/>
        <w:autoSpaceDN w:val="0"/>
        <w:adjustRightInd w:val="0"/>
        <w:spacing w:line="240" w:lineRule="auto"/>
        <w:jc w:val="both"/>
        <w:rPr>
          <w:b/>
          <w:bCs/>
          <w:szCs w:val="22"/>
          <w:lang w:val="lt-LT" w:eastAsia="es-ES"/>
        </w:rPr>
      </w:pPr>
      <w:r>
        <w:rPr>
          <w:b/>
          <w:bCs/>
          <w:szCs w:val="22"/>
          <w:lang w:val="lt-LT" w:eastAsia="es-ES"/>
        </w:rPr>
        <w:t xml:space="preserve">Įranga, reikalinga </w:t>
      </w:r>
      <w:proofErr w:type="spellStart"/>
      <w:r>
        <w:rPr>
          <w:b/>
          <w:bCs/>
          <w:szCs w:val="22"/>
          <w:lang w:val="lt-LT" w:eastAsia="es-ES"/>
        </w:rPr>
        <w:t>Tobramycin</w:t>
      </w:r>
      <w:proofErr w:type="spellEnd"/>
      <w:r>
        <w:rPr>
          <w:b/>
          <w:bCs/>
          <w:szCs w:val="22"/>
          <w:lang w:val="lt-LT" w:eastAsia="es-ES"/>
        </w:rPr>
        <w:t xml:space="preserve"> Via </w:t>
      </w:r>
      <w:proofErr w:type="spellStart"/>
      <w:r>
        <w:rPr>
          <w:b/>
          <w:bCs/>
          <w:szCs w:val="22"/>
          <w:lang w:val="lt-LT" w:eastAsia="es-ES"/>
        </w:rPr>
        <w:t>pharma</w:t>
      </w:r>
      <w:proofErr w:type="spellEnd"/>
      <w:r>
        <w:rPr>
          <w:b/>
          <w:bCs/>
          <w:szCs w:val="22"/>
          <w:lang w:val="lt-LT" w:eastAsia="es-ES"/>
        </w:rPr>
        <w:t xml:space="preserve"> </w:t>
      </w:r>
      <w:r>
        <w:rPr>
          <w:b/>
          <w:szCs w:val="22"/>
          <w:lang w:val="lt-LT" w:eastAsia="en-GB"/>
        </w:rPr>
        <w:t>įkvėpti</w:t>
      </w:r>
    </w:p>
    <w:p w14:paraId="761EC3C2" w14:textId="77777777" w:rsidR="00803D36" w:rsidRDefault="00803D36" w:rsidP="00803D36">
      <w:pPr>
        <w:tabs>
          <w:tab w:val="clear" w:pos="567"/>
          <w:tab w:val="left" w:pos="1296"/>
        </w:tabs>
        <w:autoSpaceDE w:val="0"/>
        <w:autoSpaceDN w:val="0"/>
        <w:adjustRightInd w:val="0"/>
        <w:spacing w:line="240" w:lineRule="auto"/>
        <w:jc w:val="both"/>
        <w:rPr>
          <w:szCs w:val="22"/>
          <w:lang w:val="lt-LT" w:eastAsia="es-ES"/>
        </w:rPr>
      </w:pPr>
    </w:p>
    <w:p w14:paraId="1548E1AB"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s-ES"/>
        </w:rPr>
        <w:t>būtina vartoti naudojant švarų ir sausą daugkartinį purkštuvą.</w:t>
      </w:r>
    </w:p>
    <w:p w14:paraId="28060ECD"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p>
    <w:p w14:paraId="0B72925C"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s-ES"/>
        </w:rPr>
        <w:t>galima vartoti su LC PLUS purkštuvu (gamina PARI GmbH).</w:t>
      </w:r>
    </w:p>
    <w:p w14:paraId="45659CA0"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p>
    <w:p w14:paraId="663691B8"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r>
        <w:rPr>
          <w:szCs w:val="22"/>
          <w:lang w:val="lt-LT" w:eastAsia="es-ES"/>
        </w:rPr>
        <w:lastRenderedPageBreak/>
        <w:t xml:space="preserve">Kaip tinkamai vartoti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s-ES"/>
        </w:rPr>
        <w:t xml:space="preserve">ir kokios įrangos reikia, </w:t>
      </w:r>
      <w:r>
        <w:rPr>
          <w:szCs w:val="22"/>
          <w:lang w:val="lt-LT"/>
        </w:rPr>
        <w:t>klauskite gydytojo arba fizioterapeuto</w:t>
      </w:r>
      <w:r>
        <w:rPr>
          <w:szCs w:val="22"/>
          <w:lang w:val="lt-LT" w:eastAsia="es-ES"/>
        </w:rPr>
        <w:t>. Kitiems įkvepiamiems vaistams nuo cistinės fibrozės vartoti Jums gali reikėti naudoti kitokį purkštuvą.</w:t>
      </w:r>
    </w:p>
    <w:p w14:paraId="568139C0" w14:textId="77777777" w:rsidR="00803D36" w:rsidRDefault="00803D36" w:rsidP="00803D36">
      <w:pPr>
        <w:tabs>
          <w:tab w:val="clear" w:pos="567"/>
          <w:tab w:val="left" w:pos="1296"/>
        </w:tabs>
        <w:autoSpaceDE w:val="0"/>
        <w:autoSpaceDN w:val="0"/>
        <w:adjustRightInd w:val="0"/>
        <w:spacing w:line="240" w:lineRule="auto"/>
        <w:rPr>
          <w:b/>
          <w:bCs/>
          <w:szCs w:val="22"/>
          <w:lang w:val="lt-LT" w:eastAsia="es-ES"/>
        </w:rPr>
      </w:pPr>
    </w:p>
    <w:p w14:paraId="369168E5" w14:textId="77777777" w:rsidR="00803D36" w:rsidRDefault="00803D36" w:rsidP="00803D36">
      <w:pPr>
        <w:tabs>
          <w:tab w:val="clear" w:pos="567"/>
          <w:tab w:val="left" w:pos="1296"/>
        </w:tabs>
        <w:autoSpaceDE w:val="0"/>
        <w:autoSpaceDN w:val="0"/>
        <w:adjustRightInd w:val="0"/>
        <w:spacing w:line="240" w:lineRule="auto"/>
        <w:rPr>
          <w:b/>
          <w:szCs w:val="22"/>
          <w:lang w:val="lt-LT" w:eastAsia="es-ES"/>
        </w:rPr>
      </w:pPr>
      <w:r>
        <w:rPr>
          <w:b/>
          <w:bCs/>
          <w:szCs w:val="22"/>
          <w:lang w:val="lt-LT" w:eastAsia="es-ES"/>
        </w:rPr>
        <w:t xml:space="preserve">Pasirengimas įkvėpti </w:t>
      </w:r>
      <w:proofErr w:type="spellStart"/>
      <w:r>
        <w:rPr>
          <w:b/>
          <w:bCs/>
          <w:szCs w:val="22"/>
          <w:lang w:val="lt-LT" w:eastAsia="es-ES"/>
        </w:rPr>
        <w:t>Tobramycin</w:t>
      </w:r>
      <w:proofErr w:type="spellEnd"/>
      <w:r>
        <w:rPr>
          <w:b/>
          <w:bCs/>
          <w:szCs w:val="22"/>
          <w:lang w:val="lt-LT" w:eastAsia="es-ES"/>
        </w:rPr>
        <w:t xml:space="preserve"> </w:t>
      </w:r>
      <w:r>
        <w:rPr>
          <w:b/>
          <w:szCs w:val="22"/>
          <w:lang w:val="lt-LT" w:eastAsia="en-GB"/>
        </w:rPr>
        <w:t xml:space="preserve">Via </w:t>
      </w:r>
      <w:proofErr w:type="spellStart"/>
      <w:r>
        <w:rPr>
          <w:b/>
          <w:szCs w:val="22"/>
          <w:lang w:val="lt-LT" w:eastAsia="en-GB"/>
        </w:rPr>
        <w:t>pharma</w:t>
      </w:r>
      <w:proofErr w:type="spellEnd"/>
    </w:p>
    <w:p w14:paraId="0371F37C" w14:textId="77777777" w:rsidR="00803D36" w:rsidRDefault="00803D36" w:rsidP="00803D36">
      <w:pPr>
        <w:tabs>
          <w:tab w:val="clear" w:pos="567"/>
          <w:tab w:val="left" w:pos="1296"/>
        </w:tabs>
        <w:autoSpaceDE w:val="0"/>
        <w:autoSpaceDN w:val="0"/>
        <w:adjustRightInd w:val="0"/>
        <w:spacing w:line="240" w:lineRule="auto"/>
        <w:rPr>
          <w:b/>
          <w:bCs/>
          <w:szCs w:val="22"/>
          <w:lang w:val="lt-LT" w:eastAsia="es-ES"/>
        </w:rPr>
      </w:pPr>
    </w:p>
    <w:p w14:paraId="45968ACD" w14:textId="77777777" w:rsidR="00803D36" w:rsidRDefault="00803D36" w:rsidP="00803D36">
      <w:pPr>
        <w:numPr>
          <w:ilvl w:val="0"/>
          <w:numId w:val="5"/>
        </w:numPr>
        <w:tabs>
          <w:tab w:val="clear" w:pos="567"/>
          <w:tab w:val="left" w:pos="1296"/>
        </w:tabs>
        <w:autoSpaceDE w:val="0"/>
        <w:autoSpaceDN w:val="0"/>
        <w:adjustRightInd w:val="0"/>
        <w:spacing w:line="240" w:lineRule="auto"/>
        <w:ind w:left="567" w:hanging="567"/>
        <w:rPr>
          <w:szCs w:val="22"/>
          <w:lang w:val="lt-LT" w:eastAsia="es-ES"/>
        </w:rPr>
      </w:pPr>
      <w:r>
        <w:rPr>
          <w:szCs w:val="22"/>
          <w:lang w:val="lt-LT"/>
        </w:rPr>
        <w:t>Rankas kruopščiai nuplaukite muilu ir vandeniu</w:t>
      </w:r>
      <w:r>
        <w:rPr>
          <w:szCs w:val="22"/>
          <w:lang w:val="lt-LT" w:eastAsia="es-ES"/>
        </w:rPr>
        <w:t>.</w:t>
      </w:r>
    </w:p>
    <w:p w14:paraId="3B57C180" w14:textId="77777777" w:rsidR="00803D36" w:rsidRDefault="00803D36" w:rsidP="00803D36">
      <w:pPr>
        <w:numPr>
          <w:ilvl w:val="0"/>
          <w:numId w:val="5"/>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 xml:space="preserve">Kiekviename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s-ES"/>
        </w:rPr>
        <w:t xml:space="preserve">folijos maišiuke yra 7 ampulės. Kirpdami ar plėšdami atidarykite maišiuką. Iš maišiuko išimkite vieną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s-ES"/>
        </w:rPr>
        <w:t>ampulę. Likusias ampules įdėkite atgal į folijos maišiuką ir laikykite šaldytuve.</w:t>
      </w:r>
    </w:p>
    <w:p w14:paraId="30A71BF9" w14:textId="77777777" w:rsidR="00803D36" w:rsidRDefault="00803D36" w:rsidP="00803D36">
      <w:pPr>
        <w:numPr>
          <w:ilvl w:val="0"/>
          <w:numId w:val="5"/>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Visas purkštuvo dalis padėkite ant švaraus ir sauso popierinio ar medžiaginio rankšluosčio.</w:t>
      </w:r>
    </w:p>
    <w:p w14:paraId="15E8FC72" w14:textId="77777777" w:rsidR="00803D36" w:rsidRDefault="00803D36" w:rsidP="00803D36">
      <w:pPr>
        <w:numPr>
          <w:ilvl w:val="0"/>
          <w:numId w:val="5"/>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Įsitikinkite, kad turite tinkamą kompresorių ir žarnelę purkštuvui ir kompresoriui sujungti.</w:t>
      </w:r>
    </w:p>
    <w:p w14:paraId="262964DA" w14:textId="77777777" w:rsidR="00803D36" w:rsidRDefault="00803D36" w:rsidP="00803D36">
      <w:pPr>
        <w:numPr>
          <w:ilvl w:val="0"/>
          <w:numId w:val="5"/>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Atidžiai vykdykite atitinkamas Jūsų tipo purkštuvo naudojimo instrukcijas: turite perskaityti gamintojo su purkštuvu pateikiamą pakuotės lapelį. Remdamiesi gamintojo instrukcijomis, prieš vaisto vartojimą patikrinkite, ar purkštuvas ir kompresorius veikia tinkamai.</w:t>
      </w:r>
    </w:p>
    <w:p w14:paraId="1D0EC4F5"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p>
    <w:p w14:paraId="5AA6A299" w14:textId="77777777" w:rsidR="00803D36" w:rsidRDefault="00803D36" w:rsidP="00803D36">
      <w:pPr>
        <w:tabs>
          <w:tab w:val="clear" w:pos="567"/>
          <w:tab w:val="left" w:pos="1296"/>
        </w:tabs>
        <w:autoSpaceDE w:val="0"/>
        <w:autoSpaceDN w:val="0"/>
        <w:adjustRightInd w:val="0"/>
        <w:spacing w:line="240" w:lineRule="auto"/>
        <w:rPr>
          <w:b/>
          <w:bCs/>
          <w:szCs w:val="22"/>
          <w:lang w:val="lt-LT" w:eastAsia="es-ES"/>
        </w:rPr>
      </w:pPr>
      <w:proofErr w:type="spellStart"/>
      <w:r>
        <w:rPr>
          <w:b/>
          <w:bCs/>
          <w:szCs w:val="22"/>
          <w:lang w:val="lt-LT" w:eastAsia="es-ES"/>
        </w:rPr>
        <w:t>Tobramycin</w:t>
      </w:r>
      <w:proofErr w:type="spellEnd"/>
      <w:r>
        <w:rPr>
          <w:b/>
          <w:bCs/>
          <w:szCs w:val="22"/>
          <w:lang w:val="lt-LT" w:eastAsia="es-ES"/>
        </w:rPr>
        <w:t xml:space="preserve"> Via </w:t>
      </w:r>
      <w:proofErr w:type="spellStart"/>
      <w:r>
        <w:rPr>
          <w:b/>
          <w:bCs/>
          <w:szCs w:val="22"/>
          <w:lang w:val="lt-LT" w:eastAsia="es-ES"/>
        </w:rPr>
        <w:t>pharma</w:t>
      </w:r>
      <w:proofErr w:type="spellEnd"/>
      <w:r>
        <w:rPr>
          <w:b/>
          <w:bCs/>
          <w:szCs w:val="22"/>
          <w:lang w:val="lt-LT" w:eastAsia="es-ES"/>
        </w:rPr>
        <w:t xml:space="preserve"> vartojimas naudojant LC PLUS (PARI GmbH)</w:t>
      </w:r>
    </w:p>
    <w:p w14:paraId="45B8BF3E" w14:textId="77777777" w:rsidR="00803D36" w:rsidRDefault="00803D36" w:rsidP="00803D36">
      <w:pPr>
        <w:tabs>
          <w:tab w:val="clear" w:pos="567"/>
          <w:tab w:val="left" w:pos="1296"/>
        </w:tabs>
        <w:autoSpaceDE w:val="0"/>
        <w:autoSpaceDN w:val="0"/>
        <w:adjustRightInd w:val="0"/>
        <w:spacing w:line="240" w:lineRule="auto"/>
        <w:rPr>
          <w:b/>
          <w:bCs/>
          <w:szCs w:val="22"/>
          <w:lang w:val="lt-LT" w:eastAsia="es-ES"/>
        </w:rPr>
      </w:pPr>
    </w:p>
    <w:p w14:paraId="5B8D8A6F"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r>
        <w:rPr>
          <w:szCs w:val="22"/>
          <w:lang w:val="lt-LT" w:eastAsia="es-ES"/>
        </w:rPr>
        <w:t>Išsamesnės purkštuvo naudojimo instrukcijos pateikiamos kartu su PARI LC PLUS tiekiamame pakuotės lapelyje.</w:t>
      </w:r>
    </w:p>
    <w:p w14:paraId="6004A727"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p>
    <w:p w14:paraId="2D8D7369" w14:textId="77777777" w:rsidR="00803D36" w:rsidRDefault="00803D36" w:rsidP="00803D36">
      <w:pPr>
        <w:numPr>
          <w:ilvl w:val="0"/>
          <w:numId w:val="7"/>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Nuimkite viršutinę purkštuvo dalį, ją sukdami prieš laikrodžio rodyklę ir po to pakeldami. Viršutinę purkštuvo dalį padėkite ant rankšluosčio, šalia vertikaliai pastatykite purkštuvo apatinę dalį.</w:t>
      </w:r>
    </w:p>
    <w:p w14:paraId="269160BB" w14:textId="77777777" w:rsidR="00803D36" w:rsidRDefault="00803D36" w:rsidP="00803D36">
      <w:pPr>
        <w:tabs>
          <w:tab w:val="clear" w:pos="567"/>
          <w:tab w:val="left" w:pos="1296"/>
        </w:tabs>
        <w:autoSpaceDE w:val="0"/>
        <w:autoSpaceDN w:val="0"/>
        <w:adjustRightInd w:val="0"/>
        <w:spacing w:line="240" w:lineRule="auto"/>
        <w:ind w:left="567" w:hanging="567"/>
        <w:rPr>
          <w:szCs w:val="22"/>
          <w:lang w:val="lt-LT" w:eastAsia="es-ES"/>
        </w:rPr>
      </w:pPr>
    </w:p>
    <w:p w14:paraId="3238BAC1" w14:textId="77777777" w:rsidR="00803D36" w:rsidRDefault="00803D36" w:rsidP="00803D36">
      <w:pPr>
        <w:numPr>
          <w:ilvl w:val="0"/>
          <w:numId w:val="7"/>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Vieną žarnelės galą prijunkite prie kompresoriaus oro angos. Žarnelė turi prisijungti tvirtai. Kompresoriaus kištuką įkiškite į kištukinį lizdą.</w:t>
      </w:r>
    </w:p>
    <w:p w14:paraId="45614944" w14:textId="77777777" w:rsidR="00803D36" w:rsidRDefault="00803D36" w:rsidP="00803D36">
      <w:pPr>
        <w:tabs>
          <w:tab w:val="clear" w:pos="567"/>
          <w:tab w:val="left" w:pos="1296"/>
        </w:tabs>
        <w:autoSpaceDE w:val="0"/>
        <w:autoSpaceDN w:val="0"/>
        <w:adjustRightInd w:val="0"/>
        <w:spacing w:line="240" w:lineRule="auto"/>
        <w:ind w:left="567" w:hanging="567"/>
        <w:rPr>
          <w:szCs w:val="22"/>
          <w:lang w:val="lt-LT" w:eastAsia="es-ES"/>
        </w:rPr>
      </w:pPr>
    </w:p>
    <w:p w14:paraId="404496A9" w14:textId="77777777" w:rsidR="00803D36" w:rsidRDefault="00803D36" w:rsidP="00803D36">
      <w:pPr>
        <w:numPr>
          <w:ilvl w:val="0"/>
          <w:numId w:val="7"/>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 xml:space="preserve">Atidarykite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s-ES"/>
        </w:rPr>
        <w:t xml:space="preserve">ampulę, viena ranka ją laikydami už dugno, kita nusukdami viršutinę dalį. Visą ampulės turinį išspauskite į purkštuvo apatinę dalį. </w:t>
      </w:r>
    </w:p>
    <w:p w14:paraId="2254ACE2" w14:textId="77777777" w:rsidR="00803D36" w:rsidRDefault="00803D36" w:rsidP="00803D36">
      <w:pPr>
        <w:tabs>
          <w:tab w:val="clear" w:pos="567"/>
          <w:tab w:val="left" w:pos="1296"/>
        </w:tabs>
        <w:autoSpaceDE w:val="0"/>
        <w:autoSpaceDN w:val="0"/>
        <w:adjustRightInd w:val="0"/>
        <w:spacing w:line="240" w:lineRule="auto"/>
        <w:ind w:left="567" w:hanging="567"/>
        <w:rPr>
          <w:szCs w:val="22"/>
          <w:lang w:val="lt-LT"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3124"/>
      </w:tblGrid>
      <w:tr w:rsidR="00803D36" w14:paraId="629E583B" w14:textId="77777777" w:rsidTr="00D0389B">
        <w:trPr>
          <w:jc w:val="center"/>
        </w:trPr>
        <w:tc>
          <w:tcPr>
            <w:tcW w:w="2817" w:type="dxa"/>
            <w:tcBorders>
              <w:top w:val="single" w:sz="4" w:space="0" w:color="auto"/>
              <w:left w:val="single" w:sz="4" w:space="0" w:color="auto"/>
              <w:bottom w:val="single" w:sz="4" w:space="0" w:color="auto"/>
              <w:right w:val="single" w:sz="4" w:space="0" w:color="auto"/>
            </w:tcBorders>
            <w:vAlign w:val="center"/>
            <w:hideMark/>
          </w:tcPr>
          <w:p w14:paraId="25792BA0" w14:textId="77777777" w:rsidR="00803D36" w:rsidRDefault="00803D36" w:rsidP="00D0389B">
            <w:pPr>
              <w:tabs>
                <w:tab w:val="clear" w:pos="567"/>
                <w:tab w:val="left" w:pos="1296"/>
              </w:tabs>
              <w:autoSpaceDE w:val="0"/>
              <w:autoSpaceDN w:val="0"/>
              <w:adjustRightInd w:val="0"/>
              <w:spacing w:line="240" w:lineRule="auto"/>
              <w:ind w:left="567"/>
              <w:rPr>
                <w:szCs w:val="22"/>
                <w:lang w:val="lt-LT" w:eastAsia="es-ES"/>
              </w:rPr>
            </w:pPr>
            <w:r>
              <w:rPr>
                <w:noProof/>
                <w:szCs w:val="22"/>
                <w:lang w:val="lt-LT" w:eastAsia="lt-LT"/>
              </w:rPr>
              <w:drawing>
                <wp:inline distT="0" distB="0" distL="0" distR="0" wp14:anchorId="3E57B0BE" wp14:editId="45243EBE">
                  <wp:extent cx="1409700" cy="1076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076325"/>
                          </a:xfrm>
                          <a:prstGeom prst="rect">
                            <a:avLst/>
                          </a:prstGeom>
                          <a:noFill/>
                          <a:ln>
                            <a:noFill/>
                          </a:ln>
                        </pic:spPr>
                      </pic:pic>
                    </a:graphicData>
                  </a:graphic>
                </wp:inline>
              </w:drawing>
            </w:r>
          </w:p>
        </w:tc>
        <w:tc>
          <w:tcPr>
            <w:tcW w:w="2697" w:type="dxa"/>
            <w:tcBorders>
              <w:top w:val="single" w:sz="4" w:space="0" w:color="auto"/>
              <w:left w:val="single" w:sz="4" w:space="0" w:color="auto"/>
              <w:bottom w:val="single" w:sz="4" w:space="0" w:color="auto"/>
              <w:right w:val="single" w:sz="4" w:space="0" w:color="auto"/>
            </w:tcBorders>
            <w:vAlign w:val="center"/>
            <w:hideMark/>
          </w:tcPr>
          <w:p w14:paraId="348B6494" w14:textId="77777777" w:rsidR="00803D36" w:rsidRDefault="00803D36" w:rsidP="00D0389B">
            <w:pPr>
              <w:tabs>
                <w:tab w:val="clear" w:pos="567"/>
                <w:tab w:val="left" w:pos="1296"/>
              </w:tabs>
              <w:autoSpaceDE w:val="0"/>
              <w:autoSpaceDN w:val="0"/>
              <w:adjustRightInd w:val="0"/>
              <w:spacing w:line="240" w:lineRule="auto"/>
              <w:ind w:left="567"/>
              <w:rPr>
                <w:szCs w:val="22"/>
                <w:lang w:val="lt-LT" w:eastAsia="es-ES"/>
              </w:rPr>
            </w:pPr>
            <w:r>
              <w:rPr>
                <w:noProof/>
                <w:szCs w:val="22"/>
                <w:lang w:val="lt-LT" w:eastAsia="lt-LT"/>
              </w:rPr>
              <w:drawing>
                <wp:inline distT="0" distB="0" distL="0" distR="0" wp14:anchorId="1A87D113" wp14:editId="676C7568">
                  <wp:extent cx="1485900" cy="1038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038225"/>
                          </a:xfrm>
                          <a:prstGeom prst="rect">
                            <a:avLst/>
                          </a:prstGeom>
                          <a:noFill/>
                          <a:ln>
                            <a:noFill/>
                          </a:ln>
                        </pic:spPr>
                      </pic:pic>
                    </a:graphicData>
                  </a:graphic>
                </wp:inline>
              </w:drawing>
            </w:r>
          </w:p>
        </w:tc>
      </w:tr>
      <w:tr w:rsidR="00803D36" w14:paraId="2B104B7F" w14:textId="77777777" w:rsidTr="00D0389B">
        <w:trPr>
          <w:gridAfter w:val="1"/>
          <w:wAfter w:w="1446" w:type="dxa"/>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6FABC0CC" w14:textId="77777777" w:rsidR="00803D36" w:rsidRDefault="00803D36" w:rsidP="00D0389B">
            <w:pPr>
              <w:tabs>
                <w:tab w:val="clear" w:pos="567"/>
                <w:tab w:val="left" w:pos="1296"/>
              </w:tabs>
              <w:autoSpaceDE w:val="0"/>
              <w:autoSpaceDN w:val="0"/>
              <w:adjustRightInd w:val="0"/>
              <w:spacing w:line="240" w:lineRule="auto"/>
              <w:ind w:left="360"/>
              <w:rPr>
                <w:szCs w:val="22"/>
                <w:lang w:val="lt-LT" w:eastAsia="es-ES"/>
              </w:rPr>
            </w:pPr>
            <w:r>
              <w:rPr>
                <w:noProof/>
                <w:szCs w:val="22"/>
                <w:lang w:val="lt-LT" w:eastAsia="lt-LT"/>
              </w:rPr>
              <w:drawing>
                <wp:inline distT="0" distB="0" distL="0" distR="0" wp14:anchorId="46E0F6C4" wp14:editId="3F678AD4">
                  <wp:extent cx="1609725" cy="1933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1933575"/>
                          </a:xfrm>
                          <a:prstGeom prst="rect">
                            <a:avLst/>
                          </a:prstGeom>
                          <a:noFill/>
                          <a:ln>
                            <a:noFill/>
                          </a:ln>
                        </pic:spPr>
                      </pic:pic>
                    </a:graphicData>
                  </a:graphic>
                </wp:inline>
              </w:drawing>
            </w:r>
          </w:p>
        </w:tc>
      </w:tr>
    </w:tbl>
    <w:p w14:paraId="2B2D0481" w14:textId="77777777" w:rsidR="00803D36" w:rsidRDefault="00803D36" w:rsidP="00803D36">
      <w:pPr>
        <w:tabs>
          <w:tab w:val="clear" w:pos="567"/>
          <w:tab w:val="left" w:pos="1296"/>
        </w:tabs>
        <w:autoSpaceDE w:val="0"/>
        <w:autoSpaceDN w:val="0"/>
        <w:adjustRightInd w:val="0"/>
        <w:spacing w:line="240" w:lineRule="auto"/>
        <w:ind w:left="567" w:hanging="567"/>
        <w:rPr>
          <w:szCs w:val="22"/>
          <w:lang w:val="lt-LT" w:eastAsia="es-ES"/>
        </w:rPr>
      </w:pPr>
    </w:p>
    <w:p w14:paraId="791299A2" w14:textId="77777777" w:rsidR="00803D36" w:rsidRDefault="00803D36" w:rsidP="00803D36">
      <w:pPr>
        <w:numPr>
          <w:ilvl w:val="0"/>
          <w:numId w:val="7"/>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 xml:space="preserve">Vėl uždėkite viršutinę purkštuvo dalį, kandiklį ir įkvėpimo vožtuvo dangtelį ant purkštuvo bei prijunkite kompresorių, kaip nurodyta Jūsų PARI LC PLUS purkštuvo pakuotės lapelyje. </w:t>
      </w:r>
    </w:p>
    <w:p w14:paraId="599CD4B6" w14:textId="77777777" w:rsidR="00803D36" w:rsidRDefault="00803D36" w:rsidP="00803D36">
      <w:pPr>
        <w:numPr>
          <w:ilvl w:val="0"/>
          <w:numId w:val="7"/>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Įjunkite kompresorių. Patikrinkite, ar iš kandiklio išsiskiria tolygus rūkas. Jei rūko nėra, patikrinkite žarnelės prijungimo vietas ir ar kompresorius veikia tinkamai.</w:t>
      </w:r>
    </w:p>
    <w:p w14:paraId="70992381" w14:textId="77777777" w:rsidR="00803D36" w:rsidRDefault="00803D36" w:rsidP="00803D36">
      <w:pPr>
        <w:numPr>
          <w:ilvl w:val="0"/>
          <w:numId w:val="7"/>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Atsisėskite ar atsistokite taip, kad galėtumėte normaliai kvėpuoti.</w:t>
      </w:r>
    </w:p>
    <w:p w14:paraId="3DF40074" w14:textId="77777777" w:rsidR="00803D36" w:rsidRDefault="00803D36" w:rsidP="00803D36">
      <w:pPr>
        <w:numPr>
          <w:ilvl w:val="0"/>
          <w:numId w:val="7"/>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lastRenderedPageBreak/>
        <w:t xml:space="preserve">Įdėkite kandiklį tarp dantų ir liežuvio galiuko. Kvėpuokite normaliai, bet tik per burną (gali būti naudinga užsidėti nosies spaustuką). Stenkitės neužkimšti kandiklio galo savo liežuviu. </w:t>
      </w:r>
    </w:p>
    <w:p w14:paraId="54C22DE4" w14:textId="77777777" w:rsidR="00803D36" w:rsidRDefault="00803D36" w:rsidP="00803D36">
      <w:pPr>
        <w:tabs>
          <w:tab w:val="clear" w:pos="567"/>
          <w:tab w:val="left" w:pos="1296"/>
        </w:tabs>
        <w:autoSpaceDE w:val="0"/>
        <w:autoSpaceDN w:val="0"/>
        <w:adjustRightInd w:val="0"/>
        <w:spacing w:line="240" w:lineRule="auto"/>
        <w:ind w:left="567" w:hanging="567"/>
        <w:rPr>
          <w:szCs w:val="22"/>
          <w:lang w:val="lt-LT" w:eastAsia="es-ES"/>
        </w:rPr>
      </w:pPr>
    </w:p>
    <w:p w14:paraId="3867762B" w14:textId="77777777" w:rsidR="00803D36" w:rsidRDefault="00803D36" w:rsidP="00803D36">
      <w:pPr>
        <w:tabs>
          <w:tab w:val="clear" w:pos="567"/>
          <w:tab w:val="left" w:pos="1296"/>
        </w:tabs>
        <w:autoSpaceDE w:val="0"/>
        <w:autoSpaceDN w:val="0"/>
        <w:adjustRightInd w:val="0"/>
        <w:spacing w:line="240" w:lineRule="auto"/>
        <w:ind w:left="360"/>
        <w:rPr>
          <w:szCs w:val="22"/>
          <w:lang w:val="lt-LT" w:eastAsia="es-ES"/>
        </w:rPr>
      </w:pPr>
      <w:r>
        <w:rPr>
          <w:noProof/>
          <w:szCs w:val="22"/>
          <w:lang w:val="lt-LT" w:eastAsia="lt-LT"/>
        </w:rPr>
        <w:drawing>
          <wp:inline distT="0" distB="0" distL="0" distR="0" wp14:anchorId="0245C7C1" wp14:editId="4A0CD755">
            <wp:extent cx="1485900" cy="14859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w="6350" cmpd="sng">
                      <a:solidFill>
                        <a:srgbClr val="000000"/>
                      </a:solidFill>
                      <a:miter lim="800000"/>
                      <a:headEnd/>
                      <a:tailEnd/>
                    </a:ln>
                    <a:effectLst/>
                  </pic:spPr>
                </pic:pic>
              </a:graphicData>
            </a:graphic>
          </wp:inline>
        </w:drawing>
      </w:r>
    </w:p>
    <w:p w14:paraId="742D3080" w14:textId="77777777" w:rsidR="00803D36" w:rsidRDefault="00803D36" w:rsidP="00803D36">
      <w:pPr>
        <w:tabs>
          <w:tab w:val="clear" w:pos="567"/>
          <w:tab w:val="left" w:pos="1296"/>
        </w:tabs>
        <w:autoSpaceDE w:val="0"/>
        <w:autoSpaceDN w:val="0"/>
        <w:adjustRightInd w:val="0"/>
        <w:spacing w:line="240" w:lineRule="auto"/>
        <w:ind w:left="567" w:hanging="567"/>
        <w:rPr>
          <w:szCs w:val="22"/>
          <w:lang w:val="lt-LT" w:eastAsia="es-ES"/>
        </w:rPr>
      </w:pPr>
    </w:p>
    <w:p w14:paraId="04AA9963" w14:textId="77777777" w:rsidR="00803D36" w:rsidRDefault="00803D36" w:rsidP="00803D36">
      <w:pPr>
        <w:numPr>
          <w:ilvl w:val="0"/>
          <w:numId w:val="7"/>
        </w:numPr>
        <w:tabs>
          <w:tab w:val="clear" w:pos="567"/>
          <w:tab w:val="left" w:pos="1296"/>
        </w:tabs>
        <w:autoSpaceDE w:val="0"/>
        <w:autoSpaceDN w:val="0"/>
        <w:adjustRightInd w:val="0"/>
        <w:spacing w:line="240" w:lineRule="auto"/>
        <w:ind w:left="567" w:hanging="567"/>
        <w:rPr>
          <w:b/>
          <w:bCs/>
          <w:szCs w:val="22"/>
          <w:lang w:val="lt-LT" w:eastAsia="es-ES"/>
        </w:rPr>
      </w:pPr>
      <w:r>
        <w:rPr>
          <w:szCs w:val="22"/>
          <w:lang w:val="lt-LT" w:eastAsia="es-ES"/>
        </w:rPr>
        <w:t xml:space="preserve">Procedūrą tęskite tol, kol bus suvartotas visas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s-ES"/>
        </w:rPr>
        <w:t>ir nebeišsiskirs rūkas. Kol suvartosite visą vaistą, turi praeiti maždaug 15 minučių. Kai purkštuvo taurelė taps tuščia, galite išgirsti burbuliavimo garsą.</w:t>
      </w:r>
    </w:p>
    <w:p w14:paraId="1FCB1A3F" w14:textId="77777777" w:rsidR="00803D36" w:rsidRDefault="00803D36" w:rsidP="00803D36">
      <w:pPr>
        <w:tabs>
          <w:tab w:val="clear" w:pos="567"/>
          <w:tab w:val="left" w:pos="1296"/>
        </w:tabs>
        <w:autoSpaceDE w:val="0"/>
        <w:autoSpaceDN w:val="0"/>
        <w:adjustRightInd w:val="0"/>
        <w:spacing w:line="240" w:lineRule="auto"/>
        <w:ind w:left="567" w:hanging="567"/>
        <w:rPr>
          <w:b/>
          <w:bCs/>
          <w:szCs w:val="22"/>
          <w:lang w:val="lt-LT" w:eastAsia="es-ES"/>
        </w:rPr>
      </w:pPr>
    </w:p>
    <w:p w14:paraId="4DBAADF7" w14:textId="77777777" w:rsidR="00803D36" w:rsidRDefault="00803D36" w:rsidP="00803D36">
      <w:pPr>
        <w:numPr>
          <w:ilvl w:val="0"/>
          <w:numId w:val="7"/>
        </w:numPr>
        <w:tabs>
          <w:tab w:val="clear" w:pos="567"/>
          <w:tab w:val="left" w:pos="1296"/>
        </w:tabs>
        <w:autoSpaceDE w:val="0"/>
        <w:autoSpaceDN w:val="0"/>
        <w:adjustRightInd w:val="0"/>
        <w:spacing w:line="240" w:lineRule="auto"/>
        <w:ind w:left="567" w:hanging="567"/>
        <w:rPr>
          <w:b/>
          <w:bCs/>
          <w:szCs w:val="22"/>
          <w:lang w:val="lt-LT" w:eastAsia="es-ES"/>
        </w:rPr>
      </w:pPr>
      <w:r>
        <w:rPr>
          <w:b/>
          <w:bCs/>
          <w:szCs w:val="22"/>
          <w:lang w:val="lt-LT" w:eastAsia="es-ES"/>
        </w:rPr>
        <w:t>Nepamirškite po vartojimo išvalyti ir dezinfekuoti savo purkštuvo pagal gamintojo instrukcijas. Nešvaraus ar užsikimšusio purkštuvo naudoti negalima. Savo purkštuvo negalite duoti kitiems žmonėms.</w:t>
      </w:r>
    </w:p>
    <w:p w14:paraId="0DB0B6B9"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p>
    <w:p w14:paraId="4F5E9074" w14:textId="77777777" w:rsidR="00803D36" w:rsidRDefault="00803D36" w:rsidP="00803D36">
      <w:pPr>
        <w:numPr>
          <w:ilvl w:val="12"/>
          <w:numId w:val="0"/>
        </w:numPr>
        <w:tabs>
          <w:tab w:val="clear" w:pos="567"/>
          <w:tab w:val="left" w:pos="1296"/>
        </w:tabs>
        <w:spacing w:line="240" w:lineRule="auto"/>
        <w:rPr>
          <w:szCs w:val="22"/>
          <w:lang w:val="lt-LT" w:eastAsia="es-ES"/>
        </w:rPr>
      </w:pPr>
      <w:r>
        <w:rPr>
          <w:szCs w:val="22"/>
          <w:lang w:val="lt-LT" w:eastAsia="es-ES"/>
        </w:rPr>
        <w:t>Jei vaisto vartojimo metu Jums kas nors sutrukdo, reikia atsikosėti ar norite pailsėti, išjunkite kompresorių, kad vaistas nesieikvotų.</w:t>
      </w:r>
    </w:p>
    <w:p w14:paraId="79D88349" w14:textId="77777777" w:rsidR="00803D36" w:rsidRDefault="00803D36" w:rsidP="00803D36">
      <w:pPr>
        <w:numPr>
          <w:ilvl w:val="12"/>
          <w:numId w:val="0"/>
        </w:numPr>
        <w:tabs>
          <w:tab w:val="clear" w:pos="567"/>
          <w:tab w:val="left" w:pos="1296"/>
        </w:tabs>
        <w:spacing w:line="240" w:lineRule="auto"/>
        <w:rPr>
          <w:szCs w:val="22"/>
          <w:lang w:val="lt-LT" w:eastAsia="es-ES"/>
        </w:rPr>
      </w:pPr>
    </w:p>
    <w:p w14:paraId="02317CDD" w14:textId="77777777" w:rsidR="00803D36" w:rsidRDefault="00803D36" w:rsidP="00803D36">
      <w:pPr>
        <w:numPr>
          <w:ilvl w:val="12"/>
          <w:numId w:val="0"/>
        </w:numPr>
        <w:tabs>
          <w:tab w:val="clear" w:pos="567"/>
          <w:tab w:val="left" w:pos="1296"/>
        </w:tabs>
        <w:spacing w:line="240" w:lineRule="auto"/>
        <w:rPr>
          <w:szCs w:val="22"/>
          <w:lang w:val="lt-LT"/>
        </w:rPr>
      </w:pPr>
      <w:r>
        <w:rPr>
          <w:szCs w:val="22"/>
          <w:lang w:val="lt-LT" w:eastAsia="es-ES"/>
        </w:rPr>
        <w:t>Kai būsite pasirengę atnaujinti vaisto vartojimą, kompresorių vėl įjunkite. Jei iki kitos dozės vartojimo liko mažiau kaip 6 valandos, likusios dozės dalies nebevartokite.</w:t>
      </w:r>
    </w:p>
    <w:p w14:paraId="3F8FC8C8" w14:textId="77777777" w:rsidR="00803D36" w:rsidRDefault="00803D36" w:rsidP="00803D36">
      <w:pPr>
        <w:numPr>
          <w:ilvl w:val="12"/>
          <w:numId w:val="0"/>
        </w:numPr>
        <w:tabs>
          <w:tab w:val="clear" w:pos="567"/>
          <w:tab w:val="left" w:pos="1296"/>
        </w:tabs>
        <w:spacing w:line="240" w:lineRule="auto"/>
        <w:rPr>
          <w:szCs w:val="22"/>
          <w:lang w:val="lt-LT"/>
        </w:rPr>
      </w:pPr>
    </w:p>
    <w:p w14:paraId="0A1677BB" w14:textId="77777777" w:rsidR="00803D36" w:rsidRDefault="00803D36" w:rsidP="00803D36">
      <w:pPr>
        <w:numPr>
          <w:ilvl w:val="12"/>
          <w:numId w:val="0"/>
        </w:numPr>
        <w:tabs>
          <w:tab w:val="clear" w:pos="567"/>
          <w:tab w:val="left" w:pos="1296"/>
        </w:tabs>
        <w:spacing w:line="240" w:lineRule="auto"/>
        <w:rPr>
          <w:szCs w:val="22"/>
          <w:lang w:val="lt-LT"/>
        </w:rPr>
      </w:pPr>
    </w:p>
    <w:p w14:paraId="1AFBE799"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Galimas šalutinis poveikis</w:t>
      </w:r>
    </w:p>
    <w:p w14:paraId="4CF0A7EE" w14:textId="77777777" w:rsidR="00803D36" w:rsidRDefault="00803D36" w:rsidP="00803D36">
      <w:pPr>
        <w:numPr>
          <w:ilvl w:val="12"/>
          <w:numId w:val="0"/>
        </w:numPr>
        <w:tabs>
          <w:tab w:val="clear" w:pos="567"/>
          <w:tab w:val="left" w:pos="1296"/>
        </w:tabs>
        <w:spacing w:line="240" w:lineRule="auto"/>
        <w:rPr>
          <w:szCs w:val="22"/>
          <w:lang w:val="lt-LT"/>
        </w:rPr>
      </w:pPr>
    </w:p>
    <w:p w14:paraId="47673D03" w14:textId="77777777" w:rsidR="00803D36" w:rsidRDefault="00803D36" w:rsidP="00803D36">
      <w:pPr>
        <w:numPr>
          <w:ilvl w:val="12"/>
          <w:numId w:val="0"/>
        </w:numPr>
        <w:tabs>
          <w:tab w:val="clear" w:pos="567"/>
          <w:tab w:val="left" w:pos="1296"/>
        </w:tabs>
        <w:spacing w:line="240" w:lineRule="auto"/>
        <w:ind w:right="-29"/>
        <w:rPr>
          <w:szCs w:val="22"/>
          <w:lang w:val="lt-LT"/>
        </w:rPr>
      </w:pPr>
      <w:r>
        <w:rPr>
          <w:szCs w:val="22"/>
          <w:lang w:val="lt-LT"/>
        </w:rPr>
        <w:t>Šis vaistas, kaip ir visi kiti, gali sukelti šalutinį poveikį, nors jis pasireiškia ne visiems žmonėms.</w:t>
      </w:r>
    </w:p>
    <w:p w14:paraId="5E9C76FA" w14:textId="77777777" w:rsidR="00803D36" w:rsidRDefault="00803D36" w:rsidP="00803D36">
      <w:pPr>
        <w:numPr>
          <w:ilvl w:val="12"/>
          <w:numId w:val="0"/>
        </w:numPr>
        <w:tabs>
          <w:tab w:val="clear" w:pos="567"/>
          <w:tab w:val="left" w:pos="1296"/>
        </w:tabs>
        <w:spacing w:line="240" w:lineRule="auto"/>
        <w:ind w:right="-29"/>
        <w:rPr>
          <w:szCs w:val="22"/>
          <w:lang w:val="lt-LT"/>
        </w:rPr>
      </w:pPr>
    </w:p>
    <w:p w14:paraId="338D3B53" w14:textId="77777777" w:rsidR="00803D36" w:rsidRDefault="00803D36" w:rsidP="00803D36">
      <w:pPr>
        <w:tabs>
          <w:tab w:val="clear" w:pos="567"/>
          <w:tab w:val="left" w:pos="1296"/>
        </w:tabs>
        <w:autoSpaceDE w:val="0"/>
        <w:autoSpaceDN w:val="0"/>
        <w:adjustRightInd w:val="0"/>
        <w:spacing w:line="240" w:lineRule="auto"/>
        <w:jc w:val="both"/>
        <w:rPr>
          <w:b/>
          <w:bCs/>
          <w:szCs w:val="22"/>
          <w:lang w:val="lt-LT" w:eastAsia="es-ES"/>
        </w:rPr>
      </w:pPr>
      <w:r>
        <w:rPr>
          <w:b/>
          <w:bCs/>
          <w:szCs w:val="22"/>
          <w:lang w:val="lt-LT" w:eastAsia="es-ES"/>
        </w:rPr>
        <w:t>Tam tikras šalutinis poveikis gali būti sunkus</w:t>
      </w:r>
    </w:p>
    <w:p w14:paraId="4C29A536" w14:textId="77777777" w:rsidR="00803D36" w:rsidRDefault="00803D36" w:rsidP="00803D36">
      <w:pPr>
        <w:tabs>
          <w:tab w:val="clear" w:pos="567"/>
          <w:tab w:val="left" w:pos="1296"/>
        </w:tabs>
        <w:autoSpaceDE w:val="0"/>
        <w:autoSpaceDN w:val="0"/>
        <w:adjustRightInd w:val="0"/>
        <w:spacing w:line="240" w:lineRule="auto"/>
        <w:jc w:val="both"/>
        <w:rPr>
          <w:b/>
          <w:bCs/>
          <w:szCs w:val="22"/>
          <w:lang w:val="lt-LT" w:eastAsia="es-ES"/>
        </w:rPr>
      </w:pPr>
    </w:p>
    <w:p w14:paraId="74B3DC16" w14:textId="77777777" w:rsidR="00803D36" w:rsidRDefault="00803D36" w:rsidP="00803D36">
      <w:pPr>
        <w:tabs>
          <w:tab w:val="clear" w:pos="567"/>
          <w:tab w:val="left" w:pos="1296"/>
        </w:tabs>
        <w:autoSpaceDE w:val="0"/>
        <w:autoSpaceDN w:val="0"/>
        <w:adjustRightInd w:val="0"/>
        <w:spacing w:line="240" w:lineRule="auto"/>
        <w:jc w:val="both"/>
        <w:rPr>
          <w:b/>
          <w:bCs/>
          <w:szCs w:val="22"/>
          <w:lang w:val="lt-LT" w:eastAsia="es-ES"/>
        </w:rPr>
      </w:pPr>
      <w:r>
        <w:rPr>
          <w:bCs/>
          <w:szCs w:val="22"/>
          <w:lang w:val="lt-LT" w:eastAsia="es-ES"/>
        </w:rPr>
        <w:t xml:space="preserve">Jeigu pasireiškia bet kuris toliau paminėtas poveikis, nutraukite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vartojimą </w:t>
      </w:r>
      <w:r>
        <w:rPr>
          <w:b/>
          <w:bCs/>
          <w:szCs w:val="22"/>
          <w:lang w:val="lt-LT" w:eastAsia="es-ES"/>
        </w:rPr>
        <w:t xml:space="preserve">ir nedelsdami kreipkitės į gydytoją: </w:t>
      </w:r>
    </w:p>
    <w:p w14:paraId="330F1F2B" w14:textId="77777777" w:rsidR="00803D36" w:rsidRDefault="00803D36" w:rsidP="00803D36">
      <w:pPr>
        <w:numPr>
          <w:ilvl w:val="0"/>
          <w:numId w:val="8"/>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neįprastai pasunkėjęs kvėpavimas su švokštimu ar kosuliu ir spaudimo pojūtis krūtinėje;</w:t>
      </w:r>
    </w:p>
    <w:p w14:paraId="662B931B" w14:textId="77777777" w:rsidR="00803D36" w:rsidRDefault="00803D36" w:rsidP="00803D36">
      <w:pPr>
        <w:numPr>
          <w:ilvl w:val="0"/>
          <w:numId w:val="8"/>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alerginė reakcija, įskaitant dilgėlinę ir niežėjimą (toks poveikis labai retas).</w:t>
      </w:r>
    </w:p>
    <w:p w14:paraId="30B74E86" w14:textId="77777777" w:rsidR="00803D36" w:rsidRDefault="00803D36" w:rsidP="00803D36">
      <w:pPr>
        <w:tabs>
          <w:tab w:val="clear" w:pos="567"/>
          <w:tab w:val="left" w:pos="1296"/>
        </w:tabs>
        <w:autoSpaceDE w:val="0"/>
        <w:autoSpaceDN w:val="0"/>
        <w:adjustRightInd w:val="0"/>
        <w:spacing w:line="240" w:lineRule="auto"/>
        <w:jc w:val="both"/>
        <w:rPr>
          <w:szCs w:val="22"/>
          <w:lang w:val="lt-LT" w:eastAsia="es-ES"/>
        </w:rPr>
      </w:pPr>
    </w:p>
    <w:p w14:paraId="034C2ABF" w14:textId="77777777" w:rsidR="00803D36" w:rsidRDefault="00803D36" w:rsidP="00803D36">
      <w:pPr>
        <w:tabs>
          <w:tab w:val="clear" w:pos="567"/>
          <w:tab w:val="left" w:pos="1296"/>
        </w:tabs>
        <w:autoSpaceDE w:val="0"/>
        <w:autoSpaceDN w:val="0"/>
        <w:adjustRightInd w:val="0"/>
        <w:spacing w:line="240" w:lineRule="auto"/>
        <w:jc w:val="both"/>
        <w:rPr>
          <w:b/>
          <w:bCs/>
          <w:szCs w:val="22"/>
          <w:lang w:val="lt-LT" w:eastAsia="es-ES"/>
        </w:rPr>
      </w:pPr>
      <w:r>
        <w:rPr>
          <w:bCs/>
          <w:szCs w:val="22"/>
          <w:lang w:val="lt-LT" w:eastAsia="es-ES"/>
        </w:rPr>
        <w:t xml:space="preserve">Jeigu pasireiškia bet kuris toliau paminėtas poveikis, </w:t>
      </w:r>
      <w:r>
        <w:rPr>
          <w:b/>
          <w:bCs/>
          <w:szCs w:val="22"/>
          <w:lang w:val="lt-LT" w:eastAsia="es-ES"/>
        </w:rPr>
        <w:t>nedelsdami kreipkitės į gydytoją:</w:t>
      </w:r>
    </w:p>
    <w:p w14:paraId="1C10A07B" w14:textId="3C7B0B2E" w:rsidR="00803D36" w:rsidRDefault="00803D36" w:rsidP="00803D36">
      <w:pPr>
        <w:numPr>
          <w:ilvl w:val="0"/>
          <w:numId w:val="9"/>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apkurtimas (spengimas ausyse gali būti perspėjamasis požymis, kad gali pasireikšti apkurtimas), garsai (pvz., šnypštimas) ausyse</w:t>
      </w:r>
      <w:r w:rsidR="00BB0323">
        <w:rPr>
          <w:szCs w:val="22"/>
          <w:lang w:val="lt-LT" w:eastAsia="es-ES"/>
        </w:rPr>
        <w:t>;</w:t>
      </w:r>
    </w:p>
    <w:p w14:paraId="79E7390C" w14:textId="282F7BA4" w:rsidR="00963153" w:rsidRPr="00963153" w:rsidRDefault="00963153" w:rsidP="00963153">
      <w:pPr>
        <w:numPr>
          <w:ilvl w:val="0"/>
          <w:numId w:val="9"/>
        </w:numPr>
        <w:tabs>
          <w:tab w:val="clear" w:pos="567"/>
          <w:tab w:val="left" w:pos="1296"/>
        </w:tabs>
        <w:autoSpaceDE w:val="0"/>
        <w:autoSpaceDN w:val="0"/>
        <w:adjustRightInd w:val="0"/>
        <w:spacing w:line="240" w:lineRule="auto"/>
        <w:ind w:left="567" w:hanging="567"/>
        <w:jc w:val="both"/>
        <w:rPr>
          <w:szCs w:val="22"/>
          <w:lang w:val="lt-LT" w:eastAsia="es-ES"/>
        </w:rPr>
      </w:pPr>
      <w:r w:rsidRPr="00963153">
        <w:rPr>
          <w:szCs w:val="22"/>
          <w:lang w:val="lt-LT" w:eastAsia="es-ES"/>
        </w:rPr>
        <w:t>mažas šlapimo kiekis, vėmimas, sumišimas ir kojų, kulkšnių bei pėdų tinimas, nes tai gali būti staiga susilpnėjusios inkstų funkcijos požymiai</w:t>
      </w:r>
      <w:r w:rsidR="00BB0323">
        <w:rPr>
          <w:szCs w:val="22"/>
          <w:lang w:val="lt-LT" w:eastAsia="es-ES"/>
        </w:rPr>
        <w:t xml:space="preserve"> (dažnis nežinomas)</w:t>
      </w:r>
      <w:r w:rsidRPr="00963153">
        <w:rPr>
          <w:szCs w:val="22"/>
          <w:lang w:val="lt-LT" w:eastAsia="es-ES"/>
        </w:rPr>
        <w:t>.</w:t>
      </w:r>
    </w:p>
    <w:p w14:paraId="44E93FEA" w14:textId="77777777" w:rsidR="00803D36" w:rsidRDefault="00803D36" w:rsidP="00803D36">
      <w:pPr>
        <w:tabs>
          <w:tab w:val="clear" w:pos="567"/>
          <w:tab w:val="left" w:pos="1296"/>
        </w:tabs>
        <w:autoSpaceDE w:val="0"/>
        <w:autoSpaceDN w:val="0"/>
        <w:adjustRightInd w:val="0"/>
        <w:spacing w:line="240" w:lineRule="auto"/>
        <w:jc w:val="both"/>
        <w:rPr>
          <w:szCs w:val="22"/>
          <w:lang w:val="lt-LT" w:eastAsia="es-ES"/>
        </w:rPr>
      </w:pPr>
    </w:p>
    <w:p w14:paraId="4345CB73" w14:textId="77777777" w:rsidR="00803D36" w:rsidRDefault="00803D36" w:rsidP="00803D36">
      <w:pPr>
        <w:tabs>
          <w:tab w:val="clear" w:pos="567"/>
          <w:tab w:val="left" w:pos="1296"/>
        </w:tabs>
        <w:autoSpaceDE w:val="0"/>
        <w:autoSpaceDN w:val="0"/>
        <w:adjustRightInd w:val="0"/>
        <w:spacing w:line="240" w:lineRule="auto"/>
        <w:jc w:val="both"/>
        <w:rPr>
          <w:szCs w:val="22"/>
          <w:lang w:val="lt-LT" w:eastAsia="es-ES"/>
        </w:rPr>
      </w:pPr>
      <w:r>
        <w:rPr>
          <w:szCs w:val="22"/>
          <w:lang w:val="lt-LT" w:eastAsia="es-ES"/>
        </w:rPr>
        <w:t xml:space="preserve">Jūsų plaučių liga </w:t>
      </w:r>
      <w:proofErr w:type="spellStart"/>
      <w:r>
        <w:rPr>
          <w:szCs w:val="22"/>
          <w:lang w:val="lt-LT" w:eastAsia="es-ES"/>
        </w:rPr>
        <w:t>Tobramycin</w:t>
      </w:r>
      <w:proofErr w:type="spellEnd"/>
      <w:r>
        <w:rPr>
          <w:szCs w:val="22"/>
          <w:lang w:val="lt-LT" w:eastAsia="es-ES"/>
        </w:rPr>
        <w:t xml:space="preserve"> Via </w:t>
      </w:r>
      <w:proofErr w:type="spellStart"/>
      <w:r>
        <w:rPr>
          <w:szCs w:val="22"/>
          <w:lang w:val="lt-LT" w:eastAsia="es-ES"/>
        </w:rPr>
        <w:t>pharma</w:t>
      </w:r>
      <w:proofErr w:type="spellEnd"/>
      <w:r>
        <w:rPr>
          <w:szCs w:val="22"/>
          <w:lang w:val="lt-LT" w:eastAsia="es-ES"/>
        </w:rPr>
        <w:t xml:space="preserve"> vartojimo metu gali pasunkėti. Tai gali atsitikti dėl vaisto veiksmingumo stokos. Tokiu atveju nedelsdami kreipkitės į gydytoją.</w:t>
      </w:r>
    </w:p>
    <w:p w14:paraId="679AD3A4" w14:textId="77777777" w:rsidR="00803D36" w:rsidRDefault="00803D36" w:rsidP="00803D36">
      <w:pPr>
        <w:tabs>
          <w:tab w:val="clear" w:pos="567"/>
          <w:tab w:val="left" w:pos="1296"/>
        </w:tabs>
        <w:autoSpaceDE w:val="0"/>
        <w:autoSpaceDN w:val="0"/>
        <w:adjustRightInd w:val="0"/>
        <w:spacing w:line="240" w:lineRule="auto"/>
        <w:jc w:val="both"/>
        <w:rPr>
          <w:b/>
          <w:szCs w:val="22"/>
          <w:lang w:val="lt-LT" w:eastAsia="es-ES"/>
        </w:rPr>
      </w:pPr>
    </w:p>
    <w:p w14:paraId="39B624C1" w14:textId="77777777" w:rsidR="00803D36" w:rsidRDefault="00803D36" w:rsidP="00803D36">
      <w:pPr>
        <w:tabs>
          <w:tab w:val="clear" w:pos="567"/>
          <w:tab w:val="left" w:pos="1296"/>
        </w:tabs>
        <w:autoSpaceDE w:val="0"/>
        <w:autoSpaceDN w:val="0"/>
        <w:adjustRightInd w:val="0"/>
        <w:spacing w:line="240" w:lineRule="auto"/>
        <w:jc w:val="both"/>
        <w:rPr>
          <w:b/>
          <w:szCs w:val="22"/>
          <w:lang w:val="lt-LT" w:eastAsia="es-ES"/>
        </w:rPr>
      </w:pPr>
      <w:r>
        <w:rPr>
          <w:b/>
          <w:szCs w:val="22"/>
          <w:lang w:val="lt-LT" w:eastAsia="es-ES"/>
        </w:rPr>
        <w:t>Tam tikras šalutinis poveikis atsiranda dažnai</w:t>
      </w:r>
    </w:p>
    <w:p w14:paraId="1BACC25A" w14:textId="77777777" w:rsidR="00803D36" w:rsidRDefault="00803D36" w:rsidP="00803D36">
      <w:pPr>
        <w:tabs>
          <w:tab w:val="clear" w:pos="567"/>
          <w:tab w:val="left" w:pos="1296"/>
        </w:tabs>
        <w:autoSpaceDE w:val="0"/>
        <w:autoSpaceDN w:val="0"/>
        <w:adjustRightInd w:val="0"/>
        <w:spacing w:line="240" w:lineRule="auto"/>
        <w:jc w:val="both"/>
        <w:rPr>
          <w:i/>
          <w:szCs w:val="22"/>
          <w:lang w:val="lt-LT" w:eastAsia="es-ES"/>
        </w:rPr>
      </w:pPr>
      <w:r>
        <w:rPr>
          <w:i/>
          <w:szCs w:val="22"/>
          <w:lang w:val="lt-LT" w:eastAsia="es-ES"/>
        </w:rPr>
        <w:t>Toks šalutinis poveikis gali atsirasti daugiau kaip 1 iš 10 žmonių:</w:t>
      </w:r>
    </w:p>
    <w:p w14:paraId="4DA8C00D" w14:textId="77777777" w:rsidR="00803D36" w:rsidRDefault="00803D36" w:rsidP="00803D36">
      <w:pPr>
        <w:numPr>
          <w:ilvl w:val="0"/>
          <w:numId w:val="9"/>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nosies bėgimas ar užsikimšimas, čiaudulys;</w:t>
      </w:r>
    </w:p>
    <w:p w14:paraId="5DDC85E4" w14:textId="77777777" w:rsidR="00803D36" w:rsidRDefault="00803D36" w:rsidP="00803D36">
      <w:pPr>
        <w:numPr>
          <w:ilvl w:val="0"/>
          <w:numId w:val="9"/>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balso pokytis (užkimimas);</w:t>
      </w:r>
    </w:p>
    <w:p w14:paraId="70096D7E" w14:textId="77777777" w:rsidR="00803D36" w:rsidRDefault="00803D36" w:rsidP="00803D36">
      <w:pPr>
        <w:numPr>
          <w:ilvl w:val="0"/>
          <w:numId w:val="9"/>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atkosėjamo turinio (skreplių) spalvos pokytis;</w:t>
      </w:r>
    </w:p>
    <w:p w14:paraId="34BA69AB" w14:textId="77777777" w:rsidR="00803D36" w:rsidRDefault="00803D36" w:rsidP="00803D36">
      <w:pPr>
        <w:numPr>
          <w:ilvl w:val="0"/>
          <w:numId w:val="9"/>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plaučių funkcijos tyrimų rezultatų pablogėjimas.</w:t>
      </w:r>
    </w:p>
    <w:p w14:paraId="6E74985D" w14:textId="77777777" w:rsidR="00803D36" w:rsidRDefault="00803D36" w:rsidP="00803D36">
      <w:pPr>
        <w:tabs>
          <w:tab w:val="clear" w:pos="567"/>
          <w:tab w:val="left" w:pos="1296"/>
        </w:tabs>
        <w:autoSpaceDE w:val="0"/>
        <w:autoSpaceDN w:val="0"/>
        <w:adjustRightInd w:val="0"/>
        <w:spacing w:line="240" w:lineRule="auto"/>
        <w:jc w:val="both"/>
        <w:rPr>
          <w:szCs w:val="22"/>
          <w:lang w:val="lt-LT" w:eastAsia="es-ES"/>
        </w:rPr>
      </w:pPr>
      <w:r>
        <w:rPr>
          <w:szCs w:val="22"/>
          <w:lang w:val="lt-LT" w:eastAsia="es-ES"/>
        </w:rPr>
        <w:t xml:space="preserve">Jei bet kuris paminėtas poveikis taps sunkus, </w:t>
      </w:r>
      <w:r>
        <w:rPr>
          <w:b/>
          <w:szCs w:val="22"/>
          <w:lang w:val="lt-LT" w:eastAsia="es-ES"/>
        </w:rPr>
        <w:t>kreipkitės į gydytoją.</w:t>
      </w:r>
    </w:p>
    <w:p w14:paraId="0A06206C" w14:textId="77777777" w:rsidR="00803D36" w:rsidRDefault="00803D36" w:rsidP="00803D36">
      <w:pPr>
        <w:tabs>
          <w:tab w:val="clear" w:pos="567"/>
          <w:tab w:val="left" w:pos="1296"/>
        </w:tabs>
        <w:autoSpaceDE w:val="0"/>
        <w:autoSpaceDN w:val="0"/>
        <w:adjustRightInd w:val="0"/>
        <w:spacing w:line="240" w:lineRule="auto"/>
        <w:jc w:val="both"/>
        <w:rPr>
          <w:szCs w:val="22"/>
          <w:lang w:val="lt-LT" w:eastAsia="es-ES"/>
        </w:rPr>
      </w:pPr>
    </w:p>
    <w:p w14:paraId="281693CC" w14:textId="77777777" w:rsidR="00803D36" w:rsidRDefault="00803D36" w:rsidP="00803D36">
      <w:pPr>
        <w:tabs>
          <w:tab w:val="clear" w:pos="567"/>
          <w:tab w:val="left" w:pos="1296"/>
        </w:tabs>
        <w:autoSpaceDE w:val="0"/>
        <w:autoSpaceDN w:val="0"/>
        <w:adjustRightInd w:val="0"/>
        <w:spacing w:line="240" w:lineRule="auto"/>
        <w:jc w:val="both"/>
        <w:rPr>
          <w:b/>
          <w:szCs w:val="22"/>
          <w:lang w:val="lt-LT" w:eastAsia="es-ES"/>
        </w:rPr>
      </w:pPr>
      <w:r>
        <w:rPr>
          <w:b/>
          <w:szCs w:val="22"/>
          <w:lang w:val="lt-LT" w:eastAsia="es-ES"/>
        </w:rPr>
        <w:lastRenderedPageBreak/>
        <w:t>Tam tikras šalutinis poveikis atsiranda dažnai</w:t>
      </w:r>
    </w:p>
    <w:p w14:paraId="0530B44F" w14:textId="61F0242D" w:rsidR="00803D36" w:rsidRDefault="00803D36" w:rsidP="00803D36">
      <w:pPr>
        <w:tabs>
          <w:tab w:val="clear" w:pos="567"/>
          <w:tab w:val="left" w:pos="1296"/>
        </w:tabs>
        <w:autoSpaceDE w:val="0"/>
        <w:autoSpaceDN w:val="0"/>
        <w:adjustRightInd w:val="0"/>
        <w:spacing w:line="240" w:lineRule="auto"/>
        <w:jc w:val="both"/>
        <w:rPr>
          <w:i/>
          <w:szCs w:val="22"/>
          <w:lang w:val="lt-LT" w:eastAsia="es-ES"/>
        </w:rPr>
      </w:pPr>
      <w:r>
        <w:rPr>
          <w:i/>
          <w:szCs w:val="22"/>
          <w:lang w:val="lt-LT" w:eastAsia="es-ES"/>
        </w:rPr>
        <w:t xml:space="preserve">Toks šalutinis poveikis gali atsirasti </w:t>
      </w:r>
      <w:r w:rsidR="006A20EB">
        <w:rPr>
          <w:i/>
          <w:szCs w:val="22"/>
          <w:lang w:val="lt-LT" w:eastAsia="es-ES"/>
        </w:rPr>
        <w:t>rečiau</w:t>
      </w:r>
      <w:r>
        <w:rPr>
          <w:i/>
          <w:szCs w:val="22"/>
          <w:lang w:val="lt-LT" w:eastAsia="es-ES"/>
        </w:rPr>
        <w:t xml:space="preserve"> kaip 1 iš 10 žmonių:</w:t>
      </w:r>
    </w:p>
    <w:p w14:paraId="3881DAD8" w14:textId="77777777" w:rsidR="00803D36" w:rsidRDefault="00803D36" w:rsidP="00803D36">
      <w:pPr>
        <w:numPr>
          <w:ilvl w:val="0"/>
          <w:numId w:val="10"/>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bloga bendroji savijauta;</w:t>
      </w:r>
    </w:p>
    <w:p w14:paraId="68B56762" w14:textId="77777777" w:rsidR="00803D36" w:rsidRDefault="00803D36" w:rsidP="00803D36">
      <w:pPr>
        <w:numPr>
          <w:ilvl w:val="0"/>
          <w:numId w:val="10"/>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raumenų skausmas;</w:t>
      </w:r>
    </w:p>
    <w:p w14:paraId="124C0F6B" w14:textId="77777777" w:rsidR="00803D36" w:rsidRDefault="00803D36" w:rsidP="00803D36">
      <w:pPr>
        <w:numPr>
          <w:ilvl w:val="0"/>
          <w:numId w:val="10"/>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balso pokytis su gerklės skausmu ir rijimo pasunkėjimu (laringitas).</w:t>
      </w:r>
    </w:p>
    <w:p w14:paraId="0AF8362B" w14:textId="77777777" w:rsidR="00803D36" w:rsidRDefault="00803D36" w:rsidP="00803D36">
      <w:pPr>
        <w:tabs>
          <w:tab w:val="clear" w:pos="567"/>
          <w:tab w:val="left" w:pos="1296"/>
        </w:tabs>
        <w:autoSpaceDE w:val="0"/>
        <w:autoSpaceDN w:val="0"/>
        <w:adjustRightInd w:val="0"/>
        <w:spacing w:line="240" w:lineRule="auto"/>
        <w:jc w:val="both"/>
        <w:rPr>
          <w:b/>
          <w:szCs w:val="22"/>
          <w:lang w:val="lt-LT" w:eastAsia="es-ES"/>
        </w:rPr>
      </w:pPr>
      <w:r>
        <w:rPr>
          <w:szCs w:val="22"/>
          <w:lang w:val="lt-LT" w:eastAsia="es-ES"/>
        </w:rPr>
        <w:t xml:space="preserve">Jei bet kuris paminėtas poveikis taps sunkus, </w:t>
      </w:r>
      <w:r>
        <w:rPr>
          <w:b/>
          <w:szCs w:val="22"/>
          <w:lang w:val="lt-LT" w:eastAsia="es-ES"/>
        </w:rPr>
        <w:t>kreipkitės į gydytoją.</w:t>
      </w:r>
    </w:p>
    <w:p w14:paraId="6F42CF3C" w14:textId="77777777" w:rsidR="00803D36" w:rsidRDefault="00803D36" w:rsidP="00803D36">
      <w:pPr>
        <w:tabs>
          <w:tab w:val="clear" w:pos="567"/>
          <w:tab w:val="left" w:pos="1296"/>
        </w:tabs>
        <w:autoSpaceDE w:val="0"/>
        <w:autoSpaceDN w:val="0"/>
        <w:adjustRightInd w:val="0"/>
        <w:spacing w:line="240" w:lineRule="auto"/>
        <w:jc w:val="both"/>
        <w:rPr>
          <w:szCs w:val="22"/>
          <w:lang w:val="lt-LT" w:eastAsia="es-ES"/>
        </w:rPr>
      </w:pPr>
    </w:p>
    <w:p w14:paraId="711512CD" w14:textId="77777777" w:rsidR="00803D36" w:rsidRDefault="00803D36" w:rsidP="00803D36">
      <w:pPr>
        <w:tabs>
          <w:tab w:val="clear" w:pos="567"/>
          <w:tab w:val="left" w:pos="1296"/>
        </w:tabs>
        <w:autoSpaceDE w:val="0"/>
        <w:autoSpaceDN w:val="0"/>
        <w:adjustRightInd w:val="0"/>
        <w:spacing w:line="240" w:lineRule="auto"/>
        <w:jc w:val="both"/>
        <w:rPr>
          <w:b/>
          <w:szCs w:val="22"/>
          <w:lang w:val="lt-LT" w:eastAsia="es-ES"/>
        </w:rPr>
      </w:pPr>
      <w:r>
        <w:rPr>
          <w:b/>
          <w:szCs w:val="22"/>
          <w:lang w:val="lt-LT" w:eastAsia="es-ES"/>
        </w:rPr>
        <w:t>Kitoks galimas šalutinis poveikis:</w:t>
      </w:r>
    </w:p>
    <w:p w14:paraId="507F32CA" w14:textId="77777777" w:rsidR="00803D36" w:rsidRDefault="00803D36" w:rsidP="00803D36">
      <w:pPr>
        <w:numPr>
          <w:ilvl w:val="0"/>
          <w:numId w:val="11"/>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niežėjimas;</w:t>
      </w:r>
    </w:p>
    <w:p w14:paraId="3ACC5403" w14:textId="77777777" w:rsidR="00803D36" w:rsidRDefault="00803D36" w:rsidP="00803D36">
      <w:pPr>
        <w:numPr>
          <w:ilvl w:val="0"/>
          <w:numId w:val="11"/>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išbėrimas su niežėjimu;</w:t>
      </w:r>
    </w:p>
    <w:p w14:paraId="4BBFCEC1" w14:textId="77777777" w:rsidR="00803D36" w:rsidRDefault="00803D36" w:rsidP="00803D36">
      <w:pPr>
        <w:numPr>
          <w:ilvl w:val="0"/>
          <w:numId w:val="11"/>
        </w:numPr>
        <w:tabs>
          <w:tab w:val="clear" w:pos="567"/>
          <w:tab w:val="left" w:pos="1296"/>
        </w:tabs>
        <w:autoSpaceDE w:val="0"/>
        <w:autoSpaceDN w:val="0"/>
        <w:adjustRightInd w:val="0"/>
        <w:spacing w:line="240" w:lineRule="auto"/>
        <w:ind w:left="567" w:hanging="567"/>
        <w:jc w:val="both"/>
        <w:rPr>
          <w:szCs w:val="22"/>
          <w:lang w:val="lt-LT" w:eastAsia="es-ES"/>
        </w:rPr>
      </w:pPr>
      <w:r>
        <w:rPr>
          <w:szCs w:val="22"/>
          <w:lang w:val="lt-LT" w:eastAsia="es-ES"/>
        </w:rPr>
        <w:t>išbėrimas;</w:t>
      </w:r>
    </w:p>
    <w:p w14:paraId="186BAFE3" w14:textId="77777777" w:rsidR="00803D36" w:rsidRDefault="00803D36" w:rsidP="00803D36">
      <w:pPr>
        <w:numPr>
          <w:ilvl w:val="0"/>
          <w:numId w:val="11"/>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balso netekimas;</w:t>
      </w:r>
    </w:p>
    <w:p w14:paraId="76474EE9" w14:textId="77777777" w:rsidR="00803D36" w:rsidRDefault="00803D36" w:rsidP="00803D36">
      <w:pPr>
        <w:numPr>
          <w:ilvl w:val="0"/>
          <w:numId w:val="11"/>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skonio pojūčio sutrikimas;</w:t>
      </w:r>
    </w:p>
    <w:p w14:paraId="28AB2A5F" w14:textId="77777777" w:rsidR="00803D36" w:rsidRDefault="00803D36" w:rsidP="00803D36">
      <w:pPr>
        <w:numPr>
          <w:ilvl w:val="0"/>
          <w:numId w:val="11"/>
        </w:numPr>
        <w:tabs>
          <w:tab w:val="clear" w:pos="567"/>
          <w:tab w:val="left" w:pos="1296"/>
        </w:tabs>
        <w:autoSpaceDE w:val="0"/>
        <w:autoSpaceDN w:val="0"/>
        <w:adjustRightInd w:val="0"/>
        <w:spacing w:line="240" w:lineRule="auto"/>
        <w:ind w:left="567" w:hanging="567"/>
        <w:rPr>
          <w:szCs w:val="22"/>
          <w:lang w:val="lt-LT" w:eastAsia="es-ES"/>
        </w:rPr>
      </w:pPr>
      <w:r>
        <w:rPr>
          <w:szCs w:val="22"/>
          <w:lang w:val="lt-LT" w:eastAsia="es-ES"/>
        </w:rPr>
        <w:t>gerklės skausmas.</w:t>
      </w:r>
    </w:p>
    <w:p w14:paraId="49853D60"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r>
        <w:rPr>
          <w:szCs w:val="22"/>
          <w:lang w:val="lt-LT" w:eastAsia="es-ES"/>
        </w:rPr>
        <w:t xml:space="preserve">Jei bet kuris paminėtas poveikis taps sunkus, </w:t>
      </w:r>
      <w:r>
        <w:rPr>
          <w:b/>
          <w:szCs w:val="22"/>
          <w:lang w:val="lt-LT" w:eastAsia="es-ES"/>
        </w:rPr>
        <w:t>kreipkitės į gydytoją.</w:t>
      </w:r>
    </w:p>
    <w:p w14:paraId="179074ED"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p>
    <w:p w14:paraId="1BE274E7"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r>
        <w:rPr>
          <w:szCs w:val="22"/>
          <w:lang w:val="lt-LT" w:eastAsia="es-ES"/>
        </w:rPr>
        <w:t xml:space="preserve">Pacientams, kurie </w:t>
      </w:r>
      <w:proofErr w:type="spellStart"/>
      <w:r>
        <w:rPr>
          <w:szCs w:val="22"/>
          <w:lang w:val="lt-LT" w:eastAsia="es-ES"/>
        </w:rPr>
        <w:t>Tobramycin</w:t>
      </w:r>
      <w:proofErr w:type="spellEnd"/>
      <w:r>
        <w:rPr>
          <w:szCs w:val="22"/>
          <w:lang w:val="lt-LT" w:eastAsia="es-ES"/>
        </w:rPr>
        <w:t xml:space="preserve"> Via </w:t>
      </w:r>
      <w:proofErr w:type="spellStart"/>
      <w:r>
        <w:rPr>
          <w:szCs w:val="22"/>
          <w:lang w:val="lt-LT" w:eastAsia="es-ES"/>
        </w:rPr>
        <w:t>pharma</w:t>
      </w:r>
      <w:proofErr w:type="spellEnd"/>
      <w:r>
        <w:rPr>
          <w:szCs w:val="22"/>
          <w:lang w:val="lt-LT" w:eastAsia="es-ES"/>
        </w:rPr>
        <w:t xml:space="preserve"> vartojo kartu su injekciniu </w:t>
      </w:r>
      <w:proofErr w:type="spellStart"/>
      <w:r>
        <w:rPr>
          <w:szCs w:val="22"/>
          <w:lang w:val="lt-LT" w:eastAsia="es-ES"/>
        </w:rPr>
        <w:t>tobramicinu</w:t>
      </w:r>
      <w:proofErr w:type="spellEnd"/>
      <w:r>
        <w:rPr>
          <w:szCs w:val="22"/>
          <w:lang w:val="lt-LT" w:eastAsia="es-ES"/>
        </w:rPr>
        <w:t xml:space="preserve"> ar kitokiu </w:t>
      </w:r>
      <w:proofErr w:type="spellStart"/>
      <w:r>
        <w:rPr>
          <w:szCs w:val="22"/>
          <w:lang w:val="lt-LT" w:eastAsia="es-ES"/>
        </w:rPr>
        <w:t>aminoglikozidų</w:t>
      </w:r>
      <w:proofErr w:type="spellEnd"/>
      <w:r>
        <w:rPr>
          <w:szCs w:val="22"/>
          <w:lang w:val="lt-LT" w:eastAsia="es-ES"/>
        </w:rPr>
        <w:t xml:space="preserve"> grupės antibiotiku arba po kartotinių jų vartojimo ciklų, buvo šalutinio poveikio apkurtimo atvejų.</w:t>
      </w:r>
    </w:p>
    <w:p w14:paraId="59AB7C5C"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p>
    <w:p w14:paraId="22CEC957"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proofErr w:type="spellStart"/>
      <w:r>
        <w:rPr>
          <w:szCs w:val="22"/>
          <w:lang w:val="lt-LT" w:eastAsia="es-ES"/>
        </w:rPr>
        <w:t>Tobramicino</w:t>
      </w:r>
      <w:proofErr w:type="spellEnd"/>
      <w:r>
        <w:rPr>
          <w:szCs w:val="22"/>
          <w:lang w:val="lt-LT" w:eastAsia="es-ES"/>
        </w:rPr>
        <w:t xml:space="preserve"> ar kitų </w:t>
      </w:r>
      <w:proofErr w:type="spellStart"/>
      <w:r>
        <w:rPr>
          <w:szCs w:val="22"/>
          <w:lang w:val="lt-LT" w:eastAsia="es-ES"/>
        </w:rPr>
        <w:t>aminoglikozidų</w:t>
      </w:r>
      <w:proofErr w:type="spellEnd"/>
      <w:r>
        <w:rPr>
          <w:szCs w:val="22"/>
          <w:lang w:val="lt-LT" w:eastAsia="es-ES"/>
        </w:rPr>
        <w:t xml:space="preserve"> injekcijos gali sukelti alerginių reakcijų, klausos sutrikimų ir inkstų sutrikimų.</w:t>
      </w:r>
    </w:p>
    <w:p w14:paraId="720EC201"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p>
    <w:p w14:paraId="3B35916E" w14:textId="77777777" w:rsidR="00803D36" w:rsidRDefault="00803D36" w:rsidP="00803D36">
      <w:pPr>
        <w:tabs>
          <w:tab w:val="clear" w:pos="567"/>
          <w:tab w:val="left" w:pos="1296"/>
        </w:tabs>
        <w:autoSpaceDE w:val="0"/>
        <w:autoSpaceDN w:val="0"/>
        <w:adjustRightInd w:val="0"/>
        <w:spacing w:line="240" w:lineRule="auto"/>
        <w:rPr>
          <w:szCs w:val="22"/>
          <w:lang w:val="lt-LT" w:eastAsia="es-ES"/>
        </w:rPr>
      </w:pPr>
      <w:r>
        <w:rPr>
          <w:szCs w:val="22"/>
          <w:lang w:val="lt-LT" w:eastAsia="es-ES"/>
        </w:rPr>
        <w:t xml:space="preserve">Cistine fibroze sergantiems žmonėms gali pasireikšti daug ligos simptomų. Jų </w:t>
      </w:r>
      <w:proofErr w:type="spellStart"/>
      <w:r>
        <w:rPr>
          <w:bCs/>
          <w:szCs w:val="22"/>
          <w:lang w:val="lt-LT" w:eastAsia="es-ES"/>
        </w:rPr>
        <w:t>Tobramycin</w:t>
      </w:r>
      <w:proofErr w:type="spellEnd"/>
      <w:r>
        <w:rPr>
          <w:bCs/>
          <w:szCs w:val="22"/>
          <w:lang w:val="lt-LT" w:eastAsia="es-ES"/>
        </w:rPr>
        <w:t xml:space="preserve"> Via </w:t>
      </w:r>
      <w:proofErr w:type="spellStart"/>
      <w:r>
        <w:rPr>
          <w:bCs/>
          <w:szCs w:val="22"/>
          <w:lang w:val="lt-LT" w:eastAsia="es-ES"/>
        </w:rPr>
        <w:t>pharma</w:t>
      </w:r>
      <w:proofErr w:type="spellEnd"/>
      <w:r>
        <w:rPr>
          <w:bCs/>
          <w:szCs w:val="22"/>
          <w:lang w:val="lt-LT" w:eastAsia="es-ES"/>
        </w:rPr>
        <w:t xml:space="preserve"> </w:t>
      </w:r>
      <w:r>
        <w:rPr>
          <w:szCs w:val="22"/>
          <w:lang w:val="lt-LT" w:eastAsia="en-GB"/>
        </w:rPr>
        <w:t>vartojimo metu gali išlikti, tačiau jie negali tapti dažnesni ar</w:t>
      </w:r>
      <w:r>
        <w:rPr>
          <w:szCs w:val="22"/>
          <w:lang w:val="lt-LT" w:eastAsia="es-ES"/>
        </w:rPr>
        <w:t xml:space="preserve"> </w:t>
      </w:r>
      <w:r>
        <w:rPr>
          <w:szCs w:val="22"/>
          <w:lang w:val="lt-LT" w:eastAsia="en-GB"/>
        </w:rPr>
        <w:t xml:space="preserve">sunkesni </w:t>
      </w:r>
      <w:r>
        <w:rPr>
          <w:szCs w:val="22"/>
          <w:lang w:val="lt-LT" w:eastAsia="es-ES"/>
        </w:rPr>
        <w:t xml:space="preserve">nei anksčiau. </w:t>
      </w:r>
    </w:p>
    <w:p w14:paraId="1119068D" w14:textId="77777777" w:rsidR="00803D36" w:rsidRDefault="00803D36" w:rsidP="00803D36">
      <w:pPr>
        <w:spacing w:line="240" w:lineRule="auto"/>
        <w:rPr>
          <w:szCs w:val="22"/>
          <w:lang w:val="lt-LT"/>
        </w:rPr>
      </w:pPr>
    </w:p>
    <w:p w14:paraId="081CFDAF" w14:textId="77777777" w:rsidR="00803D36" w:rsidRDefault="00803D36" w:rsidP="00803D36">
      <w:pPr>
        <w:spacing w:line="240" w:lineRule="auto"/>
        <w:rPr>
          <w:b/>
          <w:szCs w:val="22"/>
          <w:lang w:val="lt-LT"/>
        </w:rPr>
      </w:pPr>
      <w:r>
        <w:rPr>
          <w:b/>
          <w:szCs w:val="22"/>
          <w:lang w:val="lt-LT"/>
        </w:rPr>
        <w:t>Pranešimas apie šalutinį poveikį</w:t>
      </w:r>
    </w:p>
    <w:p w14:paraId="5B3CC75D" w14:textId="310F63A9" w:rsidR="00803D36" w:rsidRDefault="00803D36" w:rsidP="00803D36">
      <w:pPr>
        <w:spacing w:line="240" w:lineRule="auto"/>
        <w:rPr>
          <w:szCs w:val="22"/>
          <w:lang w:val="lt-LT"/>
        </w:rPr>
      </w:pPr>
      <w:r>
        <w:rPr>
          <w:szCs w:val="22"/>
          <w:lang w:val="lt-LT"/>
        </w:rPr>
        <w:t xml:space="preserve">Jeigu pasireiškė šalutinis poveikis, įskaitant šiame lapelyje nenurodytą, pasakykite gydytojui arba vaistininkui. </w:t>
      </w:r>
      <w:r w:rsidR="005477FF" w:rsidRPr="008A7F8D">
        <w:rPr>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w:t>
      </w:r>
      <w:r w:rsidR="005477FF">
        <w:rPr>
          <w:lang w:val="lt-LT"/>
        </w:rPr>
        <w:t xml:space="preserve"> </w:t>
      </w:r>
      <w:r>
        <w:rPr>
          <w:szCs w:val="22"/>
          <w:lang w:val="lt-LT"/>
        </w:rPr>
        <w:t>Pranešdami apie šalutinį poveikį galite mums padėti gauti daugiau informacijos apie šio vaisto saugumą.</w:t>
      </w:r>
    </w:p>
    <w:p w14:paraId="45B91BBE" w14:textId="77777777" w:rsidR="00803D36" w:rsidRDefault="00803D36" w:rsidP="00803D36">
      <w:pPr>
        <w:spacing w:line="240" w:lineRule="auto"/>
        <w:rPr>
          <w:szCs w:val="22"/>
          <w:lang w:val="lt-LT"/>
        </w:rPr>
      </w:pPr>
    </w:p>
    <w:p w14:paraId="696A2382" w14:textId="77777777" w:rsidR="00803D36" w:rsidRDefault="00803D36" w:rsidP="00803D36">
      <w:pPr>
        <w:spacing w:line="240" w:lineRule="auto"/>
        <w:rPr>
          <w:szCs w:val="22"/>
          <w:lang w:val="lt-LT"/>
        </w:rPr>
      </w:pPr>
    </w:p>
    <w:p w14:paraId="27E12A1D"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 xml:space="preserve">Kaip laikyti </w:t>
      </w:r>
      <w:proofErr w:type="spellStart"/>
      <w:r>
        <w:rPr>
          <w:rFonts w:ascii="Times New Roman" w:hAnsi="Times New Roman"/>
          <w:sz w:val="22"/>
          <w:szCs w:val="22"/>
          <w:lang w:val="lt-LT"/>
        </w:rPr>
        <w:t>Tobramycin</w:t>
      </w:r>
      <w:proofErr w:type="spellEnd"/>
      <w:r>
        <w:rPr>
          <w:rFonts w:ascii="Times New Roman" w:hAnsi="Times New Roman"/>
          <w:sz w:val="22"/>
          <w:szCs w:val="22"/>
          <w:lang w:val="lt-LT"/>
        </w:rPr>
        <w:t xml:space="preserve"> Via </w:t>
      </w:r>
      <w:proofErr w:type="spellStart"/>
      <w:r>
        <w:rPr>
          <w:rFonts w:ascii="Times New Roman" w:hAnsi="Times New Roman"/>
          <w:sz w:val="22"/>
          <w:szCs w:val="22"/>
          <w:lang w:val="lt-LT"/>
        </w:rPr>
        <w:t>pharma</w:t>
      </w:r>
      <w:proofErr w:type="spellEnd"/>
    </w:p>
    <w:p w14:paraId="041965FE" w14:textId="77777777" w:rsidR="00803D36" w:rsidRDefault="00803D36" w:rsidP="00803D36">
      <w:pPr>
        <w:numPr>
          <w:ilvl w:val="12"/>
          <w:numId w:val="0"/>
        </w:numPr>
        <w:tabs>
          <w:tab w:val="clear" w:pos="567"/>
          <w:tab w:val="left" w:pos="1296"/>
        </w:tabs>
        <w:spacing w:line="240" w:lineRule="auto"/>
        <w:ind w:right="-2"/>
        <w:rPr>
          <w:szCs w:val="22"/>
          <w:lang w:val="lt-LT"/>
        </w:rPr>
      </w:pPr>
    </w:p>
    <w:p w14:paraId="5D6A7160"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Šį vaistą laikykite vaikams nepastebimoje ir nepasiekiamoje vietoje.</w:t>
      </w:r>
    </w:p>
    <w:p w14:paraId="578C613E" w14:textId="77777777" w:rsidR="00803D36" w:rsidRDefault="00803D36" w:rsidP="00803D36">
      <w:pPr>
        <w:numPr>
          <w:ilvl w:val="12"/>
          <w:numId w:val="0"/>
        </w:numPr>
        <w:tabs>
          <w:tab w:val="clear" w:pos="567"/>
          <w:tab w:val="left" w:pos="1296"/>
        </w:tabs>
        <w:spacing w:line="240" w:lineRule="auto"/>
        <w:ind w:right="-2"/>
        <w:rPr>
          <w:szCs w:val="22"/>
          <w:lang w:val="lt-LT"/>
        </w:rPr>
      </w:pPr>
    </w:p>
    <w:p w14:paraId="3F7B5A8B"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Ant dėžutės, maišiuko ir ampulės po „EXP“ nurodytam tinkamumo laikui pasibaigus, šio vaisto vartoti negalima. Vaistas tinkamas vartoti iki paskutinės nurodyto mėnesio dienos.</w:t>
      </w:r>
    </w:p>
    <w:p w14:paraId="7A4D6A39" w14:textId="77777777" w:rsidR="00803D36" w:rsidRDefault="00803D36" w:rsidP="00803D36">
      <w:pPr>
        <w:numPr>
          <w:ilvl w:val="12"/>
          <w:numId w:val="0"/>
        </w:numPr>
        <w:tabs>
          <w:tab w:val="clear" w:pos="567"/>
          <w:tab w:val="left" w:pos="1296"/>
        </w:tabs>
        <w:spacing w:line="240" w:lineRule="auto"/>
        <w:ind w:right="-2"/>
        <w:rPr>
          <w:szCs w:val="22"/>
          <w:lang w:val="lt-LT"/>
        </w:rPr>
      </w:pPr>
    </w:p>
    <w:p w14:paraId="06F103D9"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Jei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tirpalas tampa drumstas arba jame atsiranda dalelių, šio vaisto vartoti negalima.</w:t>
      </w:r>
    </w:p>
    <w:p w14:paraId="672D481D" w14:textId="77777777" w:rsidR="00803D36" w:rsidRDefault="00803D36" w:rsidP="00803D36">
      <w:pPr>
        <w:numPr>
          <w:ilvl w:val="12"/>
          <w:numId w:val="0"/>
        </w:numPr>
        <w:tabs>
          <w:tab w:val="clear" w:pos="567"/>
          <w:tab w:val="left" w:pos="1296"/>
        </w:tabs>
        <w:spacing w:line="240" w:lineRule="auto"/>
        <w:ind w:right="-2"/>
        <w:rPr>
          <w:szCs w:val="22"/>
          <w:lang w:val="lt-LT"/>
        </w:rPr>
      </w:pPr>
    </w:p>
    <w:p w14:paraId="0B279A28" w14:textId="77777777" w:rsidR="00FD2671" w:rsidRDefault="00803D36" w:rsidP="00803D36">
      <w:pPr>
        <w:widowControl w:val="0"/>
        <w:tabs>
          <w:tab w:val="clear" w:pos="567"/>
          <w:tab w:val="left" w:pos="1296"/>
        </w:tabs>
        <w:autoSpaceDE w:val="0"/>
        <w:autoSpaceDN w:val="0"/>
        <w:adjustRightInd w:val="0"/>
        <w:spacing w:line="240" w:lineRule="auto"/>
        <w:rPr>
          <w:rFonts w:eastAsia="Batang"/>
          <w:szCs w:val="22"/>
          <w:lang w:val="lt-LT"/>
        </w:rPr>
      </w:pPr>
      <w:r>
        <w:rPr>
          <w:rFonts w:eastAsia="Batang"/>
          <w:szCs w:val="22"/>
          <w:lang w:val="lt-LT"/>
        </w:rPr>
        <w:t xml:space="preserve">Laikyti šaldytuve (2 </w:t>
      </w:r>
      <w:r>
        <w:rPr>
          <w:rFonts w:eastAsia="Batang"/>
          <w:szCs w:val="22"/>
          <w:lang w:val="lt-LT"/>
        </w:rPr>
        <w:sym w:font="Symbol" w:char="F0B0"/>
      </w:r>
      <w:r>
        <w:rPr>
          <w:rFonts w:eastAsia="Batang"/>
          <w:szCs w:val="22"/>
          <w:lang w:val="lt-LT"/>
        </w:rPr>
        <w:t xml:space="preserve">C – 8 </w:t>
      </w:r>
      <w:r>
        <w:rPr>
          <w:rFonts w:eastAsia="Batang"/>
          <w:szCs w:val="22"/>
          <w:lang w:val="lt-LT"/>
        </w:rPr>
        <w:sym w:font="Symbol" w:char="F0B0"/>
      </w:r>
      <w:r>
        <w:rPr>
          <w:rFonts w:eastAsia="Batang"/>
          <w:szCs w:val="22"/>
          <w:lang w:val="lt-LT"/>
        </w:rPr>
        <w:t>C).</w:t>
      </w:r>
      <w:r>
        <w:rPr>
          <w:rFonts w:eastAsia="Batang"/>
          <w:spacing w:val="3"/>
          <w:szCs w:val="22"/>
          <w:lang w:val="lt-LT"/>
        </w:rPr>
        <w:t xml:space="preserve"> Jei neturite šaldytuvo arba, pvz., vaistą reikia pervežti, </w:t>
      </w:r>
      <w:r>
        <w:rPr>
          <w:rFonts w:eastAsia="Batang"/>
          <w:szCs w:val="22"/>
          <w:lang w:val="lt-LT"/>
        </w:rPr>
        <w:t xml:space="preserve">folijos maišiukus (atidarytus ar neatidarytus) galima laikyti ne ilgiau kaip 28 dienas ne aukštesnėje kaip </w:t>
      </w:r>
    </w:p>
    <w:p w14:paraId="4F3467C9" w14:textId="6B753964" w:rsidR="00803D36" w:rsidRDefault="00803D36" w:rsidP="00803D36">
      <w:pPr>
        <w:widowControl w:val="0"/>
        <w:tabs>
          <w:tab w:val="clear" w:pos="567"/>
          <w:tab w:val="left" w:pos="1296"/>
        </w:tabs>
        <w:autoSpaceDE w:val="0"/>
        <w:autoSpaceDN w:val="0"/>
        <w:adjustRightInd w:val="0"/>
        <w:spacing w:line="240" w:lineRule="auto"/>
        <w:rPr>
          <w:rFonts w:eastAsia="Batang"/>
          <w:spacing w:val="3"/>
          <w:szCs w:val="22"/>
          <w:lang w:val="lt-LT"/>
        </w:rPr>
      </w:pPr>
      <w:r>
        <w:rPr>
          <w:rFonts w:eastAsia="Batang"/>
          <w:szCs w:val="22"/>
          <w:lang w:val="lt-LT"/>
        </w:rPr>
        <w:t xml:space="preserve">25 </w:t>
      </w:r>
      <w:r>
        <w:rPr>
          <w:rFonts w:eastAsia="Batang"/>
          <w:szCs w:val="22"/>
          <w:lang w:val="lt-LT"/>
        </w:rPr>
        <w:sym w:font="Symbol" w:char="F0B0"/>
      </w:r>
      <w:r>
        <w:rPr>
          <w:rFonts w:eastAsia="Batang"/>
          <w:szCs w:val="22"/>
          <w:lang w:val="lt-LT"/>
        </w:rPr>
        <w:t>C temperatūroje</w:t>
      </w:r>
      <w:r>
        <w:rPr>
          <w:rFonts w:eastAsia="Batang"/>
          <w:spacing w:val="3"/>
          <w:szCs w:val="22"/>
          <w:lang w:val="lt-LT"/>
        </w:rPr>
        <w:t>.</w:t>
      </w:r>
    </w:p>
    <w:p w14:paraId="287E6F66" w14:textId="77777777" w:rsidR="00803D36" w:rsidRDefault="00803D36" w:rsidP="00803D36">
      <w:pPr>
        <w:numPr>
          <w:ilvl w:val="12"/>
          <w:numId w:val="0"/>
        </w:numPr>
        <w:tabs>
          <w:tab w:val="clear" w:pos="567"/>
          <w:tab w:val="left" w:pos="1296"/>
        </w:tabs>
        <w:spacing w:line="240" w:lineRule="auto"/>
        <w:ind w:right="-2"/>
        <w:rPr>
          <w:szCs w:val="22"/>
          <w:lang w:val="lt-LT"/>
        </w:rPr>
      </w:pPr>
    </w:p>
    <w:p w14:paraId="15846CAE"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Jei </w:t>
      </w: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ampulės kambario temperatūroje buvo laikomos ilgiau kaip 28 dienas, jų vartoti negalima.</w:t>
      </w:r>
    </w:p>
    <w:p w14:paraId="144A13C6" w14:textId="77777777" w:rsidR="00803D36" w:rsidRDefault="00803D36" w:rsidP="00803D36">
      <w:pPr>
        <w:numPr>
          <w:ilvl w:val="12"/>
          <w:numId w:val="0"/>
        </w:numPr>
        <w:tabs>
          <w:tab w:val="clear" w:pos="567"/>
          <w:tab w:val="left" w:pos="1296"/>
        </w:tabs>
        <w:spacing w:line="240" w:lineRule="auto"/>
        <w:ind w:right="-2"/>
        <w:rPr>
          <w:szCs w:val="22"/>
          <w:lang w:val="lt-LT"/>
        </w:rPr>
      </w:pPr>
    </w:p>
    <w:p w14:paraId="78E54E1F" w14:textId="77777777" w:rsidR="00803D36" w:rsidRDefault="00803D36" w:rsidP="00803D36">
      <w:pPr>
        <w:tabs>
          <w:tab w:val="clear" w:pos="567"/>
          <w:tab w:val="left" w:pos="1296"/>
        </w:tabs>
        <w:spacing w:line="240" w:lineRule="auto"/>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tirpalas paprastai yra gelsvas, tačiau spalva gali šiek tiek keistis ir tirpalas gali tapti tamsiai geltonas, tačiau jei vaistas laikomas taip, kaip nurodyta, jo poveikis nepakinta.</w:t>
      </w:r>
    </w:p>
    <w:p w14:paraId="0FF2E823" w14:textId="77777777" w:rsidR="00803D36" w:rsidRDefault="00803D36" w:rsidP="00803D36">
      <w:pPr>
        <w:numPr>
          <w:ilvl w:val="12"/>
          <w:numId w:val="0"/>
        </w:numPr>
        <w:tabs>
          <w:tab w:val="clear" w:pos="567"/>
          <w:tab w:val="left" w:pos="1296"/>
        </w:tabs>
        <w:spacing w:line="240" w:lineRule="auto"/>
        <w:ind w:right="-2"/>
        <w:rPr>
          <w:szCs w:val="22"/>
          <w:lang w:val="lt-LT"/>
        </w:rPr>
      </w:pPr>
    </w:p>
    <w:p w14:paraId="74C03757" w14:textId="77777777" w:rsidR="00803D36" w:rsidRDefault="00803D36" w:rsidP="00803D36">
      <w:pPr>
        <w:numPr>
          <w:ilvl w:val="12"/>
          <w:numId w:val="0"/>
        </w:numPr>
        <w:tabs>
          <w:tab w:val="clear" w:pos="567"/>
          <w:tab w:val="left" w:pos="1296"/>
        </w:tabs>
        <w:spacing w:line="240" w:lineRule="auto"/>
        <w:ind w:right="-2"/>
        <w:rPr>
          <w:b/>
          <w:szCs w:val="22"/>
          <w:lang w:val="lt-LT"/>
        </w:rPr>
      </w:pPr>
      <w:r>
        <w:rPr>
          <w:b/>
          <w:szCs w:val="22"/>
          <w:lang w:val="lt-LT"/>
        </w:rPr>
        <w:t>Atidarytos ampulės laikyti negalima. Atidarytą ampulę būtina vartoti nedelsiant, bet kokį nesuvartotą likutį būtina išpilti.</w:t>
      </w:r>
    </w:p>
    <w:p w14:paraId="0D180064" w14:textId="77777777" w:rsidR="00803D36" w:rsidRDefault="00803D36" w:rsidP="00803D36">
      <w:pPr>
        <w:numPr>
          <w:ilvl w:val="12"/>
          <w:numId w:val="0"/>
        </w:numPr>
        <w:tabs>
          <w:tab w:val="clear" w:pos="567"/>
          <w:tab w:val="left" w:pos="1296"/>
        </w:tabs>
        <w:spacing w:line="240" w:lineRule="auto"/>
        <w:ind w:right="-2"/>
        <w:rPr>
          <w:szCs w:val="22"/>
          <w:lang w:val="lt-LT"/>
        </w:rPr>
      </w:pPr>
    </w:p>
    <w:p w14:paraId="6CD3B280" w14:textId="77777777" w:rsidR="00803D36" w:rsidRDefault="00803D36" w:rsidP="00803D36">
      <w:pPr>
        <w:numPr>
          <w:ilvl w:val="12"/>
          <w:numId w:val="0"/>
        </w:numPr>
        <w:tabs>
          <w:tab w:val="clear" w:pos="567"/>
          <w:tab w:val="left" w:pos="1296"/>
        </w:tabs>
        <w:spacing w:line="240" w:lineRule="auto"/>
        <w:ind w:right="-2"/>
        <w:rPr>
          <w:i/>
          <w:szCs w:val="22"/>
          <w:lang w:val="lt-LT"/>
        </w:rPr>
      </w:pPr>
      <w:r>
        <w:rPr>
          <w:szCs w:val="22"/>
          <w:lang w:val="lt-LT"/>
        </w:rPr>
        <w:t>Vaistų negalima išmesti į kanalizaciją arba su buitinėmis atliekomis. Kaip išmesti nereikalingus vaistus, klauskite vaistininko. Šios priemonės padės apsaugoti aplinką.</w:t>
      </w:r>
    </w:p>
    <w:p w14:paraId="1073BEDB" w14:textId="77777777" w:rsidR="00803D36" w:rsidRDefault="00803D36" w:rsidP="00803D36">
      <w:pPr>
        <w:numPr>
          <w:ilvl w:val="12"/>
          <w:numId w:val="0"/>
        </w:numPr>
        <w:tabs>
          <w:tab w:val="clear" w:pos="567"/>
          <w:tab w:val="left" w:pos="1296"/>
        </w:tabs>
        <w:spacing w:line="240" w:lineRule="auto"/>
        <w:ind w:right="-2"/>
        <w:rPr>
          <w:szCs w:val="22"/>
          <w:lang w:val="lt-LT"/>
        </w:rPr>
      </w:pPr>
    </w:p>
    <w:p w14:paraId="436D8FD4" w14:textId="77777777" w:rsidR="00803D36" w:rsidRDefault="00803D36" w:rsidP="00803D36">
      <w:pPr>
        <w:numPr>
          <w:ilvl w:val="12"/>
          <w:numId w:val="0"/>
        </w:numPr>
        <w:tabs>
          <w:tab w:val="clear" w:pos="567"/>
          <w:tab w:val="left" w:pos="1296"/>
        </w:tabs>
        <w:spacing w:line="240" w:lineRule="auto"/>
        <w:ind w:right="-2"/>
        <w:rPr>
          <w:szCs w:val="22"/>
          <w:lang w:val="lt-LT"/>
        </w:rPr>
      </w:pPr>
    </w:p>
    <w:p w14:paraId="5D33A1AA" w14:textId="77777777" w:rsidR="00803D36" w:rsidRDefault="00803D36" w:rsidP="00803D36">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20CDD4F2" w14:textId="77777777" w:rsidR="00803D36" w:rsidRDefault="00803D36" w:rsidP="00803D36">
      <w:pPr>
        <w:numPr>
          <w:ilvl w:val="12"/>
          <w:numId w:val="0"/>
        </w:numPr>
        <w:tabs>
          <w:tab w:val="clear" w:pos="567"/>
          <w:tab w:val="left" w:pos="1296"/>
        </w:tabs>
        <w:spacing w:line="240" w:lineRule="auto"/>
        <w:rPr>
          <w:szCs w:val="22"/>
          <w:lang w:val="lt-LT"/>
        </w:rPr>
      </w:pPr>
    </w:p>
    <w:p w14:paraId="136F07C2" w14:textId="77777777" w:rsidR="00803D36" w:rsidRDefault="00803D36" w:rsidP="00803D36">
      <w:pPr>
        <w:pStyle w:val="Antrat4"/>
        <w:spacing w:line="240" w:lineRule="auto"/>
        <w:rPr>
          <w:rFonts w:ascii="Times New Roman" w:hAnsi="Times New Roman"/>
          <w:sz w:val="22"/>
          <w:szCs w:val="22"/>
          <w:lang w:val="lt-LT"/>
        </w:rPr>
      </w:pPr>
      <w:proofErr w:type="spellStart"/>
      <w:r>
        <w:rPr>
          <w:rFonts w:ascii="Times New Roman" w:hAnsi="Times New Roman"/>
          <w:sz w:val="22"/>
          <w:szCs w:val="22"/>
          <w:lang w:val="lt-LT"/>
        </w:rPr>
        <w:t>Tobramycin</w:t>
      </w:r>
      <w:proofErr w:type="spellEnd"/>
      <w:r>
        <w:rPr>
          <w:rFonts w:ascii="Times New Roman" w:hAnsi="Times New Roman"/>
          <w:sz w:val="22"/>
          <w:szCs w:val="22"/>
          <w:lang w:val="lt-LT"/>
        </w:rPr>
        <w:t xml:space="preserve"> Via </w:t>
      </w:r>
      <w:proofErr w:type="spellStart"/>
      <w:r>
        <w:rPr>
          <w:rFonts w:ascii="Times New Roman" w:hAnsi="Times New Roman"/>
          <w:sz w:val="22"/>
          <w:szCs w:val="22"/>
          <w:lang w:val="lt-LT"/>
        </w:rPr>
        <w:t>pharma</w:t>
      </w:r>
      <w:proofErr w:type="spellEnd"/>
      <w:r>
        <w:rPr>
          <w:rFonts w:ascii="Times New Roman" w:hAnsi="Times New Roman"/>
          <w:sz w:val="22"/>
          <w:szCs w:val="22"/>
          <w:lang w:val="lt-LT"/>
        </w:rPr>
        <w:t xml:space="preserve"> sudėtis </w:t>
      </w:r>
    </w:p>
    <w:p w14:paraId="258947AA" w14:textId="77777777" w:rsidR="00803D36" w:rsidRDefault="00803D36" w:rsidP="00803D36">
      <w:pPr>
        <w:numPr>
          <w:ilvl w:val="0"/>
          <w:numId w:val="12"/>
        </w:numPr>
        <w:tabs>
          <w:tab w:val="clear" w:pos="567"/>
          <w:tab w:val="left" w:pos="1296"/>
        </w:tabs>
        <w:spacing w:line="240" w:lineRule="auto"/>
        <w:ind w:left="567" w:right="-2" w:hanging="567"/>
        <w:rPr>
          <w:szCs w:val="22"/>
          <w:lang w:val="lt-LT"/>
        </w:rPr>
      </w:pPr>
      <w:r>
        <w:rPr>
          <w:szCs w:val="22"/>
          <w:lang w:val="lt-LT"/>
        </w:rPr>
        <w:t xml:space="preserve">Veiklioji medžiaga yra </w:t>
      </w:r>
      <w:proofErr w:type="spellStart"/>
      <w:r>
        <w:rPr>
          <w:szCs w:val="22"/>
          <w:lang w:val="lt-LT"/>
        </w:rPr>
        <w:t>tobramicinas</w:t>
      </w:r>
      <w:proofErr w:type="spellEnd"/>
      <w:r>
        <w:rPr>
          <w:szCs w:val="22"/>
          <w:lang w:val="lt-LT"/>
        </w:rPr>
        <w:t xml:space="preserve">. Vienoje 5 ml ampulėje yra vienkartinė 300 mg </w:t>
      </w:r>
      <w:proofErr w:type="spellStart"/>
      <w:r>
        <w:rPr>
          <w:szCs w:val="22"/>
          <w:lang w:val="lt-LT"/>
        </w:rPr>
        <w:t>tobramicino</w:t>
      </w:r>
      <w:proofErr w:type="spellEnd"/>
      <w:r>
        <w:rPr>
          <w:szCs w:val="22"/>
          <w:lang w:val="lt-LT"/>
        </w:rPr>
        <w:t xml:space="preserve"> dozė.</w:t>
      </w:r>
    </w:p>
    <w:p w14:paraId="1E8F025A" w14:textId="77777777" w:rsidR="00803D36" w:rsidRDefault="00803D36" w:rsidP="00803D36">
      <w:pPr>
        <w:numPr>
          <w:ilvl w:val="0"/>
          <w:numId w:val="12"/>
        </w:numPr>
        <w:tabs>
          <w:tab w:val="clear" w:pos="567"/>
          <w:tab w:val="left" w:pos="1296"/>
        </w:tabs>
        <w:spacing w:line="240" w:lineRule="auto"/>
        <w:ind w:left="567" w:right="-2" w:hanging="567"/>
        <w:rPr>
          <w:szCs w:val="22"/>
          <w:lang w:val="lt-LT"/>
        </w:rPr>
      </w:pPr>
      <w:r>
        <w:rPr>
          <w:szCs w:val="22"/>
          <w:lang w:val="lt-LT"/>
        </w:rPr>
        <w:t>Pagalbinės medžiagos yra natrio chloridas, injekcinis vanduo, natrio hidroksidas ir sulfato rūgštis (rūgštingumo lygiui koreguoti).</w:t>
      </w:r>
    </w:p>
    <w:p w14:paraId="6F59F602" w14:textId="77777777" w:rsidR="00803D36" w:rsidRDefault="00803D36" w:rsidP="00803D36">
      <w:pPr>
        <w:tabs>
          <w:tab w:val="clear" w:pos="567"/>
          <w:tab w:val="left" w:pos="1296"/>
        </w:tabs>
        <w:spacing w:line="240" w:lineRule="auto"/>
        <w:ind w:right="-2"/>
        <w:rPr>
          <w:szCs w:val="22"/>
          <w:lang w:val="lt-LT"/>
        </w:rPr>
      </w:pPr>
    </w:p>
    <w:p w14:paraId="693F9738" w14:textId="77777777" w:rsidR="00803D36" w:rsidRDefault="00803D36" w:rsidP="00803D36">
      <w:pPr>
        <w:pStyle w:val="Antrat4"/>
        <w:spacing w:line="240" w:lineRule="auto"/>
        <w:rPr>
          <w:rFonts w:ascii="Times New Roman" w:hAnsi="Times New Roman"/>
          <w:sz w:val="22"/>
          <w:szCs w:val="22"/>
          <w:lang w:val="lt-LT"/>
        </w:rPr>
      </w:pPr>
      <w:proofErr w:type="spellStart"/>
      <w:r>
        <w:rPr>
          <w:rFonts w:ascii="Times New Roman" w:hAnsi="Times New Roman"/>
          <w:sz w:val="22"/>
          <w:szCs w:val="22"/>
          <w:lang w:val="lt-LT"/>
        </w:rPr>
        <w:t>Tobramycin</w:t>
      </w:r>
      <w:proofErr w:type="spellEnd"/>
      <w:r>
        <w:rPr>
          <w:rFonts w:ascii="Times New Roman" w:hAnsi="Times New Roman"/>
          <w:sz w:val="22"/>
          <w:szCs w:val="22"/>
          <w:lang w:val="lt-LT"/>
        </w:rPr>
        <w:t xml:space="preserve"> Via </w:t>
      </w:r>
      <w:proofErr w:type="spellStart"/>
      <w:r>
        <w:rPr>
          <w:rFonts w:ascii="Times New Roman" w:hAnsi="Times New Roman"/>
          <w:sz w:val="22"/>
          <w:szCs w:val="22"/>
          <w:lang w:val="lt-LT"/>
        </w:rPr>
        <w:t>pharma</w:t>
      </w:r>
      <w:proofErr w:type="spellEnd"/>
      <w:r>
        <w:rPr>
          <w:rFonts w:ascii="Times New Roman" w:hAnsi="Times New Roman"/>
          <w:sz w:val="22"/>
          <w:szCs w:val="22"/>
          <w:lang w:val="lt-LT"/>
        </w:rPr>
        <w:t xml:space="preserve"> išvaizda ir kiekis pakuotėje</w:t>
      </w:r>
    </w:p>
    <w:p w14:paraId="47994025" w14:textId="0E28B9E6" w:rsidR="00803D36" w:rsidRDefault="00803D36" w:rsidP="00803D36">
      <w:pPr>
        <w:numPr>
          <w:ilvl w:val="12"/>
          <w:numId w:val="0"/>
        </w:numPr>
        <w:tabs>
          <w:tab w:val="clear" w:pos="567"/>
          <w:tab w:val="left" w:pos="1296"/>
        </w:tabs>
        <w:spacing w:line="240" w:lineRule="auto"/>
        <w:ind w:right="-2"/>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yra skaidrus, gelsvas tirpalas </w:t>
      </w:r>
      <w:r w:rsidR="00FD2671">
        <w:rPr>
          <w:szCs w:val="22"/>
          <w:lang w:val="lt-LT"/>
        </w:rPr>
        <w:t>vartoti</w:t>
      </w:r>
      <w:r>
        <w:rPr>
          <w:szCs w:val="22"/>
          <w:lang w:val="lt-LT"/>
        </w:rPr>
        <w:t xml:space="preserve"> paruoštoje ampulėje.</w:t>
      </w:r>
    </w:p>
    <w:p w14:paraId="5D3EAE7F"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Ampulės supakuotos folijos maišiukuose, viename folijos maišiuke yra 7 ampulės.</w:t>
      </w:r>
    </w:p>
    <w:p w14:paraId="48B91CEC" w14:textId="77777777" w:rsidR="00803D36" w:rsidRDefault="00803D36" w:rsidP="00803D36">
      <w:pPr>
        <w:numPr>
          <w:ilvl w:val="12"/>
          <w:numId w:val="0"/>
        </w:numPr>
        <w:tabs>
          <w:tab w:val="clear" w:pos="567"/>
          <w:tab w:val="left" w:pos="1296"/>
        </w:tabs>
        <w:spacing w:line="240" w:lineRule="auto"/>
        <w:ind w:right="-2"/>
        <w:rPr>
          <w:szCs w:val="22"/>
          <w:lang w:val="lt-LT"/>
        </w:rPr>
      </w:pPr>
      <w:proofErr w:type="spellStart"/>
      <w:r>
        <w:rPr>
          <w:szCs w:val="22"/>
          <w:lang w:val="lt-LT"/>
        </w:rPr>
        <w:t>Tobramycin</w:t>
      </w:r>
      <w:proofErr w:type="spellEnd"/>
      <w:r>
        <w:rPr>
          <w:szCs w:val="22"/>
          <w:lang w:val="lt-LT"/>
        </w:rPr>
        <w:t xml:space="preserve"> Via </w:t>
      </w:r>
      <w:proofErr w:type="spellStart"/>
      <w:r>
        <w:rPr>
          <w:szCs w:val="22"/>
          <w:lang w:val="lt-LT"/>
        </w:rPr>
        <w:t>pharma</w:t>
      </w:r>
      <w:proofErr w:type="spellEnd"/>
      <w:r>
        <w:rPr>
          <w:szCs w:val="22"/>
          <w:lang w:val="lt-LT"/>
        </w:rPr>
        <w:t xml:space="preserve"> tiekiamas 56 ampulių pakuotėmis, tokio kiekio pakanka vienam gydymo ciklui.</w:t>
      </w:r>
    </w:p>
    <w:p w14:paraId="00975AF6" w14:textId="77777777" w:rsidR="00803D36" w:rsidRDefault="00803D36" w:rsidP="00803D36">
      <w:pPr>
        <w:numPr>
          <w:ilvl w:val="12"/>
          <w:numId w:val="0"/>
        </w:numPr>
        <w:tabs>
          <w:tab w:val="clear" w:pos="567"/>
          <w:tab w:val="left" w:pos="1296"/>
        </w:tabs>
        <w:spacing w:line="240" w:lineRule="auto"/>
        <w:ind w:right="-2"/>
        <w:rPr>
          <w:szCs w:val="22"/>
          <w:lang w:val="lt-LT"/>
        </w:rPr>
      </w:pPr>
    </w:p>
    <w:p w14:paraId="49893EF2" w14:textId="77777777" w:rsidR="00803D36" w:rsidRDefault="00803D36" w:rsidP="00803D36">
      <w:pPr>
        <w:pStyle w:val="Antrat4"/>
        <w:spacing w:line="240" w:lineRule="auto"/>
        <w:rPr>
          <w:rFonts w:ascii="Times New Roman" w:hAnsi="Times New Roman"/>
          <w:sz w:val="22"/>
          <w:szCs w:val="22"/>
          <w:lang w:val="lt-LT"/>
        </w:rPr>
      </w:pPr>
      <w:r>
        <w:rPr>
          <w:rFonts w:ascii="Times New Roman" w:hAnsi="Times New Roman"/>
          <w:sz w:val="22"/>
          <w:szCs w:val="22"/>
          <w:lang w:val="lt-LT"/>
        </w:rPr>
        <w:t>Registruotojas ir gamintojas</w:t>
      </w:r>
    </w:p>
    <w:p w14:paraId="3140B0DE" w14:textId="77777777" w:rsidR="00803D36" w:rsidRDefault="00803D36" w:rsidP="00803D36">
      <w:pPr>
        <w:numPr>
          <w:ilvl w:val="12"/>
          <w:numId w:val="0"/>
        </w:numPr>
        <w:tabs>
          <w:tab w:val="clear" w:pos="567"/>
          <w:tab w:val="left" w:pos="1296"/>
        </w:tabs>
        <w:spacing w:line="240" w:lineRule="auto"/>
        <w:ind w:right="-2"/>
        <w:rPr>
          <w:szCs w:val="22"/>
          <w:lang w:val="lt-LT"/>
        </w:rPr>
      </w:pPr>
    </w:p>
    <w:p w14:paraId="19CE099F" w14:textId="77777777" w:rsidR="00803D36" w:rsidRDefault="00803D36" w:rsidP="00803D36">
      <w:pPr>
        <w:tabs>
          <w:tab w:val="clear" w:pos="567"/>
          <w:tab w:val="left" w:pos="1296"/>
        </w:tabs>
        <w:spacing w:line="240" w:lineRule="auto"/>
        <w:rPr>
          <w:i/>
          <w:szCs w:val="22"/>
          <w:lang w:val="lt-LT"/>
        </w:rPr>
      </w:pPr>
      <w:r>
        <w:rPr>
          <w:i/>
          <w:szCs w:val="22"/>
          <w:lang w:val="lt-LT"/>
        </w:rPr>
        <w:t>Registruotojas</w:t>
      </w:r>
    </w:p>
    <w:p w14:paraId="1053CB7E"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UAB Via </w:t>
      </w:r>
      <w:proofErr w:type="spellStart"/>
      <w:r>
        <w:rPr>
          <w:szCs w:val="22"/>
          <w:lang w:val="lt-LT"/>
        </w:rPr>
        <w:t>pharma</w:t>
      </w:r>
      <w:proofErr w:type="spellEnd"/>
    </w:p>
    <w:p w14:paraId="79B2531F"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J. </w:t>
      </w:r>
      <w:proofErr w:type="spellStart"/>
      <w:r>
        <w:rPr>
          <w:szCs w:val="22"/>
          <w:lang w:val="lt-LT"/>
        </w:rPr>
        <w:t>Galvydžio</w:t>
      </w:r>
      <w:proofErr w:type="spellEnd"/>
      <w:r>
        <w:rPr>
          <w:szCs w:val="22"/>
          <w:lang w:val="lt-LT"/>
        </w:rPr>
        <w:t xml:space="preserve"> g. 5 </w:t>
      </w:r>
    </w:p>
    <w:p w14:paraId="492BCEDD"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LT-08236 Vilnius </w:t>
      </w:r>
    </w:p>
    <w:p w14:paraId="30ABBED7"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Lietuva</w:t>
      </w:r>
    </w:p>
    <w:p w14:paraId="47C50DAE" w14:textId="77777777" w:rsidR="00803D36" w:rsidRDefault="00803D36" w:rsidP="00803D36">
      <w:pPr>
        <w:numPr>
          <w:ilvl w:val="12"/>
          <w:numId w:val="0"/>
        </w:numPr>
        <w:tabs>
          <w:tab w:val="clear" w:pos="567"/>
          <w:tab w:val="left" w:pos="1296"/>
        </w:tabs>
        <w:spacing w:line="240" w:lineRule="auto"/>
        <w:ind w:right="-2"/>
        <w:rPr>
          <w:szCs w:val="22"/>
          <w:lang w:val="lt-LT"/>
        </w:rPr>
      </w:pPr>
    </w:p>
    <w:p w14:paraId="6DAAA24D" w14:textId="77777777" w:rsidR="00803D36" w:rsidRDefault="00803D36" w:rsidP="00803D36">
      <w:pPr>
        <w:numPr>
          <w:ilvl w:val="12"/>
          <w:numId w:val="0"/>
        </w:numPr>
        <w:tabs>
          <w:tab w:val="clear" w:pos="567"/>
          <w:tab w:val="left" w:pos="1296"/>
        </w:tabs>
        <w:spacing w:line="240" w:lineRule="auto"/>
        <w:ind w:right="-2"/>
        <w:rPr>
          <w:i/>
          <w:szCs w:val="22"/>
          <w:lang w:val="lt-LT"/>
        </w:rPr>
      </w:pPr>
      <w:r>
        <w:rPr>
          <w:i/>
          <w:szCs w:val="22"/>
          <w:lang w:val="lt-LT"/>
        </w:rPr>
        <w:t>Gamintojas</w:t>
      </w:r>
    </w:p>
    <w:p w14:paraId="462158DC"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MEDICHEM S.A.</w:t>
      </w:r>
    </w:p>
    <w:p w14:paraId="085AD78D" w14:textId="77777777" w:rsidR="00803D36" w:rsidRDefault="004D168F" w:rsidP="00803D36">
      <w:pPr>
        <w:numPr>
          <w:ilvl w:val="12"/>
          <w:numId w:val="0"/>
        </w:numPr>
        <w:tabs>
          <w:tab w:val="clear" w:pos="567"/>
          <w:tab w:val="left" w:pos="1296"/>
        </w:tabs>
        <w:spacing w:line="240" w:lineRule="auto"/>
        <w:ind w:right="-2"/>
        <w:rPr>
          <w:szCs w:val="22"/>
          <w:lang w:val="lt-LT"/>
        </w:rPr>
      </w:pPr>
      <w:r w:rsidRPr="0016619B">
        <w:rPr>
          <w:bCs/>
          <w:szCs w:val="22"/>
          <w:lang w:val="es-ES" w:eastAsia="es-ES"/>
        </w:rPr>
        <w:t xml:space="preserve">Narcís Monturiol, 41 A, </w:t>
      </w:r>
      <w:proofErr w:type="spellStart"/>
      <w:r w:rsidR="00803D36">
        <w:rPr>
          <w:szCs w:val="22"/>
          <w:lang w:val="lt-LT"/>
        </w:rPr>
        <w:t>Sant</w:t>
      </w:r>
      <w:proofErr w:type="spellEnd"/>
      <w:r w:rsidR="00803D36">
        <w:rPr>
          <w:szCs w:val="22"/>
          <w:lang w:val="lt-LT"/>
        </w:rPr>
        <w:t xml:space="preserve"> </w:t>
      </w:r>
      <w:proofErr w:type="spellStart"/>
      <w:r w:rsidR="00803D36">
        <w:rPr>
          <w:szCs w:val="22"/>
          <w:lang w:val="lt-LT"/>
        </w:rPr>
        <w:t>Joan</w:t>
      </w:r>
      <w:proofErr w:type="spellEnd"/>
      <w:r w:rsidR="00803D36">
        <w:rPr>
          <w:szCs w:val="22"/>
          <w:lang w:val="lt-LT"/>
        </w:rPr>
        <w:t xml:space="preserve"> </w:t>
      </w:r>
      <w:proofErr w:type="spellStart"/>
      <w:r w:rsidR="00803D36">
        <w:rPr>
          <w:szCs w:val="22"/>
          <w:lang w:val="lt-LT"/>
        </w:rPr>
        <w:t>Despí</w:t>
      </w:r>
      <w:proofErr w:type="spellEnd"/>
      <w:r w:rsidR="00803D36">
        <w:rPr>
          <w:szCs w:val="22"/>
          <w:lang w:val="lt-LT"/>
        </w:rPr>
        <w:t xml:space="preserve">, 08970 </w:t>
      </w:r>
      <w:proofErr w:type="spellStart"/>
      <w:r w:rsidR="00803D36">
        <w:rPr>
          <w:szCs w:val="22"/>
          <w:lang w:val="lt-LT"/>
        </w:rPr>
        <w:t>Barcelona</w:t>
      </w:r>
      <w:proofErr w:type="spellEnd"/>
    </w:p>
    <w:p w14:paraId="200BF7B8" w14:textId="77777777" w:rsidR="00803D36" w:rsidRDefault="00803D36" w:rsidP="00803D36">
      <w:pPr>
        <w:numPr>
          <w:ilvl w:val="12"/>
          <w:numId w:val="0"/>
        </w:numPr>
        <w:tabs>
          <w:tab w:val="clear" w:pos="567"/>
          <w:tab w:val="left" w:pos="1296"/>
        </w:tabs>
        <w:spacing w:line="240" w:lineRule="auto"/>
        <w:ind w:right="-2"/>
        <w:rPr>
          <w:szCs w:val="22"/>
          <w:lang w:val="lt-LT"/>
        </w:rPr>
      </w:pPr>
      <w:r>
        <w:rPr>
          <w:szCs w:val="22"/>
          <w:lang w:val="lt-LT"/>
        </w:rPr>
        <w:t xml:space="preserve">Ispanija </w:t>
      </w:r>
    </w:p>
    <w:p w14:paraId="062B09DD" w14:textId="77777777" w:rsidR="00803D36" w:rsidRDefault="00803D36" w:rsidP="00803D36">
      <w:pPr>
        <w:numPr>
          <w:ilvl w:val="12"/>
          <w:numId w:val="0"/>
        </w:numPr>
        <w:tabs>
          <w:tab w:val="clear" w:pos="567"/>
          <w:tab w:val="left" w:pos="1296"/>
        </w:tabs>
        <w:spacing w:line="240" w:lineRule="auto"/>
        <w:ind w:right="-2"/>
        <w:rPr>
          <w:szCs w:val="22"/>
          <w:lang w:val="lt-LT"/>
        </w:rPr>
      </w:pPr>
    </w:p>
    <w:p w14:paraId="3C2629B8" w14:textId="77777777" w:rsidR="00803D36" w:rsidRDefault="00803D36" w:rsidP="00803D36">
      <w:pPr>
        <w:numPr>
          <w:ilvl w:val="12"/>
          <w:numId w:val="0"/>
        </w:numPr>
        <w:spacing w:line="240" w:lineRule="auto"/>
        <w:ind w:right="-2"/>
        <w:rPr>
          <w:szCs w:val="22"/>
          <w:lang w:val="lt-LT"/>
        </w:rPr>
      </w:pPr>
      <w:r>
        <w:rPr>
          <w:szCs w:val="22"/>
          <w:lang w:val="lt-LT"/>
        </w:rPr>
        <w:t>Jeigu apie šį vaistą norite sužinoti daugiau, kreipkitės į vietinį registruotojo atstovą.</w:t>
      </w:r>
    </w:p>
    <w:p w14:paraId="1F1B47CB" w14:textId="77777777" w:rsidR="00803D36" w:rsidRDefault="00803D36" w:rsidP="00803D36">
      <w:pPr>
        <w:spacing w:line="240" w:lineRule="auto"/>
        <w:rPr>
          <w:szCs w:val="22"/>
          <w:lang w:val="lt-LT"/>
        </w:rPr>
      </w:pPr>
    </w:p>
    <w:p w14:paraId="749E0950" w14:textId="77777777" w:rsidR="00803D36" w:rsidRDefault="00803D36" w:rsidP="00803D36">
      <w:pPr>
        <w:numPr>
          <w:ilvl w:val="12"/>
          <w:numId w:val="0"/>
        </w:numPr>
        <w:spacing w:line="240" w:lineRule="auto"/>
        <w:ind w:right="-2"/>
        <w:rPr>
          <w:szCs w:val="22"/>
          <w:lang w:val="lt-LT"/>
        </w:rPr>
      </w:pPr>
      <w:r>
        <w:rPr>
          <w:szCs w:val="22"/>
          <w:lang w:val="lt-LT"/>
        </w:rPr>
        <w:t xml:space="preserve">UAB Via </w:t>
      </w:r>
      <w:proofErr w:type="spellStart"/>
      <w:r>
        <w:rPr>
          <w:szCs w:val="22"/>
          <w:lang w:val="lt-LT"/>
        </w:rPr>
        <w:t>pharma</w:t>
      </w:r>
      <w:proofErr w:type="spellEnd"/>
    </w:p>
    <w:p w14:paraId="6DD848B5" w14:textId="77777777" w:rsidR="00803D36" w:rsidRDefault="00803D36" w:rsidP="00803D36">
      <w:pPr>
        <w:numPr>
          <w:ilvl w:val="12"/>
          <w:numId w:val="0"/>
        </w:numPr>
        <w:spacing w:line="240" w:lineRule="auto"/>
        <w:ind w:right="-2"/>
        <w:rPr>
          <w:szCs w:val="22"/>
          <w:lang w:val="lt-LT"/>
        </w:rPr>
      </w:pPr>
      <w:proofErr w:type="spellStart"/>
      <w:r>
        <w:rPr>
          <w:szCs w:val="22"/>
          <w:lang w:val="lt-LT"/>
        </w:rPr>
        <w:t>J.Galvydžio</w:t>
      </w:r>
      <w:proofErr w:type="spellEnd"/>
      <w:r>
        <w:rPr>
          <w:szCs w:val="22"/>
          <w:lang w:val="lt-LT"/>
        </w:rPr>
        <w:t xml:space="preserve"> g. 5 </w:t>
      </w:r>
    </w:p>
    <w:p w14:paraId="1D6A3155" w14:textId="77777777" w:rsidR="00803D36" w:rsidRDefault="00803D36" w:rsidP="00803D36">
      <w:pPr>
        <w:numPr>
          <w:ilvl w:val="12"/>
          <w:numId w:val="0"/>
        </w:numPr>
        <w:spacing w:line="240" w:lineRule="auto"/>
        <w:ind w:right="-2"/>
        <w:rPr>
          <w:szCs w:val="22"/>
          <w:lang w:val="lt-LT"/>
        </w:rPr>
      </w:pPr>
      <w:r>
        <w:rPr>
          <w:szCs w:val="22"/>
          <w:lang w:val="lt-LT"/>
        </w:rPr>
        <w:t xml:space="preserve">LT-08236 Vilnius </w:t>
      </w:r>
    </w:p>
    <w:p w14:paraId="0DF33ACF" w14:textId="77777777" w:rsidR="00803D36" w:rsidRDefault="00803D36" w:rsidP="00803D36">
      <w:pPr>
        <w:numPr>
          <w:ilvl w:val="12"/>
          <w:numId w:val="0"/>
        </w:numPr>
        <w:spacing w:line="240" w:lineRule="auto"/>
        <w:ind w:right="-2"/>
        <w:rPr>
          <w:szCs w:val="22"/>
          <w:lang w:val="lt-LT"/>
        </w:rPr>
      </w:pPr>
    </w:p>
    <w:p w14:paraId="4723E221" w14:textId="77777777" w:rsidR="00803D36" w:rsidRDefault="00803D36" w:rsidP="00803D36">
      <w:pPr>
        <w:numPr>
          <w:ilvl w:val="12"/>
          <w:numId w:val="0"/>
        </w:numPr>
        <w:spacing w:line="240" w:lineRule="auto"/>
        <w:ind w:right="-2"/>
        <w:rPr>
          <w:szCs w:val="22"/>
          <w:lang w:val="lt-LT"/>
        </w:rPr>
      </w:pPr>
      <w:r>
        <w:rPr>
          <w:b/>
          <w:szCs w:val="22"/>
          <w:lang w:val="lt-LT"/>
        </w:rPr>
        <w:t>Šis vaistas EEE valstybėse narėse registruotas tokiais pavadinimais</w:t>
      </w:r>
      <w:r w:rsidRPr="00416C17">
        <w:rPr>
          <w:b/>
          <w:szCs w:val="22"/>
          <w:lang w:val="lt-LT"/>
        </w:rPr>
        <w:t>:</w:t>
      </w:r>
    </w:p>
    <w:p w14:paraId="46A6D80A" w14:textId="77777777" w:rsidR="00803D36" w:rsidRDefault="00803D36" w:rsidP="00803D36">
      <w:pPr>
        <w:numPr>
          <w:ilvl w:val="12"/>
          <w:numId w:val="0"/>
        </w:numPr>
        <w:spacing w:line="240" w:lineRule="auto"/>
        <w:ind w:right="-2"/>
        <w:rPr>
          <w:szCs w:val="22"/>
          <w:lang w:val="lt-LT"/>
        </w:rPr>
      </w:pPr>
    </w:p>
    <w:tbl>
      <w:tblPr>
        <w:tblW w:w="0" w:type="auto"/>
        <w:tblInd w:w="812" w:type="dxa"/>
        <w:tblLayout w:type="fixed"/>
        <w:tblLook w:val="04A0" w:firstRow="1" w:lastRow="0" w:firstColumn="1" w:lastColumn="0" w:noHBand="0" w:noVBand="1"/>
      </w:tblPr>
      <w:tblGrid>
        <w:gridCol w:w="1134"/>
        <w:gridCol w:w="7559"/>
      </w:tblGrid>
      <w:tr w:rsidR="00803D36" w:rsidRPr="007223D6" w14:paraId="19DFB36F" w14:textId="77777777" w:rsidTr="00D0389B">
        <w:tc>
          <w:tcPr>
            <w:tcW w:w="1134" w:type="dxa"/>
            <w:tcBorders>
              <w:top w:val="single" w:sz="4" w:space="0" w:color="000000"/>
              <w:left w:val="single" w:sz="4" w:space="0" w:color="000000"/>
              <w:bottom w:val="single" w:sz="4" w:space="0" w:color="000000"/>
              <w:right w:val="nil"/>
            </w:tcBorders>
            <w:hideMark/>
          </w:tcPr>
          <w:p w14:paraId="09BADF7D"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r>
              <w:rPr>
                <w:rFonts w:eastAsia="Calibri"/>
                <w:szCs w:val="22"/>
                <w:lang w:val="lt-LT" w:eastAsia="ar-SA"/>
              </w:rPr>
              <w:t>Bulgarija</w:t>
            </w:r>
          </w:p>
        </w:tc>
        <w:tc>
          <w:tcPr>
            <w:tcW w:w="7559" w:type="dxa"/>
            <w:tcBorders>
              <w:top w:val="single" w:sz="4" w:space="0" w:color="000000"/>
              <w:left w:val="single" w:sz="4" w:space="0" w:color="000000"/>
              <w:bottom w:val="single" w:sz="4" w:space="0" w:color="000000"/>
              <w:right w:val="single" w:sz="4" w:space="0" w:color="000000"/>
            </w:tcBorders>
            <w:hideMark/>
          </w:tcPr>
          <w:p w14:paraId="611C6871"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proofErr w:type="spellStart"/>
            <w:r>
              <w:rPr>
                <w:rFonts w:eastAsia="Calibri"/>
                <w:szCs w:val="22"/>
                <w:lang w:val="lt-LT" w:eastAsia="ar-SA"/>
              </w:rPr>
              <w:t>Тобрамицин</w:t>
            </w:r>
            <w:proofErr w:type="spellEnd"/>
            <w:r>
              <w:rPr>
                <w:rFonts w:eastAsia="Calibri"/>
                <w:szCs w:val="22"/>
                <w:lang w:val="lt-LT" w:eastAsia="ar-SA"/>
              </w:rPr>
              <w:t xml:space="preserve"> </w:t>
            </w:r>
            <w:proofErr w:type="spellStart"/>
            <w:r>
              <w:rPr>
                <w:rFonts w:eastAsia="Calibri"/>
                <w:szCs w:val="22"/>
                <w:lang w:val="lt-LT" w:eastAsia="ar-SA"/>
              </w:rPr>
              <w:t>Виa</w:t>
            </w:r>
            <w:proofErr w:type="spellEnd"/>
            <w:r>
              <w:rPr>
                <w:rFonts w:eastAsia="Calibri"/>
                <w:szCs w:val="22"/>
                <w:lang w:val="lt-LT" w:eastAsia="ar-SA"/>
              </w:rPr>
              <w:t xml:space="preserve"> </w:t>
            </w:r>
            <w:proofErr w:type="spellStart"/>
            <w:r>
              <w:rPr>
                <w:rFonts w:eastAsia="Calibri"/>
                <w:szCs w:val="22"/>
                <w:lang w:val="lt-LT" w:eastAsia="ar-SA"/>
              </w:rPr>
              <w:t>фармa</w:t>
            </w:r>
            <w:proofErr w:type="spellEnd"/>
            <w:r>
              <w:rPr>
                <w:rFonts w:eastAsia="Calibri"/>
                <w:szCs w:val="22"/>
                <w:lang w:val="lt-LT" w:eastAsia="ar-SA"/>
              </w:rPr>
              <w:t xml:space="preserve"> 300 mg/ 5 ml</w:t>
            </w:r>
          </w:p>
        </w:tc>
      </w:tr>
      <w:tr w:rsidR="00803D36" w14:paraId="0D159D88" w14:textId="77777777" w:rsidTr="00D0389B">
        <w:tc>
          <w:tcPr>
            <w:tcW w:w="1134" w:type="dxa"/>
            <w:tcBorders>
              <w:top w:val="single" w:sz="4" w:space="0" w:color="000000"/>
              <w:left w:val="single" w:sz="4" w:space="0" w:color="000000"/>
              <w:bottom w:val="single" w:sz="4" w:space="0" w:color="000000"/>
              <w:right w:val="nil"/>
            </w:tcBorders>
            <w:hideMark/>
          </w:tcPr>
          <w:p w14:paraId="35F370E2"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r>
              <w:rPr>
                <w:rFonts w:eastAsia="Calibri"/>
                <w:szCs w:val="22"/>
                <w:lang w:val="lt-LT" w:eastAsia="ar-SA"/>
              </w:rPr>
              <w:t>Estija</w:t>
            </w:r>
          </w:p>
        </w:tc>
        <w:tc>
          <w:tcPr>
            <w:tcW w:w="7559" w:type="dxa"/>
            <w:tcBorders>
              <w:top w:val="single" w:sz="4" w:space="0" w:color="000000"/>
              <w:left w:val="single" w:sz="4" w:space="0" w:color="000000"/>
              <w:bottom w:val="single" w:sz="4" w:space="0" w:color="000000"/>
              <w:right w:val="single" w:sz="4" w:space="0" w:color="000000"/>
            </w:tcBorders>
            <w:hideMark/>
          </w:tcPr>
          <w:p w14:paraId="573E537C"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proofErr w:type="spellStart"/>
            <w:r>
              <w:rPr>
                <w:rFonts w:eastAsia="Calibri"/>
                <w:szCs w:val="22"/>
                <w:lang w:val="lt-LT" w:eastAsia="ar-SA"/>
              </w:rPr>
              <w:t>Tobramycin</w:t>
            </w:r>
            <w:proofErr w:type="spellEnd"/>
            <w:r>
              <w:rPr>
                <w:rFonts w:eastAsia="Calibri"/>
                <w:szCs w:val="22"/>
                <w:lang w:val="lt-LT" w:eastAsia="ar-SA"/>
              </w:rPr>
              <w:t xml:space="preserve"> Via </w:t>
            </w:r>
            <w:proofErr w:type="spellStart"/>
            <w:r>
              <w:rPr>
                <w:rFonts w:eastAsia="Calibri"/>
                <w:szCs w:val="22"/>
                <w:lang w:val="lt-LT" w:eastAsia="ar-SA"/>
              </w:rPr>
              <w:t>pharma</w:t>
            </w:r>
            <w:proofErr w:type="spellEnd"/>
            <w:r>
              <w:rPr>
                <w:rFonts w:eastAsia="Calibri"/>
                <w:szCs w:val="22"/>
                <w:lang w:val="lt-LT" w:eastAsia="ar-SA"/>
              </w:rPr>
              <w:t xml:space="preserve"> </w:t>
            </w:r>
          </w:p>
        </w:tc>
      </w:tr>
      <w:tr w:rsidR="00803D36" w:rsidRPr="007223D6" w14:paraId="733375B7" w14:textId="77777777" w:rsidTr="00D0389B">
        <w:tc>
          <w:tcPr>
            <w:tcW w:w="1134" w:type="dxa"/>
            <w:tcBorders>
              <w:top w:val="single" w:sz="4" w:space="0" w:color="000000"/>
              <w:left w:val="single" w:sz="4" w:space="0" w:color="000000"/>
              <w:bottom w:val="single" w:sz="4" w:space="0" w:color="000000"/>
              <w:right w:val="nil"/>
            </w:tcBorders>
            <w:hideMark/>
          </w:tcPr>
          <w:p w14:paraId="114929F3"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r>
              <w:rPr>
                <w:rFonts w:eastAsia="Calibri"/>
                <w:szCs w:val="22"/>
                <w:lang w:val="lt-LT" w:eastAsia="ar-SA"/>
              </w:rPr>
              <w:t>Vengrija</w:t>
            </w:r>
          </w:p>
        </w:tc>
        <w:tc>
          <w:tcPr>
            <w:tcW w:w="7559" w:type="dxa"/>
            <w:tcBorders>
              <w:top w:val="single" w:sz="4" w:space="0" w:color="000000"/>
              <w:left w:val="single" w:sz="4" w:space="0" w:color="000000"/>
              <w:bottom w:val="single" w:sz="4" w:space="0" w:color="000000"/>
              <w:right w:val="single" w:sz="4" w:space="0" w:color="000000"/>
            </w:tcBorders>
            <w:hideMark/>
          </w:tcPr>
          <w:p w14:paraId="3EDB03F4"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proofErr w:type="spellStart"/>
            <w:r>
              <w:rPr>
                <w:rFonts w:eastAsia="Calibri"/>
                <w:szCs w:val="22"/>
                <w:lang w:val="lt-LT" w:eastAsia="ar-SA"/>
              </w:rPr>
              <w:t>Tobramycin</w:t>
            </w:r>
            <w:proofErr w:type="spellEnd"/>
            <w:r>
              <w:rPr>
                <w:rFonts w:eastAsia="Calibri"/>
                <w:szCs w:val="22"/>
                <w:lang w:val="lt-LT" w:eastAsia="ar-SA"/>
              </w:rPr>
              <w:t xml:space="preserve"> Via </w:t>
            </w:r>
            <w:proofErr w:type="spellStart"/>
            <w:r>
              <w:rPr>
                <w:rFonts w:eastAsia="Calibri"/>
                <w:szCs w:val="22"/>
                <w:lang w:val="lt-LT" w:eastAsia="ar-SA"/>
              </w:rPr>
              <w:t>pharma</w:t>
            </w:r>
            <w:proofErr w:type="spellEnd"/>
            <w:r>
              <w:rPr>
                <w:rFonts w:eastAsia="Calibri"/>
                <w:szCs w:val="22"/>
                <w:lang w:val="lt-LT" w:eastAsia="ar-SA"/>
              </w:rPr>
              <w:t xml:space="preserve"> 300 mg/ 5 ml </w:t>
            </w:r>
            <w:proofErr w:type="spellStart"/>
            <w:r>
              <w:rPr>
                <w:rFonts w:eastAsia="Calibri"/>
                <w:szCs w:val="22"/>
                <w:lang w:val="lt-LT" w:eastAsia="ar-SA"/>
              </w:rPr>
              <w:t>oldat</w:t>
            </w:r>
            <w:proofErr w:type="spellEnd"/>
            <w:r>
              <w:rPr>
                <w:rFonts w:eastAsia="Calibri"/>
                <w:szCs w:val="22"/>
                <w:lang w:val="lt-LT" w:eastAsia="ar-SA"/>
              </w:rPr>
              <w:t xml:space="preserve"> </w:t>
            </w:r>
            <w:proofErr w:type="spellStart"/>
            <w:r>
              <w:rPr>
                <w:rFonts w:eastAsia="Calibri"/>
                <w:szCs w:val="22"/>
                <w:lang w:val="lt-LT" w:eastAsia="ar-SA"/>
              </w:rPr>
              <w:t>porlasztásra</w:t>
            </w:r>
            <w:proofErr w:type="spellEnd"/>
          </w:p>
        </w:tc>
      </w:tr>
      <w:tr w:rsidR="00803D36" w:rsidRPr="007223D6" w14:paraId="49ED8B0A" w14:textId="77777777" w:rsidTr="00D0389B">
        <w:tc>
          <w:tcPr>
            <w:tcW w:w="1134" w:type="dxa"/>
            <w:tcBorders>
              <w:top w:val="single" w:sz="4" w:space="0" w:color="000000"/>
              <w:left w:val="single" w:sz="4" w:space="0" w:color="000000"/>
              <w:bottom w:val="single" w:sz="4" w:space="0" w:color="000000"/>
              <w:right w:val="nil"/>
            </w:tcBorders>
            <w:hideMark/>
          </w:tcPr>
          <w:p w14:paraId="1837D1AA"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r>
              <w:rPr>
                <w:rFonts w:eastAsia="Calibri"/>
                <w:szCs w:val="22"/>
                <w:lang w:val="lt-LT" w:eastAsia="ar-SA"/>
              </w:rPr>
              <w:t>Lietuva</w:t>
            </w:r>
          </w:p>
        </w:tc>
        <w:tc>
          <w:tcPr>
            <w:tcW w:w="7559" w:type="dxa"/>
            <w:tcBorders>
              <w:top w:val="single" w:sz="4" w:space="0" w:color="000000"/>
              <w:left w:val="single" w:sz="4" w:space="0" w:color="000000"/>
              <w:bottom w:val="single" w:sz="4" w:space="0" w:color="000000"/>
              <w:right w:val="single" w:sz="4" w:space="0" w:color="000000"/>
            </w:tcBorders>
            <w:hideMark/>
          </w:tcPr>
          <w:p w14:paraId="307314B1"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proofErr w:type="spellStart"/>
            <w:r>
              <w:rPr>
                <w:rFonts w:eastAsia="Calibri"/>
                <w:szCs w:val="22"/>
                <w:lang w:val="lt-LT" w:eastAsia="ar-SA"/>
              </w:rPr>
              <w:t>Tobramycin</w:t>
            </w:r>
            <w:proofErr w:type="spellEnd"/>
            <w:r>
              <w:rPr>
                <w:rFonts w:eastAsia="Calibri"/>
                <w:szCs w:val="22"/>
                <w:lang w:val="lt-LT" w:eastAsia="ar-SA"/>
              </w:rPr>
              <w:t xml:space="preserve"> Via </w:t>
            </w:r>
            <w:proofErr w:type="spellStart"/>
            <w:r>
              <w:rPr>
                <w:rFonts w:eastAsia="Calibri"/>
                <w:szCs w:val="22"/>
                <w:lang w:val="lt-LT" w:eastAsia="ar-SA"/>
              </w:rPr>
              <w:t>pharma</w:t>
            </w:r>
            <w:proofErr w:type="spellEnd"/>
            <w:r>
              <w:rPr>
                <w:rFonts w:eastAsia="Calibri"/>
                <w:szCs w:val="22"/>
                <w:lang w:val="lt-LT" w:eastAsia="ar-SA"/>
              </w:rPr>
              <w:t xml:space="preserve"> 300 mg/ 5 ml purškiamasis įkvepiamasis tirpalas</w:t>
            </w:r>
          </w:p>
        </w:tc>
      </w:tr>
      <w:tr w:rsidR="00803D36" w:rsidRPr="007223D6" w14:paraId="18DC9C61" w14:textId="77777777" w:rsidTr="00D0389B">
        <w:tc>
          <w:tcPr>
            <w:tcW w:w="1134" w:type="dxa"/>
            <w:tcBorders>
              <w:top w:val="single" w:sz="4" w:space="0" w:color="000000"/>
              <w:left w:val="single" w:sz="4" w:space="0" w:color="000000"/>
              <w:bottom w:val="single" w:sz="4" w:space="0" w:color="000000"/>
              <w:right w:val="nil"/>
            </w:tcBorders>
            <w:hideMark/>
          </w:tcPr>
          <w:p w14:paraId="38FBD613"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r>
              <w:rPr>
                <w:rFonts w:eastAsia="Calibri"/>
                <w:szCs w:val="22"/>
                <w:lang w:val="lt-LT" w:eastAsia="ar-SA"/>
              </w:rPr>
              <w:t>Latvija</w:t>
            </w:r>
          </w:p>
        </w:tc>
        <w:tc>
          <w:tcPr>
            <w:tcW w:w="7559" w:type="dxa"/>
            <w:tcBorders>
              <w:top w:val="single" w:sz="4" w:space="0" w:color="000000"/>
              <w:left w:val="single" w:sz="4" w:space="0" w:color="000000"/>
              <w:bottom w:val="single" w:sz="4" w:space="0" w:color="000000"/>
              <w:right w:val="single" w:sz="4" w:space="0" w:color="000000"/>
            </w:tcBorders>
            <w:hideMark/>
          </w:tcPr>
          <w:p w14:paraId="30506FC5" w14:textId="77777777" w:rsidR="00803D36" w:rsidRDefault="00803D36" w:rsidP="00D0389B">
            <w:pPr>
              <w:tabs>
                <w:tab w:val="clear" w:pos="567"/>
                <w:tab w:val="left" w:pos="1296"/>
              </w:tabs>
              <w:suppressAutoHyphens/>
              <w:spacing w:line="240" w:lineRule="auto"/>
              <w:jc w:val="both"/>
              <w:rPr>
                <w:rFonts w:eastAsia="Calibri"/>
                <w:color w:val="000000"/>
                <w:szCs w:val="22"/>
                <w:lang w:val="lt-LT" w:eastAsia="ar-SA"/>
              </w:rPr>
            </w:pPr>
            <w:proofErr w:type="spellStart"/>
            <w:r>
              <w:rPr>
                <w:rFonts w:eastAsia="Calibri"/>
                <w:szCs w:val="22"/>
                <w:lang w:val="lt-LT" w:eastAsia="ar-SA"/>
              </w:rPr>
              <w:t>Tobramycin</w:t>
            </w:r>
            <w:proofErr w:type="spellEnd"/>
            <w:r>
              <w:rPr>
                <w:rFonts w:eastAsia="Calibri"/>
                <w:szCs w:val="22"/>
                <w:lang w:val="lt-LT" w:eastAsia="ar-SA"/>
              </w:rPr>
              <w:t xml:space="preserve"> Via </w:t>
            </w:r>
            <w:proofErr w:type="spellStart"/>
            <w:r>
              <w:rPr>
                <w:rFonts w:eastAsia="Calibri"/>
                <w:szCs w:val="22"/>
                <w:lang w:val="lt-LT" w:eastAsia="ar-SA"/>
              </w:rPr>
              <w:t>pharma</w:t>
            </w:r>
            <w:proofErr w:type="spellEnd"/>
            <w:r>
              <w:rPr>
                <w:rFonts w:eastAsia="Calibri"/>
                <w:szCs w:val="22"/>
                <w:lang w:val="lt-LT" w:eastAsia="ar-SA"/>
              </w:rPr>
              <w:t xml:space="preserve"> 300 mg/ 5 ml </w:t>
            </w:r>
            <w:proofErr w:type="spellStart"/>
            <w:r>
              <w:rPr>
                <w:rFonts w:eastAsia="Calibri"/>
                <w:szCs w:val="22"/>
                <w:lang w:val="lt-LT" w:eastAsia="ar-SA"/>
              </w:rPr>
              <w:t>s</w:t>
            </w:r>
            <w:r>
              <w:rPr>
                <w:rFonts w:eastAsia="Calibri"/>
                <w:color w:val="000000"/>
                <w:szCs w:val="22"/>
                <w:lang w:val="lt-LT" w:eastAsia="ar-SA"/>
              </w:rPr>
              <w:t>ķīdums</w:t>
            </w:r>
            <w:proofErr w:type="spellEnd"/>
            <w:r>
              <w:rPr>
                <w:rFonts w:eastAsia="Calibri"/>
                <w:color w:val="000000"/>
                <w:szCs w:val="22"/>
                <w:lang w:val="lt-LT" w:eastAsia="ar-SA"/>
              </w:rPr>
              <w:t xml:space="preserve"> </w:t>
            </w:r>
            <w:proofErr w:type="spellStart"/>
            <w:r>
              <w:rPr>
                <w:rFonts w:eastAsia="Calibri"/>
                <w:color w:val="000000"/>
                <w:szCs w:val="22"/>
                <w:lang w:val="lt-LT" w:eastAsia="ar-SA"/>
              </w:rPr>
              <w:t>izsmidzināšanai</w:t>
            </w:r>
            <w:proofErr w:type="spellEnd"/>
          </w:p>
        </w:tc>
      </w:tr>
      <w:tr w:rsidR="00803D36" w14:paraId="5FF1DC04" w14:textId="77777777" w:rsidTr="00D0389B">
        <w:tc>
          <w:tcPr>
            <w:tcW w:w="1134" w:type="dxa"/>
            <w:tcBorders>
              <w:top w:val="single" w:sz="4" w:space="0" w:color="000000"/>
              <w:left w:val="single" w:sz="4" w:space="0" w:color="000000"/>
              <w:bottom w:val="single" w:sz="4" w:space="0" w:color="000000"/>
              <w:right w:val="nil"/>
            </w:tcBorders>
            <w:hideMark/>
          </w:tcPr>
          <w:p w14:paraId="6267F779"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r>
              <w:rPr>
                <w:rFonts w:eastAsia="Calibri"/>
                <w:szCs w:val="22"/>
                <w:lang w:val="lt-LT" w:eastAsia="ar-SA"/>
              </w:rPr>
              <w:t>Lenkija</w:t>
            </w:r>
          </w:p>
        </w:tc>
        <w:tc>
          <w:tcPr>
            <w:tcW w:w="7559" w:type="dxa"/>
            <w:tcBorders>
              <w:top w:val="single" w:sz="4" w:space="0" w:color="000000"/>
              <w:left w:val="single" w:sz="4" w:space="0" w:color="000000"/>
              <w:bottom w:val="single" w:sz="4" w:space="0" w:color="000000"/>
              <w:right w:val="single" w:sz="4" w:space="0" w:color="000000"/>
            </w:tcBorders>
            <w:hideMark/>
          </w:tcPr>
          <w:p w14:paraId="498DCCAD"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proofErr w:type="spellStart"/>
            <w:r>
              <w:rPr>
                <w:rFonts w:eastAsia="Calibri"/>
                <w:szCs w:val="22"/>
                <w:lang w:val="lt-LT" w:eastAsia="ar-SA"/>
              </w:rPr>
              <w:t>Tobramycin</w:t>
            </w:r>
            <w:proofErr w:type="spellEnd"/>
            <w:r>
              <w:rPr>
                <w:rFonts w:eastAsia="Calibri"/>
                <w:szCs w:val="22"/>
                <w:lang w:val="lt-LT" w:eastAsia="ar-SA"/>
              </w:rPr>
              <w:t xml:space="preserve"> Via </w:t>
            </w:r>
            <w:proofErr w:type="spellStart"/>
            <w:r>
              <w:rPr>
                <w:rFonts w:eastAsia="Calibri"/>
                <w:szCs w:val="22"/>
                <w:lang w:val="lt-LT" w:eastAsia="ar-SA"/>
              </w:rPr>
              <w:t>pharma</w:t>
            </w:r>
            <w:proofErr w:type="spellEnd"/>
          </w:p>
        </w:tc>
      </w:tr>
      <w:tr w:rsidR="00803D36" w:rsidRPr="007223D6" w14:paraId="208846FE" w14:textId="77777777" w:rsidTr="00D0389B">
        <w:tc>
          <w:tcPr>
            <w:tcW w:w="1134" w:type="dxa"/>
            <w:tcBorders>
              <w:top w:val="single" w:sz="4" w:space="0" w:color="000000"/>
              <w:left w:val="single" w:sz="4" w:space="0" w:color="000000"/>
              <w:bottom w:val="single" w:sz="4" w:space="0" w:color="000000"/>
              <w:right w:val="nil"/>
            </w:tcBorders>
            <w:hideMark/>
          </w:tcPr>
          <w:p w14:paraId="5C92771E"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r>
              <w:rPr>
                <w:rFonts w:eastAsia="Calibri"/>
                <w:szCs w:val="22"/>
                <w:lang w:val="lt-LT" w:eastAsia="ar-SA"/>
              </w:rPr>
              <w:t>Rumunija</w:t>
            </w:r>
          </w:p>
        </w:tc>
        <w:tc>
          <w:tcPr>
            <w:tcW w:w="7559" w:type="dxa"/>
            <w:tcBorders>
              <w:top w:val="single" w:sz="4" w:space="0" w:color="000000"/>
              <w:left w:val="single" w:sz="4" w:space="0" w:color="000000"/>
              <w:bottom w:val="single" w:sz="4" w:space="0" w:color="000000"/>
              <w:right w:val="single" w:sz="4" w:space="0" w:color="000000"/>
            </w:tcBorders>
            <w:hideMark/>
          </w:tcPr>
          <w:p w14:paraId="79F0A8CA" w14:textId="77777777" w:rsidR="00803D36" w:rsidRDefault="00803D36" w:rsidP="00D0389B">
            <w:pPr>
              <w:tabs>
                <w:tab w:val="clear" w:pos="567"/>
                <w:tab w:val="left" w:pos="1296"/>
              </w:tabs>
              <w:suppressAutoHyphens/>
              <w:spacing w:line="240" w:lineRule="auto"/>
              <w:jc w:val="both"/>
              <w:rPr>
                <w:rFonts w:eastAsia="Calibri"/>
                <w:szCs w:val="22"/>
                <w:lang w:val="lt-LT" w:eastAsia="ar-SA"/>
              </w:rPr>
            </w:pPr>
            <w:proofErr w:type="spellStart"/>
            <w:r>
              <w:rPr>
                <w:rFonts w:eastAsia="Calibri"/>
                <w:szCs w:val="22"/>
                <w:lang w:val="lt-LT" w:eastAsia="ar-SA"/>
              </w:rPr>
              <w:t>Tobramicină</w:t>
            </w:r>
            <w:proofErr w:type="spellEnd"/>
            <w:r>
              <w:rPr>
                <w:rFonts w:eastAsia="Calibri"/>
                <w:szCs w:val="22"/>
                <w:lang w:val="lt-LT" w:eastAsia="ar-SA"/>
              </w:rPr>
              <w:t xml:space="preserve"> Via pharma300 mg/ 5 ml </w:t>
            </w:r>
            <w:proofErr w:type="spellStart"/>
            <w:r>
              <w:rPr>
                <w:rFonts w:eastAsia="Calibri"/>
                <w:szCs w:val="22"/>
                <w:lang w:val="lt-LT" w:eastAsia="ar-SA"/>
              </w:rPr>
              <w:t>soluţie</w:t>
            </w:r>
            <w:proofErr w:type="spellEnd"/>
            <w:r>
              <w:rPr>
                <w:rFonts w:eastAsia="Calibri"/>
                <w:szCs w:val="22"/>
                <w:lang w:val="lt-LT" w:eastAsia="ar-SA"/>
              </w:rPr>
              <w:t xml:space="preserve"> </w:t>
            </w:r>
            <w:proofErr w:type="spellStart"/>
            <w:r>
              <w:rPr>
                <w:rFonts w:eastAsia="Calibri"/>
                <w:szCs w:val="22"/>
                <w:lang w:val="lt-LT" w:eastAsia="ar-SA"/>
              </w:rPr>
              <w:t>pentru</w:t>
            </w:r>
            <w:proofErr w:type="spellEnd"/>
            <w:r>
              <w:rPr>
                <w:rFonts w:eastAsia="Calibri"/>
                <w:szCs w:val="22"/>
                <w:lang w:val="lt-LT" w:eastAsia="ar-SA"/>
              </w:rPr>
              <w:t xml:space="preserve"> </w:t>
            </w:r>
            <w:proofErr w:type="spellStart"/>
            <w:r>
              <w:rPr>
                <w:rFonts w:eastAsia="Calibri"/>
                <w:szCs w:val="22"/>
                <w:lang w:val="lt-LT" w:eastAsia="ar-SA"/>
              </w:rPr>
              <w:t>inhalare</w:t>
            </w:r>
            <w:proofErr w:type="spellEnd"/>
            <w:r>
              <w:rPr>
                <w:rFonts w:eastAsia="Calibri"/>
                <w:szCs w:val="22"/>
                <w:lang w:val="lt-LT" w:eastAsia="ar-SA"/>
              </w:rPr>
              <w:t xml:space="preserve"> </w:t>
            </w:r>
            <w:proofErr w:type="spellStart"/>
            <w:r>
              <w:rPr>
                <w:rFonts w:eastAsia="Calibri"/>
                <w:szCs w:val="22"/>
                <w:lang w:val="lt-LT" w:eastAsia="ar-SA"/>
              </w:rPr>
              <w:t>prin</w:t>
            </w:r>
            <w:proofErr w:type="spellEnd"/>
            <w:r>
              <w:rPr>
                <w:rFonts w:eastAsia="Calibri"/>
                <w:szCs w:val="22"/>
                <w:lang w:val="lt-LT" w:eastAsia="ar-SA"/>
              </w:rPr>
              <w:t xml:space="preserve"> </w:t>
            </w:r>
            <w:proofErr w:type="spellStart"/>
            <w:r>
              <w:rPr>
                <w:rFonts w:eastAsia="Calibri"/>
                <w:szCs w:val="22"/>
                <w:lang w:val="lt-LT" w:eastAsia="ar-SA"/>
              </w:rPr>
              <w:t>nebulizator</w:t>
            </w:r>
            <w:proofErr w:type="spellEnd"/>
          </w:p>
        </w:tc>
      </w:tr>
    </w:tbl>
    <w:p w14:paraId="2718509F" w14:textId="77777777" w:rsidR="00803D36" w:rsidRDefault="00803D36" w:rsidP="00803D36">
      <w:pPr>
        <w:spacing w:line="240" w:lineRule="auto"/>
        <w:ind w:left="567" w:hanging="567"/>
        <w:rPr>
          <w:szCs w:val="22"/>
          <w:lang w:val="lt-LT"/>
        </w:rPr>
      </w:pPr>
    </w:p>
    <w:p w14:paraId="6AD9AF23" w14:textId="77777777" w:rsidR="00803D36" w:rsidRDefault="00803D36" w:rsidP="00803D36">
      <w:pPr>
        <w:spacing w:line="240" w:lineRule="auto"/>
        <w:ind w:left="567" w:hanging="567"/>
        <w:rPr>
          <w:szCs w:val="22"/>
          <w:lang w:val="lt-LT"/>
        </w:rPr>
      </w:pPr>
    </w:p>
    <w:p w14:paraId="3C20C794" w14:textId="61BC78BC" w:rsidR="00803D36" w:rsidRDefault="00803D36" w:rsidP="00803D36">
      <w:pPr>
        <w:numPr>
          <w:ilvl w:val="12"/>
          <w:numId w:val="0"/>
        </w:numPr>
        <w:tabs>
          <w:tab w:val="clear" w:pos="567"/>
          <w:tab w:val="left" w:pos="1296"/>
        </w:tabs>
        <w:spacing w:line="240" w:lineRule="auto"/>
        <w:ind w:right="-2"/>
        <w:rPr>
          <w:szCs w:val="22"/>
          <w:lang w:val="lt-LT"/>
        </w:rPr>
      </w:pPr>
      <w:r>
        <w:rPr>
          <w:b/>
          <w:szCs w:val="22"/>
          <w:lang w:val="lt-LT"/>
        </w:rPr>
        <w:t>Šis pakuotės lapelis paskutinį kartą peržiūrėtas</w:t>
      </w:r>
      <w:r w:rsidR="002811DB">
        <w:rPr>
          <w:b/>
          <w:szCs w:val="22"/>
          <w:lang w:val="lt-LT"/>
        </w:rPr>
        <w:t xml:space="preserve"> </w:t>
      </w:r>
      <w:r w:rsidR="007223D6">
        <w:rPr>
          <w:b/>
          <w:szCs w:val="22"/>
          <w:lang w:val="lt-LT"/>
        </w:rPr>
        <w:t>2026-04-17.</w:t>
      </w:r>
    </w:p>
    <w:p w14:paraId="509547F7" w14:textId="77777777" w:rsidR="00803D36" w:rsidRDefault="00803D36" w:rsidP="00803D36">
      <w:pPr>
        <w:numPr>
          <w:ilvl w:val="12"/>
          <w:numId w:val="0"/>
        </w:numPr>
        <w:spacing w:line="240" w:lineRule="auto"/>
        <w:ind w:right="-2"/>
        <w:rPr>
          <w:szCs w:val="22"/>
          <w:lang w:val="lt-LT"/>
        </w:rPr>
      </w:pPr>
    </w:p>
    <w:p w14:paraId="6D0843DB" w14:textId="36CC41F0" w:rsidR="000A5276" w:rsidRDefault="00803D36" w:rsidP="002811DB">
      <w:pPr>
        <w:numPr>
          <w:ilvl w:val="12"/>
          <w:numId w:val="0"/>
        </w:numPr>
        <w:spacing w:line="240" w:lineRule="auto"/>
        <w:ind w:right="-2"/>
        <w:rPr>
          <w:lang w:val="lt-LT"/>
        </w:rPr>
      </w:pPr>
      <w:r>
        <w:rPr>
          <w:szCs w:val="22"/>
          <w:lang w:val="lt-LT"/>
        </w:rPr>
        <w:t>Išsami informacija apie šį vaistą pateikiama Valstybinės vaistų kontrolės tarnybos prie Lietuvos Respublikos sveikatos apsaugos ministerijos tinklalapyje</w:t>
      </w:r>
      <w:r w:rsidR="000A5276" w:rsidRPr="000A5276">
        <w:rPr>
          <w:szCs w:val="22"/>
          <w:lang w:val="lt-LT"/>
        </w:rPr>
        <w:t xml:space="preserve"> </w:t>
      </w:r>
      <w:hyperlink r:id="rId11" w:history="1">
        <w:r w:rsidR="000A5276" w:rsidRPr="00DE256B">
          <w:rPr>
            <w:rStyle w:val="Hipersaitas"/>
            <w:szCs w:val="22"/>
            <w:lang w:val="lt-LT"/>
          </w:rPr>
          <w:t>https://www.vvkt.lrv.lt/lt</w:t>
        </w:r>
      </w:hyperlink>
      <w:r w:rsidR="000A5276">
        <w:rPr>
          <w:szCs w:val="22"/>
          <w:lang w:val="lt-LT"/>
        </w:rPr>
        <w:t xml:space="preserve"> .</w:t>
      </w:r>
    </w:p>
    <w:p w14:paraId="170D73D6" w14:textId="77777777" w:rsidR="00803D36" w:rsidRPr="0016619B" w:rsidRDefault="00803D36" w:rsidP="000A5276">
      <w:pPr>
        <w:numPr>
          <w:ilvl w:val="12"/>
          <w:numId w:val="0"/>
        </w:numPr>
        <w:spacing w:line="240" w:lineRule="auto"/>
        <w:ind w:right="-2"/>
        <w:rPr>
          <w:lang w:val="lt-LT"/>
        </w:rPr>
      </w:pPr>
    </w:p>
    <w:p w14:paraId="7A21A5D7" w14:textId="77777777" w:rsidR="00D0389B" w:rsidRPr="0016619B" w:rsidRDefault="00D0389B">
      <w:pPr>
        <w:rPr>
          <w:lang w:val="lt-LT"/>
        </w:rPr>
      </w:pPr>
    </w:p>
    <w:sectPr w:rsidR="00D0389B" w:rsidRPr="0016619B" w:rsidSect="002811D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04E3DF8"/>
    <w:multiLevelType w:val="hybridMultilevel"/>
    <w:tmpl w:val="7DD49D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0371885"/>
    <w:multiLevelType w:val="hybridMultilevel"/>
    <w:tmpl w:val="B56A4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3C7805"/>
    <w:multiLevelType w:val="hybridMultilevel"/>
    <w:tmpl w:val="61764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A06AC8"/>
    <w:multiLevelType w:val="hybridMultilevel"/>
    <w:tmpl w:val="8F7E4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F8004C"/>
    <w:multiLevelType w:val="hybridMultilevel"/>
    <w:tmpl w:val="FEDAA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891BC5"/>
    <w:multiLevelType w:val="hybridMultilevel"/>
    <w:tmpl w:val="1D14E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F140FF"/>
    <w:multiLevelType w:val="hybridMultilevel"/>
    <w:tmpl w:val="86C82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E9F3B20"/>
    <w:multiLevelType w:val="hybridMultilevel"/>
    <w:tmpl w:val="F3268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46575483">
    <w:abstractNumId w:val="0"/>
  </w:num>
  <w:num w:numId="2" w16cid:durableId="650522846">
    <w:abstractNumId w:val="0"/>
    <w:lvlOverride w:ilvl="0">
      <w:lvl w:ilvl="0">
        <w:numFmt w:val="bullet"/>
        <w:lvlText w:val="-"/>
        <w:lvlJc w:val="left"/>
        <w:pPr>
          <w:ind w:left="360" w:hanging="360"/>
        </w:pPr>
        <w:rPr>
          <w:rFonts w:cs="Times New Roman"/>
        </w:rPr>
      </w:lvl>
    </w:lvlOverride>
  </w:num>
  <w:num w:numId="3" w16cid:durableId="859509934">
    <w:abstractNumId w:val="7"/>
  </w:num>
  <w:num w:numId="4" w16cid:durableId="368070353">
    <w:abstractNumId w:val="8"/>
  </w:num>
  <w:num w:numId="5" w16cid:durableId="480778396">
    <w:abstractNumId w:val="2"/>
  </w:num>
  <w:num w:numId="6" w16cid:durableId="1148285339">
    <w:abstractNumId w:val="5"/>
  </w:num>
  <w:num w:numId="7" w16cid:durableId="724107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225060">
    <w:abstractNumId w:val="6"/>
  </w:num>
  <w:num w:numId="9" w16cid:durableId="731737366">
    <w:abstractNumId w:val="1"/>
  </w:num>
  <w:num w:numId="10" w16cid:durableId="1162965371">
    <w:abstractNumId w:val="3"/>
  </w:num>
  <w:num w:numId="11" w16cid:durableId="1597327939">
    <w:abstractNumId w:val="4"/>
  </w:num>
  <w:num w:numId="12" w16cid:durableId="47464343">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36"/>
    <w:rsid w:val="000275FF"/>
    <w:rsid w:val="00030A53"/>
    <w:rsid w:val="00033117"/>
    <w:rsid w:val="00045259"/>
    <w:rsid w:val="00051704"/>
    <w:rsid w:val="000A5276"/>
    <w:rsid w:val="000B7B9C"/>
    <w:rsid w:val="000C0008"/>
    <w:rsid w:val="000C7FA1"/>
    <w:rsid w:val="000E6441"/>
    <w:rsid w:val="00155AA3"/>
    <w:rsid w:val="0016619B"/>
    <w:rsid w:val="00182DC8"/>
    <w:rsid w:val="001A4B90"/>
    <w:rsid w:val="001B22B0"/>
    <w:rsid w:val="001B4635"/>
    <w:rsid w:val="001B49ED"/>
    <w:rsid w:val="00263EE2"/>
    <w:rsid w:val="002811DB"/>
    <w:rsid w:val="002C4D9B"/>
    <w:rsid w:val="002D17AA"/>
    <w:rsid w:val="002E70C5"/>
    <w:rsid w:val="003118C9"/>
    <w:rsid w:val="003421E1"/>
    <w:rsid w:val="00342456"/>
    <w:rsid w:val="003570F1"/>
    <w:rsid w:val="00365EE4"/>
    <w:rsid w:val="003D089E"/>
    <w:rsid w:val="003D458E"/>
    <w:rsid w:val="004362F7"/>
    <w:rsid w:val="00452176"/>
    <w:rsid w:val="0045776D"/>
    <w:rsid w:val="00482831"/>
    <w:rsid w:val="00482AE3"/>
    <w:rsid w:val="00491AF1"/>
    <w:rsid w:val="004D168F"/>
    <w:rsid w:val="00511D04"/>
    <w:rsid w:val="00530962"/>
    <w:rsid w:val="005477FF"/>
    <w:rsid w:val="00563F6D"/>
    <w:rsid w:val="005D5B65"/>
    <w:rsid w:val="005E305D"/>
    <w:rsid w:val="006136B1"/>
    <w:rsid w:val="006664A3"/>
    <w:rsid w:val="006A20EB"/>
    <w:rsid w:val="006B7ECA"/>
    <w:rsid w:val="007223D6"/>
    <w:rsid w:val="00736E77"/>
    <w:rsid w:val="007656D7"/>
    <w:rsid w:val="0078521A"/>
    <w:rsid w:val="00793024"/>
    <w:rsid w:val="007B6132"/>
    <w:rsid w:val="00803D36"/>
    <w:rsid w:val="00820702"/>
    <w:rsid w:val="008647E8"/>
    <w:rsid w:val="00881685"/>
    <w:rsid w:val="008E339A"/>
    <w:rsid w:val="008E3417"/>
    <w:rsid w:val="00900D58"/>
    <w:rsid w:val="009270DF"/>
    <w:rsid w:val="00963153"/>
    <w:rsid w:val="00987D4E"/>
    <w:rsid w:val="009C5194"/>
    <w:rsid w:val="00A570F4"/>
    <w:rsid w:val="00AA3A1D"/>
    <w:rsid w:val="00AB11A0"/>
    <w:rsid w:val="00AB6D9C"/>
    <w:rsid w:val="00AC762E"/>
    <w:rsid w:val="00B64643"/>
    <w:rsid w:val="00B70962"/>
    <w:rsid w:val="00B82332"/>
    <w:rsid w:val="00BB0323"/>
    <w:rsid w:val="00C341B7"/>
    <w:rsid w:val="00C416C3"/>
    <w:rsid w:val="00C9678B"/>
    <w:rsid w:val="00CA2803"/>
    <w:rsid w:val="00CA5190"/>
    <w:rsid w:val="00CB6C60"/>
    <w:rsid w:val="00CB6E24"/>
    <w:rsid w:val="00CD43A7"/>
    <w:rsid w:val="00CD6769"/>
    <w:rsid w:val="00CF7E74"/>
    <w:rsid w:val="00D0389B"/>
    <w:rsid w:val="00D55333"/>
    <w:rsid w:val="00D63E0C"/>
    <w:rsid w:val="00D64F80"/>
    <w:rsid w:val="00D84D27"/>
    <w:rsid w:val="00D95F4B"/>
    <w:rsid w:val="00DD5276"/>
    <w:rsid w:val="00E07B2A"/>
    <w:rsid w:val="00E6740A"/>
    <w:rsid w:val="00EE5D59"/>
    <w:rsid w:val="00F1792C"/>
    <w:rsid w:val="00F66E7A"/>
    <w:rsid w:val="00F719F1"/>
    <w:rsid w:val="00FC7535"/>
    <w:rsid w:val="00FD26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BB81"/>
  <w15:chartTrackingRefBased/>
  <w15:docId w15:val="{6DD93AF9-14CC-4FF6-8AC3-03A7FED9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3D36"/>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803D36"/>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rsid w:val="00803D3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803D3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803D36"/>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803D36"/>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rsid w:val="00803D36"/>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rsid w:val="00803D36"/>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rsid w:val="00803D36"/>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rsid w:val="00803D36"/>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3D36"/>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sid w:val="00803D36"/>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803D36"/>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803D36"/>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803D36"/>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803D3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803D36"/>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803D36"/>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803D36"/>
    <w:rPr>
      <w:rFonts w:ascii="Times New Roman" w:eastAsia="SimSun" w:hAnsi="Times New Roman" w:cs="Times New Roman"/>
      <w:b/>
      <w:i/>
      <w:szCs w:val="20"/>
      <w:lang w:val="en-GB"/>
    </w:rPr>
  </w:style>
  <w:style w:type="character" w:styleId="Hipersaitas">
    <w:name w:val="Hyperlink"/>
    <w:uiPriority w:val="99"/>
    <w:unhideWhenUsed/>
    <w:rsid w:val="00803D36"/>
    <w:rPr>
      <w:color w:val="0000FF"/>
      <w:u w:val="single"/>
    </w:rPr>
  </w:style>
  <w:style w:type="character" w:styleId="Perirtashipersaitas">
    <w:name w:val="FollowedHyperlink"/>
    <w:uiPriority w:val="99"/>
    <w:semiHidden/>
    <w:unhideWhenUsed/>
    <w:rsid w:val="00803D36"/>
    <w:rPr>
      <w:rFonts w:ascii="Times New Roman" w:hAnsi="Times New Roman" w:cs="Times New Roman" w:hint="default"/>
      <w:color w:val="800080"/>
      <w:u w:val="single"/>
    </w:rPr>
  </w:style>
  <w:style w:type="character" w:styleId="Grietas">
    <w:name w:val="Strong"/>
    <w:uiPriority w:val="99"/>
    <w:qFormat/>
    <w:rsid w:val="00803D36"/>
    <w:rPr>
      <w:rFonts w:ascii="Times New Roman" w:hAnsi="Times New Roman" w:cs="Times New Roman" w:hint="default"/>
      <w:b/>
      <w:bCs/>
    </w:rPr>
  </w:style>
  <w:style w:type="paragraph" w:customStyle="1" w:styleId="msonormal0">
    <w:name w:val="msonormal"/>
    <w:basedOn w:val="prastasis"/>
    <w:rsid w:val="00803D36"/>
    <w:pPr>
      <w:tabs>
        <w:tab w:val="clear" w:pos="567"/>
      </w:tabs>
      <w:snapToGrid/>
      <w:spacing w:before="100" w:beforeAutospacing="1" w:after="100" w:afterAutospacing="1" w:line="240" w:lineRule="auto"/>
    </w:pPr>
    <w:rPr>
      <w:rFonts w:eastAsia="Batang"/>
      <w:sz w:val="24"/>
      <w:szCs w:val="24"/>
      <w:lang w:val="it-IT" w:eastAsia="it-IT"/>
    </w:rPr>
  </w:style>
  <w:style w:type="paragraph" w:styleId="prastasiniatinklio">
    <w:name w:val="Normal (Web)"/>
    <w:basedOn w:val="prastasis"/>
    <w:semiHidden/>
    <w:unhideWhenUsed/>
    <w:rsid w:val="00803D36"/>
    <w:pPr>
      <w:tabs>
        <w:tab w:val="clear" w:pos="567"/>
      </w:tabs>
      <w:snapToGrid/>
      <w:spacing w:before="100" w:beforeAutospacing="1" w:after="100" w:afterAutospacing="1" w:line="240" w:lineRule="auto"/>
    </w:pPr>
    <w:rPr>
      <w:rFonts w:eastAsia="Batang"/>
      <w:sz w:val="24"/>
      <w:szCs w:val="24"/>
      <w:lang w:val="it-IT" w:eastAsia="it-IT"/>
    </w:rPr>
  </w:style>
  <w:style w:type="paragraph" w:styleId="Komentarotekstas">
    <w:name w:val="annotation text"/>
    <w:basedOn w:val="prastasis"/>
    <w:link w:val="KomentarotekstasDiagrama"/>
    <w:uiPriority w:val="99"/>
    <w:unhideWhenUsed/>
    <w:rsid w:val="00803D36"/>
    <w:rPr>
      <w:sz w:val="20"/>
    </w:rPr>
  </w:style>
  <w:style w:type="character" w:customStyle="1" w:styleId="KomentarotekstasDiagrama">
    <w:name w:val="Komentaro tekstas Diagrama"/>
    <w:basedOn w:val="Numatytasispastraiposriftas"/>
    <w:link w:val="Komentarotekstas"/>
    <w:uiPriority w:val="99"/>
    <w:rsid w:val="00803D36"/>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803D36"/>
    <w:pPr>
      <w:tabs>
        <w:tab w:val="clear" w:pos="567"/>
        <w:tab w:val="center" w:pos="4320"/>
        <w:tab w:val="right" w:pos="8640"/>
      </w:tabs>
      <w:snapToGrid/>
    </w:pPr>
    <w:rPr>
      <w:rFonts w:eastAsia="SimSun"/>
      <w:lang w:eastAsia="zh-CN"/>
    </w:rPr>
  </w:style>
  <w:style w:type="character" w:customStyle="1" w:styleId="HeaderChar">
    <w:name w:val="Header Char"/>
    <w:basedOn w:val="Numatytasispastraiposriftas"/>
    <w:uiPriority w:val="99"/>
    <w:semiHidden/>
    <w:rsid w:val="00803D36"/>
    <w:rPr>
      <w:rFonts w:ascii="Times New Roman" w:eastAsia="Times New Roman" w:hAnsi="Times New Roman" w:cs="Times New Roman"/>
      <w:szCs w:val="20"/>
      <w:lang w:val="en-GB"/>
    </w:rPr>
  </w:style>
  <w:style w:type="paragraph" w:styleId="Porat">
    <w:name w:val="footer"/>
    <w:basedOn w:val="prastasis"/>
    <w:link w:val="PoratDiagrama"/>
    <w:uiPriority w:val="99"/>
    <w:semiHidden/>
    <w:unhideWhenUsed/>
    <w:rsid w:val="00803D36"/>
    <w:pPr>
      <w:tabs>
        <w:tab w:val="center" w:pos="4536"/>
        <w:tab w:val="right" w:pos="8306"/>
      </w:tabs>
    </w:pPr>
    <w:rPr>
      <w:lang w:eastAsia="x-none"/>
    </w:rPr>
  </w:style>
  <w:style w:type="character" w:customStyle="1" w:styleId="PoratDiagrama">
    <w:name w:val="Poraštė Diagrama"/>
    <w:basedOn w:val="Numatytasispastraiposriftas"/>
    <w:link w:val="Porat"/>
    <w:uiPriority w:val="99"/>
    <w:semiHidden/>
    <w:rsid w:val="00803D36"/>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rsid w:val="00803D36"/>
    <w:pPr>
      <w:snapToGrid/>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semiHidden/>
    <w:rsid w:val="00803D36"/>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803D36"/>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803D36"/>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803D36"/>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sid w:val="00803D36"/>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803D36"/>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semiHidden/>
    <w:rsid w:val="00803D36"/>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803D36"/>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semiHidden/>
    <w:rsid w:val="00803D36"/>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803D36"/>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semiHidden/>
    <w:rsid w:val="00803D3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803D36"/>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semiHidden/>
    <w:rsid w:val="00803D36"/>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803D36"/>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semiHidden/>
    <w:rsid w:val="00803D36"/>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803D36"/>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semiHidden/>
    <w:rsid w:val="00803D36"/>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803D36"/>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803D36"/>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03D36"/>
    <w:rPr>
      <w:b/>
      <w:bCs/>
    </w:rPr>
  </w:style>
  <w:style w:type="character" w:customStyle="1" w:styleId="KomentarotemaDiagrama">
    <w:name w:val="Komentaro tema Diagrama"/>
    <w:basedOn w:val="KomentarotekstasDiagrama"/>
    <w:link w:val="Komentarotema"/>
    <w:uiPriority w:val="99"/>
    <w:semiHidden/>
    <w:rsid w:val="00803D36"/>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03D36"/>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803D36"/>
    <w:rPr>
      <w:rFonts w:ascii="Tahoma" w:eastAsia="Times New Roman" w:hAnsi="Tahoma" w:cs="Times New Roman"/>
      <w:sz w:val="16"/>
      <w:szCs w:val="16"/>
      <w:lang w:val="en-GB" w:eastAsia="x-none"/>
    </w:rPr>
  </w:style>
  <w:style w:type="paragraph" w:styleId="Pataisymai">
    <w:name w:val="Revision"/>
    <w:uiPriority w:val="99"/>
    <w:semiHidden/>
    <w:rsid w:val="00803D36"/>
    <w:pPr>
      <w:snapToGrid w:val="0"/>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sid w:val="00803D36"/>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803D36"/>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803D36"/>
    <w:rPr>
      <w:rFonts w:ascii="Verdana" w:eastAsia="Times New Roman" w:hAnsi="Verdana" w:cs="Times New Roman"/>
      <w:sz w:val="18"/>
      <w:lang w:val="en-GB" w:eastAsia="lt-LT"/>
    </w:rPr>
  </w:style>
  <w:style w:type="paragraph" w:customStyle="1" w:styleId="NormalAgency">
    <w:name w:val="Normal (Agency)"/>
    <w:link w:val="NormalAgencyChar"/>
    <w:uiPriority w:val="99"/>
    <w:rsid w:val="00803D36"/>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803D36"/>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803D36"/>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803D36"/>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803D36"/>
    <w:pPr>
      <w:tabs>
        <w:tab w:val="clear" w:pos="720"/>
        <w:tab w:val="num" w:pos="360"/>
      </w:tabs>
      <w:ind w:left="709" w:hanging="425"/>
    </w:pPr>
    <w:rPr>
      <w:sz w:val="22"/>
    </w:rPr>
  </w:style>
  <w:style w:type="paragraph" w:customStyle="1" w:styleId="AHeader3">
    <w:name w:val="AHeader 3"/>
    <w:basedOn w:val="AHeader2"/>
    <w:uiPriority w:val="99"/>
    <w:rsid w:val="00803D36"/>
    <w:pPr>
      <w:ind w:left="1276" w:hanging="567"/>
    </w:pPr>
  </w:style>
  <w:style w:type="paragraph" w:customStyle="1" w:styleId="AHeader2abc">
    <w:name w:val="AHeader 2 abc"/>
    <w:basedOn w:val="AHeader3"/>
    <w:uiPriority w:val="99"/>
    <w:rsid w:val="00803D36"/>
    <w:pPr>
      <w:jc w:val="both"/>
    </w:pPr>
    <w:rPr>
      <w:b w:val="0"/>
      <w:bCs w:val="0"/>
    </w:rPr>
  </w:style>
  <w:style w:type="paragraph" w:customStyle="1" w:styleId="AHeader3abc">
    <w:name w:val="AHeader 3 abc"/>
    <w:basedOn w:val="AHeader2abc"/>
    <w:uiPriority w:val="99"/>
    <w:rsid w:val="00803D36"/>
    <w:pPr>
      <w:ind w:left="1701" w:hanging="425"/>
    </w:pPr>
  </w:style>
  <w:style w:type="paragraph" w:customStyle="1" w:styleId="TableheadingrowsAgency">
    <w:name w:val="Table heading rows (Agency)"/>
    <w:basedOn w:val="BodytextAgency"/>
    <w:uiPriority w:val="99"/>
    <w:rsid w:val="00803D36"/>
    <w:pPr>
      <w:keepNext/>
      <w:snapToGrid/>
    </w:pPr>
    <w:rPr>
      <w:rFonts w:eastAsia="SimSun" w:cs="Verdana"/>
      <w:b/>
      <w:szCs w:val="18"/>
      <w:lang w:eastAsia="en-GB"/>
    </w:rPr>
  </w:style>
  <w:style w:type="paragraph" w:customStyle="1" w:styleId="Default">
    <w:name w:val="Default"/>
    <w:rsid w:val="00803D3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803D36"/>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803D36"/>
    <w:pPr>
      <w:tabs>
        <w:tab w:val="clear" w:pos="567"/>
      </w:tabs>
      <w:snapToGrid/>
      <w:spacing w:line="240" w:lineRule="auto"/>
    </w:pPr>
    <w:rPr>
      <w:rFonts w:eastAsia="SimSun"/>
      <w:noProof/>
      <w:sz w:val="20"/>
      <w:lang w:val="x-none" w:eastAsia="x-none"/>
    </w:rPr>
  </w:style>
  <w:style w:type="character" w:styleId="Komentaronuoroda">
    <w:name w:val="annotation reference"/>
    <w:uiPriority w:val="99"/>
    <w:semiHidden/>
    <w:unhideWhenUsed/>
    <w:rsid w:val="00803D36"/>
    <w:rPr>
      <w:sz w:val="16"/>
      <w:szCs w:val="16"/>
    </w:rPr>
  </w:style>
  <w:style w:type="character" w:styleId="Puslapionumeris">
    <w:name w:val="page number"/>
    <w:uiPriority w:val="99"/>
    <w:semiHidden/>
    <w:unhideWhenUsed/>
    <w:rsid w:val="00803D36"/>
    <w:rPr>
      <w:rFonts w:ascii="Times New Roman" w:hAnsi="Times New Roman" w:cs="Times New Roman" w:hint="default"/>
    </w:rPr>
  </w:style>
  <w:style w:type="character" w:customStyle="1" w:styleId="tw4winError">
    <w:name w:val="tw4winError"/>
    <w:uiPriority w:val="99"/>
    <w:rsid w:val="00803D36"/>
    <w:rPr>
      <w:rFonts w:ascii="Courier New" w:hAnsi="Courier New" w:cs="Courier New" w:hint="default"/>
      <w:color w:val="00FF00"/>
      <w:sz w:val="40"/>
    </w:rPr>
  </w:style>
  <w:style w:type="character" w:customStyle="1" w:styleId="tw4winTerm">
    <w:name w:val="tw4winTerm"/>
    <w:uiPriority w:val="99"/>
    <w:rsid w:val="00803D36"/>
    <w:rPr>
      <w:color w:val="0000FF"/>
    </w:rPr>
  </w:style>
  <w:style w:type="character" w:customStyle="1" w:styleId="tw4winPopup">
    <w:name w:val="tw4winPopup"/>
    <w:uiPriority w:val="99"/>
    <w:rsid w:val="00803D36"/>
    <w:rPr>
      <w:rFonts w:ascii="Courier New" w:hAnsi="Courier New" w:cs="Courier New" w:hint="default"/>
      <w:noProof/>
      <w:color w:val="008000"/>
    </w:rPr>
  </w:style>
  <w:style w:type="character" w:customStyle="1" w:styleId="tw4winJump">
    <w:name w:val="tw4winJump"/>
    <w:uiPriority w:val="99"/>
    <w:rsid w:val="00803D36"/>
    <w:rPr>
      <w:rFonts w:ascii="Courier New" w:hAnsi="Courier New" w:cs="Courier New" w:hint="default"/>
      <w:noProof/>
      <w:color w:val="008080"/>
    </w:rPr>
  </w:style>
  <w:style w:type="character" w:customStyle="1" w:styleId="tw4winExternal">
    <w:name w:val="tw4winExternal"/>
    <w:uiPriority w:val="99"/>
    <w:rsid w:val="00803D36"/>
    <w:rPr>
      <w:rFonts w:ascii="Courier New" w:hAnsi="Courier New" w:cs="Courier New" w:hint="default"/>
      <w:noProof/>
      <w:color w:val="808080"/>
    </w:rPr>
  </w:style>
  <w:style w:type="character" w:customStyle="1" w:styleId="tw4winInternal">
    <w:name w:val="tw4winInternal"/>
    <w:uiPriority w:val="99"/>
    <w:rsid w:val="00803D36"/>
    <w:rPr>
      <w:rFonts w:ascii="Courier New" w:hAnsi="Courier New" w:cs="Courier New" w:hint="default"/>
      <w:noProof/>
      <w:color w:val="FF0000"/>
    </w:rPr>
  </w:style>
  <w:style w:type="character" w:customStyle="1" w:styleId="DONOTTRANSLATE">
    <w:name w:val="DO_NOT_TRANSLATE"/>
    <w:uiPriority w:val="99"/>
    <w:rsid w:val="00803D36"/>
    <w:rPr>
      <w:rFonts w:ascii="Courier New" w:hAnsi="Courier New" w:cs="Courier New" w:hint="default"/>
      <w:noProof/>
      <w:color w:val="800000"/>
    </w:rPr>
  </w:style>
  <w:style w:type="character" w:customStyle="1" w:styleId="tw4winMark">
    <w:name w:val="tw4winMark"/>
    <w:uiPriority w:val="99"/>
    <w:rsid w:val="00803D36"/>
    <w:rPr>
      <w:rFonts w:ascii="Courier New" w:hAnsi="Courier New" w:cs="Courier New" w:hint="default"/>
      <w:vanish/>
      <w:webHidden w:val="0"/>
      <w:color w:val="800080"/>
      <w:sz w:val="24"/>
      <w:vertAlign w:val="subscript"/>
      <w:specVanish w:val="0"/>
    </w:rPr>
  </w:style>
  <w:style w:type="character" w:customStyle="1" w:styleId="AntratsDiagrama">
    <w:name w:val="Antraštės Diagrama"/>
    <w:basedOn w:val="Numatytasispastraiposriftas"/>
    <w:link w:val="Antrats"/>
    <w:uiPriority w:val="99"/>
    <w:semiHidden/>
    <w:locked/>
    <w:rsid w:val="00803D36"/>
    <w:rPr>
      <w:rFonts w:ascii="Times New Roman" w:eastAsia="SimSun" w:hAnsi="Times New Roman" w:cs="Times New Roman"/>
      <w:szCs w:val="20"/>
      <w:lang w:val="en-GB" w:eastAsia="zh-CN"/>
    </w:rPr>
  </w:style>
  <w:style w:type="character" w:customStyle="1" w:styleId="CharChar12">
    <w:name w:val="Char Char12"/>
    <w:locked/>
    <w:rsid w:val="00803D36"/>
    <w:rPr>
      <w:snapToGrid/>
      <w:lang w:val="en-GB" w:eastAsia="en-US" w:bidi="ar-SA"/>
    </w:rPr>
  </w:style>
  <w:style w:type="table" w:customStyle="1" w:styleId="TablegridAgencyblack">
    <w:name w:val="Table grid (Agency) black"/>
    <w:uiPriority w:val="99"/>
    <w:semiHidden/>
    <w:rsid w:val="00803D36"/>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6B7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0344">
      <w:bodyDiv w:val="1"/>
      <w:marLeft w:val="0"/>
      <w:marRight w:val="0"/>
      <w:marTop w:val="0"/>
      <w:marBottom w:val="0"/>
      <w:divBdr>
        <w:top w:val="none" w:sz="0" w:space="0" w:color="auto"/>
        <w:left w:val="none" w:sz="0" w:space="0" w:color="auto"/>
        <w:bottom w:val="none" w:sz="0" w:space="0" w:color="auto"/>
        <w:right w:val="none" w:sz="0" w:space="0" w:color="auto"/>
      </w:divBdr>
      <w:divsChild>
        <w:div w:id="1584870795">
          <w:marLeft w:val="0"/>
          <w:marRight w:val="0"/>
          <w:marTop w:val="300"/>
          <w:marBottom w:val="0"/>
          <w:divBdr>
            <w:top w:val="none" w:sz="0" w:space="0" w:color="auto"/>
            <w:left w:val="none" w:sz="0" w:space="0" w:color="auto"/>
            <w:bottom w:val="none" w:sz="0" w:space="0" w:color="auto"/>
            <w:right w:val="none" w:sz="0" w:space="0" w:color="auto"/>
          </w:divBdr>
          <w:divsChild>
            <w:div w:id="1170145419">
              <w:marLeft w:val="0"/>
              <w:marRight w:val="0"/>
              <w:marTop w:val="0"/>
              <w:marBottom w:val="0"/>
              <w:divBdr>
                <w:top w:val="none" w:sz="0" w:space="0" w:color="auto"/>
                <w:left w:val="none" w:sz="0" w:space="0" w:color="auto"/>
                <w:bottom w:val="none" w:sz="0" w:space="0" w:color="auto"/>
                <w:right w:val="none" w:sz="0" w:space="0" w:color="auto"/>
              </w:divBdr>
            </w:div>
          </w:divsChild>
        </w:div>
        <w:div w:id="1266352499">
          <w:marLeft w:val="1500"/>
          <w:marRight w:val="0"/>
          <w:marTop w:val="0"/>
          <w:marBottom w:val="0"/>
          <w:divBdr>
            <w:top w:val="none" w:sz="0" w:space="0" w:color="auto"/>
            <w:left w:val="none" w:sz="0" w:space="0" w:color="auto"/>
            <w:bottom w:val="none" w:sz="0" w:space="0" w:color="auto"/>
            <w:right w:val="none" w:sz="0" w:space="0" w:color="auto"/>
          </w:divBdr>
          <w:divsChild>
            <w:div w:id="246690321">
              <w:marLeft w:val="0"/>
              <w:marRight w:val="0"/>
              <w:marTop w:val="0"/>
              <w:marBottom w:val="0"/>
              <w:divBdr>
                <w:top w:val="none" w:sz="0" w:space="0" w:color="auto"/>
                <w:left w:val="none" w:sz="0" w:space="0" w:color="auto"/>
                <w:bottom w:val="none" w:sz="0" w:space="0" w:color="auto"/>
                <w:right w:val="none" w:sz="0" w:space="0" w:color="auto"/>
              </w:divBdr>
              <w:divsChild>
                <w:div w:id="1114789768">
                  <w:marLeft w:val="0"/>
                  <w:marRight w:val="0"/>
                  <w:marTop w:val="0"/>
                  <w:marBottom w:val="60"/>
                  <w:divBdr>
                    <w:top w:val="none" w:sz="0" w:space="0" w:color="auto"/>
                    <w:left w:val="none" w:sz="0" w:space="0" w:color="auto"/>
                    <w:bottom w:val="none" w:sz="0" w:space="0" w:color="auto"/>
                    <w:right w:val="none" w:sz="0" w:space="0" w:color="auto"/>
                  </w:divBdr>
                  <w:divsChild>
                    <w:div w:id="4823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rv.lt/lt" TargetMode="External"/><Relationship Id="rId11" Type="http://schemas.openxmlformats.org/officeDocument/2006/relationships/hyperlink" Target="https://www.vvkt.lrv.lt/lt" TargetMode="External"/><Relationship Id="rId5" Type="http://schemas.openxmlformats.org/officeDocument/2006/relationships/hyperlink" Target="http://www.vvkt.lrt.lt/lt"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36202</Words>
  <Characters>20636</Characters>
  <Application>Microsoft Office Word</Application>
  <DocSecurity>4</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2</cp:revision>
  <dcterms:created xsi:type="dcterms:W3CDTF">2026-04-20T06:47:00Z</dcterms:created>
  <dcterms:modified xsi:type="dcterms:W3CDTF">2026-04-20T06:47:00Z</dcterms:modified>
</cp:coreProperties>
</file>