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DE93" w14:textId="77777777" w:rsidR="00BD72E2" w:rsidRPr="00EE1101" w:rsidRDefault="00BD72E2" w:rsidP="00BD72E2">
      <w:pPr>
        <w:pStyle w:val="Antrat2"/>
        <w:spacing w:before="0" w:after="0" w:line="240" w:lineRule="auto"/>
        <w:jc w:val="center"/>
        <w:rPr>
          <w:rFonts w:ascii="Times New Roman" w:hAnsi="Times New Roman" w:cs="Times New Roman"/>
          <w:b/>
          <w:bCs/>
          <w:i/>
          <w:iCs/>
          <w:color w:val="auto"/>
          <w:sz w:val="22"/>
          <w:szCs w:val="22"/>
          <w:lang w:val="lt-LT"/>
        </w:rPr>
      </w:pPr>
      <w:r w:rsidRPr="00EE1101">
        <w:rPr>
          <w:rFonts w:ascii="Times New Roman" w:hAnsi="Times New Roman" w:cs="Times New Roman"/>
          <w:b/>
          <w:bCs/>
          <w:color w:val="auto"/>
          <w:sz w:val="22"/>
          <w:szCs w:val="22"/>
          <w:lang w:val="lt-LT"/>
        </w:rPr>
        <w:t>Pakuotės lapelis: informacija pacientui</w:t>
      </w:r>
    </w:p>
    <w:p w14:paraId="0DABA608" w14:textId="77777777" w:rsidR="00BD72E2" w:rsidRPr="00BD72E2" w:rsidRDefault="00BD72E2" w:rsidP="00BD72E2">
      <w:pPr>
        <w:numPr>
          <w:ilvl w:val="12"/>
          <w:numId w:val="0"/>
        </w:numPr>
        <w:shd w:val="clear" w:color="auto" w:fill="FFFFFF"/>
        <w:tabs>
          <w:tab w:val="clear" w:pos="567"/>
          <w:tab w:val="left" w:pos="1296"/>
        </w:tabs>
        <w:spacing w:line="240" w:lineRule="auto"/>
        <w:jc w:val="center"/>
        <w:rPr>
          <w:szCs w:val="22"/>
          <w:lang w:val="lt-LT"/>
        </w:rPr>
      </w:pPr>
    </w:p>
    <w:p w14:paraId="0D0D362F" w14:textId="77777777" w:rsidR="00BD72E2" w:rsidRPr="00BD72E2" w:rsidRDefault="00BD72E2" w:rsidP="00BD72E2">
      <w:pPr>
        <w:spacing w:line="240" w:lineRule="auto"/>
        <w:jc w:val="center"/>
        <w:rPr>
          <w:b/>
          <w:szCs w:val="22"/>
          <w:lang w:val="lt-LT"/>
        </w:rPr>
      </w:pPr>
      <w:proofErr w:type="spellStart"/>
      <w:r w:rsidRPr="00BD72E2">
        <w:rPr>
          <w:b/>
          <w:szCs w:val="22"/>
          <w:lang w:val="lt-LT"/>
        </w:rPr>
        <w:t>Tobramycin</w:t>
      </w:r>
      <w:proofErr w:type="spellEnd"/>
      <w:r w:rsidRPr="00BD72E2">
        <w:rPr>
          <w:b/>
          <w:szCs w:val="22"/>
          <w:lang w:val="lt-LT"/>
        </w:rPr>
        <w:t xml:space="preserve"> Via </w:t>
      </w:r>
      <w:proofErr w:type="spellStart"/>
      <w:r w:rsidRPr="00BD72E2">
        <w:rPr>
          <w:b/>
          <w:szCs w:val="22"/>
          <w:lang w:val="lt-LT"/>
        </w:rPr>
        <w:t>pharma</w:t>
      </w:r>
      <w:proofErr w:type="spellEnd"/>
      <w:r w:rsidRPr="00BD72E2">
        <w:rPr>
          <w:b/>
          <w:szCs w:val="22"/>
          <w:lang w:val="lt-LT"/>
        </w:rPr>
        <w:t xml:space="preserve"> 300 mg/5 ml purškiamasis įkvepiamasis tirpalas</w:t>
      </w:r>
    </w:p>
    <w:p w14:paraId="4EE4622B" w14:textId="77777777" w:rsidR="00BD72E2" w:rsidRPr="00BD72E2" w:rsidRDefault="00BD72E2" w:rsidP="00BD72E2">
      <w:pPr>
        <w:numPr>
          <w:ilvl w:val="12"/>
          <w:numId w:val="0"/>
        </w:numPr>
        <w:tabs>
          <w:tab w:val="clear" w:pos="567"/>
          <w:tab w:val="left" w:pos="1296"/>
        </w:tabs>
        <w:spacing w:line="240" w:lineRule="auto"/>
        <w:jc w:val="center"/>
        <w:rPr>
          <w:szCs w:val="22"/>
          <w:lang w:val="lt-LT"/>
        </w:rPr>
      </w:pPr>
      <w:proofErr w:type="spellStart"/>
      <w:r w:rsidRPr="00BD72E2">
        <w:rPr>
          <w:szCs w:val="22"/>
          <w:lang w:val="lt-LT"/>
        </w:rPr>
        <w:t>tobramicinas</w:t>
      </w:r>
      <w:proofErr w:type="spellEnd"/>
    </w:p>
    <w:p w14:paraId="2A96F532" w14:textId="77777777" w:rsidR="00BD72E2" w:rsidRPr="00BD72E2" w:rsidRDefault="00BD72E2" w:rsidP="00BD72E2">
      <w:pPr>
        <w:tabs>
          <w:tab w:val="clear" w:pos="567"/>
          <w:tab w:val="left" w:pos="1296"/>
        </w:tabs>
        <w:spacing w:line="240" w:lineRule="auto"/>
        <w:rPr>
          <w:szCs w:val="22"/>
          <w:lang w:val="lt-LT"/>
        </w:rPr>
      </w:pPr>
    </w:p>
    <w:p w14:paraId="7C495661" w14:textId="77777777" w:rsidR="00BD72E2" w:rsidRPr="00BD72E2" w:rsidRDefault="00BD72E2" w:rsidP="00BD72E2">
      <w:pPr>
        <w:tabs>
          <w:tab w:val="clear" w:pos="567"/>
          <w:tab w:val="left" w:pos="1296"/>
        </w:tabs>
        <w:suppressAutoHyphens/>
        <w:spacing w:line="240" w:lineRule="auto"/>
        <w:ind w:left="142" w:hanging="142"/>
        <w:rPr>
          <w:szCs w:val="22"/>
          <w:lang w:val="lt-LT"/>
        </w:rPr>
      </w:pPr>
      <w:r w:rsidRPr="00BD72E2">
        <w:rPr>
          <w:b/>
          <w:szCs w:val="22"/>
          <w:lang w:val="lt-LT"/>
        </w:rPr>
        <w:t>Atidžiai perskaitykite visą šį lapelį, prieš pradėdami vartoti vaistą, nes jame pateikiama Jums svarbi informacija.</w:t>
      </w:r>
    </w:p>
    <w:p w14:paraId="2483B190" w14:textId="77777777" w:rsidR="00BD72E2" w:rsidRPr="00BD72E2" w:rsidRDefault="00BD72E2" w:rsidP="00BD72E2">
      <w:pPr>
        <w:numPr>
          <w:ilvl w:val="0"/>
          <w:numId w:val="1"/>
        </w:numPr>
        <w:tabs>
          <w:tab w:val="clear" w:pos="567"/>
          <w:tab w:val="left" w:pos="1296"/>
        </w:tabs>
        <w:spacing w:line="240" w:lineRule="auto"/>
        <w:ind w:left="567" w:right="-2" w:hanging="567"/>
        <w:rPr>
          <w:szCs w:val="22"/>
          <w:lang w:val="lt-LT"/>
        </w:rPr>
      </w:pPr>
      <w:r w:rsidRPr="00BD72E2">
        <w:rPr>
          <w:szCs w:val="22"/>
          <w:lang w:val="lt-LT"/>
        </w:rPr>
        <w:t xml:space="preserve">Neišmeskite šio lapelio, nes vėl gali prireikti jį perskaityti. </w:t>
      </w:r>
    </w:p>
    <w:p w14:paraId="6B3FB18F" w14:textId="77777777" w:rsidR="00BD72E2" w:rsidRPr="00BD72E2" w:rsidRDefault="00BD72E2" w:rsidP="00BD72E2">
      <w:pPr>
        <w:numPr>
          <w:ilvl w:val="0"/>
          <w:numId w:val="1"/>
        </w:numPr>
        <w:tabs>
          <w:tab w:val="clear" w:pos="567"/>
          <w:tab w:val="left" w:pos="1296"/>
        </w:tabs>
        <w:spacing w:line="240" w:lineRule="auto"/>
        <w:ind w:left="567" w:right="-2" w:hanging="567"/>
        <w:rPr>
          <w:szCs w:val="22"/>
          <w:lang w:val="lt-LT"/>
        </w:rPr>
      </w:pPr>
      <w:r w:rsidRPr="00BD72E2">
        <w:rPr>
          <w:szCs w:val="22"/>
          <w:lang w:val="lt-LT"/>
        </w:rPr>
        <w:t>Jeigu kiltų daugiau klausimų, kreipkitės į gydytoją arba vaistininką.</w:t>
      </w:r>
    </w:p>
    <w:p w14:paraId="058BA966" w14:textId="77777777" w:rsidR="00BD72E2" w:rsidRPr="00BD72E2" w:rsidRDefault="00BD72E2" w:rsidP="00BD72E2">
      <w:pPr>
        <w:spacing w:line="240" w:lineRule="auto"/>
        <w:ind w:left="567" w:right="-2" w:hanging="567"/>
        <w:rPr>
          <w:szCs w:val="22"/>
          <w:lang w:val="lt-LT"/>
        </w:rPr>
      </w:pPr>
      <w:r w:rsidRPr="00BD72E2">
        <w:rPr>
          <w:szCs w:val="22"/>
          <w:lang w:val="lt-LT"/>
        </w:rPr>
        <w:t>-</w:t>
      </w:r>
      <w:r w:rsidRPr="00BD72E2">
        <w:rPr>
          <w:szCs w:val="22"/>
          <w:lang w:val="lt-LT"/>
        </w:rPr>
        <w:tab/>
        <w:t>Šis vaistas skirtas tik Jums, todėl kitiems žmonėms jo duoti negalima. Vaistas gali jiems pakenkti (net tiems, kurių ligos požymiai yra tokie patys kaip Jūsų).</w:t>
      </w:r>
    </w:p>
    <w:p w14:paraId="59EE57A3" w14:textId="77777777" w:rsidR="00BD72E2" w:rsidRPr="00BD72E2" w:rsidRDefault="00BD72E2" w:rsidP="00BD72E2">
      <w:pPr>
        <w:numPr>
          <w:ilvl w:val="0"/>
          <w:numId w:val="1"/>
        </w:numPr>
        <w:spacing w:line="240" w:lineRule="auto"/>
        <w:ind w:left="567" w:hanging="567"/>
        <w:rPr>
          <w:szCs w:val="22"/>
          <w:lang w:val="lt-LT"/>
        </w:rPr>
      </w:pPr>
      <w:r w:rsidRPr="00BD72E2">
        <w:rPr>
          <w:szCs w:val="22"/>
          <w:lang w:val="lt-LT"/>
        </w:rPr>
        <w:t>Jeigu pasireiškė šalutinis poveikis (net jeigu jis šiame lapelyje nenurodytas), kreipkitės į gydytoją arba vaistininką. Žr. 4 skyrių.</w:t>
      </w:r>
    </w:p>
    <w:p w14:paraId="27A50127" w14:textId="77777777" w:rsidR="00BD72E2" w:rsidRPr="00BD72E2" w:rsidRDefault="00BD72E2" w:rsidP="00BD72E2">
      <w:pPr>
        <w:tabs>
          <w:tab w:val="clear" w:pos="567"/>
          <w:tab w:val="left" w:pos="1296"/>
        </w:tabs>
        <w:spacing w:line="240" w:lineRule="auto"/>
        <w:ind w:right="-2"/>
        <w:rPr>
          <w:szCs w:val="22"/>
          <w:lang w:val="lt-LT"/>
        </w:rPr>
      </w:pPr>
    </w:p>
    <w:p w14:paraId="0029EF17"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Apie ką rašoma šiame lapelyje?</w:t>
      </w:r>
    </w:p>
    <w:p w14:paraId="63C6087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3F409A06"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1.</w:t>
      </w:r>
      <w:r w:rsidRPr="00BD72E2">
        <w:rPr>
          <w:szCs w:val="22"/>
          <w:lang w:val="lt-LT"/>
        </w:rPr>
        <w:tab/>
        <w:t xml:space="preserve">Kas yra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ir kam jis vartojamas </w:t>
      </w:r>
    </w:p>
    <w:p w14:paraId="2C61AEA6"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2.</w:t>
      </w:r>
      <w:r w:rsidRPr="00BD72E2">
        <w:rPr>
          <w:szCs w:val="22"/>
          <w:lang w:val="lt-LT"/>
        </w:rPr>
        <w:tab/>
        <w:t xml:space="preserve">Kas žinotina prieš vartojant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p>
    <w:p w14:paraId="3A75E14F"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3.</w:t>
      </w:r>
      <w:r w:rsidRPr="00BD72E2">
        <w:rPr>
          <w:szCs w:val="22"/>
          <w:lang w:val="lt-LT"/>
        </w:rPr>
        <w:tab/>
        <w:t xml:space="preserve">Kaip vartoti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p>
    <w:p w14:paraId="575166B8"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4.</w:t>
      </w:r>
      <w:r w:rsidRPr="00BD72E2">
        <w:rPr>
          <w:szCs w:val="22"/>
          <w:lang w:val="lt-LT"/>
        </w:rPr>
        <w:tab/>
        <w:t xml:space="preserve">Galimas šalutinis poveikis </w:t>
      </w:r>
    </w:p>
    <w:p w14:paraId="68DE8492" w14:textId="77777777" w:rsidR="00BD72E2" w:rsidRPr="00BD72E2" w:rsidRDefault="00BD72E2" w:rsidP="00BD72E2">
      <w:pPr>
        <w:numPr>
          <w:ilvl w:val="12"/>
          <w:numId w:val="0"/>
        </w:numPr>
        <w:tabs>
          <w:tab w:val="clear" w:pos="567"/>
          <w:tab w:val="left" w:pos="709"/>
        </w:tabs>
        <w:spacing w:line="240" w:lineRule="auto"/>
        <w:ind w:left="567" w:right="-2" w:hanging="567"/>
        <w:rPr>
          <w:szCs w:val="22"/>
          <w:lang w:val="lt-LT"/>
        </w:rPr>
      </w:pPr>
      <w:r w:rsidRPr="00BD72E2">
        <w:rPr>
          <w:szCs w:val="22"/>
          <w:lang w:val="lt-LT"/>
        </w:rPr>
        <w:t>5.</w:t>
      </w:r>
      <w:r w:rsidRPr="00BD72E2">
        <w:rPr>
          <w:szCs w:val="22"/>
          <w:lang w:val="lt-LT"/>
        </w:rPr>
        <w:tab/>
        <w:t xml:space="preserve">Kaip laikyti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p>
    <w:p w14:paraId="3B90CC2D"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6.</w:t>
      </w:r>
      <w:r w:rsidRPr="00BD72E2">
        <w:rPr>
          <w:szCs w:val="22"/>
          <w:lang w:val="lt-LT"/>
        </w:rPr>
        <w:tab/>
        <w:t>Pakuotės turinys ir kita informacija</w:t>
      </w:r>
    </w:p>
    <w:p w14:paraId="3CF5ACD8"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37F4B3C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1A1ED47"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1.</w:t>
      </w:r>
      <w:r w:rsidRPr="00EE1101">
        <w:rPr>
          <w:rFonts w:ascii="Times New Roman" w:hAnsi="Times New Roman" w:cs="Times New Roman"/>
          <w:b/>
          <w:bCs/>
          <w:i w:val="0"/>
          <w:iCs w:val="0"/>
          <w:color w:val="auto"/>
          <w:szCs w:val="22"/>
          <w:lang w:val="lt-LT"/>
        </w:rPr>
        <w:tab/>
        <w:t xml:space="preserve">Kas yra </w:t>
      </w: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r w:rsidRPr="00EE1101">
        <w:rPr>
          <w:rFonts w:ascii="Times New Roman" w:hAnsi="Times New Roman" w:cs="Times New Roman"/>
          <w:b/>
          <w:bCs/>
          <w:i w:val="0"/>
          <w:iCs w:val="0"/>
          <w:color w:val="auto"/>
          <w:szCs w:val="22"/>
          <w:lang w:val="lt-LT"/>
        </w:rPr>
        <w:t xml:space="preserve"> ir kam jis vartojamas</w:t>
      </w:r>
    </w:p>
    <w:p w14:paraId="7C188CAA"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4D947B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yra </w:t>
      </w:r>
      <w:proofErr w:type="spellStart"/>
      <w:r w:rsidRPr="00BD72E2">
        <w:rPr>
          <w:szCs w:val="22"/>
          <w:lang w:val="lt-LT"/>
        </w:rPr>
        <w:t>aminoglikozidų</w:t>
      </w:r>
      <w:proofErr w:type="spellEnd"/>
      <w:r w:rsidRPr="00BD72E2">
        <w:rPr>
          <w:szCs w:val="22"/>
          <w:lang w:val="lt-LT"/>
        </w:rPr>
        <w:t xml:space="preserve"> grupės antibiotikas.</w:t>
      </w:r>
    </w:p>
    <w:p w14:paraId="2EA168B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139F1AC"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vartojamas bakterijų, vadinamų </w:t>
      </w:r>
      <w:proofErr w:type="spellStart"/>
      <w:r w:rsidRPr="00BD72E2">
        <w:rPr>
          <w:i/>
          <w:szCs w:val="22"/>
          <w:lang w:val="lt-LT"/>
        </w:rPr>
        <w:t>Pseudomonas</w:t>
      </w:r>
      <w:proofErr w:type="spellEnd"/>
      <w:r w:rsidRPr="00BD72E2">
        <w:rPr>
          <w:i/>
          <w:szCs w:val="22"/>
          <w:lang w:val="lt-LT"/>
        </w:rPr>
        <w:t xml:space="preserve"> </w:t>
      </w:r>
      <w:proofErr w:type="spellStart"/>
      <w:r w:rsidRPr="00BD72E2">
        <w:rPr>
          <w:i/>
          <w:szCs w:val="22"/>
          <w:lang w:val="lt-LT"/>
        </w:rPr>
        <w:t>aeruginosa</w:t>
      </w:r>
      <w:proofErr w:type="spellEnd"/>
      <w:r w:rsidRPr="00BD72E2">
        <w:rPr>
          <w:szCs w:val="22"/>
          <w:lang w:val="lt-LT"/>
        </w:rPr>
        <w:t>, sukeltai plaučių infekcinei ligai gydyti 6 metų ir vyresniems pacientams, sergantiems cistine fibroze.</w:t>
      </w:r>
    </w:p>
    <w:p w14:paraId="26F8FCC6"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3905EEA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naikina infekcinę ligą sukeliančias </w:t>
      </w:r>
      <w:proofErr w:type="spellStart"/>
      <w:r w:rsidRPr="00BD72E2">
        <w:rPr>
          <w:i/>
          <w:szCs w:val="22"/>
          <w:lang w:val="lt-LT"/>
        </w:rPr>
        <w:t>Pseudomonas</w:t>
      </w:r>
      <w:proofErr w:type="spellEnd"/>
      <w:r w:rsidRPr="00BD72E2">
        <w:rPr>
          <w:i/>
          <w:szCs w:val="22"/>
          <w:lang w:val="lt-LT"/>
        </w:rPr>
        <w:t xml:space="preserve"> </w:t>
      </w:r>
      <w:proofErr w:type="spellStart"/>
      <w:r w:rsidRPr="00BD72E2">
        <w:rPr>
          <w:i/>
          <w:szCs w:val="22"/>
          <w:lang w:val="lt-LT"/>
        </w:rPr>
        <w:t>aeruginosa</w:t>
      </w:r>
      <w:proofErr w:type="spellEnd"/>
      <w:r w:rsidRPr="00BD72E2">
        <w:rPr>
          <w:szCs w:val="22"/>
          <w:lang w:val="lt-LT"/>
        </w:rPr>
        <w:t xml:space="preserve"> bakterijas plaučiuose ir padeda gerinti kvėpavimą.</w:t>
      </w:r>
    </w:p>
    <w:p w14:paraId="33A06C65"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C6B2F04"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Įkvėpus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antibiotikas gali patekti tiesiogiai į plaučius ir ten kovoti su infekciją sukeliančia bakterija. Norėdami pasiekti geriausių gydymo šiuo vaistu rezultatų, jį vartokite taip, kaip nurodyta šiame lapelyje.</w:t>
      </w:r>
    </w:p>
    <w:p w14:paraId="26F77B8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7F49CF8A" w14:textId="77777777" w:rsidR="00BD72E2" w:rsidRPr="00BD72E2" w:rsidRDefault="00BD72E2" w:rsidP="00BD72E2">
      <w:pPr>
        <w:numPr>
          <w:ilvl w:val="12"/>
          <w:numId w:val="0"/>
        </w:numPr>
        <w:tabs>
          <w:tab w:val="clear" w:pos="567"/>
          <w:tab w:val="left" w:pos="1296"/>
        </w:tabs>
        <w:spacing w:line="240" w:lineRule="auto"/>
        <w:ind w:right="-2"/>
        <w:rPr>
          <w:b/>
          <w:i/>
          <w:szCs w:val="22"/>
          <w:lang w:val="lt-LT"/>
        </w:rPr>
      </w:pPr>
      <w:r w:rsidRPr="00BD72E2">
        <w:rPr>
          <w:b/>
          <w:i/>
          <w:szCs w:val="22"/>
          <w:lang w:val="lt-LT"/>
        </w:rPr>
        <w:t xml:space="preserve">Kas yra </w:t>
      </w:r>
      <w:proofErr w:type="spellStart"/>
      <w:r w:rsidRPr="00BD72E2">
        <w:rPr>
          <w:b/>
          <w:i/>
          <w:szCs w:val="22"/>
          <w:lang w:val="lt-LT"/>
        </w:rPr>
        <w:t>Pseudomonas</w:t>
      </w:r>
      <w:proofErr w:type="spellEnd"/>
      <w:r w:rsidRPr="00BD72E2">
        <w:rPr>
          <w:b/>
          <w:i/>
          <w:szCs w:val="22"/>
          <w:lang w:val="lt-LT"/>
        </w:rPr>
        <w:t xml:space="preserve"> </w:t>
      </w:r>
      <w:proofErr w:type="spellStart"/>
      <w:r w:rsidRPr="00BD72E2">
        <w:rPr>
          <w:b/>
          <w:i/>
          <w:szCs w:val="22"/>
          <w:lang w:val="lt-LT"/>
        </w:rPr>
        <w:t>aeruginosa</w:t>
      </w:r>
      <w:proofErr w:type="spellEnd"/>
    </w:p>
    <w:p w14:paraId="4DABCC8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Tai yra labai paplitusios bakterijos, kuriomis kažkuriuo gyvenimo laikotarpiu būna infekuoti beveik visi cistine fibroze sergantys pacientai. Kai kuriems žmonėms ši infekcija neatsiranda labai ilgai, o kai kuriems ji pasireiškia labai jauniems.</w:t>
      </w:r>
    </w:p>
    <w:p w14:paraId="52D155F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3DAD9AA"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Tai viena iš labiausiai kenksmingų bakterijų cistine fibroze sergantiems asmenims. Jei infekcija nėra tinkamai kontroliuojama, ji toliau pažeidžia Jūsų plaučius ir dar labiau sutrikdo kvėpavimą.</w:t>
      </w:r>
    </w:p>
    <w:p w14:paraId="3DDD23C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67B34F87"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naikina plaučių infekcinę ligą sukeliančias bakterijas. Infekciją galima sėkmingai kontroliuoti, jei gydymas pradedamas anksti.</w:t>
      </w:r>
    </w:p>
    <w:p w14:paraId="64FEE90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23D819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CA22AFE"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2.</w:t>
      </w:r>
      <w:r w:rsidRPr="00EE1101">
        <w:rPr>
          <w:rFonts w:ascii="Times New Roman" w:hAnsi="Times New Roman" w:cs="Times New Roman"/>
          <w:b/>
          <w:bCs/>
          <w:i w:val="0"/>
          <w:iCs w:val="0"/>
          <w:color w:val="auto"/>
          <w:szCs w:val="22"/>
          <w:lang w:val="lt-LT"/>
        </w:rPr>
        <w:tab/>
        <w:t xml:space="preserve">Kas žinotina prieš vartojant </w:t>
      </w: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p>
    <w:p w14:paraId="64582CA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5B5454E"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r w:rsidRPr="00EE1101">
        <w:rPr>
          <w:rFonts w:ascii="Times New Roman" w:hAnsi="Times New Roman" w:cs="Times New Roman"/>
          <w:b/>
          <w:bCs/>
          <w:i w:val="0"/>
          <w:iCs w:val="0"/>
          <w:color w:val="auto"/>
          <w:szCs w:val="22"/>
          <w:lang w:val="lt-LT"/>
        </w:rPr>
        <w:t xml:space="preserve"> vartoti negalima:</w:t>
      </w:r>
    </w:p>
    <w:p w14:paraId="36307DE1" w14:textId="77777777" w:rsidR="00BD72E2" w:rsidRPr="00BD72E2" w:rsidRDefault="00BD72E2" w:rsidP="00BD72E2">
      <w:pPr>
        <w:numPr>
          <w:ilvl w:val="12"/>
          <w:numId w:val="0"/>
        </w:numPr>
        <w:spacing w:line="240" w:lineRule="auto"/>
        <w:ind w:left="567" w:hanging="567"/>
        <w:rPr>
          <w:szCs w:val="22"/>
          <w:lang w:val="lt-LT"/>
        </w:rPr>
      </w:pPr>
      <w:r w:rsidRPr="00BD72E2">
        <w:rPr>
          <w:szCs w:val="22"/>
          <w:lang w:val="lt-LT"/>
        </w:rPr>
        <w:t>-</w:t>
      </w:r>
      <w:r w:rsidRPr="00BD72E2">
        <w:rPr>
          <w:szCs w:val="22"/>
          <w:lang w:val="lt-LT"/>
        </w:rPr>
        <w:tab/>
        <w:t xml:space="preserve">jeigu yra alergija (padidėjęs jautrumas) </w:t>
      </w:r>
      <w:proofErr w:type="spellStart"/>
      <w:r w:rsidRPr="00BD72E2">
        <w:rPr>
          <w:szCs w:val="22"/>
          <w:lang w:val="lt-LT"/>
        </w:rPr>
        <w:t>tobramicinui</w:t>
      </w:r>
      <w:proofErr w:type="spellEnd"/>
      <w:r w:rsidRPr="00BD72E2">
        <w:rPr>
          <w:szCs w:val="22"/>
          <w:lang w:val="lt-LT"/>
        </w:rPr>
        <w:t xml:space="preserve">, bet kuriam kitam </w:t>
      </w:r>
      <w:proofErr w:type="spellStart"/>
      <w:r w:rsidRPr="00BD72E2">
        <w:rPr>
          <w:szCs w:val="22"/>
          <w:lang w:val="lt-LT"/>
        </w:rPr>
        <w:t>aminoglikozidų</w:t>
      </w:r>
      <w:proofErr w:type="spellEnd"/>
      <w:r w:rsidRPr="00BD72E2">
        <w:rPr>
          <w:szCs w:val="22"/>
          <w:lang w:val="lt-LT"/>
        </w:rPr>
        <w:t xml:space="preserve"> grupės antibiotikui arba bet kuriai pagalbinei šio vaisto medžiagai (jos išvardytos 6 skyriuje).</w:t>
      </w:r>
    </w:p>
    <w:p w14:paraId="7D59F195" w14:textId="77777777" w:rsidR="00BD72E2" w:rsidRPr="00BD72E2" w:rsidRDefault="00BD72E2" w:rsidP="00BD72E2">
      <w:pPr>
        <w:numPr>
          <w:ilvl w:val="12"/>
          <w:numId w:val="0"/>
        </w:numPr>
        <w:spacing w:line="240" w:lineRule="auto"/>
        <w:rPr>
          <w:szCs w:val="22"/>
          <w:lang w:val="lt-LT"/>
        </w:rPr>
      </w:pPr>
      <w:r w:rsidRPr="00BD72E2">
        <w:rPr>
          <w:szCs w:val="22"/>
          <w:lang w:val="lt-LT"/>
        </w:rPr>
        <w:t xml:space="preserve">Jei Jums yra tokia būklė, apie tai gydytojui pasakykite prieš pradėdami gydymą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w:t>
      </w:r>
    </w:p>
    <w:p w14:paraId="7E95E0F4"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6E3EC59"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 xml:space="preserve">Įspėjimai ir atsargumo priemonės </w:t>
      </w:r>
    </w:p>
    <w:p w14:paraId="00EEE7FB"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Pasitarkite su gydytoju arba vaistininku, prieš pradėdami vartoti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jeigu yra ar kada nors buvo bet kuris iš toliau išvardytų sutrikimų:</w:t>
      </w:r>
    </w:p>
    <w:p w14:paraId="68462CE5"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klausos sutrikimas (įskaitant ūžimą ausyse ir svaigulį);</w:t>
      </w:r>
    </w:p>
    <w:p w14:paraId="67354D8B"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inkstų sutrikimas;</w:t>
      </w:r>
    </w:p>
    <w:p w14:paraId="02ECB893"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neįprastai apsunkintas kvėpavimas su švokštimu ar kosuliu, sunkumo pojūtis krūtinėje;</w:t>
      </w:r>
    </w:p>
    <w:p w14:paraId="4E71822B"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kraujas skrepliuose (atkosėtame turinyje);</w:t>
      </w:r>
    </w:p>
    <w:p w14:paraId="739B9040"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 xml:space="preserve">raumenų silpnumas, kuris tęsiasi ar bėgant laikui stiprėja (tai dažniausiai yra su tokiomis būklėmis, kaip </w:t>
      </w:r>
      <w:proofErr w:type="spellStart"/>
      <w:r w:rsidRPr="00BD72E2">
        <w:rPr>
          <w:szCs w:val="22"/>
          <w:lang w:val="lt-LT"/>
        </w:rPr>
        <w:t>miastenija</w:t>
      </w:r>
      <w:proofErr w:type="spellEnd"/>
      <w:r w:rsidRPr="00BD72E2">
        <w:rPr>
          <w:szCs w:val="22"/>
          <w:lang w:val="lt-LT"/>
        </w:rPr>
        <w:t xml:space="preserve"> ar Parkinsono liga, susijęs simptomas).</w:t>
      </w:r>
    </w:p>
    <w:p w14:paraId="31F9D5EC" w14:textId="77777777" w:rsidR="00BD72E2" w:rsidRPr="00BD72E2" w:rsidRDefault="00BD72E2" w:rsidP="00BD72E2">
      <w:pPr>
        <w:tabs>
          <w:tab w:val="clear" w:pos="567"/>
          <w:tab w:val="left" w:pos="1296"/>
        </w:tabs>
        <w:spacing w:line="240" w:lineRule="auto"/>
        <w:ind w:right="-2"/>
        <w:rPr>
          <w:szCs w:val="22"/>
          <w:lang w:val="lt-LT"/>
        </w:rPr>
      </w:pPr>
    </w:p>
    <w:p w14:paraId="58907D26"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Įkvepiami vaistai gali sukelti sunkumo pojūtį krūtinėje ir švokštimą, toks poveikis galimas ir po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pavartojimo. Jūsų gydytojas stebės Jūsų būklę vartojant pirmąją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dozę bei patikrins Jūsų plaučių veiklą prieš vaisto vartojimą ir po jo. Gydytojas gali paprašyti Jūsų prieš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įkvėpimą vartoti bronchus plečiantį vaistą (jei jo dar nevartojate), pvz., </w:t>
      </w:r>
      <w:proofErr w:type="spellStart"/>
      <w:r w:rsidRPr="00BD72E2">
        <w:rPr>
          <w:szCs w:val="22"/>
          <w:lang w:val="lt-LT"/>
        </w:rPr>
        <w:t>salbutamolį</w:t>
      </w:r>
      <w:proofErr w:type="spellEnd"/>
      <w:r w:rsidRPr="00BD72E2">
        <w:rPr>
          <w:szCs w:val="22"/>
          <w:lang w:val="lt-LT"/>
        </w:rPr>
        <w:t>.</w:t>
      </w:r>
    </w:p>
    <w:p w14:paraId="3A1E0068"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C027B5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Vartojant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po tam tikro laiko </w:t>
      </w:r>
      <w:proofErr w:type="spellStart"/>
      <w:r w:rsidRPr="00BD72E2">
        <w:rPr>
          <w:i/>
          <w:szCs w:val="22"/>
          <w:lang w:val="lt-LT"/>
        </w:rPr>
        <w:t>Pseudomonas</w:t>
      </w:r>
      <w:proofErr w:type="spellEnd"/>
      <w:r w:rsidRPr="00BD72E2">
        <w:rPr>
          <w:szCs w:val="22"/>
          <w:lang w:val="lt-LT"/>
        </w:rPr>
        <w:t xml:space="preserve"> padermės gali tapti atsparios gydymui. Tai reiškia, kad, laikui bėgant, vaistas gali nebeveikti taip gerai, kaip turėtų. Jeigu Jums dėl to neramu, pasitarkite su gydytoju.</w:t>
      </w:r>
    </w:p>
    <w:p w14:paraId="7641644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5B01AA8"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Injekuojamas</w:t>
      </w:r>
      <w:proofErr w:type="spellEnd"/>
      <w:r w:rsidRPr="00BD72E2">
        <w:rPr>
          <w:szCs w:val="22"/>
          <w:lang w:val="lt-LT"/>
        </w:rPr>
        <w:t xml:space="preserve"> </w:t>
      </w:r>
      <w:proofErr w:type="spellStart"/>
      <w:r w:rsidRPr="00BD72E2">
        <w:rPr>
          <w:szCs w:val="22"/>
          <w:lang w:val="lt-LT"/>
        </w:rPr>
        <w:t>tobramicinas</w:t>
      </w:r>
      <w:proofErr w:type="spellEnd"/>
      <w:r w:rsidRPr="00BD72E2">
        <w:rPr>
          <w:szCs w:val="22"/>
          <w:lang w:val="lt-LT"/>
        </w:rPr>
        <w:t xml:space="preserve"> kartais gali sukelti apkurtimą, svaigulį ir inkstų pažeidimą bei pakenkti dar negimusiam vaikui.</w:t>
      </w:r>
    </w:p>
    <w:p w14:paraId="0FFB816A"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3EA085F1"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Vaikams ir paaugliams</w:t>
      </w:r>
    </w:p>
    <w:p w14:paraId="2F3F3E8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gali vartoti 6 metų ir vyresni vaikai ir paaugliai. Jaunesniems kaip 6 metų vaikams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vartoti negalima.</w:t>
      </w:r>
    </w:p>
    <w:p w14:paraId="284D871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1439DD2"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 xml:space="preserve">Kiti vaistai ir </w:t>
      </w: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p>
    <w:p w14:paraId="5A0A6AC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Jeigu vartojate ar neseniai vartojote kitų vaistų arba dėl to nesate tikri, apie tai pasakykite gydytojui arba vaistininkui.</w:t>
      </w:r>
    </w:p>
    <w:p w14:paraId="5CAF97A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758E9EE"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Gydymosi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metu negalima vartoti šių vaistų:</w:t>
      </w:r>
    </w:p>
    <w:p w14:paraId="091345A0"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proofErr w:type="spellStart"/>
      <w:r w:rsidRPr="00BD72E2">
        <w:rPr>
          <w:szCs w:val="22"/>
          <w:lang w:val="lt-LT"/>
        </w:rPr>
        <w:t>furozemido</w:t>
      </w:r>
      <w:proofErr w:type="spellEnd"/>
      <w:r w:rsidRPr="00BD72E2">
        <w:rPr>
          <w:szCs w:val="22"/>
          <w:lang w:val="lt-LT"/>
        </w:rPr>
        <w:t xml:space="preserve"> (diuretiko, t. y. šlapimo išsiskyrimą skatinančio vaisto);</w:t>
      </w:r>
    </w:p>
    <w:p w14:paraId="4362CFC2"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 xml:space="preserve">šlapalo ar </w:t>
      </w:r>
      <w:proofErr w:type="spellStart"/>
      <w:r w:rsidRPr="00BD72E2">
        <w:rPr>
          <w:szCs w:val="22"/>
          <w:lang w:val="lt-LT"/>
        </w:rPr>
        <w:t>manitolio</w:t>
      </w:r>
      <w:proofErr w:type="spellEnd"/>
      <w:r w:rsidRPr="00BD72E2">
        <w:rPr>
          <w:szCs w:val="22"/>
          <w:lang w:val="lt-LT"/>
        </w:rPr>
        <w:t>;</w:t>
      </w:r>
    </w:p>
    <w:p w14:paraId="40C92E00"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kitų vaistų, kurie gali pažeisti nervų sistemą, inkstus ar klausą.</w:t>
      </w:r>
    </w:p>
    <w:p w14:paraId="00F69EC1" w14:textId="77777777" w:rsidR="00BD72E2" w:rsidRPr="00BD72E2" w:rsidRDefault="00BD72E2" w:rsidP="00BD72E2">
      <w:pPr>
        <w:tabs>
          <w:tab w:val="clear" w:pos="567"/>
          <w:tab w:val="left" w:pos="1296"/>
        </w:tabs>
        <w:spacing w:line="240" w:lineRule="auto"/>
        <w:ind w:right="-2"/>
        <w:rPr>
          <w:szCs w:val="22"/>
          <w:lang w:val="lt-LT"/>
        </w:rPr>
      </w:pPr>
    </w:p>
    <w:p w14:paraId="1035030B"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Toliau išvardyti vaistai gali didinti žalingo poveikio tikimybę, jeigu jų vartojama gydymo </w:t>
      </w:r>
      <w:r w:rsidRPr="00BD72E2">
        <w:rPr>
          <w:b/>
          <w:szCs w:val="22"/>
          <w:lang w:val="lt-LT"/>
        </w:rPr>
        <w:t>injekciniu</w:t>
      </w:r>
      <w:r w:rsidRPr="00BD72E2">
        <w:rPr>
          <w:szCs w:val="22"/>
          <w:lang w:val="lt-LT"/>
        </w:rPr>
        <w:t xml:space="preserve"> </w:t>
      </w:r>
      <w:proofErr w:type="spellStart"/>
      <w:r w:rsidRPr="00BD72E2">
        <w:rPr>
          <w:szCs w:val="22"/>
          <w:lang w:val="lt-LT"/>
        </w:rPr>
        <w:t>tobramicinu</w:t>
      </w:r>
      <w:proofErr w:type="spellEnd"/>
      <w:r w:rsidRPr="00BD72E2">
        <w:rPr>
          <w:szCs w:val="22"/>
          <w:lang w:val="lt-LT"/>
        </w:rPr>
        <w:t xml:space="preserve"> metu:</w:t>
      </w:r>
    </w:p>
    <w:p w14:paraId="5CC287ED"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proofErr w:type="spellStart"/>
      <w:r w:rsidRPr="00BD72E2">
        <w:rPr>
          <w:szCs w:val="22"/>
          <w:lang w:val="lt-LT"/>
        </w:rPr>
        <w:t>amfotericinas</w:t>
      </w:r>
      <w:proofErr w:type="spellEnd"/>
      <w:r w:rsidRPr="00BD72E2">
        <w:rPr>
          <w:szCs w:val="22"/>
          <w:lang w:val="lt-LT"/>
        </w:rPr>
        <w:t xml:space="preserve"> B, </w:t>
      </w:r>
      <w:proofErr w:type="spellStart"/>
      <w:r w:rsidRPr="00BD72E2">
        <w:rPr>
          <w:szCs w:val="22"/>
          <w:lang w:val="lt-LT"/>
        </w:rPr>
        <w:t>cefalotinas</w:t>
      </w:r>
      <w:proofErr w:type="spellEnd"/>
      <w:r w:rsidRPr="00BD72E2">
        <w:rPr>
          <w:szCs w:val="22"/>
          <w:lang w:val="lt-LT"/>
        </w:rPr>
        <w:t xml:space="preserve">, </w:t>
      </w:r>
      <w:proofErr w:type="spellStart"/>
      <w:r w:rsidRPr="00BD72E2">
        <w:rPr>
          <w:szCs w:val="22"/>
          <w:lang w:val="lt-LT"/>
        </w:rPr>
        <w:t>ciklosporinas</w:t>
      </w:r>
      <w:proofErr w:type="spellEnd"/>
      <w:r w:rsidRPr="00BD72E2">
        <w:rPr>
          <w:szCs w:val="22"/>
          <w:lang w:val="lt-LT"/>
        </w:rPr>
        <w:t xml:space="preserve">, </w:t>
      </w:r>
      <w:proofErr w:type="spellStart"/>
      <w:r w:rsidRPr="00BD72E2">
        <w:rPr>
          <w:szCs w:val="22"/>
          <w:lang w:val="lt-LT"/>
        </w:rPr>
        <w:t>takrolimuzas</w:t>
      </w:r>
      <w:proofErr w:type="spellEnd"/>
      <w:r w:rsidRPr="00BD72E2">
        <w:rPr>
          <w:szCs w:val="22"/>
          <w:lang w:val="lt-LT"/>
        </w:rPr>
        <w:t xml:space="preserve">, </w:t>
      </w:r>
      <w:proofErr w:type="spellStart"/>
      <w:r w:rsidRPr="00BD72E2">
        <w:rPr>
          <w:szCs w:val="22"/>
          <w:lang w:val="lt-LT"/>
        </w:rPr>
        <w:t>polimiksinai</w:t>
      </w:r>
      <w:proofErr w:type="spellEnd"/>
      <w:r w:rsidRPr="00BD72E2">
        <w:rPr>
          <w:szCs w:val="22"/>
          <w:lang w:val="lt-LT"/>
        </w:rPr>
        <w:t xml:space="preserve"> (šie vaistai gali pažeisti inkstus);</w:t>
      </w:r>
    </w:p>
    <w:p w14:paraId="2DE566A7"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r w:rsidRPr="00BD72E2">
        <w:rPr>
          <w:szCs w:val="22"/>
          <w:lang w:val="lt-LT"/>
        </w:rPr>
        <w:t xml:space="preserve">platinos dariniai, pvz., </w:t>
      </w:r>
      <w:proofErr w:type="spellStart"/>
      <w:r w:rsidRPr="00BD72E2">
        <w:rPr>
          <w:szCs w:val="22"/>
          <w:lang w:val="lt-LT"/>
        </w:rPr>
        <w:t>karboplatina</w:t>
      </w:r>
      <w:proofErr w:type="spellEnd"/>
      <w:r w:rsidRPr="00BD72E2">
        <w:rPr>
          <w:szCs w:val="22"/>
          <w:lang w:val="lt-LT"/>
        </w:rPr>
        <w:t xml:space="preserve"> ir </w:t>
      </w:r>
      <w:proofErr w:type="spellStart"/>
      <w:r w:rsidRPr="00BD72E2">
        <w:rPr>
          <w:szCs w:val="22"/>
          <w:lang w:val="lt-LT"/>
        </w:rPr>
        <w:t>cisplatina</w:t>
      </w:r>
      <w:proofErr w:type="spellEnd"/>
      <w:r w:rsidRPr="00BD72E2">
        <w:rPr>
          <w:szCs w:val="22"/>
          <w:lang w:val="lt-LT"/>
        </w:rPr>
        <w:t xml:space="preserve"> (šie vaistai gali pažeisti inkstus ar klausą);</w:t>
      </w:r>
    </w:p>
    <w:p w14:paraId="549FE4D7" w14:textId="77777777" w:rsidR="00BD72E2" w:rsidRPr="00BD72E2" w:rsidRDefault="00BD72E2" w:rsidP="00BD72E2">
      <w:pPr>
        <w:numPr>
          <w:ilvl w:val="0"/>
          <w:numId w:val="2"/>
        </w:numPr>
        <w:tabs>
          <w:tab w:val="clear" w:pos="567"/>
          <w:tab w:val="left" w:pos="1296"/>
        </w:tabs>
        <w:spacing w:line="240" w:lineRule="auto"/>
        <w:ind w:left="567" w:right="-2" w:hanging="567"/>
        <w:rPr>
          <w:szCs w:val="22"/>
          <w:lang w:val="lt-LT"/>
        </w:rPr>
      </w:pPr>
      <w:proofErr w:type="spellStart"/>
      <w:r w:rsidRPr="00BD72E2">
        <w:rPr>
          <w:szCs w:val="22"/>
          <w:lang w:val="lt-LT"/>
        </w:rPr>
        <w:t>cholinesterazės</w:t>
      </w:r>
      <w:proofErr w:type="spellEnd"/>
      <w:r w:rsidRPr="00BD72E2">
        <w:rPr>
          <w:szCs w:val="22"/>
          <w:lang w:val="lt-LT"/>
        </w:rPr>
        <w:t xml:space="preserve"> inhibitoriai, pvz., </w:t>
      </w:r>
      <w:proofErr w:type="spellStart"/>
      <w:r w:rsidRPr="00BD72E2">
        <w:rPr>
          <w:szCs w:val="22"/>
          <w:lang w:val="lt-LT"/>
        </w:rPr>
        <w:t>neostigminas</w:t>
      </w:r>
      <w:proofErr w:type="spellEnd"/>
      <w:r w:rsidRPr="00BD72E2">
        <w:rPr>
          <w:szCs w:val="22"/>
          <w:lang w:val="lt-LT"/>
        </w:rPr>
        <w:t xml:space="preserve"> ir </w:t>
      </w:r>
      <w:proofErr w:type="spellStart"/>
      <w:r w:rsidRPr="00BD72E2">
        <w:rPr>
          <w:szCs w:val="22"/>
          <w:lang w:val="lt-LT"/>
        </w:rPr>
        <w:t>piridostigminas</w:t>
      </w:r>
      <w:proofErr w:type="spellEnd"/>
      <w:r w:rsidRPr="00BD72E2">
        <w:rPr>
          <w:szCs w:val="22"/>
          <w:lang w:val="lt-LT"/>
        </w:rPr>
        <w:t xml:space="preserve">, ar </w:t>
      </w:r>
      <w:proofErr w:type="spellStart"/>
      <w:r w:rsidRPr="00BD72E2">
        <w:rPr>
          <w:szCs w:val="22"/>
          <w:lang w:val="lt-LT"/>
        </w:rPr>
        <w:t>botulino</w:t>
      </w:r>
      <w:proofErr w:type="spellEnd"/>
      <w:r w:rsidRPr="00BD72E2">
        <w:rPr>
          <w:szCs w:val="22"/>
          <w:lang w:val="lt-LT"/>
        </w:rPr>
        <w:t xml:space="preserve"> toksinas (šie vaistai gali sukelti ar sustiprinti raumenų silpnumą).</w:t>
      </w:r>
    </w:p>
    <w:p w14:paraId="151AF396" w14:textId="77777777" w:rsidR="00BD72E2" w:rsidRPr="00BD72E2" w:rsidRDefault="00BD72E2" w:rsidP="00BD72E2">
      <w:pPr>
        <w:tabs>
          <w:tab w:val="clear" w:pos="567"/>
          <w:tab w:val="left" w:pos="1296"/>
        </w:tabs>
        <w:spacing w:line="240" w:lineRule="auto"/>
        <w:ind w:right="-2"/>
        <w:rPr>
          <w:szCs w:val="22"/>
          <w:lang w:val="lt-LT"/>
        </w:rPr>
      </w:pPr>
    </w:p>
    <w:p w14:paraId="45FF6F0C"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Jei vartojate vieną ar kelis iš paminėtų vaistų, tai su savo gydytoju aptarkite prieš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vartojimą.</w:t>
      </w:r>
    </w:p>
    <w:p w14:paraId="735409FB"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7A0FCE3A"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purkštuve negalima maišyti ar skiesti su jokiais kitais vaistais.</w:t>
      </w:r>
    </w:p>
    <w:p w14:paraId="4B67849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D55DED5"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bCs/>
          <w:szCs w:val="22"/>
          <w:lang w:val="lt-LT" w:eastAsia="es-ES"/>
        </w:rPr>
        <w:t xml:space="preserve">Jei Jums taikomas kelių skirtingų rūšių gydymas nuo cistinės fibrozės, naudojama tokia seka: </w:t>
      </w:r>
    </w:p>
    <w:p w14:paraId="42526CA4"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1.</w:t>
      </w:r>
      <w:r w:rsidRPr="00BD72E2">
        <w:rPr>
          <w:szCs w:val="22"/>
          <w:lang w:val="lt-LT"/>
        </w:rPr>
        <w:tab/>
      </w:r>
      <w:r w:rsidRPr="00BD72E2">
        <w:rPr>
          <w:bCs/>
          <w:szCs w:val="22"/>
          <w:lang w:val="lt-LT" w:eastAsia="es-ES"/>
        </w:rPr>
        <w:t>bronchus plečiantys vaistai</w:t>
      </w:r>
      <w:r w:rsidRPr="00BD72E2">
        <w:rPr>
          <w:szCs w:val="22"/>
          <w:lang w:val="lt-LT"/>
        </w:rPr>
        <w:t xml:space="preserve">, pvz., </w:t>
      </w:r>
      <w:proofErr w:type="spellStart"/>
      <w:r w:rsidRPr="00BD72E2">
        <w:rPr>
          <w:szCs w:val="22"/>
          <w:lang w:val="lt-LT"/>
        </w:rPr>
        <w:t>salbutamolis</w:t>
      </w:r>
      <w:proofErr w:type="spellEnd"/>
      <w:r w:rsidRPr="00BD72E2">
        <w:rPr>
          <w:szCs w:val="22"/>
          <w:lang w:val="lt-LT"/>
        </w:rPr>
        <w:t>;</w:t>
      </w:r>
    </w:p>
    <w:p w14:paraId="6F1EB28E"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2.</w:t>
      </w:r>
      <w:r w:rsidRPr="00BD72E2">
        <w:rPr>
          <w:szCs w:val="22"/>
          <w:lang w:val="lt-LT"/>
        </w:rPr>
        <w:tab/>
      </w:r>
      <w:r w:rsidRPr="00BD72E2">
        <w:rPr>
          <w:bCs/>
          <w:szCs w:val="22"/>
          <w:lang w:val="lt-LT" w:eastAsia="es-ES"/>
        </w:rPr>
        <w:t>krūtinės ląstos fizioterapija;</w:t>
      </w:r>
    </w:p>
    <w:p w14:paraId="07B4EFC5"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3.</w:t>
      </w:r>
      <w:r w:rsidRPr="00BD72E2">
        <w:rPr>
          <w:szCs w:val="22"/>
          <w:lang w:val="lt-LT"/>
        </w:rPr>
        <w:tab/>
      </w:r>
      <w:r w:rsidRPr="00BD72E2">
        <w:rPr>
          <w:bCs/>
          <w:szCs w:val="22"/>
          <w:lang w:val="lt-LT" w:eastAsia="es-ES"/>
        </w:rPr>
        <w:t>kiti įkvepiamieji vaistai;</w:t>
      </w:r>
    </w:p>
    <w:p w14:paraId="435F078C" w14:textId="77777777" w:rsidR="00BD72E2" w:rsidRPr="00BD72E2" w:rsidRDefault="00BD72E2" w:rsidP="00BD72E2">
      <w:pPr>
        <w:numPr>
          <w:ilvl w:val="12"/>
          <w:numId w:val="0"/>
        </w:numPr>
        <w:tabs>
          <w:tab w:val="clear" w:pos="567"/>
          <w:tab w:val="left" w:pos="1296"/>
        </w:tabs>
        <w:spacing w:line="240" w:lineRule="auto"/>
        <w:ind w:left="567" w:right="-2" w:hanging="567"/>
        <w:rPr>
          <w:szCs w:val="22"/>
          <w:lang w:val="lt-LT"/>
        </w:rPr>
      </w:pPr>
      <w:r w:rsidRPr="00BD72E2">
        <w:rPr>
          <w:szCs w:val="22"/>
          <w:lang w:val="lt-LT"/>
        </w:rPr>
        <w:t>4.</w:t>
      </w:r>
      <w:r w:rsidRPr="00BD72E2">
        <w:rPr>
          <w:szCs w:val="22"/>
          <w:lang w:val="lt-LT"/>
        </w:rPr>
        <w:tab/>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w:t>
      </w:r>
    </w:p>
    <w:p w14:paraId="2FB15B6E"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20D4F12"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lastRenderedPageBreak/>
        <w:t>Be to, tokią gydymo seką turi patvirtinti gydytojas.</w:t>
      </w:r>
    </w:p>
    <w:p w14:paraId="139F43A7"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5FF31689"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Nėštumas, žindymo laikotarpis ir vaisingumas</w:t>
      </w:r>
    </w:p>
    <w:p w14:paraId="0BB480CE" w14:textId="77777777" w:rsidR="00BD72E2" w:rsidRPr="00BD72E2" w:rsidRDefault="00BD72E2" w:rsidP="00BD72E2">
      <w:pPr>
        <w:numPr>
          <w:ilvl w:val="12"/>
          <w:numId w:val="0"/>
        </w:numPr>
        <w:tabs>
          <w:tab w:val="clear" w:pos="567"/>
          <w:tab w:val="left" w:pos="1296"/>
        </w:tabs>
        <w:spacing w:line="240" w:lineRule="auto"/>
        <w:rPr>
          <w:szCs w:val="22"/>
          <w:lang w:val="lt-LT"/>
        </w:rPr>
      </w:pPr>
      <w:r w:rsidRPr="00BD72E2">
        <w:rPr>
          <w:szCs w:val="22"/>
          <w:lang w:val="lt-LT"/>
        </w:rPr>
        <w:t>Jeigu esate nėščia, žindote kūdikį, manote, kad galbūt esate nėščia, arba planuojate pastoti, tai prieš vartodama šį vaistą, pasitarkite su gydytoju.</w:t>
      </w:r>
    </w:p>
    <w:p w14:paraId="26BE1C0E"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664707EC" w14:textId="77777777" w:rsidR="00BD72E2" w:rsidRPr="00BD72E2" w:rsidRDefault="00BD72E2" w:rsidP="00BD72E2">
      <w:pPr>
        <w:numPr>
          <w:ilvl w:val="12"/>
          <w:numId w:val="0"/>
        </w:numPr>
        <w:tabs>
          <w:tab w:val="clear" w:pos="567"/>
          <w:tab w:val="left" w:pos="1296"/>
        </w:tabs>
        <w:spacing w:line="240" w:lineRule="auto"/>
        <w:rPr>
          <w:szCs w:val="22"/>
          <w:lang w:val="lt-LT"/>
        </w:rPr>
      </w:pPr>
      <w:r w:rsidRPr="00BD72E2">
        <w:rPr>
          <w:szCs w:val="22"/>
          <w:lang w:val="lt-LT"/>
        </w:rPr>
        <w:t>Nežinoma, ar įkvepiant šio vaisto nėštumo metu sukeliamas šalutinis poveikis.</w:t>
      </w:r>
    </w:p>
    <w:p w14:paraId="4E07C379"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1AE2D186" w14:textId="77777777" w:rsidR="00BD72E2" w:rsidRPr="00BD72E2" w:rsidRDefault="00BD72E2" w:rsidP="00BD72E2">
      <w:pPr>
        <w:numPr>
          <w:ilvl w:val="12"/>
          <w:numId w:val="0"/>
        </w:numPr>
        <w:tabs>
          <w:tab w:val="clear" w:pos="567"/>
          <w:tab w:val="left" w:pos="1296"/>
        </w:tabs>
        <w:spacing w:line="240" w:lineRule="auto"/>
        <w:rPr>
          <w:szCs w:val="22"/>
          <w:lang w:val="lt-LT"/>
        </w:rPr>
      </w:pPr>
      <w:proofErr w:type="spellStart"/>
      <w:r w:rsidRPr="00BD72E2">
        <w:rPr>
          <w:szCs w:val="22"/>
          <w:lang w:val="lt-LT"/>
        </w:rPr>
        <w:t>Injekuojamas</w:t>
      </w:r>
      <w:proofErr w:type="spellEnd"/>
      <w:r w:rsidRPr="00BD72E2">
        <w:rPr>
          <w:szCs w:val="22"/>
          <w:lang w:val="lt-LT"/>
        </w:rPr>
        <w:t xml:space="preserve"> </w:t>
      </w:r>
      <w:proofErr w:type="spellStart"/>
      <w:r w:rsidRPr="00BD72E2">
        <w:rPr>
          <w:szCs w:val="22"/>
          <w:lang w:val="lt-LT"/>
        </w:rPr>
        <w:t>tobramicinas</w:t>
      </w:r>
      <w:proofErr w:type="spellEnd"/>
      <w:r w:rsidRPr="00BD72E2">
        <w:rPr>
          <w:szCs w:val="22"/>
          <w:lang w:val="lt-LT"/>
        </w:rPr>
        <w:t xml:space="preserve">, kaip ir kitokie </w:t>
      </w:r>
      <w:proofErr w:type="spellStart"/>
      <w:r w:rsidRPr="00BD72E2">
        <w:rPr>
          <w:szCs w:val="22"/>
          <w:lang w:val="lt-LT"/>
        </w:rPr>
        <w:t>aminoglikozidų</w:t>
      </w:r>
      <w:proofErr w:type="spellEnd"/>
      <w:r w:rsidRPr="00BD72E2">
        <w:rPr>
          <w:szCs w:val="22"/>
          <w:lang w:val="lt-LT"/>
        </w:rPr>
        <w:t xml:space="preserve"> grupės antibiotikai, gali sukelti žalingą poveikį dar negimusiam vaikui, pvz., kurtumą.</w:t>
      </w:r>
    </w:p>
    <w:p w14:paraId="0A8CCFFC"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5713A2E7"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Vairavimas ir mechanizmų valdymas</w:t>
      </w:r>
    </w:p>
    <w:p w14:paraId="275D6624"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gebėjimo vairuoti ir valdyti mechanizmus veikti neturėtų.</w:t>
      </w:r>
    </w:p>
    <w:p w14:paraId="45242DF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18047A75"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7EDA9B8A" w14:textId="77777777" w:rsidR="00BD72E2" w:rsidRPr="00EE1101" w:rsidRDefault="00BD72E2" w:rsidP="00BD72E2">
      <w:pPr>
        <w:pStyle w:val="Antrat3"/>
        <w:spacing w:before="0" w:after="0" w:line="240" w:lineRule="auto"/>
        <w:rPr>
          <w:rFonts w:ascii="Times New Roman" w:hAnsi="Times New Roman" w:cs="Times New Roman"/>
          <w:b/>
          <w:bCs/>
          <w:color w:val="auto"/>
          <w:sz w:val="22"/>
          <w:szCs w:val="22"/>
          <w:lang w:val="lt-LT"/>
        </w:rPr>
      </w:pPr>
      <w:r w:rsidRPr="00EE1101">
        <w:rPr>
          <w:rFonts w:ascii="Times New Roman" w:hAnsi="Times New Roman" w:cs="Times New Roman"/>
          <w:b/>
          <w:bCs/>
          <w:color w:val="auto"/>
          <w:sz w:val="22"/>
          <w:szCs w:val="22"/>
          <w:lang w:val="lt-LT"/>
        </w:rPr>
        <w:t>3.</w:t>
      </w:r>
      <w:r w:rsidRPr="00EE1101">
        <w:rPr>
          <w:rFonts w:ascii="Times New Roman" w:hAnsi="Times New Roman" w:cs="Times New Roman"/>
          <w:b/>
          <w:bCs/>
          <w:color w:val="auto"/>
          <w:sz w:val="22"/>
          <w:szCs w:val="22"/>
          <w:lang w:val="lt-LT"/>
        </w:rPr>
        <w:tab/>
        <w:t xml:space="preserve">Kaip vartoti </w:t>
      </w:r>
      <w:proofErr w:type="spellStart"/>
      <w:r w:rsidRPr="00EE1101">
        <w:rPr>
          <w:rFonts w:ascii="Times New Roman" w:hAnsi="Times New Roman" w:cs="Times New Roman"/>
          <w:b/>
          <w:bCs/>
          <w:color w:val="auto"/>
          <w:sz w:val="22"/>
          <w:szCs w:val="22"/>
          <w:lang w:val="lt-LT"/>
        </w:rPr>
        <w:t>Tobramycin</w:t>
      </w:r>
      <w:proofErr w:type="spellEnd"/>
      <w:r w:rsidRPr="00EE1101">
        <w:rPr>
          <w:rFonts w:ascii="Times New Roman" w:hAnsi="Times New Roman" w:cs="Times New Roman"/>
          <w:b/>
          <w:bCs/>
          <w:color w:val="auto"/>
          <w:sz w:val="22"/>
          <w:szCs w:val="22"/>
          <w:lang w:val="lt-LT"/>
        </w:rPr>
        <w:t xml:space="preserve"> Via </w:t>
      </w:r>
      <w:proofErr w:type="spellStart"/>
      <w:r w:rsidRPr="00EE1101">
        <w:rPr>
          <w:rFonts w:ascii="Times New Roman" w:hAnsi="Times New Roman" w:cs="Times New Roman"/>
          <w:b/>
          <w:bCs/>
          <w:color w:val="auto"/>
          <w:sz w:val="22"/>
          <w:szCs w:val="22"/>
          <w:lang w:val="lt-LT"/>
        </w:rPr>
        <w:t>pharma</w:t>
      </w:r>
      <w:proofErr w:type="spellEnd"/>
    </w:p>
    <w:p w14:paraId="238DF07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174E343C"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Visada vartokite šį vaistą tiksliai kaip nurodė gydytojas. Jeigu abejojate, kreipkitės į gydytoją.</w:t>
      </w:r>
    </w:p>
    <w:p w14:paraId="2E36AE1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2C0E54C"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r w:rsidRPr="00BD72E2">
        <w:rPr>
          <w:b/>
          <w:bCs/>
          <w:szCs w:val="22"/>
          <w:lang w:val="lt-LT" w:eastAsia="es-ES"/>
        </w:rPr>
        <w:t>Kokią šio vaisto dozę ir kaip dažnai vartoti</w:t>
      </w:r>
    </w:p>
    <w:p w14:paraId="3D2958A5" w14:textId="77777777" w:rsidR="00BD72E2" w:rsidRPr="00BD72E2" w:rsidRDefault="00BD72E2" w:rsidP="00BD72E2">
      <w:pPr>
        <w:tabs>
          <w:tab w:val="clear" w:pos="567"/>
          <w:tab w:val="left" w:pos="1296"/>
        </w:tabs>
        <w:autoSpaceDE w:val="0"/>
        <w:autoSpaceDN w:val="0"/>
        <w:adjustRightInd w:val="0"/>
        <w:spacing w:line="240" w:lineRule="auto"/>
        <w:rPr>
          <w:b/>
          <w:bCs/>
          <w:szCs w:val="22"/>
          <w:lang w:val="lt-LT" w:eastAsia="es-ES"/>
        </w:rPr>
      </w:pPr>
    </w:p>
    <w:p w14:paraId="763A8915" w14:textId="77777777" w:rsidR="00BD72E2" w:rsidRPr="00BD72E2" w:rsidRDefault="00BD72E2" w:rsidP="00BD72E2">
      <w:pPr>
        <w:numPr>
          <w:ilvl w:val="0"/>
          <w:numId w:val="3"/>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Rekomenduojama dozė visiems 6 metų ir vyresniems pacientams yra tokia pati.</w:t>
      </w:r>
    </w:p>
    <w:p w14:paraId="3EA9E4FD" w14:textId="77777777" w:rsidR="00BD72E2" w:rsidRPr="00BD72E2" w:rsidRDefault="00BD72E2" w:rsidP="00BD72E2">
      <w:pPr>
        <w:numPr>
          <w:ilvl w:val="0"/>
          <w:numId w:val="3"/>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28 dienas kasdien reikia suvartoti </w:t>
      </w:r>
      <w:r w:rsidRPr="00BD72E2">
        <w:rPr>
          <w:b/>
          <w:bCs/>
          <w:szCs w:val="22"/>
          <w:lang w:val="lt-LT" w:eastAsia="es-ES"/>
        </w:rPr>
        <w:t xml:space="preserve">dvi </w:t>
      </w:r>
      <w:r w:rsidRPr="00BD72E2">
        <w:rPr>
          <w:szCs w:val="22"/>
          <w:lang w:val="lt-LT" w:eastAsia="es-ES"/>
        </w:rPr>
        <w:t>ampules. Visą vienos ampulės turinį reikia įkvėpti ryte, kitos – vakare. Geriausia, kad tarp dozių vartojimo būtų 12 valandų pertrauka.</w:t>
      </w:r>
    </w:p>
    <w:p w14:paraId="16C28937" w14:textId="77777777" w:rsidR="00BD72E2" w:rsidRPr="00BD72E2" w:rsidRDefault="00BD72E2" w:rsidP="00BD72E2">
      <w:pPr>
        <w:numPr>
          <w:ilvl w:val="0"/>
          <w:numId w:val="3"/>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Tarp dviejų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 xml:space="preserve">įkvėpimų turi praeiti mažiausiai </w:t>
      </w:r>
      <w:r w:rsidRPr="00BD72E2">
        <w:rPr>
          <w:b/>
          <w:bCs/>
          <w:szCs w:val="22"/>
          <w:lang w:val="lt-LT" w:eastAsia="es-ES"/>
        </w:rPr>
        <w:t>6 valandos.</w:t>
      </w:r>
    </w:p>
    <w:p w14:paraId="4016CB83" w14:textId="77777777" w:rsidR="00BD72E2" w:rsidRPr="00BD72E2" w:rsidRDefault="00BD72E2" w:rsidP="00BD72E2">
      <w:pPr>
        <w:numPr>
          <w:ilvl w:val="0"/>
          <w:numId w:val="3"/>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Po 28 vaisto vartojimo dienų daroma 28 dienų pertrauka, kai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n-GB"/>
        </w:rPr>
        <w:t>visai nevartojama</w:t>
      </w:r>
      <w:r w:rsidRPr="00BD72E2">
        <w:rPr>
          <w:szCs w:val="22"/>
          <w:lang w:val="lt-LT" w:eastAsia="es-ES"/>
        </w:rPr>
        <w:t xml:space="preserve">, ir po to pradedamas kitas kursas. </w:t>
      </w:r>
    </w:p>
    <w:p w14:paraId="458A33D6" w14:textId="77777777" w:rsidR="00BD72E2" w:rsidRPr="00BD72E2" w:rsidRDefault="00BD72E2" w:rsidP="00BD72E2">
      <w:pPr>
        <w:numPr>
          <w:ilvl w:val="0"/>
          <w:numId w:val="3"/>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28 gydymo dienų laikotarpiu svarbu vaisto kiekvieną dieną vartoti du kartus per parą bei išlaikyti </w:t>
      </w:r>
      <w:r w:rsidRPr="00BD72E2">
        <w:rPr>
          <w:b/>
          <w:szCs w:val="22"/>
          <w:lang w:val="lt-LT" w:eastAsia="es-ES"/>
        </w:rPr>
        <w:t xml:space="preserve">28 dienų vaisto vartojimo ir 28 dienų vaisto nevartojimo ciklą. </w:t>
      </w:r>
    </w:p>
    <w:p w14:paraId="61F36B03"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p>
    <w:p w14:paraId="525D3CDD"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p>
    <w:p w14:paraId="5DF4BDE7"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p>
    <w:p w14:paraId="11263C09"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r w:rsidRPr="00BD72E2">
        <w:rPr>
          <w:noProof/>
          <w:szCs w:val="22"/>
          <w:lang w:val="lt-LT" w:eastAsia="lt-LT"/>
        </w:rPr>
        <mc:AlternateContent>
          <mc:Choice Requires="wps">
            <w:drawing>
              <wp:anchor distT="0" distB="0" distL="114300" distR="114300" simplePos="0" relativeHeight="251659264" behindDoc="0" locked="0" layoutInCell="0" allowOverlap="1" wp14:anchorId="1DAEC9EC" wp14:editId="55851CF4">
                <wp:simplePos x="0" y="0"/>
                <wp:positionH relativeFrom="column">
                  <wp:posOffset>1424940</wp:posOffset>
                </wp:positionH>
                <wp:positionV relativeFrom="paragraph">
                  <wp:posOffset>113665</wp:posOffset>
                </wp:positionV>
                <wp:extent cx="1714500" cy="114300"/>
                <wp:effectExtent l="0" t="0" r="38100" b="38100"/>
                <wp:wrapNone/>
                <wp:docPr id="6" name="Arrow: Curved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
                        </a:xfrm>
                        <a:prstGeom prst="curvedDownArrow">
                          <a:avLst>
                            <a:gd name="adj1" fmla="val 233333"/>
                            <a:gd name="adj2" fmla="val 533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BB9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6" o:spid="_x0000_s1026" type="#_x0000_t105" style="position:absolute;margin-left:112.2pt;margin-top:8.95pt;width:1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" o:allowincell="f" adj="13920"/>
            </w:pict>
          </mc:Fallback>
        </mc:AlternateContent>
      </w:r>
    </w:p>
    <w:p w14:paraId="02D9D514"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20"/>
      </w:tblGrid>
      <w:tr w:rsidR="00BD72E2" w:rsidRPr="00BD72E2" w14:paraId="0D956C7A" w14:textId="77777777" w:rsidTr="00D06D01">
        <w:tc>
          <w:tcPr>
            <w:tcW w:w="3600" w:type="dxa"/>
            <w:tcBorders>
              <w:top w:val="single" w:sz="4" w:space="0" w:color="auto"/>
              <w:left w:val="single" w:sz="4" w:space="0" w:color="auto"/>
              <w:bottom w:val="single" w:sz="4" w:space="0" w:color="auto"/>
              <w:right w:val="single" w:sz="4" w:space="0" w:color="auto"/>
            </w:tcBorders>
            <w:shd w:val="clear" w:color="auto" w:fill="E6E6E6"/>
            <w:hideMark/>
          </w:tcPr>
          <w:p w14:paraId="79D00F64" w14:textId="77777777" w:rsidR="00BD72E2" w:rsidRPr="00BD72E2" w:rsidRDefault="00BD72E2" w:rsidP="00BD72E2">
            <w:pPr>
              <w:tabs>
                <w:tab w:val="clear" w:pos="567"/>
                <w:tab w:val="left" w:pos="1296"/>
              </w:tabs>
              <w:autoSpaceDE w:val="0"/>
              <w:autoSpaceDN w:val="0"/>
              <w:adjustRightInd w:val="0"/>
              <w:spacing w:line="240" w:lineRule="auto"/>
              <w:jc w:val="center"/>
              <w:rPr>
                <w:b/>
                <w:szCs w:val="22"/>
                <w:lang w:val="lt-LT" w:eastAsia="es-ES"/>
              </w:rPr>
            </w:pPr>
            <w:proofErr w:type="spellStart"/>
            <w:r w:rsidRPr="00BD72E2">
              <w:rPr>
                <w:b/>
                <w:bCs/>
                <w:szCs w:val="22"/>
                <w:lang w:val="lt-LT" w:eastAsia="es-ES"/>
              </w:rPr>
              <w:t>Tobramycin</w:t>
            </w:r>
            <w:proofErr w:type="spellEnd"/>
            <w:r w:rsidRPr="00BD72E2">
              <w:rPr>
                <w:b/>
                <w:bCs/>
                <w:szCs w:val="22"/>
                <w:lang w:val="lt-LT" w:eastAsia="es-ES"/>
              </w:rPr>
              <w:t xml:space="preserve"> Via </w:t>
            </w:r>
            <w:proofErr w:type="spellStart"/>
            <w:r w:rsidRPr="00BD72E2">
              <w:rPr>
                <w:b/>
                <w:bCs/>
                <w:szCs w:val="22"/>
                <w:lang w:val="lt-LT" w:eastAsia="es-ES"/>
              </w:rPr>
              <w:t>pharma</w:t>
            </w:r>
            <w:proofErr w:type="spellEnd"/>
            <w:r w:rsidRPr="00BD72E2">
              <w:rPr>
                <w:b/>
                <w:bCs/>
                <w:szCs w:val="22"/>
                <w:lang w:val="lt-LT" w:eastAsia="es-ES"/>
              </w:rPr>
              <w:t xml:space="preserve"> </w:t>
            </w:r>
            <w:r w:rsidRPr="00BD72E2">
              <w:rPr>
                <w:b/>
                <w:szCs w:val="22"/>
                <w:lang w:val="lt-LT" w:eastAsia="en-GB"/>
              </w:rPr>
              <w:t>VARTOJAMA</w:t>
            </w:r>
          </w:p>
        </w:tc>
        <w:tc>
          <w:tcPr>
            <w:tcW w:w="3720" w:type="dxa"/>
            <w:tcBorders>
              <w:top w:val="single" w:sz="4" w:space="0" w:color="auto"/>
              <w:left w:val="single" w:sz="4" w:space="0" w:color="auto"/>
              <w:bottom w:val="single" w:sz="4" w:space="0" w:color="auto"/>
              <w:right w:val="single" w:sz="4" w:space="0" w:color="auto"/>
            </w:tcBorders>
            <w:hideMark/>
          </w:tcPr>
          <w:p w14:paraId="3DEB7933" w14:textId="77777777" w:rsidR="00BD72E2" w:rsidRPr="00BD72E2" w:rsidRDefault="00BD72E2" w:rsidP="00BD72E2">
            <w:pPr>
              <w:tabs>
                <w:tab w:val="clear" w:pos="567"/>
                <w:tab w:val="left" w:pos="1296"/>
              </w:tabs>
              <w:autoSpaceDE w:val="0"/>
              <w:autoSpaceDN w:val="0"/>
              <w:adjustRightInd w:val="0"/>
              <w:spacing w:line="240" w:lineRule="auto"/>
              <w:jc w:val="center"/>
              <w:rPr>
                <w:b/>
                <w:szCs w:val="22"/>
                <w:lang w:val="lt-LT" w:eastAsia="es-ES"/>
              </w:rPr>
            </w:pPr>
            <w:proofErr w:type="spellStart"/>
            <w:r w:rsidRPr="00BD72E2">
              <w:rPr>
                <w:b/>
                <w:bCs/>
                <w:szCs w:val="22"/>
                <w:lang w:val="lt-LT" w:eastAsia="es-ES"/>
              </w:rPr>
              <w:t>Tobramycin</w:t>
            </w:r>
            <w:proofErr w:type="spellEnd"/>
            <w:r w:rsidRPr="00BD72E2">
              <w:rPr>
                <w:b/>
                <w:bCs/>
                <w:szCs w:val="22"/>
                <w:lang w:val="lt-LT" w:eastAsia="es-ES"/>
              </w:rPr>
              <w:t xml:space="preserve"> Via </w:t>
            </w:r>
            <w:proofErr w:type="spellStart"/>
            <w:r w:rsidRPr="00BD72E2">
              <w:rPr>
                <w:b/>
                <w:bCs/>
                <w:szCs w:val="22"/>
                <w:lang w:val="lt-LT" w:eastAsia="es-ES"/>
              </w:rPr>
              <w:t>pharma</w:t>
            </w:r>
            <w:proofErr w:type="spellEnd"/>
            <w:r w:rsidRPr="00BD72E2">
              <w:rPr>
                <w:b/>
                <w:bCs/>
                <w:szCs w:val="22"/>
                <w:lang w:val="lt-LT" w:eastAsia="es-ES"/>
              </w:rPr>
              <w:t xml:space="preserve"> </w:t>
            </w:r>
            <w:r w:rsidRPr="00BD72E2">
              <w:rPr>
                <w:b/>
                <w:szCs w:val="22"/>
                <w:lang w:val="lt-LT" w:eastAsia="en-GB"/>
              </w:rPr>
              <w:t>NEVARTOJAMA</w:t>
            </w:r>
          </w:p>
        </w:tc>
      </w:tr>
      <w:tr w:rsidR="00BD72E2" w:rsidRPr="00BD72E2" w14:paraId="2B4719C8" w14:textId="77777777" w:rsidTr="00D06D01">
        <w:tc>
          <w:tcPr>
            <w:tcW w:w="3600" w:type="dxa"/>
            <w:tcBorders>
              <w:top w:val="single" w:sz="4" w:space="0" w:color="auto"/>
              <w:left w:val="single" w:sz="4" w:space="0" w:color="auto"/>
              <w:bottom w:val="single" w:sz="4" w:space="0" w:color="auto"/>
              <w:right w:val="single" w:sz="4" w:space="0" w:color="auto"/>
            </w:tcBorders>
            <w:hideMark/>
          </w:tcPr>
          <w:p w14:paraId="386F3AB8"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kasdien vartokite du kartus per parą 28 dienas</w:t>
            </w:r>
          </w:p>
        </w:tc>
        <w:tc>
          <w:tcPr>
            <w:tcW w:w="3720" w:type="dxa"/>
            <w:tcBorders>
              <w:top w:val="single" w:sz="4" w:space="0" w:color="auto"/>
              <w:left w:val="single" w:sz="4" w:space="0" w:color="auto"/>
              <w:bottom w:val="single" w:sz="4" w:space="0" w:color="auto"/>
              <w:right w:val="single" w:sz="4" w:space="0" w:color="auto"/>
            </w:tcBorders>
            <w:hideMark/>
          </w:tcPr>
          <w:p w14:paraId="1E2C79BD"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r w:rsidRPr="00BD72E2">
              <w:rPr>
                <w:szCs w:val="22"/>
                <w:lang w:val="lt-LT" w:eastAsia="es-ES"/>
              </w:rPr>
              <w:t xml:space="preserve">Kitas 28 dienas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nevartokite visai</w:t>
            </w:r>
          </w:p>
        </w:tc>
      </w:tr>
    </w:tbl>
    <w:p w14:paraId="61B4EA7E" w14:textId="77777777" w:rsidR="00BD72E2" w:rsidRPr="00BD72E2" w:rsidRDefault="00BD72E2" w:rsidP="00BD72E2">
      <w:pPr>
        <w:tabs>
          <w:tab w:val="clear" w:pos="567"/>
          <w:tab w:val="left" w:pos="1296"/>
        </w:tabs>
        <w:autoSpaceDE w:val="0"/>
        <w:autoSpaceDN w:val="0"/>
        <w:adjustRightInd w:val="0"/>
        <w:spacing w:line="240" w:lineRule="auto"/>
        <w:jc w:val="center"/>
        <w:rPr>
          <w:szCs w:val="22"/>
          <w:lang w:val="lt-LT" w:eastAsia="es-ES"/>
        </w:rPr>
      </w:pPr>
      <w:r w:rsidRPr="00BD72E2">
        <w:rPr>
          <w:noProof/>
          <w:szCs w:val="22"/>
          <w:lang w:val="lt-LT" w:eastAsia="lt-LT"/>
        </w:rPr>
        <mc:AlternateContent>
          <mc:Choice Requires="wps">
            <w:drawing>
              <wp:anchor distT="0" distB="0" distL="114300" distR="114300" simplePos="0" relativeHeight="251660288" behindDoc="0" locked="0" layoutInCell="0" allowOverlap="1" wp14:anchorId="6EB49BA6" wp14:editId="21C4156F">
                <wp:simplePos x="0" y="0"/>
                <wp:positionH relativeFrom="column">
                  <wp:posOffset>1455420</wp:posOffset>
                </wp:positionH>
                <wp:positionV relativeFrom="paragraph">
                  <wp:posOffset>83820</wp:posOffset>
                </wp:positionV>
                <wp:extent cx="1714500" cy="114300"/>
                <wp:effectExtent l="0" t="19050" r="19050" b="19050"/>
                <wp:wrapNone/>
                <wp:docPr id="5" name="Arrow: Curved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714500" cy="114300"/>
                        </a:xfrm>
                        <a:prstGeom prst="curvedDownArrow">
                          <a:avLst>
                            <a:gd name="adj1" fmla="val 233333"/>
                            <a:gd name="adj2" fmla="val 533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9609" id="Arrow: Curved Down 5" o:spid="_x0000_s1026" type="#_x0000_t105" style="position:absolute;margin-left:114.6pt;margin-top:6.6pt;width:135pt;height:9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" o:allowincell="f" adj="13920"/>
            </w:pict>
          </mc:Fallback>
        </mc:AlternateContent>
      </w:r>
    </w:p>
    <w:p w14:paraId="7494BFA2"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09889E38" w14:textId="77777777" w:rsidR="00BD72E2" w:rsidRPr="00BD72E2" w:rsidRDefault="00BD72E2" w:rsidP="00BD72E2">
      <w:pPr>
        <w:tabs>
          <w:tab w:val="clear" w:pos="567"/>
          <w:tab w:val="left" w:pos="1296"/>
        </w:tabs>
        <w:autoSpaceDE w:val="0"/>
        <w:autoSpaceDN w:val="0"/>
        <w:adjustRightInd w:val="0"/>
        <w:spacing w:line="240" w:lineRule="auto"/>
        <w:ind w:left="3000"/>
        <w:jc w:val="both"/>
        <w:rPr>
          <w:b/>
          <w:bCs/>
          <w:szCs w:val="22"/>
          <w:lang w:val="lt-LT" w:eastAsia="es-ES"/>
        </w:rPr>
      </w:pPr>
      <w:r w:rsidRPr="00BD72E2">
        <w:rPr>
          <w:b/>
          <w:bCs/>
          <w:szCs w:val="22"/>
          <w:lang w:val="lt-LT" w:eastAsia="es-ES"/>
        </w:rPr>
        <w:t>Kartokite ciklą</w:t>
      </w:r>
    </w:p>
    <w:p w14:paraId="592A8144"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4EADED03"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 xml:space="preserve">Ką daryti pavartojus per didelę </w:t>
      </w: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r w:rsidRPr="00EE1101">
        <w:rPr>
          <w:rFonts w:ascii="Times New Roman" w:hAnsi="Times New Roman" w:cs="Times New Roman"/>
          <w:b/>
          <w:bCs/>
          <w:i w:val="0"/>
          <w:iCs w:val="0"/>
          <w:color w:val="auto"/>
          <w:szCs w:val="22"/>
          <w:lang w:val="lt-LT"/>
        </w:rPr>
        <w:t xml:space="preserve"> dozę?</w:t>
      </w:r>
    </w:p>
    <w:p w14:paraId="016A67BB" w14:textId="77777777" w:rsidR="00BD72E2" w:rsidRPr="00BD72E2" w:rsidRDefault="00BD72E2" w:rsidP="00BD72E2">
      <w:pPr>
        <w:spacing w:line="240" w:lineRule="auto"/>
        <w:rPr>
          <w:szCs w:val="22"/>
          <w:lang w:val="lt-LT" w:eastAsia="x-none"/>
        </w:rPr>
      </w:pPr>
      <w:r w:rsidRPr="00BD72E2">
        <w:rPr>
          <w:szCs w:val="22"/>
          <w:lang w:val="lt-LT" w:eastAsia="x-none"/>
        </w:rPr>
        <w:t xml:space="preserve">Įkvėpę per daug </w:t>
      </w:r>
      <w:proofErr w:type="spellStart"/>
      <w:r w:rsidRPr="00BD72E2">
        <w:rPr>
          <w:szCs w:val="22"/>
          <w:lang w:val="lt-LT" w:eastAsia="x-none"/>
        </w:rPr>
        <w:t>Tobramycin</w:t>
      </w:r>
      <w:proofErr w:type="spellEnd"/>
      <w:r w:rsidRPr="00BD72E2">
        <w:rPr>
          <w:szCs w:val="22"/>
          <w:lang w:val="lt-LT" w:eastAsia="x-none"/>
        </w:rPr>
        <w:t xml:space="preserve"> Via </w:t>
      </w:r>
      <w:proofErr w:type="spellStart"/>
      <w:r w:rsidRPr="00BD72E2">
        <w:rPr>
          <w:szCs w:val="22"/>
          <w:lang w:val="lt-LT" w:eastAsia="x-none"/>
        </w:rPr>
        <w:t>pharma</w:t>
      </w:r>
      <w:proofErr w:type="spellEnd"/>
      <w:r w:rsidRPr="00BD72E2">
        <w:rPr>
          <w:szCs w:val="22"/>
          <w:lang w:val="lt-LT" w:eastAsia="x-none"/>
        </w:rPr>
        <w:t xml:space="preserve"> galite labai užkimti. Kiek įmanoma greičiau pasitarkite su gydytoju. Jei </w:t>
      </w:r>
      <w:proofErr w:type="spellStart"/>
      <w:r w:rsidRPr="00BD72E2">
        <w:rPr>
          <w:szCs w:val="22"/>
          <w:lang w:val="lt-LT" w:eastAsia="x-none"/>
        </w:rPr>
        <w:t>Tobramycin</w:t>
      </w:r>
      <w:proofErr w:type="spellEnd"/>
      <w:r w:rsidRPr="00BD72E2">
        <w:rPr>
          <w:szCs w:val="22"/>
          <w:lang w:val="lt-LT" w:eastAsia="x-none"/>
        </w:rPr>
        <w:t xml:space="preserve"> Via </w:t>
      </w:r>
      <w:proofErr w:type="spellStart"/>
      <w:r w:rsidRPr="00BD72E2">
        <w:rPr>
          <w:szCs w:val="22"/>
          <w:lang w:val="lt-LT" w:eastAsia="x-none"/>
        </w:rPr>
        <w:t>pharma</w:t>
      </w:r>
      <w:proofErr w:type="spellEnd"/>
      <w:r w:rsidRPr="00BD72E2">
        <w:rPr>
          <w:szCs w:val="22"/>
          <w:lang w:val="lt-LT" w:eastAsia="x-none"/>
        </w:rPr>
        <w:t xml:space="preserve"> nurysite, turite kiek įmanoma greičiau kreiptis į gydytoją.</w:t>
      </w:r>
    </w:p>
    <w:p w14:paraId="6A1A2A07" w14:textId="77777777" w:rsidR="00BD72E2" w:rsidRPr="00BD72E2" w:rsidRDefault="00BD72E2" w:rsidP="00BD72E2">
      <w:pPr>
        <w:spacing w:line="240" w:lineRule="auto"/>
        <w:rPr>
          <w:szCs w:val="22"/>
          <w:lang w:val="lt-LT" w:eastAsia="x-none"/>
        </w:rPr>
      </w:pPr>
    </w:p>
    <w:p w14:paraId="08CB381F"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 xml:space="preserve">Pamiršus pavartoti </w:t>
      </w: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p>
    <w:p w14:paraId="7734B993"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Jei pamiršote pavartoti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ir iki kitos dozės pavartojimo liko ne mažiau kaip 6 valandos, dozę suvartokite kiek įmanoma greičiau. Kitu atveju palaukite ir laiku įkvėpkite kitą dozę.</w:t>
      </w:r>
    </w:p>
    <w:p w14:paraId="3CC04512"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Negalima vartoti dvigubos dozės norint kompensuoti praleistą dozę.</w:t>
      </w:r>
    </w:p>
    <w:p w14:paraId="3726A95E"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613C4F37"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r w:rsidRPr="00BD72E2">
        <w:rPr>
          <w:b/>
          <w:bCs/>
          <w:szCs w:val="22"/>
          <w:lang w:val="lt-LT" w:eastAsia="es-ES"/>
        </w:rPr>
        <w:t xml:space="preserve">Įranga, reikalinga </w:t>
      </w:r>
      <w:proofErr w:type="spellStart"/>
      <w:r w:rsidRPr="00BD72E2">
        <w:rPr>
          <w:b/>
          <w:bCs/>
          <w:szCs w:val="22"/>
          <w:lang w:val="lt-LT" w:eastAsia="es-ES"/>
        </w:rPr>
        <w:t>Tobramycin</w:t>
      </w:r>
      <w:proofErr w:type="spellEnd"/>
      <w:r w:rsidRPr="00BD72E2">
        <w:rPr>
          <w:b/>
          <w:bCs/>
          <w:szCs w:val="22"/>
          <w:lang w:val="lt-LT" w:eastAsia="es-ES"/>
        </w:rPr>
        <w:t xml:space="preserve"> Via </w:t>
      </w:r>
      <w:proofErr w:type="spellStart"/>
      <w:r w:rsidRPr="00BD72E2">
        <w:rPr>
          <w:b/>
          <w:bCs/>
          <w:szCs w:val="22"/>
          <w:lang w:val="lt-LT" w:eastAsia="es-ES"/>
        </w:rPr>
        <w:t>pharma</w:t>
      </w:r>
      <w:proofErr w:type="spellEnd"/>
      <w:r w:rsidRPr="00BD72E2">
        <w:rPr>
          <w:b/>
          <w:bCs/>
          <w:szCs w:val="22"/>
          <w:lang w:val="lt-LT" w:eastAsia="es-ES"/>
        </w:rPr>
        <w:t xml:space="preserve"> </w:t>
      </w:r>
      <w:r w:rsidRPr="00BD72E2">
        <w:rPr>
          <w:b/>
          <w:szCs w:val="22"/>
          <w:lang w:val="lt-LT" w:eastAsia="en-GB"/>
        </w:rPr>
        <w:t>įkvėpti</w:t>
      </w:r>
    </w:p>
    <w:p w14:paraId="61B7E98A"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678736EF"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būtina vartoti naudojant švarų ir sausą daugkartinį purkštuvą.</w:t>
      </w:r>
    </w:p>
    <w:p w14:paraId="49536CEE"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2086B4D7"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 xml:space="preserve">galima vartoti su LC PLUS purkštuvu (gamina PARI </w:t>
      </w:r>
      <w:proofErr w:type="spellStart"/>
      <w:r w:rsidRPr="00BD72E2">
        <w:rPr>
          <w:szCs w:val="22"/>
          <w:lang w:val="lt-LT" w:eastAsia="es-ES"/>
        </w:rPr>
        <w:t>GmbH</w:t>
      </w:r>
      <w:proofErr w:type="spellEnd"/>
      <w:r w:rsidRPr="00BD72E2">
        <w:rPr>
          <w:szCs w:val="22"/>
          <w:lang w:val="lt-LT" w:eastAsia="es-ES"/>
        </w:rPr>
        <w:t>).</w:t>
      </w:r>
    </w:p>
    <w:p w14:paraId="6AD44F6E"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6DF8190F"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r w:rsidRPr="00BD72E2">
        <w:rPr>
          <w:szCs w:val="22"/>
          <w:lang w:val="lt-LT" w:eastAsia="es-ES"/>
        </w:rPr>
        <w:lastRenderedPageBreak/>
        <w:t xml:space="preserve">Kaip tinkamai vartoti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 xml:space="preserve">ir kokios įrangos reikia, </w:t>
      </w:r>
      <w:r w:rsidRPr="00BD72E2">
        <w:rPr>
          <w:szCs w:val="22"/>
          <w:lang w:val="lt-LT"/>
        </w:rPr>
        <w:t>klauskite gydytojo arba fizioterapeuto</w:t>
      </w:r>
      <w:r w:rsidRPr="00BD72E2">
        <w:rPr>
          <w:szCs w:val="22"/>
          <w:lang w:val="lt-LT" w:eastAsia="es-ES"/>
        </w:rPr>
        <w:t>. Kitiems įkvepiamiems vaistams nuo cistinės fibrozės vartoti Jums gali reikėti naudoti kitokį purkštuvą.</w:t>
      </w:r>
    </w:p>
    <w:p w14:paraId="61E63614" w14:textId="77777777" w:rsidR="00BD72E2" w:rsidRPr="00BD72E2" w:rsidRDefault="00BD72E2" w:rsidP="00BD72E2">
      <w:pPr>
        <w:tabs>
          <w:tab w:val="clear" w:pos="567"/>
          <w:tab w:val="left" w:pos="1296"/>
        </w:tabs>
        <w:autoSpaceDE w:val="0"/>
        <w:autoSpaceDN w:val="0"/>
        <w:adjustRightInd w:val="0"/>
        <w:spacing w:line="240" w:lineRule="auto"/>
        <w:rPr>
          <w:b/>
          <w:bCs/>
          <w:szCs w:val="22"/>
          <w:lang w:val="lt-LT" w:eastAsia="es-ES"/>
        </w:rPr>
      </w:pPr>
    </w:p>
    <w:p w14:paraId="57B5912E" w14:textId="77777777" w:rsidR="00BD72E2" w:rsidRPr="00BD72E2" w:rsidRDefault="00BD72E2" w:rsidP="00BD72E2">
      <w:pPr>
        <w:tabs>
          <w:tab w:val="clear" w:pos="567"/>
          <w:tab w:val="left" w:pos="1296"/>
        </w:tabs>
        <w:autoSpaceDE w:val="0"/>
        <w:autoSpaceDN w:val="0"/>
        <w:adjustRightInd w:val="0"/>
        <w:spacing w:line="240" w:lineRule="auto"/>
        <w:rPr>
          <w:b/>
          <w:szCs w:val="22"/>
          <w:lang w:val="lt-LT" w:eastAsia="es-ES"/>
        </w:rPr>
      </w:pPr>
      <w:r w:rsidRPr="00BD72E2">
        <w:rPr>
          <w:b/>
          <w:bCs/>
          <w:szCs w:val="22"/>
          <w:lang w:val="lt-LT" w:eastAsia="es-ES"/>
        </w:rPr>
        <w:t xml:space="preserve">Pasirengimas įkvėpti </w:t>
      </w:r>
      <w:proofErr w:type="spellStart"/>
      <w:r w:rsidRPr="00BD72E2">
        <w:rPr>
          <w:b/>
          <w:bCs/>
          <w:szCs w:val="22"/>
          <w:lang w:val="lt-LT" w:eastAsia="es-ES"/>
        </w:rPr>
        <w:t>Tobramycin</w:t>
      </w:r>
      <w:proofErr w:type="spellEnd"/>
      <w:r w:rsidRPr="00BD72E2">
        <w:rPr>
          <w:b/>
          <w:bCs/>
          <w:szCs w:val="22"/>
          <w:lang w:val="lt-LT" w:eastAsia="es-ES"/>
        </w:rPr>
        <w:t xml:space="preserve"> </w:t>
      </w:r>
      <w:r w:rsidRPr="00BD72E2">
        <w:rPr>
          <w:b/>
          <w:szCs w:val="22"/>
          <w:lang w:val="lt-LT" w:eastAsia="en-GB"/>
        </w:rPr>
        <w:t xml:space="preserve">Via </w:t>
      </w:r>
      <w:proofErr w:type="spellStart"/>
      <w:r w:rsidRPr="00BD72E2">
        <w:rPr>
          <w:b/>
          <w:szCs w:val="22"/>
          <w:lang w:val="lt-LT" w:eastAsia="en-GB"/>
        </w:rPr>
        <w:t>pharma</w:t>
      </w:r>
      <w:proofErr w:type="spellEnd"/>
    </w:p>
    <w:p w14:paraId="6B8F6B79" w14:textId="77777777" w:rsidR="00BD72E2" w:rsidRPr="00BD72E2" w:rsidRDefault="00BD72E2" w:rsidP="00BD72E2">
      <w:pPr>
        <w:tabs>
          <w:tab w:val="clear" w:pos="567"/>
          <w:tab w:val="left" w:pos="1296"/>
        </w:tabs>
        <w:autoSpaceDE w:val="0"/>
        <w:autoSpaceDN w:val="0"/>
        <w:adjustRightInd w:val="0"/>
        <w:spacing w:line="240" w:lineRule="auto"/>
        <w:rPr>
          <w:b/>
          <w:bCs/>
          <w:szCs w:val="22"/>
          <w:lang w:val="lt-LT" w:eastAsia="es-ES"/>
        </w:rPr>
      </w:pPr>
    </w:p>
    <w:p w14:paraId="781AF205" w14:textId="77777777" w:rsidR="00BD72E2" w:rsidRPr="00BD72E2" w:rsidRDefault="00BD72E2" w:rsidP="00BD72E2">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rPr>
        <w:t>Rankas kruopščiai nuplaukite muilu ir vandeniu</w:t>
      </w:r>
      <w:r w:rsidRPr="00BD72E2">
        <w:rPr>
          <w:szCs w:val="22"/>
          <w:lang w:val="lt-LT" w:eastAsia="es-ES"/>
        </w:rPr>
        <w:t>.</w:t>
      </w:r>
    </w:p>
    <w:p w14:paraId="3CC3ADC4" w14:textId="77777777" w:rsidR="00BD72E2" w:rsidRPr="00BD72E2" w:rsidRDefault="00BD72E2" w:rsidP="00BD72E2">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Kiekviename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 xml:space="preserve">folijos maišiuke yra 7 ampulės. Kirpdami ar plėšdami atidarykite maišiuką. Iš maišiuko išimkite vieną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ampulę. Likusias ampules įdėkite atgal į folijos maišiuką ir laikykite šaldytuve.</w:t>
      </w:r>
    </w:p>
    <w:p w14:paraId="39EE0D19" w14:textId="77777777" w:rsidR="00BD72E2" w:rsidRPr="00BD72E2" w:rsidRDefault="00BD72E2" w:rsidP="00BD72E2">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Visas purkštuvo dalis padėkite ant švaraus ir sauso popierinio ar medžiaginio rankšluosčio.</w:t>
      </w:r>
    </w:p>
    <w:p w14:paraId="7C794A33" w14:textId="77777777" w:rsidR="00BD72E2" w:rsidRPr="00BD72E2" w:rsidRDefault="00BD72E2" w:rsidP="00BD72E2">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Įsitikinkite, kad turite tinkamą kompresorių ir žarnelę purkštuvui ir kompresoriui sujungti.</w:t>
      </w:r>
    </w:p>
    <w:p w14:paraId="542089BA" w14:textId="77777777" w:rsidR="00BD72E2" w:rsidRPr="00BD72E2" w:rsidRDefault="00BD72E2" w:rsidP="00BD72E2">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Atidžiai vykdykite atitinkamas Jūsų tipo purkštuvo naudojimo instrukcijas: turite perskaityti gamintojo su purkštuvu pateikiamą pakuotės lapelį. Remdamiesi gamintojo instrukcijomis, prieš vaisto vartojimą patikrinkite, ar purkštuvas ir kompresorius veikia tinkamai.</w:t>
      </w:r>
    </w:p>
    <w:p w14:paraId="7F508081"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4E5ED032" w14:textId="77777777" w:rsidR="00BD72E2" w:rsidRPr="00BD72E2" w:rsidRDefault="00BD72E2" w:rsidP="00BD72E2">
      <w:pPr>
        <w:tabs>
          <w:tab w:val="clear" w:pos="567"/>
          <w:tab w:val="left" w:pos="1296"/>
        </w:tabs>
        <w:autoSpaceDE w:val="0"/>
        <w:autoSpaceDN w:val="0"/>
        <w:adjustRightInd w:val="0"/>
        <w:spacing w:line="240" w:lineRule="auto"/>
        <w:rPr>
          <w:b/>
          <w:bCs/>
          <w:szCs w:val="22"/>
          <w:lang w:val="lt-LT" w:eastAsia="es-ES"/>
        </w:rPr>
      </w:pPr>
      <w:proofErr w:type="spellStart"/>
      <w:r w:rsidRPr="00BD72E2">
        <w:rPr>
          <w:b/>
          <w:bCs/>
          <w:szCs w:val="22"/>
          <w:lang w:val="lt-LT" w:eastAsia="es-ES"/>
        </w:rPr>
        <w:t>Tobramycin</w:t>
      </w:r>
      <w:proofErr w:type="spellEnd"/>
      <w:r w:rsidRPr="00BD72E2">
        <w:rPr>
          <w:b/>
          <w:bCs/>
          <w:szCs w:val="22"/>
          <w:lang w:val="lt-LT" w:eastAsia="es-ES"/>
        </w:rPr>
        <w:t xml:space="preserve"> Via </w:t>
      </w:r>
      <w:proofErr w:type="spellStart"/>
      <w:r w:rsidRPr="00BD72E2">
        <w:rPr>
          <w:b/>
          <w:bCs/>
          <w:szCs w:val="22"/>
          <w:lang w:val="lt-LT" w:eastAsia="es-ES"/>
        </w:rPr>
        <w:t>pharma</w:t>
      </w:r>
      <w:proofErr w:type="spellEnd"/>
      <w:r w:rsidRPr="00BD72E2">
        <w:rPr>
          <w:b/>
          <w:bCs/>
          <w:szCs w:val="22"/>
          <w:lang w:val="lt-LT" w:eastAsia="es-ES"/>
        </w:rPr>
        <w:t xml:space="preserve"> vartojimas naudojant LC PLUS (PARI </w:t>
      </w:r>
      <w:proofErr w:type="spellStart"/>
      <w:r w:rsidRPr="00BD72E2">
        <w:rPr>
          <w:b/>
          <w:bCs/>
          <w:szCs w:val="22"/>
          <w:lang w:val="lt-LT" w:eastAsia="es-ES"/>
        </w:rPr>
        <w:t>GmbH</w:t>
      </w:r>
      <w:proofErr w:type="spellEnd"/>
      <w:r w:rsidRPr="00BD72E2">
        <w:rPr>
          <w:b/>
          <w:bCs/>
          <w:szCs w:val="22"/>
          <w:lang w:val="lt-LT" w:eastAsia="es-ES"/>
        </w:rPr>
        <w:t>)</w:t>
      </w:r>
    </w:p>
    <w:p w14:paraId="2665E768" w14:textId="77777777" w:rsidR="00BD72E2" w:rsidRPr="00BD72E2" w:rsidRDefault="00BD72E2" w:rsidP="00BD72E2">
      <w:pPr>
        <w:tabs>
          <w:tab w:val="clear" w:pos="567"/>
          <w:tab w:val="left" w:pos="1296"/>
        </w:tabs>
        <w:autoSpaceDE w:val="0"/>
        <w:autoSpaceDN w:val="0"/>
        <w:adjustRightInd w:val="0"/>
        <w:spacing w:line="240" w:lineRule="auto"/>
        <w:rPr>
          <w:b/>
          <w:bCs/>
          <w:szCs w:val="22"/>
          <w:lang w:val="lt-LT" w:eastAsia="es-ES"/>
        </w:rPr>
      </w:pPr>
    </w:p>
    <w:p w14:paraId="2E6B4112"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r w:rsidRPr="00BD72E2">
        <w:rPr>
          <w:szCs w:val="22"/>
          <w:lang w:val="lt-LT" w:eastAsia="es-ES"/>
        </w:rPr>
        <w:t>Išsamesnės purkštuvo naudojimo instrukcijos pateikiamos kartu su PARI LC PLUS tiekiamame pakuotės lapelyje.</w:t>
      </w:r>
    </w:p>
    <w:p w14:paraId="63AC2388"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5DDC09FF"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Nuimkite viršutinę purkštuvo dalį, ją sukdami prieš laikrodžio rodyklę ir po to pakeldami. Viršutinę purkštuvo dalį padėkite ant rankšluosčio, šalia vertikaliai pastatykite purkštuvo apatinę dalį.</w:t>
      </w:r>
    </w:p>
    <w:p w14:paraId="5D786390"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p w14:paraId="6E9062AD"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Vieną žarnelės galą prijunkite prie kompresoriaus oro angos. Žarnelė turi prisijungti tvirtai. Kompresoriaus kištuką įkiškite į kištukinį lizdą.</w:t>
      </w:r>
    </w:p>
    <w:p w14:paraId="34267F1C"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p w14:paraId="43E71D2E"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Atidarykite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 xml:space="preserve">ampulę, viena ranka ją laikydami už dugno, kita nusukdami viršutinę dalį. Visą ampulės turinį išspauskite į purkštuvo apatinę dalį. </w:t>
      </w:r>
    </w:p>
    <w:p w14:paraId="1457368B"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3124"/>
      </w:tblGrid>
      <w:tr w:rsidR="00BD72E2" w:rsidRPr="00BD72E2" w14:paraId="1453AB7B" w14:textId="77777777" w:rsidTr="00D06D01">
        <w:trPr>
          <w:jc w:val="center"/>
        </w:trPr>
        <w:tc>
          <w:tcPr>
            <w:tcW w:w="2817" w:type="dxa"/>
            <w:tcBorders>
              <w:top w:val="single" w:sz="4" w:space="0" w:color="auto"/>
              <w:left w:val="single" w:sz="4" w:space="0" w:color="auto"/>
              <w:bottom w:val="single" w:sz="4" w:space="0" w:color="auto"/>
              <w:right w:val="single" w:sz="4" w:space="0" w:color="auto"/>
            </w:tcBorders>
            <w:vAlign w:val="center"/>
            <w:hideMark/>
          </w:tcPr>
          <w:p w14:paraId="70D43B40" w14:textId="77777777" w:rsidR="00BD72E2" w:rsidRPr="00BD72E2" w:rsidRDefault="00BD72E2" w:rsidP="00BD72E2">
            <w:pPr>
              <w:tabs>
                <w:tab w:val="clear" w:pos="567"/>
                <w:tab w:val="left" w:pos="1296"/>
              </w:tabs>
              <w:autoSpaceDE w:val="0"/>
              <w:autoSpaceDN w:val="0"/>
              <w:adjustRightInd w:val="0"/>
              <w:spacing w:line="240" w:lineRule="auto"/>
              <w:ind w:left="567"/>
              <w:rPr>
                <w:szCs w:val="22"/>
                <w:lang w:val="lt-LT" w:eastAsia="es-ES"/>
              </w:rPr>
            </w:pPr>
            <w:r w:rsidRPr="00BD72E2">
              <w:rPr>
                <w:noProof/>
                <w:szCs w:val="22"/>
                <w:lang w:val="lt-LT" w:eastAsia="lt-LT"/>
              </w:rPr>
              <w:drawing>
                <wp:inline distT="0" distB="0" distL="0" distR="0" wp14:anchorId="7A770CFA" wp14:editId="4439C1DD">
                  <wp:extent cx="14097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inline>
              </w:drawing>
            </w:r>
          </w:p>
        </w:tc>
        <w:tc>
          <w:tcPr>
            <w:tcW w:w="2697" w:type="dxa"/>
            <w:tcBorders>
              <w:top w:val="single" w:sz="4" w:space="0" w:color="auto"/>
              <w:left w:val="single" w:sz="4" w:space="0" w:color="auto"/>
              <w:bottom w:val="single" w:sz="4" w:space="0" w:color="auto"/>
              <w:right w:val="single" w:sz="4" w:space="0" w:color="auto"/>
            </w:tcBorders>
            <w:vAlign w:val="center"/>
            <w:hideMark/>
          </w:tcPr>
          <w:p w14:paraId="18F1EE67" w14:textId="77777777" w:rsidR="00BD72E2" w:rsidRPr="00BD72E2" w:rsidRDefault="00BD72E2" w:rsidP="00BD72E2">
            <w:pPr>
              <w:tabs>
                <w:tab w:val="clear" w:pos="567"/>
                <w:tab w:val="left" w:pos="1296"/>
              </w:tabs>
              <w:autoSpaceDE w:val="0"/>
              <w:autoSpaceDN w:val="0"/>
              <w:adjustRightInd w:val="0"/>
              <w:spacing w:line="240" w:lineRule="auto"/>
              <w:ind w:left="567"/>
              <w:rPr>
                <w:szCs w:val="22"/>
                <w:lang w:val="lt-LT" w:eastAsia="es-ES"/>
              </w:rPr>
            </w:pPr>
            <w:r w:rsidRPr="00BD72E2">
              <w:rPr>
                <w:noProof/>
                <w:szCs w:val="22"/>
                <w:lang w:val="lt-LT" w:eastAsia="lt-LT"/>
              </w:rPr>
              <w:drawing>
                <wp:inline distT="0" distB="0" distL="0" distR="0" wp14:anchorId="76CF1C9D" wp14:editId="0289B15E">
                  <wp:extent cx="14859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038225"/>
                          </a:xfrm>
                          <a:prstGeom prst="rect">
                            <a:avLst/>
                          </a:prstGeom>
                          <a:noFill/>
                          <a:ln>
                            <a:noFill/>
                          </a:ln>
                        </pic:spPr>
                      </pic:pic>
                    </a:graphicData>
                  </a:graphic>
                </wp:inline>
              </w:drawing>
            </w:r>
          </w:p>
        </w:tc>
      </w:tr>
      <w:tr w:rsidR="00BD72E2" w:rsidRPr="00BD72E2" w14:paraId="636A3E8F" w14:textId="77777777" w:rsidTr="00D06D01">
        <w:trPr>
          <w:gridAfter w:val="1"/>
          <w:wAfter w:w="1446"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68E63ACA" w14:textId="77777777" w:rsidR="00BD72E2" w:rsidRPr="00BD72E2" w:rsidRDefault="00BD72E2" w:rsidP="00BD72E2">
            <w:pPr>
              <w:tabs>
                <w:tab w:val="clear" w:pos="567"/>
                <w:tab w:val="left" w:pos="1296"/>
              </w:tabs>
              <w:autoSpaceDE w:val="0"/>
              <w:autoSpaceDN w:val="0"/>
              <w:adjustRightInd w:val="0"/>
              <w:spacing w:line="240" w:lineRule="auto"/>
              <w:ind w:left="360"/>
              <w:rPr>
                <w:szCs w:val="22"/>
                <w:lang w:val="lt-LT" w:eastAsia="es-ES"/>
              </w:rPr>
            </w:pPr>
            <w:r w:rsidRPr="00BD72E2">
              <w:rPr>
                <w:noProof/>
                <w:szCs w:val="22"/>
                <w:lang w:val="lt-LT" w:eastAsia="lt-LT"/>
              </w:rPr>
              <w:drawing>
                <wp:inline distT="0" distB="0" distL="0" distR="0" wp14:anchorId="77662036" wp14:editId="23EEB93F">
                  <wp:extent cx="160972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933575"/>
                          </a:xfrm>
                          <a:prstGeom prst="rect">
                            <a:avLst/>
                          </a:prstGeom>
                          <a:noFill/>
                          <a:ln>
                            <a:noFill/>
                          </a:ln>
                        </pic:spPr>
                      </pic:pic>
                    </a:graphicData>
                  </a:graphic>
                </wp:inline>
              </w:drawing>
            </w:r>
          </w:p>
        </w:tc>
      </w:tr>
    </w:tbl>
    <w:p w14:paraId="7DEED25B"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p w14:paraId="4E08E82A"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 xml:space="preserve">Vėl uždėkite viršutinę purkštuvo dalį, kandiklį ir įkvėpimo vožtuvo dangtelį ant purkštuvo bei prijunkite kompresorių, kaip nurodyta Jūsų PARI LC PLUS purkštuvo pakuotės lapelyje. </w:t>
      </w:r>
    </w:p>
    <w:p w14:paraId="46BF7DE1"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Įjunkite kompresorių. Patikrinkite, ar iš kandiklio išsiskiria tolygus rūkas. Jei rūko nėra, patikrinkite žarnelės prijungimo vietas ir ar kompresorius veikia tinkamai.</w:t>
      </w:r>
    </w:p>
    <w:p w14:paraId="3B4D0CC9"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Atsisėskite ar atsistokite taip, kad galėtumėte normaliai kvėpuoti.</w:t>
      </w:r>
    </w:p>
    <w:p w14:paraId="15F05204"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lastRenderedPageBreak/>
        <w:t xml:space="preserve">Įdėkite kandiklį tarp dantų ir liežuvio galiuko. Kvėpuokite normaliai, bet tik per burną (gali būti naudinga užsidėti nosies spaustuką). Stenkitės neužkimšti kandiklio galo savo liežuviu. </w:t>
      </w:r>
    </w:p>
    <w:p w14:paraId="3F871282"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p w14:paraId="3BDDE1C3" w14:textId="77777777" w:rsidR="00BD72E2" w:rsidRPr="00BD72E2" w:rsidRDefault="00BD72E2" w:rsidP="00BD72E2">
      <w:pPr>
        <w:tabs>
          <w:tab w:val="clear" w:pos="567"/>
          <w:tab w:val="left" w:pos="1296"/>
        </w:tabs>
        <w:autoSpaceDE w:val="0"/>
        <w:autoSpaceDN w:val="0"/>
        <w:adjustRightInd w:val="0"/>
        <w:spacing w:line="240" w:lineRule="auto"/>
        <w:ind w:left="360"/>
        <w:rPr>
          <w:szCs w:val="22"/>
          <w:lang w:val="lt-LT" w:eastAsia="es-ES"/>
        </w:rPr>
      </w:pPr>
      <w:r w:rsidRPr="00BD72E2">
        <w:rPr>
          <w:noProof/>
          <w:szCs w:val="22"/>
          <w:lang w:val="lt-LT" w:eastAsia="lt-LT"/>
        </w:rPr>
        <w:drawing>
          <wp:inline distT="0" distB="0" distL="0" distR="0" wp14:anchorId="18457996" wp14:editId="3C561ED9">
            <wp:extent cx="1485900" cy="14859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w="6350" cmpd="sng">
                      <a:solidFill>
                        <a:srgbClr val="000000"/>
                      </a:solidFill>
                      <a:miter lim="800000"/>
                      <a:headEnd/>
                      <a:tailEnd/>
                    </a:ln>
                    <a:effectLst/>
                  </pic:spPr>
                </pic:pic>
              </a:graphicData>
            </a:graphic>
          </wp:inline>
        </w:drawing>
      </w:r>
    </w:p>
    <w:p w14:paraId="4A2ADC31" w14:textId="77777777" w:rsidR="00BD72E2" w:rsidRPr="00BD72E2" w:rsidRDefault="00BD72E2" w:rsidP="00BD72E2">
      <w:pPr>
        <w:tabs>
          <w:tab w:val="clear" w:pos="567"/>
          <w:tab w:val="left" w:pos="1296"/>
        </w:tabs>
        <w:autoSpaceDE w:val="0"/>
        <w:autoSpaceDN w:val="0"/>
        <w:adjustRightInd w:val="0"/>
        <w:spacing w:line="240" w:lineRule="auto"/>
        <w:ind w:left="567" w:hanging="567"/>
        <w:rPr>
          <w:szCs w:val="22"/>
          <w:lang w:val="lt-LT" w:eastAsia="es-ES"/>
        </w:rPr>
      </w:pPr>
    </w:p>
    <w:p w14:paraId="694E2248"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b/>
          <w:bCs/>
          <w:szCs w:val="22"/>
          <w:lang w:val="lt-LT" w:eastAsia="es-ES"/>
        </w:rPr>
      </w:pPr>
      <w:r w:rsidRPr="00BD72E2">
        <w:rPr>
          <w:szCs w:val="22"/>
          <w:lang w:val="lt-LT" w:eastAsia="es-ES"/>
        </w:rPr>
        <w:t xml:space="preserve">Procedūrą tęskite tol, kol bus suvartotas visas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s-ES"/>
        </w:rPr>
        <w:t>ir nebeišsiskirs rūkas. Kol suvartosite visą vaistą, turi praeiti maždaug 15 minučių. Kai purkštuvo taurelė taps tuščia, galite išgirsti burbuliavimo garsą.</w:t>
      </w:r>
    </w:p>
    <w:p w14:paraId="7586263B" w14:textId="77777777" w:rsidR="00BD72E2" w:rsidRPr="00BD72E2" w:rsidRDefault="00BD72E2" w:rsidP="00BD72E2">
      <w:pPr>
        <w:tabs>
          <w:tab w:val="clear" w:pos="567"/>
          <w:tab w:val="left" w:pos="1296"/>
        </w:tabs>
        <w:autoSpaceDE w:val="0"/>
        <w:autoSpaceDN w:val="0"/>
        <w:adjustRightInd w:val="0"/>
        <w:spacing w:line="240" w:lineRule="auto"/>
        <w:ind w:left="567" w:hanging="567"/>
        <w:rPr>
          <w:b/>
          <w:bCs/>
          <w:szCs w:val="22"/>
          <w:lang w:val="lt-LT" w:eastAsia="es-ES"/>
        </w:rPr>
      </w:pPr>
    </w:p>
    <w:p w14:paraId="36758BDD" w14:textId="77777777" w:rsidR="00BD72E2" w:rsidRPr="00BD72E2" w:rsidRDefault="00BD72E2" w:rsidP="00BD72E2">
      <w:pPr>
        <w:numPr>
          <w:ilvl w:val="0"/>
          <w:numId w:val="5"/>
        </w:numPr>
        <w:tabs>
          <w:tab w:val="clear" w:pos="567"/>
          <w:tab w:val="left" w:pos="1296"/>
        </w:tabs>
        <w:autoSpaceDE w:val="0"/>
        <w:autoSpaceDN w:val="0"/>
        <w:adjustRightInd w:val="0"/>
        <w:spacing w:line="240" w:lineRule="auto"/>
        <w:ind w:left="567" w:hanging="567"/>
        <w:rPr>
          <w:b/>
          <w:bCs/>
          <w:szCs w:val="22"/>
          <w:lang w:val="lt-LT" w:eastAsia="es-ES"/>
        </w:rPr>
      </w:pPr>
      <w:r w:rsidRPr="00BD72E2">
        <w:rPr>
          <w:b/>
          <w:bCs/>
          <w:szCs w:val="22"/>
          <w:lang w:val="lt-LT" w:eastAsia="es-ES"/>
        </w:rPr>
        <w:t>Nepamirškite po vartojimo išvalyti ir dezinfekuoti savo purkštuvo pagal gamintojo instrukcijas. Nešvaraus ar užsikimšusio purkštuvo naudoti negalima. Savo purkštuvo negalite duoti kitiems žmonėms.</w:t>
      </w:r>
    </w:p>
    <w:p w14:paraId="56835C73"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087E8657" w14:textId="77777777" w:rsidR="00BD72E2" w:rsidRPr="00BD72E2" w:rsidRDefault="00BD72E2" w:rsidP="00BD72E2">
      <w:pPr>
        <w:numPr>
          <w:ilvl w:val="12"/>
          <w:numId w:val="0"/>
        </w:numPr>
        <w:tabs>
          <w:tab w:val="clear" w:pos="567"/>
          <w:tab w:val="left" w:pos="1296"/>
        </w:tabs>
        <w:spacing w:line="240" w:lineRule="auto"/>
        <w:rPr>
          <w:szCs w:val="22"/>
          <w:lang w:val="lt-LT" w:eastAsia="es-ES"/>
        </w:rPr>
      </w:pPr>
      <w:r w:rsidRPr="00BD72E2">
        <w:rPr>
          <w:szCs w:val="22"/>
          <w:lang w:val="lt-LT" w:eastAsia="es-ES"/>
        </w:rPr>
        <w:t>Jei vaisto vartojimo metu Jums kas nors sutrukdo, reikia atsikosėti ar norite pailsėti, išjunkite kompresorių, kad vaistas nesieikvotų.</w:t>
      </w:r>
    </w:p>
    <w:p w14:paraId="78F473EB" w14:textId="77777777" w:rsidR="00BD72E2" w:rsidRPr="00BD72E2" w:rsidRDefault="00BD72E2" w:rsidP="00BD72E2">
      <w:pPr>
        <w:numPr>
          <w:ilvl w:val="12"/>
          <w:numId w:val="0"/>
        </w:numPr>
        <w:tabs>
          <w:tab w:val="clear" w:pos="567"/>
          <w:tab w:val="left" w:pos="1296"/>
        </w:tabs>
        <w:spacing w:line="240" w:lineRule="auto"/>
        <w:rPr>
          <w:szCs w:val="22"/>
          <w:lang w:val="lt-LT" w:eastAsia="es-ES"/>
        </w:rPr>
      </w:pPr>
    </w:p>
    <w:p w14:paraId="5510070A" w14:textId="77777777" w:rsidR="00BD72E2" w:rsidRPr="00BD72E2" w:rsidRDefault="00BD72E2" w:rsidP="00BD72E2">
      <w:pPr>
        <w:numPr>
          <w:ilvl w:val="12"/>
          <w:numId w:val="0"/>
        </w:numPr>
        <w:tabs>
          <w:tab w:val="clear" w:pos="567"/>
          <w:tab w:val="left" w:pos="1296"/>
        </w:tabs>
        <w:spacing w:line="240" w:lineRule="auto"/>
        <w:rPr>
          <w:szCs w:val="22"/>
          <w:lang w:val="lt-LT"/>
        </w:rPr>
      </w:pPr>
      <w:r w:rsidRPr="00BD72E2">
        <w:rPr>
          <w:szCs w:val="22"/>
          <w:lang w:val="lt-LT" w:eastAsia="es-ES"/>
        </w:rPr>
        <w:t>Kai būsite pasirengę atnaujinti vaisto vartojimą, kompresorių vėl įjunkite. Jei iki kitos dozės vartojimo liko mažiau kaip 6 valandos, likusios dozės dalies nebevartokite.</w:t>
      </w:r>
    </w:p>
    <w:p w14:paraId="62EAF075"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6A17B2EF"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2A387363" w14:textId="77777777" w:rsidR="00BD72E2" w:rsidRPr="00EE1101" w:rsidRDefault="00BD72E2" w:rsidP="00BD72E2">
      <w:pPr>
        <w:pStyle w:val="Antrat3"/>
        <w:spacing w:before="0" w:after="0" w:line="240" w:lineRule="auto"/>
        <w:rPr>
          <w:rFonts w:ascii="Times New Roman" w:hAnsi="Times New Roman" w:cs="Times New Roman"/>
          <w:b/>
          <w:bCs/>
          <w:color w:val="auto"/>
          <w:sz w:val="22"/>
          <w:szCs w:val="22"/>
          <w:lang w:val="lt-LT"/>
        </w:rPr>
      </w:pPr>
      <w:r w:rsidRPr="00EE1101">
        <w:rPr>
          <w:rFonts w:ascii="Times New Roman" w:hAnsi="Times New Roman" w:cs="Times New Roman"/>
          <w:b/>
          <w:bCs/>
          <w:color w:val="auto"/>
          <w:sz w:val="22"/>
          <w:szCs w:val="22"/>
          <w:lang w:val="lt-LT"/>
        </w:rPr>
        <w:t>4.</w:t>
      </w:r>
      <w:r w:rsidRPr="00EE1101">
        <w:rPr>
          <w:rFonts w:ascii="Times New Roman" w:hAnsi="Times New Roman" w:cs="Times New Roman"/>
          <w:b/>
          <w:bCs/>
          <w:color w:val="auto"/>
          <w:sz w:val="22"/>
          <w:szCs w:val="22"/>
          <w:lang w:val="lt-LT"/>
        </w:rPr>
        <w:tab/>
        <w:t>Galimas šalutinis poveikis</w:t>
      </w:r>
    </w:p>
    <w:p w14:paraId="52AF5A68"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2C2C1F86" w14:textId="77777777" w:rsidR="00BD72E2" w:rsidRPr="00BD72E2" w:rsidRDefault="00BD72E2" w:rsidP="00BD72E2">
      <w:pPr>
        <w:numPr>
          <w:ilvl w:val="12"/>
          <w:numId w:val="0"/>
        </w:numPr>
        <w:tabs>
          <w:tab w:val="clear" w:pos="567"/>
          <w:tab w:val="left" w:pos="1296"/>
        </w:tabs>
        <w:spacing w:line="240" w:lineRule="auto"/>
        <w:ind w:right="-29"/>
        <w:rPr>
          <w:szCs w:val="22"/>
          <w:lang w:val="lt-LT"/>
        </w:rPr>
      </w:pPr>
      <w:r w:rsidRPr="00BD72E2">
        <w:rPr>
          <w:szCs w:val="22"/>
          <w:lang w:val="lt-LT"/>
        </w:rPr>
        <w:t>Šis vaistas, kaip ir visi kiti, gali sukelti šalutinį poveikį, nors jis pasireiškia ne visiems žmonėms.</w:t>
      </w:r>
    </w:p>
    <w:p w14:paraId="33C2260E" w14:textId="77777777" w:rsidR="00BD72E2" w:rsidRPr="00BD72E2" w:rsidRDefault="00BD72E2" w:rsidP="00BD72E2">
      <w:pPr>
        <w:numPr>
          <w:ilvl w:val="12"/>
          <w:numId w:val="0"/>
        </w:numPr>
        <w:tabs>
          <w:tab w:val="clear" w:pos="567"/>
          <w:tab w:val="left" w:pos="1296"/>
        </w:tabs>
        <w:spacing w:line="240" w:lineRule="auto"/>
        <w:ind w:right="-29"/>
        <w:rPr>
          <w:szCs w:val="22"/>
          <w:lang w:val="lt-LT"/>
        </w:rPr>
      </w:pPr>
    </w:p>
    <w:p w14:paraId="3A3AC0C7"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r w:rsidRPr="00BD72E2">
        <w:rPr>
          <w:b/>
          <w:bCs/>
          <w:szCs w:val="22"/>
          <w:lang w:val="lt-LT" w:eastAsia="es-ES"/>
        </w:rPr>
        <w:t>Tam tikras šalutinis poveikis gali būti sunkus</w:t>
      </w:r>
    </w:p>
    <w:p w14:paraId="7B025606"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p>
    <w:p w14:paraId="23AB2C2D"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r w:rsidRPr="00BD72E2">
        <w:rPr>
          <w:bCs/>
          <w:szCs w:val="22"/>
          <w:lang w:val="lt-LT" w:eastAsia="es-ES"/>
        </w:rPr>
        <w:t xml:space="preserve">Jeigu pasireiškia bet kuris toliau paminėtas poveikis, nutraukite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vartojimą </w:t>
      </w:r>
      <w:r w:rsidRPr="00BD72E2">
        <w:rPr>
          <w:b/>
          <w:bCs/>
          <w:szCs w:val="22"/>
          <w:lang w:val="lt-LT" w:eastAsia="es-ES"/>
        </w:rPr>
        <w:t xml:space="preserve">ir nedelsdami kreipkitės į gydytoją: </w:t>
      </w:r>
    </w:p>
    <w:p w14:paraId="78CA87E5" w14:textId="77777777" w:rsidR="00BD72E2" w:rsidRPr="00BD72E2" w:rsidRDefault="00BD72E2" w:rsidP="00BD72E2">
      <w:pPr>
        <w:numPr>
          <w:ilvl w:val="0"/>
          <w:numId w:val="6"/>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neįprastai pasunkėjęs kvėpavimas su švokštimu ar kosuliu ir spaudimo pojūtis krūtinėje;</w:t>
      </w:r>
    </w:p>
    <w:p w14:paraId="0CCC5C52" w14:textId="77777777" w:rsidR="00BD72E2" w:rsidRPr="00BD72E2" w:rsidRDefault="00BD72E2" w:rsidP="00BD72E2">
      <w:pPr>
        <w:numPr>
          <w:ilvl w:val="0"/>
          <w:numId w:val="6"/>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alerginė reakcija, įskaitant dilgėlinę ir niežėjimą (toks poveikis labai retas).</w:t>
      </w:r>
    </w:p>
    <w:p w14:paraId="16FE80A5"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3C99FF07" w14:textId="77777777" w:rsidR="00BD72E2" w:rsidRPr="00BD72E2" w:rsidRDefault="00BD72E2" w:rsidP="00BD72E2">
      <w:pPr>
        <w:tabs>
          <w:tab w:val="clear" w:pos="567"/>
          <w:tab w:val="left" w:pos="1296"/>
        </w:tabs>
        <w:autoSpaceDE w:val="0"/>
        <w:autoSpaceDN w:val="0"/>
        <w:adjustRightInd w:val="0"/>
        <w:spacing w:line="240" w:lineRule="auto"/>
        <w:jc w:val="both"/>
        <w:rPr>
          <w:b/>
          <w:bCs/>
          <w:szCs w:val="22"/>
          <w:lang w:val="lt-LT" w:eastAsia="es-ES"/>
        </w:rPr>
      </w:pPr>
      <w:r w:rsidRPr="00BD72E2">
        <w:rPr>
          <w:bCs/>
          <w:szCs w:val="22"/>
          <w:lang w:val="lt-LT" w:eastAsia="es-ES"/>
        </w:rPr>
        <w:t xml:space="preserve">Jeigu pasireiškia bet kuris toliau paminėtas poveikis, </w:t>
      </w:r>
      <w:r w:rsidRPr="00BD72E2">
        <w:rPr>
          <w:b/>
          <w:bCs/>
          <w:szCs w:val="22"/>
          <w:lang w:val="lt-LT" w:eastAsia="es-ES"/>
        </w:rPr>
        <w:t>nedelsdami kreipkitės į gydytoją:</w:t>
      </w:r>
    </w:p>
    <w:p w14:paraId="7AD97526"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apkurtimas (spengimas ausyse gali būti perspėjamasis požymis, kad gali pasireikšti apkurtimas), garsai (pvz., šnypštimas) ausyse;</w:t>
      </w:r>
    </w:p>
    <w:p w14:paraId="03702932"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mažas šlapimo kiekis, vėmimas, sumišimas ir kojų, kulkšnių bei pėdų tinimas, nes tai gali būti staiga susilpnėjusios inkstų funkcijos požymiai (dažnis nežinomas).</w:t>
      </w:r>
    </w:p>
    <w:p w14:paraId="00E91658"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090AE3C5"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r w:rsidRPr="00BD72E2">
        <w:rPr>
          <w:szCs w:val="22"/>
          <w:lang w:val="lt-LT" w:eastAsia="es-ES"/>
        </w:rPr>
        <w:t xml:space="preserve">Jūsų plaučių liga </w:t>
      </w:r>
      <w:proofErr w:type="spellStart"/>
      <w:r w:rsidRPr="00BD72E2">
        <w:rPr>
          <w:szCs w:val="22"/>
          <w:lang w:val="lt-LT" w:eastAsia="es-ES"/>
        </w:rPr>
        <w:t>Tobramycin</w:t>
      </w:r>
      <w:proofErr w:type="spellEnd"/>
      <w:r w:rsidRPr="00BD72E2">
        <w:rPr>
          <w:szCs w:val="22"/>
          <w:lang w:val="lt-LT" w:eastAsia="es-ES"/>
        </w:rPr>
        <w:t xml:space="preserve"> Via </w:t>
      </w:r>
      <w:proofErr w:type="spellStart"/>
      <w:r w:rsidRPr="00BD72E2">
        <w:rPr>
          <w:szCs w:val="22"/>
          <w:lang w:val="lt-LT" w:eastAsia="es-ES"/>
        </w:rPr>
        <w:t>pharma</w:t>
      </w:r>
      <w:proofErr w:type="spellEnd"/>
      <w:r w:rsidRPr="00BD72E2">
        <w:rPr>
          <w:szCs w:val="22"/>
          <w:lang w:val="lt-LT" w:eastAsia="es-ES"/>
        </w:rPr>
        <w:t xml:space="preserve"> vartojimo metu gali pasunkėti. Tai gali atsitikti dėl vaisto veiksmingumo stokos. Tokiu atveju nedelsdami kreipkitės į gydytoją.</w:t>
      </w:r>
    </w:p>
    <w:p w14:paraId="01D0C015" w14:textId="77777777" w:rsidR="00BD72E2" w:rsidRPr="00BD72E2" w:rsidRDefault="00BD72E2" w:rsidP="00BD72E2">
      <w:pPr>
        <w:tabs>
          <w:tab w:val="clear" w:pos="567"/>
          <w:tab w:val="left" w:pos="1296"/>
        </w:tabs>
        <w:autoSpaceDE w:val="0"/>
        <w:autoSpaceDN w:val="0"/>
        <w:adjustRightInd w:val="0"/>
        <w:spacing w:line="240" w:lineRule="auto"/>
        <w:jc w:val="both"/>
        <w:rPr>
          <w:b/>
          <w:szCs w:val="22"/>
          <w:lang w:val="lt-LT" w:eastAsia="es-ES"/>
        </w:rPr>
      </w:pPr>
    </w:p>
    <w:p w14:paraId="4065977E" w14:textId="77777777" w:rsidR="00BD72E2" w:rsidRPr="00BD72E2" w:rsidRDefault="00BD72E2" w:rsidP="00BD72E2">
      <w:pPr>
        <w:tabs>
          <w:tab w:val="clear" w:pos="567"/>
          <w:tab w:val="left" w:pos="1296"/>
        </w:tabs>
        <w:autoSpaceDE w:val="0"/>
        <w:autoSpaceDN w:val="0"/>
        <w:adjustRightInd w:val="0"/>
        <w:spacing w:line="240" w:lineRule="auto"/>
        <w:jc w:val="both"/>
        <w:rPr>
          <w:b/>
          <w:szCs w:val="22"/>
          <w:lang w:val="lt-LT" w:eastAsia="es-ES"/>
        </w:rPr>
      </w:pPr>
      <w:r w:rsidRPr="00BD72E2">
        <w:rPr>
          <w:b/>
          <w:szCs w:val="22"/>
          <w:lang w:val="lt-LT" w:eastAsia="es-ES"/>
        </w:rPr>
        <w:t>Tam tikras šalutinis poveikis atsiranda dažnai</w:t>
      </w:r>
    </w:p>
    <w:p w14:paraId="1471A544" w14:textId="77777777" w:rsidR="00BD72E2" w:rsidRPr="00BD72E2" w:rsidRDefault="00BD72E2" w:rsidP="00BD72E2">
      <w:pPr>
        <w:tabs>
          <w:tab w:val="clear" w:pos="567"/>
          <w:tab w:val="left" w:pos="1296"/>
        </w:tabs>
        <w:autoSpaceDE w:val="0"/>
        <w:autoSpaceDN w:val="0"/>
        <w:adjustRightInd w:val="0"/>
        <w:spacing w:line="240" w:lineRule="auto"/>
        <w:jc w:val="both"/>
        <w:rPr>
          <w:i/>
          <w:szCs w:val="22"/>
          <w:lang w:val="lt-LT" w:eastAsia="es-ES"/>
        </w:rPr>
      </w:pPr>
      <w:r w:rsidRPr="00BD72E2">
        <w:rPr>
          <w:i/>
          <w:szCs w:val="22"/>
          <w:lang w:val="lt-LT" w:eastAsia="es-ES"/>
        </w:rPr>
        <w:t>Toks šalutinis poveikis gali atsirasti daugiau kaip 1 iš 10 žmonių:</w:t>
      </w:r>
    </w:p>
    <w:p w14:paraId="66DDE463"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nosies bėgimas ar užsikimšimas, čiaudulys;</w:t>
      </w:r>
    </w:p>
    <w:p w14:paraId="698F9D21"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balso pokytis (užkimimas);</w:t>
      </w:r>
    </w:p>
    <w:p w14:paraId="458BDBCC"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atkosėjamo turinio (skreplių) spalvos pokytis;</w:t>
      </w:r>
    </w:p>
    <w:p w14:paraId="217BEEAA" w14:textId="77777777" w:rsidR="00BD72E2" w:rsidRPr="00BD72E2" w:rsidRDefault="00BD72E2" w:rsidP="00BD72E2">
      <w:pPr>
        <w:numPr>
          <w:ilvl w:val="0"/>
          <w:numId w:val="7"/>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plaučių funkcijos tyrimų rezultatų pablogėjimas.</w:t>
      </w:r>
    </w:p>
    <w:p w14:paraId="2A7FA329"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r w:rsidRPr="00BD72E2">
        <w:rPr>
          <w:szCs w:val="22"/>
          <w:lang w:val="lt-LT" w:eastAsia="es-ES"/>
        </w:rPr>
        <w:t xml:space="preserve">Jei bet kuris paminėtas poveikis taps sunkus, </w:t>
      </w:r>
      <w:r w:rsidRPr="00BD72E2">
        <w:rPr>
          <w:b/>
          <w:szCs w:val="22"/>
          <w:lang w:val="lt-LT" w:eastAsia="es-ES"/>
        </w:rPr>
        <w:t>kreipkitės į gydytoją.</w:t>
      </w:r>
    </w:p>
    <w:p w14:paraId="7DA32698"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770C9917" w14:textId="77777777" w:rsidR="00BD72E2" w:rsidRPr="00BD72E2" w:rsidRDefault="00BD72E2" w:rsidP="00BD72E2">
      <w:pPr>
        <w:tabs>
          <w:tab w:val="clear" w:pos="567"/>
          <w:tab w:val="left" w:pos="1296"/>
        </w:tabs>
        <w:autoSpaceDE w:val="0"/>
        <w:autoSpaceDN w:val="0"/>
        <w:adjustRightInd w:val="0"/>
        <w:spacing w:line="240" w:lineRule="auto"/>
        <w:jc w:val="both"/>
        <w:rPr>
          <w:b/>
          <w:szCs w:val="22"/>
          <w:lang w:val="lt-LT" w:eastAsia="es-ES"/>
        </w:rPr>
      </w:pPr>
      <w:r w:rsidRPr="00BD72E2">
        <w:rPr>
          <w:b/>
          <w:szCs w:val="22"/>
          <w:lang w:val="lt-LT" w:eastAsia="es-ES"/>
        </w:rPr>
        <w:lastRenderedPageBreak/>
        <w:t>Tam tikras šalutinis poveikis atsiranda dažnai</w:t>
      </w:r>
    </w:p>
    <w:p w14:paraId="3959FB92" w14:textId="77777777" w:rsidR="00BD72E2" w:rsidRPr="00BD72E2" w:rsidRDefault="00BD72E2" w:rsidP="00BD72E2">
      <w:pPr>
        <w:tabs>
          <w:tab w:val="clear" w:pos="567"/>
          <w:tab w:val="left" w:pos="1296"/>
        </w:tabs>
        <w:autoSpaceDE w:val="0"/>
        <w:autoSpaceDN w:val="0"/>
        <w:adjustRightInd w:val="0"/>
        <w:spacing w:line="240" w:lineRule="auto"/>
        <w:jc w:val="both"/>
        <w:rPr>
          <w:i/>
          <w:szCs w:val="22"/>
          <w:lang w:val="lt-LT" w:eastAsia="es-ES"/>
        </w:rPr>
      </w:pPr>
      <w:r w:rsidRPr="00BD72E2">
        <w:rPr>
          <w:i/>
          <w:szCs w:val="22"/>
          <w:lang w:val="lt-LT" w:eastAsia="es-ES"/>
        </w:rPr>
        <w:t>Toks šalutinis poveikis gali atsirasti rečiau kaip 1 iš 10 žmonių:</w:t>
      </w:r>
    </w:p>
    <w:p w14:paraId="4C14DF63" w14:textId="77777777" w:rsidR="00BD72E2" w:rsidRPr="00BD72E2" w:rsidRDefault="00BD72E2" w:rsidP="00BD72E2">
      <w:pPr>
        <w:numPr>
          <w:ilvl w:val="0"/>
          <w:numId w:val="8"/>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bloga bendroji savijauta;</w:t>
      </w:r>
    </w:p>
    <w:p w14:paraId="57CAC084" w14:textId="77777777" w:rsidR="00BD72E2" w:rsidRPr="00BD72E2" w:rsidRDefault="00BD72E2" w:rsidP="00BD72E2">
      <w:pPr>
        <w:numPr>
          <w:ilvl w:val="0"/>
          <w:numId w:val="8"/>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raumenų skausmas;</w:t>
      </w:r>
    </w:p>
    <w:p w14:paraId="184862D8" w14:textId="77777777" w:rsidR="00BD72E2" w:rsidRPr="00BD72E2" w:rsidRDefault="00BD72E2" w:rsidP="00BD72E2">
      <w:pPr>
        <w:numPr>
          <w:ilvl w:val="0"/>
          <w:numId w:val="8"/>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balso pokytis su gerklės skausmu ir rijimo pasunkėjimu (laringitas).</w:t>
      </w:r>
    </w:p>
    <w:p w14:paraId="2C04B89C" w14:textId="77777777" w:rsidR="00BD72E2" w:rsidRPr="00BD72E2" w:rsidRDefault="00BD72E2" w:rsidP="00BD72E2">
      <w:pPr>
        <w:tabs>
          <w:tab w:val="clear" w:pos="567"/>
          <w:tab w:val="left" w:pos="1296"/>
        </w:tabs>
        <w:autoSpaceDE w:val="0"/>
        <w:autoSpaceDN w:val="0"/>
        <w:adjustRightInd w:val="0"/>
        <w:spacing w:line="240" w:lineRule="auto"/>
        <w:jc w:val="both"/>
        <w:rPr>
          <w:b/>
          <w:szCs w:val="22"/>
          <w:lang w:val="lt-LT" w:eastAsia="es-ES"/>
        </w:rPr>
      </w:pPr>
      <w:r w:rsidRPr="00BD72E2">
        <w:rPr>
          <w:szCs w:val="22"/>
          <w:lang w:val="lt-LT" w:eastAsia="es-ES"/>
        </w:rPr>
        <w:t xml:space="preserve">Jei bet kuris paminėtas poveikis taps sunkus, </w:t>
      </w:r>
      <w:r w:rsidRPr="00BD72E2">
        <w:rPr>
          <w:b/>
          <w:szCs w:val="22"/>
          <w:lang w:val="lt-LT" w:eastAsia="es-ES"/>
        </w:rPr>
        <w:t>kreipkitės į gydytoją.</w:t>
      </w:r>
    </w:p>
    <w:p w14:paraId="4C2AFEBB" w14:textId="77777777" w:rsidR="00BD72E2" w:rsidRPr="00BD72E2" w:rsidRDefault="00BD72E2" w:rsidP="00BD72E2">
      <w:pPr>
        <w:tabs>
          <w:tab w:val="clear" w:pos="567"/>
          <w:tab w:val="left" w:pos="1296"/>
        </w:tabs>
        <w:autoSpaceDE w:val="0"/>
        <w:autoSpaceDN w:val="0"/>
        <w:adjustRightInd w:val="0"/>
        <w:spacing w:line="240" w:lineRule="auto"/>
        <w:jc w:val="both"/>
        <w:rPr>
          <w:szCs w:val="22"/>
          <w:lang w:val="lt-LT" w:eastAsia="es-ES"/>
        </w:rPr>
      </w:pPr>
    </w:p>
    <w:p w14:paraId="287B1F68" w14:textId="77777777" w:rsidR="00BD72E2" w:rsidRPr="00BD72E2" w:rsidRDefault="00BD72E2" w:rsidP="00BD72E2">
      <w:pPr>
        <w:tabs>
          <w:tab w:val="clear" w:pos="567"/>
          <w:tab w:val="left" w:pos="1296"/>
        </w:tabs>
        <w:autoSpaceDE w:val="0"/>
        <w:autoSpaceDN w:val="0"/>
        <w:adjustRightInd w:val="0"/>
        <w:spacing w:line="240" w:lineRule="auto"/>
        <w:jc w:val="both"/>
        <w:rPr>
          <w:b/>
          <w:szCs w:val="22"/>
          <w:lang w:val="lt-LT" w:eastAsia="es-ES"/>
        </w:rPr>
      </w:pPr>
      <w:r w:rsidRPr="00BD72E2">
        <w:rPr>
          <w:b/>
          <w:szCs w:val="22"/>
          <w:lang w:val="lt-LT" w:eastAsia="es-ES"/>
        </w:rPr>
        <w:t>Kitoks galimas šalutinis poveikis:</w:t>
      </w:r>
    </w:p>
    <w:p w14:paraId="16709999"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niežėjimas;</w:t>
      </w:r>
    </w:p>
    <w:p w14:paraId="78C13AA0"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išbėrimas su niežėjimu;</w:t>
      </w:r>
    </w:p>
    <w:p w14:paraId="27F3073C"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sidRPr="00BD72E2">
        <w:rPr>
          <w:szCs w:val="22"/>
          <w:lang w:val="lt-LT" w:eastAsia="es-ES"/>
        </w:rPr>
        <w:t>išbėrimas;</w:t>
      </w:r>
    </w:p>
    <w:p w14:paraId="31694D0F"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balso netekimas;</w:t>
      </w:r>
    </w:p>
    <w:p w14:paraId="2FBDFE22"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skonio pojūčio sutrikimas;</w:t>
      </w:r>
    </w:p>
    <w:p w14:paraId="26CB3558" w14:textId="77777777" w:rsidR="00BD72E2" w:rsidRPr="00BD72E2" w:rsidRDefault="00BD72E2" w:rsidP="00BD72E2">
      <w:pPr>
        <w:numPr>
          <w:ilvl w:val="0"/>
          <w:numId w:val="9"/>
        </w:numPr>
        <w:tabs>
          <w:tab w:val="clear" w:pos="567"/>
          <w:tab w:val="left" w:pos="1296"/>
        </w:tabs>
        <w:autoSpaceDE w:val="0"/>
        <w:autoSpaceDN w:val="0"/>
        <w:adjustRightInd w:val="0"/>
        <w:spacing w:line="240" w:lineRule="auto"/>
        <w:ind w:left="567" w:hanging="567"/>
        <w:rPr>
          <w:szCs w:val="22"/>
          <w:lang w:val="lt-LT" w:eastAsia="es-ES"/>
        </w:rPr>
      </w:pPr>
      <w:r w:rsidRPr="00BD72E2">
        <w:rPr>
          <w:szCs w:val="22"/>
          <w:lang w:val="lt-LT" w:eastAsia="es-ES"/>
        </w:rPr>
        <w:t>gerklės skausmas.</w:t>
      </w:r>
    </w:p>
    <w:p w14:paraId="5CCA4663"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r w:rsidRPr="00BD72E2">
        <w:rPr>
          <w:szCs w:val="22"/>
          <w:lang w:val="lt-LT" w:eastAsia="es-ES"/>
        </w:rPr>
        <w:t xml:space="preserve">Jei bet kuris paminėtas poveikis taps sunkus, </w:t>
      </w:r>
      <w:r w:rsidRPr="00BD72E2">
        <w:rPr>
          <w:b/>
          <w:szCs w:val="22"/>
          <w:lang w:val="lt-LT" w:eastAsia="es-ES"/>
        </w:rPr>
        <w:t>kreipkitės į gydytoją.</w:t>
      </w:r>
    </w:p>
    <w:p w14:paraId="56FB2080"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7B1AB4D9"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r w:rsidRPr="00BD72E2">
        <w:rPr>
          <w:szCs w:val="22"/>
          <w:lang w:val="lt-LT" w:eastAsia="es-ES"/>
        </w:rPr>
        <w:t xml:space="preserve">Pacientams, kurie </w:t>
      </w:r>
      <w:proofErr w:type="spellStart"/>
      <w:r w:rsidRPr="00BD72E2">
        <w:rPr>
          <w:szCs w:val="22"/>
          <w:lang w:val="lt-LT" w:eastAsia="es-ES"/>
        </w:rPr>
        <w:t>Tobramycin</w:t>
      </w:r>
      <w:proofErr w:type="spellEnd"/>
      <w:r w:rsidRPr="00BD72E2">
        <w:rPr>
          <w:szCs w:val="22"/>
          <w:lang w:val="lt-LT" w:eastAsia="es-ES"/>
        </w:rPr>
        <w:t xml:space="preserve"> Via </w:t>
      </w:r>
      <w:proofErr w:type="spellStart"/>
      <w:r w:rsidRPr="00BD72E2">
        <w:rPr>
          <w:szCs w:val="22"/>
          <w:lang w:val="lt-LT" w:eastAsia="es-ES"/>
        </w:rPr>
        <w:t>pharma</w:t>
      </w:r>
      <w:proofErr w:type="spellEnd"/>
      <w:r w:rsidRPr="00BD72E2">
        <w:rPr>
          <w:szCs w:val="22"/>
          <w:lang w:val="lt-LT" w:eastAsia="es-ES"/>
        </w:rPr>
        <w:t xml:space="preserve"> vartojo kartu su injekciniu </w:t>
      </w:r>
      <w:proofErr w:type="spellStart"/>
      <w:r w:rsidRPr="00BD72E2">
        <w:rPr>
          <w:szCs w:val="22"/>
          <w:lang w:val="lt-LT" w:eastAsia="es-ES"/>
        </w:rPr>
        <w:t>tobramicinu</w:t>
      </w:r>
      <w:proofErr w:type="spellEnd"/>
      <w:r w:rsidRPr="00BD72E2">
        <w:rPr>
          <w:szCs w:val="22"/>
          <w:lang w:val="lt-LT" w:eastAsia="es-ES"/>
        </w:rPr>
        <w:t xml:space="preserve"> ar kitokiu </w:t>
      </w:r>
      <w:proofErr w:type="spellStart"/>
      <w:r w:rsidRPr="00BD72E2">
        <w:rPr>
          <w:szCs w:val="22"/>
          <w:lang w:val="lt-LT" w:eastAsia="es-ES"/>
        </w:rPr>
        <w:t>aminoglikozidų</w:t>
      </w:r>
      <w:proofErr w:type="spellEnd"/>
      <w:r w:rsidRPr="00BD72E2">
        <w:rPr>
          <w:szCs w:val="22"/>
          <w:lang w:val="lt-LT" w:eastAsia="es-ES"/>
        </w:rPr>
        <w:t xml:space="preserve"> grupės antibiotiku arba po kartotinių jų vartojimo ciklų, buvo šalutinio poveikio apkurtimo atvejų.</w:t>
      </w:r>
    </w:p>
    <w:p w14:paraId="4A98EDAE"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67E307FF"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roofErr w:type="spellStart"/>
      <w:r w:rsidRPr="00BD72E2">
        <w:rPr>
          <w:szCs w:val="22"/>
          <w:lang w:val="lt-LT" w:eastAsia="es-ES"/>
        </w:rPr>
        <w:t>Tobramicino</w:t>
      </w:r>
      <w:proofErr w:type="spellEnd"/>
      <w:r w:rsidRPr="00BD72E2">
        <w:rPr>
          <w:szCs w:val="22"/>
          <w:lang w:val="lt-LT" w:eastAsia="es-ES"/>
        </w:rPr>
        <w:t xml:space="preserve"> ar kitų </w:t>
      </w:r>
      <w:proofErr w:type="spellStart"/>
      <w:r w:rsidRPr="00BD72E2">
        <w:rPr>
          <w:szCs w:val="22"/>
          <w:lang w:val="lt-LT" w:eastAsia="es-ES"/>
        </w:rPr>
        <w:t>aminoglikozidų</w:t>
      </w:r>
      <w:proofErr w:type="spellEnd"/>
      <w:r w:rsidRPr="00BD72E2">
        <w:rPr>
          <w:szCs w:val="22"/>
          <w:lang w:val="lt-LT" w:eastAsia="es-ES"/>
        </w:rPr>
        <w:t xml:space="preserve"> injekcijos gali sukelti alerginių reakcijų, klausos sutrikimų ir inkstų sutrikimų.</w:t>
      </w:r>
    </w:p>
    <w:p w14:paraId="0BB6AF09"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p>
    <w:p w14:paraId="7A65A73C" w14:textId="77777777" w:rsidR="00BD72E2" w:rsidRPr="00BD72E2" w:rsidRDefault="00BD72E2" w:rsidP="00BD72E2">
      <w:pPr>
        <w:tabs>
          <w:tab w:val="clear" w:pos="567"/>
          <w:tab w:val="left" w:pos="1296"/>
        </w:tabs>
        <w:autoSpaceDE w:val="0"/>
        <w:autoSpaceDN w:val="0"/>
        <w:adjustRightInd w:val="0"/>
        <w:spacing w:line="240" w:lineRule="auto"/>
        <w:rPr>
          <w:szCs w:val="22"/>
          <w:lang w:val="lt-LT" w:eastAsia="es-ES"/>
        </w:rPr>
      </w:pPr>
      <w:r w:rsidRPr="00BD72E2">
        <w:rPr>
          <w:szCs w:val="22"/>
          <w:lang w:val="lt-LT" w:eastAsia="es-ES"/>
        </w:rPr>
        <w:t xml:space="preserve">Cistine fibroze sergantiems žmonėms gali pasireikšti daug ligos simptomų. Jų </w:t>
      </w:r>
      <w:proofErr w:type="spellStart"/>
      <w:r w:rsidRPr="00BD72E2">
        <w:rPr>
          <w:bCs/>
          <w:szCs w:val="22"/>
          <w:lang w:val="lt-LT" w:eastAsia="es-ES"/>
        </w:rPr>
        <w:t>Tobramycin</w:t>
      </w:r>
      <w:proofErr w:type="spellEnd"/>
      <w:r w:rsidRPr="00BD72E2">
        <w:rPr>
          <w:bCs/>
          <w:szCs w:val="22"/>
          <w:lang w:val="lt-LT" w:eastAsia="es-ES"/>
        </w:rPr>
        <w:t xml:space="preserve"> Via </w:t>
      </w:r>
      <w:proofErr w:type="spellStart"/>
      <w:r w:rsidRPr="00BD72E2">
        <w:rPr>
          <w:bCs/>
          <w:szCs w:val="22"/>
          <w:lang w:val="lt-LT" w:eastAsia="es-ES"/>
        </w:rPr>
        <w:t>pharma</w:t>
      </w:r>
      <w:proofErr w:type="spellEnd"/>
      <w:r w:rsidRPr="00BD72E2">
        <w:rPr>
          <w:bCs/>
          <w:szCs w:val="22"/>
          <w:lang w:val="lt-LT" w:eastAsia="es-ES"/>
        </w:rPr>
        <w:t xml:space="preserve"> </w:t>
      </w:r>
      <w:r w:rsidRPr="00BD72E2">
        <w:rPr>
          <w:szCs w:val="22"/>
          <w:lang w:val="lt-LT" w:eastAsia="en-GB"/>
        </w:rPr>
        <w:t>vartojimo metu gali išlikti, tačiau jie negali tapti dažnesni ar</w:t>
      </w:r>
      <w:r w:rsidRPr="00BD72E2">
        <w:rPr>
          <w:szCs w:val="22"/>
          <w:lang w:val="lt-LT" w:eastAsia="es-ES"/>
        </w:rPr>
        <w:t xml:space="preserve"> </w:t>
      </w:r>
      <w:r w:rsidRPr="00BD72E2">
        <w:rPr>
          <w:szCs w:val="22"/>
          <w:lang w:val="lt-LT" w:eastAsia="en-GB"/>
        </w:rPr>
        <w:t xml:space="preserve">sunkesni </w:t>
      </w:r>
      <w:r w:rsidRPr="00BD72E2">
        <w:rPr>
          <w:szCs w:val="22"/>
          <w:lang w:val="lt-LT" w:eastAsia="es-ES"/>
        </w:rPr>
        <w:t xml:space="preserve">nei anksčiau. </w:t>
      </w:r>
    </w:p>
    <w:p w14:paraId="28CDA721" w14:textId="77777777" w:rsidR="00BD72E2" w:rsidRPr="00BD72E2" w:rsidRDefault="00BD72E2" w:rsidP="00BD72E2">
      <w:pPr>
        <w:spacing w:line="240" w:lineRule="auto"/>
        <w:rPr>
          <w:szCs w:val="22"/>
          <w:lang w:val="lt-LT"/>
        </w:rPr>
      </w:pPr>
    </w:p>
    <w:p w14:paraId="74915A0D" w14:textId="77777777" w:rsidR="00BD72E2" w:rsidRPr="00BD72E2" w:rsidRDefault="00BD72E2" w:rsidP="00BD72E2">
      <w:pPr>
        <w:spacing w:line="240" w:lineRule="auto"/>
        <w:rPr>
          <w:b/>
          <w:szCs w:val="22"/>
          <w:lang w:val="lt-LT"/>
        </w:rPr>
      </w:pPr>
      <w:r w:rsidRPr="00BD72E2">
        <w:rPr>
          <w:b/>
          <w:szCs w:val="22"/>
          <w:lang w:val="lt-LT"/>
        </w:rPr>
        <w:t>Pranešimas apie šalutinį poveikį</w:t>
      </w:r>
    </w:p>
    <w:p w14:paraId="0738A65A" w14:textId="77777777" w:rsidR="00BD72E2" w:rsidRPr="00BD72E2" w:rsidRDefault="00BD72E2" w:rsidP="00BD72E2">
      <w:pPr>
        <w:spacing w:line="240" w:lineRule="auto"/>
        <w:rPr>
          <w:szCs w:val="22"/>
          <w:lang w:val="lt-LT"/>
        </w:rPr>
      </w:pPr>
      <w:r w:rsidRPr="00BD72E2">
        <w:rPr>
          <w:szCs w:val="22"/>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3528777" w14:textId="77777777" w:rsidR="00BD72E2" w:rsidRPr="00BD72E2" w:rsidRDefault="00BD72E2" w:rsidP="00BD72E2">
      <w:pPr>
        <w:spacing w:line="240" w:lineRule="auto"/>
        <w:rPr>
          <w:szCs w:val="22"/>
          <w:lang w:val="lt-LT"/>
        </w:rPr>
      </w:pPr>
    </w:p>
    <w:p w14:paraId="30239F9F" w14:textId="77777777" w:rsidR="00BD72E2" w:rsidRPr="00BD72E2" w:rsidRDefault="00BD72E2" w:rsidP="00BD72E2">
      <w:pPr>
        <w:spacing w:line="240" w:lineRule="auto"/>
        <w:rPr>
          <w:szCs w:val="22"/>
          <w:lang w:val="lt-LT"/>
        </w:rPr>
      </w:pPr>
    </w:p>
    <w:p w14:paraId="61AF63DC" w14:textId="77777777" w:rsidR="00BD72E2" w:rsidRPr="00EE1101" w:rsidRDefault="00BD72E2" w:rsidP="00BD72E2">
      <w:pPr>
        <w:pStyle w:val="Antrat3"/>
        <w:spacing w:before="0" w:after="0" w:line="240" w:lineRule="auto"/>
        <w:rPr>
          <w:rFonts w:ascii="Times New Roman" w:hAnsi="Times New Roman" w:cs="Times New Roman"/>
          <w:b/>
          <w:bCs/>
          <w:color w:val="auto"/>
          <w:sz w:val="22"/>
          <w:szCs w:val="22"/>
          <w:lang w:val="lt-LT"/>
        </w:rPr>
      </w:pPr>
      <w:r w:rsidRPr="00EE1101">
        <w:rPr>
          <w:rFonts w:ascii="Times New Roman" w:hAnsi="Times New Roman" w:cs="Times New Roman"/>
          <w:b/>
          <w:bCs/>
          <w:color w:val="auto"/>
          <w:sz w:val="22"/>
          <w:szCs w:val="22"/>
          <w:lang w:val="lt-LT"/>
        </w:rPr>
        <w:t>5.</w:t>
      </w:r>
      <w:r w:rsidRPr="00EE1101">
        <w:rPr>
          <w:rFonts w:ascii="Times New Roman" w:hAnsi="Times New Roman" w:cs="Times New Roman"/>
          <w:b/>
          <w:bCs/>
          <w:color w:val="auto"/>
          <w:sz w:val="22"/>
          <w:szCs w:val="22"/>
          <w:lang w:val="lt-LT"/>
        </w:rPr>
        <w:tab/>
        <w:t xml:space="preserve">Kaip laikyti </w:t>
      </w:r>
      <w:proofErr w:type="spellStart"/>
      <w:r w:rsidRPr="00EE1101">
        <w:rPr>
          <w:rFonts w:ascii="Times New Roman" w:hAnsi="Times New Roman" w:cs="Times New Roman"/>
          <w:b/>
          <w:bCs/>
          <w:color w:val="auto"/>
          <w:sz w:val="22"/>
          <w:szCs w:val="22"/>
          <w:lang w:val="lt-LT"/>
        </w:rPr>
        <w:t>Tobramycin</w:t>
      </w:r>
      <w:proofErr w:type="spellEnd"/>
      <w:r w:rsidRPr="00EE1101">
        <w:rPr>
          <w:rFonts w:ascii="Times New Roman" w:hAnsi="Times New Roman" w:cs="Times New Roman"/>
          <w:b/>
          <w:bCs/>
          <w:color w:val="auto"/>
          <w:sz w:val="22"/>
          <w:szCs w:val="22"/>
          <w:lang w:val="lt-LT"/>
        </w:rPr>
        <w:t xml:space="preserve"> Via </w:t>
      </w:r>
      <w:proofErr w:type="spellStart"/>
      <w:r w:rsidRPr="00EE1101">
        <w:rPr>
          <w:rFonts w:ascii="Times New Roman" w:hAnsi="Times New Roman" w:cs="Times New Roman"/>
          <w:b/>
          <w:bCs/>
          <w:color w:val="auto"/>
          <w:sz w:val="22"/>
          <w:szCs w:val="22"/>
          <w:lang w:val="lt-LT"/>
        </w:rPr>
        <w:t>pharma</w:t>
      </w:r>
      <w:proofErr w:type="spellEnd"/>
    </w:p>
    <w:p w14:paraId="2096EB9B"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8D9566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Šį vaistą laikykite vaikams nepastebimoje ir nepasiekiamoje vietoje.</w:t>
      </w:r>
    </w:p>
    <w:p w14:paraId="24D37C24"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604E2DB2"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Ant dėžutės, maišiuko ir ampulės po „EXP“ nurodytam tinkamumo laikui pasibaigus, šio vaisto vartoti negalima. Vaistas tinkamas vartoti iki paskutinės nurodyto mėnesio dienos.</w:t>
      </w:r>
    </w:p>
    <w:p w14:paraId="323BDD7B"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3DAC8D07"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Jei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tirpalas tampa drumstas arba jame atsiranda dalelių, šio vaisto vartoti negalima.</w:t>
      </w:r>
    </w:p>
    <w:p w14:paraId="1FAB1B1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23BEBA6" w14:textId="77777777" w:rsidR="00BD72E2" w:rsidRPr="00BD72E2" w:rsidRDefault="00BD72E2" w:rsidP="00BD72E2">
      <w:pPr>
        <w:widowControl w:val="0"/>
        <w:tabs>
          <w:tab w:val="clear" w:pos="567"/>
          <w:tab w:val="left" w:pos="1296"/>
        </w:tabs>
        <w:autoSpaceDE w:val="0"/>
        <w:autoSpaceDN w:val="0"/>
        <w:adjustRightInd w:val="0"/>
        <w:spacing w:line="240" w:lineRule="auto"/>
        <w:rPr>
          <w:rFonts w:eastAsia="Batang"/>
          <w:szCs w:val="22"/>
          <w:lang w:val="lt-LT"/>
        </w:rPr>
      </w:pPr>
      <w:r w:rsidRPr="00BD72E2">
        <w:rPr>
          <w:rFonts w:eastAsia="Batang"/>
          <w:szCs w:val="22"/>
          <w:lang w:val="lt-LT"/>
        </w:rPr>
        <w:t xml:space="preserve">Laikyti šaldytuve (2 </w:t>
      </w:r>
      <w:r w:rsidRPr="00BD72E2">
        <w:rPr>
          <w:rFonts w:eastAsia="Batang"/>
          <w:szCs w:val="22"/>
          <w:lang w:val="lt-LT"/>
        </w:rPr>
        <w:sym w:font="Symbol" w:char="F0B0"/>
      </w:r>
      <w:r w:rsidRPr="00BD72E2">
        <w:rPr>
          <w:rFonts w:eastAsia="Batang"/>
          <w:szCs w:val="22"/>
          <w:lang w:val="lt-LT"/>
        </w:rPr>
        <w:t xml:space="preserve">C – 8 </w:t>
      </w:r>
      <w:r w:rsidRPr="00BD72E2">
        <w:rPr>
          <w:rFonts w:eastAsia="Batang"/>
          <w:szCs w:val="22"/>
          <w:lang w:val="lt-LT"/>
        </w:rPr>
        <w:sym w:font="Symbol" w:char="F0B0"/>
      </w:r>
      <w:r w:rsidRPr="00BD72E2">
        <w:rPr>
          <w:rFonts w:eastAsia="Batang"/>
          <w:szCs w:val="22"/>
          <w:lang w:val="lt-LT"/>
        </w:rPr>
        <w:t>C).</w:t>
      </w:r>
      <w:r w:rsidRPr="00BD72E2">
        <w:rPr>
          <w:rFonts w:eastAsia="Batang"/>
          <w:spacing w:val="3"/>
          <w:szCs w:val="22"/>
          <w:lang w:val="lt-LT"/>
        </w:rPr>
        <w:t xml:space="preserve"> Jei neturite šaldytuvo arba, pvz., vaistą reikia pervežti, </w:t>
      </w:r>
      <w:r w:rsidRPr="00BD72E2">
        <w:rPr>
          <w:rFonts w:eastAsia="Batang"/>
          <w:szCs w:val="22"/>
          <w:lang w:val="lt-LT"/>
        </w:rPr>
        <w:t xml:space="preserve">folijos maišiukus (atidarytus ar neatidarytus) galima laikyti ne ilgiau kaip 28 dienas ne aukštesnėje kaip </w:t>
      </w:r>
    </w:p>
    <w:p w14:paraId="4FCBF70D" w14:textId="77777777" w:rsidR="00BD72E2" w:rsidRPr="00BD72E2" w:rsidRDefault="00BD72E2" w:rsidP="00BD72E2">
      <w:pPr>
        <w:widowControl w:val="0"/>
        <w:tabs>
          <w:tab w:val="clear" w:pos="567"/>
          <w:tab w:val="left" w:pos="1296"/>
        </w:tabs>
        <w:autoSpaceDE w:val="0"/>
        <w:autoSpaceDN w:val="0"/>
        <w:adjustRightInd w:val="0"/>
        <w:spacing w:line="240" w:lineRule="auto"/>
        <w:rPr>
          <w:rFonts w:eastAsia="Batang"/>
          <w:spacing w:val="3"/>
          <w:szCs w:val="22"/>
          <w:lang w:val="lt-LT"/>
        </w:rPr>
      </w:pPr>
      <w:r w:rsidRPr="00BD72E2">
        <w:rPr>
          <w:rFonts w:eastAsia="Batang"/>
          <w:szCs w:val="22"/>
          <w:lang w:val="lt-LT"/>
        </w:rPr>
        <w:t xml:space="preserve">25 </w:t>
      </w:r>
      <w:r w:rsidRPr="00BD72E2">
        <w:rPr>
          <w:rFonts w:eastAsia="Batang"/>
          <w:szCs w:val="22"/>
          <w:lang w:val="lt-LT"/>
        </w:rPr>
        <w:sym w:font="Symbol" w:char="F0B0"/>
      </w:r>
      <w:r w:rsidRPr="00BD72E2">
        <w:rPr>
          <w:rFonts w:eastAsia="Batang"/>
          <w:szCs w:val="22"/>
          <w:lang w:val="lt-LT"/>
        </w:rPr>
        <w:t>C temperatūroje</w:t>
      </w:r>
      <w:r w:rsidRPr="00BD72E2">
        <w:rPr>
          <w:rFonts w:eastAsia="Batang"/>
          <w:spacing w:val="3"/>
          <w:szCs w:val="22"/>
          <w:lang w:val="lt-LT"/>
        </w:rPr>
        <w:t>.</w:t>
      </w:r>
    </w:p>
    <w:p w14:paraId="5ED18CF5"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28197EA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Jei </w:t>
      </w: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ampulės kambario temperatūroje buvo laikomos ilgiau kaip 28 dienas, jų vartoti negalima.</w:t>
      </w:r>
    </w:p>
    <w:p w14:paraId="751D8D5C"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9C4EC73" w14:textId="77777777" w:rsidR="00BD72E2" w:rsidRPr="00BD72E2" w:rsidRDefault="00BD72E2" w:rsidP="00BD72E2">
      <w:pPr>
        <w:tabs>
          <w:tab w:val="clear" w:pos="567"/>
          <w:tab w:val="left" w:pos="1296"/>
        </w:tabs>
        <w:spacing w:line="240" w:lineRule="auto"/>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tirpalas paprastai yra gelsvas, tačiau spalva gali šiek tiek keistis ir tirpalas gali tapti tamsiai geltonas, tačiau jei vaistas laikomas taip, kaip nurodyta, jo poveikis nepakinta.</w:t>
      </w:r>
    </w:p>
    <w:p w14:paraId="62AFAC27"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86C2CBD" w14:textId="77777777" w:rsidR="00BD72E2" w:rsidRPr="00BD72E2" w:rsidRDefault="00BD72E2" w:rsidP="00BD72E2">
      <w:pPr>
        <w:numPr>
          <w:ilvl w:val="12"/>
          <w:numId w:val="0"/>
        </w:numPr>
        <w:tabs>
          <w:tab w:val="clear" w:pos="567"/>
          <w:tab w:val="left" w:pos="1296"/>
        </w:tabs>
        <w:spacing w:line="240" w:lineRule="auto"/>
        <w:ind w:right="-2"/>
        <w:rPr>
          <w:b/>
          <w:szCs w:val="22"/>
          <w:lang w:val="lt-LT"/>
        </w:rPr>
      </w:pPr>
      <w:r w:rsidRPr="00BD72E2">
        <w:rPr>
          <w:b/>
          <w:szCs w:val="22"/>
          <w:lang w:val="lt-LT"/>
        </w:rPr>
        <w:t>Atidarytos ampulės laikyti negalima. Atidarytą ampulę būtina vartoti nedelsiant, bet kokį nesuvartotą likutį būtina išpilti.</w:t>
      </w:r>
    </w:p>
    <w:p w14:paraId="38FCF69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B8D1E4D" w14:textId="77777777" w:rsidR="00BD72E2" w:rsidRPr="00BD72E2" w:rsidRDefault="00BD72E2" w:rsidP="00BD72E2">
      <w:pPr>
        <w:numPr>
          <w:ilvl w:val="12"/>
          <w:numId w:val="0"/>
        </w:numPr>
        <w:tabs>
          <w:tab w:val="clear" w:pos="567"/>
          <w:tab w:val="left" w:pos="1296"/>
        </w:tabs>
        <w:spacing w:line="240" w:lineRule="auto"/>
        <w:ind w:right="-2"/>
        <w:rPr>
          <w:i/>
          <w:szCs w:val="22"/>
          <w:lang w:val="lt-LT"/>
        </w:rPr>
      </w:pPr>
      <w:r w:rsidRPr="00BD72E2">
        <w:rPr>
          <w:szCs w:val="22"/>
          <w:lang w:val="lt-LT"/>
        </w:rPr>
        <w:t>Vaistų negalima išmesti į kanalizaciją arba su buitinėmis atliekomis. Kaip išmesti nereikalingus vaistus, klauskite vaistininko. Šios priemonės padės apsaugoti aplinką.</w:t>
      </w:r>
    </w:p>
    <w:p w14:paraId="4FD05E3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07BA5F10"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13DD9373" w14:textId="77777777" w:rsidR="00BD72E2" w:rsidRPr="00EE1101" w:rsidRDefault="00BD72E2" w:rsidP="00BD72E2">
      <w:pPr>
        <w:pStyle w:val="Antrat3"/>
        <w:spacing w:before="0" w:after="0" w:line="240" w:lineRule="auto"/>
        <w:rPr>
          <w:rFonts w:ascii="Times New Roman" w:hAnsi="Times New Roman" w:cs="Times New Roman"/>
          <w:b/>
          <w:bCs/>
          <w:color w:val="auto"/>
          <w:sz w:val="22"/>
          <w:szCs w:val="22"/>
          <w:lang w:val="lt-LT"/>
        </w:rPr>
      </w:pPr>
      <w:r w:rsidRPr="00EE1101">
        <w:rPr>
          <w:rFonts w:ascii="Times New Roman" w:hAnsi="Times New Roman" w:cs="Times New Roman"/>
          <w:b/>
          <w:bCs/>
          <w:color w:val="auto"/>
          <w:sz w:val="22"/>
          <w:szCs w:val="22"/>
          <w:lang w:val="lt-LT"/>
        </w:rPr>
        <w:t>6.</w:t>
      </w:r>
      <w:r w:rsidRPr="00EE1101">
        <w:rPr>
          <w:rFonts w:ascii="Times New Roman" w:hAnsi="Times New Roman" w:cs="Times New Roman"/>
          <w:b/>
          <w:bCs/>
          <w:color w:val="auto"/>
          <w:sz w:val="22"/>
          <w:szCs w:val="22"/>
          <w:lang w:val="lt-LT"/>
        </w:rPr>
        <w:tab/>
        <w:t>Pakuotės turinys ir kita informacija</w:t>
      </w:r>
    </w:p>
    <w:p w14:paraId="366E63D1" w14:textId="77777777" w:rsidR="00BD72E2" w:rsidRPr="00BD72E2" w:rsidRDefault="00BD72E2" w:rsidP="00BD72E2">
      <w:pPr>
        <w:numPr>
          <w:ilvl w:val="12"/>
          <w:numId w:val="0"/>
        </w:numPr>
        <w:tabs>
          <w:tab w:val="clear" w:pos="567"/>
          <w:tab w:val="left" w:pos="1296"/>
        </w:tabs>
        <w:spacing w:line="240" w:lineRule="auto"/>
        <w:rPr>
          <w:szCs w:val="22"/>
          <w:lang w:val="lt-LT"/>
        </w:rPr>
      </w:pPr>
    </w:p>
    <w:p w14:paraId="43F815E1"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r w:rsidRPr="00EE1101">
        <w:rPr>
          <w:rFonts w:ascii="Times New Roman" w:hAnsi="Times New Roman" w:cs="Times New Roman"/>
          <w:b/>
          <w:bCs/>
          <w:i w:val="0"/>
          <w:iCs w:val="0"/>
          <w:color w:val="auto"/>
          <w:szCs w:val="22"/>
          <w:lang w:val="lt-LT"/>
        </w:rPr>
        <w:t xml:space="preserve"> sudėtis </w:t>
      </w:r>
    </w:p>
    <w:p w14:paraId="1F6C211F" w14:textId="77777777" w:rsidR="00BD72E2" w:rsidRPr="00BD72E2" w:rsidRDefault="00BD72E2" w:rsidP="00BD72E2">
      <w:pPr>
        <w:numPr>
          <w:ilvl w:val="0"/>
          <w:numId w:val="10"/>
        </w:numPr>
        <w:tabs>
          <w:tab w:val="clear" w:pos="567"/>
          <w:tab w:val="left" w:pos="1296"/>
        </w:tabs>
        <w:spacing w:line="240" w:lineRule="auto"/>
        <w:ind w:left="567" w:right="-2" w:hanging="567"/>
        <w:rPr>
          <w:szCs w:val="22"/>
          <w:lang w:val="lt-LT"/>
        </w:rPr>
      </w:pPr>
      <w:r w:rsidRPr="00BD72E2">
        <w:rPr>
          <w:szCs w:val="22"/>
          <w:lang w:val="lt-LT"/>
        </w:rPr>
        <w:t xml:space="preserve">Veiklioji medžiaga yra </w:t>
      </w:r>
      <w:proofErr w:type="spellStart"/>
      <w:r w:rsidRPr="00BD72E2">
        <w:rPr>
          <w:szCs w:val="22"/>
          <w:lang w:val="lt-LT"/>
        </w:rPr>
        <w:t>tobramicinas</w:t>
      </w:r>
      <w:proofErr w:type="spellEnd"/>
      <w:r w:rsidRPr="00BD72E2">
        <w:rPr>
          <w:szCs w:val="22"/>
          <w:lang w:val="lt-LT"/>
        </w:rPr>
        <w:t xml:space="preserve">. Vienoje 5 ml ampulėje yra vienkartinė 300 mg </w:t>
      </w:r>
      <w:proofErr w:type="spellStart"/>
      <w:r w:rsidRPr="00BD72E2">
        <w:rPr>
          <w:szCs w:val="22"/>
          <w:lang w:val="lt-LT"/>
        </w:rPr>
        <w:t>tobramicino</w:t>
      </w:r>
      <w:proofErr w:type="spellEnd"/>
      <w:r w:rsidRPr="00BD72E2">
        <w:rPr>
          <w:szCs w:val="22"/>
          <w:lang w:val="lt-LT"/>
        </w:rPr>
        <w:t xml:space="preserve"> dozė.</w:t>
      </w:r>
    </w:p>
    <w:p w14:paraId="123F6793" w14:textId="77777777" w:rsidR="00BD72E2" w:rsidRPr="00BD72E2" w:rsidRDefault="00BD72E2" w:rsidP="00BD72E2">
      <w:pPr>
        <w:numPr>
          <w:ilvl w:val="0"/>
          <w:numId w:val="10"/>
        </w:numPr>
        <w:tabs>
          <w:tab w:val="clear" w:pos="567"/>
          <w:tab w:val="left" w:pos="1296"/>
        </w:tabs>
        <w:spacing w:line="240" w:lineRule="auto"/>
        <w:ind w:left="567" w:right="-2" w:hanging="567"/>
        <w:rPr>
          <w:szCs w:val="22"/>
          <w:lang w:val="lt-LT"/>
        </w:rPr>
      </w:pPr>
      <w:r w:rsidRPr="00BD72E2">
        <w:rPr>
          <w:szCs w:val="22"/>
          <w:lang w:val="lt-LT"/>
        </w:rPr>
        <w:t>Pagalbinės medžiagos yra natrio chloridas, injekcinis vanduo, natrio hidroksidas ir sulfato rūgštis (rūgštingumo lygiui koreguoti).</w:t>
      </w:r>
    </w:p>
    <w:p w14:paraId="2575268E" w14:textId="77777777" w:rsidR="00BD72E2" w:rsidRPr="00BD72E2" w:rsidRDefault="00BD72E2" w:rsidP="00BD72E2">
      <w:pPr>
        <w:tabs>
          <w:tab w:val="clear" w:pos="567"/>
          <w:tab w:val="left" w:pos="1296"/>
        </w:tabs>
        <w:spacing w:line="240" w:lineRule="auto"/>
        <w:ind w:right="-2"/>
        <w:rPr>
          <w:szCs w:val="22"/>
          <w:lang w:val="lt-LT"/>
        </w:rPr>
      </w:pPr>
    </w:p>
    <w:p w14:paraId="1A54D940"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proofErr w:type="spellStart"/>
      <w:r w:rsidRPr="00EE1101">
        <w:rPr>
          <w:rFonts w:ascii="Times New Roman" w:hAnsi="Times New Roman" w:cs="Times New Roman"/>
          <w:b/>
          <w:bCs/>
          <w:i w:val="0"/>
          <w:iCs w:val="0"/>
          <w:color w:val="auto"/>
          <w:szCs w:val="22"/>
          <w:lang w:val="lt-LT"/>
        </w:rPr>
        <w:t>Tobramycin</w:t>
      </w:r>
      <w:proofErr w:type="spellEnd"/>
      <w:r w:rsidRPr="00EE1101">
        <w:rPr>
          <w:rFonts w:ascii="Times New Roman" w:hAnsi="Times New Roman" w:cs="Times New Roman"/>
          <w:b/>
          <w:bCs/>
          <w:i w:val="0"/>
          <w:iCs w:val="0"/>
          <w:color w:val="auto"/>
          <w:szCs w:val="22"/>
          <w:lang w:val="lt-LT"/>
        </w:rPr>
        <w:t xml:space="preserve"> Via </w:t>
      </w:r>
      <w:proofErr w:type="spellStart"/>
      <w:r w:rsidRPr="00EE1101">
        <w:rPr>
          <w:rFonts w:ascii="Times New Roman" w:hAnsi="Times New Roman" w:cs="Times New Roman"/>
          <w:b/>
          <w:bCs/>
          <w:i w:val="0"/>
          <w:iCs w:val="0"/>
          <w:color w:val="auto"/>
          <w:szCs w:val="22"/>
          <w:lang w:val="lt-LT"/>
        </w:rPr>
        <w:t>pharma</w:t>
      </w:r>
      <w:proofErr w:type="spellEnd"/>
      <w:r w:rsidRPr="00EE1101">
        <w:rPr>
          <w:rFonts w:ascii="Times New Roman" w:hAnsi="Times New Roman" w:cs="Times New Roman"/>
          <w:b/>
          <w:bCs/>
          <w:i w:val="0"/>
          <w:iCs w:val="0"/>
          <w:color w:val="auto"/>
          <w:szCs w:val="22"/>
          <w:lang w:val="lt-LT"/>
        </w:rPr>
        <w:t xml:space="preserve"> išvaizda ir kiekis pakuotėje</w:t>
      </w:r>
    </w:p>
    <w:p w14:paraId="441F208D"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yra skaidrus, gelsvas tirpalas vartoti paruoštoje ampulėje.</w:t>
      </w:r>
    </w:p>
    <w:p w14:paraId="793092D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Ampulės supakuotos folijos maišiukuose, viename folijos maišiuke yra 7 ampulės.</w:t>
      </w:r>
    </w:p>
    <w:p w14:paraId="577D54B6"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roofErr w:type="spellStart"/>
      <w:r w:rsidRPr="00BD72E2">
        <w:rPr>
          <w:szCs w:val="22"/>
          <w:lang w:val="lt-LT"/>
        </w:rPr>
        <w:t>Tobramycin</w:t>
      </w:r>
      <w:proofErr w:type="spellEnd"/>
      <w:r w:rsidRPr="00BD72E2">
        <w:rPr>
          <w:szCs w:val="22"/>
          <w:lang w:val="lt-LT"/>
        </w:rPr>
        <w:t xml:space="preserve"> Via </w:t>
      </w:r>
      <w:proofErr w:type="spellStart"/>
      <w:r w:rsidRPr="00BD72E2">
        <w:rPr>
          <w:szCs w:val="22"/>
          <w:lang w:val="lt-LT"/>
        </w:rPr>
        <w:t>pharma</w:t>
      </w:r>
      <w:proofErr w:type="spellEnd"/>
      <w:r w:rsidRPr="00BD72E2">
        <w:rPr>
          <w:szCs w:val="22"/>
          <w:lang w:val="lt-LT"/>
        </w:rPr>
        <w:t xml:space="preserve"> tiekiamas 56 ampulių pakuotėmis, tokio kiekio pakanka vienam gydymo ciklui.</w:t>
      </w:r>
    </w:p>
    <w:p w14:paraId="7E279C76"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0AA4C9C" w14:textId="77777777" w:rsidR="00BD72E2" w:rsidRPr="00EE1101" w:rsidRDefault="00BD72E2" w:rsidP="00BD72E2">
      <w:pPr>
        <w:pStyle w:val="Antrat4"/>
        <w:spacing w:before="0" w:after="0" w:line="240" w:lineRule="auto"/>
        <w:rPr>
          <w:rFonts w:ascii="Times New Roman" w:hAnsi="Times New Roman" w:cs="Times New Roman"/>
          <w:b/>
          <w:bCs/>
          <w:i w:val="0"/>
          <w:iCs w:val="0"/>
          <w:color w:val="auto"/>
          <w:szCs w:val="22"/>
          <w:lang w:val="lt-LT"/>
        </w:rPr>
      </w:pPr>
      <w:r w:rsidRPr="00EE1101">
        <w:rPr>
          <w:rFonts w:ascii="Times New Roman" w:hAnsi="Times New Roman" w:cs="Times New Roman"/>
          <w:b/>
          <w:bCs/>
          <w:i w:val="0"/>
          <w:iCs w:val="0"/>
          <w:color w:val="auto"/>
          <w:szCs w:val="22"/>
          <w:lang w:val="lt-LT"/>
        </w:rPr>
        <w:t>Registruotojas ir gamintojas</w:t>
      </w:r>
    </w:p>
    <w:p w14:paraId="3049CC52"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1A3042DA" w14:textId="77777777" w:rsidR="00BD72E2" w:rsidRPr="00BD72E2" w:rsidRDefault="00BD72E2" w:rsidP="00BD72E2">
      <w:pPr>
        <w:tabs>
          <w:tab w:val="clear" w:pos="567"/>
          <w:tab w:val="left" w:pos="1296"/>
        </w:tabs>
        <w:spacing w:line="240" w:lineRule="auto"/>
        <w:rPr>
          <w:i/>
          <w:szCs w:val="22"/>
          <w:lang w:val="lt-LT"/>
        </w:rPr>
      </w:pPr>
      <w:r w:rsidRPr="00BD72E2">
        <w:rPr>
          <w:i/>
          <w:szCs w:val="22"/>
          <w:lang w:val="lt-LT"/>
        </w:rPr>
        <w:t>Registruotojas</w:t>
      </w:r>
    </w:p>
    <w:p w14:paraId="48816F99"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UAB Via </w:t>
      </w:r>
      <w:proofErr w:type="spellStart"/>
      <w:r w:rsidRPr="00BD72E2">
        <w:rPr>
          <w:szCs w:val="22"/>
          <w:lang w:val="lt-LT"/>
        </w:rPr>
        <w:t>pharma</w:t>
      </w:r>
      <w:proofErr w:type="spellEnd"/>
    </w:p>
    <w:p w14:paraId="28A32896"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J. </w:t>
      </w:r>
      <w:proofErr w:type="spellStart"/>
      <w:r w:rsidRPr="00BD72E2">
        <w:rPr>
          <w:szCs w:val="22"/>
          <w:lang w:val="lt-LT"/>
        </w:rPr>
        <w:t>Galvydžio</w:t>
      </w:r>
      <w:proofErr w:type="spellEnd"/>
      <w:r w:rsidRPr="00BD72E2">
        <w:rPr>
          <w:szCs w:val="22"/>
          <w:lang w:val="lt-LT"/>
        </w:rPr>
        <w:t xml:space="preserve"> g. 5 </w:t>
      </w:r>
    </w:p>
    <w:p w14:paraId="1658BA77"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LT-08236 Vilnius </w:t>
      </w:r>
    </w:p>
    <w:p w14:paraId="64F6350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Lietuva</w:t>
      </w:r>
    </w:p>
    <w:p w14:paraId="545C5608"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755D559B" w14:textId="77777777" w:rsidR="00BD72E2" w:rsidRPr="00BD72E2" w:rsidRDefault="00BD72E2" w:rsidP="00BD72E2">
      <w:pPr>
        <w:numPr>
          <w:ilvl w:val="12"/>
          <w:numId w:val="0"/>
        </w:numPr>
        <w:tabs>
          <w:tab w:val="clear" w:pos="567"/>
          <w:tab w:val="left" w:pos="1296"/>
        </w:tabs>
        <w:spacing w:line="240" w:lineRule="auto"/>
        <w:ind w:right="-2"/>
        <w:rPr>
          <w:i/>
          <w:szCs w:val="22"/>
          <w:lang w:val="lt-LT"/>
        </w:rPr>
      </w:pPr>
      <w:r w:rsidRPr="00BD72E2">
        <w:rPr>
          <w:i/>
          <w:szCs w:val="22"/>
          <w:lang w:val="lt-LT"/>
        </w:rPr>
        <w:t>Gamintojas</w:t>
      </w:r>
    </w:p>
    <w:p w14:paraId="18AA204F"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MEDICHEM S.A.</w:t>
      </w:r>
    </w:p>
    <w:p w14:paraId="51A63A0F"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bCs/>
          <w:szCs w:val="22"/>
          <w:lang w:val="es-ES" w:eastAsia="es-ES"/>
        </w:rPr>
        <w:t xml:space="preserve">Narcís Monturiol, 41 A, </w:t>
      </w:r>
      <w:proofErr w:type="spellStart"/>
      <w:r w:rsidRPr="00BD72E2">
        <w:rPr>
          <w:szCs w:val="22"/>
          <w:lang w:val="lt-LT"/>
        </w:rPr>
        <w:t>Sant</w:t>
      </w:r>
      <w:proofErr w:type="spellEnd"/>
      <w:r w:rsidRPr="00BD72E2">
        <w:rPr>
          <w:szCs w:val="22"/>
          <w:lang w:val="lt-LT"/>
        </w:rPr>
        <w:t xml:space="preserve"> </w:t>
      </w:r>
      <w:proofErr w:type="spellStart"/>
      <w:r w:rsidRPr="00BD72E2">
        <w:rPr>
          <w:szCs w:val="22"/>
          <w:lang w:val="lt-LT"/>
        </w:rPr>
        <w:t>Joan</w:t>
      </w:r>
      <w:proofErr w:type="spellEnd"/>
      <w:r w:rsidRPr="00BD72E2">
        <w:rPr>
          <w:szCs w:val="22"/>
          <w:lang w:val="lt-LT"/>
        </w:rPr>
        <w:t xml:space="preserve"> </w:t>
      </w:r>
      <w:proofErr w:type="spellStart"/>
      <w:r w:rsidRPr="00BD72E2">
        <w:rPr>
          <w:szCs w:val="22"/>
          <w:lang w:val="lt-LT"/>
        </w:rPr>
        <w:t>Despí</w:t>
      </w:r>
      <w:proofErr w:type="spellEnd"/>
      <w:r w:rsidRPr="00BD72E2">
        <w:rPr>
          <w:szCs w:val="22"/>
          <w:lang w:val="lt-LT"/>
        </w:rPr>
        <w:t xml:space="preserve">, 08970 </w:t>
      </w:r>
      <w:proofErr w:type="spellStart"/>
      <w:r w:rsidRPr="00BD72E2">
        <w:rPr>
          <w:szCs w:val="22"/>
          <w:lang w:val="lt-LT"/>
        </w:rPr>
        <w:t>Barcelona</w:t>
      </w:r>
      <w:proofErr w:type="spellEnd"/>
    </w:p>
    <w:p w14:paraId="710E369A"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szCs w:val="22"/>
          <w:lang w:val="lt-LT"/>
        </w:rPr>
        <w:t xml:space="preserve">Ispanija </w:t>
      </w:r>
    </w:p>
    <w:p w14:paraId="49519407"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p>
    <w:p w14:paraId="59A8A18A" w14:textId="77777777" w:rsidR="00BD72E2" w:rsidRPr="00BD72E2" w:rsidRDefault="00BD72E2" w:rsidP="00BD72E2">
      <w:pPr>
        <w:numPr>
          <w:ilvl w:val="12"/>
          <w:numId w:val="0"/>
        </w:numPr>
        <w:spacing w:line="240" w:lineRule="auto"/>
        <w:ind w:right="-2"/>
        <w:rPr>
          <w:szCs w:val="22"/>
          <w:lang w:val="lt-LT"/>
        </w:rPr>
      </w:pPr>
      <w:r w:rsidRPr="00BD72E2">
        <w:rPr>
          <w:szCs w:val="22"/>
          <w:lang w:val="lt-LT"/>
        </w:rPr>
        <w:t>Jeigu apie šį vaistą norite sužinoti daugiau, kreipkitės į vietinį registruotojo atstovą.</w:t>
      </w:r>
    </w:p>
    <w:p w14:paraId="354A1289" w14:textId="77777777" w:rsidR="00BD72E2" w:rsidRPr="00BD72E2" w:rsidRDefault="00BD72E2" w:rsidP="00BD72E2">
      <w:pPr>
        <w:spacing w:line="240" w:lineRule="auto"/>
        <w:rPr>
          <w:szCs w:val="22"/>
          <w:lang w:val="lt-LT"/>
        </w:rPr>
      </w:pPr>
    </w:p>
    <w:p w14:paraId="75B5DEB8" w14:textId="77777777" w:rsidR="00BD72E2" w:rsidRPr="00BD72E2" w:rsidRDefault="00BD72E2" w:rsidP="00BD72E2">
      <w:pPr>
        <w:numPr>
          <w:ilvl w:val="12"/>
          <w:numId w:val="0"/>
        </w:numPr>
        <w:spacing w:line="240" w:lineRule="auto"/>
        <w:ind w:right="-2"/>
        <w:rPr>
          <w:szCs w:val="22"/>
          <w:lang w:val="lt-LT"/>
        </w:rPr>
      </w:pPr>
      <w:r w:rsidRPr="00BD72E2">
        <w:rPr>
          <w:szCs w:val="22"/>
          <w:lang w:val="lt-LT"/>
        </w:rPr>
        <w:t xml:space="preserve">UAB Via </w:t>
      </w:r>
      <w:proofErr w:type="spellStart"/>
      <w:r w:rsidRPr="00BD72E2">
        <w:rPr>
          <w:szCs w:val="22"/>
          <w:lang w:val="lt-LT"/>
        </w:rPr>
        <w:t>pharma</w:t>
      </w:r>
      <w:proofErr w:type="spellEnd"/>
    </w:p>
    <w:p w14:paraId="5D2E2796" w14:textId="77777777" w:rsidR="00BD72E2" w:rsidRPr="00BD72E2" w:rsidRDefault="00BD72E2" w:rsidP="00BD72E2">
      <w:pPr>
        <w:numPr>
          <w:ilvl w:val="12"/>
          <w:numId w:val="0"/>
        </w:numPr>
        <w:spacing w:line="240" w:lineRule="auto"/>
        <w:ind w:right="-2"/>
        <w:rPr>
          <w:szCs w:val="22"/>
          <w:lang w:val="lt-LT"/>
        </w:rPr>
      </w:pPr>
      <w:proofErr w:type="spellStart"/>
      <w:r w:rsidRPr="00BD72E2">
        <w:rPr>
          <w:szCs w:val="22"/>
          <w:lang w:val="lt-LT"/>
        </w:rPr>
        <w:t>J.Galvydžio</w:t>
      </w:r>
      <w:proofErr w:type="spellEnd"/>
      <w:r w:rsidRPr="00BD72E2">
        <w:rPr>
          <w:szCs w:val="22"/>
          <w:lang w:val="lt-LT"/>
        </w:rPr>
        <w:t xml:space="preserve"> g. 5 </w:t>
      </w:r>
    </w:p>
    <w:p w14:paraId="4EB19150" w14:textId="77777777" w:rsidR="00BD72E2" w:rsidRPr="00BD72E2" w:rsidRDefault="00BD72E2" w:rsidP="00BD72E2">
      <w:pPr>
        <w:numPr>
          <w:ilvl w:val="12"/>
          <w:numId w:val="0"/>
        </w:numPr>
        <w:spacing w:line="240" w:lineRule="auto"/>
        <w:ind w:right="-2"/>
        <w:rPr>
          <w:szCs w:val="22"/>
          <w:lang w:val="lt-LT"/>
        </w:rPr>
      </w:pPr>
      <w:r w:rsidRPr="00BD72E2">
        <w:rPr>
          <w:szCs w:val="22"/>
          <w:lang w:val="lt-LT"/>
        </w:rPr>
        <w:t xml:space="preserve">LT-08236 Vilnius </w:t>
      </w:r>
    </w:p>
    <w:p w14:paraId="0D209284" w14:textId="77777777" w:rsidR="00BD72E2" w:rsidRPr="00BD72E2" w:rsidRDefault="00BD72E2" w:rsidP="00BD72E2">
      <w:pPr>
        <w:numPr>
          <w:ilvl w:val="12"/>
          <w:numId w:val="0"/>
        </w:numPr>
        <w:spacing w:line="240" w:lineRule="auto"/>
        <w:ind w:right="-2"/>
        <w:rPr>
          <w:szCs w:val="22"/>
          <w:lang w:val="lt-LT"/>
        </w:rPr>
      </w:pPr>
    </w:p>
    <w:p w14:paraId="35A18D5F" w14:textId="77777777" w:rsidR="00BD72E2" w:rsidRPr="00BD72E2" w:rsidRDefault="00BD72E2" w:rsidP="00BD72E2">
      <w:pPr>
        <w:numPr>
          <w:ilvl w:val="12"/>
          <w:numId w:val="0"/>
        </w:numPr>
        <w:spacing w:line="240" w:lineRule="auto"/>
        <w:ind w:right="-2"/>
        <w:rPr>
          <w:szCs w:val="22"/>
          <w:lang w:val="lt-LT"/>
        </w:rPr>
      </w:pPr>
      <w:r w:rsidRPr="00BD72E2">
        <w:rPr>
          <w:b/>
          <w:szCs w:val="22"/>
          <w:lang w:val="lt-LT"/>
        </w:rPr>
        <w:t>Šis vaistas EEE valstybėse narėse registruotas tokiais pavadinimais:</w:t>
      </w:r>
    </w:p>
    <w:p w14:paraId="11B950ED" w14:textId="77777777" w:rsidR="00BD72E2" w:rsidRPr="00BD72E2" w:rsidRDefault="00BD72E2" w:rsidP="00BD72E2">
      <w:pPr>
        <w:numPr>
          <w:ilvl w:val="12"/>
          <w:numId w:val="0"/>
        </w:numPr>
        <w:spacing w:line="240" w:lineRule="auto"/>
        <w:ind w:right="-2"/>
        <w:rPr>
          <w:szCs w:val="22"/>
          <w:lang w:val="lt-LT"/>
        </w:rPr>
      </w:pPr>
    </w:p>
    <w:tbl>
      <w:tblPr>
        <w:tblW w:w="0" w:type="auto"/>
        <w:tblInd w:w="812" w:type="dxa"/>
        <w:tblLayout w:type="fixed"/>
        <w:tblLook w:val="04A0" w:firstRow="1" w:lastRow="0" w:firstColumn="1" w:lastColumn="0" w:noHBand="0" w:noVBand="1"/>
      </w:tblPr>
      <w:tblGrid>
        <w:gridCol w:w="1134"/>
        <w:gridCol w:w="7559"/>
      </w:tblGrid>
      <w:tr w:rsidR="00BD72E2" w:rsidRPr="00BD72E2" w14:paraId="593AAC9D" w14:textId="77777777" w:rsidTr="00D06D01">
        <w:tc>
          <w:tcPr>
            <w:tcW w:w="1134" w:type="dxa"/>
            <w:tcBorders>
              <w:top w:val="single" w:sz="4" w:space="0" w:color="000000"/>
              <w:left w:val="single" w:sz="4" w:space="0" w:color="000000"/>
              <w:bottom w:val="single" w:sz="4" w:space="0" w:color="000000"/>
              <w:right w:val="nil"/>
            </w:tcBorders>
            <w:hideMark/>
          </w:tcPr>
          <w:p w14:paraId="0D625EA8"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Bulgarija</w:t>
            </w:r>
          </w:p>
        </w:tc>
        <w:tc>
          <w:tcPr>
            <w:tcW w:w="7559" w:type="dxa"/>
            <w:tcBorders>
              <w:top w:val="single" w:sz="4" w:space="0" w:color="000000"/>
              <w:left w:val="single" w:sz="4" w:space="0" w:color="000000"/>
              <w:bottom w:val="single" w:sz="4" w:space="0" w:color="000000"/>
              <w:right w:val="single" w:sz="4" w:space="0" w:color="000000"/>
            </w:tcBorders>
            <w:hideMark/>
          </w:tcPr>
          <w:p w14:paraId="11D5FC3F"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Тобрамицин</w:t>
            </w:r>
            <w:proofErr w:type="spellEnd"/>
            <w:r w:rsidRPr="00BD72E2">
              <w:rPr>
                <w:rFonts w:eastAsia="Calibri"/>
                <w:szCs w:val="22"/>
                <w:lang w:val="lt-LT" w:eastAsia="ar-SA"/>
              </w:rPr>
              <w:t xml:space="preserve"> </w:t>
            </w:r>
            <w:proofErr w:type="spellStart"/>
            <w:r w:rsidRPr="00BD72E2">
              <w:rPr>
                <w:rFonts w:eastAsia="Calibri"/>
                <w:szCs w:val="22"/>
                <w:lang w:val="lt-LT" w:eastAsia="ar-SA"/>
              </w:rPr>
              <w:t>Виa</w:t>
            </w:r>
            <w:proofErr w:type="spellEnd"/>
            <w:r w:rsidRPr="00BD72E2">
              <w:rPr>
                <w:rFonts w:eastAsia="Calibri"/>
                <w:szCs w:val="22"/>
                <w:lang w:val="lt-LT" w:eastAsia="ar-SA"/>
              </w:rPr>
              <w:t xml:space="preserve"> </w:t>
            </w:r>
            <w:proofErr w:type="spellStart"/>
            <w:r w:rsidRPr="00BD72E2">
              <w:rPr>
                <w:rFonts w:eastAsia="Calibri"/>
                <w:szCs w:val="22"/>
                <w:lang w:val="lt-LT" w:eastAsia="ar-SA"/>
              </w:rPr>
              <w:t>фармa</w:t>
            </w:r>
            <w:proofErr w:type="spellEnd"/>
            <w:r w:rsidRPr="00BD72E2">
              <w:rPr>
                <w:rFonts w:eastAsia="Calibri"/>
                <w:szCs w:val="22"/>
                <w:lang w:val="lt-LT" w:eastAsia="ar-SA"/>
              </w:rPr>
              <w:t xml:space="preserve"> 300 mg/ 5 ml</w:t>
            </w:r>
          </w:p>
        </w:tc>
      </w:tr>
      <w:tr w:rsidR="00BD72E2" w:rsidRPr="00BD72E2" w14:paraId="01DAAB48" w14:textId="77777777" w:rsidTr="00D06D01">
        <w:tc>
          <w:tcPr>
            <w:tcW w:w="1134" w:type="dxa"/>
            <w:tcBorders>
              <w:top w:val="single" w:sz="4" w:space="0" w:color="000000"/>
              <w:left w:val="single" w:sz="4" w:space="0" w:color="000000"/>
              <w:bottom w:val="single" w:sz="4" w:space="0" w:color="000000"/>
              <w:right w:val="nil"/>
            </w:tcBorders>
            <w:hideMark/>
          </w:tcPr>
          <w:p w14:paraId="3AFCF7ED"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Estija</w:t>
            </w:r>
          </w:p>
        </w:tc>
        <w:tc>
          <w:tcPr>
            <w:tcW w:w="7559" w:type="dxa"/>
            <w:tcBorders>
              <w:top w:val="single" w:sz="4" w:space="0" w:color="000000"/>
              <w:left w:val="single" w:sz="4" w:space="0" w:color="000000"/>
              <w:bottom w:val="single" w:sz="4" w:space="0" w:color="000000"/>
              <w:right w:val="single" w:sz="4" w:space="0" w:color="000000"/>
            </w:tcBorders>
            <w:hideMark/>
          </w:tcPr>
          <w:p w14:paraId="15C0005D"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Tobramycin</w:t>
            </w:r>
            <w:proofErr w:type="spellEnd"/>
            <w:r w:rsidRPr="00BD72E2">
              <w:rPr>
                <w:rFonts w:eastAsia="Calibri"/>
                <w:szCs w:val="22"/>
                <w:lang w:val="lt-LT" w:eastAsia="ar-SA"/>
              </w:rPr>
              <w:t xml:space="preserve"> Via </w:t>
            </w:r>
            <w:proofErr w:type="spellStart"/>
            <w:r w:rsidRPr="00BD72E2">
              <w:rPr>
                <w:rFonts w:eastAsia="Calibri"/>
                <w:szCs w:val="22"/>
                <w:lang w:val="lt-LT" w:eastAsia="ar-SA"/>
              </w:rPr>
              <w:t>pharma</w:t>
            </w:r>
            <w:proofErr w:type="spellEnd"/>
            <w:r w:rsidRPr="00BD72E2">
              <w:rPr>
                <w:rFonts w:eastAsia="Calibri"/>
                <w:szCs w:val="22"/>
                <w:lang w:val="lt-LT" w:eastAsia="ar-SA"/>
              </w:rPr>
              <w:t xml:space="preserve"> </w:t>
            </w:r>
          </w:p>
        </w:tc>
      </w:tr>
      <w:tr w:rsidR="00BD72E2" w:rsidRPr="00BD72E2" w14:paraId="441D609C" w14:textId="77777777" w:rsidTr="00D06D01">
        <w:tc>
          <w:tcPr>
            <w:tcW w:w="1134" w:type="dxa"/>
            <w:tcBorders>
              <w:top w:val="single" w:sz="4" w:space="0" w:color="000000"/>
              <w:left w:val="single" w:sz="4" w:space="0" w:color="000000"/>
              <w:bottom w:val="single" w:sz="4" w:space="0" w:color="000000"/>
              <w:right w:val="nil"/>
            </w:tcBorders>
            <w:hideMark/>
          </w:tcPr>
          <w:p w14:paraId="3CE9A52D"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Vengrija</w:t>
            </w:r>
          </w:p>
        </w:tc>
        <w:tc>
          <w:tcPr>
            <w:tcW w:w="7559" w:type="dxa"/>
            <w:tcBorders>
              <w:top w:val="single" w:sz="4" w:space="0" w:color="000000"/>
              <w:left w:val="single" w:sz="4" w:space="0" w:color="000000"/>
              <w:bottom w:val="single" w:sz="4" w:space="0" w:color="000000"/>
              <w:right w:val="single" w:sz="4" w:space="0" w:color="000000"/>
            </w:tcBorders>
            <w:hideMark/>
          </w:tcPr>
          <w:p w14:paraId="6A7275C8"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Tobramycin</w:t>
            </w:r>
            <w:proofErr w:type="spellEnd"/>
            <w:r w:rsidRPr="00BD72E2">
              <w:rPr>
                <w:rFonts w:eastAsia="Calibri"/>
                <w:szCs w:val="22"/>
                <w:lang w:val="lt-LT" w:eastAsia="ar-SA"/>
              </w:rPr>
              <w:t xml:space="preserve"> Via </w:t>
            </w:r>
            <w:proofErr w:type="spellStart"/>
            <w:r w:rsidRPr="00BD72E2">
              <w:rPr>
                <w:rFonts w:eastAsia="Calibri"/>
                <w:szCs w:val="22"/>
                <w:lang w:val="lt-LT" w:eastAsia="ar-SA"/>
              </w:rPr>
              <w:t>pharma</w:t>
            </w:r>
            <w:proofErr w:type="spellEnd"/>
            <w:r w:rsidRPr="00BD72E2">
              <w:rPr>
                <w:rFonts w:eastAsia="Calibri"/>
                <w:szCs w:val="22"/>
                <w:lang w:val="lt-LT" w:eastAsia="ar-SA"/>
              </w:rPr>
              <w:t xml:space="preserve"> 300 mg/ 5 ml </w:t>
            </w:r>
            <w:proofErr w:type="spellStart"/>
            <w:r w:rsidRPr="00BD72E2">
              <w:rPr>
                <w:rFonts w:eastAsia="Calibri"/>
                <w:szCs w:val="22"/>
                <w:lang w:val="lt-LT" w:eastAsia="ar-SA"/>
              </w:rPr>
              <w:t>oldat</w:t>
            </w:r>
            <w:proofErr w:type="spellEnd"/>
            <w:r w:rsidRPr="00BD72E2">
              <w:rPr>
                <w:rFonts w:eastAsia="Calibri"/>
                <w:szCs w:val="22"/>
                <w:lang w:val="lt-LT" w:eastAsia="ar-SA"/>
              </w:rPr>
              <w:t xml:space="preserve"> </w:t>
            </w:r>
            <w:proofErr w:type="spellStart"/>
            <w:r w:rsidRPr="00BD72E2">
              <w:rPr>
                <w:rFonts w:eastAsia="Calibri"/>
                <w:szCs w:val="22"/>
                <w:lang w:val="lt-LT" w:eastAsia="ar-SA"/>
              </w:rPr>
              <w:t>porlasztásra</w:t>
            </w:r>
            <w:proofErr w:type="spellEnd"/>
          </w:p>
        </w:tc>
      </w:tr>
      <w:tr w:rsidR="00BD72E2" w:rsidRPr="00BD72E2" w14:paraId="1AD2E891" w14:textId="77777777" w:rsidTr="00D06D01">
        <w:tc>
          <w:tcPr>
            <w:tcW w:w="1134" w:type="dxa"/>
            <w:tcBorders>
              <w:top w:val="single" w:sz="4" w:space="0" w:color="000000"/>
              <w:left w:val="single" w:sz="4" w:space="0" w:color="000000"/>
              <w:bottom w:val="single" w:sz="4" w:space="0" w:color="000000"/>
              <w:right w:val="nil"/>
            </w:tcBorders>
            <w:hideMark/>
          </w:tcPr>
          <w:p w14:paraId="36100A2D"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Lietuva</w:t>
            </w:r>
          </w:p>
        </w:tc>
        <w:tc>
          <w:tcPr>
            <w:tcW w:w="7559" w:type="dxa"/>
            <w:tcBorders>
              <w:top w:val="single" w:sz="4" w:space="0" w:color="000000"/>
              <w:left w:val="single" w:sz="4" w:space="0" w:color="000000"/>
              <w:bottom w:val="single" w:sz="4" w:space="0" w:color="000000"/>
              <w:right w:val="single" w:sz="4" w:space="0" w:color="000000"/>
            </w:tcBorders>
            <w:hideMark/>
          </w:tcPr>
          <w:p w14:paraId="20634175"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Tobramycin</w:t>
            </w:r>
            <w:proofErr w:type="spellEnd"/>
            <w:r w:rsidRPr="00BD72E2">
              <w:rPr>
                <w:rFonts w:eastAsia="Calibri"/>
                <w:szCs w:val="22"/>
                <w:lang w:val="lt-LT" w:eastAsia="ar-SA"/>
              </w:rPr>
              <w:t xml:space="preserve"> Via </w:t>
            </w:r>
            <w:proofErr w:type="spellStart"/>
            <w:r w:rsidRPr="00BD72E2">
              <w:rPr>
                <w:rFonts w:eastAsia="Calibri"/>
                <w:szCs w:val="22"/>
                <w:lang w:val="lt-LT" w:eastAsia="ar-SA"/>
              </w:rPr>
              <w:t>pharma</w:t>
            </w:r>
            <w:proofErr w:type="spellEnd"/>
            <w:r w:rsidRPr="00BD72E2">
              <w:rPr>
                <w:rFonts w:eastAsia="Calibri"/>
                <w:szCs w:val="22"/>
                <w:lang w:val="lt-LT" w:eastAsia="ar-SA"/>
              </w:rPr>
              <w:t xml:space="preserve"> 300 mg/ 5 ml purškiamasis įkvepiamasis tirpalas</w:t>
            </w:r>
          </w:p>
        </w:tc>
      </w:tr>
      <w:tr w:rsidR="00BD72E2" w:rsidRPr="00BD72E2" w14:paraId="5EB1BAAD" w14:textId="77777777" w:rsidTr="00D06D01">
        <w:tc>
          <w:tcPr>
            <w:tcW w:w="1134" w:type="dxa"/>
            <w:tcBorders>
              <w:top w:val="single" w:sz="4" w:space="0" w:color="000000"/>
              <w:left w:val="single" w:sz="4" w:space="0" w:color="000000"/>
              <w:bottom w:val="single" w:sz="4" w:space="0" w:color="000000"/>
              <w:right w:val="nil"/>
            </w:tcBorders>
            <w:hideMark/>
          </w:tcPr>
          <w:p w14:paraId="2830CBF5"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Latvija</w:t>
            </w:r>
          </w:p>
        </w:tc>
        <w:tc>
          <w:tcPr>
            <w:tcW w:w="7559" w:type="dxa"/>
            <w:tcBorders>
              <w:top w:val="single" w:sz="4" w:space="0" w:color="000000"/>
              <w:left w:val="single" w:sz="4" w:space="0" w:color="000000"/>
              <w:bottom w:val="single" w:sz="4" w:space="0" w:color="000000"/>
              <w:right w:val="single" w:sz="4" w:space="0" w:color="000000"/>
            </w:tcBorders>
            <w:hideMark/>
          </w:tcPr>
          <w:p w14:paraId="730D4234"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Tobramycin</w:t>
            </w:r>
            <w:proofErr w:type="spellEnd"/>
            <w:r w:rsidRPr="00BD72E2">
              <w:rPr>
                <w:rFonts w:eastAsia="Calibri"/>
                <w:szCs w:val="22"/>
                <w:lang w:val="lt-LT" w:eastAsia="ar-SA"/>
              </w:rPr>
              <w:t xml:space="preserve"> Via </w:t>
            </w:r>
            <w:proofErr w:type="spellStart"/>
            <w:r w:rsidRPr="00BD72E2">
              <w:rPr>
                <w:rFonts w:eastAsia="Calibri"/>
                <w:szCs w:val="22"/>
                <w:lang w:val="lt-LT" w:eastAsia="ar-SA"/>
              </w:rPr>
              <w:t>pharma</w:t>
            </w:r>
            <w:proofErr w:type="spellEnd"/>
            <w:r w:rsidRPr="00BD72E2">
              <w:rPr>
                <w:rFonts w:eastAsia="Calibri"/>
                <w:szCs w:val="22"/>
                <w:lang w:val="lt-LT" w:eastAsia="ar-SA"/>
              </w:rPr>
              <w:t xml:space="preserve"> 300 mg/ 5 ml </w:t>
            </w:r>
            <w:proofErr w:type="spellStart"/>
            <w:r w:rsidRPr="00BD72E2">
              <w:rPr>
                <w:rFonts w:eastAsia="Calibri"/>
                <w:szCs w:val="22"/>
                <w:lang w:val="lt-LT" w:eastAsia="ar-SA"/>
              </w:rPr>
              <w:t>sķīdums</w:t>
            </w:r>
            <w:proofErr w:type="spellEnd"/>
            <w:r w:rsidRPr="00BD72E2">
              <w:rPr>
                <w:rFonts w:eastAsia="Calibri"/>
                <w:szCs w:val="22"/>
                <w:lang w:val="lt-LT" w:eastAsia="ar-SA"/>
              </w:rPr>
              <w:t xml:space="preserve"> </w:t>
            </w:r>
            <w:proofErr w:type="spellStart"/>
            <w:r w:rsidRPr="00BD72E2">
              <w:rPr>
                <w:rFonts w:eastAsia="Calibri"/>
                <w:szCs w:val="22"/>
                <w:lang w:val="lt-LT" w:eastAsia="ar-SA"/>
              </w:rPr>
              <w:t>izsmidzināšanai</w:t>
            </w:r>
            <w:proofErr w:type="spellEnd"/>
          </w:p>
        </w:tc>
      </w:tr>
      <w:tr w:rsidR="00BD72E2" w:rsidRPr="00BD72E2" w14:paraId="59F948E2" w14:textId="77777777" w:rsidTr="00D06D01">
        <w:tc>
          <w:tcPr>
            <w:tcW w:w="1134" w:type="dxa"/>
            <w:tcBorders>
              <w:top w:val="single" w:sz="4" w:space="0" w:color="000000"/>
              <w:left w:val="single" w:sz="4" w:space="0" w:color="000000"/>
              <w:bottom w:val="single" w:sz="4" w:space="0" w:color="000000"/>
              <w:right w:val="nil"/>
            </w:tcBorders>
            <w:hideMark/>
          </w:tcPr>
          <w:p w14:paraId="63536D5D"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Lenkija</w:t>
            </w:r>
          </w:p>
        </w:tc>
        <w:tc>
          <w:tcPr>
            <w:tcW w:w="7559" w:type="dxa"/>
            <w:tcBorders>
              <w:top w:val="single" w:sz="4" w:space="0" w:color="000000"/>
              <w:left w:val="single" w:sz="4" w:space="0" w:color="000000"/>
              <w:bottom w:val="single" w:sz="4" w:space="0" w:color="000000"/>
              <w:right w:val="single" w:sz="4" w:space="0" w:color="000000"/>
            </w:tcBorders>
            <w:hideMark/>
          </w:tcPr>
          <w:p w14:paraId="129785EB"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Tobramycin</w:t>
            </w:r>
            <w:proofErr w:type="spellEnd"/>
            <w:r w:rsidRPr="00BD72E2">
              <w:rPr>
                <w:rFonts w:eastAsia="Calibri"/>
                <w:szCs w:val="22"/>
                <w:lang w:val="lt-LT" w:eastAsia="ar-SA"/>
              </w:rPr>
              <w:t xml:space="preserve"> Via </w:t>
            </w:r>
            <w:proofErr w:type="spellStart"/>
            <w:r w:rsidRPr="00BD72E2">
              <w:rPr>
                <w:rFonts w:eastAsia="Calibri"/>
                <w:szCs w:val="22"/>
                <w:lang w:val="lt-LT" w:eastAsia="ar-SA"/>
              </w:rPr>
              <w:t>pharma</w:t>
            </w:r>
            <w:proofErr w:type="spellEnd"/>
          </w:p>
        </w:tc>
      </w:tr>
      <w:tr w:rsidR="00BD72E2" w:rsidRPr="00BD72E2" w14:paraId="0C867220" w14:textId="77777777" w:rsidTr="00D06D01">
        <w:tc>
          <w:tcPr>
            <w:tcW w:w="1134" w:type="dxa"/>
            <w:tcBorders>
              <w:top w:val="single" w:sz="4" w:space="0" w:color="000000"/>
              <w:left w:val="single" w:sz="4" w:space="0" w:color="000000"/>
              <w:bottom w:val="single" w:sz="4" w:space="0" w:color="000000"/>
              <w:right w:val="nil"/>
            </w:tcBorders>
            <w:hideMark/>
          </w:tcPr>
          <w:p w14:paraId="4B6DEF00"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r w:rsidRPr="00BD72E2">
              <w:rPr>
                <w:rFonts w:eastAsia="Calibri"/>
                <w:szCs w:val="22"/>
                <w:lang w:val="lt-LT" w:eastAsia="ar-SA"/>
              </w:rPr>
              <w:t>Rumunija</w:t>
            </w:r>
          </w:p>
        </w:tc>
        <w:tc>
          <w:tcPr>
            <w:tcW w:w="7559" w:type="dxa"/>
            <w:tcBorders>
              <w:top w:val="single" w:sz="4" w:space="0" w:color="000000"/>
              <w:left w:val="single" w:sz="4" w:space="0" w:color="000000"/>
              <w:bottom w:val="single" w:sz="4" w:space="0" w:color="000000"/>
              <w:right w:val="single" w:sz="4" w:space="0" w:color="000000"/>
            </w:tcBorders>
            <w:hideMark/>
          </w:tcPr>
          <w:p w14:paraId="5376B83A" w14:textId="77777777" w:rsidR="00BD72E2" w:rsidRPr="00BD72E2" w:rsidRDefault="00BD72E2" w:rsidP="00BD72E2">
            <w:pPr>
              <w:tabs>
                <w:tab w:val="clear" w:pos="567"/>
                <w:tab w:val="left" w:pos="1296"/>
              </w:tabs>
              <w:suppressAutoHyphens/>
              <w:spacing w:line="240" w:lineRule="auto"/>
              <w:jc w:val="both"/>
              <w:rPr>
                <w:rFonts w:eastAsia="Calibri"/>
                <w:szCs w:val="22"/>
                <w:lang w:val="lt-LT" w:eastAsia="ar-SA"/>
              </w:rPr>
            </w:pPr>
            <w:proofErr w:type="spellStart"/>
            <w:r w:rsidRPr="00BD72E2">
              <w:rPr>
                <w:rFonts w:eastAsia="Calibri"/>
                <w:szCs w:val="22"/>
                <w:lang w:val="lt-LT" w:eastAsia="ar-SA"/>
              </w:rPr>
              <w:t>Tobramicină</w:t>
            </w:r>
            <w:proofErr w:type="spellEnd"/>
            <w:r w:rsidRPr="00BD72E2">
              <w:rPr>
                <w:rFonts w:eastAsia="Calibri"/>
                <w:szCs w:val="22"/>
                <w:lang w:val="lt-LT" w:eastAsia="ar-SA"/>
              </w:rPr>
              <w:t xml:space="preserve"> Via pharma300 mg/ 5 ml </w:t>
            </w:r>
            <w:proofErr w:type="spellStart"/>
            <w:r w:rsidRPr="00BD72E2">
              <w:rPr>
                <w:rFonts w:eastAsia="Calibri"/>
                <w:szCs w:val="22"/>
                <w:lang w:val="lt-LT" w:eastAsia="ar-SA"/>
              </w:rPr>
              <w:t>soluţie</w:t>
            </w:r>
            <w:proofErr w:type="spellEnd"/>
            <w:r w:rsidRPr="00BD72E2">
              <w:rPr>
                <w:rFonts w:eastAsia="Calibri"/>
                <w:szCs w:val="22"/>
                <w:lang w:val="lt-LT" w:eastAsia="ar-SA"/>
              </w:rPr>
              <w:t xml:space="preserve"> </w:t>
            </w:r>
            <w:proofErr w:type="spellStart"/>
            <w:r w:rsidRPr="00BD72E2">
              <w:rPr>
                <w:rFonts w:eastAsia="Calibri"/>
                <w:szCs w:val="22"/>
                <w:lang w:val="lt-LT" w:eastAsia="ar-SA"/>
              </w:rPr>
              <w:t>pentru</w:t>
            </w:r>
            <w:proofErr w:type="spellEnd"/>
            <w:r w:rsidRPr="00BD72E2">
              <w:rPr>
                <w:rFonts w:eastAsia="Calibri"/>
                <w:szCs w:val="22"/>
                <w:lang w:val="lt-LT" w:eastAsia="ar-SA"/>
              </w:rPr>
              <w:t xml:space="preserve"> </w:t>
            </w:r>
            <w:proofErr w:type="spellStart"/>
            <w:r w:rsidRPr="00BD72E2">
              <w:rPr>
                <w:rFonts w:eastAsia="Calibri"/>
                <w:szCs w:val="22"/>
                <w:lang w:val="lt-LT" w:eastAsia="ar-SA"/>
              </w:rPr>
              <w:t>inhalare</w:t>
            </w:r>
            <w:proofErr w:type="spellEnd"/>
            <w:r w:rsidRPr="00BD72E2">
              <w:rPr>
                <w:rFonts w:eastAsia="Calibri"/>
                <w:szCs w:val="22"/>
                <w:lang w:val="lt-LT" w:eastAsia="ar-SA"/>
              </w:rPr>
              <w:t xml:space="preserve"> </w:t>
            </w:r>
            <w:proofErr w:type="spellStart"/>
            <w:r w:rsidRPr="00BD72E2">
              <w:rPr>
                <w:rFonts w:eastAsia="Calibri"/>
                <w:szCs w:val="22"/>
                <w:lang w:val="lt-LT" w:eastAsia="ar-SA"/>
              </w:rPr>
              <w:t>prin</w:t>
            </w:r>
            <w:proofErr w:type="spellEnd"/>
            <w:r w:rsidRPr="00BD72E2">
              <w:rPr>
                <w:rFonts w:eastAsia="Calibri"/>
                <w:szCs w:val="22"/>
                <w:lang w:val="lt-LT" w:eastAsia="ar-SA"/>
              </w:rPr>
              <w:t xml:space="preserve"> </w:t>
            </w:r>
            <w:proofErr w:type="spellStart"/>
            <w:r w:rsidRPr="00BD72E2">
              <w:rPr>
                <w:rFonts w:eastAsia="Calibri"/>
                <w:szCs w:val="22"/>
                <w:lang w:val="lt-LT" w:eastAsia="ar-SA"/>
              </w:rPr>
              <w:t>nebulizator</w:t>
            </w:r>
            <w:proofErr w:type="spellEnd"/>
          </w:p>
        </w:tc>
      </w:tr>
    </w:tbl>
    <w:p w14:paraId="1CD4DC11" w14:textId="77777777" w:rsidR="00BD72E2" w:rsidRPr="00BD72E2" w:rsidRDefault="00BD72E2" w:rsidP="00BD72E2">
      <w:pPr>
        <w:spacing w:line="240" w:lineRule="auto"/>
        <w:ind w:left="567" w:hanging="567"/>
        <w:rPr>
          <w:szCs w:val="22"/>
          <w:lang w:val="lt-LT"/>
        </w:rPr>
      </w:pPr>
    </w:p>
    <w:p w14:paraId="2D0B329F" w14:textId="77777777" w:rsidR="00BD72E2" w:rsidRPr="00BD72E2" w:rsidRDefault="00BD72E2" w:rsidP="00BD72E2">
      <w:pPr>
        <w:spacing w:line="240" w:lineRule="auto"/>
        <w:ind w:left="567" w:hanging="567"/>
        <w:rPr>
          <w:szCs w:val="22"/>
          <w:lang w:val="lt-LT"/>
        </w:rPr>
      </w:pPr>
    </w:p>
    <w:p w14:paraId="21A1CB51" w14:textId="77777777" w:rsidR="00BD72E2" w:rsidRPr="00BD72E2" w:rsidRDefault="00BD72E2" w:rsidP="00BD72E2">
      <w:pPr>
        <w:numPr>
          <w:ilvl w:val="12"/>
          <w:numId w:val="0"/>
        </w:numPr>
        <w:tabs>
          <w:tab w:val="clear" w:pos="567"/>
          <w:tab w:val="left" w:pos="1296"/>
        </w:tabs>
        <w:spacing w:line="240" w:lineRule="auto"/>
        <w:ind w:right="-2"/>
        <w:rPr>
          <w:szCs w:val="22"/>
          <w:lang w:val="lt-LT"/>
        </w:rPr>
      </w:pPr>
      <w:r w:rsidRPr="00BD72E2">
        <w:rPr>
          <w:b/>
          <w:szCs w:val="22"/>
          <w:lang w:val="lt-LT"/>
        </w:rPr>
        <w:t>Šis pakuotės lapelis paskutinį kartą peržiūrėtas 2026-04-17.</w:t>
      </w:r>
    </w:p>
    <w:p w14:paraId="570195D3" w14:textId="77777777" w:rsidR="00BD72E2" w:rsidRPr="00BD72E2" w:rsidRDefault="00BD72E2" w:rsidP="00BD72E2">
      <w:pPr>
        <w:numPr>
          <w:ilvl w:val="12"/>
          <w:numId w:val="0"/>
        </w:numPr>
        <w:spacing w:line="240" w:lineRule="auto"/>
        <w:ind w:right="-2"/>
        <w:rPr>
          <w:szCs w:val="22"/>
          <w:lang w:val="lt-LT"/>
        </w:rPr>
      </w:pPr>
    </w:p>
    <w:p w14:paraId="72DDB0B7" w14:textId="77777777" w:rsidR="00BD72E2" w:rsidRPr="00BD72E2" w:rsidRDefault="00BD72E2" w:rsidP="00BD72E2">
      <w:pPr>
        <w:numPr>
          <w:ilvl w:val="12"/>
          <w:numId w:val="0"/>
        </w:numPr>
        <w:spacing w:line="240" w:lineRule="auto"/>
        <w:ind w:right="-2"/>
        <w:rPr>
          <w:szCs w:val="22"/>
          <w:lang w:val="lt-LT"/>
        </w:rPr>
      </w:pPr>
      <w:r w:rsidRPr="00BD72E2">
        <w:rPr>
          <w:szCs w:val="22"/>
          <w:lang w:val="lt-LT"/>
        </w:rPr>
        <w:t xml:space="preserve">Išsami informacija apie šį vaistą pateikiama Valstybinės vaistų kontrolės tarnybos prie Lietuvos Respublikos sveikatos apsaugos ministerijos tinklalapyje </w:t>
      </w:r>
      <w:hyperlink r:id="rId9" w:history="1">
        <w:r w:rsidRPr="00BD72E2">
          <w:rPr>
            <w:rStyle w:val="Hipersaitas"/>
            <w:color w:val="auto"/>
            <w:szCs w:val="22"/>
            <w:lang w:val="lt-LT"/>
          </w:rPr>
          <w:t>https://www.vvkt.lrv.lt/lt</w:t>
        </w:r>
      </w:hyperlink>
      <w:r w:rsidRPr="00BD72E2">
        <w:rPr>
          <w:szCs w:val="22"/>
          <w:lang w:val="lt-LT"/>
        </w:rPr>
        <w:t xml:space="preserve"> .</w:t>
      </w:r>
    </w:p>
    <w:p w14:paraId="3DD1605B" w14:textId="77777777" w:rsidR="00BD72E2" w:rsidRPr="00BD72E2" w:rsidRDefault="00BD72E2" w:rsidP="00BD72E2">
      <w:pPr>
        <w:numPr>
          <w:ilvl w:val="12"/>
          <w:numId w:val="0"/>
        </w:numPr>
        <w:spacing w:line="240" w:lineRule="auto"/>
        <w:ind w:right="-2"/>
        <w:rPr>
          <w:szCs w:val="22"/>
          <w:lang w:val="lt-LT"/>
        </w:rPr>
      </w:pPr>
    </w:p>
    <w:p w14:paraId="246A50E9" w14:textId="77777777" w:rsidR="00BD72E2" w:rsidRPr="00BD72E2" w:rsidRDefault="00BD72E2" w:rsidP="00BD72E2">
      <w:pPr>
        <w:rPr>
          <w:szCs w:val="22"/>
          <w:lang w:val="lt-LT"/>
        </w:rPr>
      </w:pPr>
    </w:p>
    <w:p w14:paraId="230E2BC4" w14:textId="77777777" w:rsidR="00222FED" w:rsidRPr="00BD72E2" w:rsidRDefault="00222FED" w:rsidP="00BD72E2">
      <w:pPr>
        <w:rPr>
          <w:szCs w:val="22"/>
        </w:rPr>
      </w:pPr>
    </w:p>
    <w:sectPr w:rsidR="00222FED" w:rsidRPr="00BD72E2" w:rsidSect="00BD72E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4E3DF8"/>
    <w:multiLevelType w:val="hybridMultilevel"/>
    <w:tmpl w:val="7DD49D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371885"/>
    <w:multiLevelType w:val="hybridMultilevel"/>
    <w:tmpl w:val="B56A4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3C7805"/>
    <w:multiLevelType w:val="hybridMultilevel"/>
    <w:tmpl w:val="61764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A06AC8"/>
    <w:multiLevelType w:val="hybridMultilevel"/>
    <w:tmpl w:val="8F7E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F8004C"/>
    <w:multiLevelType w:val="hybridMultilevel"/>
    <w:tmpl w:val="FEDA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891BC5"/>
    <w:multiLevelType w:val="hybridMultilevel"/>
    <w:tmpl w:val="1D14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F140FF"/>
    <w:multiLevelType w:val="hybridMultilevel"/>
    <w:tmpl w:val="86C82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E9F3B20"/>
    <w:multiLevelType w:val="hybridMultilevel"/>
    <w:tmpl w:val="F326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0522846">
    <w:abstractNumId w:val="0"/>
    <w:lvlOverride w:ilvl="0">
      <w:lvl w:ilvl="0">
        <w:numFmt w:val="bullet"/>
        <w:lvlText w:val="-"/>
        <w:lvlJc w:val="left"/>
        <w:pPr>
          <w:ind w:left="360" w:hanging="360"/>
        </w:pPr>
        <w:rPr>
          <w:rFonts w:cs="Times New Roman"/>
        </w:rPr>
      </w:lvl>
    </w:lvlOverride>
  </w:num>
  <w:num w:numId="2" w16cid:durableId="859509934">
    <w:abstractNumId w:val="7"/>
  </w:num>
  <w:num w:numId="3" w16cid:durableId="368070353">
    <w:abstractNumId w:val="8"/>
  </w:num>
  <w:num w:numId="4" w16cid:durableId="480778396">
    <w:abstractNumId w:val="2"/>
  </w:num>
  <w:num w:numId="5" w16cid:durableId="724107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25060">
    <w:abstractNumId w:val="6"/>
  </w:num>
  <w:num w:numId="7" w16cid:durableId="731737366">
    <w:abstractNumId w:val="1"/>
  </w:num>
  <w:num w:numId="8" w16cid:durableId="1162965371">
    <w:abstractNumId w:val="3"/>
  </w:num>
  <w:num w:numId="9" w16cid:durableId="1597327939">
    <w:abstractNumId w:val="4"/>
  </w:num>
  <w:num w:numId="10" w16cid:durableId="4746434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E2"/>
    <w:rsid w:val="00222FED"/>
    <w:rsid w:val="00482831"/>
    <w:rsid w:val="005F173E"/>
    <w:rsid w:val="008B3AD4"/>
    <w:rsid w:val="00984A0A"/>
    <w:rsid w:val="00BD72E2"/>
    <w:rsid w:val="00D047C4"/>
    <w:rsid w:val="00EC0D97"/>
    <w:rsid w:val="00EE1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307F"/>
  <w15:chartTrackingRefBased/>
  <w15:docId w15:val="{1F6A083A-E1A1-4319-A7C9-6B68CD7E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2E2"/>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BD7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BD7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BD72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BD72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72E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D72E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2E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D72E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2E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2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semiHidden/>
    <w:rsid w:val="00BD72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BD72E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BD72E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72E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D72E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2E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D72E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2E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D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2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2E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2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2E2"/>
    <w:rPr>
      <w:i/>
      <w:iCs/>
      <w:color w:val="404040" w:themeColor="text1" w:themeTint="BF"/>
    </w:rPr>
  </w:style>
  <w:style w:type="paragraph" w:styleId="Sraopastraipa">
    <w:name w:val="List Paragraph"/>
    <w:basedOn w:val="prastasis"/>
    <w:uiPriority w:val="34"/>
    <w:qFormat/>
    <w:rsid w:val="00BD72E2"/>
    <w:pPr>
      <w:ind w:left="720"/>
      <w:contextualSpacing/>
    </w:pPr>
  </w:style>
  <w:style w:type="character" w:styleId="Rykuspabraukimas">
    <w:name w:val="Intense Emphasis"/>
    <w:basedOn w:val="Numatytasispastraiposriftas"/>
    <w:uiPriority w:val="21"/>
    <w:qFormat/>
    <w:rsid w:val="00BD72E2"/>
    <w:rPr>
      <w:i/>
      <w:iCs/>
      <w:color w:val="0F4761" w:themeColor="accent1" w:themeShade="BF"/>
    </w:rPr>
  </w:style>
  <w:style w:type="paragraph" w:styleId="Iskirtacitata">
    <w:name w:val="Intense Quote"/>
    <w:basedOn w:val="prastasis"/>
    <w:next w:val="prastasis"/>
    <w:link w:val="IskirtacitataDiagrama"/>
    <w:uiPriority w:val="30"/>
    <w:qFormat/>
    <w:rsid w:val="00BD7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72E2"/>
    <w:rPr>
      <w:i/>
      <w:iCs/>
      <w:color w:val="0F4761" w:themeColor="accent1" w:themeShade="BF"/>
    </w:rPr>
  </w:style>
  <w:style w:type="character" w:styleId="Rykinuoroda">
    <w:name w:val="Intense Reference"/>
    <w:basedOn w:val="Numatytasispastraiposriftas"/>
    <w:uiPriority w:val="32"/>
    <w:qFormat/>
    <w:rsid w:val="00BD72E2"/>
    <w:rPr>
      <w:b/>
      <w:bCs/>
      <w:smallCaps/>
      <w:color w:val="0F4761" w:themeColor="accent1" w:themeShade="BF"/>
      <w:spacing w:val="5"/>
    </w:rPr>
  </w:style>
  <w:style w:type="character" w:styleId="Hipersaitas">
    <w:name w:val="Hyperlink"/>
    <w:uiPriority w:val="99"/>
    <w:unhideWhenUsed/>
    <w:rsid w:val="00BD7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10706</Words>
  <Characters>6103</Characters>
  <Application>Microsoft Office Word</Application>
  <DocSecurity>0</DocSecurity>
  <Lines>50</Lines>
  <Paragraphs>33</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2026-04-20T06:47:00Z</dcterms:created>
  <dcterms:modified xsi:type="dcterms:W3CDTF">2026-04-20T06:51:00Z</dcterms:modified>
</cp:coreProperties>
</file>