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40" w:lineRule="auto"/>
        <w:ind w:right="27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Pakuotės lapelis:</w:t>
      </w:r>
      <w:r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informacija vartotojui</w:t>
      </w:r>
    </w:p>
    <w:p w:rsidR="00167450" w:rsidRDefault="00167450" w:rsidP="00167450">
      <w:pPr>
        <w:numPr>
          <w:ilvl w:val="12"/>
          <w:numId w:val="0"/>
        </w:numPr>
        <w:shd w:val="clear" w:color="auto" w:fill="FFFFFF"/>
        <w:tabs>
          <w:tab w:val="left" w:pos="9360"/>
          <w:tab w:val="left" w:pos="9540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center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Ambrotusin 3 mg/ml sirupas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ambroksolio hidrochloridas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tabs>
          <w:tab w:val="left" w:pos="9360"/>
          <w:tab w:val="left" w:pos="954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Atidžiai perskaitykite visą šį lapelį, prieš pradėdami vartoti šį vaistą, nes jame pateikiama Jums svarbi informacija.</w:t>
      </w:r>
    </w:p>
    <w:p w:rsidR="00167450" w:rsidRDefault="00167450" w:rsidP="0016745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Visada vartokite šį vaistą tiksliai kaip aprašyta šiame lapelyje arba kaip nurodė gydytojas arba vaistininkas.</w:t>
      </w:r>
    </w:p>
    <w:p w:rsidR="00167450" w:rsidRDefault="00167450" w:rsidP="00167450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Neišmeskite šio lapelio, nes vėl gali prireikti jį perskaityti.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167450" w:rsidRDefault="00167450" w:rsidP="00167450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norite sužinoti daugiau arba pasitarti, kreipkitės į vaistininką.</w:t>
      </w:r>
      <w:r>
        <w:rPr>
          <w:rFonts w:ascii="Times New Roman" w:eastAsia="Times New Roman" w:hAnsi="Times New Roman" w:cs="Times New Roman"/>
          <w:noProof/>
          <w:snapToGrid w:val="0"/>
          <w:szCs w:val="20"/>
        </w:rPr>
        <w:t>Jeigu pasireiškė šalutinis poveikis (net jeigu jis šiame lapelyje nenurodytas), kreipkitės į gydytoją arba vaistininką. Žr. 4 skyrių.</w:t>
      </w:r>
    </w:p>
    <w:p w:rsidR="00167450" w:rsidRDefault="00167450" w:rsidP="00167450">
      <w:pPr>
        <w:numPr>
          <w:ilvl w:val="0"/>
          <w:numId w:val="1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</w:rPr>
        <w:t>Jeigu per 3 dienas Jūsų savijauta nepagerėjo arba net pablogėjo, kreipkitės į gydytoją.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1.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ir kam jis vartojamas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167450" w:rsidRDefault="00167450" w:rsidP="00167450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2.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Kas žinotina prieš vartojant Ambrotusin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 </w:t>
      </w:r>
    </w:p>
    <w:p w:rsidR="00167450" w:rsidRDefault="00167450" w:rsidP="00167450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3.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Kaip vartoti Ambrotusin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167450" w:rsidRDefault="00167450" w:rsidP="00167450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4.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>Galimas šalutinis poveikis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167450" w:rsidRDefault="00167450" w:rsidP="00167450">
      <w:pPr>
        <w:numPr>
          <w:ilvl w:val="12"/>
          <w:numId w:val="0"/>
        </w:numPr>
        <w:tabs>
          <w:tab w:val="left" w:pos="-360"/>
          <w:tab w:val="left" w:pos="180"/>
          <w:tab w:val="left" w:pos="36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5.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Kaip laikyti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</w:p>
    <w:p w:rsidR="00167450" w:rsidRDefault="00167450" w:rsidP="00167450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6.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Pakuotės turinys ir kita informacija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1.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ir kam jis vartojamas</w:t>
      </w:r>
    </w:p>
    <w:p w:rsidR="00167450" w:rsidRDefault="00167450" w:rsidP="00167450">
      <w:pPr>
        <w:tabs>
          <w:tab w:val="left" w:pos="9360"/>
          <w:tab w:val="left" w:pos="9540"/>
        </w:tabs>
        <w:spacing w:before="100" w:beforeAutospacing="1" w:after="0" w:line="240" w:lineRule="auto"/>
        <w:ind w:right="2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Veiklioji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Ambrotusin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medžiaga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ambroksolio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hidrochloridas didina kvėpavimo takų liaukų sekreciją, gerina atsikosėjimą ir lengvina kosulį.</w:t>
      </w:r>
    </w:p>
    <w:p w:rsidR="00167450" w:rsidRDefault="00167450" w:rsidP="00167450">
      <w:pPr>
        <w:tabs>
          <w:tab w:val="left" w:pos="9360"/>
          <w:tab w:val="left" w:pos="9540"/>
        </w:tabs>
        <w:spacing w:before="100" w:beforeAutospacing="1" w:after="0" w:line="240" w:lineRule="auto"/>
        <w:ind w:right="27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Ambrotusin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vartojamas kvėpavimo takų sekretui skystinti sergant ūminėmis arba lėtinėmis bronchų ar plaučių ligomis, kurių metu sutrinka gleivių sekrecija ir šalinimas iš kvėpavimo takų. 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per 3 dienas Jūsų savijauta nepagerėjo arba net pablogėjo, kreipkitės į gydytoją.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2.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 xml:space="preserve"> 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rPr>
          <w:rFonts w:ascii="Times New Roman" w:eastAsia="Times New Roman" w:hAnsi="Times New Roman" w:cs="Times New Roman"/>
          <w:b/>
          <w:bCs/>
          <w:snapToGrid w:val="0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vartoti draudžiama:</w:t>
      </w:r>
    </w:p>
    <w:p w:rsidR="00167450" w:rsidRDefault="00167450" w:rsidP="0016745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jeigu yra alergija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hidrochloridui arba bet kuriai pagalbinei šio vaisto medžiagai (jos išvardytos 6 skyriuje).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Pasitarkite su gydytoju arba vaistininku, prieš pradėdami vartoti Ambrotusin:</w:t>
      </w:r>
    </w:p>
    <w:p w:rsidR="00167450" w:rsidRDefault="00167450" w:rsidP="00167450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jeigu Jums yra būklė, kai neįmanoma iškosėti skreplių (labai retai pasireškianti įgimta būklė – piktybinis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ciliarinis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sindromas);</w:t>
      </w:r>
    </w:p>
    <w:p w:rsidR="00167450" w:rsidRDefault="00167450" w:rsidP="00167450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turite inkstų veiklos sutrikimų;</w:t>
      </w:r>
    </w:p>
    <w:p w:rsidR="00167450" w:rsidRDefault="00167450" w:rsidP="00167450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turite kepenų veiklos sutrikimų;</w:t>
      </w:r>
    </w:p>
    <w:p w:rsidR="00167450" w:rsidRDefault="00167450" w:rsidP="00167450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esate nėščia arba žindote kūdikį (žr. skyrių „Nėštumas ir žindymo laikotarpis“);</w:t>
      </w:r>
    </w:p>
    <w:p w:rsidR="00167450" w:rsidRDefault="00167450" w:rsidP="00167450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netoleruojate kokių nors angliavandenių (žr. skyrių „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sudėtyje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sorbitolio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>.)</w:t>
      </w:r>
    </w:p>
    <w:p w:rsidR="00167450" w:rsidRDefault="00167450" w:rsidP="00167450">
      <w:pPr>
        <w:tabs>
          <w:tab w:val="left" w:pos="9360"/>
          <w:tab w:val="left" w:pos="9540"/>
        </w:tabs>
        <w:spacing w:before="100" w:beforeAutospacing="1" w:after="0" w:line="240" w:lineRule="auto"/>
        <w:ind w:right="2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lastRenderedPageBreak/>
        <w:t xml:space="preserve">Nustatyti sunkių odos reakcijų, susijusių su </w:t>
      </w:r>
      <w:proofErr w:type="spellStart"/>
      <w:r>
        <w:rPr>
          <w:rFonts w:ascii="Times New Roman" w:eastAsia="Calibri" w:hAnsi="Times New Roman" w:cs="Times New Roman"/>
        </w:rPr>
        <w:t>Ambrotusin</w:t>
      </w:r>
      <w:proofErr w:type="spellEnd"/>
      <w:r>
        <w:rPr>
          <w:rFonts w:ascii="Times New Roman" w:eastAsia="Calibri" w:hAnsi="Times New Roman" w:cs="Times New Roman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>
        <w:rPr>
          <w:rFonts w:ascii="Times New Roman" w:eastAsia="Calibri" w:hAnsi="Times New Roman" w:cs="Times New Roman"/>
        </w:rPr>
        <w:t>Ambrotusin</w:t>
      </w:r>
      <w:proofErr w:type="spellEnd"/>
      <w:r>
        <w:rPr>
          <w:rFonts w:ascii="Times New Roman" w:eastAsia="Calibri" w:hAnsi="Times New Roman" w:cs="Times New Roman"/>
        </w:rPr>
        <w:t xml:space="preserve"> vartojimą ir kreipkitės į gydytoją.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Kliniškai reikšmingos nepalankios sąveikos su kitais vaistais nepastebėta. </w:t>
      </w: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Kartu su kosulį slopinančiais vaistais </w:t>
      </w:r>
      <w:proofErr w:type="spellStart"/>
      <w:r>
        <w:rPr>
          <w:rFonts w:ascii="Times New Roman" w:eastAsia="Times New Roman" w:hAnsi="Times New Roman" w:cs="Times New Roman"/>
        </w:rPr>
        <w:t>ambroksolio</w:t>
      </w:r>
      <w:proofErr w:type="spellEnd"/>
      <w:r>
        <w:rPr>
          <w:rFonts w:ascii="Times New Roman" w:eastAsia="Times New Roman" w:hAnsi="Times New Roman" w:cs="Times New Roman"/>
        </w:rPr>
        <w:t xml:space="preserve"> hidrochlorido vartoti nerekomenduojama.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vartojimas su maistu ir gėrimais</w:t>
      </w: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0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eastAsia="x-none"/>
        </w:rPr>
        <w:t xml:space="preserve"> sirupą gerkite po valgio ir užsigerkite skysčiu, kadangi vanduo skatina gleivių skystėjimą.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Nėštumas ir žindymo laikotarpis 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Nėštumo metu, ypač pirmųjų trijų mėnesių laikotarpiu,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vartoti nerekomenduojama. Žindymo metu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vartoti nerekomenduojama, kadangi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hidrochloridas išsiskiria su motinos pienu.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Vairavimas ir mechanizmų valdymas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>Rinkodaros stebėsenos duomenys poveikio gebėjimui vairuoti ir valdyti mechanizmus nerodo.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>Poveikio gebėjimui vairuoti ir valdyti mechanizmus tyrimų neatlikta.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sudėtyje yra </w:t>
      </w:r>
      <w:proofErr w:type="spellStart"/>
      <w:r>
        <w:rPr>
          <w:rFonts w:ascii="Times New Roman" w:eastAsia="Times New Roman" w:hAnsi="Times New Roman" w:cs="Times New Roman"/>
          <w:b/>
          <w:snapToGrid w:val="0"/>
          <w:szCs w:val="20"/>
        </w:rPr>
        <w:t>sorbitolio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Vienkartinėje 5 ml sirupo dozėje yra 1,25 g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sorbitolio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. </w:t>
      </w:r>
      <w:r>
        <w:rPr>
          <w:rFonts w:ascii="Times New Roman" w:eastAsia="Times New Roman" w:hAnsi="Times New Roman" w:cs="Times New Roman"/>
          <w:snapToGrid w:val="0"/>
        </w:rPr>
        <w:t>Jeigu gydytojas Jums yra sakęs, kad netoleruojate kokių nors angliavandenių, kreipkitės į jį prieš pradėdami vartoti šį vaistą.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3.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Ambrotusin</w:t>
      </w:r>
      <w:proofErr w:type="spellEnd"/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Visada vartokite šį vaistą tiksliai kaip aprašyta šiame lapelyje arba kaip nurodė gydytojas arba vaistininkas.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abejojate, kreipkitės į gydytoją arba vaistininką.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Suaugusiesiems ir vyresniems nei 12 metų paaugliams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:</w:t>
      </w: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10 ml sirupo 3 kartus per parą.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Vaikams nuo 6 iki 12 metų: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5 ml sirupo 2-3 kartus per parą.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Vaikams nuo 2 iki 6 metų: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2,5 ml sirupo 3 kartus per parą.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Jaunesniems nei 2 metų vaikams: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2,5 ml sirupo 2 kartus per parą.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Pacientams, kurių inkstų ar kepenų funkcija sutrikusi</w:t>
      </w: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Pacientams, kurių inkstų veikla sutrikusi arba kurie serga sunkia kepenų liga, </w:t>
      </w:r>
      <w:proofErr w:type="spellStart"/>
      <w:r>
        <w:rPr>
          <w:rFonts w:ascii="Times New Roman" w:eastAsia="Calibri" w:hAnsi="Times New Roman" w:cs="Times New Roman"/>
        </w:rPr>
        <w:t>ambroksolio</w:t>
      </w:r>
      <w:proofErr w:type="spellEnd"/>
      <w:r>
        <w:rPr>
          <w:rFonts w:ascii="Times New Roman" w:eastAsia="Calibri" w:hAnsi="Times New Roman" w:cs="Times New Roman"/>
        </w:rPr>
        <w:t xml:space="preserve"> hidrochlorido reikia vartoti labai atsargiai, </w:t>
      </w:r>
      <w:proofErr w:type="spellStart"/>
      <w:r>
        <w:rPr>
          <w:rFonts w:ascii="Times New Roman" w:eastAsia="Calibri" w:hAnsi="Times New Roman" w:cs="Times New Roman"/>
        </w:rPr>
        <w:t>t.y</w:t>
      </w:r>
      <w:proofErr w:type="spellEnd"/>
      <w:r>
        <w:rPr>
          <w:rFonts w:ascii="Times New Roman" w:eastAsia="Calibri" w:hAnsi="Times New Roman" w:cs="Times New Roman"/>
        </w:rPr>
        <w:t>. gerti rečiau ir (arba) mažesnę dozę.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dozę?</w:t>
      </w: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Jeigu Jūs išgėrėte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daugiau negu reikia, nedelsdami kreipkitės į savo gydytoją ar vaistininką. Apie specifinius perdozavimo simptomus žmogui iki šiol pranešimų negauta. Remiantis pranešimais apie atsitiktinį perdozavimą ir (arba) vartojimo klaidas, stebėti simptomai atitinka rekomenduojamos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dozės sukeliamą žinomą šalutinį poveikį. Gali prireikti simptominio gydymo.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Negalima vartoti dvigubos dozės norint kompensuoti praleistą dozę.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sirupą vartokite toliau taip, kaip paskirta. </w:t>
      </w: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reikia vartoti tik tada, kada reikia. Ligai palengvėjus, vartojimą reikia nutraukti. 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Jeigu kiltų daugiau klausimų dėl šio vaisto vartojimo, kreipkitės į gydytoją arba vaistininką.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4.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Galimas šalutinis poveikis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Šis vaistas, kaip ir visi kiti, gali sukelti šalutinį poveikį, nors jis pasireiškia ne visiems žmonėms.</w:t>
      </w: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Cs/>
          <w:snapToGrid w:val="0"/>
          <w:szCs w:val="28"/>
          <w:lang w:eastAsia="x-none"/>
        </w:rPr>
      </w:pP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napToGrid w:val="0"/>
          <w:szCs w:val="28"/>
          <w:lang w:eastAsia="x-none"/>
        </w:rPr>
        <w:t>Gali pasireikšti:</w:t>
      </w:r>
    </w:p>
    <w:p w:rsidR="00167450" w:rsidRDefault="00167450" w:rsidP="00167450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Dažni šalutinio poveikio reiškiniai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(gali pasireikšti ne rečiau kaip 1 iš 10 asmenųų):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Skonio pojūčio pokytis.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Ryklės tirpulys.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Pykinimas.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Burnos ir liežuvio tirpulys.</w:t>
      </w:r>
    </w:p>
    <w:p w:rsidR="00167450" w:rsidRDefault="00167450" w:rsidP="00167450">
      <w:pPr>
        <w:tabs>
          <w:tab w:val="left" w:pos="720"/>
          <w:tab w:val="left" w:pos="9360"/>
          <w:tab w:val="left" w:pos="9540"/>
        </w:tabs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Nedažni šalutinio poveikio reiškiniai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(gali pasireikšti rečiau kaip 1 iš 100 asmenų):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Viduriavimas.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Vėmimas.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Nevirškinimas</w:t>
      </w:r>
      <w:proofErr w:type="spellEnd"/>
      <w:r>
        <w:rPr>
          <w:rFonts w:ascii="Times New Roman" w:eastAsia="Times New Roman" w:hAnsi="Times New Roman" w:cs="Times New Roman"/>
          <w:snapToGrid w:val="0"/>
        </w:rPr>
        <w:t>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Burnos džiūvimas.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Pilvo skausmas.</w:t>
      </w:r>
    </w:p>
    <w:p w:rsidR="00167450" w:rsidRDefault="00167450" w:rsidP="00167450">
      <w:pPr>
        <w:tabs>
          <w:tab w:val="left" w:pos="720"/>
          <w:tab w:val="left" w:pos="9360"/>
          <w:tab w:val="left" w:pos="9540"/>
        </w:tabs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Reti šalutinio poveikio reiškiniai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(gali pasireikšti rečiau kaip 1 iš 10 00 asmenų):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Išbėrimas.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Dilgėlinė.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Sekreto tekėjimas iš nosies.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Seilėtekis.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Rėmuo.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Šlapinimosi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sutrikimai.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Padidėjusio jautrumo reakcijos.</w:t>
      </w:r>
    </w:p>
    <w:p w:rsidR="00167450" w:rsidRDefault="00167450" w:rsidP="00167450">
      <w:pPr>
        <w:tabs>
          <w:tab w:val="left" w:pos="720"/>
          <w:tab w:val="left" w:pos="9360"/>
          <w:tab w:val="left" w:pos="9540"/>
        </w:tabs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Dažnis nežinomas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(negali būti apskaičiuotas pagal turimus duomenis):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851"/>
          <w:tab w:val="num" w:pos="900"/>
          <w:tab w:val="left" w:pos="9360"/>
          <w:tab w:val="left" w:pos="9540"/>
        </w:tabs>
        <w:spacing w:after="0" w:line="240" w:lineRule="auto"/>
        <w:ind w:right="278" w:hanging="153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 xml:space="preserve">anafilaksinės reakcijos, įskaitant anafilaksinį šoką, </w:t>
      </w:r>
      <w:proofErr w:type="spellStart"/>
      <w:r>
        <w:rPr>
          <w:rFonts w:ascii="Times New Roman" w:eastAsia="Calibri" w:hAnsi="Times New Roman" w:cs="Times New Roman"/>
        </w:rPr>
        <w:t>angioneurozinę</w:t>
      </w:r>
      <w:proofErr w:type="spellEnd"/>
      <w:r>
        <w:rPr>
          <w:rFonts w:ascii="Times New Roman" w:eastAsia="Calibri" w:hAnsi="Times New Roman" w:cs="Times New Roman"/>
        </w:rPr>
        <w:t xml:space="preserve"> edemą (greitai besivystantį odos, gleivinės, po oda ar gleivine esančių audinių tinimą) ir niežėjimą.</w:t>
      </w:r>
    </w:p>
    <w:p w:rsidR="00167450" w:rsidRDefault="00167450" w:rsidP="00167450">
      <w:pPr>
        <w:numPr>
          <w:ilvl w:val="0"/>
          <w:numId w:val="3"/>
        </w:numPr>
        <w:tabs>
          <w:tab w:val="left" w:pos="567"/>
          <w:tab w:val="left" w:pos="851"/>
          <w:tab w:val="num" w:pos="900"/>
          <w:tab w:val="left" w:pos="9360"/>
          <w:tab w:val="left" w:pos="9540"/>
        </w:tabs>
        <w:spacing w:after="0" w:line="240" w:lineRule="auto"/>
        <w:ind w:right="278" w:hanging="153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 xml:space="preserve">sunkios nepageidaujamos poodinės reakcijos (įskaitant daugiaformę </w:t>
      </w:r>
      <w:proofErr w:type="spellStart"/>
      <w:r>
        <w:rPr>
          <w:rFonts w:ascii="Times New Roman" w:eastAsia="Calibri" w:hAnsi="Times New Roman" w:cs="Times New Roman"/>
        </w:rPr>
        <w:t>eritemą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Stivenso</w:t>
      </w:r>
      <w:proofErr w:type="spellEnd"/>
      <w:r>
        <w:rPr>
          <w:rFonts w:ascii="Times New Roman" w:eastAsia="Calibri" w:hAnsi="Times New Roman" w:cs="Times New Roman"/>
        </w:rPr>
        <w:t xml:space="preserve">-Džonsono sindromą / toksinę epidermio </w:t>
      </w:r>
      <w:proofErr w:type="spellStart"/>
      <w:r>
        <w:rPr>
          <w:rFonts w:ascii="Times New Roman" w:eastAsia="Calibri" w:hAnsi="Times New Roman" w:cs="Times New Roman"/>
        </w:rPr>
        <w:t>nekrolizę</w:t>
      </w:r>
      <w:proofErr w:type="spellEnd"/>
      <w:r>
        <w:rPr>
          <w:rFonts w:ascii="Times New Roman" w:eastAsia="Calibri" w:hAnsi="Times New Roman" w:cs="Times New Roman"/>
        </w:rPr>
        <w:t xml:space="preserve"> ir ūminę </w:t>
      </w:r>
      <w:proofErr w:type="spellStart"/>
      <w:r>
        <w:rPr>
          <w:rFonts w:ascii="Times New Roman" w:eastAsia="Calibri" w:hAnsi="Times New Roman" w:cs="Times New Roman"/>
        </w:rPr>
        <w:t>generalizuotą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egzanteminę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pustuliozę</w:t>
      </w:r>
      <w:proofErr w:type="spellEnd"/>
      <w:r>
        <w:rPr>
          <w:rFonts w:ascii="Times New Roman" w:eastAsia="Calibri" w:hAnsi="Times New Roman" w:cs="Times New Roman"/>
        </w:rPr>
        <w:t>)</w:t>
      </w: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poveikis, įskaitant šiame lapelyje nenurodytą, pasakykite gydytojui arba vaistininkui</w:t>
      </w:r>
      <w:r>
        <w:rPr>
          <w:rFonts w:ascii="Times New Roman" w:eastAsia="Times New Roman" w:hAnsi="Times New Roman" w:cs="Times New Roman"/>
          <w:snapToGrid w:val="0"/>
        </w:rPr>
        <w:t>.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https://vapris.vvkt.lt/vvkt-web/public/nrv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https://www.vvkt.lt/index.php?4004286486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NepageidaujamaR@vvkt.lt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5.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Ambrotusin</w:t>
      </w:r>
      <w:proofErr w:type="spellEnd"/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>Šį vaistą laikykite vaikams nepastebimoje ir nepasiekiamoje vietoje.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Ant etiketės ir dėžutės po „Tinka iki“ nurodytam tinkamumo laikui pasibaigus, šio vaisto vartoti negalima.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Vaistas tinkamas vartoti iki paskutinės nurodyto mėnesio dienos. </w:t>
      </w:r>
    </w:p>
    <w:p w:rsidR="00167450" w:rsidRDefault="00167450" w:rsidP="00167450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Po buteliuko pirmo atidarymo vaisto tinkamumo laikas 28 dienos.</w:t>
      </w:r>
    </w:p>
    <w:p w:rsidR="00167450" w:rsidRDefault="00167450" w:rsidP="00167450">
      <w:pPr>
        <w:spacing w:after="0" w:line="240" w:lineRule="auto"/>
        <w:ind w:right="10"/>
        <w:rPr>
          <w:rFonts w:ascii="Times New Roman" w:eastAsia="Times New Roman" w:hAnsi="Times New Roman" w:cs="Times New Roman"/>
          <w:lang w:eastAsia="lt-LT"/>
        </w:rPr>
      </w:pPr>
    </w:p>
    <w:p w:rsidR="00167450" w:rsidRDefault="00167450" w:rsidP="00167450">
      <w:pPr>
        <w:spacing w:after="0" w:line="240" w:lineRule="auto"/>
        <w:ind w:right="1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lang w:eastAsia="lt-LT"/>
        </w:rPr>
        <w:t>Šio vaisto laikymui specialių temperatūros sąlygų nereikalaujama</w:t>
      </w:r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167450" w:rsidRDefault="00167450" w:rsidP="00167450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Buteliuką laikyti išorinėje dėžutėje, kad vaistas būtų apsaugotas nuo šviesos.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Vaistų negalima išmesti į kanalizaciją arba su buitinėmis atliekomis.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Kaip išmesti nereikalingus vaistus, klauskite vaistininko.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Šios priemonės padės apsaugoti aplinką.</w:t>
      </w: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:rsidR="00167450" w:rsidRDefault="00167450" w:rsidP="00167450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6.</w:t>
      </w:r>
      <w:r>
        <w:rPr>
          <w:rFonts w:ascii="Times New Roman" w:eastAsia="Times New Roman" w:hAnsi="Times New Roman" w:cs="Times New Roman"/>
          <w:bCs/>
          <w:snapToGrid w:val="0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Pakuotės turinys ir kita informacija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sudėtis </w:t>
      </w: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</w:p>
    <w:p w:rsidR="00167450" w:rsidRDefault="00167450" w:rsidP="00167450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</w:rPr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hidrochloridas. 1 ml sirupo yra 3 mg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hidrochlorido.</w:t>
      </w:r>
    </w:p>
    <w:p w:rsidR="00167450" w:rsidRDefault="00167450" w:rsidP="00167450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Pagalbinės medžiagos yra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sorbitolis (E420), glicerolis, propilenglikolis, hidroksietilceliuliozė, natrio benzoatas (E211), s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acharino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natrio druska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, c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itrinų rūgštis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monohidratas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levomentolis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>, išgrynintas vanduo, abrikosų skonio kvapioji medžiaga ir apelsinų skonio kvapioji medžiaga.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:rsidR="00167450" w:rsidRDefault="00167450" w:rsidP="0016745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</w:p>
    <w:p w:rsidR="00167450" w:rsidRDefault="00167450" w:rsidP="00167450">
      <w:pPr>
        <w:widowControl w:val="0"/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sirupas yra </w:t>
      </w:r>
      <w:r>
        <w:rPr>
          <w:rFonts w:ascii="Times New Roman" w:eastAsia="Times New Roman" w:hAnsi="Times New Roman" w:cs="Times New Roman"/>
          <w:snapToGrid w:val="0"/>
        </w:rPr>
        <w:t xml:space="preserve">skaidrus, bespalvis ar šviesiai gelsvas, klampus skystis. 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Kartono dėžutėje yra rudos spalvos stiklinis arba plastikinis buteliukas su baltu užsukamu polietileno dangteliu su pirmojo atidarymo kontrole ir bespalvis polipropileno matavimo šaukštas, paženklintas 2,5 ml ir 5 ml padalomis.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Buteliuke yra 100 ml sirupo.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Registruotojas  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:rsidR="00167450" w:rsidRDefault="00167450" w:rsidP="001674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UAB „</w:t>
      </w:r>
      <w:proofErr w:type="spellStart"/>
      <w:r>
        <w:rPr>
          <w:rFonts w:ascii="Times New Roman" w:hAnsi="Times New Roman" w:cs="Times New Roman"/>
        </w:rPr>
        <w:t>Eletis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Pharma</w:t>
      </w:r>
      <w:proofErr w:type="spellEnd"/>
      <w:r>
        <w:rPr>
          <w:rFonts w:ascii="Times New Roman" w:hAnsi="Times New Roman" w:cs="Times New Roman"/>
        </w:rPr>
        <w:t>“</w:t>
      </w:r>
    </w:p>
    <w:p w:rsidR="00167450" w:rsidRDefault="00167450" w:rsidP="001674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Sukilėlių pr. 61-2, LT-49333</w:t>
      </w:r>
    </w:p>
    <w:p w:rsidR="00167450" w:rsidRDefault="00167450" w:rsidP="001674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Kaunas, Lietuva</w:t>
      </w:r>
    </w:p>
    <w:p w:rsidR="00167450" w:rsidRDefault="00167450" w:rsidP="001674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Tel.: +370 37 370064 </w:t>
      </w:r>
    </w:p>
    <w:p w:rsidR="00167450" w:rsidRDefault="00167450" w:rsidP="001674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Faksas: +370 37 370067</w:t>
      </w:r>
    </w:p>
    <w:p w:rsidR="00167450" w:rsidRDefault="00167450" w:rsidP="001674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El. paštas: </w:t>
      </w:r>
      <w:hyperlink r:id="rId8" w:history="1">
        <w:r w:rsidRPr="00EF4B17">
          <w:rPr>
            <w:rStyle w:val="Hipersaitas"/>
            <w:rFonts w:ascii="Times New Roman" w:hAnsi="Times New Roman" w:cs="Times New Roman"/>
          </w:rPr>
          <w:t>info@eletispharma.lt</w:t>
        </w:r>
      </w:hyperlink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Gamintojas</w:t>
      </w: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UAB „Eletis Medica“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Sukilėlių pr. 61-2, LT-49333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Kaunas, Lietuva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 xml:space="preserve">Tel.: +370 37 370064 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Faksas: +370 37 370067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hAnsi="Times New Roman" w:cs="Times New Roman"/>
          <w:highlight w:val="darkGray"/>
        </w:rPr>
        <w:t xml:space="preserve">El. paštas: </w:t>
      </w:r>
      <w:hyperlink r:id="rId9" w:history="1">
        <w:r w:rsidRPr="009576C7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  <w:highlight w:val="darkGray"/>
          </w:rPr>
          <w:t>info@eletis.lt</w:t>
        </w:r>
      </w:hyperlink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 xml:space="preserve"> 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arba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UAB „Eletis Pharma“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Sukilėlių pr. 61-2, LT-49333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Kaunas, Lietuva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Tel.: +370 37 370064 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Faksas: +370 37 370067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El. paštas: </w:t>
      </w:r>
      <w:hyperlink r:id="rId10" w:history="1">
        <w:r w:rsidRPr="00EF4B17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</w:rPr>
          <w:t>info@eletispharma.lt</w:t>
        </w:r>
      </w:hyperlink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</w:p>
    <w:p w:rsidR="00167450" w:rsidRDefault="00167450" w:rsidP="00167450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  <w:szCs w:val="20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  <w:szCs w:val="20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t>Šis pakuotės lapelis paskutinį kartą peržiūrėtas 2024-03-07.</w:t>
      </w:r>
    </w:p>
    <w:p w:rsidR="00167450" w:rsidRDefault="00167450" w:rsidP="00167450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4"/>
        </w:rPr>
      </w:pPr>
    </w:p>
    <w:p w:rsidR="00167450" w:rsidRDefault="00167450" w:rsidP="00167450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>
        <w:rPr>
          <w:rFonts w:ascii="Times New Roman" w:eastAsia="Times New Roman" w:hAnsi="Times New Roman" w:cs="Times New Roman"/>
          <w:snapToGrid w:val="0"/>
          <w:szCs w:val="24"/>
        </w:rPr>
        <w:t>vaistą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1" w:history="1">
        <w:r>
          <w:rPr>
            <w:rStyle w:val="Hipersaitas"/>
            <w:rFonts w:ascii="Times New Roman" w:eastAsia="SimSun" w:hAnsi="Times New Roman" w:cs="Times New Roman"/>
            <w:snapToGrid w:val="0"/>
            <w:szCs w:val="20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167450" w:rsidRDefault="00167450" w:rsidP="00167450">
      <w:pPr>
        <w:tabs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0"/>
        </w:rPr>
      </w:pPr>
    </w:p>
    <w:p w:rsidR="00167450" w:rsidRDefault="00167450" w:rsidP="00167450"/>
    <w:p w:rsidR="00167450" w:rsidRDefault="00167450" w:rsidP="00167450"/>
    <w:p w:rsidR="00BA6577" w:rsidRDefault="00BA6577">
      <w:bookmarkStart w:id="0" w:name="_GoBack"/>
      <w:bookmarkEnd w:id="0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4AC3D11"/>
    <w:multiLevelType w:val="hybridMultilevel"/>
    <w:tmpl w:val="C63E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A7226"/>
    <w:multiLevelType w:val="hybridMultilevel"/>
    <w:tmpl w:val="155CC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50"/>
    <w:rsid w:val="00072F85"/>
    <w:rsid w:val="00167450"/>
    <w:rsid w:val="00181364"/>
    <w:rsid w:val="00305C48"/>
    <w:rsid w:val="003362C6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8885-7B26-4813-8DDD-83C773EB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7450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16745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6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tispharm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hyperlink" Target="http://www.ema.europa.eu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hyperlink" Target="mailto:info@eletispharm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et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6171</Words>
  <Characters>3518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Ambrotusin</vt:lpstr>
      <vt:lpstr>        4.	Galimas šalutinis poveikis</vt:lpstr>
      <vt:lpstr>        5.	Kaip laikyti Ambrotusin</vt:lpstr>
      <vt:lpstr>        6.	Pakuotės turinys ir kita informacija</vt:lpstr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2024-04-26T11:32:00Z</dcterms:created>
  <dcterms:modified xsi:type="dcterms:W3CDTF">2024-04-26T11:33:00Z</dcterms:modified>
</cp:coreProperties>
</file>