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359F3" w14:textId="77777777" w:rsidR="004364B8" w:rsidRDefault="004364B8" w:rsidP="004364B8">
      <w:pPr>
        <w:pStyle w:val="Pagrindinistekstas"/>
        <w:spacing w:after="0"/>
        <w:rPr>
          <w:szCs w:val="22"/>
        </w:rPr>
      </w:pPr>
    </w:p>
    <w:p w14:paraId="568E7CA4" w14:textId="77777777" w:rsidR="004364B8" w:rsidRDefault="004364B8" w:rsidP="004364B8">
      <w:pPr>
        <w:pStyle w:val="Pagrindinistekstas"/>
        <w:spacing w:after="0"/>
        <w:rPr>
          <w:szCs w:val="22"/>
        </w:rPr>
      </w:pPr>
    </w:p>
    <w:p w14:paraId="335096B7" w14:textId="77777777" w:rsidR="004364B8" w:rsidRDefault="004364B8" w:rsidP="004364B8">
      <w:pPr>
        <w:pStyle w:val="Pagrindinistekstas"/>
        <w:spacing w:after="0"/>
        <w:rPr>
          <w:szCs w:val="22"/>
        </w:rPr>
      </w:pPr>
    </w:p>
    <w:p w14:paraId="35B2BCFA" w14:textId="77777777" w:rsidR="004364B8" w:rsidRDefault="004364B8" w:rsidP="004364B8">
      <w:pPr>
        <w:pStyle w:val="Pagrindinistekstas"/>
        <w:spacing w:after="0"/>
        <w:rPr>
          <w:szCs w:val="22"/>
        </w:rPr>
      </w:pPr>
    </w:p>
    <w:p w14:paraId="25089C23" w14:textId="77777777" w:rsidR="004364B8" w:rsidRDefault="004364B8" w:rsidP="004364B8">
      <w:pPr>
        <w:pStyle w:val="Pagrindinistekstas"/>
        <w:spacing w:after="0"/>
        <w:rPr>
          <w:szCs w:val="22"/>
        </w:rPr>
      </w:pPr>
    </w:p>
    <w:p w14:paraId="565AB1F8" w14:textId="77777777" w:rsidR="004364B8" w:rsidRDefault="004364B8" w:rsidP="004364B8">
      <w:pPr>
        <w:pStyle w:val="Pagrindinistekstas"/>
        <w:spacing w:after="0"/>
        <w:rPr>
          <w:szCs w:val="22"/>
        </w:rPr>
      </w:pPr>
    </w:p>
    <w:p w14:paraId="706A6D54" w14:textId="77777777" w:rsidR="004364B8" w:rsidRDefault="004364B8" w:rsidP="004364B8">
      <w:pPr>
        <w:pStyle w:val="Pagrindinistekstas"/>
        <w:spacing w:after="0"/>
        <w:rPr>
          <w:szCs w:val="22"/>
        </w:rPr>
      </w:pPr>
    </w:p>
    <w:p w14:paraId="3DF1217B" w14:textId="77777777" w:rsidR="004364B8" w:rsidRDefault="004364B8" w:rsidP="004364B8">
      <w:pPr>
        <w:pStyle w:val="Pagrindinistekstas"/>
        <w:spacing w:after="0"/>
        <w:rPr>
          <w:szCs w:val="22"/>
        </w:rPr>
      </w:pPr>
    </w:p>
    <w:p w14:paraId="669E5029" w14:textId="77777777" w:rsidR="004364B8" w:rsidRDefault="004364B8" w:rsidP="004364B8">
      <w:pPr>
        <w:pStyle w:val="Pagrindinistekstas"/>
        <w:spacing w:after="0"/>
        <w:rPr>
          <w:szCs w:val="22"/>
        </w:rPr>
      </w:pPr>
    </w:p>
    <w:p w14:paraId="627624FC" w14:textId="77777777" w:rsidR="004364B8" w:rsidRDefault="004364B8" w:rsidP="004364B8">
      <w:pPr>
        <w:pStyle w:val="Pagrindinistekstas"/>
        <w:spacing w:after="0"/>
        <w:rPr>
          <w:szCs w:val="22"/>
        </w:rPr>
      </w:pPr>
    </w:p>
    <w:p w14:paraId="6975CD8F" w14:textId="77777777" w:rsidR="004364B8" w:rsidRDefault="004364B8" w:rsidP="004364B8">
      <w:pPr>
        <w:pStyle w:val="Pagrindinistekstas"/>
        <w:spacing w:after="0"/>
        <w:rPr>
          <w:szCs w:val="22"/>
        </w:rPr>
      </w:pPr>
    </w:p>
    <w:p w14:paraId="675BC402" w14:textId="77777777" w:rsidR="004364B8" w:rsidRDefault="004364B8" w:rsidP="004364B8">
      <w:pPr>
        <w:pStyle w:val="Pagrindinistekstas"/>
        <w:spacing w:after="0"/>
        <w:rPr>
          <w:szCs w:val="22"/>
        </w:rPr>
      </w:pPr>
    </w:p>
    <w:p w14:paraId="467B717E" w14:textId="77777777" w:rsidR="004364B8" w:rsidRDefault="004364B8" w:rsidP="004364B8">
      <w:pPr>
        <w:pStyle w:val="Pagrindinistekstas"/>
        <w:spacing w:after="0"/>
        <w:rPr>
          <w:szCs w:val="22"/>
        </w:rPr>
      </w:pPr>
    </w:p>
    <w:p w14:paraId="08BDD6C7" w14:textId="77777777" w:rsidR="004364B8" w:rsidRDefault="004364B8" w:rsidP="004364B8">
      <w:pPr>
        <w:pStyle w:val="Pagrindinistekstas"/>
        <w:spacing w:after="0"/>
        <w:rPr>
          <w:szCs w:val="22"/>
        </w:rPr>
      </w:pPr>
    </w:p>
    <w:p w14:paraId="75E54843" w14:textId="77777777" w:rsidR="004364B8" w:rsidRDefault="004364B8" w:rsidP="004364B8">
      <w:pPr>
        <w:pStyle w:val="Pagrindinistekstas"/>
        <w:spacing w:after="0"/>
        <w:rPr>
          <w:szCs w:val="22"/>
        </w:rPr>
      </w:pPr>
    </w:p>
    <w:p w14:paraId="7812267A" w14:textId="77777777" w:rsidR="004364B8" w:rsidRDefault="004364B8" w:rsidP="004364B8">
      <w:pPr>
        <w:pStyle w:val="Pagrindinistekstas"/>
        <w:spacing w:after="0"/>
        <w:rPr>
          <w:szCs w:val="22"/>
        </w:rPr>
      </w:pPr>
    </w:p>
    <w:p w14:paraId="6B5B0523" w14:textId="77777777" w:rsidR="004364B8" w:rsidRDefault="004364B8" w:rsidP="004364B8">
      <w:pPr>
        <w:pStyle w:val="Pagrindinistekstas"/>
        <w:spacing w:after="0"/>
        <w:rPr>
          <w:szCs w:val="22"/>
        </w:rPr>
      </w:pPr>
    </w:p>
    <w:p w14:paraId="1DE1026F" w14:textId="77777777" w:rsidR="004364B8" w:rsidRDefault="004364B8" w:rsidP="004364B8">
      <w:pPr>
        <w:pStyle w:val="Pagrindinistekstas"/>
        <w:spacing w:after="0"/>
        <w:rPr>
          <w:szCs w:val="22"/>
        </w:rPr>
      </w:pPr>
    </w:p>
    <w:p w14:paraId="5C271365" w14:textId="77777777" w:rsidR="004364B8" w:rsidRDefault="004364B8" w:rsidP="004364B8">
      <w:pPr>
        <w:pStyle w:val="Pagrindinistekstas"/>
        <w:spacing w:after="0"/>
        <w:rPr>
          <w:szCs w:val="22"/>
        </w:rPr>
      </w:pPr>
    </w:p>
    <w:p w14:paraId="621FF6EF" w14:textId="77777777" w:rsidR="004364B8" w:rsidRDefault="004364B8" w:rsidP="004364B8">
      <w:pPr>
        <w:pStyle w:val="Pagrindinistekstas"/>
        <w:spacing w:after="0"/>
        <w:rPr>
          <w:szCs w:val="22"/>
        </w:rPr>
      </w:pPr>
    </w:p>
    <w:p w14:paraId="7F512894" w14:textId="77777777" w:rsidR="004364B8" w:rsidRDefault="004364B8" w:rsidP="004364B8">
      <w:pPr>
        <w:pStyle w:val="Pagrindinistekstas"/>
        <w:spacing w:after="0"/>
        <w:rPr>
          <w:szCs w:val="22"/>
        </w:rPr>
      </w:pPr>
    </w:p>
    <w:p w14:paraId="678EBC56" w14:textId="77777777" w:rsidR="004364B8" w:rsidRDefault="004364B8" w:rsidP="004364B8">
      <w:pPr>
        <w:pStyle w:val="Pagrindinistekstas"/>
        <w:spacing w:after="0"/>
        <w:rPr>
          <w:szCs w:val="22"/>
        </w:rPr>
      </w:pPr>
    </w:p>
    <w:p w14:paraId="69DC11C5" w14:textId="77777777" w:rsidR="004364B8" w:rsidRDefault="004364B8" w:rsidP="004364B8">
      <w:pPr>
        <w:pStyle w:val="Pagrindinistekstas"/>
        <w:spacing w:after="0"/>
        <w:rPr>
          <w:szCs w:val="22"/>
        </w:rPr>
      </w:pPr>
    </w:p>
    <w:p w14:paraId="3AA2AD4D" w14:textId="77777777" w:rsidR="004364B8" w:rsidRDefault="004364B8" w:rsidP="004364B8">
      <w:pPr>
        <w:pStyle w:val="Pavadinimas"/>
        <w:rPr>
          <w:szCs w:val="22"/>
        </w:rPr>
      </w:pPr>
      <w:r>
        <w:rPr>
          <w:szCs w:val="22"/>
        </w:rPr>
        <w:t>I PRIEDAS</w:t>
      </w:r>
    </w:p>
    <w:p w14:paraId="0DDF2AAF" w14:textId="77777777" w:rsidR="004364B8" w:rsidRDefault="004364B8" w:rsidP="004364B8">
      <w:pPr>
        <w:pStyle w:val="Pagrindinistekstas"/>
        <w:spacing w:after="0"/>
        <w:rPr>
          <w:szCs w:val="22"/>
        </w:rPr>
      </w:pPr>
    </w:p>
    <w:p w14:paraId="45752888" w14:textId="77777777" w:rsidR="004364B8" w:rsidRDefault="004364B8" w:rsidP="004364B8">
      <w:pPr>
        <w:pStyle w:val="Pavadinimas"/>
        <w:rPr>
          <w:szCs w:val="22"/>
        </w:rPr>
      </w:pPr>
      <w:r>
        <w:rPr>
          <w:szCs w:val="22"/>
        </w:rPr>
        <w:t>PREPARATO CHARAKTERISTIKŲ SANTRAUKA</w:t>
      </w:r>
    </w:p>
    <w:p w14:paraId="3AA0C2A6" w14:textId="77777777" w:rsidR="004364B8" w:rsidRDefault="004364B8" w:rsidP="004364B8">
      <w:pPr>
        <w:pStyle w:val="Pagrindinistekstas"/>
        <w:spacing w:after="0"/>
        <w:rPr>
          <w:szCs w:val="22"/>
        </w:rPr>
      </w:pPr>
    </w:p>
    <w:p w14:paraId="44581A98" w14:textId="77777777" w:rsidR="004364B8" w:rsidRDefault="004364B8" w:rsidP="004364B8">
      <w:pPr>
        <w:ind w:left="540" w:hanging="540"/>
        <w:rPr>
          <w:szCs w:val="22"/>
          <w:lang w:eastAsia="en-US"/>
        </w:rPr>
      </w:pPr>
      <w:r>
        <w:br w:type="page"/>
      </w:r>
      <w:r>
        <w:rPr>
          <w:b/>
          <w:szCs w:val="22"/>
          <w:lang w:eastAsia="en-US"/>
        </w:rPr>
        <w:lastRenderedPageBreak/>
        <w:t>1</w:t>
      </w:r>
      <w:r>
        <w:rPr>
          <w:szCs w:val="22"/>
          <w:lang w:eastAsia="en-US"/>
        </w:rPr>
        <w:t>.</w:t>
      </w:r>
      <w:r>
        <w:rPr>
          <w:szCs w:val="22"/>
          <w:lang w:eastAsia="en-US"/>
        </w:rPr>
        <w:tab/>
      </w:r>
      <w:r>
        <w:rPr>
          <w:b/>
          <w:szCs w:val="22"/>
          <w:lang w:eastAsia="en-US"/>
        </w:rPr>
        <w:t>VAISTINIO PREPARATO PAVADINIMAS</w:t>
      </w:r>
    </w:p>
    <w:p w14:paraId="03010D38" w14:textId="77777777" w:rsidR="004364B8" w:rsidRDefault="004364B8" w:rsidP="004364B8">
      <w:pPr>
        <w:rPr>
          <w:szCs w:val="22"/>
          <w:lang w:eastAsia="en-US"/>
        </w:rPr>
      </w:pPr>
    </w:p>
    <w:p w14:paraId="5A64C235" w14:textId="77777777" w:rsidR="004364B8" w:rsidRDefault="004364B8" w:rsidP="004364B8">
      <w:pPr>
        <w:rPr>
          <w:rFonts w:eastAsia="Calibri"/>
          <w:szCs w:val="22"/>
        </w:rPr>
      </w:pPr>
      <w:r>
        <w:rPr>
          <w:rFonts w:eastAsia="Calibri"/>
          <w:szCs w:val="22"/>
        </w:rPr>
        <w:t>Fulvestrant Sandoz 250 mg injekcinis tirpalas užpildytame švirkšte</w:t>
      </w:r>
    </w:p>
    <w:p w14:paraId="667B532E" w14:textId="77777777" w:rsidR="004364B8" w:rsidRDefault="004364B8" w:rsidP="004364B8">
      <w:pPr>
        <w:rPr>
          <w:szCs w:val="22"/>
          <w:lang w:eastAsia="en-US"/>
        </w:rPr>
      </w:pPr>
    </w:p>
    <w:p w14:paraId="2432FA15" w14:textId="77777777" w:rsidR="004364B8" w:rsidRDefault="004364B8" w:rsidP="004364B8">
      <w:pPr>
        <w:rPr>
          <w:szCs w:val="22"/>
          <w:lang w:eastAsia="en-US"/>
        </w:rPr>
      </w:pPr>
    </w:p>
    <w:p w14:paraId="52B0C075" w14:textId="77777777" w:rsidR="004364B8" w:rsidRDefault="004364B8" w:rsidP="004364B8">
      <w:pPr>
        <w:ind w:left="540" w:hanging="540"/>
        <w:rPr>
          <w:szCs w:val="22"/>
          <w:lang w:eastAsia="en-US"/>
        </w:rPr>
      </w:pPr>
      <w:r>
        <w:rPr>
          <w:b/>
          <w:szCs w:val="22"/>
          <w:lang w:eastAsia="en-US"/>
        </w:rPr>
        <w:t>2</w:t>
      </w:r>
      <w:r>
        <w:rPr>
          <w:szCs w:val="22"/>
          <w:lang w:eastAsia="en-US"/>
        </w:rPr>
        <w:t>.</w:t>
      </w:r>
      <w:r>
        <w:rPr>
          <w:szCs w:val="22"/>
          <w:lang w:eastAsia="en-US"/>
        </w:rPr>
        <w:tab/>
      </w:r>
      <w:r>
        <w:rPr>
          <w:b/>
          <w:szCs w:val="22"/>
          <w:lang w:eastAsia="en-US"/>
        </w:rPr>
        <w:t>KOKYBINĖ IR KIEKYBINĖ SUDĖTIS</w:t>
      </w:r>
    </w:p>
    <w:p w14:paraId="61D4379F" w14:textId="77777777" w:rsidR="004364B8" w:rsidRDefault="004364B8" w:rsidP="004364B8">
      <w:pPr>
        <w:rPr>
          <w:rFonts w:eastAsia="Calibri"/>
          <w:szCs w:val="22"/>
        </w:rPr>
      </w:pPr>
    </w:p>
    <w:p w14:paraId="2566B6EA" w14:textId="576F5A6F" w:rsidR="004364B8" w:rsidRDefault="004364B8" w:rsidP="004364B8">
      <w:pPr>
        <w:rPr>
          <w:rFonts w:eastAsia="Calibri"/>
          <w:szCs w:val="22"/>
        </w:rPr>
      </w:pPr>
      <w:r>
        <w:rPr>
          <w:rFonts w:eastAsia="Calibri"/>
          <w:szCs w:val="22"/>
        </w:rPr>
        <w:t>Viename užpildytame švirkšte yra 250 mg fulvestranto 5 ml tirpalo.</w:t>
      </w:r>
    </w:p>
    <w:p w14:paraId="7083F4EA" w14:textId="77777777" w:rsidR="004364B8" w:rsidRDefault="004364B8" w:rsidP="004364B8">
      <w:pPr>
        <w:rPr>
          <w:rFonts w:eastAsia="Calibri"/>
          <w:szCs w:val="22"/>
        </w:rPr>
      </w:pPr>
    </w:p>
    <w:p w14:paraId="1157A0E8" w14:textId="77777777" w:rsidR="004364B8" w:rsidRDefault="004364B8" w:rsidP="004364B8">
      <w:pPr>
        <w:jc w:val="both"/>
        <w:rPr>
          <w:rFonts w:eastAsia="Calibri"/>
          <w:szCs w:val="22"/>
          <w:lang w:eastAsia="en-US"/>
        </w:rPr>
      </w:pPr>
      <w:r>
        <w:rPr>
          <w:rFonts w:eastAsia="Calibri"/>
          <w:szCs w:val="22"/>
          <w:u w:val="single"/>
          <w:lang w:eastAsia="en-US"/>
        </w:rPr>
        <w:t>Pagalbinės medžiagos, kurių poveikis žinomas</w:t>
      </w:r>
      <w:r>
        <w:rPr>
          <w:rFonts w:eastAsia="Calibri"/>
          <w:szCs w:val="22"/>
          <w:lang w:eastAsia="en-US"/>
        </w:rPr>
        <w:t xml:space="preserve">: </w:t>
      </w:r>
    </w:p>
    <w:p w14:paraId="69C4AD56" w14:textId="65ED34D4" w:rsidR="004364B8" w:rsidRDefault="004364B8" w:rsidP="004364B8">
      <w:pPr>
        <w:jc w:val="both"/>
        <w:rPr>
          <w:rFonts w:eastAsia="Calibri"/>
          <w:szCs w:val="22"/>
          <w:lang w:eastAsia="en-US"/>
        </w:rPr>
      </w:pPr>
    </w:p>
    <w:p w14:paraId="393A99E7" w14:textId="5810A76B" w:rsidR="004364B8" w:rsidRDefault="00EE0F68" w:rsidP="00B77163">
      <w:pPr>
        <w:numPr>
          <w:ilvl w:val="0"/>
          <w:numId w:val="2"/>
        </w:numPr>
        <w:jc w:val="both"/>
        <w:rPr>
          <w:rFonts w:eastAsia="Calibri"/>
          <w:szCs w:val="22"/>
          <w:lang w:eastAsia="en-US"/>
        </w:rPr>
      </w:pPr>
      <w:r>
        <w:rPr>
          <w:rFonts w:eastAsia="Calibri"/>
          <w:szCs w:val="22"/>
          <w:lang w:eastAsia="en-US"/>
        </w:rPr>
        <w:t>E</w:t>
      </w:r>
      <w:r w:rsidR="004364B8">
        <w:rPr>
          <w:rFonts w:eastAsia="Calibri"/>
          <w:szCs w:val="22"/>
          <w:lang w:eastAsia="en-US"/>
        </w:rPr>
        <w:t>tanolis</w:t>
      </w:r>
      <w:r>
        <w:rPr>
          <w:rFonts w:eastAsia="Calibri"/>
          <w:szCs w:val="22"/>
          <w:lang w:eastAsia="en-US"/>
        </w:rPr>
        <w:t xml:space="preserve"> 96 </w:t>
      </w:r>
      <w:r>
        <w:rPr>
          <w:rFonts w:eastAsia="Calibri"/>
          <w:szCs w:val="22"/>
          <w:lang w:val="en-US" w:eastAsia="en-US"/>
        </w:rPr>
        <w:t>%</w:t>
      </w:r>
      <w:r w:rsidR="004364B8">
        <w:rPr>
          <w:rFonts w:eastAsia="Calibri"/>
          <w:szCs w:val="22"/>
          <w:lang w:eastAsia="en-US"/>
        </w:rPr>
        <w:t xml:space="preserve"> (100 mg/ml);</w:t>
      </w:r>
    </w:p>
    <w:p w14:paraId="182F0EB5" w14:textId="11F39E1F" w:rsidR="004364B8" w:rsidRDefault="00EE0F68" w:rsidP="00B77163">
      <w:pPr>
        <w:numPr>
          <w:ilvl w:val="0"/>
          <w:numId w:val="2"/>
        </w:numPr>
        <w:ind w:left="714" w:hanging="357"/>
        <w:jc w:val="both"/>
        <w:rPr>
          <w:rFonts w:eastAsia="Calibri"/>
          <w:szCs w:val="22"/>
          <w:lang w:eastAsia="en-US"/>
        </w:rPr>
      </w:pPr>
      <w:r>
        <w:rPr>
          <w:rFonts w:eastAsia="Calibri"/>
          <w:szCs w:val="22"/>
          <w:lang w:eastAsia="en-US"/>
        </w:rPr>
        <w:t>B</w:t>
      </w:r>
      <w:r w:rsidR="004364B8">
        <w:rPr>
          <w:rFonts w:eastAsia="Calibri"/>
          <w:szCs w:val="22"/>
          <w:lang w:eastAsia="en-US"/>
        </w:rPr>
        <w:t>enzilo alkoholis (100 mg/ml);</w:t>
      </w:r>
    </w:p>
    <w:p w14:paraId="6053FCC9" w14:textId="27284828" w:rsidR="004364B8" w:rsidRDefault="00EE0F68" w:rsidP="0077444B">
      <w:pPr>
        <w:numPr>
          <w:ilvl w:val="0"/>
          <w:numId w:val="2"/>
        </w:numPr>
        <w:ind w:left="714" w:hanging="357"/>
        <w:jc w:val="both"/>
        <w:rPr>
          <w:rFonts w:eastAsia="Calibri"/>
          <w:szCs w:val="22"/>
          <w:lang w:eastAsia="en-US"/>
        </w:rPr>
      </w:pPr>
      <w:r>
        <w:rPr>
          <w:rFonts w:eastAsia="Calibri"/>
          <w:szCs w:val="22"/>
          <w:lang w:eastAsia="en-US"/>
        </w:rPr>
        <w:t>B</w:t>
      </w:r>
      <w:r w:rsidR="004364B8">
        <w:rPr>
          <w:rFonts w:eastAsia="Calibri"/>
          <w:szCs w:val="22"/>
          <w:lang w:eastAsia="en-US"/>
        </w:rPr>
        <w:t>enzilbenzoatas (150 mg/ml).</w:t>
      </w:r>
    </w:p>
    <w:p w14:paraId="11158C5B" w14:textId="77777777" w:rsidR="004364B8" w:rsidRDefault="004364B8" w:rsidP="004364B8">
      <w:pPr>
        <w:jc w:val="both"/>
        <w:rPr>
          <w:rFonts w:eastAsia="Calibri"/>
          <w:szCs w:val="22"/>
          <w:lang w:eastAsia="en-US"/>
        </w:rPr>
      </w:pPr>
    </w:p>
    <w:p w14:paraId="02B630AA" w14:textId="77777777" w:rsidR="004364B8" w:rsidRDefault="004364B8" w:rsidP="004364B8">
      <w:pPr>
        <w:jc w:val="both"/>
        <w:rPr>
          <w:rFonts w:eastAsia="Calibri"/>
          <w:szCs w:val="22"/>
          <w:lang w:eastAsia="en-US"/>
        </w:rPr>
      </w:pPr>
      <w:r>
        <w:rPr>
          <w:rFonts w:eastAsia="Calibri"/>
          <w:szCs w:val="22"/>
          <w:lang w:eastAsia="en-US"/>
        </w:rPr>
        <w:t>Visos pagalbinės medžiagos išvardytos 6.1 skyriuje.</w:t>
      </w:r>
    </w:p>
    <w:p w14:paraId="2275A6AD" w14:textId="77777777" w:rsidR="004364B8" w:rsidRDefault="004364B8" w:rsidP="004364B8">
      <w:pPr>
        <w:rPr>
          <w:szCs w:val="22"/>
          <w:lang w:eastAsia="en-US"/>
        </w:rPr>
      </w:pPr>
    </w:p>
    <w:p w14:paraId="1688082E" w14:textId="77777777" w:rsidR="004364B8" w:rsidRDefault="004364B8" w:rsidP="004364B8">
      <w:pPr>
        <w:rPr>
          <w:szCs w:val="22"/>
          <w:lang w:eastAsia="en-US"/>
        </w:rPr>
      </w:pPr>
    </w:p>
    <w:p w14:paraId="7BAE8235" w14:textId="77777777" w:rsidR="004364B8" w:rsidRDefault="004364B8" w:rsidP="004364B8">
      <w:pPr>
        <w:ind w:left="540" w:hanging="540"/>
        <w:rPr>
          <w:b/>
          <w:szCs w:val="22"/>
          <w:lang w:eastAsia="en-US"/>
        </w:rPr>
      </w:pPr>
      <w:r>
        <w:rPr>
          <w:b/>
          <w:szCs w:val="22"/>
          <w:lang w:eastAsia="en-US"/>
        </w:rPr>
        <w:t>3.</w:t>
      </w:r>
      <w:r>
        <w:rPr>
          <w:b/>
          <w:szCs w:val="22"/>
          <w:lang w:eastAsia="en-US"/>
        </w:rPr>
        <w:tab/>
        <w:t>FARMACINĖ FORMA</w:t>
      </w:r>
    </w:p>
    <w:p w14:paraId="70C61F9D" w14:textId="77777777" w:rsidR="004364B8" w:rsidRDefault="004364B8" w:rsidP="004364B8">
      <w:pPr>
        <w:rPr>
          <w:szCs w:val="22"/>
          <w:lang w:eastAsia="en-US"/>
        </w:rPr>
      </w:pPr>
    </w:p>
    <w:p w14:paraId="7BB7CDAE" w14:textId="77777777" w:rsidR="004364B8" w:rsidRDefault="004364B8" w:rsidP="004364B8">
      <w:pPr>
        <w:rPr>
          <w:rFonts w:eastAsia="Calibri"/>
          <w:szCs w:val="22"/>
        </w:rPr>
      </w:pPr>
      <w:r>
        <w:rPr>
          <w:rFonts w:eastAsia="Calibri"/>
          <w:szCs w:val="22"/>
        </w:rPr>
        <w:t>Injekcinis tirpalas užpildytame švirkšte.</w:t>
      </w:r>
    </w:p>
    <w:p w14:paraId="555A91F5" w14:textId="4A05D477" w:rsidR="004364B8" w:rsidRDefault="004364B8" w:rsidP="004364B8">
      <w:pPr>
        <w:rPr>
          <w:szCs w:val="22"/>
          <w:lang w:eastAsia="en-US"/>
        </w:rPr>
      </w:pPr>
      <w:r>
        <w:rPr>
          <w:rFonts w:eastAsia="Calibri"/>
          <w:szCs w:val="22"/>
        </w:rPr>
        <w:t>Skaidrus, nuo bespalvio iki geltonos spalvos, klampus tirpalas.</w:t>
      </w:r>
    </w:p>
    <w:p w14:paraId="0E9E46B0" w14:textId="77777777" w:rsidR="004364B8" w:rsidRDefault="004364B8" w:rsidP="004364B8">
      <w:pPr>
        <w:rPr>
          <w:szCs w:val="22"/>
          <w:lang w:eastAsia="en-US"/>
        </w:rPr>
      </w:pPr>
    </w:p>
    <w:p w14:paraId="690A89E1" w14:textId="77777777" w:rsidR="004364B8" w:rsidRDefault="004364B8" w:rsidP="004364B8">
      <w:pPr>
        <w:rPr>
          <w:szCs w:val="22"/>
          <w:lang w:eastAsia="en-US"/>
        </w:rPr>
      </w:pPr>
    </w:p>
    <w:p w14:paraId="54586291" w14:textId="77777777" w:rsidR="004364B8" w:rsidRDefault="004364B8" w:rsidP="004364B8">
      <w:pPr>
        <w:ind w:left="540" w:hanging="540"/>
        <w:rPr>
          <w:b/>
          <w:szCs w:val="22"/>
          <w:lang w:eastAsia="en-US"/>
        </w:rPr>
      </w:pPr>
      <w:r>
        <w:rPr>
          <w:b/>
          <w:szCs w:val="22"/>
          <w:lang w:eastAsia="en-US"/>
        </w:rPr>
        <w:t>4.</w:t>
      </w:r>
      <w:r>
        <w:rPr>
          <w:b/>
          <w:szCs w:val="22"/>
          <w:lang w:eastAsia="en-US"/>
        </w:rPr>
        <w:tab/>
        <w:t>KLINIKINĖ INFORMACIJA</w:t>
      </w:r>
    </w:p>
    <w:p w14:paraId="5DCA28BE" w14:textId="77777777" w:rsidR="004364B8" w:rsidRDefault="004364B8" w:rsidP="004364B8">
      <w:pPr>
        <w:rPr>
          <w:szCs w:val="22"/>
          <w:lang w:eastAsia="en-US"/>
        </w:rPr>
      </w:pPr>
    </w:p>
    <w:p w14:paraId="2F89F996" w14:textId="77777777" w:rsidR="004364B8" w:rsidRDefault="004364B8" w:rsidP="004364B8">
      <w:pPr>
        <w:ind w:left="540" w:hanging="540"/>
        <w:rPr>
          <w:b/>
          <w:szCs w:val="22"/>
          <w:lang w:eastAsia="en-US"/>
        </w:rPr>
      </w:pPr>
      <w:r>
        <w:rPr>
          <w:b/>
          <w:szCs w:val="22"/>
          <w:lang w:eastAsia="en-US"/>
        </w:rPr>
        <w:t>4.1</w:t>
      </w:r>
      <w:r>
        <w:rPr>
          <w:b/>
          <w:szCs w:val="22"/>
          <w:lang w:eastAsia="en-US"/>
        </w:rPr>
        <w:tab/>
        <w:t>Terapinės indikacijos</w:t>
      </w:r>
    </w:p>
    <w:p w14:paraId="5B38ACEF" w14:textId="77777777" w:rsidR="004364B8" w:rsidRDefault="004364B8" w:rsidP="004364B8">
      <w:pPr>
        <w:rPr>
          <w:szCs w:val="22"/>
          <w:lang w:eastAsia="en-US"/>
        </w:rPr>
      </w:pPr>
    </w:p>
    <w:p w14:paraId="284F2491" w14:textId="5CB4C4D3" w:rsidR="00910FD6" w:rsidRDefault="004364B8" w:rsidP="004364B8">
      <w:pPr>
        <w:rPr>
          <w:rFonts w:eastAsia="Calibri"/>
          <w:szCs w:val="22"/>
        </w:rPr>
      </w:pPr>
      <w:r>
        <w:rPr>
          <w:rFonts w:eastAsia="Calibri"/>
          <w:szCs w:val="22"/>
        </w:rPr>
        <w:t xml:space="preserve">Fulvestrant Sandoz skirtas </w:t>
      </w:r>
    </w:p>
    <w:p w14:paraId="7F3A9D0C" w14:textId="7B50D068" w:rsidR="00910FD6" w:rsidRPr="00901F66" w:rsidRDefault="00910FD6" w:rsidP="00901F66">
      <w:pPr>
        <w:pStyle w:val="Sraopastraipa"/>
        <w:numPr>
          <w:ilvl w:val="0"/>
          <w:numId w:val="37"/>
        </w:numPr>
        <w:autoSpaceDE w:val="0"/>
        <w:autoSpaceDN w:val="0"/>
        <w:adjustRightInd w:val="0"/>
        <w:rPr>
          <w:rFonts w:eastAsia="Batang"/>
          <w:szCs w:val="22"/>
          <w:lang w:eastAsia="en-US"/>
        </w:rPr>
      </w:pPr>
      <w:r w:rsidRPr="00901F66">
        <w:rPr>
          <w:rFonts w:eastAsia="Batang"/>
          <w:szCs w:val="22"/>
          <w:lang w:eastAsia="en-US"/>
        </w:rPr>
        <w:t xml:space="preserve">monoterapijai: </w:t>
      </w:r>
      <w:r w:rsidRPr="00901F66">
        <w:rPr>
          <w:rFonts w:eastAsia="Batang" w:hint="eastAsia"/>
          <w:szCs w:val="22"/>
          <w:lang w:eastAsia="en-US"/>
        </w:rPr>
        <w:t>estrogenų</w:t>
      </w:r>
      <w:r w:rsidRPr="00901F66">
        <w:rPr>
          <w:rFonts w:eastAsia="Batang"/>
          <w:szCs w:val="22"/>
          <w:lang w:eastAsia="en-US"/>
        </w:rPr>
        <w:t xml:space="preserve"> receptoriams teigiamam</w:t>
      </w:r>
      <w:r w:rsidR="003639FE">
        <w:rPr>
          <w:rFonts w:eastAsia="Batang"/>
          <w:szCs w:val="22"/>
          <w:lang w:eastAsia="en-US"/>
        </w:rPr>
        <w:t>,</w:t>
      </w:r>
      <w:r w:rsidRPr="00901F66">
        <w:rPr>
          <w:rFonts w:eastAsia="Batang"/>
          <w:szCs w:val="22"/>
          <w:lang w:eastAsia="en-US"/>
        </w:rPr>
        <w:t xml:space="preserve"> lokaliai progresavusiam arba</w:t>
      </w:r>
      <w:r>
        <w:rPr>
          <w:rFonts w:eastAsia="Batang"/>
          <w:szCs w:val="22"/>
          <w:lang w:eastAsia="en-US"/>
        </w:rPr>
        <w:t xml:space="preserve"> </w:t>
      </w:r>
      <w:r w:rsidRPr="00901F66">
        <w:rPr>
          <w:rFonts w:eastAsia="Batang"/>
          <w:szCs w:val="22"/>
          <w:lang w:eastAsia="en-US"/>
        </w:rPr>
        <w:t xml:space="preserve">metastazavusiam </w:t>
      </w:r>
      <w:r w:rsidRPr="00901F66">
        <w:rPr>
          <w:rFonts w:eastAsia="Batang" w:hint="eastAsia"/>
          <w:szCs w:val="22"/>
          <w:lang w:eastAsia="en-US"/>
        </w:rPr>
        <w:t>moterų</w:t>
      </w:r>
      <w:r w:rsidRPr="00901F66">
        <w:rPr>
          <w:rFonts w:eastAsia="Batang"/>
          <w:szCs w:val="22"/>
          <w:lang w:eastAsia="en-US"/>
        </w:rPr>
        <w:t xml:space="preserve"> po </w:t>
      </w:r>
      <w:r w:rsidRPr="00901F66">
        <w:rPr>
          <w:rFonts w:eastAsia="Batang" w:hint="eastAsia"/>
          <w:szCs w:val="22"/>
          <w:lang w:eastAsia="en-US"/>
        </w:rPr>
        <w:t>menopauzės</w:t>
      </w:r>
      <w:r w:rsidRPr="00901F66">
        <w:rPr>
          <w:rFonts w:eastAsia="Batang"/>
          <w:szCs w:val="22"/>
          <w:lang w:eastAsia="en-US"/>
        </w:rPr>
        <w:t xml:space="preserve"> </w:t>
      </w:r>
      <w:r w:rsidRPr="00901F66">
        <w:rPr>
          <w:rFonts w:eastAsia="Batang" w:hint="eastAsia"/>
          <w:szCs w:val="22"/>
          <w:lang w:eastAsia="en-US"/>
        </w:rPr>
        <w:t>krūties</w:t>
      </w:r>
      <w:r w:rsidRPr="00901F66">
        <w:rPr>
          <w:rFonts w:eastAsia="Batang"/>
          <w:szCs w:val="22"/>
          <w:lang w:eastAsia="en-US"/>
        </w:rPr>
        <w:t xml:space="preserve"> </w:t>
      </w:r>
      <w:r w:rsidRPr="00901F66">
        <w:rPr>
          <w:rFonts w:eastAsia="Batang" w:hint="eastAsia"/>
          <w:szCs w:val="22"/>
          <w:lang w:eastAsia="en-US"/>
        </w:rPr>
        <w:t>vėžiui</w:t>
      </w:r>
      <w:r w:rsidRPr="00901F66">
        <w:rPr>
          <w:rFonts w:eastAsia="Batang"/>
          <w:szCs w:val="22"/>
          <w:lang w:eastAsia="en-US"/>
        </w:rPr>
        <w:t xml:space="preserve"> gydyti, jeigu jis:</w:t>
      </w:r>
    </w:p>
    <w:p w14:paraId="06A7D56A" w14:textId="77777777" w:rsidR="00910FD6" w:rsidRPr="00901F66" w:rsidRDefault="00910FD6" w:rsidP="00901F66">
      <w:pPr>
        <w:pStyle w:val="Sraopastraipa"/>
        <w:numPr>
          <w:ilvl w:val="1"/>
          <w:numId w:val="39"/>
        </w:numPr>
        <w:autoSpaceDE w:val="0"/>
        <w:autoSpaceDN w:val="0"/>
        <w:adjustRightInd w:val="0"/>
        <w:ind w:left="1418" w:hanging="284"/>
        <w:rPr>
          <w:rFonts w:eastAsia="Batang"/>
          <w:szCs w:val="22"/>
          <w:lang w:eastAsia="en-US"/>
        </w:rPr>
      </w:pPr>
      <w:r w:rsidRPr="00901F66">
        <w:rPr>
          <w:rFonts w:eastAsia="Batang"/>
          <w:szCs w:val="22"/>
          <w:lang w:eastAsia="en-US"/>
        </w:rPr>
        <w:t>dar nebuvo gydytas endokrininiais vaistiniais preparatais;</w:t>
      </w:r>
    </w:p>
    <w:p w14:paraId="6FB30751" w14:textId="66582861" w:rsidR="00910FD6" w:rsidRPr="00901F66" w:rsidRDefault="00910FD6" w:rsidP="00901F66">
      <w:pPr>
        <w:pStyle w:val="Sraopastraipa"/>
        <w:numPr>
          <w:ilvl w:val="0"/>
          <w:numId w:val="38"/>
        </w:numPr>
        <w:autoSpaceDE w:val="0"/>
        <w:autoSpaceDN w:val="0"/>
        <w:adjustRightInd w:val="0"/>
        <w:ind w:left="1418" w:hanging="284"/>
        <w:rPr>
          <w:rFonts w:eastAsia="Batang"/>
          <w:szCs w:val="22"/>
          <w:lang w:eastAsia="en-US"/>
        </w:rPr>
      </w:pPr>
      <w:r w:rsidRPr="00901F66">
        <w:rPr>
          <w:rFonts w:eastAsia="Batang"/>
          <w:szCs w:val="22"/>
          <w:lang w:eastAsia="en-US"/>
        </w:rPr>
        <w:t>atsinaujino adjuvantinio gydymo antiestrogenais metu ar po jo</w:t>
      </w:r>
      <w:r w:rsidR="003639FE">
        <w:rPr>
          <w:rFonts w:eastAsia="Batang"/>
          <w:szCs w:val="22"/>
          <w:lang w:eastAsia="en-US"/>
        </w:rPr>
        <w:t>,</w:t>
      </w:r>
      <w:r w:rsidRPr="00901F66">
        <w:rPr>
          <w:rFonts w:eastAsia="Batang"/>
          <w:szCs w:val="22"/>
          <w:lang w:eastAsia="en-US"/>
        </w:rPr>
        <w:t xml:space="preserve"> arba progresavo gydant</w:t>
      </w:r>
      <w:r>
        <w:rPr>
          <w:rFonts w:eastAsia="Batang"/>
          <w:szCs w:val="22"/>
          <w:lang w:eastAsia="en-US"/>
        </w:rPr>
        <w:t xml:space="preserve"> </w:t>
      </w:r>
      <w:r w:rsidRPr="00901F66">
        <w:rPr>
          <w:rFonts w:eastAsia="Batang"/>
          <w:szCs w:val="22"/>
          <w:lang w:eastAsia="en-US"/>
        </w:rPr>
        <w:t>antiestrogenais;</w:t>
      </w:r>
    </w:p>
    <w:p w14:paraId="422C9707" w14:textId="0F2032C3" w:rsidR="00910FD6" w:rsidRPr="00901F66" w:rsidRDefault="00910FD6" w:rsidP="00901F66">
      <w:pPr>
        <w:pStyle w:val="Sraopastraipa"/>
        <w:numPr>
          <w:ilvl w:val="0"/>
          <w:numId w:val="40"/>
        </w:numPr>
        <w:autoSpaceDE w:val="0"/>
        <w:autoSpaceDN w:val="0"/>
        <w:adjustRightInd w:val="0"/>
        <w:rPr>
          <w:rFonts w:eastAsia="Batang"/>
          <w:szCs w:val="22"/>
          <w:lang w:eastAsia="en-US"/>
        </w:rPr>
      </w:pPr>
      <w:r>
        <w:rPr>
          <w:rFonts w:eastAsia="Batang"/>
          <w:szCs w:val="22"/>
          <w:lang w:eastAsia="en-US"/>
        </w:rPr>
        <w:t>derinyje</w:t>
      </w:r>
      <w:r w:rsidRPr="00901F66">
        <w:rPr>
          <w:rFonts w:eastAsia="Batang" w:hint="eastAsia"/>
          <w:szCs w:val="22"/>
          <w:lang w:eastAsia="en-US"/>
        </w:rPr>
        <w:t xml:space="preserve"> su palbociklibu: hormonų receptoriams (HR) teigiamam, žmogaus epidermio augimo</w:t>
      </w:r>
      <w:r w:rsidRPr="00910FD6">
        <w:rPr>
          <w:rFonts w:eastAsia="Batang"/>
          <w:szCs w:val="22"/>
          <w:lang w:eastAsia="en-US"/>
        </w:rPr>
        <w:t xml:space="preserve"> </w:t>
      </w:r>
      <w:r w:rsidRPr="00901F66">
        <w:rPr>
          <w:rFonts w:eastAsia="Batang"/>
          <w:szCs w:val="22"/>
          <w:lang w:eastAsia="en-US"/>
        </w:rPr>
        <w:t xml:space="preserve">faktoriaus receptoriams Nr. 2 (angl. </w:t>
      </w:r>
      <w:r w:rsidRPr="00901F66">
        <w:rPr>
          <w:rFonts w:eastAsia="Batang"/>
          <w:i/>
          <w:iCs/>
          <w:szCs w:val="22"/>
          <w:lang w:eastAsia="en-US"/>
        </w:rPr>
        <w:t>human epidermal growth factor receptor 2</w:t>
      </w:r>
      <w:r w:rsidRPr="00901F66">
        <w:rPr>
          <w:rFonts w:eastAsia="Batang"/>
          <w:szCs w:val="22"/>
          <w:lang w:eastAsia="en-US"/>
        </w:rPr>
        <w:t xml:space="preserve">, toliau </w:t>
      </w:r>
      <w:r w:rsidRPr="00901F66">
        <w:rPr>
          <w:rFonts w:eastAsia="Batang" w:hint="eastAsia"/>
          <w:szCs w:val="22"/>
          <w:lang w:eastAsia="en-US"/>
        </w:rPr>
        <w:t>–</w:t>
      </w:r>
      <w:r w:rsidRPr="00901F66">
        <w:rPr>
          <w:rFonts w:eastAsia="Batang"/>
          <w:szCs w:val="22"/>
          <w:lang w:eastAsia="en-US"/>
        </w:rPr>
        <w:t xml:space="preserve"> HER2)</w:t>
      </w:r>
      <w:r w:rsidRPr="00910FD6">
        <w:rPr>
          <w:rFonts w:eastAsia="Batang"/>
          <w:szCs w:val="22"/>
          <w:lang w:eastAsia="en-US"/>
        </w:rPr>
        <w:t xml:space="preserve"> </w:t>
      </w:r>
      <w:r w:rsidRPr="00901F66">
        <w:rPr>
          <w:rFonts w:eastAsia="Batang"/>
          <w:szCs w:val="22"/>
          <w:lang w:eastAsia="en-US"/>
        </w:rPr>
        <w:t>neigiamam</w:t>
      </w:r>
      <w:r w:rsidR="003639FE">
        <w:rPr>
          <w:rFonts w:eastAsia="Batang"/>
          <w:szCs w:val="22"/>
          <w:lang w:eastAsia="en-US"/>
        </w:rPr>
        <w:t>,</w:t>
      </w:r>
      <w:r w:rsidRPr="00901F66">
        <w:rPr>
          <w:rFonts w:eastAsia="Batang"/>
          <w:szCs w:val="22"/>
          <w:lang w:eastAsia="en-US"/>
        </w:rPr>
        <w:t xml:space="preserve"> lokaliai progresavusiam arba metastazavusiam </w:t>
      </w:r>
      <w:r w:rsidRPr="00901F66">
        <w:rPr>
          <w:rFonts w:eastAsia="Batang" w:hint="eastAsia"/>
          <w:szCs w:val="22"/>
          <w:lang w:eastAsia="en-US"/>
        </w:rPr>
        <w:t>krūties</w:t>
      </w:r>
      <w:r w:rsidRPr="00901F66">
        <w:rPr>
          <w:rFonts w:eastAsia="Batang"/>
          <w:szCs w:val="22"/>
          <w:lang w:eastAsia="en-US"/>
        </w:rPr>
        <w:t xml:space="preserve"> </w:t>
      </w:r>
      <w:r w:rsidRPr="00901F66">
        <w:rPr>
          <w:rFonts w:eastAsia="Batang" w:hint="eastAsia"/>
          <w:szCs w:val="22"/>
          <w:lang w:eastAsia="en-US"/>
        </w:rPr>
        <w:t>vėžiui</w:t>
      </w:r>
      <w:r w:rsidRPr="00901F66">
        <w:rPr>
          <w:rFonts w:eastAsia="Batang"/>
          <w:szCs w:val="22"/>
          <w:lang w:eastAsia="en-US"/>
        </w:rPr>
        <w:t xml:space="preserve"> gydyti moterims, jau</w:t>
      </w:r>
      <w:r>
        <w:rPr>
          <w:rFonts w:eastAsia="Batang"/>
          <w:szCs w:val="22"/>
          <w:lang w:eastAsia="en-US"/>
        </w:rPr>
        <w:t xml:space="preserve"> </w:t>
      </w:r>
      <w:r w:rsidRPr="00901F66">
        <w:rPr>
          <w:rFonts w:eastAsia="Batang"/>
          <w:szCs w:val="22"/>
          <w:lang w:eastAsia="en-US"/>
        </w:rPr>
        <w:t xml:space="preserve">gydytoms endokrininiais vaistiniais preparatais </w:t>
      </w:r>
      <w:r w:rsidRPr="00901F66">
        <w:rPr>
          <w:rFonts w:eastAsia="Batang" w:hint="eastAsia"/>
          <w:szCs w:val="22"/>
          <w:lang w:eastAsia="en-US"/>
        </w:rPr>
        <w:t>(žr.</w:t>
      </w:r>
      <w:r w:rsidRPr="00901F66">
        <w:rPr>
          <w:rFonts w:eastAsia="Batang"/>
          <w:szCs w:val="22"/>
          <w:lang w:eastAsia="en-US"/>
        </w:rPr>
        <w:t xml:space="preserve"> 5.1 </w:t>
      </w:r>
      <w:r w:rsidRPr="00901F66">
        <w:rPr>
          <w:rFonts w:eastAsia="Batang" w:hint="eastAsia"/>
          <w:szCs w:val="22"/>
          <w:lang w:eastAsia="en-US"/>
        </w:rPr>
        <w:t>skyrių).</w:t>
      </w:r>
    </w:p>
    <w:p w14:paraId="43AAB0E6" w14:textId="77777777" w:rsidR="00910FD6" w:rsidRDefault="00910FD6" w:rsidP="00901F66">
      <w:pPr>
        <w:autoSpaceDE w:val="0"/>
        <w:autoSpaceDN w:val="0"/>
        <w:adjustRightInd w:val="0"/>
        <w:rPr>
          <w:rFonts w:eastAsia="Batang"/>
          <w:szCs w:val="22"/>
          <w:lang w:eastAsia="en-US"/>
        </w:rPr>
      </w:pPr>
    </w:p>
    <w:p w14:paraId="06513ABB" w14:textId="77777777" w:rsidR="00910FD6" w:rsidRPr="00910FD6" w:rsidRDefault="00910FD6" w:rsidP="009B558C">
      <w:pPr>
        <w:autoSpaceDE w:val="0"/>
        <w:autoSpaceDN w:val="0"/>
        <w:adjustRightInd w:val="0"/>
        <w:rPr>
          <w:rFonts w:eastAsia="Calibri"/>
          <w:szCs w:val="22"/>
        </w:rPr>
      </w:pPr>
      <w:r w:rsidRPr="00901F66">
        <w:rPr>
          <w:rFonts w:eastAsia="Batang"/>
          <w:szCs w:val="22"/>
          <w:lang w:eastAsia="en-US"/>
        </w:rPr>
        <w:t xml:space="preserve">Moteris iki </w:t>
      </w:r>
      <w:r w:rsidRPr="00901F66">
        <w:rPr>
          <w:rFonts w:eastAsia="Batang" w:hint="eastAsia"/>
          <w:szCs w:val="22"/>
          <w:lang w:eastAsia="en-US"/>
        </w:rPr>
        <w:t>menopauzės</w:t>
      </w:r>
      <w:r w:rsidRPr="00901F66">
        <w:rPr>
          <w:rFonts w:eastAsia="Batang"/>
          <w:szCs w:val="22"/>
          <w:lang w:eastAsia="en-US"/>
        </w:rPr>
        <w:t xml:space="preserve"> ir </w:t>
      </w:r>
      <w:r w:rsidRPr="00901F66">
        <w:rPr>
          <w:rFonts w:eastAsia="Batang" w:hint="eastAsia"/>
          <w:szCs w:val="22"/>
          <w:lang w:eastAsia="en-US"/>
        </w:rPr>
        <w:t>perimenopauzės</w:t>
      </w:r>
      <w:r w:rsidRPr="00901F66">
        <w:rPr>
          <w:rFonts w:eastAsia="Batang"/>
          <w:szCs w:val="22"/>
          <w:lang w:eastAsia="en-US"/>
        </w:rPr>
        <w:t xml:space="preserve"> laikotarpiu gydant deriniu su palbociklibu, kartu reikia</w:t>
      </w:r>
      <w:r>
        <w:rPr>
          <w:rFonts w:eastAsia="Batang"/>
          <w:szCs w:val="22"/>
          <w:lang w:eastAsia="en-US"/>
        </w:rPr>
        <w:t xml:space="preserve"> </w:t>
      </w:r>
      <w:r w:rsidRPr="00901F66">
        <w:rPr>
          <w:rFonts w:eastAsia="Batang"/>
          <w:szCs w:val="22"/>
          <w:lang w:eastAsia="en-US"/>
        </w:rPr>
        <w:t xml:space="preserve">vartoti </w:t>
      </w:r>
      <w:r w:rsidRPr="00901F66">
        <w:rPr>
          <w:rFonts w:eastAsia="Batang" w:hint="eastAsia"/>
          <w:szCs w:val="22"/>
          <w:lang w:eastAsia="en-US"/>
        </w:rPr>
        <w:t>liuteinizuojantį</w:t>
      </w:r>
      <w:r w:rsidRPr="00901F66">
        <w:rPr>
          <w:rFonts w:eastAsia="Batang"/>
          <w:szCs w:val="22"/>
          <w:lang w:eastAsia="en-US"/>
        </w:rPr>
        <w:t xml:space="preserve"> </w:t>
      </w:r>
      <w:r w:rsidRPr="00901F66">
        <w:rPr>
          <w:rFonts w:eastAsia="Batang" w:hint="eastAsia"/>
          <w:szCs w:val="22"/>
          <w:lang w:eastAsia="en-US"/>
        </w:rPr>
        <w:t>hormoną</w:t>
      </w:r>
      <w:r w:rsidRPr="00901F66">
        <w:rPr>
          <w:rFonts w:eastAsia="Batang"/>
          <w:szCs w:val="22"/>
          <w:lang w:eastAsia="en-US"/>
        </w:rPr>
        <w:t xml:space="preserve"> </w:t>
      </w:r>
      <w:r w:rsidRPr="00901F66">
        <w:rPr>
          <w:rFonts w:eastAsia="Batang" w:hint="eastAsia"/>
          <w:szCs w:val="22"/>
          <w:lang w:eastAsia="en-US"/>
        </w:rPr>
        <w:t>atpalaiduojančio</w:t>
      </w:r>
      <w:r w:rsidRPr="00901F66">
        <w:rPr>
          <w:rFonts w:eastAsia="Batang"/>
          <w:szCs w:val="22"/>
          <w:lang w:eastAsia="en-US"/>
        </w:rPr>
        <w:t xml:space="preserve"> hormono (LHAH) </w:t>
      </w:r>
      <w:r w:rsidRPr="00901F66">
        <w:rPr>
          <w:rFonts w:eastAsia="Batang" w:hint="eastAsia"/>
          <w:szCs w:val="22"/>
          <w:lang w:eastAsia="en-US"/>
        </w:rPr>
        <w:t>agonistą.</w:t>
      </w:r>
    </w:p>
    <w:p w14:paraId="7546BCDF" w14:textId="77777777" w:rsidR="004364B8" w:rsidRDefault="004364B8" w:rsidP="004364B8">
      <w:pPr>
        <w:rPr>
          <w:szCs w:val="22"/>
          <w:lang w:eastAsia="en-US"/>
        </w:rPr>
      </w:pPr>
    </w:p>
    <w:p w14:paraId="35C8A5E8" w14:textId="77777777" w:rsidR="004364B8" w:rsidRDefault="004364B8" w:rsidP="004364B8">
      <w:pPr>
        <w:ind w:left="540" w:hanging="540"/>
        <w:rPr>
          <w:b/>
          <w:szCs w:val="22"/>
          <w:lang w:eastAsia="en-US"/>
        </w:rPr>
      </w:pPr>
      <w:r>
        <w:rPr>
          <w:b/>
          <w:szCs w:val="22"/>
          <w:lang w:eastAsia="en-US"/>
        </w:rPr>
        <w:t>4.2</w:t>
      </w:r>
      <w:r>
        <w:rPr>
          <w:b/>
          <w:szCs w:val="22"/>
          <w:lang w:eastAsia="en-US"/>
        </w:rPr>
        <w:tab/>
        <w:t>Dozavimas ir vartojimo metodas</w:t>
      </w:r>
    </w:p>
    <w:p w14:paraId="6D918886" w14:textId="77777777" w:rsidR="004364B8" w:rsidRDefault="004364B8" w:rsidP="004364B8">
      <w:pPr>
        <w:rPr>
          <w:szCs w:val="22"/>
          <w:lang w:eastAsia="en-US"/>
        </w:rPr>
      </w:pPr>
    </w:p>
    <w:p w14:paraId="032F7551" w14:textId="77777777" w:rsidR="004364B8" w:rsidRDefault="004364B8" w:rsidP="004364B8">
      <w:pPr>
        <w:rPr>
          <w:szCs w:val="22"/>
          <w:u w:val="single"/>
          <w:lang w:eastAsia="en-US"/>
        </w:rPr>
      </w:pPr>
      <w:r>
        <w:rPr>
          <w:szCs w:val="22"/>
          <w:u w:val="single"/>
          <w:lang w:eastAsia="en-US"/>
        </w:rPr>
        <w:t>Dozavimas</w:t>
      </w:r>
    </w:p>
    <w:p w14:paraId="4EB468FC" w14:textId="77777777" w:rsidR="004364B8" w:rsidRDefault="004364B8" w:rsidP="004364B8">
      <w:pPr>
        <w:rPr>
          <w:szCs w:val="22"/>
          <w:lang w:eastAsia="en-US"/>
        </w:rPr>
      </w:pPr>
    </w:p>
    <w:p w14:paraId="7A2C6D1A" w14:textId="77777777" w:rsidR="004364B8" w:rsidRDefault="004364B8" w:rsidP="004364B8">
      <w:pPr>
        <w:rPr>
          <w:i/>
          <w:iCs/>
          <w:szCs w:val="22"/>
          <w:lang w:eastAsia="en-US"/>
        </w:rPr>
      </w:pPr>
      <w:r>
        <w:rPr>
          <w:i/>
          <w:iCs/>
          <w:szCs w:val="22"/>
          <w:lang w:eastAsia="en-US"/>
        </w:rPr>
        <w:t>Suaugusioms moterims (įskaitant senyvas)</w:t>
      </w:r>
    </w:p>
    <w:p w14:paraId="15628252" w14:textId="77777777" w:rsidR="004364B8" w:rsidRDefault="004364B8" w:rsidP="004364B8">
      <w:pPr>
        <w:rPr>
          <w:szCs w:val="22"/>
          <w:lang w:eastAsia="en-US"/>
        </w:rPr>
      </w:pPr>
      <w:r>
        <w:rPr>
          <w:szCs w:val="22"/>
          <w:lang w:eastAsia="en-US"/>
        </w:rPr>
        <w:t>Rekomenduojama dozė yra 500</w:t>
      </w:r>
      <w:r w:rsidR="00153369">
        <w:rPr>
          <w:szCs w:val="22"/>
          <w:lang w:eastAsia="en-US"/>
        </w:rPr>
        <w:t> </w:t>
      </w:r>
      <w:r>
        <w:rPr>
          <w:szCs w:val="22"/>
          <w:lang w:eastAsia="en-US"/>
        </w:rPr>
        <w:t>mg, vartojama kas 1</w:t>
      </w:r>
      <w:r w:rsidR="00153369">
        <w:rPr>
          <w:szCs w:val="22"/>
          <w:lang w:eastAsia="en-US"/>
        </w:rPr>
        <w:t> </w:t>
      </w:r>
      <w:r>
        <w:rPr>
          <w:szCs w:val="22"/>
          <w:lang w:eastAsia="en-US"/>
        </w:rPr>
        <w:t>mėn. Be to, praėjus 2</w:t>
      </w:r>
      <w:r w:rsidR="00153369">
        <w:rPr>
          <w:szCs w:val="22"/>
          <w:lang w:eastAsia="en-US"/>
        </w:rPr>
        <w:t> </w:t>
      </w:r>
      <w:r>
        <w:rPr>
          <w:szCs w:val="22"/>
          <w:lang w:eastAsia="en-US"/>
        </w:rPr>
        <w:t>savaitėms po pradinės dozės vartojama papildoma 500</w:t>
      </w:r>
      <w:r w:rsidR="00153369">
        <w:rPr>
          <w:szCs w:val="22"/>
          <w:lang w:eastAsia="en-US"/>
        </w:rPr>
        <w:t> </w:t>
      </w:r>
      <w:r>
        <w:rPr>
          <w:szCs w:val="22"/>
          <w:lang w:eastAsia="en-US"/>
        </w:rPr>
        <w:t>mg dozė.</w:t>
      </w:r>
    </w:p>
    <w:p w14:paraId="7F2E51A3" w14:textId="77777777" w:rsidR="00DB1666" w:rsidRDefault="00DB1666" w:rsidP="004364B8">
      <w:pPr>
        <w:rPr>
          <w:szCs w:val="22"/>
          <w:lang w:eastAsia="en-US"/>
        </w:rPr>
      </w:pPr>
    </w:p>
    <w:p w14:paraId="2EFECFDB" w14:textId="77777777" w:rsidR="00DB1666" w:rsidRPr="00DB1666" w:rsidRDefault="00DB1666" w:rsidP="00DB1666">
      <w:pPr>
        <w:rPr>
          <w:szCs w:val="22"/>
          <w:lang w:eastAsia="en-US"/>
        </w:rPr>
      </w:pPr>
      <w:r w:rsidRPr="00DB1666">
        <w:rPr>
          <w:szCs w:val="22"/>
          <w:lang w:eastAsia="en-US"/>
        </w:rPr>
        <w:t xml:space="preserve">Apie </w:t>
      </w:r>
      <w:r w:rsidR="00710C24" w:rsidRPr="00710C24">
        <w:rPr>
          <w:szCs w:val="22"/>
          <w:lang w:eastAsia="en-US"/>
        </w:rPr>
        <w:t>Fulvestrant Sandoz</w:t>
      </w:r>
      <w:r w:rsidRPr="00DB1666">
        <w:rPr>
          <w:szCs w:val="22"/>
          <w:lang w:eastAsia="en-US"/>
        </w:rPr>
        <w:t xml:space="preserve"> vartojimą kartu su palbociklibu taip pat žr. palbociklibo </w:t>
      </w:r>
      <w:r w:rsidR="00710C24">
        <w:rPr>
          <w:szCs w:val="22"/>
          <w:lang w:eastAsia="en-US"/>
        </w:rPr>
        <w:t>„</w:t>
      </w:r>
      <w:r w:rsidRPr="00DB1666">
        <w:rPr>
          <w:szCs w:val="22"/>
          <w:lang w:eastAsia="en-US"/>
        </w:rPr>
        <w:t>Preparato charakteristikų</w:t>
      </w:r>
      <w:r w:rsidR="00710C24">
        <w:rPr>
          <w:szCs w:val="22"/>
          <w:lang w:eastAsia="en-US"/>
        </w:rPr>
        <w:t xml:space="preserve"> </w:t>
      </w:r>
      <w:r w:rsidRPr="00DB1666">
        <w:rPr>
          <w:szCs w:val="22"/>
          <w:lang w:eastAsia="en-US"/>
        </w:rPr>
        <w:t>santrauką</w:t>
      </w:r>
      <w:r w:rsidR="00710C24">
        <w:rPr>
          <w:szCs w:val="22"/>
          <w:lang w:eastAsia="en-US"/>
        </w:rPr>
        <w:t>“</w:t>
      </w:r>
      <w:r w:rsidRPr="00DB1666">
        <w:rPr>
          <w:szCs w:val="22"/>
          <w:lang w:eastAsia="en-US"/>
        </w:rPr>
        <w:t>.</w:t>
      </w:r>
    </w:p>
    <w:p w14:paraId="0078BEEF" w14:textId="77777777" w:rsidR="00710C24" w:rsidRDefault="00710C24" w:rsidP="00DB1666">
      <w:pPr>
        <w:rPr>
          <w:szCs w:val="22"/>
          <w:lang w:eastAsia="en-US"/>
        </w:rPr>
      </w:pPr>
    </w:p>
    <w:p w14:paraId="3341770B" w14:textId="56467ED6" w:rsidR="00DB1666" w:rsidRDefault="00DB1666" w:rsidP="00DB1666">
      <w:pPr>
        <w:rPr>
          <w:szCs w:val="22"/>
          <w:lang w:eastAsia="en-US"/>
        </w:rPr>
      </w:pPr>
      <w:r w:rsidRPr="00DB1666">
        <w:rPr>
          <w:szCs w:val="22"/>
          <w:lang w:eastAsia="en-US"/>
        </w:rPr>
        <w:lastRenderedPageBreak/>
        <w:t xml:space="preserve">Moterys, kurioms yra premenopauzė arba perimenopauzė, prieš pradedant gydymą </w:t>
      </w:r>
      <w:r w:rsidR="00710C24" w:rsidRPr="00710C24">
        <w:rPr>
          <w:szCs w:val="22"/>
          <w:lang w:eastAsia="en-US"/>
        </w:rPr>
        <w:t>Fulvestrant Sandoz</w:t>
      </w:r>
      <w:r w:rsidRPr="00DB1666">
        <w:rPr>
          <w:szCs w:val="22"/>
          <w:lang w:eastAsia="en-US"/>
        </w:rPr>
        <w:t xml:space="preserve"> ir</w:t>
      </w:r>
      <w:r w:rsidR="00710C24">
        <w:rPr>
          <w:szCs w:val="22"/>
          <w:lang w:eastAsia="en-US"/>
        </w:rPr>
        <w:t xml:space="preserve"> </w:t>
      </w:r>
      <w:r w:rsidRPr="00DB1666">
        <w:rPr>
          <w:szCs w:val="22"/>
          <w:lang w:eastAsia="en-US"/>
        </w:rPr>
        <w:t>palbociklibo deriniu</w:t>
      </w:r>
      <w:r w:rsidR="003639FE">
        <w:rPr>
          <w:szCs w:val="22"/>
          <w:lang w:eastAsia="en-US"/>
        </w:rPr>
        <w:t>,</w:t>
      </w:r>
      <w:r w:rsidRPr="00DB1666">
        <w:rPr>
          <w:szCs w:val="22"/>
          <w:lang w:eastAsia="en-US"/>
        </w:rPr>
        <w:t xml:space="preserve"> bei visą gydymo juo laikotarpį</w:t>
      </w:r>
      <w:r w:rsidR="003639FE">
        <w:rPr>
          <w:szCs w:val="22"/>
          <w:lang w:eastAsia="en-US"/>
        </w:rPr>
        <w:t>,</w:t>
      </w:r>
      <w:r w:rsidRPr="00DB1666">
        <w:rPr>
          <w:szCs w:val="22"/>
          <w:lang w:eastAsia="en-US"/>
        </w:rPr>
        <w:t xml:space="preserve"> turi kartu vartoti LHAH agonistų</w:t>
      </w:r>
      <w:r w:rsidR="003639FE">
        <w:rPr>
          <w:szCs w:val="22"/>
          <w:lang w:eastAsia="en-US"/>
        </w:rPr>
        <w:t>, remiantis</w:t>
      </w:r>
      <w:r w:rsidRPr="00DB1666">
        <w:rPr>
          <w:szCs w:val="22"/>
          <w:lang w:eastAsia="en-US"/>
        </w:rPr>
        <w:t xml:space="preserve"> vietinėje</w:t>
      </w:r>
      <w:r w:rsidR="00710C24">
        <w:rPr>
          <w:szCs w:val="22"/>
          <w:lang w:eastAsia="en-US"/>
        </w:rPr>
        <w:t xml:space="preserve"> </w:t>
      </w:r>
      <w:r w:rsidRPr="00DB1666">
        <w:rPr>
          <w:szCs w:val="22"/>
          <w:lang w:eastAsia="en-US"/>
        </w:rPr>
        <w:t>klinikinėje praktikoje įprasta tvarka.</w:t>
      </w:r>
    </w:p>
    <w:p w14:paraId="7180BEE1" w14:textId="77777777" w:rsidR="004364B8" w:rsidRDefault="004364B8" w:rsidP="004364B8">
      <w:pPr>
        <w:rPr>
          <w:szCs w:val="22"/>
          <w:lang w:eastAsia="en-US"/>
        </w:rPr>
      </w:pPr>
    </w:p>
    <w:p w14:paraId="7327B9EE" w14:textId="77777777" w:rsidR="004364B8" w:rsidRDefault="004364B8" w:rsidP="004364B8">
      <w:pPr>
        <w:rPr>
          <w:szCs w:val="22"/>
          <w:u w:val="single"/>
          <w:lang w:eastAsia="en-US"/>
        </w:rPr>
      </w:pPr>
      <w:r>
        <w:rPr>
          <w:szCs w:val="22"/>
          <w:u w:val="single"/>
          <w:lang w:eastAsia="en-US"/>
        </w:rPr>
        <w:t>Ypatingos populiacijos</w:t>
      </w:r>
    </w:p>
    <w:p w14:paraId="5614CF2E" w14:textId="77777777" w:rsidR="004364B8" w:rsidRDefault="004364B8" w:rsidP="004364B8">
      <w:pPr>
        <w:rPr>
          <w:i/>
          <w:iCs/>
          <w:szCs w:val="22"/>
          <w:lang w:eastAsia="en-US"/>
        </w:rPr>
      </w:pPr>
    </w:p>
    <w:p w14:paraId="775CEAF4" w14:textId="77777777" w:rsidR="004364B8" w:rsidRDefault="004364B8" w:rsidP="004364B8">
      <w:pPr>
        <w:rPr>
          <w:i/>
          <w:iCs/>
          <w:szCs w:val="22"/>
          <w:lang w:eastAsia="en-US"/>
        </w:rPr>
      </w:pPr>
      <w:r>
        <w:rPr>
          <w:i/>
          <w:iCs/>
          <w:szCs w:val="22"/>
          <w:lang w:eastAsia="en-US"/>
        </w:rPr>
        <w:t>Pacientėms, kurių inkstų funkcija sutrikusi</w:t>
      </w:r>
    </w:p>
    <w:p w14:paraId="42AE8B46" w14:textId="77777777" w:rsidR="004364B8" w:rsidRDefault="004364B8" w:rsidP="004364B8">
      <w:pPr>
        <w:rPr>
          <w:szCs w:val="22"/>
          <w:lang w:eastAsia="en-US"/>
        </w:rPr>
      </w:pPr>
      <w:r>
        <w:rPr>
          <w:szCs w:val="22"/>
          <w:lang w:eastAsia="en-US"/>
        </w:rPr>
        <w:t>Pacientėms, kurioms yra lengvas ar vidutinio sunkumo inkstų funkcijos sutrikimas (kreatinino klirensas 30</w:t>
      </w:r>
      <w:r w:rsidR="00153369">
        <w:rPr>
          <w:szCs w:val="22"/>
          <w:lang w:eastAsia="en-US"/>
        </w:rPr>
        <w:t> </w:t>
      </w:r>
      <w:r>
        <w:rPr>
          <w:szCs w:val="22"/>
          <w:lang w:eastAsia="en-US"/>
        </w:rPr>
        <w:t>ml/min. arba didesnis), dozės koreguoti nereikia. Pacientėms, kurioms yra sunkus inkstų funkcijos sutrikimas (kreatinino klirensas mažesnis kaip 30</w:t>
      </w:r>
      <w:r w:rsidR="00153369">
        <w:rPr>
          <w:szCs w:val="22"/>
          <w:lang w:eastAsia="en-US"/>
        </w:rPr>
        <w:t> </w:t>
      </w:r>
      <w:r>
        <w:rPr>
          <w:szCs w:val="22"/>
          <w:lang w:eastAsia="en-US"/>
        </w:rPr>
        <w:t>ml/min.) šio vaistinio preparato saugumas ir veiksmingumas neištirtas, todėl šioms pacientėms rekomenduojama laikytis atsargumo (žr. 4.4 skyrių).</w:t>
      </w:r>
    </w:p>
    <w:p w14:paraId="3D21E75A" w14:textId="77777777" w:rsidR="004364B8" w:rsidRDefault="004364B8" w:rsidP="004364B8">
      <w:pPr>
        <w:rPr>
          <w:i/>
          <w:iCs/>
          <w:szCs w:val="22"/>
          <w:lang w:eastAsia="en-US"/>
        </w:rPr>
      </w:pPr>
    </w:p>
    <w:p w14:paraId="58B54940" w14:textId="77777777" w:rsidR="004364B8" w:rsidRDefault="004364B8" w:rsidP="004364B8">
      <w:pPr>
        <w:rPr>
          <w:i/>
          <w:iCs/>
          <w:szCs w:val="22"/>
          <w:lang w:eastAsia="en-US"/>
        </w:rPr>
      </w:pPr>
      <w:r>
        <w:rPr>
          <w:i/>
          <w:iCs/>
          <w:szCs w:val="22"/>
          <w:lang w:eastAsia="en-US"/>
        </w:rPr>
        <w:t>Pacientėms, kurių kepenų funkcija sutrikusi</w:t>
      </w:r>
    </w:p>
    <w:p w14:paraId="3DC8091F" w14:textId="77777777" w:rsidR="004364B8" w:rsidRDefault="004364B8" w:rsidP="004364B8">
      <w:pPr>
        <w:rPr>
          <w:szCs w:val="22"/>
          <w:lang w:eastAsia="en-US"/>
        </w:rPr>
      </w:pPr>
      <w:r>
        <w:rPr>
          <w:szCs w:val="22"/>
          <w:lang w:eastAsia="en-US"/>
        </w:rPr>
        <w:t>Pacientėms, kurioms yra lengvas arba vidutinio sunkumo kepenų funkcijos sutrikimas, dozės koreguoti nerekomenduojama. Vis dėlto, kadangi fulvestranto ekspozicija gali būti padidėjusi, Fulvestrant Sandoz šioms pacientėms turi būti vartojamas atsargiai.</w:t>
      </w:r>
    </w:p>
    <w:p w14:paraId="3E12C12E" w14:textId="77777777" w:rsidR="004364B8" w:rsidRDefault="004364B8" w:rsidP="004364B8">
      <w:pPr>
        <w:rPr>
          <w:szCs w:val="22"/>
          <w:lang w:eastAsia="en-US"/>
        </w:rPr>
      </w:pPr>
      <w:r>
        <w:rPr>
          <w:szCs w:val="22"/>
          <w:lang w:eastAsia="en-US"/>
        </w:rPr>
        <w:t>Pacientėms, kurioms yra sunkus kepenų funkcijos sutrikimas, duomenų nėra (žr. 4.3, 4.4 ir 5.2 skyrius).</w:t>
      </w:r>
    </w:p>
    <w:p w14:paraId="7089D029" w14:textId="77777777" w:rsidR="004364B8" w:rsidRDefault="004364B8" w:rsidP="004364B8">
      <w:pPr>
        <w:rPr>
          <w:szCs w:val="22"/>
          <w:lang w:eastAsia="en-US"/>
        </w:rPr>
      </w:pPr>
    </w:p>
    <w:p w14:paraId="7203958D" w14:textId="77777777" w:rsidR="004364B8" w:rsidRDefault="004364B8" w:rsidP="004364B8">
      <w:pPr>
        <w:rPr>
          <w:i/>
          <w:szCs w:val="22"/>
          <w:lang w:eastAsia="en-US"/>
        </w:rPr>
      </w:pPr>
      <w:r>
        <w:rPr>
          <w:i/>
          <w:szCs w:val="22"/>
          <w:lang w:eastAsia="en-US"/>
        </w:rPr>
        <w:t>Vaikų populiacija</w:t>
      </w:r>
    </w:p>
    <w:p w14:paraId="0E8D285A" w14:textId="77777777" w:rsidR="004364B8" w:rsidRDefault="004364B8" w:rsidP="004364B8">
      <w:pPr>
        <w:rPr>
          <w:szCs w:val="22"/>
          <w:lang w:eastAsia="en-US"/>
        </w:rPr>
      </w:pPr>
      <w:r>
        <w:rPr>
          <w:szCs w:val="22"/>
          <w:lang w:eastAsia="en-US"/>
        </w:rPr>
        <w:t>Fulvestrant Sandoz saugumas ir veiksmingumas vaikams iki 18</w:t>
      </w:r>
      <w:r w:rsidR="00153369">
        <w:rPr>
          <w:szCs w:val="22"/>
          <w:lang w:eastAsia="en-US"/>
        </w:rPr>
        <w:t> </w:t>
      </w:r>
      <w:r>
        <w:rPr>
          <w:szCs w:val="22"/>
          <w:lang w:eastAsia="en-US"/>
        </w:rPr>
        <w:t>metų nebuvo nustatytas. Šiuo metu turimi duomenys pateikiami 5.1 ir 5.2 skyriuose, tačiau dozavimo rekomendacijų pateikti negalima.</w:t>
      </w:r>
    </w:p>
    <w:p w14:paraId="5851CE59" w14:textId="77777777" w:rsidR="004364B8" w:rsidRDefault="004364B8" w:rsidP="004364B8">
      <w:pPr>
        <w:rPr>
          <w:szCs w:val="22"/>
          <w:lang w:eastAsia="en-US"/>
        </w:rPr>
      </w:pPr>
    </w:p>
    <w:p w14:paraId="55661B60" w14:textId="77777777" w:rsidR="004364B8" w:rsidRDefault="004364B8" w:rsidP="004364B8">
      <w:pPr>
        <w:rPr>
          <w:szCs w:val="22"/>
          <w:u w:val="single"/>
          <w:lang w:eastAsia="en-US"/>
        </w:rPr>
      </w:pPr>
      <w:r>
        <w:rPr>
          <w:szCs w:val="22"/>
          <w:u w:val="single"/>
          <w:lang w:eastAsia="en-US"/>
        </w:rPr>
        <w:t>Vartojimo metodas</w:t>
      </w:r>
    </w:p>
    <w:p w14:paraId="4935130F" w14:textId="77777777" w:rsidR="004364B8" w:rsidRDefault="004364B8" w:rsidP="004364B8">
      <w:pPr>
        <w:rPr>
          <w:szCs w:val="22"/>
          <w:lang w:eastAsia="en-US"/>
        </w:rPr>
      </w:pPr>
    </w:p>
    <w:p w14:paraId="1428F07B" w14:textId="50E9881B" w:rsidR="004364B8" w:rsidRDefault="004364B8" w:rsidP="004364B8">
      <w:pPr>
        <w:rPr>
          <w:szCs w:val="22"/>
          <w:lang w:eastAsia="en-US"/>
        </w:rPr>
      </w:pPr>
      <w:r>
        <w:rPr>
          <w:szCs w:val="22"/>
          <w:lang w:eastAsia="en-US"/>
        </w:rPr>
        <w:t>Fulvestrant Sandoz turi būti vartojamas kaip dvi 5</w:t>
      </w:r>
      <w:r w:rsidR="00153369">
        <w:rPr>
          <w:szCs w:val="22"/>
          <w:lang w:eastAsia="en-US"/>
        </w:rPr>
        <w:t> </w:t>
      </w:r>
      <w:r>
        <w:rPr>
          <w:szCs w:val="22"/>
          <w:lang w:eastAsia="en-US"/>
        </w:rPr>
        <w:t>ml injekcijos, vieną po kitos lėtai (per 1</w:t>
      </w:r>
      <w:r w:rsidR="00153369">
        <w:rPr>
          <w:szCs w:val="22"/>
          <w:lang w:eastAsia="en-US"/>
        </w:rPr>
        <w:noBreakHyphen/>
      </w:r>
      <w:r>
        <w:rPr>
          <w:szCs w:val="22"/>
          <w:lang w:eastAsia="en-US"/>
        </w:rPr>
        <w:t>2</w:t>
      </w:r>
      <w:r w:rsidR="00153369">
        <w:rPr>
          <w:szCs w:val="22"/>
          <w:lang w:eastAsia="en-US"/>
        </w:rPr>
        <w:t> </w:t>
      </w:r>
      <w:r>
        <w:rPr>
          <w:szCs w:val="22"/>
          <w:lang w:eastAsia="en-US"/>
        </w:rPr>
        <w:t xml:space="preserve">min.) </w:t>
      </w:r>
      <w:r w:rsidR="003639FE">
        <w:rPr>
          <w:szCs w:val="22"/>
          <w:lang w:eastAsia="en-US"/>
        </w:rPr>
        <w:t xml:space="preserve">suleidžiant </w:t>
      </w:r>
      <w:r>
        <w:rPr>
          <w:szCs w:val="22"/>
          <w:lang w:eastAsia="en-US"/>
        </w:rPr>
        <w:t>į abiejų pusių sėdmen</w:t>
      </w:r>
      <w:r w:rsidR="00710C24">
        <w:rPr>
          <w:szCs w:val="22"/>
          <w:lang w:eastAsia="en-US"/>
        </w:rPr>
        <w:t>is (sėdmenų raumenų sritį)</w:t>
      </w:r>
      <w:r>
        <w:rPr>
          <w:szCs w:val="22"/>
          <w:lang w:eastAsia="en-US"/>
        </w:rPr>
        <w:t xml:space="preserve">. </w:t>
      </w:r>
    </w:p>
    <w:p w14:paraId="019E63D9" w14:textId="77777777" w:rsidR="00B31FF3" w:rsidRDefault="00B31FF3" w:rsidP="004364B8">
      <w:pPr>
        <w:rPr>
          <w:szCs w:val="22"/>
          <w:lang w:eastAsia="en-US"/>
        </w:rPr>
      </w:pPr>
    </w:p>
    <w:p w14:paraId="3469220C" w14:textId="1DEFCC90" w:rsidR="00B31FF3" w:rsidRPr="001209DE" w:rsidRDefault="003639FE" w:rsidP="00B31FF3">
      <w:pPr>
        <w:autoSpaceDE w:val="0"/>
        <w:autoSpaceDN w:val="0"/>
        <w:adjustRightInd w:val="0"/>
        <w:rPr>
          <w:szCs w:val="22"/>
          <w:lang w:eastAsia="en-US"/>
        </w:rPr>
      </w:pPr>
      <w:r>
        <w:rPr>
          <w:szCs w:val="22"/>
          <w:lang w:eastAsia="en-US"/>
        </w:rPr>
        <w:t>Leisti</w:t>
      </w:r>
      <w:r w:rsidRPr="001209DE">
        <w:rPr>
          <w:szCs w:val="22"/>
          <w:lang w:eastAsia="en-US"/>
        </w:rPr>
        <w:t xml:space="preserve"> </w:t>
      </w:r>
      <w:r w:rsidR="00B31FF3">
        <w:rPr>
          <w:szCs w:val="22"/>
          <w:lang w:eastAsia="en-US"/>
        </w:rPr>
        <w:t xml:space="preserve">Fulvestrant Sandoz </w:t>
      </w:r>
      <w:r w:rsidR="00B31FF3" w:rsidRPr="001209DE">
        <w:rPr>
          <w:szCs w:val="22"/>
          <w:lang w:eastAsia="en-US"/>
        </w:rPr>
        <w:t>į nugarinę sėdmens dalį reikia atsargiai, kadangi arti yra sėdimasis nervas.</w:t>
      </w:r>
    </w:p>
    <w:p w14:paraId="404BF243" w14:textId="77777777" w:rsidR="003F357E" w:rsidRDefault="003F357E" w:rsidP="00B31FF3">
      <w:pPr>
        <w:rPr>
          <w:szCs w:val="22"/>
          <w:lang w:eastAsia="en-US"/>
        </w:rPr>
      </w:pPr>
    </w:p>
    <w:p w14:paraId="3C99D9C1" w14:textId="77777777" w:rsidR="004364B8" w:rsidRDefault="00B31FF3" w:rsidP="00B31FF3">
      <w:pPr>
        <w:rPr>
          <w:szCs w:val="22"/>
          <w:lang w:eastAsia="en-US"/>
        </w:rPr>
      </w:pPr>
      <w:r w:rsidRPr="001209DE">
        <w:rPr>
          <w:szCs w:val="22"/>
          <w:lang w:eastAsia="en-US"/>
        </w:rPr>
        <w:t>I</w:t>
      </w:r>
      <w:r w:rsidRPr="001209DE">
        <w:rPr>
          <w:rFonts w:hint="eastAsia"/>
          <w:szCs w:val="22"/>
          <w:lang w:eastAsia="en-US"/>
        </w:rPr>
        <w:t>š</w:t>
      </w:r>
      <w:r w:rsidRPr="001209DE">
        <w:rPr>
          <w:szCs w:val="22"/>
          <w:lang w:eastAsia="en-US"/>
        </w:rPr>
        <w:t>sami vartojimo instrukcija pateikiama 6.6 skyriuje.</w:t>
      </w:r>
    </w:p>
    <w:p w14:paraId="7543A85D" w14:textId="77777777" w:rsidR="004364B8" w:rsidRPr="009B558C" w:rsidRDefault="004364B8" w:rsidP="009B558C">
      <w:pPr>
        <w:ind w:left="540" w:hanging="540"/>
        <w:rPr>
          <w:b/>
        </w:rPr>
      </w:pPr>
    </w:p>
    <w:p w14:paraId="3F9EDD2A" w14:textId="77777777" w:rsidR="004364B8" w:rsidRDefault="004364B8" w:rsidP="004364B8">
      <w:pPr>
        <w:ind w:left="540" w:hanging="540"/>
        <w:rPr>
          <w:b/>
          <w:szCs w:val="22"/>
          <w:lang w:eastAsia="en-US"/>
        </w:rPr>
      </w:pPr>
      <w:r>
        <w:rPr>
          <w:b/>
          <w:szCs w:val="22"/>
          <w:lang w:eastAsia="en-US"/>
        </w:rPr>
        <w:t>4.3</w:t>
      </w:r>
      <w:r>
        <w:rPr>
          <w:b/>
          <w:szCs w:val="22"/>
          <w:lang w:eastAsia="en-US"/>
        </w:rPr>
        <w:tab/>
        <w:t>Kontraindikacijos</w:t>
      </w:r>
    </w:p>
    <w:p w14:paraId="4C9764F5" w14:textId="77777777" w:rsidR="004364B8" w:rsidRDefault="004364B8" w:rsidP="004364B8">
      <w:pPr>
        <w:ind w:left="540" w:hanging="540"/>
        <w:rPr>
          <w:b/>
          <w:szCs w:val="22"/>
          <w:lang w:eastAsia="en-US"/>
        </w:rPr>
      </w:pPr>
    </w:p>
    <w:p w14:paraId="6708D688" w14:textId="3ACFAE5D" w:rsidR="004364B8" w:rsidRDefault="004364B8" w:rsidP="004364B8">
      <w:pPr>
        <w:tabs>
          <w:tab w:val="left" w:pos="567"/>
        </w:tabs>
        <w:rPr>
          <w:szCs w:val="22"/>
        </w:rPr>
      </w:pPr>
      <w:r>
        <w:rPr>
          <w:szCs w:val="22"/>
        </w:rPr>
        <w:t xml:space="preserve">Padidėjęs jautrumas </w:t>
      </w:r>
      <w:r w:rsidR="003F357E">
        <w:rPr>
          <w:szCs w:val="22"/>
        </w:rPr>
        <w:t>fulvestrantui</w:t>
      </w:r>
      <w:r>
        <w:rPr>
          <w:szCs w:val="22"/>
        </w:rPr>
        <w:t xml:space="preserve"> arba bet kuriai 6.1 skyriuje nurodytai pagalbinei medžiagai.</w:t>
      </w:r>
    </w:p>
    <w:p w14:paraId="591AFCD7" w14:textId="77777777" w:rsidR="004364B8" w:rsidRDefault="004364B8" w:rsidP="004364B8">
      <w:pPr>
        <w:tabs>
          <w:tab w:val="left" w:pos="567"/>
        </w:tabs>
        <w:rPr>
          <w:szCs w:val="22"/>
        </w:rPr>
      </w:pPr>
      <w:r>
        <w:rPr>
          <w:szCs w:val="22"/>
        </w:rPr>
        <w:t>Nėštumas ir žindymo laikotarpis (žr. 4.6 skyrių).</w:t>
      </w:r>
    </w:p>
    <w:p w14:paraId="7B62B159" w14:textId="77777777" w:rsidR="004364B8" w:rsidRDefault="004364B8" w:rsidP="004364B8">
      <w:pPr>
        <w:tabs>
          <w:tab w:val="left" w:pos="567"/>
        </w:tabs>
        <w:rPr>
          <w:szCs w:val="22"/>
        </w:rPr>
      </w:pPr>
      <w:r>
        <w:rPr>
          <w:szCs w:val="22"/>
        </w:rPr>
        <w:t xml:space="preserve">Sunkus kepenų funkcijos sutrikimas (žr. 4.4 ir 5.2 skyrius). </w:t>
      </w:r>
    </w:p>
    <w:p w14:paraId="143A9D18" w14:textId="77777777" w:rsidR="004364B8" w:rsidRDefault="004364B8" w:rsidP="004364B8">
      <w:pPr>
        <w:rPr>
          <w:szCs w:val="22"/>
          <w:lang w:eastAsia="en-US"/>
        </w:rPr>
      </w:pPr>
    </w:p>
    <w:p w14:paraId="27A95BA4" w14:textId="77777777" w:rsidR="004364B8" w:rsidRDefault="004364B8" w:rsidP="004364B8">
      <w:pPr>
        <w:ind w:left="567" w:hanging="567"/>
        <w:rPr>
          <w:b/>
          <w:szCs w:val="22"/>
          <w:lang w:eastAsia="en-US"/>
        </w:rPr>
      </w:pPr>
      <w:r>
        <w:rPr>
          <w:b/>
          <w:szCs w:val="22"/>
          <w:lang w:eastAsia="en-US"/>
        </w:rPr>
        <w:t>4.4</w:t>
      </w:r>
      <w:r>
        <w:rPr>
          <w:b/>
          <w:szCs w:val="22"/>
          <w:lang w:eastAsia="en-US"/>
        </w:rPr>
        <w:tab/>
        <w:t>Specialūs įspėjimai ir atsargumo priemonės</w:t>
      </w:r>
    </w:p>
    <w:p w14:paraId="272D65B7" w14:textId="77777777" w:rsidR="004364B8" w:rsidRDefault="004364B8" w:rsidP="004364B8">
      <w:pPr>
        <w:rPr>
          <w:szCs w:val="22"/>
          <w:lang w:eastAsia="en-US"/>
        </w:rPr>
      </w:pPr>
    </w:p>
    <w:p w14:paraId="13A3EDBB" w14:textId="77777777" w:rsidR="004364B8" w:rsidRDefault="004364B8" w:rsidP="004364B8">
      <w:pPr>
        <w:rPr>
          <w:szCs w:val="22"/>
          <w:lang w:eastAsia="en-US"/>
        </w:rPr>
      </w:pPr>
      <w:r>
        <w:rPr>
          <w:szCs w:val="22"/>
          <w:lang w:eastAsia="en-US"/>
        </w:rPr>
        <w:t>Fulvestrant Sandoz turi būti vartojamas atsargiai pacientėms, kurioms yra lengvas arba vidutinio sunkumo kepenų funkcijos sutrikimas (žr. 4.2, 4.3 ir 5.2 skyrius).</w:t>
      </w:r>
    </w:p>
    <w:p w14:paraId="12E3E705" w14:textId="77777777" w:rsidR="004364B8" w:rsidRDefault="004364B8" w:rsidP="004364B8">
      <w:pPr>
        <w:rPr>
          <w:szCs w:val="22"/>
          <w:lang w:eastAsia="en-US"/>
        </w:rPr>
      </w:pPr>
    </w:p>
    <w:p w14:paraId="4C225440" w14:textId="77777777" w:rsidR="004364B8" w:rsidRDefault="004364B8" w:rsidP="004364B8">
      <w:pPr>
        <w:rPr>
          <w:szCs w:val="22"/>
          <w:lang w:eastAsia="en-US"/>
        </w:rPr>
      </w:pPr>
      <w:r>
        <w:rPr>
          <w:szCs w:val="22"/>
          <w:lang w:eastAsia="en-US"/>
        </w:rPr>
        <w:t>Fulvestrant Sandoz turi būti vartojamas atsargiai pacientėms, kurioms yra sunkus inkstų funkcijos sutrikimas (kreatinino klirensas mažesnis kaip 30</w:t>
      </w:r>
      <w:r w:rsidR="00153369">
        <w:rPr>
          <w:szCs w:val="22"/>
          <w:lang w:eastAsia="en-US"/>
        </w:rPr>
        <w:t> </w:t>
      </w:r>
      <w:r>
        <w:rPr>
          <w:szCs w:val="22"/>
          <w:lang w:eastAsia="en-US"/>
        </w:rPr>
        <w:t>ml/min.).</w:t>
      </w:r>
    </w:p>
    <w:p w14:paraId="5C07063F" w14:textId="77777777" w:rsidR="004364B8" w:rsidRDefault="004364B8" w:rsidP="004364B8">
      <w:pPr>
        <w:rPr>
          <w:szCs w:val="22"/>
          <w:lang w:eastAsia="en-US"/>
        </w:rPr>
      </w:pPr>
      <w:r>
        <w:rPr>
          <w:szCs w:val="22"/>
          <w:lang w:eastAsia="en-US"/>
        </w:rPr>
        <w:t>Fulvestrant Sandoz vartojamas į raumenis, todėl jo turi būti vartojama atsargiai, jeigu yra gydomos pacientės, kurioms yra kraujavimo diatezė, trombocitopenija arba kurioms taikomas gydymas antikoaguliantais.</w:t>
      </w:r>
    </w:p>
    <w:p w14:paraId="1487876A" w14:textId="77777777" w:rsidR="004364B8" w:rsidRDefault="004364B8" w:rsidP="004364B8">
      <w:pPr>
        <w:rPr>
          <w:szCs w:val="22"/>
          <w:lang w:eastAsia="en-US"/>
        </w:rPr>
      </w:pPr>
    </w:p>
    <w:p w14:paraId="2E62AFE5" w14:textId="220A96E0" w:rsidR="004364B8" w:rsidRDefault="004364B8" w:rsidP="004364B8">
      <w:pPr>
        <w:rPr>
          <w:szCs w:val="22"/>
          <w:lang w:eastAsia="en-US"/>
        </w:rPr>
      </w:pPr>
      <w:r>
        <w:rPr>
          <w:szCs w:val="22"/>
          <w:lang w:eastAsia="en-US"/>
        </w:rPr>
        <w:t>Pacientėms, kuriom</w:t>
      </w:r>
      <w:r w:rsidR="00CE01DD">
        <w:rPr>
          <w:szCs w:val="22"/>
          <w:lang w:eastAsia="en-US"/>
        </w:rPr>
        <w:t>s</w:t>
      </w:r>
      <w:r>
        <w:rPr>
          <w:szCs w:val="22"/>
          <w:lang w:eastAsia="en-US"/>
        </w:rPr>
        <w:t xml:space="preserve"> yra progresavęs krūties vėžys, dažnai pastebėta tromboembolija, jos atvejų pastebėta ir Fulvestrant Sandoz klinikinių tyrimų metu (žr. 4.8 skyrių). Į tai reikia atsižvelgti skiriant Fulvestrant Sandoz pacientėms, kurioms yra šios komplikacijos rizikos veiksnių.</w:t>
      </w:r>
    </w:p>
    <w:p w14:paraId="1B02BB7C" w14:textId="77777777" w:rsidR="00CC2BC8" w:rsidRDefault="00CC2BC8" w:rsidP="00CC2BC8">
      <w:pPr>
        <w:rPr>
          <w:szCs w:val="22"/>
          <w:lang w:eastAsia="en-US"/>
        </w:rPr>
      </w:pPr>
    </w:p>
    <w:p w14:paraId="52DF4EF9" w14:textId="40E7E70A" w:rsidR="004364B8" w:rsidRDefault="00CC2BC8" w:rsidP="00CC2BC8">
      <w:pPr>
        <w:rPr>
          <w:szCs w:val="22"/>
          <w:lang w:eastAsia="en-US"/>
        </w:rPr>
      </w:pPr>
      <w:r w:rsidRPr="00CC2BC8">
        <w:rPr>
          <w:szCs w:val="22"/>
          <w:lang w:eastAsia="en-US"/>
        </w:rPr>
        <w:lastRenderedPageBreak/>
        <w:t xml:space="preserve">Gauta pranešimų apie pasireiškusius injekcijos vietos reiškinius suleidus </w:t>
      </w:r>
      <w:r>
        <w:rPr>
          <w:szCs w:val="22"/>
          <w:lang w:eastAsia="en-US"/>
        </w:rPr>
        <w:t>fulvestranto</w:t>
      </w:r>
      <w:r w:rsidRPr="00CC2BC8">
        <w:rPr>
          <w:szCs w:val="22"/>
          <w:lang w:eastAsia="en-US"/>
        </w:rPr>
        <w:t xml:space="preserve"> (išialgiją,</w:t>
      </w:r>
      <w:r w:rsidR="003F357E">
        <w:rPr>
          <w:szCs w:val="22"/>
          <w:lang w:eastAsia="en-US"/>
        </w:rPr>
        <w:t xml:space="preserve"> </w:t>
      </w:r>
      <w:r w:rsidRPr="00CC2BC8">
        <w:rPr>
          <w:szCs w:val="22"/>
          <w:lang w:eastAsia="en-US"/>
        </w:rPr>
        <w:t xml:space="preserve">neuralgiją, neuropatinį skausmą ir periferinę neuropatiją). </w:t>
      </w:r>
      <w:r w:rsidR="00DF6BF8">
        <w:rPr>
          <w:szCs w:val="22"/>
          <w:lang w:eastAsia="en-US"/>
        </w:rPr>
        <w:t>Leisti</w:t>
      </w:r>
      <w:r w:rsidR="00DF6BF8" w:rsidRPr="00CC2BC8">
        <w:rPr>
          <w:szCs w:val="22"/>
          <w:lang w:eastAsia="en-US"/>
        </w:rPr>
        <w:t xml:space="preserve"> </w:t>
      </w:r>
      <w:r>
        <w:rPr>
          <w:szCs w:val="22"/>
          <w:lang w:eastAsia="en-US"/>
        </w:rPr>
        <w:t xml:space="preserve">fulvestranto į nugarinę sėdmens dalį </w:t>
      </w:r>
      <w:r w:rsidRPr="00CC2BC8">
        <w:rPr>
          <w:szCs w:val="22"/>
          <w:lang w:eastAsia="en-US"/>
        </w:rPr>
        <w:t>reikia atsargiai, kadangi arti yra sėdimasis nervas (žr. 4.2 ir 4.8 skyrius).</w:t>
      </w:r>
    </w:p>
    <w:p w14:paraId="5BE598DF" w14:textId="77777777" w:rsidR="00CC2BC8" w:rsidRDefault="00CC2BC8" w:rsidP="004364B8">
      <w:pPr>
        <w:rPr>
          <w:szCs w:val="22"/>
          <w:lang w:eastAsia="en-US"/>
        </w:rPr>
      </w:pPr>
    </w:p>
    <w:p w14:paraId="12268ADE" w14:textId="77777777" w:rsidR="004364B8" w:rsidRDefault="004364B8" w:rsidP="004364B8">
      <w:pPr>
        <w:rPr>
          <w:szCs w:val="22"/>
          <w:lang w:eastAsia="en-US"/>
        </w:rPr>
      </w:pPr>
      <w:r>
        <w:rPr>
          <w:szCs w:val="22"/>
          <w:lang w:eastAsia="en-US"/>
        </w:rPr>
        <w:t>Fulvestranto poveikio kaulams ilgalaikio stebėjimo duomenų nėra. Dėl fulvestranto veikimo mechanizmo yra galima osteoporozės rizika.</w:t>
      </w:r>
    </w:p>
    <w:p w14:paraId="6BAA10AE" w14:textId="77777777" w:rsidR="003F357E" w:rsidRDefault="003F357E" w:rsidP="004364B8">
      <w:pPr>
        <w:rPr>
          <w:szCs w:val="22"/>
          <w:lang w:eastAsia="en-US"/>
        </w:rPr>
      </w:pPr>
    </w:p>
    <w:p w14:paraId="764EDF97" w14:textId="77777777" w:rsidR="003F357E" w:rsidRDefault="003F357E" w:rsidP="003F357E">
      <w:pPr>
        <w:rPr>
          <w:szCs w:val="22"/>
          <w:lang w:eastAsia="en-US"/>
        </w:rPr>
      </w:pPr>
      <w:r w:rsidRPr="003F357E">
        <w:rPr>
          <w:szCs w:val="22"/>
          <w:lang w:eastAsia="en-US"/>
        </w:rPr>
        <w:t xml:space="preserve">Fulvestrant Sandoz monoterapijos </w:t>
      </w:r>
      <w:r w:rsidR="00F63AB0">
        <w:rPr>
          <w:szCs w:val="22"/>
          <w:lang w:eastAsia="en-US"/>
        </w:rPr>
        <w:t>a</w:t>
      </w:r>
      <w:r w:rsidRPr="003F357E">
        <w:rPr>
          <w:szCs w:val="22"/>
          <w:lang w:eastAsia="en-US"/>
        </w:rPr>
        <w:t>r derinio su palbociklibu veiksmingumas ir saugumas pacientėms,</w:t>
      </w:r>
      <w:r>
        <w:rPr>
          <w:szCs w:val="22"/>
          <w:lang w:eastAsia="en-US"/>
        </w:rPr>
        <w:t xml:space="preserve"> </w:t>
      </w:r>
      <w:r w:rsidRPr="003F357E">
        <w:rPr>
          <w:szCs w:val="22"/>
          <w:lang w:eastAsia="en-US"/>
        </w:rPr>
        <w:t>kurioms yra kriti</w:t>
      </w:r>
      <w:r>
        <w:rPr>
          <w:szCs w:val="22"/>
          <w:lang w:eastAsia="en-US"/>
        </w:rPr>
        <w:t>ška</w:t>
      </w:r>
      <w:r w:rsidRPr="003F357E">
        <w:rPr>
          <w:szCs w:val="22"/>
          <w:lang w:eastAsia="en-US"/>
        </w:rPr>
        <w:t xml:space="preserve"> vidaus organų </w:t>
      </w:r>
      <w:r>
        <w:rPr>
          <w:szCs w:val="22"/>
          <w:lang w:eastAsia="en-US"/>
        </w:rPr>
        <w:t>liga</w:t>
      </w:r>
      <w:r w:rsidR="00F63AB0">
        <w:rPr>
          <w:szCs w:val="22"/>
          <w:lang w:eastAsia="en-US"/>
        </w:rPr>
        <w:t>,</w:t>
      </w:r>
      <w:r w:rsidR="00F63AB0" w:rsidRPr="00F63AB0">
        <w:rPr>
          <w:szCs w:val="22"/>
          <w:lang w:eastAsia="en-US"/>
        </w:rPr>
        <w:t xml:space="preserve"> </w:t>
      </w:r>
      <w:r w:rsidR="00F63AB0" w:rsidRPr="003F357E">
        <w:rPr>
          <w:szCs w:val="22"/>
          <w:lang w:eastAsia="en-US"/>
        </w:rPr>
        <w:t>netirtas</w:t>
      </w:r>
      <w:r w:rsidR="00F63AB0">
        <w:rPr>
          <w:szCs w:val="22"/>
          <w:lang w:eastAsia="en-US"/>
        </w:rPr>
        <w:t>.</w:t>
      </w:r>
    </w:p>
    <w:p w14:paraId="4AE491C6" w14:textId="77777777" w:rsidR="00F63AB0" w:rsidRDefault="00F63AB0" w:rsidP="003F357E">
      <w:pPr>
        <w:rPr>
          <w:szCs w:val="22"/>
          <w:lang w:eastAsia="en-US"/>
        </w:rPr>
      </w:pPr>
    </w:p>
    <w:p w14:paraId="3DB944C1" w14:textId="77777777" w:rsidR="00F63AB0" w:rsidRDefault="00F63AB0" w:rsidP="00F63AB0">
      <w:pPr>
        <w:rPr>
          <w:szCs w:val="22"/>
          <w:lang w:eastAsia="en-US"/>
        </w:rPr>
      </w:pPr>
      <w:r w:rsidRPr="00F63AB0">
        <w:rPr>
          <w:szCs w:val="22"/>
          <w:lang w:eastAsia="en-US"/>
        </w:rPr>
        <w:t xml:space="preserve">Apie Fulvestrant Sandoz vartojimą kartu su palbociklibu taip pat žr. palbociklibo </w:t>
      </w:r>
      <w:r>
        <w:rPr>
          <w:szCs w:val="22"/>
          <w:lang w:eastAsia="en-US"/>
        </w:rPr>
        <w:t>„</w:t>
      </w:r>
      <w:r w:rsidRPr="00F63AB0">
        <w:rPr>
          <w:szCs w:val="22"/>
          <w:lang w:eastAsia="en-US"/>
        </w:rPr>
        <w:t>Preparato charakteristikų</w:t>
      </w:r>
      <w:r>
        <w:rPr>
          <w:szCs w:val="22"/>
          <w:lang w:eastAsia="en-US"/>
        </w:rPr>
        <w:t xml:space="preserve"> </w:t>
      </w:r>
      <w:r w:rsidRPr="00F63AB0">
        <w:rPr>
          <w:szCs w:val="22"/>
          <w:lang w:eastAsia="en-US"/>
        </w:rPr>
        <w:t>santrauką</w:t>
      </w:r>
      <w:r>
        <w:rPr>
          <w:szCs w:val="22"/>
          <w:lang w:eastAsia="en-US"/>
        </w:rPr>
        <w:t>“</w:t>
      </w:r>
      <w:r w:rsidRPr="00F63AB0">
        <w:rPr>
          <w:szCs w:val="22"/>
          <w:lang w:eastAsia="en-US"/>
        </w:rPr>
        <w:t>.</w:t>
      </w:r>
    </w:p>
    <w:p w14:paraId="078F6234" w14:textId="77777777" w:rsidR="00CC2BC8" w:rsidRDefault="00CC2BC8" w:rsidP="00CC2BC8">
      <w:pPr>
        <w:rPr>
          <w:szCs w:val="22"/>
          <w:lang w:eastAsia="en-US"/>
        </w:rPr>
      </w:pPr>
    </w:p>
    <w:p w14:paraId="22B72050" w14:textId="77777777" w:rsidR="00CC2BC8" w:rsidRPr="001209DE" w:rsidRDefault="00CC2BC8" w:rsidP="00CC2BC8">
      <w:pPr>
        <w:rPr>
          <w:i/>
          <w:szCs w:val="22"/>
          <w:lang w:eastAsia="en-US"/>
        </w:rPr>
      </w:pPr>
      <w:r w:rsidRPr="001209DE">
        <w:rPr>
          <w:i/>
          <w:szCs w:val="22"/>
          <w:lang w:eastAsia="en-US"/>
        </w:rPr>
        <w:t>Įtaka antikūnais pagrįstų estradiolio tyrimų rezultatams</w:t>
      </w:r>
    </w:p>
    <w:p w14:paraId="665F521C" w14:textId="77777777" w:rsidR="00CC2BC8" w:rsidRPr="00CC2BC8" w:rsidRDefault="00CC2BC8" w:rsidP="00CC2BC8">
      <w:pPr>
        <w:rPr>
          <w:szCs w:val="22"/>
          <w:lang w:eastAsia="en-US"/>
        </w:rPr>
      </w:pPr>
      <w:r w:rsidRPr="00CC2BC8">
        <w:rPr>
          <w:szCs w:val="22"/>
          <w:lang w:eastAsia="en-US"/>
        </w:rPr>
        <w:t>Dėl struktūros panašumo į estradiolį</w:t>
      </w:r>
      <w:r w:rsidR="009202B0">
        <w:rPr>
          <w:szCs w:val="22"/>
          <w:lang w:eastAsia="en-US"/>
        </w:rPr>
        <w:t>,</w:t>
      </w:r>
      <w:r w:rsidRPr="00CC2BC8">
        <w:rPr>
          <w:szCs w:val="22"/>
          <w:lang w:eastAsia="en-US"/>
        </w:rPr>
        <w:t xml:space="preserve"> fulvestrantas gali iškreipti antikūnais pagrįstų estradiolio</w:t>
      </w:r>
    </w:p>
    <w:p w14:paraId="71DDED16" w14:textId="77777777" w:rsidR="004364B8" w:rsidRDefault="00CC2BC8" w:rsidP="00CC2BC8">
      <w:pPr>
        <w:rPr>
          <w:szCs w:val="22"/>
          <w:lang w:eastAsia="en-US"/>
        </w:rPr>
      </w:pPr>
      <w:r w:rsidRPr="00CC2BC8">
        <w:rPr>
          <w:szCs w:val="22"/>
          <w:lang w:eastAsia="en-US"/>
        </w:rPr>
        <w:t>nustatymo tyrimų duomenis (gali būti klaidingai nustatyta padidėjusi estradiolio koncentracija).</w:t>
      </w:r>
    </w:p>
    <w:p w14:paraId="69DD5AED" w14:textId="77777777" w:rsidR="00CC2BC8" w:rsidRDefault="00CC2BC8" w:rsidP="00CC2BC8">
      <w:pPr>
        <w:rPr>
          <w:szCs w:val="22"/>
          <w:lang w:eastAsia="en-US"/>
        </w:rPr>
      </w:pPr>
    </w:p>
    <w:p w14:paraId="6BF632B3" w14:textId="77777777" w:rsidR="004364B8" w:rsidRDefault="004364B8" w:rsidP="004364B8">
      <w:pPr>
        <w:rPr>
          <w:szCs w:val="22"/>
          <w:u w:val="single"/>
          <w:lang w:eastAsia="en-US"/>
        </w:rPr>
      </w:pPr>
      <w:r>
        <w:rPr>
          <w:szCs w:val="22"/>
          <w:u w:val="single"/>
          <w:lang w:eastAsia="en-US"/>
        </w:rPr>
        <w:t>Vaikų populiacija</w:t>
      </w:r>
    </w:p>
    <w:p w14:paraId="5F03FFDA" w14:textId="77777777" w:rsidR="004364B8" w:rsidRDefault="004364B8" w:rsidP="004364B8">
      <w:pPr>
        <w:rPr>
          <w:szCs w:val="22"/>
          <w:lang w:eastAsia="en-US"/>
        </w:rPr>
      </w:pPr>
      <w:r>
        <w:rPr>
          <w:szCs w:val="22"/>
          <w:lang w:eastAsia="en-US"/>
        </w:rPr>
        <w:t>Fulvestrant Sandoz vaikams ir paaugliams vartoti nerekomenduojama, kadangi saugumas ir veiksmingumas šiai pacientų grupei neištirti (žr. 5.1 skyrių).</w:t>
      </w:r>
    </w:p>
    <w:p w14:paraId="377B2DBB" w14:textId="77777777" w:rsidR="004364B8" w:rsidRDefault="004364B8" w:rsidP="004364B8">
      <w:pPr>
        <w:rPr>
          <w:szCs w:val="22"/>
          <w:lang w:eastAsia="en-US"/>
        </w:rPr>
      </w:pPr>
    </w:p>
    <w:p w14:paraId="0B96291E" w14:textId="77777777" w:rsidR="004364B8" w:rsidRDefault="004364B8" w:rsidP="004364B8">
      <w:pPr>
        <w:rPr>
          <w:szCs w:val="22"/>
          <w:u w:val="single"/>
          <w:lang w:eastAsia="en-US"/>
        </w:rPr>
      </w:pPr>
      <w:r>
        <w:rPr>
          <w:szCs w:val="22"/>
          <w:u w:val="single"/>
          <w:lang w:eastAsia="en-US"/>
        </w:rPr>
        <w:t>Pagalbinės medžiagos</w:t>
      </w:r>
    </w:p>
    <w:p w14:paraId="68A4105A" w14:textId="2CB2C472" w:rsidR="00940364" w:rsidRPr="00B77163" w:rsidRDefault="00940364" w:rsidP="004364B8">
      <w:r w:rsidRPr="00B77163">
        <w:t>Š</w:t>
      </w:r>
      <w:r w:rsidRPr="0077444B">
        <w:rPr>
          <w:u w:val="single"/>
        </w:rPr>
        <w:t>io vaistinio preparato sudėtyje yra etanolio</w:t>
      </w:r>
      <w:r w:rsidRPr="00F70008">
        <w:rPr>
          <w:szCs w:val="22"/>
          <w:u w:val="single"/>
          <w:lang w:eastAsia="en-US"/>
        </w:rPr>
        <w:t xml:space="preserve">, benzilo </w:t>
      </w:r>
      <w:r w:rsidRPr="0077444B">
        <w:rPr>
          <w:u w:val="single"/>
        </w:rPr>
        <w:t>alkoholio</w:t>
      </w:r>
      <w:r w:rsidRPr="00F70008">
        <w:rPr>
          <w:szCs w:val="22"/>
          <w:u w:val="single"/>
          <w:lang w:eastAsia="en-US"/>
        </w:rPr>
        <w:t xml:space="preserve"> ir benzilbenzoato</w:t>
      </w:r>
      <w:r w:rsidR="00CE01DD" w:rsidRPr="00F70008">
        <w:rPr>
          <w:szCs w:val="22"/>
          <w:u w:val="single"/>
          <w:lang w:eastAsia="en-US"/>
        </w:rPr>
        <w:t>.</w:t>
      </w:r>
    </w:p>
    <w:p w14:paraId="35F3890F" w14:textId="77777777" w:rsidR="00940364" w:rsidRDefault="00940364" w:rsidP="004364B8">
      <w:pPr>
        <w:rPr>
          <w:szCs w:val="22"/>
          <w:lang w:eastAsia="en-US"/>
        </w:rPr>
      </w:pPr>
    </w:p>
    <w:p w14:paraId="1AB410A2" w14:textId="53A941C5" w:rsidR="004364B8" w:rsidRDefault="004364B8" w:rsidP="004364B8">
      <w:pPr>
        <w:rPr>
          <w:szCs w:val="22"/>
          <w:lang w:eastAsia="en-US"/>
        </w:rPr>
      </w:pPr>
      <w:r>
        <w:rPr>
          <w:szCs w:val="22"/>
          <w:lang w:eastAsia="en-US"/>
        </w:rPr>
        <w:t xml:space="preserve">Šio vaistinio preparato </w:t>
      </w:r>
      <w:r w:rsidR="00006109">
        <w:rPr>
          <w:szCs w:val="22"/>
          <w:lang w:eastAsia="en-US"/>
        </w:rPr>
        <w:t xml:space="preserve">paskirtoje </w:t>
      </w:r>
      <w:r w:rsidR="000C31A6">
        <w:rPr>
          <w:szCs w:val="22"/>
          <w:lang w:eastAsia="en-US"/>
        </w:rPr>
        <w:t xml:space="preserve">dozėje </w:t>
      </w:r>
      <w:r>
        <w:rPr>
          <w:szCs w:val="22"/>
          <w:lang w:eastAsia="en-US"/>
        </w:rPr>
        <w:t>yra 1000</w:t>
      </w:r>
      <w:r w:rsidR="00153369">
        <w:rPr>
          <w:szCs w:val="22"/>
          <w:lang w:eastAsia="en-US"/>
        </w:rPr>
        <w:t> </w:t>
      </w:r>
      <w:r>
        <w:rPr>
          <w:szCs w:val="22"/>
          <w:lang w:eastAsia="en-US"/>
        </w:rPr>
        <w:t xml:space="preserve">mg </w:t>
      </w:r>
      <w:r w:rsidR="00EE0F68">
        <w:rPr>
          <w:szCs w:val="22"/>
          <w:lang w:eastAsia="en-US"/>
        </w:rPr>
        <w:t>alkoholio (96</w:t>
      </w:r>
      <w:r w:rsidR="00990E40">
        <w:rPr>
          <w:szCs w:val="22"/>
          <w:lang w:eastAsia="en-US"/>
        </w:rPr>
        <w:t> </w:t>
      </w:r>
      <w:r w:rsidR="00EE0F68">
        <w:rPr>
          <w:szCs w:val="22"/>
          <w:lang w:eastAsia="en-US"/>
        </w:rPr>
        <w:t>% etanolio), tai atitinka 100 mg/ml (10</w:t>
      </w:r>
      <w:r w:rsidR="00990E40">
        <w:rPr>
          <w:szCs w:val="22"/>
          <w:lang w:eastAsia="en-US"/>
        </w:rPr>
        <w:t> </w:t>
      </w:r>
      <w:r w:rsidR="00EE0F68">
        <w:rPr>
          <w:szCs w:val="22"/>
          <w:lang w:eastAsia="en-US"/>
        </w:rPr>
        <w:t xml:space="preserve">% </w:t>
      </w:r>
      <w:r w:rsidR="009A2DBC">
        <w:rPr>
          <w:szCs w:val="22"/>
          <w:lang w:eastAsia="en-US"/>
        </w:rPr>
        <w:t>masės/</w:t>
      </w:r>
      <w:r w:rsidR="002A14CC">
        <w:rPr>
          <w:szCs w:val="22"/>
          <w:lang w:eastAsia="en-US"/>
        </w:rPr>
        <w:t>tūryje</w:t>
      </w:r>
      <w:r w:rsidR="00EE0F68">
        <w:rPr>
          <w:szCs w:val="22"/>
          <w:lang w:eastAsia="en-US"/>
        </w:rPr>
        <w:t xml:space="preserve">). </w:t>
      </w:r>
    </w:p>
    <w:p w14:paraId="6EB25010" w14:textId="707CF955" w:rsidR="009504F2" w:rsidRPr="009504F2" w:rsidRDefault="005E253A" w:rsidP="009504F2">
      <w:pPr>
        <w:rPr>
          <w:szCs w:val="22"/>
          <w:lang w:eastAsia="en-US"/>
        </w:rPr>
      </w:pPr>
      <w:r>
        <w:rPr>
          <w:szCs w:val="22"/>
          <w:lang w:eastAsia="en-US"/>
        </w:rPr>
        <w:t>Toks</w:t>
      </w:r>
      <w:r w:rsidR="00F62496">
        <w:rPr>
          <w:szCs w:val="22"/>
          <w:lang w:eastAsia="en-US"/>
        </w:rPr>
        <w:t xml:space="preserve"> </w:t>
      </w:r>
      <w:r w:rsidR="009A2DBC">
        <w:rPr>
          <w:szCs w:val="22"/>
          <w:lang w:eastAsia="en-US"/>
        </w:rPr>
        <w:t xml:space="preserve">paskirtoje </w:t>
      </w:r>
      <w:r w:rsidR="00F62496">
        <w:rPr>
          <w:szCs w:val="22"/>
          <w:lang w:eastAsia="en-US"/>
        </w:rPr>
        <w:t xml:space="preserve">dozėje esantis </w:t>
      </w:r>
      <w:r w:rsidR="000C31A6">
        <w:rPr>
          <w:szCs w:val="22"/>
          <w:lang w:eastAsia="en-US"/>
        </w:rPr>
        <w:t xml:space="preserve">kiekis </w:t>
      </w:r>
      <w:r w:rsidR="00EE0F68" w:rsidRPr="00F70008">
        <w:rPr>
          <w:szCs w:val="22"/>
          <w:lang w:eastAsia="en-US"/>
        </w:rPr>
        <w:t xml:space="preserve">atitinka mažiau </w:t>
      </w:r>
      <w:r w:rsidR="00F62496">
        <w:rPr>
          <w:szCs w:val="22"/>
          <w:lang w:eastAsia="en-US"/>
        </w:rPr>
        <w:t>kaip</w:t>
      </w:r>
      <w:r w:rsidR="00EE0F68" w:rsidRPr="00F70008">
        <w:rPr>
          <w:szCs w:val="22"/>
          <w:lang w:eastAsia="en-US"/>
        </w:rPr>
        <w:t xml:space="preserve"> 24</w:t>
      </w:r>
      <w:r w:rsidR="00F62496">
        <w:rPr>
          <w:szCs w:val="22"/>
          <w:lang w:eastAsia="en-US"/>
        </w:rPr>
        <w:t> </w:t>
      </w:r>
      <w:r w:rsidR="00EE0F68" w:rsidRPr="00F70008">
        <w:rPr>
          <w:szCs w:val="22"/>
          <w:lang w:eastAsia="en-US"/>
        </w:rPr>
        <w:t>ml alaus ar 10</w:t>
      </w:r>
      <w:r w:rsidR="00336653">
        <w:rPr>
          <w:szCs w:val="22"/>
          <w:lang w:eastAsia="en-US"/>
        </w:rPr>
        <w:t> </w:t>
      </w:r>
      <w:r w:rsidR="00EE0F68" w:rsidRPr="00F70008">
        <w:rPr>
          <w:szCs w:val="22"/>
          <w:lang w:eastAsia="en-US"/>
        </w:rPr>
        <w:t xml:space="preserve">ml vyno. </w:t>
      </w:r>
    </w:p>
    <w:p w14:paraId="08EEDB31" w14:textId="1F4D150F" w:rsidR="004364B8" w:rsidRDefault="009504F2" w:rsidP="009504F2">
      <w:pPr>
        <w:rPr>
          <w:szCs w:val="22"/>
          <w:lang w:eastAsia="en-US"/>
        </w:rPr>
      </w:pPr>
      <w:r w:rsidRPr="009504F2">
        <w:rPr>
          <w:szCs w:val="22"/>
          <w:lang w:eastAsia="en-US"/>
        </w:rPr>
        <w:t>Mažas alkoholio kiekis, esantis šio vaist</w:t>
      </w:r>
      <w:r>
        <w:rPr>
          <w:szCs w:val="22"/>
          <w:lang w:eastAsia="en-US"/>
        </w:rPr>
        <w:t>inio preparato</w:t>
      </w:r>
      <w:r w:rsidRPr="009504F2">
        <w:rPr>
          <w:szCs w:val="22"/>
          <w:lang w:eastAsia="en-US"/>
        </w:rPr>
        <w:t xml:space="preserve"> sudėtyje,</w:t>
      </w:r>
      <w:r>
        <w:rPr>
          <w:szCs w:val="22"/>
          <w:lang w:eastAsia="en-US"/>
        </w:rPr>
        <w:t xml:space="preserve"> </w:t>
      </w:r>
      <w:r w:rsidRPr="009504F2">
        <w:rPr>
          <w:szCs w:val="22"/>
          <w:lang w:eastAsia="en-US"/>
        </w:rPr>
        <w:t>nesukelia pastebimo poveikio</w:t>
      </w:r>
      <w:r w:rsidR="00EE0F68" w:rsidRPr="00F70008">
        <w:rPr>
          <w:szCs w:val="22"/>
          <w:lang w:eastAsia="en-US"/>
        </w:rPr>
        <w:t>.</w:t>
      </w:r>
    </w:p>
    <w:p w14:paraId="29407E3A" w14:textId="77777777" w:rsidR="004364B8" w:rsidRDefault="004364B8" w:rsidP="004364B8">
      <w:pPr>
        <w:rPr>
          <w:szCs w:val="22"/>
          <w:lang w:eastAsia="en-US"/>
        </w:rPr>
      </w:pPr>
    </w:p>
    <w:p w14:paraId="10125C51" w14:textId="51B5988F" w:rsidR="000C31A6" w:rsidRDefault="000C31A6" w:rsidP="004364B8">
      <w:pPr>
        <w:rPr>
          <w:szCs w:val="22"/>
          <w:lang w:eastAsia="en-US"/>
        </w:rPr>
      </w:pPr>
      <w:r>
        <w:rPr>
          <w:szCs w:val="22"/>
          <w:lang w:eastAsia="en-US"/>
        </w:rPr>
        <w:t>Š</w:t>
      </w:r>
      <w:r w:rsidR="004364B8">
        <w:rPr>
          <w:szCs w:val="22"/>
          <w:lang w:eastAsia="en-US"/>
        </w:rPr>
        <w:t>io vaistinio preparato</w:t>
      </w:r>
      <w:r>
        <w:rPr>
          <w:szCs w:val="22"/>
          <w:lang w:eastAsia="en-US"/>
        </w:rPr>
        <w:t xml:space="preserve"> </w:t>
      </w:r>
      <w:r w:rsidR="009A2DBC">
        <w:rPr>
          <w:szCs w:val="22"/>
          <w:lang w:eastAsia="en-US"/>
        </w:rPr>
        <w:t xml:space="preserve">paskirtoje </w:t>
      </w:r>
      <w:r>
        <w:rPr>
          <w:szCs w:val="22"/>
          <w:lang w:eastAsia="en-US"/>
        </w:rPr>
        <w:t xml:space="preserve">dozėje </w:t>
      </w:r>
      <w:r w:rsidR="004364B8">
        <w:rPr>
          <w:szCs w:val="22"/>
          <w:lang w:eastAsia="en-US"/>
        </w:rPr>
        <w:t>yra 100</w:t>
      </w:r>
      <w:r>
        <w:rPr>
          <w:szCs w:val="22"/>
          <w:lang w:eastAsia="en-US"/>
        </w:rPr>
        <w:t>0</w:t>
      </w:r>
      <w:r w:rsidR="00153369">
        <w:rPr>
          <w:szCs w:val="22"/>
          <w:lang w:eastAsia="en-US"/>
        </w:rPr>
        <w:t> </w:t>
      </w:r>
      <w:r w:rsidR="004364B8">
        <w:rPr>
          <w:szCs w:val="22"/>
          <w:lang w:eastAsia="en-US"/>
        </w:rPr>
        <w:t>mg benzilo alkoholio</w:t>
      </w:r>
      <w:r>
        <w:rPr>
          <w:szCs w:val="22"/>
          <w:lang w:eastAsia="en-US"/>
        </w:rPr>
        <w:t>, tai atitinka 100</w:t>
      </w:r>
      <w:r w:rsidR="00336653">
        <w:rPr>
          <w:szCs w:val="22"/>
          <w:lang w:eastAsia="en-US"/>
        </w:rPr>
        <w:t> </w:t>
      </w:r>
      <w:r>
        <w:rPr>
          <w:szCs w:val="22"/>
          <w:lang w:eastAsia="en-US"/>
        </w:rPr>
        <w:t>mg/ml.</w:t>
      </w:r>
    </w:p>
    <w:p w14:paraId="79FBC2B7" w14:textId="1E78F770" w:rsidR="0026047C" w:rsidRDefault="003922EA" w:rsidP="004364B8">
      <w:pPr>
        <w:rPr>
          <w:szCs w:val="22"/>
          <w:lang w:eastAsia="en-US"/>
        </w:rPr>
      </w:pPr>
      <w:r>
        <w:rPr>
          <w:szCs w:val="22"/>
          <w:lang w:eastAsia="en-US"/>
        </w:rPr>
        <w:t>Benzilo alkoholis gali sukelti alergin</w:t>
      </w:r>
      <w:r w:rsidR="008412BE">
        <w:rPr>
          <w:szCs w:val="22"/>
          <w:lang w:eastAsia="en-US"/>
        </w:rPr>
        <w:t>ių</w:t>
      </w:r>
      <w:r>
        <w:rPr>
          <w:szCs w:val="22"/>
          <w:lang w:eastAsia="en-US"/>
        </w:rPr>
        <w:t xml:space="preserve"> reakcij</w:t>
      </w:r>
      <w:r w:rsidR="008412BE">
        <w:rPr>
          <w:szCs w:val="22"/>
          <w:lang w:eastAsia="en-US"/>
        </w:rPr>
        <w:t>ų</w:t>
      </w:r>
      <w:r>
        <w:rPr>
          <w:szCs w:val="22"/>
          <w:lang w:eastAsia="en-US"/>
        </w:rPr>
        <w:t xml:space="preserve">. </w:t>
      </w:r>
    </w:p>
    <w:p w14:paraId="4A69ED34" w14:textId="6669BEB4" w:rsidR="0026047C" w:rsidRDefault="007B6FC5" w:rsidP="007B6FC5">
      <w:pPr>
        <w:rPr>
          <w:szCs w:val="22"/>
          <w:lang w:eastAsia="en-US"/>
        </w:rPr>
      </w:pPr>
      <w:r w:rsidRPr="007B6FC5">
        <w:rPr>
          <w:szCs w:val="22"/>
          <w:lang w:eastAsia="en-US"/>
        </w:rPr>
        <w:t>Mažiems vaikams benzilo alkoholis siejamas su</w:t>
      </w:r>
      <w:r>
        <w:rPr>
          <w:szCs w:val="22"/>
          <w:lang w:eastAsia="en-US"/>
        </w:rPr>
        <w:t xml:space="preserve"> </w:t>
      </w:r>
      <w:r w:rsidRPr="007B6FC5">
        <w:rPr>
          <w:szCs w:val="22"/>
          <w:lang w:eastAsia="en-US"/>
        </w:rPr>
        <w:t>sunkaus šalutinio poveikio, įskaitant kvėpavimo</w:t>
      </w:r>
      <w:r>
        <w:rPr>
          <w:szCs w:val="22"/>
          <w:lang w:eastAsia="en-US"/>
        </w:rPr>
        <w:t xml:space="preserve"> </w:t>
      </w:r>
      <w:r w:rsidRPr="007B6FC5">
        <w:rPr>
          <w:szCs w:val="22"/>
          <w:lang w:eastAsia="en-US"/>
        </w:rPr>
        <w:t>sutrikimą (vadinamąjį žio</w:t>
      </w:r>
      <w:r w:rsidR="000E4051">
        <w:rPr>
          <w:szCs w:val="22"/>
          <w:lang w:eastAsia="en-US"/>
        </w:rPr>
        <w:t>p</w:t>
      </w:r>
      <w:r w:rsidRPr="007B6FC5">
        <w:rPr>
          <w:szCs w:val="22"/>
          <w:lang w:eastAsia="en-US"/>
        </w:rPr>
        <w:t>čiojimo sindromą),</w:t>
      </w:r>
      <w:r>
        <w:rPr>
          <w:szCs w:val="22"/>
          <w:lang w:eastAsia="en-US"/>
        </w:rPr>
        <w:t xml:space="preserve"> </w:t>
      </w:r>
      <w:r w:rsidRPr="007B6FC5">
        <w:rPr>
          <w:szCs w:val="22"/>
          <w:lang w:eastAsia="en-US"/>
        </w:rPr>
        <w:t>rizika.</w:t>
      </w:r>
    </w:p>
    <w:p w14:paraId="45C9B82A" w14:textId="1EE93593" w:rsidR="00825621" w:rsidRDefault="00102740" w:rsidP="00F70008">
      <w:pPr>
        <w:rPr>
          <w:szCs w:val="22"/>
          <w:lang w:eastAsia="en-US"/>
        </w:rPr>
      </w:pPr>
      <w:r w:rsidRPr="00102740">
        <w:rPr>
          <w:szCs w:val="22"/>
          <w:lang w:eastAsia="en-US"/>
        </w:rPr>
        <w:t>Mažiems vaikams padidėjusi rizika, susijusi su kaupimusi</w:t>
      </w:r>
      <w:r w:rsidR="00B51AD9">
        <w:rPr>
          <w:szCs w:val="22"/>
          <w:lang w:eastAsia="en-US"/>
        </w:rPr>
        <w:t>.</w:t>
      </w:r>
    </w:p>
    <w:p w14:paraId="5CBDAE25" w14:textId="6A317E21" w:rsidR="0026047C" w:rsidRDefault="0026047C" w:rsidP="004364B8">
      <w:pPr>
        <w:rPr>
          <w:szCs w:val="22"/>
          <w:lang w:eastAsia="en-US"/>
        </w:rPr>
      </w:pPr>
      <w:r>
        <w:rPr>
          <w:szCs w:val="22"/>
          <w:lang w:eastAsia="en-US"/>
        </w:rPr>
        <w:t xml:space="preserve">Dėl </w:t>
      </w:r>
      <w:r w:rsidR="00194F94">
        <w:rPr>
          <w:szCs w:val="22"/>
          <w:lang w:eastAsia="en-US"/>
        </w:rPr>
        <w:t>susi</w:t>
      </w:r>
      <w:r w:rsidR="00AA0945">
        <w:rPr>
          <w:szCs w:val="22"/>
          <w:lang w:eastAsia="en-US"/>
        </w:rPr>
        <w:t>k</w:t>
      </w:r>
      <w:r>
        <w:rPr>
          <w:szCs w:val="22"/>
          <w:lang w:eastAsia="en-US"/>
        </w:rPr>
        <w:t xml:space="preserve">aupimo ir toksinio poveikio </w:t>
      </w:r>
      <w:r w:rsidR="00194F94">
        <w:rPr>
          <w:szCs w:val="22"/>
          <w:lang w:eastAsia="en-US"/>
        </w:rPr>
        <w:t xml:space="preserve">rizikos </w:t>
      </w:r>
      <w:r>
        <w:rPr>
          <w:szCs w:val="22"/>
          <w:lang w:eastAsia="en-US"/>
        </w:rPr>
        <w:t xml:space="preserve">(metabolinės acidozės) dideli </w:t>
      </w:r>
      <w:r w:rsidR="00194F94">
        <w:rPr>
          <w:szCs w:val="22"/>
          <w:lang w:eastAsia="en-US"/>
        </w:rPr>
        <w:t>kiekiai</w:t>
      </w:r>
      <w:r>
        <w:rPr>
          <w:szCs w:val="22"/>
          <w:lang w:eastAsia="en-US"/>
        </w:rPr>
        <w:t xml:space="preserve"> turi būti vartojami atsargiai ir tik </w:t>
      </w:r>
      <w:r w:rsidR="00194F94">
        <w:rPr>
          <w:szCs w:val="22"/>
          <w:lang w:eastAsia="en-US"/>
        </w:rPr>
        <w:t>tuo</w:t>
      </w:r>
      <w:r>
        <w:rPr>
          <w:szCs w:val="22"/>
          <w:lang w:eastAsia="en-US"/>
        </w:rPr>
        <w:t xml:space="preserve"> atveju</w:t>
      </w:r>
      <w:r w:rsidR="00194F94">
        <w:rPr>
          <w:szCs w:val="22"/>
          <w:lang w:eastAsia="en-US"/>
        </w:rPr>
        <w:t>, jeigu būtina</w:t>
      </w:r>
      <w:r>
        <w:rPr>
          <w:szCs w:val="22"/>
          <w:lang w:eastAsia="en-US"/>
        </w:rPr>
        <w:t xml:space="preserve">, ypač </w:t>
      </w:r>
      <w:r w:rsidR="00194F94">
        <w:rPr>
          <w:szCs w:val="22"/>
          <w:lang w:eastAsia="en-US"/>
        </w:rPr>
        <w:t>asmenims</w:t>
      </w:r>
      <w:r>
        <w:rPr>
          <w:szCs w:val="22"/>
          <w:lang w:eastAsia="en-US"/>
        </w:rPr>
        <w:t>, kuri</w:t>
      </w:r>
      <w:r w:rsidR="00194F94">
        <w:rPr>
          <w:szCs w:val="22"/>
          <w:lang w:eastAsia="en-US"/>
        </w:rPr>
        <w:t>ems yra</w:t>
      </w:r>
      <w:r>
        <w:rPr>
          <w:szCs w:val="22"/>
          <w:lang w:eastAsia="en-US"/>
        </w:rPr>
        <w:t xml:space="preserve"> kepenų ar</w:t>
      </w:r>
      <w:r w:rsidR="00194F94">
        <w:rPr>
          <w:szCs w:val="22"/>
          <w:lang w:eastAsia="en-US"/>
        </w:rPr>
        <w:t>ba</w:t>
      </w:r>
      <w:r>
        <w:rPr>
          <w:szCs w:val="22"/>
          <w:lang w:eastAsia="en-US"/>
        </w:rPr>
        <w:t xml:space="preserve"> inkstų </w:t>
      </w:r>
      <w:r w:rsidR="00194F94">
        <w:rPr>
          <w:szCs w:val="22"/>
          <w:lang w:eastAsia="en-US"/>
        </w:rPr>
        <w:t>pažeidimas</w:t>
      </w:r>
      <w:r>
        <w:rPr>
          <w:szCs w:val="22"/>
          <w:lang w:eastAsia="en-US"/>
        </w:rPr>
        <w:t xml:space="preserve">. </w:t>
      </w:r>
    </w:p>
    <w:p w14:paraId="2DD73677" w14:textId="2D852308" w:rsidR="00B51AD9" w:rsidRDefault="00B51AD9" w:rsidP="004364B8">
      <w:pPr>
        <w:rPr>
          <w:szCs w:val="22"/>
          <w:lang w:eastAsia="en-US"/>
        </w:rPr>
      </w:pPr>
    </w:p>
    <w:p w14:paraId="566D0492" w14:textId="05311A90" w:rsidR="00B51AD9" w:rsidRDefault="00B51AD9" w:rsidP="00AA0945">
      <w:pPr>
        <w:rPr>
          <w:szCs w:val="22"/>
          <w:lang w:eastAsia="en-US"/>
        </w:rPr>
      </w:pPr>
      <w:r>
        <w:rPr>
          <w:szCs w:val="22"/>
          <w:lang w:eastAsia="en-US"/>
        </w:rPr>
        <w:t>Š</w:t>
      </w:r>
      <w:r w:rsidR="004364B8">
        <w:rPr>
          <w:szCs w:val="22"/>
          <w:lang w:eastAsia="en-US"/>
        </w:rPr>
        <w:t xml:space="preserve">io vaistinio preparato </w:t>
      </w:r>
      <w:r w:rsidR="00DA0162">
        <w:rPr>
          <w:szCs w:val="22"/>
          <w:lang w:eastAsia="en-US"/>
        </w:rPr>
        <w:t xml:space="preserve">paskirtoje </w:t>
      </w:r>
      <w:r w:rsidR="005D5905">
        <w:rPr>
          <w:szCs w:val="22"/>
          <w:lang w:eastAsia="en-US"/>
        </w:rPr>
        <w:t xml:space="preserve">dozėje </w:t>
      </w:r>
      <w:r w:rsidR="004364B8">
        <w:rPr>
          <w:szCs w:val="22"/>
          <w:lang w:eastAsia="en-US"/>
        </w:rPr>
        <w:t>yra 150</w:t>
      </w:r>
      <w:r>
        <w:rPr>
          <w:szCs w:val="22"/>
          <w:lang w:eastAsia="en-US"/>
        </w:rPr>
        <w:t>0</w:t>
      </w:r>
      <w:r w:rsidR="00153369">
        <w:rPr>
          <w:szCs w:val="22"/>
          <w:lang w:eastAsia="en-US"/>
        </w:rPr>
        <w:t> </w:t>
      </w:r>
      <w:r w:rsidR="004364B8">
        <w:rPr>
          <w:szCs w:val="22"/>
          <w:lang w:eastAsia="en-US"/>
        </w:rPr>
        <w:t>mg benzilbenzoato</w:t>
      </w:r>
      <w:r>
        <w:rPr>
          <w:szCs w:val="22"/>
          <w:lang w:eastAsia="en-US"/>
        </w:rPr>
        <w:t>, tai atitinka 1</w:t>
      </w:r>
      <w:r w:rsidR="00380B61">
        <w:rPr>
          <w:szCs w:val="22"/>
          <w:lang w:eastAsia="en-US"/>
        </w:rPr>
        <w:t>5</w:t>
      </w:r>
      <w:r>
        <w:rPr>
          <w:szCs w:val="22"/>
          <w:lang w:eastAsia="en-US"/>
        </w:rPr>
        <w:t>0</w:t>
      </w:r>
      <w:r w:rsidR="003161B9">
        <w:rPr>
          <w:szCs w:val="22"/>
          <w:lang w:eastAsia="en-US"/>
        </w:rPr>
        <w:t> </w:t>
      </w:r>
      <w:r>
        <w:rPr>
          <w:szCs w:val="22"/>
          <w:lang w:eastAsia="en-US"/>
        </w:rPr>
        <w:t>mg/ml.</w:t>
      </w:r>
      <w:r w:rsidR="004364B8">
        <w:rPr>
          <w:szCs w:val="22"/>
          <w:lang w:eastAsia="en-US"/>
        </w:rPr>
        <w:t xml:space="preserve"> </w:t>
      </w:r>
    </w:p>
    <w:p w14:paraId="0E34F0FA" w14:textId="0185C6F0" w:rsidR="0024291F" w:rsidRDefault="00AA0945" w:rsidP="0024291F">
      <w:pPr>
        <w:rPr>
          <w:szCs w:val="22"/>
          <w:lang w:eastAsia="en-US"/>
        </w:rPr>
      </w:pPr>
      <w:r>
        <w:rPr>
          <w:szCs w:val="22"/>
          <w:lang w:eastAsia="en-US"/>
        </w:rPr>
        <w:t xml:space="preserve">Benzilbenzoatas </w:t>
      </w:r>
      <w:r w:rsidRPr="00AA0945">
        <w:rPr>
          <w:szCs w:val="22"/>
          <w:lang w:eastAsia="en-US"/>
        </w:rPr>
        <w:t>naujagimiams (</w:t>
      </w:r>
      <w:r w:rsidR="00194F94">
        <w:rPr>
          <w:szCs w:val="22"/>
          <w:lang w:eastAsia="en-US"/>
        </w:rPr>
        <w:t>iki</w:t>
      </w:r>
      <w:r>
        <w:rPr>
          <w:szCs w:val="22"/>
          <w:lang w:eastAsia="en-US"/>
        </w:rPr>
        <w:t xml:space="preserve"> </w:t>
      </w:r>
      <w:r w:rsidRPr="00AA0945">
        <w:rPr>
          <w:szCs w:val="22"/>
          <w:lang w:eastAsia="en-US"/>
        </w:rPr>
        <w:t>4</w:t>
      </w:r>
      <w:r w:rsidR="00FC03AF">
        <w:rPr>
          <w:szCs w:val="22"/>
          <w:lang w:eastAsia="en-US"/>
        </w:rPr>
        <w:t> </w:t>
      </w:r>
      <w:r w:rsidRPr="00AA0945">
        <w:rPr>
          <w:szCs w:val="22"/>
          <w:lang w:eastAsia="en-US"/>
        </w:rPr>
        <w:t xml:space="preserve">savaičių) gali </w:t>
      </w:r>
      <w:r w:rsidR="00194F94">
        <w:rPr>
          <w:szCs w:val="22"/>
          <w:lang w:eastAsia="en-US"/>
        </w:rPr>
        <w:t>sunkinti</w:t>
      </w:r>
      <w:r w:rsidRPr="00AA0945">
        <w:rPr>
          <w:szCs w:val="22"/>
          <w:lang w:eastAsia="en-US"/>
        </w:rPr>
        <w:t xml:space="preserve"> geltą</w:t>
      </w:r>
      <w:r>
        <w:rPr>
          <w:szCs w:val="22"/>
          <w:lang w:eastAsia="en-US"/>
        </w:rPr>
        <w:t xml:space="preserve"> </w:t>
      </w:r>
      <w:r w:rsidRPr="00AA0945">
        <w:rPr>
          <w:szCs w:val="22"/>
          <w:lang w:eastAsia="en-US"/>
        </w:rPr>
        <w:t>(odos ir akių pageltimą).</w:t>
      </w:r>
      <w:r w:rsidR="00E6531F">
        <w:rPr>
          <w:szCs w:val="22"/>
          <w:lang w:eastAsia="en-US"/>
        </w:rPr>
        <w:t xml:space="preserve"> </w:t>
      </w:r>
    </w:p>
    <w:p w14:paraId="58308A70" w14:textId="4ECD0F09" w:rsidR="004364B8" w:rsidRPr="00E6531F" w:rsidRDefault="0024291F" w:rsidP="0024291F">
      <w:pPr>
        <w:rPr>
          <w:szCs w:val="22"/>
          <w:lang w:eastAsia="en-US"/>
        </w:rPr>
      </w:pPr>
      <w:r w:rsidRPr="0024291F">
        <w:rPr>
          <w:szCs w:val="22"/>
          <w:lang w:eastAsia="en-US"/>
        </w:rPr>
        <w:t>Dėl bilirubino išstūmimo iš jungties su albuminu</w:t>
      </w:r>
      <w:r>
        <w:rPr>
          <w:szCs w:val="22"/>
          <w:lang w:eastAsia="en-US"/>
        </w:rPr>
        <w:t xml:space="preserve"> </w:t>
      </w:r>
      <w:r w:rsidRPr="0024291F">
        <w:rPr>
          <w:szCs w:val="22"/>
          <w:lang w:eastAsia="en-US"/>
        </w:rPr>
        <w:t>padidėjusi bilirubinemija gali sunkinti naujagimių geltą,</w:t>
      </w:r>
      <w:r>
        <w:rPr>
          <w:szCs w:val="22"/>
          <w:lang w:eastAsia="en-US"/>
        </w:rPr>
        <w:t xml:space="preserve"> </w:t>
      </w:r>
      <w:r w:rsidRPr="0024291F">
        <w:rPr>
          <w:szCs w:val="22"/>
          <w:lang w:eastAsia="en-US"/>
        </w:rPr>
        <w:t>dėl kurios gali pasireikšti branduolių gelta (</w:t>
      </w:r>
      <w:r w:rsidRPr="00F70008">
        <w:rPr>
          <w:i/>
          <w:iCs/>
          <w:szCs w:val="22"/>
          <w:lang w:eastAsia="en-US"/>
        </w:rPr>
        <w:t>kernicterus</w:t>
      </w:r>
      <w:r w:rsidRPr="0024291F">
        <w:rPr>
          <w:szCs w:val="22"/>
          <w:lang w:eastAsia="en-US"/>
        </w:rPr>
        <w:t>;</w:t>
      </w:r>
      <w:r>
        <w:rPr>
          <w:szCs w:val="22"/>
          <w:lang w:eastAsia="en-US"/>
        </w:rPr>
        <w:t xml:space="preserve"> </w:t>
      </w:r>
      <w:r w:rsidRPr="0024291F">
        <w:rPr>
          <w:szCs w:val="22"/>
          <w:lang w:eastAsia="en-US"/>
        </w:rPr>
        <w:t>nekonjuguoto bilirubino sankaupos galvos smegenų</w:t>
      </w:r>
      <w:r>
        <w:rPr>
          <w:szCs w:val="22"/>
          <w:lang w:eastAsia="en-US"/>
        </w:rPr>
        <w:t xml:space="preserve"> </w:t>
      </w:r>
      <w:r w:rsidRPr="0024291F">
        <w:rPr>
          <w:szCs w:val="22"/>
          <w:lang w:eastAsia="en-US"/>
        </w:rPr>
        <w:t>audinyje).</w:t>
      </w:r>
    </w:p>
    <w:p w14:paraId="593BDE27" w14:textId="77777777" w:rsidR="004364B8" w:rsidRDefault="004364B8" w:rsidP="004364B8">
      <w:pPr>
        <w:rPr>
          <w:szCs w:val="22"/>
          <w:lang w:eastAsia="en-US"/>
        </w:rPr>
      </w:pPr>
    </w:p>
    <w:p w14:paraId="68C6547C" w14:textId="77777777" w:rsidR="004364B8" w:rsidRDefault="004364B8" w:rsidP="00BA1D9E">
      <w:pPr>
        <w:tabs>
          <w:tab w:val="left" w:pos="567"/>
        </w:tabs>
        <w:rPr>
          <w:b/>
          <w:bCs/>
          <w:szCs w:val="22"/>
          <w:lang w:eastAsia="en-US"/>
        </w:rPr>
      </w:pPr>
      <w:r>
        <w:rPr>
          <w:b/>
          <w:bCs/>
          <w:szCs w:val="22"/>
          <w:lang w:eastAsia="en-US"/>
        </w:rPr>
        <w:t>4.5</w:t>
      </w:r>
      <w:r>
        <w:rPr>
          <w:b/>
          <w:bCs/>
          <w:szCs w:val="22"/>
          <w:lang w:eastAsia="en-US"/>
        </w:rPr>
        <w:tab/>
        <w:t>Sąveika su kitais vaistiniais preparatais ir kitokia sąveika</w:t>
      </w:r>
    </w:p>
    <w:p w14:paraId="1BA3FC7B" w14:textId="77777777" w:rsidR="004364B8" w:rsidRDefault="004364B8" w:rsidP="004364B8">
      <w:pPr>
        <w:rPr>
          <w:szCs w:val="22"/>
          <w:lang w:eastAsia="en-US"/>
        </w:rPr>
      </w:pPr>
    </w:p>
    <w:p w14:paraId="7D19AF94" w14:textId="77777777" w:rsidR="004364B8" w:rsidRDefault="004364B8" w:rsidP="004364B8">
      <w:pPr>
        <w:rPr>
          <w:szCs w:val="22"/>
          <w:lang w:eastAsia="en-US"/>
        </w:rPr>
      </w:pPr>
      <w:r>
        <w:rPr>
          <w:szCs w:val="22"/>
          <w:lang w:eastAsia="en-US"/>
        </w:rPr>
        <w:t>Sąveikos su CYP3A4 substratu midazolamu klinikinis tyrimas parodė, kad fulvestrantas neslopina CYP3A4. Klinikiniai sąveikos su rifampicinu (CYP3A4 induktoriumi) ir ketokonazolu (CYP3A4 inhibitoriumi) tyrimai reikšmingų fulvestranto klirenso pokyčių neparodė, todėl kartu su CYP3A4 inhibitoriais arba induktoriais vartojamo fulvestranto dozės koreguoti nereikia.</w:t>
      </w:r>
    </w:p>
    <w:p w14:paraId="5D71CA1C" w14:textId="77777777" w:rsidR="004364B8" w:rsidRDefault="004364B8" w:rsidP="004364B8">
      <w:pPr>
        <w:rPr>
          <w:szCs w:val="22"/>
          <w:lang w:eastAsia="en-US"/>
        </w:rPr>
      </w:pPr>
    </w:p>
    <w:p w14:paraId="71636C0F" w14:textId="77777777" w:rsidR="004364B8" w:rsidRDefault="004364B8" w:rsidP="004364B8">
      <w:pPr>
        <w:ind w:left="540" w:hanging="540"/>
        <w:rPr>
          <w:b/>
          <w:szCs w:val="22"/>
          <w:lang w:eastAsia="en-US"/>
        </w:rPr>
      </w:pPr>
      <w:r>
        <w:rPr>
          <w:b/>
          <w:szCs w:val="22"/>
          <w:lang w:eastAsia="en-US"/>
        </w:rPr>
        <w:t>4.6</w:t>
      </w:r>
      <w:r>
        <w:rPr>
          <w:b/>
          <w:szCs w:val="22"/>
          <w:lang w:eastAsia="en-US"/>
        </w:rPr>
        <w:tab/>
        <w:t>Vaisingumas, nėštumo ir žindymo laikotarpis</w:t>
      </w:r>
    </w:p>
    <w:p w14:paraId="0E357E21" w14:textId="77777777" w:rsidR="004364B8" w:rsidRDefault="004364B8" w:rsidP="004364B8">
      <w:pPr>
        <w:rPr>
          <w:rFonts w:eastAsia="Calibri"/>
          <w:szCs w:val="22"/>
          <w:lang w:eastAsia="en-GB"/>
        </w:rPr>
      </w:pPr>
    </w:p>
    <w:p w14:paraId="35346313" w14:textId="77777777" w:rsidR="004364B8" w:rsidRDefault="004364B8" w:rsidP="004364B8">
      <w:pPr>
        <w:rPr>
          <w:rFonts w:eastAsia="Calibri"/>
          <w:szCs w:val="22"/>
          <w:u w:val="single"/>
          <w:lang w:eastAsia="en-GB"/>
        </w:rPr>
      </w:pPr>
      <w:r>
        <w:rPr>
          <w:rFonts w:eastAsia="Calibri"/>
          <w:szCs w:val="22"/>
          <w:u w:val="single"/>
          <w:lang w:eastAsia="en-GB"/>
        </w:rPr>
        <w:t>Vaisingos moterys</w:t>
      </w:r>
    </w:p>
    <w:p w14:paraId="35C99463" w14:textId="45A09ACC" w:rsidR="004364B8" w:rsidRDefault="004364B8" w:rsidP="004364B8">
      <w:pPr>
        <w:rPr>
          <w:rFonts w:eastAsia="Calibri"/>
          <w:szCs w:val="22"/>
          <w:lang w:eastAsia="en-GB"/>
        </w:rPr>
      </w:pPr>
      <w:r w:rsidRPr="00E6531F">
        <w:rPr>
          <w:rFonts w:eastAsia="Calibri"/>
          <w:szCs w:val="22"/>
          <w:lang w:eastAsia="en-GB"/>
        </w:rPr>
        <w:t xml:space="preserve">Vaisingos pacientės turi </w:t>
      </w:r>
      <w:r w:rsidR="00E6531F" w:rsidRPr="00E6531F">
        <w:rPr>
          <w:rFonts w:eastAsia="Calibri"/>
          <w:szCs w:val="22"/>
          <w:lang w:eastAsia="en-GB"/>
        </w:rPr>
        <w:t>naudoti veiksmingą kontrace</w:t>
      </w:r>
      <w:r w:rsidR="00E6531F" w:rsidRPr="00EE0F68">
        <w:rPr>
          <w:rFonts w:eastAsia="Calibri"/>
          <w:szCs w:val="22"/>
          <w:lang w:eastAsia="en-GB"/>
        </w:rPr>
        <w:t>p</w:t>
      </w:r>
      <w:r w:rsidR="00E6531F" w:rsidRPr="00E6531F">
        <w:rPr>
          <w:rFonts w:eastAsia="Calibri"/>
          <w:szCs w:val="22"/>
          <w:lang w:eastAsia="en-GB"/>
        </w:rPr>
        <w:t>cijos metodą</w:t>
      </w:r>
      <w:r w:rsidRPr="00E6531F">
        <w:rPr>
          <w:rFonts w:eastAsia="Calibri"/>
          <w:szCs w:val="22"/>
          <w:lang w:eastAsia="en-GB"/>
        </w:rPr>
        <w:t xml:space="preserve"> gydymo</w:t>
      </w:r>
      <w:r w:rsidR="00E6531F" w:rsidRPr="00E6531F">
        <w:rPr>
          <w:rFonts w:eastAsia="Calibri"/>
          <w:szCs w:val="22"/>
          <w:lang w:eastAsia="en-GB"/>
        </w:rPr>
        <w:t xml:space="preserve"> fulvestrantu metu ir </w:t>
      </w:r>
      <w:r w:rsidR="00E6531F" w:rsidRPr="00EE0F68">
        <w:rPr>
          <w:rFonts w:eastAsia="Calibri"/>
          <w:szCs w:val="22"/>
          <w:lang w:eastAsia="en-GB"/>
        </w:rPr>
        <w:t>2</w:t>
      </w:r>
      <w:r w:rsidRPr="00E6531F">
        <w:rPr>
          <w:rFonts w:eastAsia="Calibri"/>
          <w:szCs w:val="22"/>
          <w:lang w:eastAsia="en-GB"/>
        </w:rPr>
        <w:t xml:space="preserve"> metu</w:t>
      </w:r>
      <w:r w:rsidR="00E6531F" w:rsidRPr="00E6531F">
        <w:rPr>
          <w:rFonts w:eastAsia="Calibri"/>
          <w:szCs w:val="22"/>
          <w:lang w:eastAsia="en-GB"/>
        </w:rPr>
        <w:t>s po paskutinės dozės suvartojimo.</w:t>
      </w:r>
    </w:p>
    <w:p w14:paraId="114E748E" w14:textId="77777777" w:rsidR="004364B8" w:rsidRDefault="004364B8" w:rsidP="004364B8">
      <w:pPr>
        <w:rPr>
          <w:rFonts w:eastAsia="Calibri"/>
          <w:szCs w:val="22"/>
          <w:lang w:eastAsia="en-GB"/>
        </w:rPr>
      </w:pPr>
    </w:p>
    <w:p w14:paraId="09DA3638" w14:textId="77777777" w:rsidR="004364B8" w:rsidRDefault="004364B8" w:rsidP="004364B8">
      <w:pPr>
        <w:rPr>
          <w:rFonts w:eastAsia="Calibri"/>
          <w:szCs w:val="22"/>
          <w:u w:val="single"/>
          <w:lang w:eastAsia="en-GB"/>
        </w:rPr>
      </w:pPr>
      <w:r>
        <w:rPr>
          <w:rFonts w:eastAsia="Calibri"/>
          <w:szCs w:val="22"/>
          <w:u w:val="single"/>
          <w:lang w:eastAsia="en-GB"/>
        </w:rPr>
        <w:t>Nėštumas</w:t>
      </w:r>
    </w:p>
    <w:p w14:paraId="135EB287" w14:textId="030BB3A8" w:rsidR="004364B8" w:rsidRDefault="004364B8" w:rsidP="004364B8">
      <w:pPr>
        <w:rPr>
          <w:rFonts w:eastAsia="Calibri"/>
          <w:szCs w:val="22"/>
          <w:lang w:eastAsia="en-GB"/>
        </w:rPr>
      </w:pPr>
      <w:r>
        <w:rPr>
          <w:rFonts w:eastAsia="Calibri"/>
          <w:szCs w:val="22"/>
          <w:lang w:eastAsia="en-GB"/>
        </w:rPr>
        <w:t>Nėštumo laikotarpiu Fulvestrant Sandoz vartoti draudžiama (žr. 4.3 skyrių). Nustatyta, kad su</w:t>
      </w:r>
      <w:r w:rsidR="00194F94">
        <w:rPr>
          <w:rFonts w:eastAsia="Calibri"/>
          <w:szCs w:val="22"/>
          <w:lang w:eastAsia="en-GB"/>
        </w:rPr>
        <w:t>leidus</w:t>
      </w:r>
      <w:r>
        <w:rPr>
          <w:rFonts w:eastAsia="Calibri"/>
          <w:szCs w:val="22"/>
          <w:lang w:eastAsia="en-GB"/>
        </w:rPr>
        <w:t xml:space="preserve"> vieną fulvestranto dozę žiurkei ar triušiui į raumenis, vaistinis preparatas prasiskverbia per placentą. Tyrimai su gyvūnais parodė toksinį poveikį reprodukcijai, įskaitant vaisiaus apsigimimus ir žuvimo atvejų padaugėjimą (žr. 5.3 skyrių). Jeigu Fulvestrant Sandoz vartojanti moteris pastojo, ji turi būti informuota apie galimą riziką vaisiui ir galimą savaiminio persileidimo riziką.</w:t>
      </w:r>
    </w:p>
    <w:p w14:paraId="32F390A7" w14:textId="77777777" w:rsidR="004364B8" w:rsidRDefault="004364B8" w:rsidP="004364B8">
      <w:pPr>
        <w:rPr>
          <w:rFonts w:eastAsia="Calibri"/>
          <w:szCs w:val="22"/>
          <w:lang w:eastAsia="en-GB"/>
        </w:rPr>
      </w:pPr>
    </w:p>
    <w:p w14:paraId="45012591" w14:textId="77777777" w:rsidR="004364B8" w:rsidRDefault="004364B8" w:rsidP="004364B8">
      <w:pPr>
        <w:rPr>
          <w:rFonts w:eastAsia="Calibri"/>
          <w:szCs w:val="22"/>
          <w:u w:val="single"/>
          <w:lang w:eastAsia="en-GB"/>
        </w:rPr>
      </w:pPr>
      <w:r>
        <w:rPr>
          <w:rFonts w:eastAsia="Calibri"/>
          <w:szCs w:val="22"/>
          <w:u w:val="single"/>
          <w:lang w:eastAsia="en-GB"/>
        </w:rPr>
        <w:t>Žindymas</w:t>
      </w:r>
    </w:p>
    <w:p w14:paraId="580B0FC7" w14:textId="77777777" w:rsidR="004364B8" w:rsidRDefault="004364B8" w:rsidP="004364B8">
      <w:pPr>
        <w:rPr>
          <w:rFonts w:eastAsia="Calibri"/>
          <w:szCs w:val="22"/>
          <w:lang w:eastAsia="en-GB"/>
        </w:rPr>
      </w:pPr>
      <w:r>
        <w:rPr>
          <w:rFonts w:eastAsia="Calibri"/>
          <w:szCs w:val="22"/>
          <w:lang w:eastAsia="en-GB"/>
        </w:rPr>
        <w:t>Gydymo Fulvestrant Sandoz metu žindymas turi būti nutrauktas. Fulvestrantas išskiriamas su maitinančių žiurkių patelių pienu. Ar fulvestrantas išskiriamas su moters pienu, nežinoma. Turint omenyje, kad su pienu išskirtas fulvestrantas gali sukelti sunkių nepageidaujamų reakcijų žindomam kūdikiui, šio vaistinio preparato vartojimas žindymo laikotarpiu yra draudžiamas (žr. 4.3 skyrių).</w:t>
      </w:r>
    </w:p>
    <w:p w14:paraId="3B6938E8" w14:textId="77777777" w:rsidR="004364B8" w:rsidRDefault="004364B8" w:rsidP="004364B8">
      <w:pPr>
        <w:rPr>
          <w:rFonts w:eastAsia="Calibri"/>
          <w:szCs w:val="22"/>
          <w:lang w:eastAsia="en-GB"/>
        </w:rPr>
      </w:pPr>
    </w:p>
    <w:p w14:paraId="4EB90089" w14:textId="77777777" w:rsidR="004364B8" w:rsidRDefault="004364B8" w:rsidP="004364B8">
      <w:pPr>
        <w:rPr>
          <w:rFonts w:eastAsia="Calibri"/>
          <w:szCs w:val="22"/>
          <w:u w:val="single"/>
          <w:lang w:eastAsia="en-GB"/>
        </w:rPr>
      </w:pPr>
      <w:r>
        <w:rPr>
          <w:rFonts w:eastAsia="Calibri"/>
          <w:szCs w:val="22"/>
          <w:u w:val="single"/>
          <w:lang w:eastAsia="en-GB"/>
        </w:rPr>
        <w:t>Vaisingumas</w:t>
      </w:r>
    </w:p>
    <w:p w14:paraId="2A5662F5" w14:textId="77777777" w:rsidR="004364B8" w:rsidRDefault="004364B8" w:rsidP="004364B8">
      <w:pPr>
        <w:rPr>
          <w:rFonts w:eastAsia="Calibri"/>
          <w:szCs w:val="22"/>
          <w:lang w:eastAsia="en-GB"/>
        </w:rPr>
      </w:pPr>
      <w:r>
        <w:rPr>
          <w:rFonts w:eastAsia="Calibri"/>
          <w:szCs w:val="22"/>
          <w:lang w:eastAsia="en-GB"/>
        </w:rPr>
        <w:t>Fulvestrant Sandoz poveikis žmonių vaisingumui netirtas.</w:t>
      </w:r>
    </w:p>
    <w:p w14:paraId="4F1F2D04" w14:textId="77777777" w:rsidR="004364B8" w:rsidRDefault="004364B8" w:rsidP="004364B8">
      <w:pPr>
        <w:rPr>
          <w:szCs w:val="22"/>
          <w:lang w:eastAsia="en-US"/>
        </w:rPr>
      </w:pPr>
    </w:p>
    <w:p w14:paraId="7A0ECE63" w14:textId="77777777" w:rsidR="004364B8" w:rsidRDefault="004364B8" w:rsidP="004364B8">
      <w:pPr>
        <w:ind w:left="540" w:hanging="540"/>
        <w:rPr>
          <w:b/>
          <w:szCs w:val="22"/>
          <w:lang w:eastAsia="en-US"/>
        </w:rPr>
      </w:pPr>
      <w:r>
        <w:rPr>
          <w:b/>
          <w:szCs w:val="22"/>
          <w:lang w:eastAsia="en-US"/>
        </w:rPr>
        <w:t>4.7</w:t>
      </w:r>
      <w:r>
        <w:rPr>
          <w:b/>
          <w:szCs w:val="22"/>
          <w:lang w:eastAsia="en-US"/>
        </w:rPr>
        <w:tab/>
        <w:t>Poveikis gebėjimui vairuoti ir valdyti mechanizmus</w:t>
      </w:r>
    </w:p>
    <w:p w14:paraId="2510A74C" w14:textId="77777777" w:rsidR="004364B8" w:rsidRDefault="004364B8" w:rsidP="004364B8">
      <w:pPr>
        <w:rPr>
          <w:b/>
          <w:szCs w:val="22"/>
          <w:lang w:eastAsia="en-US"/>
        </w:rPr>
      </w:pPr>
    </w:p>
    <w:p w14:paraId="0AEEE7DA" w14:textId="77777777" w:rsidR="004364B8" w:rsidRDefault="004364B8" w:rsidP="004364B8">
      <w:pPr>
        <w:rPr>
          <w:szCs w:val="22"/>
          <w:lang w:eastAsia="en-US"/>
        </w:rPr>
      </w:pPr>
      <w:r>
        <w:rPr>
          <w:szCs w:val="22"/>
        </w:rPr>
        <w:t xml:space="preserve">Fulvestrant Sandoz įtakos gebėjimui vairuoti ir valdyti mechanizmus neturi arba ji yra nereikšminga. Vis dėlto, kadangi vartojant Fulvestrant Sandoz labai dažnai gauta pranešimų apie asteniją, pacientės, kurioms vairuojant ar valdant mechanizmus patiria minėtą reakciją, turi laikytis atsargumo. </w:t>
      </w:r>
    </w:p>
    <w:p w14:paraId="0A41567D" w14:textId="77777777" w:rsidR="004364B8" w:rsidRDefault="004364B8" w:rsidP="004364B8">
      <w:pPr>
        <w:rPr>
          <w:szCs w:val="22"/>
          <w:lang w:eastAsia="en-US"/>
        </w:rPr>
      </w:pPr>
    </w:p>
    <w:p w14:paraId="079FA70C" w14:textId="77777777" w:rsidR="004364B8" w:rsidRDefault="004364B8" w:rsidP="004364B8">
      <w:pPr>
        <w:ind w:left="540" w:hanging="540"/>
        <w:rPr>
          <w:b/>
          <w:szCs w:val="22"/>
          <w:lang w:eastAsia="en-US"/>
        </w:rPr>
      </w:pPr>
      <w:r>
        <w:rPr>
          <w:b/>
          <w:szCs w:val="22"/>
          <w:lang w:eastAsia="en-US"/>
        </w:rPr>
        <w:t>4.8</w:t>
      </w:r>
      <w:r>
        <w:rPr>
          <w:b/>
          <w:szCs w:val="22"/>
          <w:lang w:eastAsia="en-US"/>
        </w:rPr>
        <w:tab/>
        <w:t>Nepageidaujamas poveikis</w:t>
      </w:r>
    </w:p>
    <w:p w14:paraId="12D81C3A" w14:textId="77777777" w:rsidR="004364B8" w:rsidRDefault="004364B8" w:rsidP="004364B8">
      <w:pPr>
        <w:rPr>
          <w:szCs w:val="22"/>
          <w:lang w:eastAsia="en-US"/>
        </w:rPr>
      </w:pPr>
    </w:p>
    <w:p w14:paraId="07BF9EA3" w14:textId="77777777" w:rsidR="00AA0945" w:rsidRDefault="00AA0945" w:rsidP="004364B8">
      <w:pPr>
        <w:rPr>
          <w:szCs w:val="22"/>
          <w:lang w:eastAsia="en-US"/>
        </w:rPr>
      </w:pPr>
      <w:r>
        <w:rPr>
          <w:szCs w:val="22"/>
          <w:lang w:eastAsia="en-US"/>
        </w:rPr>
        <w:t>Saugumo duomenų santrauka</w:t>
      </w:r>
    </w:p>
    <w:p w14:paraId="5D358437" w14:textId="77777777" w:rsidR="00AA0945" w:rsidRPr="00901F66" w:rsidRDefault="00AA0945" w:rsidP="004364B8">
      <w:pPr>
        <w:rPr>
          <w:i/>
          <w:szCs w:val="22"/>
          <w:lang w:eastAsia="en-US"/>
        </w:rPr>
      </w:pPr>
      <w:r w:rsidRPr="00901F66">
        <w:rPr>
          <w:i/>
          <w:szCs w:val="22"/>
          <w:lang w:eastAsia="en-US"/>
        </w:rPr>
        <w:t>Monoterapija</w:t>
      </w:r>
    </w:p>
    <w:p w14:paraId="691E2A3D" w14:textId="72F7DAC4" w:rsidR="004364B8" w:rsidRDefault="004364B8" w:rsidP="00793331">
      <w:pPr>
        <w:rPr>
          <w:szCs w:val="22"/>
          <w:lang w:eastAsia="en-US"/>
        </w:rPr>
      </w:pPr>
      <w:r>
        <w:rPr>
          <w:szCs w:val="22"/>
          <w:lang w:eastAsia="en-US"/>
        </w:rPr>
        <w:t xml:space="preserve">Šiame skyriuje pateikiama informacija pagrįsta visais pranešimais apie nepageidaujamas reakcijas klinikinių ir poregistracinių tyrimų metu, taip pat savanoriškais pranešimais. </w:t>
      </w:r>
      <w:r w:rsidR="00793331">
        <w:rPr>
          <w:szCs w:val="22"/>
          <w:lang w:eastAsia="en-US"/>
        </w:rPr>
        <w:t xml:space="preserve">Jungtiniais </w:t>
      </w:r>
      <w:r w:rsidR="00793331" w:rsidRPr="00793331">
        <w:rPr>
          <w:szCs w:val="22"/>
          <w:lang w:eastAsia="en-US"/>
        </w:rPr>
        <w:t>fulvestranto monoterapijos</w:t>
      </w:r>
      <w:r w:rsidR="00793331">
        <w:rPr>
          <w:szCs w:val="22"/>
          <w:lang w:eastAsia="en-US"/>
        </w:rPr>
        <w:t xml:space="preserve"> </w:t>
      </w:r>
      <w:r w:rsidR="00793331" w:rsidRPr="00793331">
        <w:rPr>
          <w:szCs w:val="22"/>
          <w:lang w:eastAsia="en-US"/>
        </w:rPr>
        <w:t>duomenimis,</w:t>
      </w:r>
      <w:r w:rsidR="00793331">
        <w:rPr>
          <w:szCs w:val="22"/>
          <w:lang w:eastAsia="en-US"/>
        </w:rPr>
        <w:t xml:space="preserve"> n</w:t>
      </w:r>
      <w:r>
        <w:rPr>
          <w:szCs w:val="22"/>
          <w:lang w:eastAsia="en-US"/>
        </w:rPr>
        <w:t>epageidaujamos reakcijos, apie kurias pranešta dažniausiai, buvo reakcijos injekcijos vietoje, astenija, pykinimas ir padidėjęs kepenų fermentų (ALT, AST, šarminės fosfatazės) aktyvumas.</w:t>
      </w:r>
    </w:p>
    <w:p w14:paraId="45475474" w14:textId="021C567A" w:rsidR="00835916" w:rsidRPr="00835916" w:rsidRDefault="00835916" w:rsidP="00835916">
      <w:pPr>
        <w:rPr>
          <w:szCs w:val="22"/>
          <w:lang w:eastAsia="en-US"/>
        </w:rPr>
      </w:pPr>
      <w:r w:rsidRPr="00835916">
        <w:rPr>
          <w:szCs w:val="22"/>
          <w:lang w:eastAsia="en-US"/>
        </w:rPr>
        <w:t>1 lentelėje pateik</w:t>
      </w:r>
      <w:r>
        <w:rPr>
          <w:szCs w:val="22"/>
          <w:lang w:eastAsia="en-US"/>
        </w:rPr>
        <w:t>tos</w:t>
      </w:r>
      <w:r w:rsidRPr="00835916">
        <w:rPr>
          <w:szCs w:val="22"/>
          <w:lang w:eastAsia="en-US"/>
        </w:rPr>
        <w:t xml:space="preserve"> nepageidaujamos reakcijos į vaist</w:t>
      </w:r>
      <w:r w:rsidR="00497D6D">
        <w:rPr>
          <w:szCs w:val="22"/>
          <w:lang w:eastAsia="en-US"/>
        </w:rPr>
        <w:t>inį preparatą</w:t>
      </w:r>
      <w:r w:rsidRPr="00835916">
        <w:rPr>
          <w:szCs w:val="22"/>
          <w:lang w:eastAsia="en-US"/>
        </w:rPr>
        <w:t xml:space="preserve"> (NRV) priskirtos atitinkamoms dažnio</w:t>
      </w:r>
      <w:r>
        <w:rPr>
          <w:szCs w:val="22"/>
          <w:lang w:eastAsia="en-US"/>
        </w:rPr>
        <w:t xml:space="preserve"> </w:t>
      </w:r>
      <w:r w:rsidRPr="00835916">
        <w:rPr>
          <w:szCs w:val="22"/>
          <w:lang w:eastAsia="en-US"/>
        </w:rPr>
        <w:t xml:space="preserve">kategorijoms remiantis 500 mg </w:t>
      </w:r>
      <w:r>
        <w:rPr>
          <w:szCs w:val="22"/>
          <w:lang w:eastAsia="en-US"/>
        </w:rPr>
        <w:t>fu</w:t>
      </w:r>
      <w:r w:rsidR="00C41D45">
        <w:rPr>
          <w:szCs w:val="22"/>
          <w:lang w:eastAsia="en-US"/>
        </w:rPr>
        <w:t>l</w:t>
      </w:r>
      <w:r>
        <w:rPr>
          <w:szCs w:val="22"/>
          <w:lang w:eastAsia="en-US"/>
        </w:rPr>
        <w:t>vestranto</w:t>
      </w:r>
      <w:r w:rsidRPr="00835916">
        <w:rPr>
          <w:szCs w:val="22"/>
          <w:lang w:eastAsia="en-US"/>
        </w:rPr>
        <w:t xml:space="preserve"> </w:t>
      </w:r>
      <w:r>
        <w:rPr>
          <w:szCs w:val="22"/>
          <w:lang w:eastAsia="en-US"/>
        </w:rPr>
        <w:t>jungtinio</w:t>
      </w:r>
      <w:r w:rsidRPr="00835916">
        <w:rPr>
          <w:szCs w:val="22"/>
          <w:lang w:eastAsia="en-US"/>
        </w:rPr>
        <w:t xml:space="preserve"> saugumo analizės duomenimis, kurie gauti lyginant</w:t>
      </w:r>
      <w:r>
        <w:rPr>
          <w:szCs w:val="22"/>
          <w:lang w:eastAsia="en-US"/>
        </w:rPr>
        <w:t xml:space="preserve"> </w:t>
      </w:r>
      <w:r w:rsidRPr="00835916">
        <w:rPr>
          <w:szCs w:val="22"/>
          <w:lang w:eastAsia="en-US"/>
        </w:rPr>
        <w:t>500</w:t>
      </w:r>
      <w:r w:rsidR="00C41D45">
        <w:rPr>
          <w:szCs w:val="22"/>
          <w:lang w:eastAsia="en-US"/>
        </w:rPr>
        <w:t> </w:t>
      </w:r>
      <w:r w:rsidRPr="00835916">
        <w:rPr>
          <w:szCs w:val="22"/>
          <w:lang w:eastAsia="en-US"/>
        </w:rPr>
        <w:t>mg</w:t>
      </w:r>
      <w:r>
        <w:rPr>
          <w:szCs w:val="22"/>
          <w:lang w:eastAsia="en-US"/>
        </w:rPr>
        <w:t xml:space="preserve"> fulvestranto </w:t>
      </w:r>
      <w:r w:rsidRPr="00835916">
        <w:rPr>
          <w:szCs w:val="22"/>
          <w:lang w:eastAsia="en-US"/>
        </w:rPr>
        <w:t xml:space="preserve">ir 250 mg </w:t>
      </w:r>
      <w:r>
        <w:rPr>
          <w:szCs w:val="22"/>
          <w:lang w:eastAsia="en-US"/>
        </w:rPr>
        <w:t xml:space="preserve">fulvestranto </w:t>
      </w:r>
      <w:r w:rsidRPr="00835916">
        <w:rPr>
          <w:szCs w:val="22"/>
          <w:lang w:eastAsia="en-US"/>
        </w:rPr>
        <w:t>poveikį tyrimų CONFIRM (D6997C00002), FINDER 1</w:t>
      </w:r>
      <w:r>
        <w:rPr>
          <w:szCs w:val="22"/>
          <w:lang w:eastAsia="en-US"/>
        </w:rPr>
        <w:t xml:space="preserve"> </w:t>
      </w:r>
      <w:r w:rsidRPr="00835916">
        <w:rPr>
          <w:szCs w:val="22"/>
          <w:lang w:eastAsia="en-US"/>
        </w:rPr>
        <w:t>(D6997C00004), FINDER 2 (D6997C00006) ir NEWEST (D6997C00003) metu, arba vien FALCON</w:t>
      </w:r>
      <w:r>
        <w:rPr>
          <w:szCs w:val="22"/>
          <w:lang w:eastAsia="en-US"/>
        </w:rPr>
        <w:t xml:space="preserve"> </w:t>
      </w:r>
      <w:r w:rsidRPr="00835916">
        <w:rPr>
          <w:szCs w:val="22"/>
          <w:lang w:eastAsia="en-US"/>
        </w:rPr>
        <w:t xml:space="preserve">(D699BC00001) tyrimo duomenimis (jo metu lygintas 500 mg </w:t>
      </w:r>
      <w:r>
        <w:rPr>
          <w:szCs w:val="22"/>
          <w:lang w:eastAsia="en-US"/>
        </w:rPr>
        <w:t>fulvestranto</w:t>
      </w:r>
      <w:r w:rsidRPr="00835916">
        <w:rPr>
          <w:szCs w:val="22"/>
          <w:lang w:eastAsia="en-US"/>
        </w:rPr>
        <w:t xml:space="preserve"> ir 1 mg anastrozolo poveikis).</w:t>
      </w:r>
    </w:p>
    <w:p w14:paraId="5C7FCE5D" w14:textId="142E2CE9" w:rsidR="004364B8" w:rsidRDefault="00835916" w:rsidP="00835916">
      <w:pPr>
        <w:rPr>
          <w:szCs w:val="22"/>
          <w:lang w:eastAsia="en-US"/>
        </w:rPr>
      </w:pPr>
      <w:r>
        <w:rPr>
          <w:szCs w:val="22"/>
          <w:lang w:eastAsia="en-US"/>
        </w:rPr>
        <w:t xml:space="preserve">Jeigu </w:t>
      </w:r>
      <w:r w:rsidRPr="00835916">
        <w:rPr>
          <w:szCs w:val="22"/>
          <w:lang w:eastAsia="en-US"/>
        </w:rPr>
        <w:t xml:space="preserve">dažnis </w:t>
      </w:r>
      <w:r>
        <w:rPr>
          <w:szCs w:val="22"/>
          <w:lang w:eastAsia="en-US"/>
        </w:rPr>
        <w:t>jungtinio</w:t>
      </w:r>
      <w:r w:rsidRPr="00835916">
        <w:rPr>
          <w:szCs w:val="22"/>
          <w:lang w:eastAsia="en-US"/>
        </w:rPr>
        <w:t xml:space="preserve"> saugumo analizės ir FALCON duomenimis yra skirtingas, tai nurodytas</w:t>
      </w:r>
      <w:r>
        <w:rPr>
          <w:szCs w:val="22"/>
          <w:lang w:eastAsia="en-US"/>
        </w:rPr>
        <w:t xml:space="preserve"> </w:t>
      </w:r>
      <w:r w:rsidRPr="00835916">
        <w:rPr>
          <w:szCs w:val="22"/>
          <w:lang w:eastAsia="en-US"/>
        </w:rPr>
        <w:t>didžiausias. 1 lentelėje nurodyti dažniai apskaičiuoti remiantis visais gautais pranešimais apie</w:t>
      </w:r>
      <w:r>
        <w:rPr>
          <w:szCs w:val="22"/>
          <w:lang w:eastAsia="en-US"/>
        </w:rPr>
        <w:t xml:space="preserve"> </w:t>
      </w:r>
      <w:r w:rsidRPr="00835916">
        <w:rPr>
          <w:szCs w:val="22"/>
          <w:lang w:eastAsia="en-US"/>
        </w:rPr>
        <w:t>nepageidaujamas reakcijas į vaist</w:t>
      </w:r>
      <w:r w:rsidR="00C41D45">
        <w:rPr>
          <w:szCs w:val="22"/>
          <w:lang w:eastAsia="en-US"/>
        </w:rPr>
        <w:t>inį preparat</w:t>
      </w:r>
      <w:r w:rsidRPr="00835916">
        <w:rPr>
          <w:szCs w:val="22"/>
          <w:lang w:eastAsia="en-US"/>
        </w:rPr>
        <w:t>ą, neatsižvelgiant į tyrėjo pateiktą priežastinio ryšio vertinimą.</w:t>
      </w:r>
      <w:r>
        <w:rPr>
          <w:szCs w:val="22"/>
          <w:lang w:eastAsia="en-US"/>
        </w:rPr>
        <w:t xml:space="preserve"> </w:t>
      </w:r>
      <w:r w:rsidRPr="00835916">
        <w:rPr>
          <w:szCs w:val="22"/>
          <w:lang w:eastAsia="en-US"/>
        </w:rPr>
        <w:t>500</w:t>
      </w:r>
      <w:r w:rsidR="00FC03AF">
        <w:rPr>
          <w:szCs w:val="22"/>
          <w:lang w:eastAsia="en-US"/>
        </w:rPr>
        <w:t> </w:t>
      </w:r>
      <w:r w:rsidRPr="00835916">
        <w:rPr>
          <w:szCs w:val="22"/>
          <w:lang w:eastAsia="en-US"/>
        </w:rPr>
        <w:t xml:space="preserve">mg </w:t>
      </w:r>
      <w:r>
        <w:rPr>
          <w:szCs w:val="22"/>
          <w:lang w:eastAsia="en-US"/>
        </w:rPr>
        <w:t>f</w:t>
      </w:r>
      <w:r w:rsidRPr="00835916">
        <w:rPr>
          <w:szCs w:val="22"/>
          <w:lang w:eastAsia="en-US"/>
        </w:rPr>
        <w:t xml:space="preserve">ulvestranto dozės vartojimo trukmės mediana </w:t>
      </w:r>
      <w:r>
        <w:rPr>
          <w:szCs w:val="22"/>
          <w:lang w:eastAsia="en-US"/>
        </w:rPr>
        <w:t>jungtiniais duomenimis</w:t>
      </w:r>
      <w:r w:rsidRPr="00835916">
        <w:rPr>
          <w:szCs w:val="22"/>
          <w:lang w:eastAsia="en-US"/>
        </w:rPr>
        <w:t xml:space="preserve"> (įskaitant aukščiau minėtus tyrimus ir</w:t>
      </w:r>
      <w:r>
        <w:rPr>
          <w:szCs w:val="22"/>
          <w:lang w:eastAsia="en-US"/>
        </w:rPr>
        <w:t xml:space="preserve"> </w:t>
      </w:r>
      <w:r w:rsidRPr="00835916">
        <w:rPr>
          <w:szCs w:val="22"/>
          <w:lang w:eastAsia="en-US"/>
        </w:rPr>
        <w:t>FALCON) buvo 6,5 mėn</w:t>
      </w:r>
      <w:r>
        <w:rPr>
          <w:szCs w:val="22"/>
          <w:lang w:eastAsia="en-US"/>
        </w:rPr>
        <w:t>esio</w:t>
      </w:r>
      <w:r w:rsidRPr="00835916">
        <w:rPr>
          <w:szCs w:val="22"/>
          <w:lang w:eastAsia="en-US"/>
        </w:rPr>
        <w:t>.</w:t>
      </w:r>
    </w:p>
    <w:p w14:paraId="2E1CB907" w14:textId="77777777" w:rsidR="00983835" w:rsidRDefault="00983835" w:rsidP="00835916">
      <w:pPr>
        <w:rPr>
          <w:szCs w:val="22"/>
          <w:lang w:eastAsia="en-US"/>
        </w:rPr>
      </w:pPr>
    </w:p>
    <w:p w14:paraId="1EF302F5" w14:textId="77777777" w:rsidR="00983835" w:rsidRPr="00901F66" w:rsidRDefault="00983835" w:rsidP="00835916">
      <w:pPr>
        <w:rPr>
          <w:szCs w:val="22"/>
          <w:u w:val="single"/>
          <w:lang w:eastAsia="en-US"/>
        </w:rPr>
      </w:pPr>
      <w:r w:rsidRPr="00901F66">
        <w:rPr>
          <w:szCs w:val="22"/>
          <w:u w:val="single"/>
          <w:lang w:eastAsia="en-US"/>
        </w:rPr>
        <w:t>Nepageidaujamų reakcijų santrauka lentelėje</w:t>
      </w:r>
    </w:p>
    <w:p w14:paraId="6BC53A6E" w14:textId="77777777" w:rsidR="004364B8" w:rsidRDefault="004364B8" w:rsidP="004364B8">
      <w:pPr>
        <w:rPr>
          <w:szCs w:val="22"/>
          <w:lang w:eastAsia="en-US"/>
        </w:rPr>
      </w:pPr>
      <w:r>
        <w:rPr>
          <w:szCs w:val="22"/>
          <w:lang w:eastAsia="en-US"/>
        </w:rPr>
        <w:t>Žemiau išvardytos nepageidaujamos reakcijos suklasifikuotos pagal dažnį ir organų sistemų klases.</w:t>
      </w:r>
    </w:p>
    <w:p w14:paraId="085F8E77" w14:textId="28222A06" w:rsidR="004364B8" w:rsidRDefault="004364B8" w:rsidP="004364B8">
      <w:pPr>
        <w:rPr>
          <w:szCs w:val="22"/>
          <w:lang w:eastAsia="en-US"/>
        </w:rPr>
      </w:pPr>
      <w:r>
        <w:rPr>
          <w:szCs w:val="22"/>
          <w:lang w:eastAsia="en-US"/>
        </w:rPr>
        <w:t>Nepageidaujamo poveikio dažnis apibūdinamas taip: labai dažnas (≥</w:t>
      </w:r>
      <w:r w:rsidR="00153369">
        <w:rPr>
          <w:szCs w:val="22"/>
          <w:lang w:eastAsia="en-US"/>
        </w:rPr>
        <w:t> </w:t>
      </w:r>
      <w:r>
        <w:rPr>
          <w:szCs w:val="22"/>
          <w:lang w:eastAsia="en-US"/>
        </w:rPr>
        <w:t>1/10), dažnas (nuo ≥</w:t>
      </w:r>
      <w:r w:rsidR="00153369">
        <w:rPr>
          <w:szCs w:val="22"/>
          <w:lang w:eastAsia="en-US"/>
        </w:rPr>
        <w:t> </w:t>
      </w:r>
      <w:r>
        <w:rPr>
          <w:szCs w:val="22"/>
          <w:lang w:eastAsia="en-US"/>
        </w:rPr>
        <w:t>1/100 iki &lt;</w:t>
      </w:r>
      <w:r w:rsidR="00153369">
        <w:rPr>
          <w:szCs w:val="22"/>
          <w:lang w:eastAsia="en-US"/>
        </w:rPr>
        <w:t> </w:t>
      </w:r>
      <w:r>
        <w:rPr>
          <w:szCs w:val="22"/>
          <w:lang w:eastAsia="en-US"/>
        </w:rPr>
        <w:t>1/10), nedažnas (nuo ≥</w:t>
      </w:r>
      <w:r w:rsidR="00153369">
        <w:rPr>
          <w:szCs w:val="22"/>
          <w:lang w:eastAsia="en-US"/>
        </w:rPr>
        <w:t> </w:t>
      </w:r>
      <w:r>
        <w:rPr>
          <w:szCs w:val="22"/>
          <w:lang w:eastAsia="en-US"/>
        </w:rPr>
        <w:t>1/1</w:t>
      </w:r>
      <w:r w:rsidR="00023879">
        <w:rPr>
          <w:szCs w:val="22"/>
          <w:lang w:eastAsia="en-US"/>
        </w:rPr>
        <w:t> </w:t>
      </w:r>
      <w:r>
        <w:rPr>
          <w:szCs w:val="22"/>
          <w:lang w:eastAsia="en-US"/>
        </w:rPr>
        <w:t>000 iki &lt;</w:t>
      </w:r>
      <w:r w:rsidR="00153369">
        <w:rPr>
          <w:szCs w:val="22"/>
          <w:lang w:eastAsia="en-US"/>
        </w:rPr>
        <w:t> </w:t>
      </w:r>
      <w:r>
        <w:rPr>
          <w:szCs w:val="22"/>
          <w:lang w:eastAsia="en-US"/>
        </w:rPr>
        <w:t>1/100). Kiekvienoje dažnio grupėje nepageidaujamos reakcijos pateikiamos mažėjančio sunkumo tvarka.</w:t>
      </w:r>
    </w:p>
    <w:p w14:paraId="54E9327C" w14:textId="77777777" w:rsidR="004364B8" w:rsidRDefault="004364B8" w:rsidP="004364B8">
      <w:pPr>
        <w:rPr>
          <w:szCs w:val="22"/>
          <w:lang w:eastAsia="en-US"/>
        </w:rPr>
      </w:pPr>
    </w:p>
    <w:p w14:paraId="1142B549" w14:textId="74EA2744" w:rsidR="004364B8" w:rsidRPr="00762517" w:rsidRDefault="004364B8" w:rsidP="004364B8">
      <w:pPr>
        <w:rPr>
          <w:b/>
          <w:bCs/>
          <w:szCs w:val="22"/>
          <w:lang w:eastAsia="en-US"/>
        </w:rPr>
      </w:pPr>
      <w:r>
        <w:rPr>
          <w:b/>
          <w:bCs/>
          <w:szCs w:val="22"/>
          <w:lang w:eastAsia="en-US"/>
        </w:rPr>
        <w:t>1 lentelė. Nepageidaujamos reakcijos į vaistinį preparatą</w:t>
      </w:r>
      <w:r w:rsidR="00C41D45">
        <w:rPr>
          <w:b/>
          <w:bCs/>
          <w:szCs w:val="22"/>
          <w:lang w:eastAsia="en-US"/>
        </w:rPr>
        <w:t>,</w:t>
      </w:r>
      <w:r w:rsidR="00983835">
        <w:rPr>
          <w:b/>
          <w:bCs/>
          <w:szCs w:val="22"/>
          <w:lang w:eastAsia="en-US"/>
        </w:rPr>
        <w:t xml:space="preserve"> </w:t>
      </w:r>
      <w:r w:rsidR="00983835" w:rsidRPr="00762517">
        <w:rPr>
          <w:b/>
          <w:bCs/>
          <w:szCs w:val="22"/>
          <w:lang w:eastAsia="en-US"/>
        </w:rPr>
        <w:t>nustatytos pacient</w:t>
      </w:r>
      <w:r w:rsidR="00497D6D">
        <w:rPr>
          <w:b/>
          <w:bCs/>
          <w:szCs w:val="22"/>
          <w:lang w:eastAsia="en-US"/>
        </w:rPr>
        <w:t>ėms</w:t>
      </w:r>
      <w:r w:rsidR="00983835" w:rsidRPr="00762517">
        <w:rPr>
          <w:b/>
          <w:bCs/>
          <w:szCs w:val="22"/>
          <w:lang w:eastAsia="en-US"/>
        </w:rPr>
        <w:t xml:space="preserve"> </w:t>
      </w:r>
      <w:r w:rsidR="00983835" w:rsidRPr="00901F66">
        <w:rPr>
          <w:rFonts w:eastAsia="Batang"/>
          <w:b/>
          <w:bCs/>
          <w:szCs w:val="22"/>
          <w:lang w:eastAsia="en-US"/>
        </w:rPr>
        <w:t xml:space="preserve">taikant </w:t>
      </w:r>
      <w:r w:rsidR="00983835" w:rsidRPr="00901F66">
        <w:rPr>
          <w:rFonts w:eastAsia="Batang" w:hint="eastAsia"/>
          <w:b/>
          <w:bCs/>
          <w:szCs w:val="22"/>
          <w:lang w:eastAsia="en-US"/>
        </w:rPr>
        <w:t>monoterapiją</w:t>
      </w:r>
      <w:r w:rsidR="00983835" w:rsidRPr="00901F66">
        <w:rPr>
          <w:rFonts w:eastAsia="Batang"/>
          <w:b/>
          <w:bCs/>
          <w:szCs w:val="22"/>
          <w:lang w:eastAsia="en-US"/>
        </w:rPr>
        <w:t xml:space="preserve"> fulvestrantu</w:t>
      </w:r>
    </w:p>
    <w:p w14:paraId="47317D1F" w14:textId="77777777" w:rsidR="004364B8" w:rsidRDefault="004364B8" w:rsidP="004364B8">
      <w:pPr>
        <w:rPr>
          <w:szCs w:val="22"/>
          <w:lang w:eastAsia="en-US"/>
        </w:rPr>
      </w:pPr>
    </w:p>
    <w:tbl>
      <w:tblPr>
        <w:tblW w:w="4999"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9"/>
        <w:gridCol w:w="1575"/>
        <w:gridCol w:w="4324"/>
      </w:tblGrid>
      <w:tr w:rsidR="003F235A" w14:paraId="3CFF4CE2" w14:textId="77777777" w:rsidTr="003F235A">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5099F2AA" w14:textId="77777777" w:rsidR="004364B8" w:rsidRDefault="004364B8" w:rsidP="00BA1D9E">
            <w:pPr>
              <w:spacing w:line="256" w:lineRule="auto"/>
              <w:rPr>
                <w:szCs w:val="22"/>
                <w:lang w:eastAsia="en-US"/>
              </w:rPr>
            </w:pPr>
            <w:r>
              <w:rPr>
                <w:b/>
                <w:bCs/>
                <w:szCs w:val="22"/>
                <w:lang w:eastAsia="en-US"/>
              </w:rPr>
              <w:t>Nepageidaujamos reakcijos pagal organų sistemų klases ir dažnį</w:t>
            </w:r>
          </w:p>
        </w:tc>
      </w:tr>
      <w:tr w:rsidR="003F235A" w14:paraId="3E49C6E2" w14:textId="77777777" w:rsidTr="003F235A">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29354DE0" w14:textId="77777777" w:rsidR="004364B8" w:rsidRDefault="004364B8" w:rsidP="00BA1D9E">
            <w:pPr>
              <w:spacing w:line="256" w:lineRule="auto"/>
              <w:rPr>
                <w:szCs w:val="22"/>
                <w:lang w:eastAsia="en-US"/>
              </w:rPr>
            </w:pPr>
            <w:r>
              <w:rPr>
                <w:szCs w:val="22"/>
                <w:lang w:eastAsia="en-US"/>
              </w:rPr>
              <w:lastRenderedPageBreak/>
              <w:t>Infekcijos ir infestacijos</w:t>
            </w:r>
          </w:p>
        </w:tc>
        <w:tc>
          <w:tcPr>
            <w:tcW w:w="874" w:type="pct"/>
            <w:tcBorders>
              <w:top w:val="outset" w:sz="6" w:space="0" w:color="auto"/>
              <w:left w:val="outset" w:sz="6" w:space="0" w:color="auto"/>
              <w:bottom w:val="outset" w:sz="6" w:space="0" w:color="auto"/>
              <w:right w:val="outset" w:sz="6" w:space="0" w:color="auto"/>
            </w:tcBorders>
            <w:hideMark/>
          </w:tcPr>
          <w:p w14:paraId="7CF940B2" w14:textId="77777777" w:rsidR="004364B8" w:rsidRDefault="004364B8" w:rsidP="00BA1D9E">
            <w:pPr>
              <w:spacing w:line="256" w:lineRule="auto"/>
              <w:rPr>
                <w:szCs w:val="22"/>
                <w:lang w:eastAsia="en-US"/>
              </w:rPr>
            </w:pPr>
            <w:r>
              <w:rPr>
                <w:szCs w:val="22"/>
                <w:lang w:eastAsia="en-US"/>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0133E0F5" w14:textId="494C62B4" w:rsidR="004364B8" w:rsidRDefault="004364B8" w:rsidP="00BA1D9E">
            <w:pPr>
              <w:spacing w:line="256" w:lineRule="auto"/>
              <w:rPr>
                <w:szCs w:val="22"/>
                <w:lang w:eastAsia="en-US"/>
              </w:rPr>
            </w:pPr>
            <w:r>
              <w:rPr>
                <w:szCs w:val="22"/>
                <w:lang w:eastAsia="en-US"/>
              </w:rPr>
              <w:t>Šlapimo takų infekcijos</w:t>
            </w:r>
          </w:p>
        </w:tc>
      </w:tr>
      <w:tr w:rsidR="003F235A" w14:paraId="69D701AC" w14:textId="77777777" w:rsidTr="003F235A">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2F5FA891" w14:textId="77777777" w:rsidR="004364B8" w:rsidRDefault="004364B8" w:rsidP="00BA1D9E">
            <w:pPr>
              <w:spacing w:line="256" w:lineRule="auto"/>
              <w:rPr>
                <w:szCs w:val="22"/>
                <w:lang w:eastAsia="en-US"/>
              </w:rPr>
            </w:pPr>
            <w:r>
              <w:rPr>
                <w:szCs w:val="22"/>
                <w:lang w:eastAsia="en-US"/>
              </w:rPr>
              <w:t>Kraujo ir limfinės sistemos sutrikimai</w:t>
            </w:r>
          </w:p>
        </w:tc>
        <w:tc>
          <w:tcPr>
            <w:tcW w:w="874" w:type="pct"/>
            <w:tcBorders>
              <w:top w:val="outset" w:sz="6" w:space="0" w:color="auto"/>
              <w:left w:val="outset" w:sz="6" w:space="0" w:color="auto"/>
              <w:bottom w:val="outset" w:sz="6" w:space="0" w:color="auto"/>
              <w:right w:val="outset" w:sz="6" w:space="0" w:color="auto"/>
            </w:tcBorders>
            <w:hideMark/>
          </w:tcPr>
          <w:p w14:paraId="03D2872A" w14:textId="52B07BDB" w:rsidR="004364B8" w:rsidRDefault="00983835" w:rsidP="00BA1D9E">
            <w:pPr>
              <w:spacing w:line="256" w:lineRule="auto"/>
              <w:rPr>
                <w:szCs w:val="22"/>
                <w:lang w:eastAsia="en-US"/>
              </w:rPr>
            </w:pPr>
            <w:r>
              <w:rPr>
                <w:szCs w:val="22"/>
                <w:lang w:eastAsia="en-US"/>
              </w:rPr>
              <w:t>Dažnas</w:t>
            </w:r>
          </w:p>
        </w:tc>
        <w:tc>
          <w:tcPr>
            <w:tcW w:w="2400" w:type="pct"/>
            <w:tcBorders>
              <w:top w:val="outset" w:sz="6" w:space="0" w:color="auto"/>
              <w:left w:val="outset" w:sz="6" w:space="0" w:color="auto"/>
              <w:bottom w:val="outset" w:sz="6" w:space="0" w:color="auto"/>
              <w:right w:val="outset" w:sz="6" w:space="0" w:color="auto"/>
            </w:tcBorders>
            <w:hideMark/>
          </w:tcPr>
          <w:p w14:paraId="3E980A7C" w14:textId="578C5201" w:rsidR="004364B8" w:rsidRDefault="004364B8" w:rsidP="00BA1D9E">
            <w:pPr>
              <w:spacing w:line="256" w:lineRule="auto"/>
              <w:rPr>
                <w:szCs w:val="22"/>
                <w:lang w:eastAsia="en-US"/>
              </w:rPr>
            </w:pPr>
            <w:r>
              <w:rPr>
                <w:szCs w:val="22"/>
                <w:lang w:eastAsia="en-US"/>
              </w:rPr>
              <w:t>Sumažėjęs trombocitų kiekis</w:t>
            </w:r>
            <w:r w:rsidR="00983835" w:rsidRPr="00901F66">
              <w:rPr>
                <w:szCs w:val="22"/>
                <w:vertAlign w:val="superscript"/>
                <w:lang w:eastAsia="en-US"/>
              </w:rPr>
              <w:t>e</w:t>
            </w:r>
          </w:p>
        </w:tc>
      </w:tr>
      <w:tr w:rsidR="003F235A" w14:paraId="569F5F77" w14:textId="77777777" w:rsidTr="000122B5">
        <w:trPr>
          <w:trHeight w:val="540"/>
          <w:tblCellSpacing w:w="0" w:type="dxa"/>
        </w:trPr>
        <w:tc>
          <w:tcPr>
            <w:tcW w:w="1726" w:type="pct"/>
            <w:vMerge w:val="restart"/>
            <w:tcBorders>
              <w:top w:val="outset" w:sz="6" w:space="0" w:color="auto"/>
              <w:left w:val="outset" w:sz="6" w:space="0" w:color="auto"/>
              <w:right w:val="outset" w:sz="6" w:space="0" w:color="auto"/>
            </w:tcBorders>
            <w:hideMark/>
          </w:tcPr>
          <w:p w14:paraId="78682063" w14:textId="77777777" w:rsidR="00C41D45" w:rsidRDefault="00C41D45" w:rsidP="00BA1D9E">
            <w:pPr>
              <w:spacing w:line="256" w:lineRule="auto"/>
              <w:rPr>
                <w:szCs w:val="22"/>
                <w:lang w:eastAsia="en-US"/>
              </w:rPr>
            </w:pPr>
            <w:r>
              <w:rPr>
                <w:szCs w:val="22"/>
                <w:lang w:eastAsia="en-US"/>
              </w:rPr>
              <w:t>Imuninės sistemos sutrikimai</w:t>
            </w:r>
          </w:p>
        </w:tc>
        <w:tc>
          <w:tcPr>
            <w:tcW w:w="874" w:type="pct"/>
            <w:tcBorders>
              <w:top w:val="outset" w:sz="6" w:space="0" w:color="auto"/>
              <w:left w:val="outset" w:sz="6" w:space="0" w:color="auto"/>
              <w:bottom w:val="outset" w:sz="6" w:space="0" w:color="auto"/>
              <w:right w:val="outset" w:sz="6" w:space="0" w:color="auto"/>
            </w:tcBorders>
            <w:hideMark/>
          </w:tcPr>
          <w:p w14:paraId="5E274F05" w14:textId="0B3998E3" w:rsidR="00C41D45" w:rsidRDefault="00C41D45" w:rsidP="00BA1D9E">
            <w:pPr>
              <w:spacing w:line="256" w:lineRule="auto"/>
              <w:rPr>
                <w:szCs w:val="22"/>
                <w:lang w:eastAsia="en-US"/>
              </w:rPr>
            </w:pPr>
            <w:r>
              <w:rPr>
                <w:szCs w:val="22"/>
                <w:lang w:eastAsia="en-US"/>
              </w:rPr>
              <w:t xml:space="preserve">Labai dažnas </w:t>
            </w:r>
          </w:p>
        </w:tc>
        <w:tc>
          <w:tcPr>
            <w:tcW w:w="2400" w:type="pct"/>
            <w:tcBorders>
              <w:top w:val="outset" w:sz="6" w:space="0" w:color="auto"/>
              <w:left w:val="outset" w:sz="6" w:space="0" w:color="auto"/>
              <w:bottom w:val="outset" w:sz="6" w:space="0" w:color="auto"/>
              <w:right w:val="outset" w:sz="6" w:space="0" w:color="auto"/>
            </w:tcBorders>
            <w:hideMark/>
          </w:tcPr>
          <w:p w14:paraId="250F64DC" w14:textId="3BAAECA5" w:rsidR="00C41D45" w:rsidRDefault="00C41D45" w:rsidP="00BA1D9E">
            <w:pPr>
              <w:spacing w:line="256" w:lineRule="auto"/>
              <w:rPr>
                <w:szCs w:val="22"/>
                <w:lang w:eastAsia="en-US"/>
              </w:rPr>
            </w:pPr>
            <w:r>
              <w:rPr>
                <w:szCs w:val="22"/>
                <w:lang w:eastAsia="en-US"/>
              </w:rPr>
              <w:t>Padidėjusio jautrumo reakcijos</w:t>
            </w:r>
            <w:r w:rsidRPr="00901F66">
              <w:rPr>
                <w:szCs w:val="22"/>
                <w:vertAlign w:val="superscript"/>
                <w:lang w:eastAsia="en-US"/>
              </w:rPr>
              <w:t>e</w:t>
            </w:r>
          </w:p>
          <w:p w14:paraId="5A9D10EE" w14:textId="27E4AAE9" w:rsidR="00C41D45" w:rsidRDefault="00C41D45" w:rsidP="00BA1D9E">
            <w:pPr>
              <w:spacing w:line="256" w:lineRule="auto"/>
              <w:rPr>
                <w:szCs w:val="22"/>
                <w:lang w:eastAsia="en-US"/>
              </w:rPr>
            </w:pPr>
          </w:p>
        </w:tc>
      </w:tr>
      <w:tr w:rsidR="00C41D45" w14:paraId="57C4AEE4" w14:textId="77777777" w:rsidTr="000122B5">
        <w:trPr>
          <w:trHeight w:val="270"/>
          <w:tblCellSpacing w:w="0" w:type="dxa"/>
        </w:trPr>
        <w:tc>
          <w:tcPr>
            <w:tcW w:w="1726" w:type="pct"/>
            <w:vMerge/>
            <w:tcBorders>
              <w:left w:val="outset" w:sz="6" w:space="0" w:color="auto"/>
              <w:bottom w:val="outset" w:sz="6" w:space="0" w:color="auto"/>
              <w:right w:val="outset" w:sz="6" w:space="0" w:color="auto"/>
            </w:tcBorders>
          </w:tcPr>
          <w:p w14:paraId="0676DCA9" w14:textId="77777777" w:rsidR="00C41D45" w:rsidRDefault="00C41D45" w:rsidP="00BA1D9E">
            <w:pPr>
              <w:spacing w:line="256" w:lineRule="auto"/>
              <w:rPr>
                <w:szCs w:val="22"/>
                <w:lang w:eastAsia="en-US"/>
              </w:rPr>
            </w:pPr>
          </w:p>
        </w:tc>
        <w:tc>
          <w:tcPr>
            <w:tcW w:w="874" w:type="pct"/>
            <w:tcBorders>
              <w:top w:val="outset" w:sz="6" w:space="0" w:color="auto"/>
              <w:left w:val="outset" w:sz="6" w:space="0" w:color="auto"/>
              <w:bottom w:val="outset" w:sz="6" w:space="0" w:color="auto"/>
              <w:right w:val="outset" w:sz="6" w:space="0" w:color="auto"/>
            </w:tcBorders>
          </w:tcPr>
          <w:p w14:paraId="18FBFDE3" w14:textId="6367B134" w:rsidR="00C41D45" w:rsidRDefault="00C41D45" w:rsidP="00BA1D9E">
            <w:pPr>
              <w:spacing w:line="256" w:lineRule="auto"/>
              <w:rPr>
                <w:szCs w:val="22"/>
                <w:lang w:eastAsia="en-US"/>
              </w:rPr>
            </w:pPr>
            <w:r>
              <w:rPr>
                <w:szCs w:val="22"/>
                <w:lang w:eastAsia="en-US"/>
              </w:rPr>
              <w:t>Nedažnas</w:t>
            </w:r>
          </w:p>
        </w:tc>
        <w:tc>
          <w:tcPr>
            <w:tcW w:w="2400" w:type="pct"/>
            <w:tcBorders>
              <w:top w:val="outset" w:sz="6" w:space="0" w:color="auto"/>
              <w:left w:val="outset" w:sz="6" w:space="0" w:color="auto"/>
              <w:bottom w:val="outset" w:sz="6" w:space="0" w:color="auto"/>
              <w:right w:val="outset" w:sz="6" w:space="0" w:color="auto"/>
            </w:tcBorders>
          </w:tcPr>
          <w:p w14:paraId="1647B3AD" w14:textId="43A22B4C" w:rsidR="00C41D45" w:rsidRDefault="00C41D45" w:rsidP="00BA1D9E">
            <w:pPr>
              <w:spacing w:line="256" w:lineRule="auto"/>
              <w:rPr>
                <w:szCs w:val="22"/>
                <w:lang w:eastAsia="en-US"/>
              </w:rPr>
            </w:pPr>
            <w:r>
              <w:rPr>
                <w:szCs w:val="22"/>
                <w:lang w:eastAsia="en-US"/>
              </w:rPr>
              <w:t>Anafilaksinės reakcijos</w:t>
            </w:r>
          </w:p>
        </w:tc>
      </w:tr>
      <w:tr w:rsidR="003F235A" w14:paraId="3710768B" w14:textId="77777777" w:rsidTr="003F235A">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3B1E2C60" w14:textId="77777777" w:rsidR="004364B8" w:rsidRDefault="004364B8" w:rsidP="00BA1D9E">
            <w:pPr>
              <w:spacing w:line="256" w:lineRule="auto"/>
              <w:rPr>
                <w:szCs w:val="22"/>
                <w:lang w:eastAsia="en-US"/>
              </w:rPr>
            </w:pPr>
            <w:r>
              <w:rPr>
                <w:szCs w:val="22"/>
                <w:lang w:eastAsia="en-US"/>
              </w:rPr>
              <w:t>Metabolizmo ir mitybos sutrikimai</w:t>
            </w:r>
          </w:p>
        </w:tc>
        <w:tc>
          <w:tcPr>
            <w:tcW w:w="874" w:type="pct"/>
            <w:tcBorders>
              <w:top w:val="outset" w:sz="6" w:space="0" w:color="auto"/>
              <w:left w:val="outset" w:sz="6" w:space="0" w:color="auto"/>
              <w:bottom w:val="outset" w:sz="6" w:space="0" w:color="auto"/>
              <w:right w:val="outset" w:sz="6" w:space="0" w:color="auto"/>
            </w:tcBorders>
            <w:hideMark/>
          </w:tcPr>
          <w:p w14:paraId="0F99380B" w14:textId="77777777" w:rsidR="004364B8" w:rsidRDefault="004364B8" w:rsidP="00BA1D9E">
            <w:pPr>
              <w:spacing w:line="256" w:lineRule="auto"/>
              <w:rPr>
                <w:szCs w:val="22"/>
                <w:lang w:eastAsia="en-US"/>
              </w:rPr>
            </w:pPr>
            <w:r>
              <w:rPr>
                <w:szCs w:val="22"/>
                <w:lang w:eastAsia="en-US"/>
              </w:rPr>
              <w:t>Dažnas</w:t>
            </w:r>
          </w:p>
        </w:tc>
        <w:tc>
          <w:tcPr>
            <w:tcW w:w="2400" w:type="pct"/>
            <w:tcBorders>
              <w:top w:val="outset" w:sz="6" w:space="0" w:color="auto"/>
              <w:left w:val="outset" w:sz="6" w:space="0" w:color="auto"/>
              <w:bottom w:val="outset" w:sz="6" w:space="0" w:color="auto"/>
              <w:right w:val="outset" w:sz="6" w:space="0" w:color="auto"/>
            </w:tcBorders>
            <w:hideMark/>
          </w:tcPr>
          <w:p w14:paraId="0407B752" w14:textId="77777777" w:rsidR="004364B8" w:rsidRDefault="004364B8" w:rsidP="00BA1D9E">
            <w:pPr>
              <w:spacing w:line="256" w:lineRule="auto"/>
              <w:rPr>
                <w:szCs w:val="22"/>
                <w:lang w:eastAsia="en-US"/>
              </w:rPr>
            </w:pPr>
            <w:r>
              <w:rPr>
                <w:szCs w:val="22"/>
                <w:lang w:eastAsia="en-US"/>
              </w:rPr>
              <w:t>Anoreksija</w:t>
            </w:r>
            <w:r>
              <w:rPr>
                <w:szCs w:val="22"/>
                <w:vertAlign w:val="superscript"/>
                <w:lang w:eastAsia="en-US"/>
              </w:rPr>
              <w:t>a</w:t>
            </w:r>
          </w:p>
        </w:tc>
      </w:tr>
      <w:tr w:rsidR="003F235A" w14:paraId="273680BA" w14:textId="77777777" w:rsidTr="003F235A">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0DA07D5A" w14:textId="77777777" w:rsidR="004364B8" w:rsidRDefault="004364B8" w:rsidP="00BA1D9E">
            <w:pPr>
              <w:spacing w:line="256" w:lineRule="auto"/>
              <w:rPr>
                <w:szCs w:val="22"/>
                <w:lang w:eastAsia="en-US"/>
              </w:rPr>
            </w:pPr>
            <w:r>
              <w:rPr>
                <w:szCs w:val="22"/>
                <w:lang w:eastAsia="en-US"/>
              </w:rPr>
              <w:t>Nervų sistemos sutrikimai</w:t>
            </w:r>
          </w:p>
        </w:tc>
        <w:tc>
          <w:tcPr>
            <w:tcW w:w="874" w:type="pct"/>
            <w:tcBorders>
              <w:top w:val="outset" w:sz="6" w:space="0" w:color="auto"/>
              <w:left w:val="outset" w:sz="6" w:space="0" w:color="auto"/>
              <w:bottom w:val="outset" w:sz="6" w:space="0" w:color="auto"/>
              <w:right w:val="outset" w:sz="6" w:space="0" w:color="auto"/>
            </w:tcBorders>
            <w:hideMark/>
          </w:tcPr>
          <w:p w14:paraId="60F5AAC7" w14:textId="77777777" w:rsidR="004364B8" w:rsidRDefault="004364B8" w:rsidP="00BA1D9E">
            <w:pPr>
              <w:spacing w:line="256" w:lineRule="auto"/>
              <w:rPr>
                <w:szCs w:val="22"/>
                <w:lang w:eastAsia="en-US"/>
              </w:rPr>
            </w:pPr>
            <w:r>
              <w:rPr>
                <w:szCs w:val="22"/>
                <w:lang w:eastAsia="en-US"/>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4BA58044" w14:textId="77777777" w:rsidR="004364B8" w:rsidRDefault="004364B8" w:rsidP="00BA1D9E">
            <w:pPr>
              <w:spacing w:line="256" w:lineRule="auto"/>
              <w:rPr>
                <w:szCs w:val="22"/>
                <w:lang w:eastAsia="en-US"/>
              </w:rPr>
            </w:pPr>
            <w:r>
              <w:rPr>
                <w:szCs w:val="22"/>
                <w:lang w:eastAsia="en-US"/>
              </w:rPr>
              <w:t xml:space="preserve">Galvos skausmas </w:t>
            </w:r>
          </w:p>
        </w:tc>
      </w:tr>
      <w:tr w:rsidR="00C41D45" w:rsidRPr="008231D5" w14:paraId="7E4AE2B9" w14:textId="77777777" w:rsidTr="00497D6D">
        <w:trPr>
          <w:tblCellSpacing w:w="0" w:type="dxa"/>
        </w:trPr>
        <w:tc>
          <w:tcPr>
            <w:tcW w:w="1726" w:type="pct"/>
            <w:tcBorders>
              <w:top w:val="outset" w:sz="6" w:space="0" w:color="auto"/>
              <w:left w:val="outset" w:sz="6" w:space="0" w:color="auto"/>
              <w:right w:val="outset" w:sz="6" w:space="0" w:color="auto"/>
            </w:tcBorders>
          </w:tcPr>
          <w:p w14:paraId="70F5391B" w14:textId="77777777" w:rsidR="00C41D45" w:rsidRPr="008231D5" w:rsidRDefault="00C41D45" w:rsidP="00983835">
            <w:pPr>
              <w:rPr>
                <w:color w:val="000000"/>
                <w:szCs w:val="22"/>
              </w:rPr>
            </w:pPr>
            <w:r>
              <w:rPr>
                <w:szCs w:val="22"/>
                <w:lang w:eastAsia="en-US"/>
              </w:rPr>
              <w:t>Kraujagyslių sutrikimai</w:t>
            </w:r>
            <w:r w:rsidRPr="008231D5">
              <w:rPr>
                <w:color w:val="000000"/>
                <w:szCs w:val="22"/>
              </w:rPr>
              <w:t xml:space="preserve"> </w:t>
            </w:r>
          </w:p>
          <w:p w14:paraId="0A9CC356" w14:textId="46A1FE25" w:rsidR="00C41D45" w:rsidRPr="008231D5" w:rsidRDefault="00C41D45" w:rsidP="000122B5">
            <w:pPr>
              <w:rPr>
                <w:color w:val="000000"/>
                <w:szCs w:val="22"/>
              </w:rPr>
            </w:pPr>
          </w:p>
        </w:tc>
        <w:tc>
          <w:tcPr>
            <w:tcW w:w="874" w:type="pct"/>
            <w:tcBorders>
              <w:top w:val="outset" w:sz="6" w:space="0" w:color="auto"/>
              <w:left w:val="outset" w:sz="6" w:space="0" w:color="auto"/>
              <w:bottom w:val="outset" w:sz="6" w:space="0" w:color="auto"/>
              <w:right w:val="outset" w:sz="6" w:space="0" w:color="auto"/>
            </w:tcBorders>
          </w:tcPr>
          <w:p w14:paraId="3AFE7DE7" w14:textId="77777777" w:rsidR="00C41D45" w:rsidRPr="008231D5" w:rsidRDefault="00C41D45" w:rsidP="000452F6">
            <w:pPr>
              <w:rPr>
                <w:color w:val="000000"/>
                <w:szCs w:val="22"/>
              </w:rPr>
            </w:pPr>
            <w:r>
              <w:rPr>
                <w:color w:val="000000"/>
                <w:szCs w:val="22"/>
              </w:rPr>
              <w:t>Labai dažnas</w:t>
            </w:r>
          </w:p>
        </w:tc>
        <w:tc>
          <w:tcPr>
            <w:tcW w:w="2400" w:type="pct"/>
            <w:tcBorders>
              <w:top w:val="outset" w:sz="6" w:space="0" w:color="auto"/>
              <w:left w:val="outset" w:sz="6" w:space="0" w:color="auto"/>
              <w:bottom w:val="outset" w:sz="6" w:space="0" w:color="auto"/>
              <w:right w:val="outset" w:sz="6" w:space="0" w:color="auto"/>
            </w:tcBorders>
          </w:tcPr>
          <w:p w14:paraId="5030E195" w14:textId="77777777" w:rsidR="00C41D45" w:rsidRPr="008231D5" w:rsidRDefault="00C41D45" w:rsidP="00983835">
            <w:pPr>
              <w:rPr>
                <w:color w:val="000000"/>
                <w:szCs w:val="22"/>
              </w:rPr>
            </w:pPr>
            <w:r>
              <w:rPr>
                <w:szCs w:val="22"/>
                <w:lang w:eastAsia="en-US"/>
              </w:rPr>
              <w:t>Karščio pylimas</w:t>
            </w:r>
            <w:r w:rsidRPr="002858D7">
              <w:rPr>
                <w:color w:val="000000"/>
                <w:szCs w:val="22"/>
                <w:vertAlign w:val="superscript"/>
              </w:rPr>
              <w:t>e</w:t>
            </w:r>
          </w:p>
        </w:tc>
      </w:tr>
      <w:tr w:rsidR="003F235A" w:rsidRPr="008231D5" w14:paraId="21EB6094" w14:textId="77777777" w:rsidTr="00497D6D">
        <w:trPr>
          <w:tblCellSpacing w:w="0" w:type="dxa"/>
        </w:trPr>
        <w:tc>
          <w:tcPr>
            <w:tcW w:w="1726" w:type="pct"/>
            <w:tcBorders>
              <w:left w:val="outset" w:sz="6" w:space="0" w:color="auto"/>
              <w:bottom w:val="outset" w:sz="6" w:space="0" w:color="auto"/>
              <w:right w:val="outset" w:sz="6" w:space="0" w:color="auto"/>
            </w:tcBorders>
            <w:hideMark/>
          </w:tcPr>
          <w:p w14:paraId="19E8CBFE" w14:textId="0A7D6A64" w:rsidR="00C41D45" w:rsidRPr="009B558C" w:rsidRDefault="00C41D45" w:rsidP="009B558C">
            <w:pPr>
              <w:rPr>
                <w:color w:val="000000"/>
              </w:rPr>
            </w:pPr>
          </w:p>
        </w:tc>
        <w:tc>
          <w:tcPr>
            <w:tcW w:w="874" w:type="pct"/>
            <w:tcBorders>
              <w:top w:val="outset" w:sz="6" w:space="0" w:color="auto"/>
              <w:left w:val="outset" w:sz="6" w:space="0" w:color="auto"/>
              <w:bottom w:val="outset" w:sz="6" w:space="0" w:color="auto"/>
              <w:right w:val="outset" w:sz="6" w:space="0" w:color="auto"/>
            </w:tcBorders>
            <w:hideMark/>
          </w:tcPr>
          <w:p w14:paraId="12E6A19F" w14:textId="77777777" w:rsidR="00C41D45" w:rsidRPr="009B558C" w:rsidRDefault="00C41D45" w:rsidP="009B558C">
            <w:pPr>
              <w:rPr>
                <w:color w:val="000000"/>
              </w:rPr>
            </w:pPr>
            <w:r w:rsidRPr="009B558C">
              <w:rPr>
                <w:color w:val="000000"/>
              </w:rPr>
              <w:t>Dažnas</w:t>
            </w:r>
          </w:p>
        </w:tc>
        <w:tc>
          <w:tcPr>
            <w:tcW w:w="2400" w:type="pct"/>
            <w:tcBorders>
              <w:top w:val="outset" w:sz="6" w:space="0" w:color="auto"/>
              <w:left w:val="outset" w:sz="6" w:space="0" w:color="auto"/>
              <w:bottom w:val="outset" w:sz="6" w:space="0" w:color="auto"/>
              <w:right w:val="outset" w:sz="6" w:space="0" w:color="auto"/>
            </w:tcBorders>
            <w:hideMark/>
          </w:tcPr>
          <w:p w14:paraId="34D31C24" w14:textId="08672538" w:rsidR="00C41D45" w:rsidRPr="009B558C" w:rsidRDefault="00C41D45" w:rsidP="009B558C">
            <w:pPr>
              <w:rPr>
                <w:color w:val="000000"/>
              </w:rPr>
            </w:pPr>
            <w:r>
              <w:rPr>
                <w:szCs w:val="22"/>
                <w:lang w:eastAsia="en-US"/>
              </w:rPr>
              <w:t>Venų tromboembolija</w:t>
            </w:r>
            <w:r>
              <w:rPr>
                <w:szCs w:val="22"/>
                <w:vertAlign w:val="superscript"/>
                <w:lang w:eastAsia="en-US"/>
              </w:rPr>
              <w:t>a</w:t>
            </w:r>
            <w:r w:rsidRPr="009B558C">
              <w:rPr>
                <w:color w:val="000000"/>
              </w:rPr>
              <w:t xml:space="preserve"> </w:t>
            </w:r>
          </w:p>
        </w:tc>
      </w:tr>
      <w:tr w:rsidR="003F235A" w14:paraId="51B70CA2" w14:textId="77777777" w:rsidTr="003F235A">
        <w:trPr>
          <w:tblCellSpacing w:w="0" w:type="dxa"/>
        </w:trPr>
        <w:tc>
          <w:tcPr>
            <w:tcW w:w="1726" w:type="pct"/>
            <w:vMerge w:val="restart"/>
            <w:tcBorders>
              <w:top w:val="outset" w:sz="6" w:space="0" w:color="auto"/>
              <w:left w:val="outset" w:sz="6" w:space="0" w:color="auto"/>
              <w:bottom w:val="outset" w:sz="6" w:space="0" w:color="auto"/>
              <w:right w:val="outset" w:sz="6" w:space="0" w:color="auto"/>
            </w:tcBorders>
            <w:hideMark/>
          </w:tcPr>
          <w:p w14:paraId="5DE4DCE3" w14:textId="77777777" w:rsidR="004364B8" w:rsidRDefault="004364B8" w:rsidP="00BA1D9E">
            <w:pPr>
              <w:spacing w:line="256" w:lineRule="auto"/>
              <w:rPr>
                <w:szCs w:val="22"/>
                <w:lang w:eastAsia="en-US"/>
              </w:rPr>
            </w:pPr>
            <w:r>
              <w:rPr>
                <w:szCs w:val="22"/>
                <w:lang w:eastAsia="en-US"/>
              </w:rPr>
              <w:t>Virškinimo trakto sutrikimai</w:t>
            </w:r>
          </w:p>
        </w:tc>
        <w:tc>
          <w:tcPr>
            <w:tcW w:w="874" w:type="pct"/>
            <w:tcBorders>
              <w:top w:val="outset" w:sz="6" w:space="0" w:color="auto"/>
              <w:left w:val="outset" w:sz="6" w:space="0" w:color="auto"/>
              <w:bottom w:val="outset" w:sz="6" w:space="0" w:color="auto"/>
              <w:right w:val="outset" w:sz="6" w:space="0" w:color="auto"/>
            </w:tcBorders>
            <w:hideMark/>
          </w:tcPr>
          <w:p w14:paraId="2FFAE97A" w14:textId="77777777" w:rsidR="004364B8" w:rsidRDefault="004364B8" w:rsidP="00BA1D9E">
            <w:pPr>
              <w:spacing w:line="256" w:lineRule="auto"/>
              <w:rPr>
                <w:szCs w:val="22"/>
                <w:lang w:eastAsia="en-US"/>
              </w:rPr>
            </w:pPr>
            <w:r>
              <w:rPr>
                <w:szCs w:val="22"/>
                <w:lang w:eastAsia="en-US"/>
              </w:rPr>
              <w:t>Labai dažnas</w:t>
            </w:r>
          </w:p>
        </w:tc>
        <w:tc>
          <w:tcPr>
            <w:tcW w:w="2400" w:type="pct"/>
            <w:tcBorders>
              <w:top w:val="outset" w:sz="6" w:space="0" w:color="auto"/>
              <w:left w:val="outset" w:sz="6" w:space="0" w:color="auto"/>
              <w:bottom w:val="outset" w:sz="6" w:space="0" w:color="auto"/>
              <w:right w:val="outset" w:sz="6" w:space="0" w:color="auto"/>
            </w:tcBorders>
            <w:hideMark/>
          </w:tcPr>
          <w:p w14:paraId="47DBAE35" w14:textId="77777777" w:rsidR="004364B8" w:rsidRDefault="004364B8" w:rsidP="00BA1D9E">
            <w:pPr>
              <w:spacing w:line="256" w:lineRule="auto"/>
              <w:rPr>
                <w:szCs w:val="22"/>
                <w:lang w:eastAsia="en-US"/>
              </w:rPr>
            </w:pPr>
            <w:r>
              <w:rPr>
                <w:szCs w:val="22"/>
                <w:lang w:eastAsia="en-US"/>
              </w:rPr>
              <w:t xml:space="preserve">Pykinimas </w:t>
            </w:r>
          </w:p>
        </w:tc>
      </w:tr>
      <w:tr w:rsidR="003F235A" w14:paraId="63F149FC" w14:textId="77777777" w:rsidTr="003F235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6C7379" w14:textId="77777777" w:rsidR="004364B8" w:rsidRDefault="004364B8" w:rsidP="00BA1D9E">
            <w:pPr>
              <w:spacing w:line="256" w:lineRule="auto"/>
              <w:rPr>
                <w:szCs w:val="22"/>
                <w:lang w:eastAsia="en-US"/>
              </w:rPr>
            </w:pPr>
          </w:p>
        </w:tc>
        <w:tc>
          <w:tcPr>
            <w:tcW w:w="874" w:type="pct"/>
            <w:tcBorders>
              <w:top w:val="outset" w:sz="6" w:space="0" w:color="auto"/>
              <w:left w:val="outset" w:sz="6" w:space="0" w:color="auto"/>
              <w:bottom w:val="outset" w:sz="6" w:space="0" w:color="auto"/>
              <w:right w:val="outset" w:sz="6" w:space="0" w:color="auto"/>
            </w:tcBorders>
            <w:hideMark/>
          </w:tcPr>
          <w:p w14:paraId="3996D3E1" w14:textId="77777777" w:rsidR="004364B8" w:rsidRDefault="004364B8" w:rsidP="00BA1D9E">
            <w:pPr>
              <w:spacing w:line="256" w:lineRule="auto"/>
              <w:rPr>
                <w:szCs w:val="22"/>
                <w:lang w:eastAsia="en-US"/>
              </w:rPr>
            </w:pPr>
            <w:r>
              <w:rPr>
                <w:szCs w:val="22"/>
                <w:lang w:eastAsia="en-US"/>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6A4B405E" w14:textId="77777777" w:rsidR="004364B8" w:rsidRDefault="004364B8" w:rsidP="00BA1D9E">
            <w:pPr>
              <w:spacing w:line="256" w:lineRule="auto"/>
              <w:rPr>
                <w:szCs w:val="22"/>
                <w:lang w:eastAsia="en-US"/>
              </w:rPr>
            </w:pPr>
            <w:r>
              <w:rPr>
                <w:szCs w:val="22"/>
                <w:lang w:eastAsia="en-US"/>
              </w:rPr>
              <w:t xml:space="preserve">Vėmimas, viduriavimas </w:t>
            </w:r>
          </w:p>
        </w:tc>
      </w:tr>
      <w:tr w:rsidR="003F235A" w14:paraId="74AF344A" w14:textId="77777777" w:rsidTr="003F235A">
        <w:trPr>
          <w:tblCellSpacing w:w="0" w:type="dxa"/>
        </w:trPr>
        <w:tc>
          <w:tcPr>
            <w:tcW w:w="1726" w:type="pct"/>
            <w:vMerge w:val="restart"/>
            <w:tcBorders>
              <w:top w:val="outset" w:sz="6" w:space="0" w:color="auto"/>
              <w:left w:val="outset" w:sz="6" w:space="0" w:color="auto"/>
              <w:bottom w:val="outset" w:sz="6" w:space="0" w:color="auto"/>
              <w:right w:val="outset" w:sz="6" w:space="0" w:color="auto"/>
            </w:tcBorders>
            <w:hideMark/>
          </w:tcPr>
          <w:p w14:paraId="3AB041B5" w14:textId="77777777" w:rsidR="004364B8" w:rsidRDefault="004364B8" w:rsidP="00BA1D9E">
            <w:pPr>
              <w:spacing w:line="256" w:lineRule="auto"/>
              <w:rPr>
                <w:szCs w:val="22"/>
                <w:lang w:eastAsia="en-US"/>
              </w:rPr>
            </w:pPr>
            <w:r>
              <w:rPr>
                <w:szCs w:val="22"/>
                <w:lang w:eastAsia="en-US"/>
              </w:rPr>
              <w:t>Kepenų, tulžies pūslės ir latakų sutrikimai</w:t>
            </w:r>
          </w:p>
        </w:tc>
        <w:tc>
          <w:tcPr>
            <w:tcW w:w="874" w:type="pct"/>
            <w:tcBorders>
              <w:top w:val="outset" w:sz="6" w:space="0" w:color="auto"/>
              <w:left w:val="outset" w:sz="6" w:space="0" w:color="auto"/>
              <w:bottom w:val="outset" w:sz="6" w:space="0" w:color="auto"/>
              <w:right w:val="outset" w:sz="6" w:space="0" w:color="auto"/>
            </w:tcBorders>
            <w:hideMark/>
          </w:tcPr>
          <w:p w14:paraId="16D58B95" w14:textId="77777777" w:rsidR="004364B8" w:rsidRDefault="004364B8" w:rsidP="00BA1D9E">
            <w:pPr>
              <w:spacing w:line="256" w:lineRule="auto"/>
              <w:rPr>
                <w:szCs w:val="22"/>
                <w:lang w:eastAsia="en-US"/>
              </w:rPr>
            </w:pPr>
            <w:r>
              <w:rPr>
                <w:szCs w:val="22"/>
                <w:lang w:eastAsia="en-US"/>
              </w:rPr>
              <w:t>Labai dažnas</w:t>
            </w:r>
          </w:p>
        </w:tc>
        <w:tc>
          <w:tcPr>
            <w:tcW w:w="2400" w:type="pct"/>
            <w:tcBorders>
              <w:top w:val="outset" w:sz="6" w:space="0" w:color="auto"/>
              <w:left w:val="outset" w:sz="6" w:space="0" w:color="auto"/>
              <w:bottom w:val="outset" w:sz="6" w:space="0" w:color="auto"/>
              <w:right w:val="outset" w:sz="6" w:space="0" w:color="auto"/>
            </w:tcBorders>
            <w:hideMark/>
          </w:tcPr>
          <w:p w14:paraId="195889E7" w14:textId="77777777" w:rsidR="004364B8" w:rsidRDefault="004364B8" w:rsidP="00BA1D9E">
            <w:pPr>
              <w:spacing w:line="256" w:lineRule="auto"/>
              <w:rPr>
                <w:szCs w:val="22"/>
                <w:lang w:eastAsia="en-US"/>
              </w:rPr>
            </w:pPr>
            <w:r>
              <w:rPr>
                <w:szCs w:val="22"/>
                <w:lang w:eastAsia="en-US"/>
              </w:rPr>
              <w:t>Padidėjęs kepenų fermentų (ALT, AST, šarminės fosfatazės) aktyvumas</w:t>
            </w:r>
            <w:r>
              <w:rPr>
                <w:szCs w:val="22"/>
                <w:vertAlign w:val="superscript"/>
                <w:lang w:eastAsia="en-US"/>
              </w:rPr>
              <w:t>a</w:t>
            </w:r>
          </w:p>
        </w:tc>
      </w:tr>
      <w:tr w:rsidR="003F235A" w14:paraId="0F5E5BBE" w14:textId="77777777" w:rsidTr="003F235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75DEC4" w14:textId="77777777" w:rsidR="004364B8" w:rsidRDefault="004364B8" w:rsidP="00BA1D9E">
            <w:pPr>
              <w:spacing w:line="256" w:lineRule="auto"/>
              <w:rPr>
                <w:szCs w:val="22"/>
                <w:lang w:eastAsia="en-US"/>
              </w:rPr>
            </w:pPr>
          </w:p>
        </w:tc>
        <w:tc>
          <w:tcPr>
            <w:tcW w:w="874" w:type="pct"/>
            <w:tcBorders>
              <w:top w:val="outset" w:sz="6" w:space="0" w:color="auto"/>
              <w:left w:val="outset" w:sz="6" w:space="0" w:color="auto"/>
              <w:bottom w:val="outset" w:sz="6" w:space="0" w:color="auto"/>
              <w:right w:val="outset" w:sz="6" w:space="0" w:color="auto"/>
            </w:tcBorders>
            <w:hideMark/>
          </w:tcPr>
          <w:p w14:paraId="44EFBDA0" w14:textId="77777777" w:rsidR="004364B8" w:rsidRDefault="004364B8" w:rsidP="00BA1D9E">
            <w:pPr>
              <w:spacing w:line="256" w:lineRule="auto"/>
              <w:rPr>
                <w:szCs w:val="22"/>
                <w:lang w:eastAsia="en-US"/>
              </w:rPr>
            </w:pPr>
            <w:r>
              <w:rPr>
                <w:szCs w:val="22"/>
                <w:lang w:eastAsia="en-US"/>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3C4A7459" w14:textId="77777777" w:rsidR="004364B8" w:rsidRDefault="004364B8" w:rsidP="00BA1D9E">
            <w:pPr>
              <w:spacing w:line="256" w:lineRule="auto"/>
              <w:rPr>
                <w:szCs w:val="22"/>
                <w:lang w:eastAsia="en-US"/>
              </w:rPr>
            </w:pPr>
            <w:r>
              <w:rPr>
                <w:szCs w:val="22"/>
                <w:lang w:eastAsia="en-US"/>
              </w:rPr>
              <w:t>Padidėjęs bilirubino kiekis</w:t>
            </w:r>
            <w:r>
              <w:rPr>
                <w:szCs w:val="22"/>
                <w:vertAlign w:val="superscript"/>
                <w:lang w:eastAsia="en-US"/>
              </w:rPr>
              <w:t>a</w:t>
            </w:r>
          </w:p>
        </w:tc>
      </w:tr>
      <w:tr w:rsidR="003F235A" w14:paraId="7929B2E3" w14:textId="77777777" w:rsidTr="003F235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F24098" w14:textId="77777777" w:rsidR="004364B8" w:rsidRDefault="004364B8" w:rsidP="00BA1D9E">
            <w:pPr>
              <w:spacing w:line="256" w:lineRule="auto"/>
              <w:rPr>
                <w:szCs w:val="22"/>
                <w:lang w:eastAsia="en-US"/>
              </w:rPr>
            </w:pPr>
          </w:p>
        </w:tc>
        <w:tc>
          <w:tcPr>
            <w:tcW w:w="874" w:type="pct"/>
            <w:tcBorders>
              <w:top w:val="outset" w:sz="6" w:space="0" w:color="auto"/>
              <w:left w:val="outset" w:sz="6" w:space="0" w:color="auto"/>
              <w:bottom w:val="outset" w:sz="6" w:space="0" w:color="auto"/>
              <w:right w:val="outset" w:sz="6" w:space="0" w:color="auto"/>
            </w:tcBorders>
            <w:hideMark/>
          </w:tcPr>
          <w:p w14:paraId="35A4E661" w14:textId="77777777" w:rsidR="004364B8" w:rsidRDefault="004364B8" w:rsidP="00BA1D9E">
            <w:pPr>
              <w:spacing w:line="256" w:lineRule="auto"/>
              <w:rPr>
                <w:szCs w:val="22"/>
                <w:lang w:eastAsia="en-US"/>
              </w:rPr>
            </w:pPr>
            <w:r>
              <w:rPr>
                <w:szCs w:val="22"/>
                <w:lang w:eastAsia="en-US"/>
              </w:rPr>
              <w:t xml:space="preserve">Nedažnas </w:t>
            </w:r>
          </w:p>
        </w:tc>
        <w:tc>
          <w:tcPr>
            <w:tcW w:w="2400" w:type="pct"/>
            <w:tcBorders>
              <w:top w:val="outset" w:sz="6" w:space="0" w:color="auto"/>
              <w:left w:val="outset" w:sz="6" w:space="0" w:color="auto"/>
              <w:bottom w:val="outset" w:sz="6" w:space="0" w:color="auto"/>
              <w:right w:val="outset" w:sz="6" w:space="0" w:color="auto"/>
            </w:tcBorders>
            <w:hideMark/>
          </w:tcPr>
          <w:p w14:paraId="1226E4F1" w14:textId="00A9BA33" w:rsidR="004364B8" w:rsidRDefault="004364B8" w:rsidP="00C5053D">
            <w:pPr>
              <w:spacing w:line="256" w:lineRule="auto"/>
              <w:rPr>
                <w:szCs w:val="22"/>
                <w:lang w:eastAsia="en-US"/>
              </w:rPr>
            </w:pPr>
            <w:r>
              <w:rPr>
                <w:szCs w:val="22"/>
                <w:lang w:eastAsia="en-US"/>
              </w:rPr>
              <w:t>Kepenų nepakankamumas</w:t>
            </w:r>
            <w:r>
              <w:rPr>
                <w:szCs w:val="22"/>
                <w:vertAlign w:val="superscript"/>
                <w:lang w:eastAsia="en-US"/>
              </w:rPr>
              <w:t>c</w:t>
            </w:r>
            <w:r w:rsidR="00C5053D">
              <w:rPr>
                <w:szCs w:val="22"/>
                <w:vertAlign w:val="superscript"/>
                <w:lang w:eastAsia="en-US"/>
              </w:rPr>
              <w:t>f</w:t>
            </w:r>
            <w:r>
              <w:rPr>
                <w:szCs w:val="22"/>
                <w:lang w:eastAsia="en-US"/>
              </w:rPr>
              <w:t xml:space="preserve">, kepenų </w:t>
            </w:r>
            <w:r w:rsidR="00C5053D">
              <w:rPr>
                <w:szCs w:val="22"/>
                <w:lang w:eastAsia="en-US"/>
              </w:rPr>
              <w:t>uždegimas</w:t>
            </w:r>
            <w:r w:rsidR="00C5053D">
              <w:rPr>
                <w:szCs w:val="22"/>
                <w:vertAlign w:val="superscript"/>
                <w:lang w:eastAsia="en-US"/>
              </w:rPr>
              <w:t>f</w:t>
            </w:r>
            <w:r>
              <w:rPr>
                <w:szCs w:val="22"/>
                <w:lang w:eastAsia="en-US"/>
              </w:rPr>
              <w:t>, padidėjęs gama-GT</w:t>
            </w:r>
            <w:r w:rsidR="00C5053D" w:rsidRPr="00901F66">
              <w:rPr>
                <w:szCs w:val="22"/>
                <w:vertAlign w:val="superscript"/>
                <w:lang w:eastAsia="en-US"/>
              </w:rPr>
              <w:t>f</w:t>
            </w:r>
            <w:r>
              <w:rPr>
                <w:szCs w:val="22"/>
                <w:lang w:eastAsia="en-US"/>
              </w:rPr>
              <w:t xml:space="preserve"> aktyvumas</w:t>
            </w:r>
          </w:p>
        </w:tc>
      </w:tr>
      <w:tr w:rsidR="003F235A" w14:paraId="519BE791" w14:textId="77777777" w:rsidTr="003F235A">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4FC0974A" w14:textId="77777777" w:rsidR="004364B8" w:rsidRDefault="004364B8" w:rsidP="00BA1D9E">
            <w:pPr>
              <w:spacing w:line="256" w:lineRule="auto"/>
              <w:rPr>
                <w:szCs w:val="22"/>
                <w:lang w:eastAsia="en-US"/>
              </w:rPr>
            </w:pPr>
            <w:r>
              <w:rPr>
                <w:szCs w:val="22"/>
                <w:lang w:eastAsia="en-US"/>
              </w:rPr>
              <w:t>Odos ir poodinio audinio sutrikimai</w:t>
            </w:r>
          </w:p>
        </w:tc>
        <w:tc>
          <w:tcPr>
            <w:tcW w:w="874" w:type="pct"/>
            <w:tcBorders>
              <w:top w:val="outset" w:sz="6" w:space="0" w:color="auto"/>
              <w:left w:val="outset" w:sz="6" w:space="0" w:color="auto"/>
              <w:bottom w:val="outset" w:sz="6" w:space="0" w:color="auto"/>
              <w:right w:val="outset" w:sz="6" w:space="0" w:color="auto"/>
            </w:tcBorders>
            <w:hideMark/>
          </w:tcPr>
          <w:p w14:paraId="2A78D038" w14:textId="0A58E583" w:rsidR="004364B8" w:rsidRDefault="00C5053D" w:rsidP="00C5053D">
            <w:pPr>
              <w:spacing w:line="256" w:lineRule="auto"/>
              <w:rPr>
                <w:szCs w:val="22"/>
                <w:lang w:eastAsia="en-US"/>
              </w:rPr>
            </w:pPr>
            <w:r>
              <w:rPr>
                <w:szCs w:val="22"/>
                <w:lang w:eastAsia="en-US"/>
              </w:rPr>
              <w:t>Labai d</w:t>
            </w:r>
            <w:r w:rsidR="004364B8">
              <w:rPr>
                <w:szCs w:val="22"/>
                <w:lang w:eastAsia="en-US"/>
              </w:rPr>
              <w:t xml:space="preserve">ažnas </w:t>
            </w:r>
          </w:p>
        </w:tc>
        <w:tc>
          <w:tcPr>
            <w:tcW w:w="2400" w:type="pct"/>
            <w:tcBorders>
              <w:top w:val="outset" w:sz="6" w:space="0" w:color="auto"/>
              <w:left w:val="outset" w:sz="6" w:space="0" w:color="auto"/>
              <w:bottom w:val="outset" w:sz="6" w:space="0" w:color="auto"/>
              <w:right w:val="outset" w:sz="6" w:space="0" w:color="auto"/>
            </w:tcBorders>
            <w:hideMark/>
          </w:tcPr>
          <w:p w14:paraId="77D8C21E" w14:textId="0F6981CD" w:rsidR="004364B8" w:rsidRDefault="004364B8" w:rsidP="00BA1D9E">
            <w:pPr>
              <w:spacing w:line="256" w:lineRule="auto"/>
              <w:rPr>
                <w:szCs w:val="22"/>
                <w:lang w:eastAsia="en-US"/>
              </w:rPr>
            </w:pPr>
            <w:r>
              <w:rPr>
                <w:szCs w:val="22"/>
                <w:lang w:eastAsia="en-US"/>
              </w:rPr>
              <w:t>Išbėrimas</w:t>
            </w:r>
            <w:r w:rsidR="00C5053D" w:rsidRPr="00901F66">
              <w:rPr>
                <w:szCs w:val="22"/>
                <w:vertAlign w:val="superscript"/>
                <w:lang w:eastAsia="en-US"/>
              </w:rPr>
              <w:t>e</w:t>
            </w:r>
            <w:r>
              <w:rPr>
                <w:szCs w:val="22"/>
                <w:lang w:eastAsia="en-US"/>
              </w:rPr>
              <w:t xml:space="preserve"> </w:t>
            </w:r>
          </w:p>
        </w:tc>
      </w:tr>
      <w:tr w:rsidR="003F235A" w:rsidRPr="008231D5" w14:paraId="166B96C9" w14:textId="77777777" w:rsidTr="00497D6D">
        <w:trPr>
          <w:tblCellSpacing w:w="0" w:type="dxa"/>
        </w:trPr>
        <w:tc>
          <w:tcPr>
            <w:tcW w:w="1726" w:type="pct"/>
            <w:vMerge w:val="restart"/>
            <w:tcBorders>
              <w:top w:val="outset" w:sz="6" w:space="0" w:color="auto"/>
              <w:left w:val="outset" w:sz="6" w:space="0" w:color="auto"/>
              <w:right w:val="outset" w:sz="6" w:space="0" w:color="auto"/>
            </w:tcBorders>
          </w:tcPr>
          <w:p w14:paraId="650F8A74" w14:textId="77777777" w:rsidR="00C41D45" w:rsidRPr="009B558C" w:rsidRDefault="00C41D45" w:rsidP="009B558C">
            <w:pPr>
              <w:rPr>
                <w:color w:val="000000"/>
              </w:rPr>
            </w:pPr>
            <w:r>
              <w:rPr>
                <w:szCs w:val="22"/>
                <w:lang w:eastAsia="en-US"/>
              </w:rPr>
              <w:t>Skeleto, raumenų ir jungiamojo audinio sutrikimai</w:t>
            </w:r>
            <w:r w:rsidRPr="008231D5">
              <w:rPr>
                <w:color w:val="000000"/>
                <w:szCs w:val="22"/>
              </w:rPr>
              <w:t xml:space="preserve"> </w:t>
            </w:r>
          </w:p>
        </w:tc>
        <w:tc>
          <w:tcPr>
            <w:tcW w:w="874" w:type="pct"/>
            <w:tcBorders>
              <w:top w:val="outset" w:sz="6" w:space="0" w:color="auto"/>
              <w:left w:val="outset" w:sz="6" w:space="0" w:color="auto"/>
              <w:bottom w:val="outset" w:sz="6" w:space="0" w:color="auto"/>
              <w:right w:val="outset" w:sz="6" w:space="0" w:color="auto"/>
            </w:tcBorders>
          </w:tcPr>
          <w:p w14:paraId="203F69BF" w14:textId="5DA53EB8" w:rsidR="00C41D45" w:rsidRPr="009B558C" w:rsidRDefault="00C41D45" w:rsidP="009B558C">
            <w:pPr>
              <w:rPr>
                <w:color w:val="000000"/>
              </w:rPr>
            </w:pPr>
            <w:r>
              <w:rPr>
                <w:szCs w:val="22"/>
                <w:lang w:eastAsia="en-US"/>
              </w:rPr>
              <w:t>Labai dažnas</w:t>
            </w:r>
            <w:r w:rsidRPr="009B558C">
              <w:rPr>
                <w:color w:val="000000"/>
              </w:rPr>
              <w:t xml:space="preserve"> </w:t>
            </w:r>
          </w:p>
        </w:tc>
        <w:tc>
          <w:tcPr>
            <w:tcW w:w="2400" w:type="pct"/>
            <w:tcBorders>
              <w:top w:val="outset" w:sz="6" w:space="0" w:color="auto"/>
              <w:left w:val="outset" w:sz="6" w:space="0" w:color="auto"/>
              <w:bottom w:val="outset" w:sz="6" w:space="0" w:color="auto"/>
              <w:right w:val="outset" w:sz="6" w:space="0" w:color="auto"/>
            </w:tcBorders>
          </w:tcPr>
          <w:p w14:paraId="3BC8838D" w14:textId="2764059B" w:rsidR="00C41D45" w:rsidRPr="009B558C" w:rsidRDefault="00C41D45" w:rsidP="009B558C">
            <w:pPr>
              <w:rPr>
                <w:color w:val="000000"/>
              </w:rPr>
            </w:pPr>
            <w:r>
              <w:rPr>
                <w:szCs w:val="22"/>
                <w:lang w:eastAsia="en-US"/>
              </w:rPr>
              <w:t>S</w:t>
            </w:r>
            <w:r w:rsidRPr="00C5053D">
              <w:rPr>
                <w:szCs w:val="22"/>
                <w:lang w:eastAsia="en-US"/>
              </w:rPr>
              <w:t>ąnarių ir griaučių raumenų</w:t>
            </w:r>
            <w:r>
              <w:rPr>
                <w:szCs w:val="22"/>
                <w:lang w:eastAsia="en-US"/>
              </w:rPr>
              <w:t xml:space="preserve"> </w:t>
            </w:r>
            <w:r w:rsidRPr="00C5053D">
              <w:rPr>
                <w:szCs w:val="22"/>
                <w:lang w:eastAsia="en-US"/>
              </w:rPr>
              <w:t>skausmas</w:t>
            </w:r>
            <w:r w:rsidRPr="00901F66">
              <w:rPr>
                <w:szCs w:val="22"/>
                <w:vertAlign w:val="superscript"/>
                <w:lang w:eastAsia="en-US"/>
              </w:rPr>
              <w:t>d</w:t>
            </w:r>
            <w:r w:rsidRPr="00696C65">
              <w:rPr>
                <w:color w:val="000000"/>
                <w:szCs w:val="22"/>
              </w:rPr>
              <w:t xml:space="preserve"> </w:t>
            </w:r>
          </w:p>
        </w:tc>
      </w:tr>
      <w:tr w:rsidR="00C41D45" w:rsidRPr="008231D5" w14:paraId="217FFE02" w14:textId="77777777" w:rsidTr="00497D6D">
        <w:trPr>
          <w:tblCellSpacing w:w="0" w:type="dxa"/>
        </w:trPr>
        <w:tc>
          <w:tcPr>
            <w:tcW w:w="1726" w:type="pct"/>
            <w:vMerge/>
            <w:tcBorders>
              <w:left w:val="outset" w:sz="6" w:space="0" w:color="auto"/>
              <w:bottom w:val="outset" w:sz="6" w:space="0" w:color="auto"/>
              <w:right w:val="outset" w:sz="6" w:space="0" w:color="auto"/>
            </w:tcBorders>
            <w:hideMark/>
          </w:tcPr>
          <w:p w14:paraId="38845956" w14:textId="77777777" w:rsidR="00C41D45" w:rsidRPr="008231D5" w:rsidRDefault="00C41D45" w:rsidP="000452F6">
            <w:pPr>
              <w:rPr>
                <w:color w:val="000000"/>
                <w:szCs w:val="22"/>
              </w:rPr>
            </w:pPr>
          </w:p>
        </w:tc>
        <w:tc>
          <w:tcPr>
            <w:tcW w:w="874" w:type="pct"/>
            <w:tcBorders>
              <w:top w:val="outset" w:sz="6" w:space="0" w:color="auto"/>
              <w:left w:val="outset" w:sz="6" w:space="0" w:color="auto"/>
              <w:bottom w:val="outset" w:sz="6" w:space="0" w:color="auto"/>
              <w:right w:val="outset" w:sz="6" w:space="0" w:color="auto"/>
            </w:tcBorders>
            <w:hideMark/>
          </w:tcPr>
          <w:p w14:paraId="48641A8C" w14:textId="77777777" w:rsidR="00C41D45" w:rsidRPr="008231D5" w:rsidRDefault="00C41D45" w:rsidP="000452F6">
            <w:pPr>
              <w:rPr>
                <w:color w:val="000000"/>
                <w:szCs w:val="22"/>
              </w:rPr>
            </w:pPr>
            <w:r>
              <w:rPr>
                <w:color w:val="000000"/>
                <w:szCs w:val="22"/>
              </w:rPr>
              <w:t>Dažnas</w:t>
            </w:r>
          </w:p>
        </w:tc>
        <w:tc>
          <w:tcPr>
            <w:tcW w:w="2400" w:type="pct"/>
            <w:tcBorders>
              <w:top w:val="outset" w:sz="6" w:space="0" w:color="auto"/>
              <w:left w:val="outset" w:sz="6" w:space="0" w:color="auto"/>
              <w:bottom w:val="outset" w:sz="6" w:space="0" w:color="auto"/>
              <w:right w:val="outset" w:sz="6" w:space="0" w:color="auto"/>
            </w:tcBorders>
            <w:hideMark/>
          </w:tcPr>
          <w:p w14:paraId="435B52B0" w14:textId="77777777" w:rsidR="00C41D45" w:rsidRPr="008231D5" w:rsidRDefault="00C41D45" w:rsidP="00696C65">
            <w:pPr>
              <w:rPr>
                <w:color w:val="000000"/>
                <w:szCs w:val="22"/>
              </w:rPr>
            </w:pPr>
            <w:r>
              <w:rPr>
                <w:szCs w:val="22"/>
                <w:lang w:eastAsia="en-US"/>
              </w:rPr>
              <w:t>Nugaros skausmas</w:t>
            </w:r>
            <w:r>
              <w:rPr>
                <w:szCs w:val="22"/>
                <w:vertAlign w:val="superscript"/>
                <w:lang w:eastAsia="en-US"/>
              </w:rPr>
              <w:t>a</w:t>
            </w:r>
            <w:r w:rsidRPr="008231D5">
              <w:rPr>
                <w:color w:val="000000"/>
                <w:szCs w:val="22"/>
              </w:rPr>
              <w:t xml:space="preserve"> </w:t>
            </w:r>
          </w:p>
        </w:tc>
      </w:tr>
      <w:tr w:rsidR="003F235A" w:rsidRPr="008231D5" w14:paraId="015BADC1" w14:textId="77777777" w:rsidTr="00497D6D">
        <w:trPr>
          <w:tblCellSpacing w:w="0" w:type="dxa"/>
        </w:trPr>
        <w:tc>
          <w:tcPr>
            <w:tcW w:w="1726" w:type="pct"/>
            <w:vMerge w:val="restart"/>
            <w:tcBorders>
              <w:top w:val="outset" w:sz="6" w:space="0" w:color="auto"/>
              <w:left w:val="outset" w:sz="6" w:space="0" w:color="auto"/>
              <w:right w:val="outset" w:sz="6" w:space="0" w:color="auto"/>
            </w:tcBorders>
          </w:tcPr>
          <w:p w14:paraId="464064EC" w14:textId="77777777" w:rsidR="00C41D45" w:rsidRPr="009B558C" w:rsidRDefault="00C41D45" w:rsidP="009B558C">
            <w:pPr>
              <w:rPr>
                <w:color w:val="000000"/>
              </w:rPr>
            </w:pPr>
            <w:r>
              <w:rPr>
                <w:szCs w:val="22"/>
                <w:lang w:eastAsia="en-US"/>
              </w:rPr>
              <w:t>Lytinės sistemos ir krūties sutrikimai</w:t>
            </w:r>
            <w:r w:rsidRPr="008231D5">
              <w:rPr>
                <w:color w:val="000000"/>
                <w:szCs w:val="22"/>
              </w:rPr>
              <w:t xml:space="preserve"> </w:t>
            </w:r>
          </w:p>
        </w:tc>
        <w:tc>
          <w:tcPr>
            <w:tcW w:w="874" w:type="pct"/>
            <w:tcBorders>
              <w:top w:val="outset" w:sz="6" w:space="0" w:color="auto"/>
              <w:left w:val="outset" w:sz="6" w:space="0" w:color="auto"/>
              <w:bottom w:val="outset" w:sz="6" w:space="0" w:color="auto"/>
              <w:right w:val="outset" w:sz="6" w:space="0" w:color="auto"/>
            </w:tcBorders>
          </w:tcPr>
          <w:p w14:paraId="2F6C958A" w14:textId="4337C48E" w:rsidR="00C41D45" w:rsidRPr="009B558C" w:rsidRDefault="00C41D45" w:rsidP="009B558C">
            <w:pPr>
              <w:rPr>
                <w:color w:val="000000"/>
              </w:rPr>
            </w:pPr>
            <w:r>
              <w:rPr>
                <w:szCs w:val="22"/>
                <w:lang w:eastAsia="en-US"/>
              </w:rPr>
              <w:t>Dažnas</w:t>
            </w:r>
            <w:r w:rsidRPr="009B558C">
              <w:rPr>
                <w:color w:val="000000"/>
              </w:rPr>
              <w:t xml:space="preserve"> </w:t>
            </w:r>
          </w:p>
        </w:tc>
        <w:tc>
          <w:tcPr>
            <w:tcW w:w="2400" w:type="pct"/>
            <w:tcBorders>
              <w:top w:val="outset" w:sz="6" w:space="0" w:color="auto"/>
              <w:left w:val="outset" w:sz="6" w:space="0" w:color="auto"/>
              <w:bottom w:val="outset" w:sz="6" w:space="0" w:color="auto"/>
              <w:right w:val="outset" w:sz="6" w:space="0" w:color="auto"/>
            </w:tcBorders>
          </w:tcPr>
          <w:p w14:paraId="73B1A6DF" w14:textId="4D7C4CBC" w:rsidR="00C41D45" w:rsidRPr="009B558C" w:rsidRDefault="00C41D45" w:rsidP="009B558C">
            <w:pPr>
              <w:rPr>
                <w:color w:val="000000"/>
              </w:rPr>
            </w:pPr>
            <w:r>
              <w:rPr>
                <w:szCs w:val="22"/>
                <w:lang w:eastAsia="en-US"/>
              </w:rPr>
              <w:t>Kraujavimas iš makšties</w:t>
            </w:r>
            <w:r w:rsidRPr="00901F66">
              <w:rPr>
                <w:szCs w:val="22"/>
                <w:vertAlign w:val="superscript"/>
                <w:lang w:eastAsia="en-US"/>
              </w:rPr>
              <w:t>e</w:t>
            </w:r>
            <w:r>
              <w:rPr>
                <w:color w:val="000000"/>
                <w:szCs w:val="22"/>
              </w:rPr>
              <w:t xml:space="preserve"> </w:t>
            </w:r>
          </w:p>
        </w:tc>
      </w:tr>
      <w:tr w:rsidR="00C41D45" w:rsidRPr="008231D5" w14:paraId="204CCAD0" w14:textId="77777777" w:rsidTr="00497D6D">
        <w:trPr>
          <w:tblCellSpacing w:w="0" w:type="dxa"/>
        </w:trPr>
        <w:tc>
          <w:tcPr>
            <w:tcW w:w="1726" w:type="pct"/>
            <w:vMerge/>
            <w:tcBorders>
              <w:left w:val="outset" w:sz="6" w:space="0" w:color="auto"/>
              <w:bottom w:val="outset" w:sz="6" w:space="0" w:color="auto"/>
              <w:right w:val="outset" w:sz="6" w:space="0" w:color="auto"/>
            </w:tcBorders>
            <w:hideMark/>
          </w:tcPr>
          <w:p w14:paraId="35257897" w14:textId="77777777" w:rsidR="00C41D45" w:rsidRPr="008231D5" w:rsidRDefault="00C41D45" w:rsidP="000452F6">
            <w:pPr>
              <w:rPr>
                <w:color w:val="000000"/>
                <w:szCs w:val="22"/>
              </w:rPr>
            </w:pPr>
          </w:p>
        </w:tc>
        <w:tc>
          <w:tcPr>
            <w:tcW w:w="874" w:type="pct"/>
            <w:tcBorders>
              <w:top w:val="outset" w:sz="6" w:space="0" w:color="auto"/>
              <w:left w:val="outset" w:sz="6" w:space="0" w:color="auto"/>
              <w:bottom w:val="outset" w:sz="6" w:space="0" w:color="auto"/>
              <w:right w:val="outset" w:sz="6" w:space="0" w:color="auto"/>
            </w:tcBorders>
            <w:hideMark/>
          </w:tcPr>
          <w:p w14:paraId="79900A86" w14:textId="77777777" w:rsidR="00C41D45" w:rsidRPr="008231D5" w:rsidRDefault="00C41D45" w:rsidP="00696C65">
            <w:pPr>
              <w:rPr>
                <w:color w:val="000000"/>
                <w:szCs w:val="22"/>
              </w:rPr>
            </w:pPr>
            <w:r>
              <w:rPr>
                <w:szCs w:val="22"/>
                <w:lang w:eastAsia="en-US"/>
              </w:rPr>
              <w:t>Nedažnas</w:t>
            </w:r>
            <w:r w:rsidRPr="008231D5">
              <w:rPr>
                <w:color w:val="000000"/>
                <w:szCs w:val="22"/>
              </w:rPr>
              <w:t xml:space="preserve"> </w:t>
            </w:r>
          </w:p>
        </w:tc>
        <w:tc>
          <w:tcPr>
            <w:tcW w:w="2400" w:type="pct"/>
            <w:tcBorders>
              <w:top w:val="outset" w:sz="6" w:space="0" w:color="auto"/>
              <w:left w:val="outset" w:sz="6" w:space="0" w:color="auto"/>
              <w:bottom w:val="outset" w:sz="6" w:space="0" w:color="auto"/>
              <w:right w:val="outset" w:sz="6" w:space="0" w:color="auto"/>
            </w:tcBorders>
            <w:hideMark/>
          </w:tcPr>
          <w:p w14:paraId="25F0C1F0" w14:textId="53A2469D" w:rsidR="00C41D45" w:rsidRPr="008231D5" w:rsidRDefault="00C41D45" w:rsidP="00696C65">
            <w:pPr>
              <w:rPr>
                <w:color w:val="000000"/>
                <w:szCs w:val="22"/>
              </w:rPr>
            </w:pPr>
            <w:r>
              <w:rPr>
                <w:szCs w:val="22"/>
                <w:lang w:eastAsia="en-US"/>
              </w:rPr>
              <w:t>Makšties kandidozė</w:t>
            </w:r>
            <w:r w:rsidRPr="003F235A">
              <w:rPr>
                <w:szCs w:val="22"/>
                <w:vertAlign w:val="superscript"/>
                <w:lang w:eastAsia="en-US"/>
              </w:rPr>
              <w:t>f</w:t>
            </w:r>
            <w:r>
              <w:rPr>
                <w:szCs w:val="22"/>
                <w:lang w:eastAsia="en-US"/>
              </w:rPr>
              <w:t>, leukorėja</w:t>
            </w:r>
            <w:r w:rsidRPr="003F235A">
              <w:rPr>
                <w:szCs w:val="22"/>
                <w:vertAlign w:val="superscript"/>
                <w:lang w:eastAsia="en-US"/>
              </w:rPr>
              <w:t>f</w:t>
            </w:r>
            <w:r w:rsidRPr="003F235A">
              <w:rPr>
                <w:color w:val="000000"/>
                <w:szCs w:val="22"/>
                <w:vertAlign w:val="superscript"/>
              </w:rPr>
              <w:t xml:space="preserve"> </w:t>
            </w:r>
          </w:p>
        </w:tc>
      </w:tr>
      <w:tr w:rsidR="003F235A" w14:paraId="33FC0BFC" w14:textId="77777777" w:rsidTr="003F235A">
        <w:trPr>
          <w:tblCellSpacing w:w="0" w:type="dxa"/>
        </w:trPr>
        <w:tc>
          <w:tcPr>
            <w:tcW w:w="1726" w:type="pct"/>
            <w:vMerge w:val="restart"/>
            <w:tcBorders>
              <w:top w:val="outset" w:sz="6" w:space="0" w:color="auto"/>
              <w:left w:val="outset" w:sz="6" w:space="0" w:color="auto"/>
              <w:bottom w:val="outset" w:sz="6" w:space="0" w:color="auto"/>
              <w:right w:val="outset" w:sz="6" w:space="0" w:color="auto"/>
            </w:tcBorders>
            <w:hideMark/>
          </w:tcPr>
          <w:p w14:paraId="3D0D5100" w14:textId="77777777" w:rsidR="004364B8" w:rsidRDefault="004364B8" w:rsidP="00BA1D9E">
            <w:pPr>
              <w:spacing w:line="256" w:lineRule="auto"/>
              <w:rPr>
                <w:szCs w:val="22"/>
                <w:lang w:eastAsia="en-US"/>
              </w:rPr>
            </w:pPr>
            <w:r>
              <w:rPr>
                <w:szCs w:val="22"/>
                <w:lang w:eastAsia="en-US"/>
              </w:rPr>
              <w:t>Bendrieji sutrikimai ir vartojimo vietos pažeidimai</w:t>
            </w:r>
          </w:p>
        </w:tc>
        <w:tc>
          <w:tcPr>
            <w:tcW w:w="874" w:type="pct"/>
            <w:tcBorders>
              <w:top w:val="outset" w:sz="6" w:space="0" w:color="auto"/>
              <w:left w:val="outset" w:sz="6" w:space="0" w:color="auto"/>
              <w:bottom w:val="outset" w:sz="6" w:space="0" w:color="auto"/>
              <w:right w:val="outset" w:sz="6" w:space="0" w:color="auto"/>
            </w:tcBorders>
            <w:hideMark/>
          </w:tcPr>
          <w:p w14:paraId="42E932C2" w14:textId="77777777" w:rsidR="004364B8" w:rsidRDefault="004364B8" w:rsidP="00BA1D9E">
            <w:pPr>
              <w:spacing w:line="256" w:lineRule="auto"/>
              <w:rPr>
                <w:szCs w:val="22"/>
                <w:lang w:eastAsia="en-US"/>
              </w:rPr>
            </w:pPr>
            <w:r>
              <w:rPr>
                <w:szCs w:val="22"/>
                <w:lang w:eastAsia="en-US"/>
              </w:rPr>
              <w:t>Labai dažnas</w:t>
            </w:r>
          </w:p>
        </w:tc>
        <w:tc>
          <w:tcPr>
            <w:tcW w:w="2400" w:type="pct"/>
            <w:tcBorders>
              <w:top w:val="outset" w:sz="6" w:space="0" w:color="auto"/>
              <w:left w:val="outset" w:sz="6" w:space="0" w:color="auto"/>
              <w:bottom w:val="outset" w:sz="6" w:space="0" w:color="auto"/>
              <w:right w:val="outset" w:sz="6" w:space="0" w:color="auto"/>
            </w:tcBorders>
            <w:hideMark/>
          </w:tcPr>
          <w:p w14:paraId="074D1A71" w14:textId="77777777" w:rsidR="004364B8" w:rsidRDefault="004364B8" w:rsidP="00BA1D9E">
            <w:pPr>
              <w:spacing w:line="256" w:lineRule="auto"/>
              <w:rPr>
                <w:szCs w:val="22"/>
                <w:lang w:eastAsia="en-US"/>
              </w:rPr>
            </w:pPr>
            <w:r>
              <w:rPr>
                <w:szCs w:val="22"/>
                <w:lang w:eastAsia="en-US"/>
              </w:rPr>
              <w:t>Astenija</w:t>
            </w:r>
            <w:r>
              <w:rPr>
                <w:szCs w:val="22"/>
                <w:vertAlign w:val="superscript"/>
                <w:lang w:eastAsia="en-US"/>
              </w:rPr>
              <w:t>a</w:t>
            </w:r>
            <w:r>
              <w:rPr>
                <w:szCs w:val="22"/>
                <w:lang w:eastAsia="en-US"/>
              </w:rPr>
              <w:t>, reakcijos injekcijos vietoje</w:t>
            </w:r>
            <w:r>
              <w:rPr>
                <w:szCs w:val="22"/>
                <w:vertAlign w:val="superscript"/>
                <w:lang w:eastAsia="en-US"/>
              </w:rPr>
              <w:t>b</w:t>
            </w:r>
          </w:p>
        </w:tc>
      </w:tr>
      <w:tr w:rsidR="00696C65" w14:paraId="062379DA" w14:textId="77777777" w:rsidTr="00497D6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67649F75" w14:textId="77777777" w:rsidR="00696C65" w:rsidRDefault="00696C65" w:rsidP="00BA1D9E">
            <w:pPr>
              <w:spacing w:line="256" w:lineRule="auto"/>
              <w:rPr>
                <w:szCs w:val="22"/>
                <w:lang w:eastAsia="en-US"/>
              </w:rPr>
            </w:pPr>
          </w:p>
        </w:tc>
        <w:tc>
          <w:tcPr>
            <w:tcW w:w="874" w:type="pct"/>
            <w:tcBorders>
              <w:top w:val="outset" w:sz="6" w:space="0" w:color="auto"/>
              <w:left w:val="outset" w:sz="6" w:space="0" w:color="auto"/>
              <w:bottom w:val="outset" w:sz="6" w:space="0" w:color="auto"/>
              <w:right w:val="outset" w:sz="6" w:space="0" w:color="auto"/>
            </w:tcBorders>
          </w:tcPr>
          <w:p w14:paraId="1A462E56" w14:textId="77777777" w:rsidR="00696C65" w:rsidRDefault="00696C65" w:rsidP="00BA1D9E">
            <w:pPr>
              <w:spacing w:line="256" w:lineRule="auto"/>
              <w:rPr>
                <w:szCs w:val="22"/>
                <w:lang w:eastAsia="en-US"/>
              </w:rPr>
            </w:pPr>
            <w:r>
              <w:rPr>
                <w:szCs w:val="22"/>
                <w:lang w:eastAsia="en-US"/>
              </w:rPr>
              <w:t>Dažnas</w:t>
            </w:r>
          </w:p>
        </w:tc>
        <w:tc>
          <w:tcPr>
            <w:tcW w:w="2400" w:type="pct"/>
            <w:tcBorders>
              <w:top w:val="outset" w:sz="6" w:space="0" w:color="auto"/>
              <w:left w:val="outset" w:sz="6" w:space="0" w:color="auto"/>
              <w:bottom w:val="outset" w:sz="6" w:space="0" w:color="auto"/>
              <w:right w:val="outset" w:sz="6" w:space="0" w:color="auto"/>
            </w:tcBorders>
          </w:tcPr>
          <w:p w14:paraId="116C6320" w14:textId="77777777" w:rsidR="00696C65" w:rsidRDefault="00696C65" w:rsidP="00696C65">
            <w:pPr>
              <w:autoSpaceDE w:val="0"/>
              <w:autoSpaceDN w:val="0"/>
              <w:adjustRightInd w:val="0"/>
              <w:rPr>
                <w:szCs w:val="22"/>
                <w:lang w:eastAsia="en-US"/>
              </w:rPr>
            </w:pPr>
            <w:r>
              <w:rPr>
                <w:szCs w:val="22"/>
                <w:lang w:eastAsia="en-US"/>
              </w:rPr>
              <w:t>P</w:t>
            </w:r>
            <w:r w:rsidRPr="00696C65">
              <w:rPr>
                <w:szCs w:val="22"/>
                <w:lang w:eastAsia="en-US"/>
              </w:rPr>
              <w:t>eriferinė neuropatija</w:t>
            </w:r>
            <w:r w:rsidRPr="00901F66">
              <w:rPr>
                <w:szCs w:val="22"/>
                <w:vertAlign w:val="superscript"/>
                <w:lang w:eastAsia="en-US"/>
              </w:rPr>
              <w:t>e</w:t>
            </w:r>
            <w:r w:rsidRPr="00696C65">
              <w:rPr>
                <w:szCs w:val="22"/>
                <w:lang w:eastAsia="en-US"/>
              </w:rPr>
              <w:t>, išialgija</w:t>
            </w:r>
            <w:r w:rsidRPr="00901F66">
              <w:rPr>
                <w:szCs w:val="22"/>
                <w:vertAlign w:val="superscript"/>
                <w:lang w:eastAsia="en-US"/>
              </w:rPr>
              <w:t>e</w:t>
            </w:r>
          </w:p>
        </w:tc>
      </w:tr>
      <w:tr w:rsidR="003F235A" w14:paraId="73764085" w14:textId="77777777" w:rsidTr="003F235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064EA7" w14:textId="77777777" w:rsidR="004364B8" w:rsidRDefault="004364B8" w:rsidP="00BA1D9E">
            <w:pPr>
              <w:spacing w:line="256" w:lineRule="auto"/>
              <w:rPr>
                <w:szCs w:val="22"/>
                <w:lang w:eastAsia="en-US"/>
              </w:rPr>
            </w:pPr>
          </w:p>
        </w:tc>
        <w:tc>
          <w:tcPr>
            <w:tcW w:w="874" w:type="pct"/>
            <w:tcBorders>
              <w:top w:val="outset" w:sz="6" w:space="0" w:color="auto"/>
              <w:left w:val="outset" w:sz="6" w:space="0" w:color="auto"/>
              <w:bottom w:val="outset" w:sz="6" w:space="0" w:color="auto"/>
              <w:right w:val="outset" w:sz="6" w:space="0" w:color="auto"/>
            </w:tcBorders>
            <w:hideMark/>
          </w:tcPr>
          <w:p w14:paraId="7F0427D1" w14:textId="77777777" w:rsidR="004364B8" w:rsidRDefault="004364B8" w:rsidP="00BA1D9E">
            <w:pPr>
              <w:spacing w:line="256" w:lineRule="auto"/>
              <w:rPr>
                <w:szCs w:val="22"/>
                <w:lang w:eastAsia="en-US"/>
              </w:rPr>
            </w:pPr>
            <w:r>
              <w:rPr>
                <w:szCs w:val="22"/>
                <w:lang w:eastAsia="en-US"/>
              </w:rPr>
              <w:t xml:space="preserve">Nedažnas </w:t>
            </w:r>
          </w:p>
        </w:tc>
        <w:tc>
          <w:tcPr>
            <w:tcW w:w="2400" w:type="pct"/>
            <w:tcBorders>
              <w:top w:val="outset" w:sz="6" w:space="0" w:color="auto"/>
              <w:left w:val="outset" w:sz="6" w:space="0" w:color="auto"/>
              <w:bottom w:val="outset" w:sz="6" w:space="0" w:color="auto"/>
              <w:right w:val="outset" w:sz="6" w:space="0" w:color="auto"/>
            </w:tcBorders>
            <w:hideMark/>
          </w:tcPr>
          <w:p w14:paraId="5D78843F" w14:textId="2AFE041E" w:rsidR="004364B8" w:rsidRDefault="004364B8" w:rsidP="00696C65">
            <w:pPr>
              <w:autoSpaceDE w:val="0"/>
              <w:autoSpaceDN w:val="0"/>
              <w:adjustRightInd w:val="0"/>
              <w:rPr>
                <w:szCs w:val="22"/>
                <w:lang w:eastAsia="en-US"/>
              </w:rPr>
            </w:pPr>
            <w:r>
              <w:rPr>
                <w:szCs w:val="22"/>
                <w:lang w:eastAsia="en-US"/>
              </w:rPr>
              <w:t>Kraujavimas injekcijos vietoje</w:t>
            </w:r>
            <w:r w:rsidR="00696C65" w:rsidRPr="00901F66">
              <w:rPr>
                <w:szCs w:val="22"/>
                <w:vertAlign w:val="superscript"/>
                <w:lang w:eastAsia="en-US"/>
              </w:rPr>
              <w:t>f</w:t>
            </w:r>
            <w:r>
              <w:rPr>
                <w:szCs w:val="22"/>
                <w:lang w:eastAsia="en-US"/>
              </w:rPr>
              <w:t>, kaujosruva injekcijos vietoje</w:t>
            </w:r>
            <w:r w:rsidR="00696C65" w:rsidRPr="002C3413">
              <w:rPr>
                <w:szCs w:val="22"/>
                <w:vertAlign w:val="superscript"/>
                <w:lang w:eastAsia="en-US"/>
              </w:rPr>
              <w:t>f</w:t>
            </w:r>
            <w:r w:rsidR="00CC2BC8">
              <w:rPr>
                <w:szCs w:val="22"/>
                <w:lang w:eastAsia="en-US"/>
              </w:rPr>
              <w:t xml:space="preserve">, </w:t>
            </w:r>
            <w:r w:rsidR="00CC2BC8" w:rsidRPr="00CC2BC8">
              <w:rPr>
                <w:szCs w:val="22"/>
                <w:lang w:eastAsia="en-US"/>
              </w:rPr>
              <w:t>neuralgija</w:t>
            </w:r>
            <w:r w:rsidR="00CC2BC8">
              <w:rPr>
                <w:szCs w:val="22"/>
                <w:vertAlign w:val="superscript"/>
                <w:lang w:eastAsia="en-US"/>
              </w:rPr>
              <w:t>c</w:t>
            </w:r>
            <w:r w:rsidR="00696C65" w:rsidRPr="009B558C">
              <w:rPr>
                <w:vertAlign w:val="superscript"/>
              </w:rPr>
              <w:t>,</w:t>
            </w:r>
            <w:r w:rsidR="00696C65" w:rsidRPr="002C3413">
              <w:rPr>
                <w:szCs w:val="22"/>
                <w:vertAlign w:val="superscript"/>
                <w:lang w:eastAsia="en-US"/>
              </w:rPr>
              <w:t xml:space="preserve"> f</w:t>
            </w:r>
            <w:r w:rsidR="00CC2BC8">
              <w:rPr>
                <w:szCs w:val="22"/>
                <w:vertAlign w:val="superscript"/>
                <w:lang w:eastAsia="en-US"/>
              </w:rPr>
              <w:t xml:space="preserve"> </w:t>
            </w:r>
          </w:p>
        </w:tc>
      </w:tr>
    </w:tbl>
    <w:p w14:paraId="1A963424" w14:textId="77777777" w:rsidR="004364B8" w:rsidRDefault="004364B8" w:rsidP="004364B8">
      <w:pPr>
        <w:rPr>
          <w:szCs w:val="22"/>
          <w:lang w:eastAsia="en-US"/>
        </w:rPr>
      </w:pPr>
      <w:r>
        <w:rPr>
          <w:szCs w:val="22"/>
          <w:vertAlign w:val="superscript"/>
          <w:lang w:eastAsia="en-US"/>
        </w:rPr>
        <w:t>a</w:t>
      </w:r>
      <w:r>
        <w:rPr>
          <w:szCs w:val="22"/>
          <w:lang w:eastAsia="en-US"/>
        </w:rPr>
        <w:t xml:space="preserve"> Įskaitant nepageidaujamas reakcijas į vaistinį preparatą, kurių ryšio su fulvestranto vartojimu tiksliai įvertinti nebuvo galimybės dėl pagrindinės ligos.</w:t>
      </w:r>
    </w:p>
    <w:p w14:paraId="0F5B0C71" w14:textId="77777777" w:rsidR="00AD0D95" w:rsidRDefault="00AD0D95" w:rsidP="004364B8">
      <w:pPr>
        <w:rPr>
          <w:szCs w:val="22"/>
          <w:lang w:eastAsia="en-US"/>
        </w:rPr>
      </w:pPr>
    </w:p>
    <w:p w14:paraId="32F909D8" w14:textId="77777777" w:rsidR="004364B8" w:rsidRDefault="004364B8" w:rsidP="00AD0D95">
      <w:pPr>
        <w:rPr>
          <w:szCs w:val="22"/>
          <w:lang w:eastAsia="en-US"/>
        </w:rPr>
      </w:pPr>
      <w:r>
        <w:rPr>
          <w:szCs w:val="22"/>
          <w:vertAlign w:val="superscript"/>
          <w:lang w:eastAsia="en-US"/>
        </w:rPr>
        <w:t>b</w:t>
      </w:r>
      <w:r>
        <w:rPr>
          <w:szCs w:val="22"/>
          <w:lang w:eastAsia="en-US"/>
        </w:rPr>
        <w:t xml:space="preserve"> Reakcijų injekcijos vietoje terminas neapima kraujavimo injekcijos vietoje</w:t>
      </w:r>
      <w:r w:rsidR="00AD0D95">
        <w:rPr>
          <w:szCs w:val="22"/>
          <w:lang w:eastAsia="en-US"/>
        </w:rPr>
        <w:t>,</w:t>
      </w:r>
      <w:r>
        <w:rPr>
          <w:szCs w:val="22"/>
          <w:lang w:eastAsia="en-US"/>
        </w:rPr>
        <w:t xml:space="preserve"> hematomos injekcijos vietoje</w:t>
      </w:r>
      <w:r w:rsidR="00AD0D95">
        <w:rPr>
          <w:szCs w:val="22"/>
          <w:lang w:eastAsia="en-US"/>
        </w:rPr>
        <w:t xml:space="preserve">, </w:t>
      </w:r>
      <w:r w:rsidR="00AD0D95" w:rsidRPr="00AD0D95">
        <w:rPr>
          <w:szCs w:val="22"/>
          <w:lang w:eastAsia="en-US"/>
        </w:rPr>
        <w:t>išialgijos, neuralgijos ir periferinės neuropatijos.</w:t>
      </w:r>
    </w:p>
    <w:p w14:paraId="16FB5F30" w14:textId="77777777" w:rsidR="00AD0D95" w:rsidRDefault="00AD0D95" w:rsidP="00AD0D95">
      <w:pPr>
        <w:rPr>
          <w:szCs w:val="22"/>
          <w:lang w:eastAsia="en-US"/>
        </w:rPr>
      </w:pPr>
    </w:p>
    <w:p w14:paraId="447F855C" w14:textId="0FFCF56F" w:rsidR="004364B8" w:rsidRDefault="004364B8" w:rsidP="004364B8">
      <w:pPr>
        <w:rPr>
          <w:szCs w:val="22"/>
          <w:lang w:eastAsia="en-US"/>
        </w:rPr>
      </w:pPr>
      <w:r>
        <w:rPr>
          <w:szCs w:val="22"/>
          <w:vertAlign w:val="superscript"/>
          <w:lang w:eastAsia="en-US"/>
        </w:rPr>
        <w:t>c</w:t>
      </w:r>
      <w:r>
        <w:rPr>
          <w:szCs w:val="22"/>
          <w:lang w:eastAsia="en-US"/>
        </w:rPr>
        <w:t xml:space="preserve"> Pagrindinių klinikinių tyrimų (CONFIRM, FINDER 1, FINDER 2, NEWEST) metu šio reiškinio nenustatyta. Jo dažnis apskaičiuotas naudojant viršutinę 95% vertinamojo rodiklio pasikliautino intervalo ribą. Apskaičiavus gauta 3/</w:t>
      </w:r>
      <w:r w:rsidR="00AD0D95">
        <w:rPr>
          <w:szCs w:val="22"/>
          <w:lang w:eastAsia="en-US"/>
        </w:rPr>
        <w:t xml:space="preserve">560 </w:t>
      </w:r>
      <w:r>
        <w:rPr>
          <w:szCs w:val="22"/>
          <w:lang w:eastAsia="en-US"/>
        </w:rPr>
        <w:t xml:space="preserve">(kur </w:t>
      </w:r>
      <w:r w:rsidR="00AD0D95">
        <w:rPr>
          <w:szCs w:val="22"/>
          <w:lang w:eastAsia="en-US"/>
        </w:rPr>
        <w:t xml:space="preserve">560 </w:t>
      </w:r>
      <w:r>
        <w:rPr>
          <w:szCs w:val="22"/>
          <w:lang w:eastAsia="en-US"/>
        </w:rPr>
        <w:t>yra pagrindiniuose klinikiniuose tyrimuose dalyvavusių pacienčių skaičius), kas prilyginama dažnio kategorijai „nedažnas“.</w:t>
      </w:r>
    </w:p>
    <w:p w14:paraId="6B2BFADA" w14:textId="77777777" w:rsidR="00696C65" w:rsidRPr="009B558C" w:rsidRDefault="00696C65" w:rsidP="00696C65"/>
    <w:p w14:paraId="114374A2" w14:textId="77777777" w:rsidR="00696C65" w:rsidRPr="00901F66" w:rsidRDefault="00696C65" w:rsidP="00696C65">
      <w:pPr>
        <w:rPr>
          <w:szCs w:val="22"/>
          <w:lang w:eastAsia="en-US"/>
        </w:rPr>
      </w:pPr>
      <w:r w:rsidRPr="00901F66">
        <w:rPr>
          <w:szCs w:val="22"/>
          <w:vertAlign w:val="superscript"/>
          <w:lang w:eastAsia="en-US"/>
        </w:rPr>
        <w:t>d</w:t>
      </w:r>
      <w:r w:rsidR="004D7EFD">
        <w:rPr>
          <w:szCs w:val="22"/>
          <w:vertAlign w:val="superscript"/>
          <w:lang w:eastAsia="en-US"/>
        </w:rPr>
        <w:t xml:space="preserve"> </w:t>
      </w:r>
      <w:r w:rsidRPr="00901F66">
        <w:rPr>
          <w:szCs w:val="22"/>
          <w:lang w:eastAsia="en-US"/>
        </w:rPr>
        <w:t>Tai artralgija bei (rečiau) griaučių raumenų skausmas, mialgija ir galūnės skausmas.</w:t>
      </w:r>
    </w:p>
    <w:p w14:paraId="63DE3301" w14:textId="77777777" w:rsidR="00696C65" w:rsidRDefault="00696C65" w:rsidP="00696C65">
      <w:pPr>
        <w:rPr>
          <w:szCs w:val="22"/>
          <w:lang w:eastAsia="en-US"/>
        </w:rPr>
      </w:pPr>
    </w:p>
    <w:p w14:paraId="5E57AA7E" w14:textId="77777777" w:rsidR="00696C65" w:rsidRPr="00901F66" w:rsidRDefault="00696C65" w:rsidP="00696C65">
      <w:pPr>
        <w:rPr>
          <w:szCs w:val="22"/>
          <w:lang w:eastAsia="en-US"/>
        </w:rPr>
      </w:pPr>
      <w:r w:rsidRPr="00901F66">
        <w:rPr>
          <w:szCs w:val="22"/>
          <w:vertAlign w:val="superscript"/>
          <w:lang w:eastAsia="en-US"/>
        </w:rPr>
        <w:t>e</w:t>
      </w:r>
      <w:r w:rsidRPr="00901F66">
        <w:rPr>
          <w:szCs w:val="22"/>
          <w:lang w:eastAsia="en-US"/>
        </w:rPr>
        <w:t xml:space="preserve"> Dažnio kategorijos </w:t>
      </w:r>
      <w:r w:rsidR="004D7EFD">
        <w:rPr>
          <w:szCs w:val="22"/>
          <w:lang w:eastAsia="en-US"/>
        </w:rPr>
        <w:t>jungtiniais</w:t>
      </w:r>
      <w:r w:rsidRPr="00901F66">
        <w:rPr>
          <w:szCs w:val="22"/>
          <w:lang w:eastAsia="en-US"/>
        </w:rPr>
        <w:t xml:space="preserve"> saugumo analizės ir FALCON tyrimo duomenimis yra skirtingos.</w:t>
      </w:r>
    </w:p>
    <w:p w14:paraId="64348AA6" w14:textId="77777777" w:rsidR="004D7EFD" w:rsidRDefault="004D7EFD" w:rsidP="00696C65">
      <w:pPr>
        <w:rPr>
          <w:szCs w:val="22"/>
          <w:lang w:eastAsia="en-US"/>
        </w:rPr>
      </w:pPr>
    </w:p>
    <w:p w14:paraId="4EB7EB34" w14:textId="77777777" w:rsidR="004364B8" w:rsidRPr="00901F66" w:rsidRDefault="00696C65" w:rsidP="00696C65">
      <w:pPr>
        <w:rPr>
          <w:szCs w:val="22"/>
          <w:lang w:eastAsia="en-US"/>
        </w:rPr>
      </w:pPr>
      <w:r w:rsidRPr="00901F66">
        <w:rPr>
          <w:szCs w:val="22"/>
          <w:vertAlign w:val="superscript"/>
          <w:lang w:eastAsia="en-US"/>
        </w:rPr>
        <w:t>f</w:t>
      </w:r>
      <w:r w:rsidRPr="00901F66">
        <w:rPr>
          <w:szCs w:val="22"/>
          <w:lang w:eastAsia="en-US"/>
        </w:rPr>
        <w:t xml:space="preserve"> NRV </w:t>
      </w:r>
      <w:r w:rsidR="004D7EFD">
        <w:rPr>
          <w:szCs w:val="22"/>
          <w:lang w:eastAsia="en-US"/>
        </w:rPr>
        <w:t>nenustatyta</w:t>
      </w:r>
      <w:r w:rsidRPr="00901F66">
        <w:rPr>
          <w:szCs w:val="22"/>
          <w:lang w:eastAsia="en-US"/>
        </w:rPr>
        <w:t xml:space="preserve"> FALCON tyrimo metu.</w:t>
      </w:r>
    </w:p>
    <w:p w14:paraId="00C70F1F" w14:textId="77777777" w:rsidR="00696C65" w:rsidRPr="00901F66" w:rsidRDefault="00696C65" w:rsidP="004364B8">
      <w:pPr>
        <w:rPr>
          <w:szCs w:val="22"/>
          <w:lang w:eastAsia="en-US"/>
        </w:rPr>
      </w:pPr>
    </w:p>
    <w:p w14:paraId="6F9BDAF2" w14:textId="77777777" w:rsidR="004D7EFD" w:rsidRPr="004D7EFD" w:rsidRDefault="004D7EFD" w:rsidP="004D7EFD">
      <w:pPr>
        <w:rPr>
          <w:szCs w:val="22"/>
          <w:u w:val="single"/>
          <w:lang w:eastAsia="en-US"/>
        </w:rPr>
      </w:pPr>
      <w:r w:rsidRPr="004D7EFD">
        <w:rPr>
          <w:szCs w:val="22"/>
          <w:u w:val="single"/>
          <w:lang w:eastAsia="en-US"/>
        </w:rPr>
        <w:lastRenderedPageBreak/>
        <w:t>Atrinktų nepageidaujamų reakcijų ap</w:t>
      </w:r>
      <w:r w:rsidR="00F01B67">
        <w:rPr>
          <w:szCs w:val="22"/>
          <w:u w:val="single"/>
          <w:lang w:eastAsia="en-US"/>
        </w:rPr>
        <w:t>ibūdinimas</w:t>
      </w:r>
    </w:p>
    <w:p w14:paraId="492B6914" w14:textId="77777777" w:rsidR="004D7EFD" w:rsidRPr="00901F66" w:rsidRDefault="004D7EFD" w:rsidP="004D7EFD">
      <w:pPr>
        <w:rPr>
          <w:szCs w:val="22"/>
          <w:lang w:eastAsia="en-US"/>
        </w:rPr>
      </w:pPr>
    </w:p>
    <w:p w14:paraId="216B10B0" w14:textId="77777777" w:rsidR="004D7EFD" w:rsidRPr="00901F66" w:rsidRDefault="004D7EFD" w:rsidP="004D7EFD">
      <w:pPr>
        <w:rPr>
          <w:szCs w:val="22"/>
          <w:lang w:eastAsia="en-US"/>
        </w:rPr>
      </w:pPr>
      <w:r w:rsidRPr="00901F66">
        <w:rPr>
          <w:szCs w:val="22"/>
          <w:lang w:eastAsia="en-US"/>
        </w:rPr>
        <w:t>Žemiau pateik</w:t>
      </w:r>
      <w:r>
        <w:rPr>
          <w:szCs w:val="22"/>
          <w:lang w:eastAsia="en-US"/>
        </w:rPr>
        <w:t>ti</w:t>
      </w:r>
      <w:r w:rsidRPr="00901F66">
        <w:rPr>
          <w:szCs w:val="22"/>
          <w:lang w:eastAsia="en-US"/>
        </w:rPr>
        <w:t xml:space="preserve"> aprašymai pagrįsti 3 fazės FALCON tyrimo duomenimis (228 bent vieną</w:t>
      </w:r>
      <w:r>
        <w:rPr>
          <w:szCs w:val="22"/>
          <w:lang w:eastAsia="en-US"/>
        </w:rPr>
        <w:t xml:space="preserve"> </w:t>
      </w:r>
      <w:r w:rsidRPr="00901F66">
        <w:rPr>
          <w:szCs w:val="22"/>
          <w:lang w:eastAsia="en-US"/>
        </w:rPr>
        <w:t>fulvestranto dozę vartojusių ir 232 bent vieną anastrozolo dozę vartojusių pacienčių).</w:t>
      </w:r>
    </w:p>
    <w:p w14:paraId="236C0369" w14:textId="77777777" w:rsidR="004D7EFD" w:rsidRDefault="004D7EFD" w:rsidP="004D7EFD">
      <w:pPr>
        <w:rPr>
          <w:szCs w:val="22"/>
          <w:lang w:eastAsia="en-US"/>
        </w:rPr>
      </w:pPr>
    </w:p>
    <w:p w14:paraId="01CB93F6" w14:textId="77777777" w:rsidR="004D7EFD" w:rsidRPr="00901F66" w:rsidRDefault="004D7EFD" w:rsidP="004D7EFD">
      <w:pPr>
        <w:rPr>
          <w:i/>
          <w:szCs w:val="22"/>
          <w:lang w:eastAsia="en-US"/>
        </w:rPr>
      </w:pPr>
      <w:r w:rsidRPr="00901F66">
        <w:rPr>
          <w:i/>
          <w:szCs w:val="22"/>
          <w:lang w:eastAsia="en-US"/>
        </w:rPr>
        <w:t>Sąnarių ir griaučių raumenų skausmas</w:t>
      </w:r>
    </w:p>
    <w:p w14:paraId="79F7FC69" w14:textId="341D5B07" w:rsidR="004D7EFD" w:rsidRPr="00901F66" w:rsidRDefault="004D7EFD" w:rsidP="004D7EFD">
      <w:pPr>
        <w:rPr>
          <w:szCs w:val="22"/>
          <w:lang w:eastAsia="en-US"/>
        </w:rPr>
      </w:pPr>
      <w:r w:rsidRPr="00901F66">
        <w:rPr>
          <w:szCs w:val="22"/>
          <w:lang w:eastAsia="en-US"/>
        </w:rPr>
        <w:t>FALCON tyrimo metu sąnarių ar griaučių raumenų skausmas kaip nepageidaujama reakcija</w:t>
      </w:r>
      <w:r>
        <w:rPr>
          <w:szCs w:val="22"/>
          <w:lang w:eastAsia="en-US"/>
        </w:rPr>
        <w:t xml:space="preserve"> nustatyta</w:t>
      </w:r>
      <w:r w:rsidRPr="00901F66">
        <w:rPr>
          <w:szCs w:val="22"/>
          <w:lang w:eastAsia="en-US"/>
        </w:rPr>
        <w:t xml:space="preserve"> 65 (31,2</w:t>
      </w:r>
      <w:r w:rsidR="00FC03AF">
        <w:rPr>
          <w:szCs w:val="22"/>
          <w:lang w:eastAsia="en-US"/>
        </w:rPr>
        <w:t> </w:t>
      </w:r>
      <w:r w:rsidRPr="00901F66">
        <w:rPr>
          <w:szCs w:val="22"/>
          <w:lang w:eastAsia="en-US"/>
        </w:rPr>
        <w:t>%) fulvestranto ir 48 (24,1</w:t>
      </w:r>
      <w:r w:rsidR="00FC03AF">
        <w:rPr>
          <w:szCs w:val="22"/>
          <w:lang w:eastAsia="en-US"/>
        </w:rPr>
        <w:t> </w:t>
      </w:r>
      <w:r w:rsidRPr="00901F66">
        <w:rPr>
          <w:szCs w:val="22"/>
          <w:lang w:eastAsia="en-US"/>
        </w:rPr>
        <w:t>%) anastrozolo grupės pacientėms. 40</w:t>
      </w:r>
      <w:r w:rsidR="00FC03AF">
        <w:rPr>
          <w:szCs w:val="22"/>
          <w:lang w:eastAsia="en-US"/>
        </w:rPr>
        <w:t> </w:t>
      </w:r>
      <w:r w:rsidRPr="00901F66">
        <w:rPr>
          <w:szCs w:val="22"/>
          <w:lang w:eastAsia="en-US"/>
        </w:rPr>
        <w:t>% (26 iš 65)</w:t>
      </w:r>
      <w:r>
        <w:rPr>
          <w:szCs w:val="22"/>
          <w:lang w:eastAsia="en-US"/>
        </w:rPr>
        <w:t xml:space="preserve"> </w:t>
      </w:r>
      <w:r w:rsidR="00F01B67">
        <w:rPr>
          <w:szCs w:val="22"/>
          <w:lang w:eastAsia="en-US"/>
        </w:rPr>
        <w:t>f</w:t>
      </w:r>
      <w:r>
        <w:rPr>
          <w:szCs w:val="22"/>
          <w:lang w:eastAsia="en-US"/>
        </w:rPr>
        <w:t>ulvestranto</w:t>
      </w:r>
      <w:r w:rsidRPr="00901F66">
        <w:rPr>
          <w:szCs w:val="22"/>
          <w:lang w:eastAsia="en-US"/>
        </w:rPr>
        <w:t xml:space="preserve"> grupės pacienčių sąnarių ar griaučių raumenų skausmas </w:t>
      </w:r>
      <w:r>
        <w:rPr>
          <w:szCs w:val="22"/>
          <w:lang w:eastAsia="en-US"/>
        </w:rPr>
        <w:t>nustatytas</w:t>
      </w:r>
      <w:r w:rsidRPr="00901F66">
        <w:rPr>
          <w:szCs w:val="22"/>
          <w:lang w:eastAsia="en-US"/>
        </w:rPr>
        <w:t xml:space="preserve"> per pirmąjį gydymo</w:t>
      </w:r>
      <w:r>
        <w:rPr>
          <w:szCs w:val="22"/>
          <w:lang w:eastAsia="en-US"/>
        </w:rPr>
        <w:t xml:space="preserve"> </w:t>
      </w:r>
      <w:r w:rsidRPr="00901F66">
        <w:rPr>
          <w:szCs w:val="22"/>
          <w:lang w:eastAsia="en-US"/>
        </w:rPr>
        <w:t>mėnesį, 66,2</w:t>
      </w:r>
      <w:r w:rsidR="00FC03AF">
        <w:rPr>
          <w:szCs w:val="22"/>
          <w:lang w:eastAsia="en-US"/>
        </w:rPr>
        <w:t> </w:t>
      </w:r>
      <w:r w:rsidRPr="00901F66">
        <w:rPr>
          <w:szCs w:val="22"/>
          <w:lang w:eastAsia="en-US"/>
        </w:rPr>
        <w:t>% (43 iš 65) – per pirmuosius 3 gydymo mėnesius. CTCAE ≥</w:t>
      </w:r>
      <w:r w:rsidR="00FC03AF">
        <w:rPr>
          <w:szCs w:val="22"/>
          <w:lang w:eastAsia="en-US"/>
        </w:rPr>
        <w:t> </w:t>
      </w:r>
      <w:r w:rsidRPr="00901F66">
        <w:rPr>
          <w:szCs w:val="22"/>
          <w:lang w:eastAsia="en-US"/>
        </w:rPr>
        <w:t>3</w:t>
      </w:r>
      <w:r w:rsidR="00FC03AF">
        <w:rPr>
          <w:szCs w:val="22"/>
          <w:lang w:eastAsia="en-US"/>
        </w:rPr>
        <w:t> </w:t>
      </w:r>
      <w:r w:rsidRPr="00901F66">
        <w:rPr>
          <w:szCs w:val="22"/>
          <w:lang w:eastAsia="en-US"/>
        </w:rPr>
        <w:t>laipsnio nepageidaujamų</w:t>
      </w:r>
      <w:r>
        <w:rPr>
          <w:szCs w:val="22"/>
          <w:lang w:eastAsia="en-US"/>
        </w:rPr>
        <w:t xml:space="preserve"> </w:t>
      </w:r>
      <w:r w:rsidRPr="00901F66">
        <w:rPr>
          <w:szCs w:val="22"/>
          <w:lang w:eastAsia="en-US"/>
        </w:rPr>
        <w:t>reakcijų arba tokių, dėl kurių teko sumažinti dozę arba laikinai ar visam laikui nutraukti gydymą,</w:t>
      </w:r>
      <w:r>
        <w:rPr>
          <w:szCs w:val="22"/>
          <w:lang w:eastAsia="en-US"/>
        </w:rPr>
        <w:t xml:space="preserve"> nenustatyta.</w:t>
      </w:r>
    </w:p>
    <w:p w14:paraId="399B4341" w14:textId="77777777" w:rsidR="004D7EFD" w:rsidRPr="00901F66" w:rsidRDefault="004D7EFD" w:rsidP="004D7EFD">
      <w:pPr>
        <w:rPr>
          <w:szCs w:val="22"/>
          <w:lang w:eastAsia="en-US"/>
        </w:rPr>
      </w:pPr>
    </w:p>
    <w:p w14:paraId="146FEFCE" w14:textId="77777777" w:rsidR="004D7EFD" w:rsidRPr="00901F66" w:rsidRDefault="004D7EFD" w:rsidP="004D7EFD">
      <w:pPr>
        <w:rPr>
          <w:i/>
          <w:szCs w:val="22"/>
          <w:lang w:eastAsia="en-US"/>
        </w:rPr>
      </w:pPr>
      <w:r w:rsidRPr="00901F66">
        <w:rPr>
          <w:i/>
          <w:szCs w:val="22"/>
          <w:lang w:eastAsia="en-US"/>
        </w:rPr>
        <w:t>Gydymas deriniu su palbociklibu</w:t>
      </w:r>
    </w:p>
    <w:p w14:paraId="254F677D" w14:textId="76605A8B" w:rsidR="004D7EFD" w:rsidRPr="00901F66" w:rsidRDefault="004D7EFD" w:rsidP="004D7EFD">
      <w:pPr>
        <w:rPr>
          <w:szCs w:val="22"/>
          <w:lang w:eastAsia="en-US"/>
        </w:rPr>
      </w:pPr>
      <w:r w:rsidRPr="00901F66">
        <w:rPr>
          <w:szCs w:val="22"/>
          <w:lang w:eastAsia="en-US"/>
        </w:rPr>
        <w:t>Bendras fulvestranto derinio su palbociklibu saugumo vertinimas yra pagrįstas duomenimis 517</w:t>
      </w:r>
      <w:r>
        <w:rPr>
          <w:szCs w:val="22"/>
          <w:lang w:eastAsia="en-US"/>
        </w:rPr>
        <w:t xml:space="preserve"> </w:t>
      </w:r>
      <w:r w:rsidRPr="00901F66">
        <w:rPr>
          <w:szCs w:val="22"/>
          <w:lang w:eastAsia="en-US"/>
        </w:rPr>
        <w:t>pacienčių, sirgusių HR teigiamu, HER-2 neigiamu progresavusiu arba metastazavusiu krūties vėžiu ir</w:t>
      </w:r>
      <w:r>
        <w:rPr>
          <w:szCs w:val="22"/>
          <w:lang w:eastAsia="en-US"/>
        </w:rPr>
        <w:t xml:space="preserve"> </w:t>
      </w:r>
      <w:r w:rsidRPr="00901F66">
        <w:rPr>
          <w:szCs w:val="22"/>
          <w:lang w:eastAsia="en-US"/>
        </w:rPr>
        <w:t>dalyvavusių randomizuotame PALOMA3 tyrime (žr. 5.1 skyrių). Dažniausios (≥</w:t>
      </w:r>
      <w:r w:rsidR="00FC03AF">
        <w:rPr>
          <w:szCs w:val="22"/>
          <w:lang w:eastAsia="en-US"/>
        </w:rPr>
        <w:t> </w:t>
      </w:r>
      <w:r w:rsidRPr="00901F66">
        <w:rPr>
          <w:szCs w:val="22"/>
          <w:lang w:eastAsia="en-US"/>
        </w:rPr>
        <w:t>20</w:t>
      </w:r>
      <w:r w:rsidR="00FC03AF">
        <w:rPr>
          <w:szCs w:val="22"/>
          <w:lang w:eastAsia="en-US"/>
        </w:rPr>
        <w:t> </w:t>
      </w:r>
      <w:r w:rsidRPr="00901F66">
        <w:rPr>
          <w:szCs w:val="22"/>
          <w:lang w:eastAsia="en-US"/>
        </w:rPr>
        <w:t>%) bet kurio</w:t>
      </w:r>
      <w:r>
        <w:rPr>
          <w:szCs w:val="22"/>
          <w:lang w:eastAsia="en-US"/>
        </w:rPr>
        <w:t xml:space="preserve"> </w:t>
      </w:r>
      <w:r w:rsidRPr="00901F66">
        <w:rPr>
          <w:szCs w:val="22"/>
          <w:lang w:eastAsia="en-US"/>
        </w:rPr>
        <w:t xml:space="preserve">laipsnio nepageidaujamos reakcijos, </w:t>
      </w:r>
      <w:r>
        <w:rPr>
          <w:szCs w:val="22"/>
          <w:lang w:eastAsia="en-US"/>
        </w:rPr>
        <w:t>nustatytos</w:t>
      </w:r>
      <w:r w:rsidRPr="00901F66">
        <w:rPr>
          <w:szCs w:val="22"/>
          <w:lang w:eastAsia="en-US"/>
        </w:rPr>
        <w:t xml:space="preserve"> fulvestrant</w:t>
      </w:r>
      <w:r>
        <w:rPr>
          <w:szCs w:val="22"/>
          <w:lang w:eastAsia="en-US"/>
        </w:rPr>
        <w:t>o</w:t>
      </w:r>
      <w:r w:rsidRPr="00901F66">
        <w:rPr>
          <w:szCs w:val="22"/>
          <w:lang w:eastAsia="en-US"/>
        </w:rPr>
        <w:t xml:space="preserve"> kartu su palbociklibu vartojusioms</w:t>
      </w:r>
      <w:r>
        <w:rPr>
          <w:szCs w:val="22"/>
          <w:lang w:eastAsia="en-US"/>
        </w:rPr>
        <w:t xml:space="preserve"> </w:t>
      </w:r>
      <w:r w:rsidRPr="00901F66">
        <w:rPr>
          <w:szCs w:val="22"/>
          <w:lang w:eastAsia="en-US"/>
        </w:rPr>
        <w:t>pacientėms, buvo neutropenija, leukopenija, infekcijos, nuovargis, pykinimas, anemija, stomatitas,</w:t>
      </w:r>
      <w:r>
        <w:rPr>
          <w:szCs w:val="22"/>
          <w:lang w:eastAsia="en-US"/>
        </w:rPr>
        <w:t xml:space="preserve"> </w:t>
      </w:r>
      <w:r w:rsidRPr="00901F66">
        <w:rPr>
          <w:szCs w:val="22"/>
          <w:lang w:eastAsia="en-US"/>
        </w:rPr>
        <w:t>viduriavimas</w:t>
      </w:r>
      <w:r w:rsidR="00B51AD9">
        <w:rPr>
          <w:szCs w:val="22"/>
          <w:lang w:eastAsia="en-US"/>
        </w:rPr>
        <w:t xml:space="preserve">, </w:t>
      </w:r>
      <w:r w:rsidRPr="00901F66">
        <w:rPr>
          <w:szCs w:val="22"/>
          <w:lang w:eastAsia="en-US"/>
        </w:rPr>
        <w:t>trombocitopenija</w:t>
      </w:r>
      <w:r w:rsidR="00B51AD9">
        <w:rPr>
          <w:szCs w:val="22"/>
          <w:lang w:eastAsia="en-US"/>
        </w:rPr>
        <w:t xml:space="preserve"> ir vėmimas.</w:t>
      </w:r>
      <w:r w:rsidRPr="00901F66">
        <w:rPr>
          <w:szCs w:val="22"/>
          <w:lang w:eastAsia="en-US"/>
        </w:rPr>
        <w:t xml:space="preserve"> Dažniausios (≥</w:t>
      </w:r>
      <w:r w:rsidR="00FC03AF">
        <w:rPr>
          <w:szCs w:val="22"/>
          <w:lang w:eastAsia="en-US"/>
        </w:rPr>
        <w:t> </w:t>
      </w:r>
      <w:r w:rsidRPr="00901F66">
        <w:rPr>
          <w:szCs w:val="22"/>
          <w:lang w:eastAsia="en-US"/>
        </w:rPr>
        <w:t>2</w:t>
      </w:r>
      <w:r w:rsidR="00FC03AF">
        <w:rPr>
          <w:szCs w:val="22"/>
          <w:lang w:eastAsia="en-US"/>
        </w:rPr>
        <w:t> </w:t>
      </w:r>
      <w:r w:rsidRPr="00901F66">
        <w:rPr>
          <w:szCs w:val="22"/>
          <w:lang w:eastAsia="en-US"/>
        </w:rPr>
        <w:t>%) ≥</w:t>
      </w:r>
      <w:r w:rsidR="00FC03AF">
        <w:rPr>
          <w:szCs w:val="22"/>
          <w:lang w:eastAsia="en-US"/>
        </w:rPr>
        <w:t> </w:t>
      </w:r>
      <w:r w:rsidRPr="00901F66">
        <w:rPr>
          <w:szCs w:val="22"/>
          <w:lang w:eastAsia="en-US"/>
        </w:rPr>
        <w:t>3</w:t>
      </w:r>
      <w:r w:rsidR="00FC03AF">
        <w:rPr>
          <w:szCs w:val="22"/>
          <w:lang w:eastAsia="en-US"/>
        </w:rPr>
        <w:t> </w:t>
      </w:r>
      <w:r w:rsidRPr="00901F66">
        <w:rPr>
          <w:szCs w:val="22"/>
          <w:lang w:eastAsia="en-US"/>
        </w:rPr>
        <w:t>laipsnio nepageidaujamos reakcijos buvo</w:t>
      </w:r>
      <w:r>
        <w:rPr>
          <w:szCs w:val="22"/>
          <w:lang w:eastAsia="en-US"/>
        </w:rPr>
        <w:t xml:space="preserve"> </w:t>
      </w:r>
      <w:r w:rsidRPr="00901F66">
        <w:rPr>
          <w:szCs w:val="22"/>
          <w:lang w:eastAsia="en-US"/>
        </w:rPr>
        <w:t>neutropenija, leukopenija, anemija, infekcijos, padidėj</w:t>
      </w:r>
      <w:r>
        <w:rPr>
          <w:szCs w:val="22"/>
          <w:lang w:eastAsia="en-US"/>
        </w:rPr>
        <w:t>ęs</w:t>
      </w:r>
      <w:r w:rsidRPr="00901F66">
        <w:rPr>
          <w:szCs w:val="22"/>
          <w:lang w:eastAsia="en-US"/>
        </w:rPr>
        <w:t xml:space="preserve"> AST </w:t>
      </w:r>
      <w:r>
        <w:rPr>
          <w:szCs w:val="22"/>
          <w:lang w:eastAsia="en-US"/>
        </w:rPr>
        <w:t>aktyvumas</w:t>
      </w:r>
      <w:r w:rsidRPr="00901F66">
        <w:rPr>
          <w:szCs w:val="22"/>
          <w:lang w:eastAsia="en-US"/>
        </w:rPr>
        <w:t>, trombocitopenija ir</w:t>
      </w:r>
      <w:r>
        <w:rPr>
          <w:szCs w:val="22"/>
          <w:lang w:eastAsia="en-US"/>
        </w:rPr>
        <w:t xml:space="preserve"> </w:t>
      </w:r>
      <w:r w:rsidRPr="00901F66">
        <w:rPr>
          <w:szCs w:val="22"/>
          <w:lang w:eastAsia="en-US"/>
        </w:rPr>
        <w:t>nuovargis.</w:t>
      </w:r>
    </w:p>
    <w:p w14:paraId="7241DBFB" w14:textId="77777777" w:rsidR="00386562" w:rsidRDefault="00386562" w:rsidP="004D7EFD">
      <w:pPr>
        <w:rPr>
          <w:szCs w:val="22"/>
          <w:lang w:eastAsia="en-US"/>
        </w:rPr>
      </w:pPr>
    </w:p>
    <w:p w14:paraId="63A12784" w14:textId="77777777" w:rsidR="004D7EFD" w:rsidRPr="00901F66" w:rsidRDefault="004D7EFD" w:rsidP="004D7EFD">
      <w:pPr>
        <w:rPr>
          <w:szCs w:val="22"/>
          <w:lang w:eastAsia="en-US"/>
        </w:rPr>
      </w:pPr>
      <w:r w:rsidRPr="00901F66">
        <w:rPr>
          <w:szCs w:val="22"/>
          <w:lang w:eastAsia="en-US"/>
        </w:rPr>
        <w:t xml:space="preserve">2 lentelėje </w:t>
      </w:r>
      <w:r>
        <w:rPr>
          <w:szCs w:val="22"/>
          <w:lang w:eastAsia="en-US"/>
        </w:rPr>
        <w:t>išvardytos</w:t>
      </w:r>
      <w:r w:rsidRPr="00901F66">
        <w:rPr>
          <w:szCs w:val="22"/>
          <w:lang w:eastAsia="en-US"/>
        </w:rPr>
        <w:t xml:space="preserve"> nepageidaujamos reakcijos, </w:t>
      </w:r>
      <w:r>
        <w:rPr>
          <w:szCs w:val="22"/>
          <w:lang w:eastAsia="en-US"/>
        </w:rPr>
        <w:t>nustatytos</w:t>
      </w:r>
      <w:r w:rsidRPr="00901F66">
        <w:rPr>
          <w:szCs w:val="22"/>
          <w:lang w:eastAsia="en-US"/>
        </w:rPr>
        <w:t xml:space="preserve"> PALOMA3 tyrimo metu.</w:t>
      </w:r>
    </w:p>
    <w:p w14:paraId="3875CC32" w14:textId="2750231D" w:rsidR="004D7EFD" w:rsidRPr="00901F66" w:rsidRDefault="004D7EFD" w:rsidP="004D7EFD">
      <w:pPr>
        <w:rPr>
          <w:szCs w:val="22"/>
          <w:lang w:eastAsia="en-US"/>
        </w:rPr>
      </w:pPr>
      <w:r w:rsidRPr="00901F66">
        <w:rPr>
          <w:szCs w:val="22"/>
          <w:lang w:eastAsia="en-US"/>
        </w:rPr>
        <w:t>Fulvestranto vartojimo trukmės mediana fulvestranto ir palbociklibo derinio grupės pacientėms buvo</w:t>
      </w:r>
      <w:r w:rsidR="00386562">
        <w:rPr>
          <w:szCs w:val="22"/>
          <w:lang w:eastAsia="en-US"/>
        </w:rPr>
        <w:t xml:space="preserve"> </w:t>
      </w:r>
      <w:r w:rsidRPr="00901F66">
        <w:rPr>
          <w:szCs w:val="22"/>
          <w:lang w:eastAsia="en-US"/>
        </w:rPr>
        <w:t>11,2</w:t>
      </w:r>
      <w:r w:rsidR="00FC03AF">
        <w:rPr>
          <w:szCs w:val="22"/>
          <w:lang w:eastAsia="en-US"/>
        </w:rPr>
        <w:t> </w:t>
      </w:r>
      <w:r w:rsidRPr="00901F66">
        <w:rPr>
          <w:szCs w:val="22"/>
          <w:lang w:eastAsia="en-US"/>
        </w:rPr>
        <w:t>mėn., fulvestranto ir placebo derinio – 4,9</w:t>
      </w:r>
      <w:r w:rsidR="00FC03AF">
        <w:rPr>
          <w:szCs w:val="22"/>
          <w:lang w:eastAsia="en-US"/>
        </w:rPr>
        <w:t> </w:t>
      </w:r>
      <w:r w:rsidRPr="00901F66">
        <w:rPr>
          <w:szCs w:val="22"/>
          <w:lang w:eastAsia="en-US"/>
        </w:rPr>
        <w:t>mėn. Palbociklibo vartojimo trukmės mediana</w:t>
      </w:r>
      <w:r w:rsidR="00386562">
        <w:rPr>
          <w:szCs w:val="22"/>
          <w:lang w:eastAsia="en-US"/>
        </w:rPr>
        <w:t xml:space="preserve"> </w:t>
      </w:r>
      <w:r w:rsidRPr="00901F66">
        <w:rPr>
          <w:szCs w:val="22"/>
          <w:lang w:eastAsia="en-US"/>
        </w:rPr>
        <w:t>fulvestranto ir palbociklibo derinio grupės pacientėms buvo 10,8</w:t>
      </w:r>
      <w:r w:rsidR="00FC03AF">
        <w:rPr>
          <w:szCs w:val="22"/>
          <w:lang w:eastAsia="en-US"/>
        </w:rPr>
        <w:t> </w:t>
      </w:r>
      <w:r w:rsidRPr="00901F66">
        <w:rPr>
          <w:szCs w:val="22"/>
          <w:lang w:eastAsia="en-US"/>
        </w:rPr>
        <w:t>mėn.</w:t>
      </w:r>
    </w:p>
    <w:p w14:paraId="1A275A75" w14:textId="77777777" w:rsidR="004D7EFD" w:rsidRDefault="004D7EFD" w:rsidP="004364B8">
      <w:pPr>
        <w:rPr>
          <w:szCs w:val="22"/>
          <w:lang w:eastAsia="en-US"/>
        </w:rPr>
      </w:pPr>
    </w:p>
    <w:p w14:paraId="72C5E822" w14:textId="62103F48" w:rsidR="000452F6" w:rsidRDefault="000452F6" w:rsidP="004364B8">
      <w:pPr>
        <w:rPr>
          <w:b/>
          <w:szCs w:val="22"/>
          <w:lang w:eastAsia="en-US"/>
        </w:rPr>
      </w:pPr>
      <w:r w:rsidRPr="00901F66">
        <w:rPr>
          <w:b/>
          <w:szCs w:val="22"/>
          <w:lang w:eastAsia="en-US"/>
        </w:rPr>
        <w:t>2 lentelė. Nepageidaujamos reakcijos</w:t>
      </w:r>
      <w:r>
        <w:rPr>
          <w:b/>
          <w:szCs w:val="22"/>
          <w:lang w:eastAsia="en-US"/>
        </w:rPr>
        <w:t xml:space="preserve"> remiantis</w:t>
      </w:r>
      <w:r w:rsidRPr="00901F66">
        <w:rPr>
          <w:b/>
          <w:szCs w:val="22"/>
          <w:lang w:eastAsia="en-US"/>
        </w:rPr>
        <w:t xml:space="preserve"> PALOMA3 tyrim</w:t>
      </w:r>
      <w:r>
        <w:rPr>
          <w:b/>
          <w:szCs w:val="22"/>
          <w:lang w:eastAsia="en-US"/>
        </w:rPr>
        <w:t>u</w:t>
      </w:r>
      <w:r w:rsidRPr="00901F66">
        <w:rPr>
          <w:b/>
          <w:szCs w:val="22"/>
          <w:lang w:eastAsia="en-US"/>
        </w:rPr>
        <w:t xml:space="preserve"> (N=517)</w:t>
      </w:r>
    </w:p>
    <w:p w14:paraId="2D6751F2" w14:textId="77777777" w:rsidR="00885C66" w:rsidRPr="00901F66" w:rsidRDefault="00885C66" w:rsidP="004364B8">
      <w:pPr>
        <w:rPr>
          <w:b/>
          <w:szCs w:val="22"/>
          <w:lang w:eastAsia="en-US"/>
        </w:rPr>
      </w:pPr>
    </w:p>
    <w:tbl>
      <w:tblPr>
        <w:tblW w:w="5005"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86"/>
        <w:gridCol w:w="1542"/>
        <w:gridCol w:w="1400"/>
        <w:gridCol w:w="1540"/>
        <w:gridCol w:w="1542"/>
        <w:gridCol w:w="9"/>
      </w:tblGrid>
      <w:tr w:rsidR="000452F6" w:rsidRPr="008231D5" w14:paraId="7AEDC8F6" w14:textId="77777777" w:rsidTr="00B77163">
        <w:trPr>
          <w:tblCellSpacing w:w="0" w:type="dxa"/>
        </w:trPr>
        <w:tc>
          <w:tcPr>
            <w:tcW w:w="1655" w:type="pct"/>
            <w:vMerge w:val="restart"/>
            <w:tcBorders>
              <w:top w:val="outset" w:sz="6" w:space="0" w:color="auto"/>
              <w:left w:val="outset" w:sz="6" w:space="0" w:color="auto"/>
              <w:right w:val="outset" w:sz="6" w:space="0" w:color="auto"/>
            </w:tcBorders>
          </w:tcPr>
          <w:p w14:paraId="6FBF7279" w14:textId="77777777" w:rsidR="00885C66" w:rsidRPr="00901F66" w:rsidRDefault="00885C66">
            <w:pPr>
              <w:rPr>
                <w:b/>
                <w:szCs w:val="22"/>
                <w:lang w:eastAsia="en-US"/>
              </w:rPr>
            </w:pPr>
            <w:r w:rsidRPr="00901F66">
              <w:rPr>
                <w:b/>
                <w:szCs w:val="22"/>
                <w:lang w:eastAsia="en-US"/>
              </w:rPr>
              <w:t>Organų sistemų klasė</w:t>
            </w:r>
          </w:p>
          <w:p w14:paraId="1E9789B0" w14:textId="77777777" w:rsidR="000452F6" w:rsidRPr="00901F66" w:rsidRDefault="00885C66">
            <w:pPr>
              <w:rPr>
                <w:b/>
                <w:szCs w:val="22"/>
                <w:lang w:eastAsia="en-US"/>
              </w:rPr>
            </w:pPr>
            <w:r w:rsidRPr="00901F66">
              <w:rPr>
                <w:b/>
                <w:szCs w:val="22"/>
                <w:lang w:eastAsia="en-US"/>
              </w:rPr>
              <w:t>Dažnis</w:t>
            </w:r>
          </w:p>
          <w:p w14:paraId="3689F6FC" w14:textId="77777777" w:rsidR="00885C66" w:rsidRPr="008231D5" w:rsidRDefault="00885C66">
            <w:pPr>
              <w:rPr>
                <w:color w:val="000000"/>
                <w:szCs w:val="22"/>
              </w:rPr>
            </w:pPr>
            <w:r w:rsidRPr="00901F66">
              <w:rPr>
                <w:b/>
                <w:szCs w:val="22"/>
                <w:lang w:eastAsia="en-US"/>
              </w:rPr>
              <w:t>Tinkamiausias terminas</w:t>
            </w:r>
            <w:r w:rsidRPr="00901F66">
              <w:rPr>
                <w:b/>
                <w:szCs w:val="22"/>
                <w:vertAlign w:val="superscript"/>
                <w:lang w:eastAsia="en-US"/>
              </w:rPr>
              <w:t>a</w:t>
            </w:r>
          </w:p>
        </w:tc>
        <w:tc>
          <w:tcPr>
            <w:tcW w:w="1631" w:type="pct"/>
            <w:gridSpan w:val="2"/>
            <w:tcBorders>
              <w:top w:val="outset" w:sz="6" w:space="0" w:color="auto"/>
              <w:left w:val="outset" w:sz="6" w:space="0" w:color="auto"/>
              <w:bottom w:val="outset" w:sz="6" w:space="0" w:color="auto"/>
              <w:right w:val="outset" w:sz="6" w:space="0" w:color="auto"/>
            </w:tcBorders>
          </w:tcPr>
          <w:p w14:paraId="65D4F76A" w14:textId="697E81AD" w:rsidR="000452F6" w:rsidRPr="00901F66" w:rsidRDefault="00F70CC2" w:rsidP="0077444B">
            <w:pPr>
              <w:autoSpaceDE w:val="0"/>
              <w:autoSpaceDN w:val="0"/>
              <w:adjustRightInd w:val="0"/>
              <w:rPr>
                <w:rFonts w:eastAsia="Batang"/>
                <w:b/>
                <w:bCs/>
                <w:szCs w:val="22"/>
                <w:lang w:eastAsia="en-US"/>
              </w:rPr>
            </w:pPr>
            <w:r>
              <w:rPr>
                <w:rFonts w:eastAsia="Batang"/>
                <w:b/>
                <w:bCs/>
                <w:szCs w:val="22"/>
                <w:lang w:eastAsia="en-US"/>
              </w:rPr>
              <w:t>Fulvestrant</w:t>
            </w:r>
            <w:r w:rsidR="000452F6" w:rsidRPr="00901F66">
              <w:rPr>
                <w:rFonts w:eastAsia="Batang"/>
                <w:b/>
                <w:bCs/>
                <w:szCs w:val="22"/>
                <w:lang w:eastAsia="en-US"/>
              </w:rPr>
              <w:t xml:space="preserve"> + palbociklibas</w:t>
            </w:r>
          </w:p>
          <w:p w14:paraId="36247D7E" w14:textId="78AC234E" w:rsidR="000452F6" w:rsidRPr="00901F66" w:rsidRDefault="000452F6" w:rsidP="00FC03AF">
            <w:pPr>
              <w:jc w:val="center"/>
              <w:rPr>
                <w:b/>
                <w:color w:val="000000"/>
                <w:szCs w:val="22"/>
              </w:rPr>
            </w:pPr>
            <w:r w:rsidRPr="00901F66">
              <w:rPr>
                <w:rFonts w:eastAsia="Batang"/>
                <w:b/>
                <w:bCs/>
                <w:szCs w:val="22"/>
                <w:lang w:eastAsia="en-US"/>
              </w:rPr>
              <w:t>(N=345)</w:t>
            </w:r>
          </w:p>
        </w:tc>
        <w:tc>
          <w:tcPr>
            <w:tcW w:w="1714" w:type="pct"/>
            <w:gridSpan w:val="3"/>
            <w:tcBorders>
              <w:top w:val="outset" w:sz="6" w:space="0" w:color="auto"/>
              <w:left w:val="outset" w:sz="6" w:space="0" w:color="auto"/>
              <w:bottom w:val="outset" w:sz="6" w:space="0" w:color="auto"/>
              <w:right w:val="outset" w:sz="6" w:space="0" w:color="auto"/>
            </w:tcBorders>
          </w:tcPr>
          <w:p w14:paraId="30EF1867" w14:textId="3541BB5D" w:rsidR="00885C66" w:rsidRPr="00901F66" w:rsidRDefault="00F70CC2" w:rsidP="00901F66">
            <w:pPr>
              <w:jc w:val="center"/>
              <w:rPr>
                <w:b/>
                <w:szCs w:val="22"/>
                <w:lang w:eastAsia="en-US"/>
              </w:rPr>
            </w:pPr>
            <w:r>
              <w:rPr>
                <w:rFonts w:eastAsia="Batang"/>
                <w:b/>
                <w:bCs/>
                <w:szCs w:val="22"/>
                <w:lang w:eastAsia="en-US"/>
              </w:rPr>
              <w:t>Fulvestrant</w:t>
            </w:r>
            <w:r w:rsidRPr="00901F66">
              <w:rPr>
                <w:rFonts w:eastAsia="Batang"/>
                <w:b/>
                <w:bCs/>
                <w:szCs w:val="22"/>
                <w:lang w:eastAsia="en-US"/>
              </w:rPr>
              <w:t xml:space="preserve"> </w:t>
            </w:r>
            <w:r w:rsidR="00885C66" w:rsidRPr="00901F66">
              <w:rPr>
                <w:b/>
                <w:szCs w:val="22"/>
                <w:lang w:eastAsia="en-US"/>
              </w:rPr>
              <w:t xml:space="preserve"> + placebas</w:t>
            </w:r>
          </w:p>
          <w:p w14:paraId="5F87E1C9" w14:textId="0E9CB1DE" w:rsidR="000452F6" w:rsidRPr="00901F66" w:rsidRDefault="00885C66" w:rsidP="00FC03AF">
            <w:pPr>
              <w:jc w:val="center"/>
              <w:rPr>
                <w:b/>
                <w:szCs w:val="22"/>
                <w:lang w:eastAsia="en-US"/>
              </w:rPr>
            </w:pPr>
            <w:r w:rsidRPr="00901F66">
              <w:rPr>
                <w:b/>
                <w:szCs w:val="22"/>
                <w:lang w:eastAsia="en-US"/>
              </w:rPr>
              <w:t>(N=172)</w:t>
            </w:r>
          </w:p>
        </w:tc>
      </w:tr>
      <w:tr w:rsidR="00F70008" w:rsidRPr="008231D5" w14:paraId="7E40A979" w14:textId="77777777" w:rsidTr="00901F66">
        <w:trPr>
          <w:tblCellSpacing w:w="0" w:type="dxa"/>
        </w:trPr>
        <w:tc>
          <w:tcPr>
            <w:tcW w:w="1655" w:type="pct"/>
            <w:vMerge/>
            <w:tcBorders>
              <w:left w:val="outset" w:sz="6" w:space="0" w:color="auto"/>
              <w:bottom w:val="outset" w:sz="6" w:space="0" w:color="auto"/>
              <w:right w:val="outset" w:sz="6" w:space="0" w:color="auto"/>
            </w:tcBorders>
            <w:hideMark/>
          </w:tcPr>
          <w:p w14:paraId="0F43899E" w14:textId="77777777" w:rsidR="000452F6" w:rsidRPr="008231D5" w:rsidRDefault="000452F6" w:rsidP="000452F6">
            <w:pPr>
              <w:rPr>
                <w:color w:val="000000"/>
                <w:szCs w:val="22"/>
              </w:rPr>
            </w:pPr>
          </w:p>
        </w:tc>
        <w:tc>
          <w:tcPr>
            <w:tcW w:w="855" w:type="pct"/>
            <w:tcBorders>
              <w:top w:val="outset" w:sz="6" w:space="0" w:color="auto"/>
              <w:left w:val="outset" w:sz="6" w:space="0" w:color="auto"/>
              <w:bottom w:val="outset" w:sz="6" w:space="0" w:color="auto"/>
              <w:right w:val="outset" w:sz="6" w:space="0" w:color="auto"/>
            </w:tcBorders>
            <w:hideMark/>
          </w:tcPr>
          <w:p w14:paraId="2D033CCE" w14:textId="77777777" w:rsidR="00885C66" w:rsidRPr="00901F66" w:rsidRDefault="00885C66" w:rsidP="00885C66">
            <w:pPr>
              <w:keepNext/>
              <w:keepLines/>
              <w:tabs>
                <w:tab w:val="left" w:pos="567"/>
              </w:tabs>
              <w:ind w:left="567" w:hanging="567"/>
              <w:outlineLvl w:val="2"/>
              <w:rPr>
                <w:b/>
                <w:color w:val="000000"/>
                <w:szCs w:val="22"/>
              </w:rPr>
            </w:pPr>
            <w:r w:rsidRPr="00901F66">
              <w:rPr>
                <w:b/>
                <w:color w:val="000000"/>
                <w:szCs w:val="22"/>
              </w:rPr>
              <w:t>Visų laipsnių</w:t>
            </w:r>
          </w:p>
          <w:p w14:paraId="70406C78" w14:textId="77777777" w:rsidR="000452F6" w:rsidRPr="00901F66" w:rsidRDefault="00885C66" w:rsidP="00901F66">
            <w:pPr>
              <w:jc w:val="center"/>
              <w:rPr>
                <w:b/>
                <w:color w:val="000000"/>
                <w:szCs w:val="22"/>
              </w:rPr>
            </w:pPr>
            <w:r w:rsidRPr="00901F66">
              <w:rPr>
                <w:b/>
                <w:color w:val="000000"/>
                <w:szCs w:val="22"/>
              </w:rPr>
              <w:t>n (%)</w:t>
            </w:r>
          </w:p>
        </w:tc>
        <w:tc>
          <w:tcPr>
            <w:tcW w:w="776" w:type="pct"/>
            <w:tcBorders>
              <w:top w:val="outset" w:sz="6" w:space="0" w:color="auto"/>
              <w:left w:val="outset" w:sz="6" w:space="0" w:color="auto"/>
              <w:bottom w:val="outset" w:sz="6" w:space="0" w:color="auto"/>
              <w:right w:val="outset" w:sz="6" w:space="0" w:color="auto"/>
            </w:tcBorders>
          </w:tcPr>
          <w:p w14:paraId="728E3C4A" w14:textId="0420701D" w:rsidR="00885C66" w:rsidRPr="00901F66" w:rsidRDefault="00885C66" w:rsidP="00885C66">
            <w:pPr>
              <w:keepNext/>
              <w:keepLines/>
              <w:tabs>
                <w:tab w:val="left" w:pos="567"/>
              </w:tabs>
              <w:ind w:left="567" w:hanging="567"/>
              <w:outlineLvl w:val="2"/>
              <w:rPr>
                <w:b/>
                <w:color w:val="000000"/>
                <w:szCs w:val="22"/>
              </w:rPr>
            </w:pPr>
            <w:r w:rsidRPr="00901F66">
              <w:rPr>
                <w:b/>
                <w:color w:val="000000"/>
                <w:szCs w:val="22"/>
              </w:rPr>
              <w:t>≥</w:t>
            </w:r>
            <w:r w:rsidR="00FC03AF">
              <w:rPr>
                <w:b/>
                <w:color w:val="000000"/>
                <w:szCs w:val="22"/>
              </w:rPr>
              <w:t> </w:t>
            </w:r>
            <w:r w:rsidRPr="00901F66">
              <w:rPr>
                <w:b/>
                <w:color w:val="000000"/>
                <w:szCs w:val="22"/>
              </w:rPr>
              <w:t>3</w:t>
            </w:r>
            <w:r w:rsidR="00FC03AF">
              <w:rPr>
                <w:b/>
                <w:color w:val="000000"/>
                <w:szCs w:val="22"/>
              </w:rPr>
              <w:t> </w:t>
            </w:r>
            <w:r w:rsidRPr="00901F66">
              <w:rPr>
                <w:b/>
                <w:color w:val="000000"/>
                <w:szCs w:val="22"/>
              </w:rPr>
              <w:t>laipsnio</w:t>
            </w:r>
          </w:p>
          <w:p w14:paraId="55ABD718" w14:textId="77777777" w:rsidR="000452F6" w:rsidRPr="00901F66" w:rsidRDefault="00885C66" w:rsidP="00901F66">
            <w:pPr>
              <w:jc w:val="center"/>
              <w:rPr>
                <w:b/>
                <w:color w:val="000000"/>
                <w:szCs w:val="22"/>
              </w:rPr>
            </w:pPr>
            <w:r w:rsidRPr="00901F66">
              <w:rPr>
                <w:b/>
                <w:color w:val="000000"/>
                <w:szCs w:val="22"/>
              </w:rPr>
              <w:t>n (%)</w:t>
            </w:r>
          </w:p>
        </w:tc>
        <w:tc>
          <w:tcPr>
            <w:tcW w:w="854" w:type="pct"/>
            <w:tcBorders>
              <w:top w:val="outset" w:sz="6" w:space="0" w:color="auto"/>
              <w:left w:val="outset" w:sz="6" w:space="0" w:color="auto"/>
              <w:bottom w:val="outset" w:sz="6" w:space="0" w:color="auto"/>
              <w:right w:val="outset" w:sz="6" w:space="0" w:color="auto"/>
            </w:tcBorders>
          </w:tcPr>
          <w:p w14:paraId="3C67A96E" w14:textId="53389141" w:rsidR="00885C66" w:rsidRPr="00901F66" w:rsidRDefault="00885C66" w:rsidP="00901F66">
            <w:pPr>
              <w:jc w:val="center"/>
              <w:rPr>
                <w:b/>
                <w:szCs w:val="22"/>
                <w:lang w:eastAsia="en-US"/>
              </w:rPr>
            </w:pPr>
            <w:r w:rsidRPr="00901F66">
              <w:rPr>
                <w:b/>
                <w:szCs w:val="22"/>
                <w:lang w:eastAsia="en-US"/>
              </w:rPr>
              <w:t>Visų</w:t>
            </w:r>
          </w:p>
          <w:p w14:paraId="6FDBC882" w14:textId="77777777" w:rsidR="00885C66" w:rsidRPr="00901F66" w:rsidRDefault="00885C66" w:rsidP="00901F66">
            <w:pPr>
              <w:jc w:val="center"/>
              <w:rPr>
                <w:b/>
                <w:szCs w:val="22"/>
                <w:lang w:eastAsia="en-US"/>
              </w:rPr>
            </w:pPr>
            <w:r w:rsidRPr="00901F66">
              <w:rPr>
                <w:b/>
                <w:szCs w:val="22"/>
                <w:lang w:eastAsia="en-US"/>
              </w:rPr>
              <w:t>laipsnių</w:t>
            </w:r>
          </w:p>
          <w:p w14:paraId="5DA8247A" w14:textId="77777777" w:rsidR="000452F6" w:rsidRPr="00901F66" w:rsidRDefault="00885C66" w:rsidP="00901F66">
            <w:pPr>
              <w:jc w:val="center"/>
              <w:rPr>
                <w:b/>
                <w:szCs w:val="22"/>
                <w:lang w:eastAsia="en-US"/>
              </w:rPr>
            </w:pPr>
            <w:r w:rsidRPr="00901F66">
              <w:rPr>
                <w:b/>
                <w:szCs w:val="22"/>
                <w:lang w:eastAsia="en-US"/>
              </w:rPr>
              <w:t>n (%)</w:t>
            </w:r>
          </w:p>
        </w:tc>
        <w:tc>
          <w:tcPr>
            <w:tcW w:w="860" w:type="pct"/>
            <w:gridSpan w:val="2"/>
            <w:tcBorders>
              <w:top w:val="outset" w:sz="6" w:space="0" w:color="auto"/>
              <w:left w:val="outset" w:sz="6" w:space="0" w:color="auto"/>
              <w:bottom w:val="outset" w:sz="6" w:space="0" w:color="auto"/>
              <w:right w:val="outset" w:sz="6" w:space="0" w:color="auto"/>
            </w:tcBorders>
            <w:hideMark/>
          </w:tcPr>
          <w:p w14:paraId="168C42E6" w14:textId="35433263" w:rsidR="00885C66" w:rsidRPr="00901F66" w:rsidRDefault="00885C66" w:rsidP="00885C66">
            <w:pPr>
              <w:rPr>
                <w:b/>
                <w:color w:val="000000"/>
                <w:szCs w:val="22"/>
              </w:rPr>
            </w:pPr>
            <w:r w:rsidRPr="00901F66">
              <w:rPr>
                <w:b/>
                <w:color w:val="000000"/>
                <w:szCs w:val="22"/>
              </w:rPr>
              <w:t>≥</w:t>
            </w:r>
            <w:r w:rsidR="00FC03AF">
              <w:rPr>
                <w:b/>
                <w:color w:val="000000"/>
                <w:szCs w:val="22"/>
              </w:rPr>
              <w:t> </w:t>
            </w:r>
            <w:r w:rsidRPr="00901F66">
              <w:rPr>
                <w:b/>
                <w:color w:val="000000"/>
                <w:szCs w:val="22"/>
              </w:rPr>
              <w:t>3</w:t>
            </w:r>
            <w:r w:rsidR="00FC03AF">
              <w:rPr>
                <w:b/>
                <w:color w:val="000000"/>
                <w:szCs w:val="22"/>
              </w:rPr>
              <w:t> </w:t>
            </w:r>
            <w:r w:rsidRPr="00901F66">
              <w:rPr>
                <w:b/>
                <w:color w:val="000000"/>
                <w:szCs w:val="22"/>
              </w:rPr>
              <w:t>laipsnio</w:t>
            </w:r>
          </w:p>
          <w:p w14:paraId="1DEF3E95" w14:textId="77777777" w:rsidR="000452F6" w:rsidRPr="00901F66" w:rsidRDefault="00885C66" w:rsidP="00901F66">
            <w:pPr>
              <w:jc w:val="center"/>
              <w:rPr>
                <w:b/>
                <w:color w:val="000000"/>
                <w:szCs w:val="22"/>
              </w:rPr>
            </w:pPr>
            <w:r w:rsidRPr="00901F66">
              <w:rPr>
                <w:b/>
                <w:color w:val="000000"/>
                <w:szCs w:val="22"/>
              </w:rPr>
              <w:t>n (%)</w:t>
            </w:r>
          </w:p>
        </w:tc>
      </w:tr>
      <w:tr w:rsidR="000452F6" w14:paraId="0B060A0E" w14:textId="77777777" w:rsidTr="00901F66">
        <w:trPr>
          <w:gridAfter w:val="1"/>
          <w:wAfter w:w="5" w:type="pct"/>
          <w:tblCellSpacing w:w="0" w:type="dxa"/>
        </w:trPr>
        <w:tc>
          <w:tcPr>
            <w:tcW w:w="4995" w:type="pct"/>
            <w:gridSpan w:val="5"/>
            <w:tcBorders>
              <w:top w:val="outset" w:sz="6" w:space="0" w:color="auto"/>
              <w:left w:val="outset" w:sz="6" w:space="0" w:color="auto"/>
              <w:bottom w:val="outset" w:sz="6" w:space="0" w:color="auto"/>
              <w:right w:val="outset" w:sz="6" w:space="0" w:color="auto"/>
            </w:tcBorders>
            <w:hideMark/>
          </w:tcPr>
          <w:p w14:paraId="11B294E0" w14:textId="77777777" w:rsidR="000452F6" w:rsidRPr="00901F66" w:rsidRDefault="00885C66" w:rsidP="000452F6">
            <w:pPr>
              <w:spacing w:line="256" w:lineRule="auto"/>
              <w:rPr>
                <w:b/>
                <w:szCs w:val="22"/>
                <w:lang w:eastAsia="en-US"/>
              </w:rPr>
            </w:pPr>
            <w:r w:rsidRPr="00901F66">
              <w:rPr>
                <w:b/>
                <w:szCs w:val="22"/>
                <w:lang w:eastAsia="en-US"/>
              </w:rPr>
              <w:t>Infekcijos ir infestacijos</w:t>
            </w:r>
          </w:p>
        </w:tc>
      </w:tr>
      <w:tr w:rsidR="005973FB" w14:paraId="679FC441"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hideMark/>
          </w:tcPr>
          <w:p w14:paraId="01BC62CD" w14:textId="77777777" w:rsidR="005973FB" w:rsidRPr="00901F66" w:rsidRDefault="005973FB" w:rsidP="000452F6">
            <w:pPr>
              <w:spacing w:line="256" w:lineRule="auto"/>
              <w:rPr>
                <w:i/>
                <w:szCs w:val="22"/>
                <w:lang w:eastAsia="en-US"/>
              </w:rPr>
            </w:pPr>
            <w:r w:rsidRPr="00901F66">
              <w:rPr>
                <w:i/>
                <w:szCs w:val="22"/>
                <w:lang w:eastAsia="en-US"/>
              </w:rPr>
              <w:t>Labai dažnas</w:t>
            </w:r>
          </w:p>
        </w:tc>
        <w:tc>
          <w:tcPr>
            <w:tcW w:w="855" w:type="pct"/>
            <w:tcBorders>
              <w:top w:val="outset" w:sz="6" w:space="0" w:color="auto"/>
              <w:left w:val="outset" w:sz="6" w:space="0" w:color="auto"/>
              <w:bottom w:val="outset" w:sz="6" w:space="0" w:color="auto"/>
              <w:right w:val="outset" w:sz="6" w:space="0" w:color="auto"/>
            </w:tcBorders>
          </w:tcPr>
          <w:p w14:paraId="3327104A" w14:textId="77777777" w:rsidR="005973FB" w:rsidRDefault="005973FB">
            <w:pPr>
              <w:spacing w:line="256" w:lineRule="auto"/>
              <w:rPr>
                <w:szCs w:val="22"/>
                <w:lang w:eastAsia="en-US"/>
              </w:rPr>
            </w:pPr>
          </w:p>
        </w:tc>
        <w:tc>
          <w:tcPr>
            <w:tcW w:w="776" w:type="pct"/>
            <w:tcBorders>
              <w:top w:val="outset" w:sz="6" w:space="0" w:color="auto"/>
              <w:left w:val="outset" w:sz="6" w:space="0" w:color="auto"/>
              <w:bottom w:val="outset" w:sz="6" w:space="0" w:color="auto"/>
              <w:right w:val="outset" w:sz="6" w:space="0" w:color="auto"/>
            </w:tcBorders>
          </w:tcPr>
          <w:p w14:paraId="7CA8BB1A" w14:textId="77777777" w:rsidR="005973FB" w:rsidRDefault="005973FB">
            <w:pPr>
              <w:spacing w:line="256" w:lineRule="auto"/>
              <w:rPr>
                <w:szCs w:val="22"/>
                <w:lang w:eastAsia="en-US"/>
              </w:rPr>
            </w:pPr>
          </w:p>
        </w:tc>
        <w:tc>
          <w:tcPr>
            <w:tcW w:w="854" w:type="pct"/>
            <w:tcBorders>
              <w:top w:val="outset" w:sz="6" w:space="0" w:color="auto"/>
              <w:left w:val="outset" w:sz="6" w:space="0" w:color="auto"/>
              <w:bottom w:val="outset" w:sz="6" w:space="0" w:color="auto"/>
              <w:right w:val="outset" w:sz="6" w:space="0" w:color="auto"/>
            </w:tcBorders>
          </w:tcPr>
          <w:p w14:paraId="701ECB94" w14:textId="77777777" w:rsidR="005973FB" w:rsidRDefault="005973FB">
            <w:pPr>
              <w:spacing w:line="256" w:lineRule="auto"/>
              <w:rPr>
                <w:szCs w:val="22"/>
                <w:lang w:eastAsia="en-US"/>
              </w:rPr>
            </w:pPr>
          </w:p>
        </w:tc>
        <w:tc>
          <w:tcPr>
            <w:tcW w:w="855" w:type="pct"/>
            <w:tcBorders>
              <w:top w:val="outset" w:sz="6" w:space="0" w:color="auto"/>
              <w:left w:val="outset" w:sz="6" w:space="0" w:color="auto"/>
              <w:bottom w:val="outset" w:sz="6" w:space="0" w:color="auto"/>
              <w:right w:val="outset" w:sz="6" w:space="0" w:color="auto"/>
            </w:tcBorders>
          </w:tcPr>
          <w:p w14:paraId="6874E5C6" w14:textId="77777777" w:rsidR="005973FB" w:rsidRDefault="005973FB">
            <w:pPr>
              <w:spacing w:line="256" w:lineRule="auto"/>
              <w:rPr>
                <w:szCs w:val="22"/>
                <w:lang w:eastAsia="en-US"/>
              </w:rPr>
            </w:pPr>
          </w:p>
        </w:tc>
      </w:tr>
      <w:tr w:rsidR="005973FB" w14:paraId="0D285D7E"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7738DDF5" w14:textId="77777777" w:rsidR="005973FB" w:rsidRPr="00901F66" w:rsidRDefault="005973FB" w:rsidP="00901F66">
            <w:pPr>
              <w:spacing w:line="256" w:lineRule="auto"/>
              <w:ind w:left="284"/>
              <w:rPr>
                <w:szCs w:val="22"/>
                <w:lang w:eastAsia="en-US"/>
              </w:rPr>
            </w:pPr>
            <w:r>
              <w:rPr>
                <w:szCs w:val="22"/>
                <w:lang w:eastAsia="en-US"/>
              </w:rPr>
              <w:t>Infekcijos</w:t>
            </w:r>
            <w:r w:rsidRPr="00901F66">
              <w:rPr>
                <w:szCs w:val="22"/>
                <w:vertAlign w:val="superscript"/>
                <w:lang w:eastAsia="en-US"/>
              </w:rPr>
              <w:t>b</w:t>
            </w:r>
          </w:p>
        </w:tc>
        <w:tc>
          <w:tcPr>
            <w:tcW w:w="855" w:type="pct"/>
            <w:tcBorders>
              <w:top w:val="outset" w:sz="6" w:space="0" w:color="auto"/>
              <w:left w:val="outset" w:sz="6" w:space="0" w:color="auto"/>
              <w:bottom w:val="outset" w:sz="6" w:space="0" w:color="auto"/>
              <w:right w:val="outset" w:sz="6" w:space="0" w:color="auto"/>
            </w:tcBorders>
          </w:tcPr>
          <w:p w14:paraId="5BA7F2DE" w14:textId="35BDBFBE" w:rsidR="005973FB" w:rsidRDefault="005973FB" w:rsidP="00901F66">
            <w:pPr>
              <w:spacing w:line="256" w:lineRule="auto"/>
              <w:jc w:val="center"/>
              <w:rPr>
                <w:b/>
                <w:kern w:val="28"/>
                <w:szCs w:val="22"/>
                <w:lang w:eastAsia="en-US"/>
              </w:rPr>
            </w:pPr>
            <w:r w:rsidRPr="001C6B52">
              <w:t>1</w:t>
            </w:r>
            <w:r w:rsidR="00B51AD9">
              <w:t>88</w:t>
            </w:r>
            <w:r w:rsidRPr="001C6B52">
              <w:t xml:space="preserve"> (</w:t>
            </w:r>
            <w:r w:rsidR="00B51AD9">
              <w:t>54</w:t>
            </w:r>
            <w:r>
              <w:t>,</w:t>
            </w:r>
            <w:r w:rsidR="00B51AD9">
              <w:t>5</w:t>
            </w:r>
            <w:r w:rsidRPr="001C6B52">
              <w:t>)</w:t>
            </w:r>
          </w:p>
        </w:tc>
        <w:tc>
          <w:tcPr>
            <w:tcW w:w="776" w:type="pct"/>
            <w:tcBorders>
              <w:top w:val="outset" w:sz="6" w:space="0" w:color="auto"/>
              <w:left w:val="outset" w:sz="6" w:space="0" w:color="auto"/>
              <w:bottom w:val="outset" w:sz="6" w:space="0" w:color="auto"/>
              <w:right w:val="outset" w:sz="6" w:space="0" w:color="auto"/>
            </w:tcBorders>
          </w:tcPr>
          <w:p w14:paraId="551D1A05" w14:textId="005099FE" w:rsidR="005973FB" w:rsidRDefault="005973FB" w:rsidP="00901F66">
            <w:pPr>
              <w:spacing w:line="256" w:lineRule="auto"/>
              <w:jc w:val="center"/>
              <w:rPr>
                <w:b/>
                <w:kern w:val="28"/>
                <w:szCs w:val="22"/>
                <w:lang w:eastAsia="en-US"/>
              </w:rPr>
            </w:pPr>
            <w:r w:rsidRPr="001C6B52">
              <w:t>1</w:t>
            </w:r>
            <w:r w:rsidR="00B51AD9">
              <w:t>9</w:t>
            </w:r>
            <w:r w:rsidRPr="001C6B52">
              <w:rPr>
                <w:spacing w:val="1"/>
              </w:rPr>
              <w:t xml:space="preserve"> </w:t>
            </w:r>
            <w:r w:rsidRPr="001C6B52">
              <w:t>(</w:t>
            </w:r>
            <w:r w:rsidR="00B51AD9">
              <w:t>5</w:t>
            </w:r>
            <w:r>
              <w:t>,</w:t>
            </w:r>
            <w:r w:rsidR="00B51AD9">
              <w:t>5</w:t>
            </w:r>
            <w:r w:rsidRPr="001C6B52">
              <w:t>)</w:t>
            </w:r>
          </w:p>
        </w:tc>
        <w:tc>
          <w:tcPr>
            <w:tcW w:w="854" w:type="pct"/>
            <w:tcBorders>
              <w:top w:val="outset" w:sz="6" w:space="0" w:color="auto"/>
              <w:left w:val="outset" w:sz="6" w:space="0" w:color="auto"/>
              <w:bottom w:val="outset" w:sz="6" w:space="0" w:color="auto"/>
              <w:right w:val="outset" w:sz="6" w:space="0" w:color="auto"/>
            </w:tcBorders>
          </w:tcPr>
          <w:p w14:paraId="587C16D2" w14:textId="292F6CEF" w:rsidR="005973FB" w:rsidRDefault="00B51AD9" w:rsidP="00901F66">
            <w:pPr>
              <w:spacing w:line="256" w:lineRule="auto"/>
              <w:jc w:val="center"/>
              <w:rPr>
                <w:b/>
                <w:kern w:val="28"/>
                <w:szCs w:val="22"/>
                <w:lang w:eastAsia="en-US"/>
              </w:rPr>
            </w:pPr>
            <w:r>
              <w:t>60</w:t>
            </w:r>
            <w:r w:rsidR="005973FB" w:rsidRPr="001C6B52">
              <w:rPr>
                <w:spacing w:val="1"/>
              </w:rPr>
              <w:t xml:space="preserve"> </w:t>
            </w:r>
            <w:r w:rsidR="005973FB" w:rsidRPr="001C6B52">
              <w:t>(3</w:t>
            </w:r>
            <w:r>
              <w:t>4</w:t>
            </w:r>
            <w:r w:rsidR="005973FB">
              <w:t>,</w:t>
            </w:r>
            <w:r>
              <w:t>9</w:t>
            </w:r>
            <w:r w:rsidR="005973FB" w:rsidRPr="001C6B52">
              <w:t>)</w:t>
            </w:r>
          </w:p>
        </w:tc>
        <w:tc>
          <w:tcPr>
            <w:tcW w:w="855" w:type="pct"/>
            <w:tcBorders>
              <w:top w:val="outset" w:sz="6" w:space="0" w:color="auto"/>
              <w:left w:val="outset" w:sz="6" w:space="0" w:color="auto"/>
              <w:bottom w:val="outset" w:sz="6" w:space="0" w:color="auto"/>
              <w:right w:val="outset" w:sz="6" w:space="0" w:color="auto"/>
            </w:tcBorders>
          </w:tcPr>
          <w:p w14:paraId="2B844A6F" w14:textId="1D0B92DA" w:rsidR="005973FB" w:rsidRDefault="00B51AD9" w:rsidP="00901F66">
            <w:pPr>
              <w:spacing w:line="256" w:lineRule="auto"/>
              <w:jc w:val="center"/>
              <w:rPr>
                <w:b/>
                <w:kern w:val="28"/>
                <w:szCs w:val="22"/>
                <w:lang w:eastAsia="en-US"/>
              </w:rPr>
            </w:pPr>
            <w:r>
              <w:t>6</w:t>
            </w:r>
            <w:r w:rsidR="005973FB" w:rsidRPr="001C6B52">
              <w:rPr>
                <w:spacing w:val="1"/>
              </w:rPr>
              <w:t xml:space="preserve"> </w:t>
            </w:r>
            <w:r w:rsidR="005973FB" w:rsidRPr="001C6B52">
              <w:t>(</w:t>
            </w:r>
            <w:r>
              <w:t>3</w:t>
            </w:r>
            <w:r w:rsidR="005973FB">
              <w:t>,</w:t>
            </w:r>
            <w:r>
              <w:t>5</w:t>
            </w:r>
            <w:r w:rsidR="005973FB" w:rsidRPr="001C6B52">
              <w:t>)</w:t>
            </w:r>
          </w:p>
        </w:tc>
      </w:tr>
      <w:tr w:rsidR="005973FB" w14:paraId="2AE7C4D6" w14:textId="77777777" w:rsidTr="00901F66">
        <w:trPr>
          <w:gridAfter w:val="1"/>
          <w:wAfter w:w="5" w:type="pct"/>
          <w:tblCellSpacing w:w="0" w:type="dxa"/>
        </w:trPr>
        <w:tc>
          <w:tcPr>
            <w:tcW w:w="4995" w:type="pct"/>
            <w:gridSpan w:val="5"/>
            <w:tcBorders>
              <w:top w:val="outset" w:sz="6" w:space="0" w:color="auto"/>
              <w:left w:val="outset" w:sz="6" w:space="0" w:color="auto"/>
              <w:bottom w:val="outset" w:sz="6" w:space="0" w:color="auto"/>
              <w:right w:val="outset" w:sz="6" w:space="0" w:color="auto"/>
            </w:tcBorders>
            <w:hideMark/>
          </w:tcPr>
          <w:p w14:paraId="60976418" w14:textId="77777777" w:rsidR="005973FB" w:rsidRPr="00116F85" w:rsidRDefault="005973FB" w:rsidP="00321632">
            <w:pPr>
              <w:spacing w:line="256" w:lineRule="auto"/>
              <w:rPr>
                <w:b/>
                <w:szCs w:val="22"/>
                <w:lang w:eastAsia="en-US"/>
              </w:rPr>
            </w:pPr>
            <w:r>
              <w:rPr>
                <w:b/>
                <w:szCs w:val="22"/>
                <w:lang w:eastAsia="en-US"/>
              </w:rPr>
              <w:t>Kraujo ir limfinės sistemos sutrikimai</w:t>
            </w:r>
          </w:p>
        </w:tc>
      </w:tr>
      <w:tr w:rsidR="005973FB" w14:paraId="3B3758A9"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hideMark/>
          </w:tcPr>
          <w:p w14:paraId="18771099" w14:textId="77777777" w:rsidR="005973FB" w:rsidRPr="00116F85" w:rsidRDefault="005973FB" w:rsidP="00321632">
            <w:pPr>
              <w:spacing w:line="256" w:lineRule="auto"/>
              <w:rPr>
                <w:i/>
                <w:szCs w:val="22"/>
                <w:lang w:eastAsia="en-US"/>
              </w:rPr>
            </w:pPr>
            <w:r w:rsidRPr="00116F85">
              <w:rPr>
                <w:i/>
                <w:szCs w:val="22"/>
                <w:lang w:eastAsia="en-US"/>
              </w:rPr>
              <w:t>Labai dažnas</w:t>
            </w:r>
          </w:p>
        </w:tc>
        <w:tc>
          <w:tcPr>
            <w:tcW w:w="855" w:type="pct"/>
            <w:tcBorders>
              <w:top w:val="outset" w:sz="6" w:space="0" w:color="auto"/>
              <w:left w:val="outset" w:sz="6" w:space="0" w:color="auto"/>
              <w:bottom w:val="outset" w:sz="6" w:space="0" w:color="auto"/>
              <w:right w:val="outset" w:sz="6" w:space="0" w:color="auto"/>
            </w:tcBorders>
          </w:tcPr>
          <w:p w14:paraId="2AC482AB" w14:textId="77777777" w:rsidR="005973FB" w:rsidRDefault="005973FB" w:rsidP="00321632">
            <w:pPr>
              <w:spacing w:line="256" w:lineRule="auto"/>
              <w:rPr>
                <w:szCs w:val="22"/>
                <w:lang w:eastAsia="en-US"/>
              </w:rPr>
            </w:pPr>
          </w:p>
        </w:tc>
        <w:tc>
          <w:tcPr>
            <w:tcW w:w="776" w:type="pct"/>
            <w:tcBorders>
              <w:top w:val="outset" w:sz="6" w:space="0" w:color="auto"/>
              <w:left w:val="outset" w:sz="6" w:space="0" w:color="auto"/>
              <w:bottom w:val="outset" w:sz="6" w:space="0" w:color="auto"/>
              <w:right w:val="outset" w:sz="6" w:space="0" w:color="auto"/>
            </w:tcBorders>
          </w:tcPr>
          <w:p w14:paraId="4FD59FBB" w14:textId="77777777" w:rsidR="005973FB" w:rsidRDefault="005973FB" w:rsidP="00321632">
            <w:pPr>
              <w:spacing w:line="256" w:lineRule="auto"/>
              <w:rPr>
                <w:szCs w:val="22"/>
                <w:lang w:eastAsia="en-US"/>
              </w:rPr>
            </w:pPr>
          </w:p>
        </w:tc>
        <w:tc>
          <w:tcPr>
            <w:tcW w:w="854" w:type="pct"/>
            <w:tcBorders>
              <w:top w:val="outset" w:sz="6" w:space="0" w:color="auto"/>
              <w:left w:val="outset" w:sz="6" w:space="0" w:color="auto"/>
              <w:bottom w:val="outset" w:sz="6" w:space="0" w:color="auto"/>
              <w:right w:val="outset" w:sz="6" w:space="0" w:color="auto"/>
            </w:tcBorders>
          </w:tcPr>
          <w:p w14:paraId="515D98F5" w14:textId="77777777" w:rsidR="005973FB" w:rsidRDefault="005973FB" w:rsidP="00321632">
            <w:pPr>
              <w:spacing w:line="256" w:lineRule="auto"/>
              <w:rPr>
                <w:szCs w:val="22"/>
                <w:lang w:eastAsia="en-US"/>
              </w:rPr>
            </w:pPr>
          </w:p>
        </w:tc>
        <w:tc>
          <w:tcPr>
            <w:tcW w:w="855" w:type="pct"/>
            <w:tcBorders>
              <w:top w:val="outset" w:sz="6" w:space="0" w:color="auto"/>
              <w:left w:val="outset" w:sz="6" w:space="0" w:color="auto"/>
              <w:bottom w:val="outset" w:sz="6" w:space="0" w:color="auto"/>
              <w:right w:val="outset" w:sz="6" w:space="0" w:color="auto"/>
            </w:tcBorders>
          </w:tcPr>
          <w:p w14:paraId="0EC1C88C" w14:textId="77777777" w:rsidR="005973FB" w:rsidRDefault="005973FB" w:rsidP="00321632">
            <w:pPr>
              <w:spacing w:line="256" w:lineRule="auto"/>
              <w:rPr>
                <w:szCs w:val="22"/>
                <w:lang w:eastAsia="en-US"/>
              </w:rPr>
            </w:pPr>
          </w:p>
        </w:tc>
      </w:tr>
      <w:tr w:rsidR="00B51AD9" w14:paraId="34919B6F"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55510EE7" w14:textId="77777777" w:rsidR="00B51AD9" w:rsidRPr="00116F85" w:rsidRDefault="00B51AD9" w:rsidP="00B51AD9">
            <w:pPr>
              <w:spacing w:line="256" w:lineRule="auto"/>
              <w:ind w:left="284"/>
              <w:rPr>
                <w:szCs w:val="22"/>
                <w:lang w:eastAsia="en-US"/>
              </w:rPr>
            </w:pPr>
            <w:r>
              <w:rPr>
                <w:szCs w:val="22"/>
                <w:lang w:eastAsia="en-US"/>
              </w:rPr>
              <w:t>Neutropenija</w:t>
            </w:r>
            <w:r w:rsidRPr="00901F66">
              <w:rPr>
                <w:szCs w:val="22"/>
                <w:vertAlign w:val="superscript"/>
                <w:lang w:eastAsia="en-US"/>
              </w:rPr>
              <w:t>c</w:t>
            </w:r>
          </w:p>
        </w:tc>
        <w:tc>
          <w:tcPr>
            <w:tcW w:w="855" w:type="pct"/>
            <w:tcBorders>
              <w:top w:val="outset" w:sz="6" w:space="0" w:color="auto"/>
              <w:left w:val="outset" w:sz="6" w:space="0" w:color="auto"/>
              <w:bottom w:val="outset" w:sz="6" w:space="0" w:color="auto"/>
              <w:right w:val="outset" w:sz="6" w:space="0" w:color="auto"/>
            </w:tcBorders>
          </w:tcPr>
          <w:p w14:paraId="21B5A703" w14:textId="600D82E5" w:rsidR="00B51AD9" w:rsidRDefault="00B51AD9" w:rsidP="00B51AD9">
            <w:pPr>
              <w:spacing w:line="256" w:lineRule="auto"/>
              <w:jc w:val="center"/>
              <w:rPr>
                <w:b/>
                <w:kern w:val="28"/>
                <w:szCs w:val="22"/>
                <w:lang w:eastAsia="en-US"/>
              </w:rPr>
            </w:pPr>
            <w:r w:rsidRPr="009772CA">
              <w:rPr>
                <w:szCs w:val="22"/>
              </w:rPr>
              <w:t>290 (84</w:t>
            </w:r>
            <w:r w:rsidR="00C23187">
              <w:rPr>
                <w:szCs w:val="22"/>
              </w:rPr>
              <w:t>,</w:t>
            </w:r>
            <w:r w:rsidRPr="009772CA">
              <w:rPr>
                <w:szCs w:val="22"/>
              </w:rPr>
              <w:t>1)</w:t>
            </w:r>
          </w:p>
        </w:tc>
        <w:tc>
          <w:tcPr>
            <w:tcW w:w="776" w:type="pct"/>
            <w:tcBorders>
              <w:top w:val="outset" w:sz="6" w:space="0" w:color="auto"/>
              <w:left w:val="outset" w:sz="6" w:space="0" w:color="auto"/>
              <w:bottom w:val="outset" w:sz="6" w:space="0" w:color="auto"/>
              <w:right w:val="outset" w:sz="6" w:space="0" w:color="auto"/>
            </w:tcBorders>
          </w:tcPr>
          <w:p w14:paraId="50D4D191" w14:textId="016372E5" w:rsidR="00B51AD9" w:rsidRDefault="00B51AD9" w:rsidP="00B51AD9">
            <w:pPr>
              <w:spacing w:line="256" w:lineRule="auto"/>
              <w:jc w:val="center"/>
              <w:rPr>
                <w:b/>
                <w:kern w:val="28"/>
                <w:szCs w:val="22"/>
                <w:lang w:eastAsia="en-US"/>
              </w:rPr>
            </w:pPr>
            <w:r w:rsidRPr="009772CA">
              <w:rPr>
                <w:szCs w:val="22"/>
              </w:rPr>
              <w:t>240 (69</w:t>
            </w:r>
            <w:r w:rsidR="00C23187">
              <w:rPr>
                <w:szCs w:val="22"/>
              </w:rPr>
              <w:t>,</w:t>
            </w:r>
            <w:r w:rsidRPr="009772CA">
              <w:rPr>
                <w:szCs w:val="22"/>
              </w:rPr>
              <w:t>6)</w:t>
            </w:r>
          </w:p>
        </w:tc>
        <w:tc>
          <w:tcPr>
            <w:tcW w:w="854" w:type="pct"/>
            <w:tcBorders>
              <w:top w:val="outset" w:sz="6" w:space="0" w:color="auto"/>
              <w:left w:val="outset" w:sz="6" w:space="0" w:color="auto"/>
              <w:bottom w:val="outset" w:sz="6" w:space="0" w:color="auto"/>
              <w:right w:val="outset" w:sz="6" w:space="0" w:color="auto"/>
            </w:tcBorders>
          </w:tcPr>
          <w:p w14:paraId="0F78795A" w14:textId="0BCA75BC" w:rsidR="00B51AD9" w:rsidRDefault="00B51AD9" w:rsidP="00B51AD9">
            <w:pPr>
              <w:spacing w:line="256" w:lineRule="auto"/>
              <w:jc w:val="center"/>
              <w:rPr>
                <w:b/>
                <w:kern w:val="28"/>
                <w:szCs w:val="22"/>
                <w:lang w:eastAsia="en-US"/>
              </w:rPr>
            </w:pPr>
            <w:r w:rsidRPr="009772CA">
              <w:rPr>
                <w:szCs w:val="22"/>
              </w:rPr>
              <w:t>6</w:t>
            </w:r>
            <w:r w:rsidRPr="00B77163">
              <w:t xml:space="preserve"> </w:t>
            </w:r>
            <w:r w:rsidRPr="009772CA">
              <w:rPr>
                <w:szCs w:val="22"/>
              </w:rPr>
              <w:t>(3</w:t>
            </w:r>
            <w:r w:rsidR="00C23187">
              <w:rPr>
                <w:szCs w:val="22"/>
              </w:rPr>
              <w:t>,</w:t>
            </w:r>
            <w:r w:rsidRPr="009772CA">
              <w:rPr>
                <w:szCs w:val="22"/>
              </w:rPr>
              <w:t>5)</w:t>
            </w:r>
          </w:p>
        </w:tc>
        <w:tc>
          <w:tcPr>
            <w:tcW w:w="855" w:type="pct"/>
            <w:tcBorders>
              <w:top w:val="outset" w:sz="6" w:space="0" w:color="auto"/>
              <w:left w:val="outset" w:sz="6" w:space="0" w:color="auto"/>
              <w:bottom w:val="outset" w:sz="6" w:space="0" w:color="auto"/>
              <w:right w:val="outset" w:sz="6" w:space="0" w:color="auto"/>
            </w:tcBorders>
          </w:tcPr>
          <w:p w14:paraId="1BD424B9" w14:textId="11FE0061" w:rsidR="00B51AD9" w:rsidRDefault="00B51AD9" w:rsidP="00B51AD9">
            <w:pPr>
              <w:spacing w:line="256" w:lineRule="auto"/>
              <w:jc w:val="center"/>
              <w:rPr>
                <w:b/>
                <w:kern w:val="28"/>
                <w:szCs w:val="22"/>
                <w:lang w:eastAsia="en-US"/>
              </w:rPr>
            </w:pPr>
            <w:r w:rsidRPr="009772CA">
              <w:rPr>
                <w:szCs w:val="22"/>
              </w:rPr>
              <w:t>0</w:t>
            </w:r>
          </w:p>
        </w:tc>
      </w:tr>
      <w:tr w:rsidR="00B51AD9" w14:paraId="7971C079"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5104BD13" w14:textId="77777777" w:rsidR="00B51AD9" w:rsidRDefault="00B51AD9" w:rsidP="00B51AD9">
            <w:pPr>
              <w:spacing w:line="256" w:lineRule="auto"/>
              <w:ind w:left="284"/>
              <w:rPr>
                <w:szCs w:val="22"/>
                <w:lang w:eastAsia="en-US"/>
              </w:rPr>
            </w:pPr>
            <w:r>
              <w:rPr>
                <w:szCs w:val="22"/>
                <w:lang w:eastAsia="en-US"/>
              </w:rPr>
              <w:t>Leukopenija</w:t>
            </w:r>
            <w:r w:rsidRPr="00901F66">
              <w:rPr>
                <w:szCs w:val="22"/>
                <w:vertAlign w:val="superscript"/>
                <w:lang w:eastAsia="en-US"/>
              </w:rPr>
              <w:t>d</w:t>
            </w:r>
          </w:p>
        </w:tc>
        <w:tc>
          <w:tcPr>
            <w:tcW w:w="855" w:type="pct"/>
            <w:tcBorders>
              <w:top w:val="outset" w:sz="6" w:space="0" w:color="auto"/>
              <w:left w:val="outset" w:sz="6" w:space="0" w:color="auto"/>
              <w:bottom w:val="outset" w:sz="6" w:space="0" w:color="auto"/>
              <w:right w:val="outset" w:sz="6" w:space="0" w:color="auto"/>
            </w:tcBorders>
          </w:tcPr>
          <w:p w14:paraId="3DD6743E" w14:textId="586131A0" w:rsidR="00B51AD9" w:rsidRPr="001C6B52" w:rsidRDefault="00B51AD9" w:rsidP="00B51AD9">
            <w:pPr>
              <w:spacing w:line="256" w:lineRule="auto"/>
              <w:jc w:val="center"/>
              <w:rPr>
                <w:b/>
                <w:kern w:val="28"/>
              </w:rPr>
            </w:pPr>
            <w:r w:rsidRPr="009772CA">
              <w:rPr>
                <w:szCs w:val="22"/>
              </w:rPr>
              <w:t>207 (60</w:t>
            </w:r>
            <w:r w:rsidR="00C23187">
              <w:rPr>
                <w:szCs w:val="22"/>
              </w:rPr>
              <w:t>,</w:t>
            </w:r>
            <w:r w:rsidRPr="009772CA">
              <w:rPr>
                <w:szCs w:val="22"/>
              </w:rPr>
              <w:t>0)</w:t>
            </w:r>
          </w:p>
        </w:tc>
        <w:tc>
          <w:tcPr>
            <w:tcW w:w="776" w:type="pct"/>
            <w:tcBorders>
              <w:top w:val="outset" w:sz="6" w:space="0" w:color="auto"/>
              <w:left w:val="outset" w:sz="6" w:space="0" w:color="auto"/>
              <w:bottom w:val="outset" w:sz="6" w:space="0" w:color="auto"/>
              <w:right w:val="outset" w:sz="6" w:space="0" w:color="auto"/>
            </w:tcBorders>
          </w:tcPr>
          <w:p w14:paraId="67364F67" w14:textId="23B99D4B" w:rsidR="00B51AD9" w:rsidRPr="001C6B52" w:rsidRDefault="00B51AD9" w:rsidP="00B51AD9">
            <w:pPr>
              <w:spacing w:line="256" w:lineRule="auto"/>
              <w:jc w:val="center"/>
              <w:rPr>
                <w:b/>
                <w:kern w:val="28"/>
              </w:rPr>
            </w:pPr>
            <w:r w:rsidRPr="009772CA">
              <w:rPr>
                <w:szCs w:val="22"/>
              </w:rPr>
              <w:t>132 (38</w:t>
            </w:r>
            <w:r w:rsidR="00C23187">
              <w:rPr>
                <w:szCs w:val="22"/>
              </w:rPr>
              <w:t>,</w:t>
            </w:r>
            <w:r w:rsidRPr="009772CA">
              <w:rPr>
                <w:szCs w:val="22"/>
              </w:rPr>
              <w:t>3)</w:t>
            </w:r>
          </w:p>
        </w:tc>
        <w:tc>
          <w:tcPr>
            <w:tcW w:w="854" w:type="pct"/>
            <w:tcBorders>
              <w:top w:val="outset" w:sz="6" w:space="0" w:color="auto"/>
              <w:left w:val="outset" w:sz="6" w:space="0" w:color="auto"/>
              <w:bottom w:val="outset" w:sz="6" w:space="0" w:color="auto"/>
              <w:right w:val="outset" w:sz="6" w:space="0" w:color="auto"/>
            </w:tcBorders>
          </w:tcPr>
          <w:p w14:paraId="29911D4D" w14:textId="46BF5E11" w:rsidR="00B51AD9" w:rsidRPr="001C6B52" w:rsidRDefault="00B51AD9" w:rsidP="00B51AD9">
            <w:pPr>
              <w:spacing w:line="256" w:lineRule="auto"/>
              <w:jc w:val="center"/>
              <w:rPr>
                <w:b/>
                <w:kern w:val="28"/>
              </w:rPr>
            </w:pPr>
            <w:r w:rsidRPr="009772CA">
              <w:rPr>
                <w:szCs w:val="22"/>
              </w:rPr>
              <w:t>9</w:t>
            </w:r>
            <w:r w:rsidRPr="0077444B">
              <w:t xml:space="preserve"> </w:t>
            </w:r>
            <w:r w:rsidRPr="009772CA">
              <w:rPr>
                <w:szCs w:val="22"/>
              </w:rPr>
              <w:t>(5</w:t>
            </w:r>
            <w:r w:rsidR="00C23187">
              <w:rPr>
                <w:szCs w:val="22"/>
              </w:rPr>
              <w:t>,</w:t>
            </w:r>
            <w:r w:rsidRPr="009772CA">
              <w:rPr>
                <w:szCs w:val="22"/>
              </w:rPr>
              <w:t>2)</w:t>
            </w:r>
          </w:p>
        </w:tc>
        <w:tc>
          <w:tcPr>
            <w:tcW w:w="855" w:type="pct"/>
            <w:tcBorders>
              <w:top w:val="outset" w:sz="6" w:space="0" w:color="auto"/>
              <w:left w:val="outset" w:sz="6" w:space="0" w:color="auto"/>
              <w:bottom w:val="outset" w:sz="6" w:space="0" w:color="auto"/>
              <w:right w:val="outset" w:sz="6" w:space="0" w:color="auto"/>
            </w:tcBorders>
          </w:tcPr>
          <w:p w14:paraId="3F1DE89E" w14:textId="783AE044" w:rsidR="00B51AD9" w:rsidRPr="001C6B52" w:rsidRDefault="00B51AD9" w:rsidP="00B51AD9">
            <w:pPr>
              <w:spacing w:line="256" w:lineRule="auto"/>
              <w:jc w:val="center"/>
              <w:rPr>
                <w:b/>
                <w:kern w:val="28"/>
              </w:rPr>
            </w:pPr>
            <w:r w:rsidRPr="009772CA">
              <w:rPr>
                <w:szCs w:val="22"/>
              </w:rPr>
              <w:t>1</w:t>
            </w:r>
            <w:r w:rsidRPr="00B77163">
              <w:t xml:space="preserve"> </w:t>
            </w:r>
            <w:r w:rsidRPr="009772CA">
              <w:rPr>
                <w:szCs w:val="22"/>
              </w:rPr>
              <w:t>(0</w:t>
            </w:r>
            <w:r w:rsidR="00C23187">
              <w:rPr>
                <w:szCs w:val="22"/>
              </w:rPr>
              <w:t>,</w:t>
            </w:r>
            <w:r w:rsidRPr="009772CA">
              <w:rPr>
                <w:szCs w:val="22"/>
              </w:rPr>
              <w:t>6)</w:t>
            </w:r>
          </w:p>
        </w:tc>
      </w:tr>
      <w:tr w:rsidR="00B51AD9" w14:paraId="16ABCE25"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1BF1E250" w14:textId="77777777" w:rsidR="00B51AD9" w:rsidRDefault="00B51AD9" w:rsidP="00B51AD9">
            <w:pPr>
              <w:spacing w:line="256" w:lineRule="auto"/>
              <w:ind w:left="284"/>
              <w:rPr>
                <w:szCs w:val="22"/>
                <w:lang w:eastAsia="en-US"/>
              </w:rPr>
            </w:pPr>
            <w:r>
              <w:rPr>
                <w:szCs w:val="22"/>
                <w:lang w:eastAsia="en-US"/>
              </w:rPr>
              <w:t>Anemija</w:t>
            </w:r>
            <w:r w:rsidRPr="00901F66">
              <w:rPr>
                <w:szCs w:val="22"/>
                <w:vertAlign w:val="superscript"/>
                <w:lang w:eastAsia="en-US"/>
              </w:rPr>
              <w:t>e</w:t>
            </w:r>
          </w:p>
        </w:tc>
        <w:tc>
          <w:tcPr>
            <w:tcW w:w="855" w:type="pct"/>
            <w:tcBorders>
              <w:top w:val="outset" w:sz="6" w:space="0" w:color="auto"/>
              <w:left w:val="outset" w:sz="6" w:space="0" w:color="auto"/>
              <w:bottom w:val="outset" w:sz="6" w:space="0" w:color="auto"/>
              <w:right w:val="outset" w:sz="6" w:space="0" w:color="auto"/>
            </w:tcBorders>
          </w:tcPr>
          <w:p w14:paraId="2983D062" w14:textId="05BA8F43" w:rsidR="00B51AD9" w:rsidRPr="001C6B52" w:rsidRDefault="00B51AD9" w:rsidP="00B51AD9">
            <w:pPr>
              <w:spacing w:line="256" w:lineRule="auto"/>
              <w:jc w:val="center"/>
              <w:rPr>
                <w:b/>
                <w:kern w:val="28"/>
              </w:rPr>
            </w:pPr>
            <w:r w:rsidRPr="009772CA">
              <w:rPr>
                <w:szCs w:val="22"/>
              </w:rPr>
              <w:t>109 (31</w:t>
            </w:r>
            <w:r w:rsidR="00C23187">
              <w:rPr>
                <w:szCs w:val="22"/>
              </w:rPr>
              <w:t>,</w:t>
            </w:r>
            <w:r w:rsidRPr="009772CA">
              <w:rPr>
                <w:szCs w:val="22"/>
              </w:rPr>
              <w:t>6)</w:t>
            </w:r>
          </w:p>
        </w:tc>
        <w:tc>
          <w:tcPr>
            <w:tcW w:w="776" w:type="pct"/>
            <w:tcBorders>
              <w:top w:val="outset" w:sz="6" w:space="0" w:color="auto"/>
              <w:left w:val="outset" w:sz="6" w:space="0" w:color="auto"/>
              <w:bottom w:val="outset" w:sz="6" w:space="0" w:color="auto"/>
              <w:right w:val="outset" w:sz="6" w:space="0" w:color="auto"/>
            </w:tcBorders>
          </w:tcPr>
          <w:p w14:paraId="40DE17B8" w14:textId="206BC231" w:rsidR="00B51AD9" w:rsidRPr="001C6B52" w:rsidRDefault="00B51AD9" w:rsidP="00B51AD9">
            <w:pPr>
              <w:spacing w:line="256" w:lineRule="auto"/>
              <w:jc w:val="center"/>
              <w:rPr>
                <w:b/>
                <w:kern w:val="28"/>
              </w:rPr>
            </w:pPr>
            <w:r w:rsidRPr="009772CA">
              <w:rPr>
                <w:szCs w:val="22"/>
              </w:rPr>
              <w:t>15</w:t>
            </w:r>
            <w:r w:rsidRPr="00B77163">
              <w:t xml:space="preserve"> </w:t>
            </w:r>
            <w:r w:rsidRPr="009772CA">
              <w:rPr>
                <w:szCs w:val="22"/>
              </w:rPr>
              <w:t>(4</w:t>
            </w:r>
            <w:r w:rsidR="00C23187">
              <w:rPr>
                <w:szCs w:val="22"/>
              </w:rPr>
              <w:t>,</w:t>
            </w:r>
            <w:r w:rsidRPr="009772CA">
              <w:rPr>
                <w:szCs w:val="22"/>
              </w:rPr>
              <w:t>3)</w:t>
            </w:r>
          </w:p>
        </w:tc>
        <w:tc>
          <w:tcPr>
            <w:tcW w:w="854" w:type="pct"/>
            <w:tcBorders>
              <w:top w:val="outset" w:sz="6" w:space="0" w:color="auto"/>
              <w:left w:val="outset" w:sz="6" w:space="0" w:color="auto"/>
              <w:bottom w:val="outset" w:sz="6" w:space="0" w:color="auto"/>
              <w:right w:val="outset" w:sz="6" w:space="0" w:color="auto"/>
            </w:tcBorders>
          </w:tcPr>
          <w:p w14:paraId="2340B8B3" w14:textId="08B18C49" w:rsidR="00B51AD9" w:rsidRPr="001C6B52" w:rsidRDefault="00B51AD9" w:rsidP="00B51AD9">
            <w:pPr>
              <w:spacing w:line="256" w:lineRule="auto"/>
              <w:jc w:val="center"/>
              <w:rPr>
                <w:b/>
                <w:kern w:val="28"/>
              </w:rPr>
            </w:pPr>
            <w:r w:rsidRPr="009772CA">
              <w:rPr>
                <w:szCs w:val="22"/>
              </w:rPr>
              <w:t>24</w:t>
            </w:r>
            <w:r w:rsidRPr="00B77163">
              <w:t xml:space="preserve"> </w:t>
            </w:r>
            <w:r w:rsidRPr="009772CA">
              <w:rPr>
                <w:szCs w:val="22"/>
              </w:rPr>
              <w:t>(14</w:t>
            </w:r>
            <w:r w:rsidR="00C23187">
              <w:rPr>
                <w:szCs w:val="22"/>
              </w:rPr>
              <w:t>,</w:t>
            </w:r>
            <w:r w:rsidRPr="009772CA">
              <w:rPr>
                <w:szCs w:val="22"/>
              </w:rPr>
              <w:t>0)</w:t>
            </w:r>
          </w:p>
        </w:tc>
        <w:tc>
          <w:tcPr>
            <w:tcW w:w="855" w:type="pct"/>
            <w:tcBorders>
              <w:top w:val="outset" w:sz="6" w:space="0" w:color="auto"/>
              <w:left w:val="outset" w:sz="6" w:space="0" w:color="auto"/>
              <w:bottom w:val="outset" w:sz="6" w:space="0" w:color="auto"/>
              <w:right w:val="outset" w:sz="6" w:space="0" w:color="auto"/>
            </w:tcBorders>
          </w:tcPr>
          <w:p w14:paraId="04FA701D" w14:textId="53B2294C" w:rsidR="00B51AD9" w:rsidRPr="001C6B52" w:rsidRDefault="00B51AD9" w:rsidP="00B51AD9">
            <w:pPr>
              <w:spacing w:line="256" w:lineRule="auto"/>
              <w:jc w:val="center"/>
              <w:rPr>
                <w:b/>
                <w:kern w:val="28"/>
              </w:rPr>
            </w:pPr>
            <w:r w:rsidRPr="009772CA">
              <w:rPr>
                <w:szCs w:val="22"/>
              </w:rPr>
              <w:t>4</w:t>
            </w:r>
            <w:r w:rsidRPr="00B77163">
              <w:t xml:space="preserve"> </w:t>
            </w:r>
            <w:r w:rsidRPr="009772CA">
              <w:rPr>
                <w:szCs w:val="22"/>
              </w:rPr>
              <w:t>(2</w:t>
            </w:r>
            <w:r w:rsidR="00C23187">
              <w:rPr>
                <w:szCs w:val="22"/>
              </w:rPr>
              <w:t>,</w:t>
            </w:r>
            <w:r w:rsidRPr="009772CA">
              <w:rPr>
                <w:szCs w:val="22"/>
              </w:rPr>
              <w:t>3)</w:t>
            </w:r>
          </w:p>
        </w:tc>
      </w:tr>
      <w:tr w:rsidR="00B51AD9" w14:paraId="58AF6116"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58103177" w14:textId="77777777" w:rsidR="00B51AD9" w:rsidRDefault="00B51AD9" w:rsidP="00B51AD9">
            <w:pPr>
              <w:spacing w:line="256" w:lineRule="auto"/>
              <w:ind w:left="284"/>
              <w:rPr>
                <w:szCs w:val="22"/>
                <w:lang w:eastAsia="en-US"/>
              </w:rPr>
            </w:pPr>
            <w:r>
              <w:rPr>
                <w:szCs w:val="22"/>
                <w:lang w:eastAsia="en-US"/>
              </w:rPr>
              <w:t>Trombocitopenija</w:t>
            </w:r>
            <w:r w:rsidRPr="00901F66">
              <w:rPr>
                <w:szCs w:val="22"/>
                <w:vertAlign w:val="superscript"/>
                <w:lang w:eastAsia="en-US"/>
              </w:rPr>
              <w:t>f</w:t>
            </w:r>
          </w:p>
        </w:tc>
        <w:tc>
          <w:tcPr>
            <w:tcW w:w="855" w:type="pct"/>
            <w:tcBorders>
              <w:top w:val="outset" w:sz="6" w:space="0" w:color="auto"/>
              <w:left w:val="outset" w:sz="6" w:space="0" w:color="auto"/>
              <w:bottom w:val="outset" w:sz="6" w:space="0" w:color="auto"/>
              <w:right w:val="outset" w:sz="6" w:space="0" w:color="auto"/>
            </w:tcBorders>
          </w:tcPr>
          <w:p w14:paraId="00467BC6" w14:textId="0F68A901" w:rsidR="00B51AD9" w:rsidRPr="001C6B52" w:rsidRDefault="00B51AD9" w:rsidP="00B51AD9">
            <w:pPr>
              <w:spacing w:line="256" w:lineRule="auto"/>
              <w:jc w:val="center"/>
              <w:rPr>
                <w:b/>
                <w:kern w:val="28"/>
              </w:rPr>
            </w:pPr>
            <w:r w:rsidRPr="009772CA">
              <w:rPr>
                <w:szCs w:val="22"/>
              </w:rPr>
              <w:t>88</w:t>
            </w:r>
            <w:r w:rsidRPr="00B77163">
              <w:t xml:space="preserve"> </w:t>
            </w:r>
            <w:r w:rsidRPr="009772CA">
              <w:rPr>
                <w:szCs w:val="22"/>
              </w:rPr>
              <w:t>(25</w:t>
            </w:r>
            <w:r w:rsidR="00C23187">
              <w:rPr>
                <w:szCs w:val="22"/>
              </w:rPr>
              <w:t>,</w:t>
            </w:r>
            <w:r w:rsidRPr="009772CA">
              <w:rPr>
                <w:szCs w:val="22"/>
              </w:rPr>
              <w:t>5)</w:t>
            </w:r>
          </w:p>
        </w:tc>
        <w:tc>
          <w:tcPr>
            <w:tcW w:w="776" w:type="pct"/>
            <w:tcBorders>
              <w:top w:val="outset" w:sz="6" w:space="0" w:color="auto"/>
              <w:left w:val="outset" w:sz="6" w:space="0" w:color="auto"/>
              <w:bottom w:val="outset" w:sz="6" w:space="0" w:color="auto"/>
              <w:right w:val="outset" w:sz="6" w:space="0" w:color="auto"/>
            </w:tcBorders>
          </w:tcPr>
          <w:p w14:paraId="2B0710BB" w14:textId="4F388AA9" w:rsidR="00B51AD9" w:rsidRPr="001C6B52" w:rsidRDefault="00B51AD9" w:rsidP="00B51AD9">
            <w:pPr>
              <w:spacing w:line="256" w:lineRule="auto"/>
              <w:jc w:val="center"/>
              <w:rPr>
                <w:b/>
                <w:kern w:val="28"/>
              </w:rPr>
            </w:pPr>
            <w:r w:rsidRPr="009772CA">
              <w:rPr>
                <w:szCs w:val="22"/>
              </w:rPr>
              <w:t>10</w:t>
            </w:r>
            <w:r w:rsidRPr="0077444B">
              <w:t xml:space="preserve"> </w:t>
            </w:r>
            <w:r w:rsidRPr="009772CA">
              <w:rPr>
                <w:szCs w:val="22"/>
              </w:rPr>
              <w:t>(2</w:t>
            </w:r>
            <w:r w:rsidR="00C23187">
              <w:rPr>
                <w:szCs w:val="22"/>
              </w:rPr>
              <w:t>,</w:t>
            </w:r>
            <w:r w:rsidRPr="009772CA">
              <w:rPr>
                <w:szCs w:val="22"/>
              </w:rPr>
              <w:t>9)</w:t>
            </w:r>
          </w:p>
        </w:tc>
        <w:tc>
          <w:tcPr>
            <w:tcW w:w="854" w:type="pct"/>
            <w:tcBorders>
              <w:top w:val="outset" w:sz="6" w:space="0" w:color="auto"/>
              <w:left w:val="outset" w:sz="6" w:space="0" w:color="auto"/>
              <w:bottom w:val="outset" w:sz="6" w:space="0" w:color="auto"/>
              <w:right w:val="outset" w:sz="6" w:space="0" w:color="auto"/>
            </w:tcBorders>
          </w:tcPr>
          <w:p w14:paraId="49199972" w14:textId="0AD157FF" w:rsidR="00B51AD9" w:rsidRPr="001C6B52" w:rsidRDefault="00B51AD9" w:rsidP="00B51AD9">
            <w:pPr>
              <w:spacing w:line="256" w:lineRule="auto"/>
              <w:jc w:val="center"/>
              <w:rPr>
                <w:b/>
                <w:kern w:val="28"/>
              </w:rPr>
            </w:pPr>
            <w:r w:rsidRPr="009772CA">
              <w:rPr>
                <w:szCs w:val="22"/>
              </w:rPr>
              <w:t>0</w:t>
            </w:r>
          </w:p>
        </w:tc>
        <w:tc>
          <w:tcPr>
            <w:tcW w:w="855" w:type="pct"/>
            <w:tcBorders>
              <w:top w:val="outset" w:sz="6" w:space="0" w:color="auto"/>
              <w:left w:val="outset" w:sz="6" w:space="0" w:color="auto"/>
              <w:bottom w:val="outset" w:sz="6" w:space="0" w:color="auto"/>
              <w:right w:val="outset" w:sz="6" w:space="0" w:color="auto"/>
            </w:tcBorders>
          </w:tcPr>
          <w:p w14:paraId="76208586" w14:textId="79CBBAD3" w:rsidR="00B51AD9" w:rsidRPr="001C6B52" w:rsidRDefault="00B51AD9" w:rsidP="00B51AD9">
            <w:pPr>
              <w:spacing w:line="256" w:lineRule="auto"/>
              <w:jc w:val="center"/>
            </w:pPr>
            <w:r w:rsidRPr="009772CA">
              <w:rPr>
                <w:szCs w:val="22"/>
              </w:rPr>
              <w:t>0</w:t>
            </w:r>
          </w:p>
        </w:tc>
      </w:tr>
      <w:tr w:rsidR="00B51AD9" w14:paraId="615BD456"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5B2C6920" w14:textId="77777777" w:rsidR="00B51AD9" w:rsidRPr="00901F66" w:rsidRDefault="00B51AD9" w:rsidP="00B51AD9">
            <w:pPr>
              <w:spacing w:line="256" w:lineRule="auto"/>
              <w:rPr>
                <w:i/>
                <w:szCs w:val="22"/>
                <w:lang w:eastAsia="en-US"/>
              </w:rPr>
            </w:pPr>
            <w:r w:rsidRPr="00901F66">
              <w:rPr>
                <w:i/>
                <w:szCs w:val="22"/>
                <w:lang w:eastAsia="en-US"/>
              </w:rPr>
              <w:t>Nedažnas</w:t>
            </w:r>
          </w:p>
        </w:tc>
        <w:tc>
          <w:tcPr>
            <w:tcW w:w="855" w:type="pct"/>
            <w:tcBorders>
              <w:top w:val="outset" w:sz="6" w:space="0" w:color="auto"/>
              <w:left w:val="outset" w:sz="6" w:space="0" w:color="auto"/>
              <w:bottom w:val="outset" w:sz="6" w:space="0" w:color="auto"/>
              <w:right w:val="outset" w:sz="6" w:space="0" w:color="auto"/>
            </w:tcBorders>
          </w:tcPr>
          <w:p w14:paraId="51C9CC30" w14:textId="77777777" w:rsidR="00B51AD9" w:rsidRPr="001C6B52" w:rsidRDefault="00B51AD9" w:rsidP="00B51AD9">
            <w:pPr>
              <w:spacing w:line="256" w:lineRule="auto"/>
              <w:jc w:val="center"/>
            </w:pPr>
          </w:p>
        </w:tc>
        <w:tc>
          <w:tcPr>
            <w:tcW w:w="776" w:type="pct"/>
            <w:tcBorders>
              <w:top w:val="outset" w:sz="6" w:space="0" w:color="auto"/>
              <w:left w:val="outset" w:sz="6" w:space="0" w:color="auto"/>
              <w:bottom w:val="outset" w:sz="6" w:space="0" w:color="auto"/>
              <w:right w:val="outset" w:sz="6" w:space="0" w:color="auto"/>
            </w:tcBorders>
          </w:tcPr>
          <w:p w14:paraId="45AB25EE" w14:textId="77777777" w:rsidR="00B51AD9" w:rsidRPr="001C6B52" w:rsidRDefault="00B51AD9" w:rsidP="00B51AD9">
            <w:pPr>
              <w:spacing w:line="256" w:lineRule="auto"/>
              <w:jc w:val="center"/>
            </w:pPr>
          </w:p>
        </w:tc>
        <w:tc>
          <w:tcPr>
            <w:tcW w:w="854" w:type="pct"/>
            <w:tcBorders>
              <w:top w:val="outset" w:sz="6" w:space="0" w:color="auto"/>
              <w:left w:val="outset" w:sz="6" w:space="0" w:color="auto"/>
              <w:bottom w:val="outset" w:sz="6" w:space="0" w:color="auto"/>
              <w:right w:val="outset" w:sz="6" w:space="0" w:color="auto"/>
            </w:tcBorders>
          </w:tcPr>
          <w:p w14:paraId="51DAE2CB" w14:textId="77777777" w:rsidR="00B51AD9" w:rsidRPr="001C6B52" w:rsidRDefault="00B51AD9" w:rsidP="00B51AD9">
            <w:pPr>
              <w:spacing w:line="256" w:lineRule="auto"/>
              <w:jc w:val="center"/>
            </w:pPr>
          </w:p>
        </w:tc>
        <w:tc>
          <w:tcPr>
            <w:tcW w:w="855" w:type="pct"/>
            <w:tcBorders>
              <w:top w:val="outset" w:sz="6" w:space="0" w:color="auto"/>
              <w:left w:val="outset" w:sz="6" w:space="0" w:color="auto"/>
              <w:bottom w:val="outset" w:sz="6" w:space="0" w:color="auto"/>
              <w:right w:val="outset" w:sz="6" w:space="0" w:color="auto"/>
            </w:tcBorders>
          </w:tcPr>
          <w:p w14:paraId="553B5C96" w14:textId="77777777" w:rsidR="00B51AD9" w:rsidRPr="001C6B52" w:rsidRDefault="00B51AD9" w:rsidP="00B51AD9">
            <w:pPr>
              <w:spacing w:line="256" w:lineRule="auto"/>
              <w:jc w:val="center"/>
            </w:pPr>
          </w:p>
        </w:tc>
      </w:tr>
      <w:tr w:rsidR="00B51AD9" w14:paraId="40DB49C9"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1AEDCC06" w14:textId="77777777" w:rsidR="00B51AD9" w:rsidRDefault="00B51AD9" w:rsidP="00B51AD9">
            <w:pPr>
              <w:spacing w:line="256" w:lineRule="auto"/>
              <w:ind w:left="284"/>
              <w:rPr>
                <w:szCs w:val="22"/>
                <w:lang w:eastAsia="en-US"/>
              </w:rPr>
            </w:pPr>
            <w:r w:rsidRPr="005973FB">
              <w:rPr>
                <w:szCs w:val="22"/>
                <w:lang w:eastAsia="en-US"/>
              </w:rPr>
              <w:t>Febrilinė neutropenija</w:t>
            </w:r>
          </w:p>
        </w:tc>
        <w:tc>
          <w:tcPr>
            <w:tcW w:w="855" w:type="pct"/>
            <w:tcBorders>
              <w:top w:val="outset" w:sz="6" w:space="0" w:color="auto"/>
              <w:left w:val="outset" w:sz="6" w:space="0" w:color="auto"/>
              <w:bottom w:val="outset" w:sz="6" w:space="0" w:color="auto"/>
              <w:right w:val="outset" w:sz="6" w:space="0" w:color="auto"/>
            </w:tcBorders>
          </w:tcPr>
          <w:p w14:paraId="2FB8C16C" w14:textId="744086D5" w:rsidR="00B51AD9" w:rsidRPr="001C6B52" w:rsidRDefault="00B51AD9" w:rsidP="00B51AD9">
            <w:pPr>
              <w:spacing w:line="256" w:lineRule="auto"/>
              <w:jc w:val="center"/>
              <w:rPr>
                <w:b/>
                <w:kern w:val="28"/>
              </w:rPr>
            </w:pPr>
            <w:r w:rsidRPr="009772CA">
              <w:rPr>
                <w:szCs w:val="22"/>
              </w:rPr>
              <w:t>3</w:t>
            </w:r>
            <w:r w:rsidRPr="0077444B">
              <w:t xml:space="preserve"> </w:t>
            </w:r>
            <w:r w:rsidRPr="009772CA">
              <w:rPr>
                <w:szCs w:val="22"/>
              </w:rPr>
              <w:t>(0</w:t>
            </w:r>
            <w:r w:rsidR="00C23187">
              <w:rPr>
                <w:szCs w:val="22"/>
              </w:rPr>
              <w:t>,</w:t>
            </w:r>
            <w:r w:rsidRPr="009772CA">
              <w:rPr>
                <w:szCs w:val="22"/>
              </w:rPr>
              <w:t>9)</w:t>
            </w:r>
          </w:p>
        </w:tc>
        <w:tc>
          <w:tcPr>
            <w:tcW w:w="776" w:type="pct"/>
            <w:tcBorders>
              <w:top w:val="outset" w:sz="6" w:space="0" w:color="auto"/>
              <w:left w:val="outset" w:sz="6" w:space="0" w:color="auto"/>
              <w:bottom w:val="outset" w:sz="6" w:space="0" w:color="auto"/>
              <w:right w:val="outset" w:sz="6" w:space="0" w:color="auto"/>
            </w:tcBorders>
          </w:tcPr>
          <w:p w14:paraId="5DE10B66" w14:textId="7168CDF9" w:rsidR="00B51AD9" w:rsidRPr="001C6B52" w:rsidRDefault="00B51AD9" w:rsidP="00B51AD9">
            <w:pPr>
              <w:spacing w:line="256" w:lineRule="auto"/>
              <w:jc w:val="center"/>
              <w:rPr>
                <w:b/>
                <w:kern w:val="28"/>
              </w:rPr>
            </w:pPr>
            <w:r w:rsidRPr="009772CA">
              <w:rPr>
                <w:szCs w:val="22"/>
              </w:rPr>
              <w:t>3</w:t>
            </w:r>
            <w:r w:rsidRPr="0077444B">
              <w:t xml:space="preserve"> </w:t>
            </w:r>
            <w:r w:rsidRPr="009772CA">
              <w:rPr>
                <w:szCs w:val="22"/>
              </w:rPr>
              <w:t>(0</w:t>
            </w:r>
            <w:r w:rsidR="00C23187">
              <w:rPr>
                <w:szCs w:val="22"/>
              </w:rPr>
              <w:t>,</w:t>
            </w:r>
            <w:r w:rsidRPr="009772CA">
              <w:rPr>
                <w:szCs w:val="22"/>
              </w:rPr>
              <w:t>9)</w:t>
            </w:r>
          </w:p>
        </w:tc>
        <w:tc>
          <w:tcPr>
            <w:tcW w:w="854" w:type="pct"/>
            <w:tcBorders>
              <w:top w:val="outset" w:sz="6" w:space="0" w:color="auto"/>
              <w:left w:val="outset" w:sz="6" w:space="0" w:color="auto"/>
              <w:bottom w:val="outset" w:sz="6" w:space="0" w:color="auto"/>
              <w:right w:val="outset" w:sz="6" w:space="0" w:color="auto"/>
            </w:tcBorders>
          </w:tcPr>
          <w:p w14:paraId="1D7F269E" w14:textId="4AB48AF9" w:rsidR="00B51AD9" w:rsidRPr="001C6B52" w:rsidRDefault="00B51AD9" w:rsidP="00B51AD9">
            <w:pPr>
              <w:spacing w:line="256" w:lineRule="auto"/>
              <w:jc w:val="center"/>
              <w:rPr>
                <w:b/>
                <w:kern w:val="28"/>
              </w:rPr>
            </w:pPr>
            <w:r w:rsidRPr="009772CA">
              <w:rPr>
                <w:szCs w:val="22"/>
              </w:rPr>
              <w:t>0</w:t>
            </w:r>
          </w:p>
        </w:tc>
        <w:tc>
          <w:tcPr>
            <w:tcW w:w="855" w:type="pct"/>
            <w:tcBorders>
              <w:top w:val="outset" w:sz="6" w:space="0" w:color="auto"/>
              <w:left w:val="outset" w:sz="6" w:space="0" w:color="auto"/>
              <w:bottom w:val="outset" w:sz="6" w:space="0" w:color="auto"/>
              <w:right w:val="outset" w:sz="6" w:space="0" w:color="auto"/>
            </w:tcBorders>
          </w:tcPr>
          <w:p w14:paraId="31F937B8" w14:textId="3F884681" w:rsidR="00B51AD9" w:rsidRPr="001C6B52" w:rsidRDefault="00B51AD9" w:rsidP="00B51AD9">
            <w:pPr>
              <w:spacing w:line="256" w:lineRule="auto"/>
              <w:jc w:val="center"/>
              <w:rPr>
                <w:b/>
                <w:kern w:val="28"/>
              </w:rPr>
            </w:pPr>
            <w:r w:rsidRPr="009772CA">
              <w:rPr>
                <w:szCs w:val="22"/>
              </w:rPr>
              <w:t>0</w:t>
            </w:r>
          </w:p>
        </w:tc>
      </w:tr>
      <w:tr w:rsidR="00B51AD9" w14:paraId="24771DE7" w14:textId="77777777" w:rsidTr="00901F66">
        <w:trPr>
          <w:gridAfter w:val="1"/>
          <w:wAfter w:w="5" w:type="pct"/>
          <w:tblCellSpacing w:w="0" w:type="dxa"/>
        </w:trPr>
        <w:tc>
          <w:tcPr>
            <w:tcW w:w="4995" w:type="pct"/>
            <w:gridSpan w:val="5"/>
            <w:tcBorders>
              <w:top w:val="outset" w:sz="6" w:space="0" w:color="auto"/>
              <w:left w:val="outset" w:sz="6" w:space="0" w:color="auto"/>
              <w:bottom w:val="outset" w:sz="6" w:space="0" w:color="auto"/>
              <w:right w:val="outset" w:sz="6" w:space="0" w:color="auto"/>
            </w:tcBorders>
            <w:hideMark/>
          </w:tcPr>
          <w:p w14:paraId="37AA89D9" w14:textId="77777777" w:rsidR="00B51AD9" w:rsidRPr="00116F85" w:rsidRDefault="00B51AD9" w:rsidP="00B51AD9">
            <w:pPr>
              <w:spacing w:line="256" w:lineRule="auto"/>
              <w:rPr>
                <w:b/>
                <w:szCs w:val="22"/>
                <w:lang w:eastAsia="en-US"/>
              </w:rPr>
            </w:pPr>
            <w:r>
              <w:rPr>
                <w:b/>
                <w:szCs w:val="22"/>
                <w:lang w:eastAsia="en-US"/>
              </w:rPr>
              <w:t>Metabolizmo ir mitybos sutrikimai</w:t>
            </w:r>
          </w:p>
        </w:tc>
      </w:tr>
      <w:tr w:rsidR="00B51AD9" w14:paraId="1B8F7827"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hideMark/>
          </w:tcPr>
          <w:p w14:paraId="08C2F91E" w14:textId="77777777" w:rsidR="00B51AD9" w:rsidRPr="00116F85" w:rsidRDefault="00B51AD9" w:rsidP="00B51AD9">
            <w:pPr>
              <w:spacing w:line="256" w:lineRule="auto"/>
              <w:rPr>
                <w:i/>
                <w:szCs w:val="22"/>
                <w:lang w:eastAsia="en-US"/>
              </w:rPr>
            </w:pPr>
            <w:r w:rsidRPr="00116F85">
              <w:rPr>
                <w:i/>
                <w:szCs w:val="22"/>
                <w:lang w:eastAsia="en-US"/>
              </w:rPr>
              <w:t>Labai dažnas</w:t>
            </w:r>
          </w:p>
        </w:tc>
        <w:tc>
          <w:tcPr>
            <w:tcW w:w="855" w:type="pct"/>
            <w:tcBorders>
              <w:top w:val="outset" w:sz="6" w:space="0" w:color="auto"/>
              <w:left w:val="outset" w:sz="6" w:space="0" w:color="auto"/>
              <w:bottom w:val="outset" w:sz="6" w:space="0" w:color="auto"/>
              <w:right w:val="outset" w:sz="6" w:space="0" w:color="auto"/>
            </w:tcBorders>
          </w:tcPr>
          <w:p w14:paraId="3ADBB157" w14:textId="77777777" w:rsidR="00B51AD9" w:rsidRDefault="00B51AD9" w:rsidP="00B51AD9">
            <w:pPr>
              <w:spacing w:line="256" w:lineRule="auto"/>
              <w:rPr>
                <w:szCs w:val="22"/>
                <w:lang w:eastAsia="en-US"/>
              </w:rPr>
            </w:pPr>
          </w:p>
        </w:tc>
        <w:tc>
          <w:tcPr>
            <w:tcW w:w="776" w:type="pct"/>
            <w:tcBorders>
              <w:top w:val="outset" w:sz="6" w:space="0" w:color="auto"/>
              <w:left w:val="outset" w:sz="6" w:space="0" w:color="auto"/>
              <w:bottom w:val="outset" w:sz="6" w:space="0" w:color="auto"/>
              <w:right w:val="outset" w:sz="6" w:space="0" w:color="auto"/>
            </w:tcBorders>
          </w:tcPr>
          <w:p w14:paraId="192F2E59" w14:textId="77777777" w:rsidR="00B51AD9" w:rsidRDefault="00B51AD9" w:rsidP="00B51AD9">
            <w:pPr>
              <w:spacing w:line="256" w:lineRule="auto"/>
              <w:rPr>
                <w:szCs w:val="22"/>
                <w:lang w:eastAsia="en-US"/>
              </w:rPr>
            </w:pPr>
          </w:p>
        </w:tc>
        <w:tc>
          <w:tcPr>
            <w:tcW w:w="854" w:type="pct"/>
            <w:tcBorders>
              <w:top w:val="outset" w:sz="6" w:space="0" w:color="auto"/>
              <w:left w:val="outset" w:sz="6" w:space="0" w:color="auto"/>
              <w:bottom w:val="outset" w:sz="6" w:space="0" w:color="auto"/>
              <w:right w:val="outset" w:sz="6" w:space="0" w:color="auto"/>
            </w:tcBorders>
          </w:tcPr>
          <w:p w14:paraId="4211DAB5" w14:textId="77777777" w:rsidR="00B51AD9" w:rsidRDefault="00B51AD9" w:rsidP="00B51AD9">
            <w:pPr>
              <w:spacing w:line="256" w:lineRule="auto"/>
              <w:rPr>
                <w:szCs w:val="22"/>
                <w:lang w:eastAsia="en-US"/>
              </w:rPr>
            </w:pPr>
          </w:p>
        </w:tc>
        <w:tc>
          <w:tcPr>
            <w:tcW w:w="855" w:type="pct"/>
            <w:tcBorders>
              <w:top w:val="outset" w:sz="6" w:space="0" w:color="auto"/>
              <w:left w:val="outset" w:sz="6" w:space="0" w:color="auto"/>
              <w:bottom w:val="outset" w:sz="6" w:space="0" w:color="auto"/>
              <w:right w:val="outset" w:sz="6" w:space="0" w:color="auto"/>
            </w:tcBorders>
          </w:tcPr>
          <w:p w14:paraId="42002B71" w14:textId="77777777" w:rsidR="00B51AD9" w:rsidRDefault="00B51AD9" w:rsidP="00B51AD9">
            <w:pPr>
              <w:spacing w:line="256" w:lineRule="auto"/>
              <w:rPr>
                <w:szCs w:val="22"/>
                <w:lang w:eastAsia="en-US"/>
              </w:rPr>
            </w:pPr>
          </w:p>
        </w:tc>
      </w:tr>
      <w:tr w:rsidR="00B51AD9" w14:paraId="5F484F07"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6A012B6F" w14:textId="77777777" w:rsidR="00B51AD9" w:rsidRPr="00116F85" w:rsidRDefault="00B51AD9" w:rsidP="00B51AD9">
            <w:pPr>
              <w:spacing w:line="256" w:lineRule="auto"/>
              <w:ind w:left="284"/>
              <w:rPr>
                <w:szCs w:val="22"/>
                <w:lang w:eastAsia="en-US"/>
              </w:rPr>
            </w:pPr>
            <w:r>
              <w:rPr>
                <w:szCs w:val="22"/>
                <w:lang w:eastAsia="en-US"/>
              </w:rPr>
              <w:lastRenderedPageBreak/>
              <w:t>Sumažėjęs apetitas</w:t>
            </w:r>
          </w:p>
        </w:tc>
        <w:tc>
          <w:tcPr>
            <w:tcW w:w="855" w:type="pct"/>
            <w:tcBorders>
              <w:top w:val="outset" w:sz="6" w:space="0" w:color="auto"/>
              <w:left w:val="outset" w:sz="6" w:space="0" w:color="auto"/>
              <w:bottom w:val="outset" w:sz="6" w:space="0" w:color="auto"/>
              <w:right w:val="outset" w:sz="6" w:space="0" w:color="auto"/>
            </w:tcBorders>
          </w:tcPr>
          <w:p w14:paraId="49EC352A" w14:textId="2AD82A7B" w:rsidR="00B51AD9" w:rsidRDefault="00B51AD9" w:rsidP="00B51AD9">
            <w:pPr>
              <w:spacing w:line="256" w:lineRule="auto"/>
              <w:jc w:val="center"/>
              <w:rPr>
                <w:b/>
                <w:kern w:val="28"/>
                <w:szCs w:val="22"/>
                <w:lang w:eastAsia="en-US"/>
              </w:rPr>
            </w:pPr>
            <w:r w:rsidRPr="009772CA">
              <w:rPr>
                <w:szCs w:val="22"/>
              </w:rPr>
              <w:t>60</w:t>
            </w:r>
            <w:r w:rsidRPr="00B77163">
              <w:t xml:space="preserve"> </w:t>
            </w:r>
            <w:r w:rsidRPr="009772CA">
              <w:rPr>
                <w:szCs w:val="22"/>
              </w:rPr>
              <w:t>(17</w:t>
            </w:r>
            <w:r w:rsidR="00480446">
              <w:rPr>
                <w:szCs w:val="22"/>
              </w:rPr>
              <w:t>,</w:t>
            </w:r>
            <w:r w:rsidRPr="009772CA">
              <w:rPr>
                <w:szCs w:val="22"/>
              </w:rPr>
              <w:t>4)</w:t>
            </w:r>
          </w:p>
        </w:tc>
        <w:tc>
          <w:tcPr>
            <w:tcW w:w="776" w:type="pct"/>
            <w:tcBorders>
              <w:top w:val="outset" w:sz="6" w:space="0" w:color="auto"/>
              <w:left w:val="outset" w:sz="6" w:space="0" w:color="auto"/>
              <w:bottom w:val="outset" w:sz="6" w:space="0" w:color="auto"/>
              <w:right w:val="outset" w:sz="6" w:space="0" w:color="auto"/>
            </w:tcBorders>
          </w:tcPr>
          <w:p w14:paraId="05C05F0F" w14:textId="5B092B83" w:rsidR="00B51AD9" w:rsidRDefault="00B51AD9" w:rsidP="00B51AD9">
            <w:pPr>
              <w:spacing w:line="256" w:lineRule="auto"/>
              <w:jc w:val="center"/>
              <w:rPr>
                <w:b/>
                <w:kern w:val="28"/>
                <w:szCs w:val="22"/>
                <w:lang w:eastAsia="en-US"/>
              </w:rPr>
            </w:pPr>
            <w:r w:rsidRPr="009772CA">
              <w:rPr>
                <w:szCs w:val="22"/>
              </w:rPr>
              <w:t>4</w:t>
            </w:r>
            <w:r w:rsidRPr="00B77163">
              <w:t xml:space="preserve"> </w:t>
            </w:r>
            <w:r w:rsidRPr="009772CA">
              <w:rPr>
                <w:szCs w:val="22"/>
              </w:rPr>
              <w:t>(1</w:t>
            </w:r>
            <w:r w:rsidR="00480446">
              <w:rPr>
                <w:szCs w:val="22"/>
              </w:rPr>
              <w:t>,</w:t>
            </w:r>
            <w:r w:rsidRPr="009772CA">
              <w:rPr>
                <w:szCs w:val="22"/>
              </w:rPr>
              <w:t>2)</w:t>
            </w:r>
          </w:p>
        </w:tc>
        <w:tc>
          <w:tcPr>
            <w:tcW w:w="854" w:type="pct"/>
            <w:tcBorders>
              <w:top w:val="outset" w:sz="6" w:space="0" w:color="auto"/>
              <w:left w:val="outset" w:sz="6" w:space="0" w:color="auto"/>
              <w:bottom w:val="outset" w:sz="6" w:space="0" w:color="auto"/>
              <w:right w:val="outset" w:sz="6" w:space="0" w:color="auto"/>
            </w:tcBorders>
          </w:tcPr>
          <w:p w14:paraId="400B6AE9" w14:textId="78996165" w:rsidR="00B51AD9" w:rsidRDefault="00B51AD9" w:rsidP="00B51AD9">
            <w:pPr>
              <w:spacing w:line="256" w:lineRule="auto"/>
              <w:jc w:val="center"/>
              <w:rPr>
                <w:b/>
                <w:kern w:val="28"/>
                <w:szCs w:val="22"/>
                <w:lang w:eastAsia="en-US"/>
              </w:rPr>
            </w:pPr>
            <w:r w:rsidRPr="009772CA">
              <w:rPr>
                <w:szCs w:val="22"/>
              </w:rPr>
              <w:t>18</w:t>
            </w:r>
            <w:r w:rsidRPr="00B77163">
              <w:t xml:space="preserve"> </w:t>
            </w:r>
            <w:r w:rsidRPr="009772CA">
              <w:rPr>
                <w:szCs w:val="22"/>
              </w:rPr>
              <w:t>(10</w:t>
            </w:r>
            <w:r w:rsidR="00480446">
              <w:rPr>
                <w:szCs w:val="22"/>
              </w:rPr>
              <w:t>,</w:t>
            </w:r>
            <w:r w:rsidRPr="009772CA">
              <w:rPr>
                <w:szCs w:val="22"/>
              </w:rPr>
              <w:t>5)</w:t>
            </w:r>
          </w:p>
        </w:tc>
        <w:tc>
          <w:tcPr>
            <w:tcW w:w="855" w:type="pct"/>
            <w:tcBorders>
              <w:top w:val="outset" w:sz="6" w:space="0" w:color="auto"/>
              <w:left w:val="outset" w:sz="6" w:space="0" w:color="auto"/>
              <w:bottom w:val="outset" w:sz="6" w:space="0" w:color="auto"/>
              <w:right w:val="outset" w:sz="6" w:space="0" w:color="auto"/>
            </w:tcBorders>
          </w:tcPr>
          <w:p w14:paraId="111149C9" w14:textId="709CF63F" w:rsidR="00B51AD9" w:rsidRDefault="00B51AD9" w:rsidP="00B51AD9">
            <w:pPr>
              <w:spacing w:line="256" w:lineRule="auto"/>
              <w:jc w:val="center"/>
              <w:rPr>
                <w:b/>
                <w:kern w:val="28"/>
                <w:szCs w:val="22"/>
                <w:lang w:eastAsia="en-US"/>
              </w:rPr>
            </w:pPr>
            <w:r w:rsidRPr="009772CA">
              <w:rPr>
                <w:szCs w:val="22"/>
              </w:rPr>
              <w:t>1</w:t>
            </w:r>
            <w:r w:rsidRPr="0077444B">
              <w:t xml:space="preserve"> </w:t>
            </w:r>
            <w:r w:rsidRPr="009772CA">
              <w:rPr>
                <w:szCs w:val="22"/>
              </w:rPr>
              <w:t>(0</w:t>
            </w:r>
            <w:r w:rsidR="00480446">
              <w:rPr>
                <w:szCs w:val="22"/>
              </w:rPr>
              <w:t>,</w:t>
            </w:r>
            <w:r w:rsidRPr="009772CA">
              <w:rPr>
                <w:szCs w:val="22"/>
              </w:rPr>
              <w:t>6)</w:t>
            </w:r>
          </w:p>
        </w:tc>
      </w:tr>
      <w:tr w:rsidR="00B51AD9" w14:paraId="23E644F2" w14:textId="77777777" w:rsidTr="00901F66">
        <w:trPr>
          <w:gridAfter w:val="1"/>
          <w:wAfter w:w="5" w:type="pct"/>
          <w:tblCellSpacing w:w="0" w:type="dxa"/>
        </w:trPr>
        <w:tc>
          <w:tcPr>
            <w:tcW w:w="4995" w:type="pct"/>
            <w:gridSpan w:val="5"/>
            <w:tcBorders>
              <w:top w:val="outset" w:sz="6" w:space="0" w:color="auto"/>
              <w:left w:val="outset" w:sz="6" w:space="0" w:color="auto"/>
              <w:bottom w:val="outset" w:sz="6" w:space="0" w:color="auto"/>
              <w:right w:val="outset" w:sz="6" w:space="0" w:color="auto"/>
            </w:tcBorders>
            <w:hideMark/>
          </w:tcPr>
          <w:p w14:paraId="740CA36B" w14:textId="77777777" w:rsidR="00B51AD9" w:rsidRPr="00116F85" w:rsidRDefault="00B51AD9" w:rsidP="00B51AD9">
            <w:pPr>
              <w:spacing w:line="256" w:lineRule="auto"/>
              <w:rPr>
                <w:b/>
                <w:szCs w:val="22"/>
                <w:lang w:eastAsia="en-US"/>
              </w:rPr>
            </w:pPr>
            <w:r>
              <w:rPr>
                <w:b/>
                <w:szCs w:val="22"/>
                <w:lang w:eastAsia="en-US"/>
              </w:rPr>
              <w:t>Nervų sistemos sutrikimai</w:t>
            </w:r>
          </w:p>
        </w:tc>
      </w:tr>
      <w:tr w:rsidR="00B51AD9" w14:paraId="6F828423"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hideMark/>
          </w:tcPr>
          <w:p w14:paraId="53EFC22B" w14:textId="77777777" w:rsidR="00B51AD9" w:rsidRPr="00116F85" w:rsidRDefault="00B51AD9" w:rsidP="00B51AD9">
            <w:pPr>
              <w:spacing w:line="256" w:lineRule="auto"/>
              <w:rPr>
                <w:i/>
                <w:szCs w:val="22"/>
                <w:lang w:eastAsia="en-US"/>
              </w:rPr>
            </w:pPr>
            <w:r>
              <w:rPr>
                <w:i/>
                <w:szCs w:val="22"/>
                <w:lang w:eastAsia="en-US"/>
              </w:rPr>
              <w:t>D</w:t>
            </w:r>
            <w:r w:rsidRPr="00116F85">
              <w:rPr>
                <w:i/>
                <w:szCs w:val="22"/>
                <w:lang w:eastAsia="en-US"/>
              </w:rPr>
              <w:t>ažnas</w:t>
            </w:r>
          </w:p>
        </w:tc>
        <w:tc>
          <w:tcPr>
            <w:tcW w:w="855" w:type="pct"/>
            <w:tcBorders>
              <w:top w:val="outset" w:sz="6" w:space="0" w:color="auto"/>
              <w:left w:val="outset" w:sz="6" w:space="0" w:color="auto"/>
              <w:bottom w:val="outset" w:sz="6" w:space="0" w:color="auto"/>
              <w:right w:val="outset" w:sz="6" w:space="0" w:color="auto"/>
            </w:tcBorders>
          </w:tcPr>
          <w:p w14:paraId="2FF8C5B0" w14:textId="77777777" w:rsidR="00B51AD9" w:rsidRDefault="00B51AD9" w:rsidP="00B51AD9">
            <w:pPr>
              <w:spacing w:line="256" w:lineRule="auto"/>
              <w:rPr>
                <w:szCs w:val="22"/>
                <w:lang w:eastAsia="en-US"/>
              </w:rPr>
            </w:pPr>
          </w:p>
        </w:tc>
        <w:tc>
          <w:tcPr>
            <w:tcW w:w="776" w:type="pct"/>
            <w:tcBorders>
              <w:top w:val="outset" w:sz="6" w:space="0" w:color="auto"/>
              <w:left w:val="outset" w:sz="6" w:space="0" w:color="auto"/>
              <w:bottom w:val="outset" w:sz="6" w:space="0" w:color="auto"/>
              <w:right w:val="outset" w:sz="6" w:space="0" w:color="auto"/>
            </w:tcBorders>
          </w:tcPr>
          <w:p w14:paraId="75C4B126" w14:textId="77777777" w:rsidR="00B51AD9" w:rsidRDefault="00B51AD9" w:rsidP="00B51AD9">
            <w:pPr>
              <w:spacing w:line="256" w:lineRule="auto"/>
              <w:rPr>
                <w:szCs w:val="22"/>
                <w:lang w:eastAsia="en-US"/>
              </w:rPr>
            </w:pPr>
          </w:p>
        </w:tc>
        <w:tc>
          <w:tcPr>
            <w:tcW w:w="854" w:type="pct"/>
            <w:tcBorders>
              <w:top w:val="outset" w:sz="6" w:space="0" w:color="auto"/>
              <w:left w:val="outset" w:sz="6" w:space="0" w:color="auto"/>
              <w:bottom w:val="outset" w:sz="6" w:space="0" w:color="auto"/>
              <w:right w:val="outset" w:sz="6" w:space="0" w:color="auto"/>
            </w:tcBorders>
          </w:tcPr>
          <w:p w14:paraId="15CCF232" w14:textId="77777777" w:rsidR="00B51AD9" w:rsidRDefault="00B51AD9" w:rsidP="00B51AD9">
            <w:pPr>
              <w:spacing w:line="256" w:lineRule="auto"/>
              <w:rPr>
                <w:szCs w:val="22"/>
                <w:lang w:eastAsia="en-US"/>
              </w:rPr>
            </w:pPr>
          </w:p>
        </w:tc>
        <w:tc>
          <w:tcPr>
            <w:tcW w:w="855" w:type="pct"/>
            <w:tcBorders>
              <w:top w:val="outset" w:sz="6" w:space="0" w:color="auto"/>
              <w:left w:val="outset" w:sz="6" w:space="0" w:color="auto"/>
              <w:bottom w:val="outset" w:sz="6" w:space="0" w:color="auto"/>
              <w:right w:val="outset" w:sz="6" w:space="0" w:color="auto"/>
            </w:tcBorders>
          </w:tcPr>
          <w:p w14:paraId="72743783" w14:textId="77777777" w:rsidR="00B51AD9" w:rsidRDefault="00B51AD9" w:rsidP="00B51AD9">
            <w:pPr>
              <w:spacing w:line="256" w:lineRule="auto"/>
              <w:rPr>
                <w:szCs w:val="22"/>
                <w:lang w:eastAsia="en-US"/>
              </w:rPr>
            </w:pPr>
          </w:p>
        </w:tc>
      </w:tr>
      <w:tr w:rsidR="00B51AD9" w14:paraId="5584C261"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7D14341D" w14:textId="77777777" w:rsidR="00B51AD9" w:rsidRPr="00116F85" w:rsidRDefault="00B51AD9" w:rsidP="00B51AD9">
            <w:pPr>
              <w:spacing w:line="256" w:lineRule="auto"/>
              <w:ind w:left="284"/>
              <w:rPr>
                <w:szCs w:val="22"/>
                <w:lang w:eastAsia="en-US"/>
              </w:rPr>
            </w:pPr>
            <w:r>
              <w:rPr>
                <w:szCs w:val="22"/>
                <w:lang w:eastAsia="en-US"/>
              </w:rPr>
              <w:t>Sutrikęs skonis</w:t>
            </w:r>
          </w:p>
        </w:tc>
        <w:tc>
          <w:tcPr>
            <w:tcW w:w="855" w:type="pct"/>
            <w:tcBorders>
              <w:top w:val="outset" w:sz="6" w:space="0" w:color="auto"/>
              <w:left w:val="outset" w:sz="6" w:space="0" w:color="auto"/>
              <w:bottom w:val="outset" w:sz="6" w:space="0" w:color="auto"/>
              <w:right w:val="outset" w:sz="6" w:space="0" w:color="auto"/>
            </w:tcBorders>
          </w:tcPr>
          <w:p w14:paraId="0B20310D" w14:textId="043B64D2" w:rsidR="00B51AD9" w:rsidRDefault="00B51AD9" w:rsidP="00B51AD9">
            <w:pPr>
              <w:spacing w:line="256" w:lineRule="auto"/>
              <w:jc w:val="center"/>
              <w:rPr>
                <w:szCs w:val="22"/>
                <w:lang w:eastAsia="en-US"/>
              </w:rPr>
            </w:pPr>
            <w:r w:rsidRPr="009772CA">
              <w:rPr>
                <w:szCs w:val="22"/>
              </w:rPr>
              <w:t>27</w:t>
            </w:r>
            <w:r w:rsidRPr="00B77163">
              <w:t xml:space="preserve"> </w:t>
            </w:r>
            <w:r w:rsidRPr="009772CA">
              <w:rPr>
                <w:szCs w:val="22"/>
              </w:rPr>
              <w:t>(7</w:t>
            </w:r>
            <w:r w:rsidR="00480446">
              <w:rPr>
                <w:szCs w:val="22"/>
              </w:rPr>
              <w:t>,</w:t>
            </w:r>
            <w:r w:rsidRPr="009772CA">
              <w:rPr>
                <w:szCs w:val="22"/>
              </w:rPr>
              <w:t>8)</w:t>
            </w:r>
          </w:p>
        </w:tc>
        <w:tc>
          <w:tcPr>
            <w:tcW w:w="776" w:type="pct"/>
            <w:tcBorders>
              <w:top w:val="outset" w:sz="6" w:space="0" w:color="auto"/>
              <w:left w:val="outset" w:sz="6" w:space="0" w:color="auto"/>
              <w:bottom w:val="outset" w:sz="6" w:space="0" w:color="auto"/>
              <w:right w:val="outset" w:sz="6" w:space="0" w:color="auto"/>
            </w:tcBorders>
          </w:tcPr>
          <w:p w14:paraId="6D068494" w14:textId="18C695A4" w:rsidR="00B51AD9" w:rsidRDefault="00B51AD9" w:rsidP="00B51AD9">
            <w:pPr>
              <w:spacing w:line="256" w:lineRule="auto"/>
              <w:jc w:val="center"/>
              <w:rPr>
                <w:szCs w:val="22"/>
                <w:lang w:eastAsia="en-US"/>
              </w:rPr>
            </w:pPr>
            <w:r w:rsidRPr="009772CA">
              <w:rPr>
                <w:szCs w:val="22"/>
              </w:rPr>
              <w:t>0</w:t>
            </w:r>
          </w:p>
        </w:tc>
        <w:tc>
          <w:tcPr>
            <w:tcW w:w="854" w:type="pct"/>
            <w:tcBorders>
              <w:top w:val="outset" w:sz="6" w:space="0" w:color="auto"/>
              <w:left w:val="outset" w:sz="6" w:space="0" w:color="auto"/>
              <w:bottom w:val="outset" w:sz="6" w:space="0" w:color="auto"/>
              <w:right w:val="outset" w:sz="6" w:space="0" w:color="auto"/>
            </w:tcBorders>
          </w:tcPr>
          <w:p w14:paraId="2E191F32" w14:textId="49C99771" w:rsidR="00B51AD9" w:rsidRDefault="00B51AD9" w:rsidP="00B51AD9">
            <w:pPr>
              <w:spacing w:line="256" w:lineRule="auto"/>
              <w:jc w:val="center"/>
              <w:rPr>
                <w:szCs w:val="22"/>
                <w:lang w:eastAsia="en-US"/>
              </w:rPr>
            </w:pPr>
            <w:r w:rsidRPr="009772CA">
              <w:rPr>
                <w:szCs w:val="22"/>
              </w:rPr>
              <w:t>6</w:t>
            </w:r>
            <w:r w:rsidRPr="00B77163">
              <w:t xml:space="preserve"> </w:t>
            </w:r>
            <w:r w:rsidRPr="009772CA">
              <w:rPr>
                <w:szCs w:val="22"/>
              </w:rPr>
              <w:t>(3</w:t>
            </w:r>
            <w:r w:rsidR="008C405C">
              <w:rPr>
                <w:szCs w:val="22"/>
              </w:rPr>
              <w:t>,</w:t>
            </w:r>
            <w:r w:rsidRPr="009772CA">
              <w:rPr>
                <w:szCs w:val="22"/>
              </w:rPr>
              <w:t>5)</w:t>
            </w:r>
          </w:p>
        </w:tc>
        <w:tc>
          <w:tcPr>
            <w:tcW w:w="855" w:type="pct"/>
            <w:tcBorders>
              <w:top w:val="outset" w:sz="6" w:space="0" w:color="auto"/>
              <w:left w:val="outset" w:sz="6" w:space="0" w:color="auto"/>
              <w:bottom w:val="outset" w:sz="6" w:space="0" w:color="auto"/>
              <w:right w:val="outset" w:sz="6" w:space="0" w:color="auto"/>
            </w:tcBorders>
          </w:tcPr>
          <w:p w14:paraId="14CE9DB4" w14:textId="5D9902E2" w:rsidR="00B51AD9" w:rsidRDefault="00B51AD9" w:rsidP="00B51AD9">
            <w:pPr>
              <w:spacing w:line="256" w:lineRule="auto"/>
              <w:jc w:val="center"/>
              <w:rPr>
                <w:szCs w:val="22"/>
                <w:lang w:eastAsia="en-US"/>
              </w:rPr>
            </w:pPr>
            <w:r w:rsidRPr="009772CA">
              <w:rPr>
                <w:szCs w:val="22"/>
              </w:rPr>
              <w:t>0</w:t>
            </w:r>
          </w:p>
        </w:tc>
      </w:tr>
      <w:tr w:rsidR="00B51AD9" w14:paraId="6BDD51EB" w14:textId="77777777" w:rsidTr="00901F66">
        <w:trPr>
          <w:gridAfter w:val="1"/>
          <w:wAfter w:w="5" w:type="pct"/>
          <w:tblCellSpacing w:w="0" w:type="dxa"/>
        </w:trPr>
        <w:tc>
          <w:tcPr>
            <w:tcW w:w="4995" w:type="pct"/>
            <w:gridSpan w:val="5"/>
            <w:tcBorders>
              <w:top w:val="outset" w:sz="6" w:space="0" w:color="auto"/>
              <w:left w:val="outset" w:sz="6" w:space="0" w:color="auto"/>
              <w:bottom w:val="outset" w:sz="6" w:space="0" w:color="auto"/>
              <w:right w:val="outset" w:sz="6" w:space="0" w:color="auto"/>
            </w:tcBorders>
            <w:hideMark/>
          </w:tcPr>
          <w:p w14:paraId="6121E1B9" w14:textId="77777777" w:rsidR="00B51AD9" w:rsidRPr="00116F85" w:rsidRDefault="00B51AD9" w:rsidP="00B51AD9">
            <w:pPr>
              <w:spacing w:line="256" w:lineRule="auto"/>
              <w:rPr>
                <w:b/>
                <w:szCs w:val="22"/>
                <w:lang w:eastAsia="en-US"/>
              </w:rPr>
            </w:pPr>
            <w:r>
              <w:rPr>
                <w:b/>
                <w:szCs w:val="22"/>
                <w:lang w:eastAsia="en-US"/>
              </w:rPr>
              <w:t>Akių sutrikimai</w:t>
            </w:r>
          </w:p>
        </w:tc>
      </w:tr>
      <w:tr w:rsidR="00B51AD9" w14:paraId="375D34A6"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hideMark/>
          </w:tcPr>
          <w:p w14:paraId="249C8ACD" w14:textId="77777777" w:rsidR="00B51AD9" w:rsidRPr="00116F85" w:rsidRDefault="00B51AD9" w:rsidP="00B51AD9">
            <w:pPr>
              <w:spacing w:line="256" w:lineRule="auto"/>
              <w:rPr>
                <w:i/>
                <w:szCs w:val="22"/>
                <w:lang w:eastAsia="en-US"/>
              </w:rPr>
            </w:pPr>
            <w:r>
              <w:rPr>
                <w:i/>
                <w:szCs w:val="22"/>
                <w:lang w:eastAsia="en-US"/>
              </w:rPr>
              <w:t>D</w:t>
            </w:r>
            <w:r w:rsidRPr="00116F85">
              <w:rPr>
                <w:i/>
                <w:szCs w:val="22"/>
                <w:lang w:eastAsia="en-US"/>
              </w:rPr>
              <w:t>ažnas</w:t>
            </w:r>
          </w:p>
        </w:tc>
        <w:tc>
          <w:tcPr>
            <w:tcW w:w="855" w:type="pct"/>
            <w:tcBorders>
              <w:top w:val="outset" w:sz="6" w:space="0" w:color="auto"/>
              <w:left w:val="outset" w:sz="6" w:space="0" w:color="auto"/>
              <w:bottom w:val="outset" w:sz="6" w:space="0" w:color="auto"/>
              <w:right w:val="outset" w:sz="6" w:space="0" w:color="auto"/>
            </w:tcBorders>
          </w:tcPr>
          <w:p w14:paraId="248599A4" w14:textId="77777777" w:rsidR="00B51AD9" w:rsidRDefault="00B51AD9" w:rsidP="00B51AD9">
            <w:pPr>
              <w:spacing w:line="256" w:lineRule="auto"/>
              <w:rPr>
                <w:szCs w:val="22"/>
                <w:lang w:eastAsia="en-US"/>
              </w:rPr>
            </w:pPr>
          </w:p>
        </w:tc>
        <w:tc>
          <w:tcPr>
            <w:tcW w:w="776" w:type="pct"/>
            <w:tcBorders>
              <w:top w:val="outset" w:sz="6" w:space="0" w:color="auto"/>
              <w:left w:val="outset" w:sz="6" w:space="0" w:color="auto"/>
              <w:bottom w:val="outset" w:sz="6" w:space="0" w:color="auto"/>
              <w:right w:val="outset" w:sz="6" w:space="0" w:color="auto"/>
            </w:tcBorders>
          </w:tcPr>
          <w:p w14:paraId="3463E0C6" w14:textId="77777777" w:rsidR="00B51AD9" w:rsidRDefault="00B51AD9" w:rsidP="00B51AD9">
            <w:pPr>
              <w:spacing w:line="256" w:lineRule="auto"/>
              <w:rPr>
                <w:szCs w:val="22"/>
                <w:lang w:eastAsia="en-US"/>
              </w:rPr>
            </w:pPr>
          </w:p>
        </w:tc>
        <w:tc>
          <w:tcPr>
            <w:tcW w:w="854" w:type="pct"/>
            <w:tcBorders>
              <w:top w:val="outset" w:sz="6" w:space="0" w:color="auto"/>
              <w:left w:val="outset" w:sz="6" w:space="0" w:color="auto"/>
              <w:bottom w:val="outset" w:sz="6" w:space="0" w:color="auto"/>
              <w:right w:val="outset" w:sz="6" w:space="0" w:color="auto"/>
            </w:tcBorders>
          </w:tcPr>
          <w:p w14:paraId="76B2EE9B" w14:textId="77777777" w:rsidR="00B51AD9" w:rsidRDefault="00B51AD9" w:rsidP="00B51AD9">
            <w:pPr>
              <w:spacing w:line="256" w:lineRule="auto"/>
              <w:rPr>
                <w:szCs w:val="22"/>
                <w:lang w:eastAsia="en-US"/>
              </w:rPr>
            </w:pPr>
          </w:p>
        </w:tc>
        <w:tc>
          <w:tcPr>
            <w:tcW w:w="855" w:type="pct"/>
            <w:tcBorders>
              <w:top w:val="outset" w:sz="6" w:space="0" w:color="auto"/>
              <w:left w:val="outset" w:sz="6" w:space="0" w:color="auto"/>
              <w:bottom w:val="outset" w:sz="6" w:space="0" w:color="auto"/>
              <w:right w:val="outset" w:sz="6" w:space="0" w:color="auto"/>
            </w:tcBorders>
          </w:tcPr>
          <w:p w14:paraId="4978B8FA" w14:textId="77777777" w:rsidR="00B51AD9" w:rsidRDefault="00B51AD9" w:rsidP="00B51AD9">
            <w:pPr>
              <w:spacing w:line="256" w:lineRule="auto"/>
              <w:rPr>
                <w:szCs w:val="22"/>
                <w:lang w:eastAsia="en-US"/>
              </w:rPr>
            </w:pPr>
          </w:p>
        </w:tc>
      </w:tr>
      <w:tr w:rsidR="00B51AD9" w14:paraId="7DBA6976"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0DB99861" w14:textId="77777777" w:rsidR="00B51AD9" w:rsidRPr="00116F85" w:rsidRDefault="00B51AD9" w:rsidP="00B51AD9">
            <w:pPr>
              <w:spacing w:line="256" w:lineRule="auto"/>
              <w:ind w:left="284"/>
              <w:rPr>
                <w:szCs w:val="22"/>
                <w:lang w:eastAsia="en-US"/>
              </w:rPr>
            </w:pPr>
            <w:r>
              <w:rPr>
                <w:szCs w:val="22"/>
                <w:lang w:eastAsia="en-US"/>
              </w:rPr>
              <w:t>Padidėjęs ašarojimas</w:t>
            </w:r>
          </w:p>
        </w:tc>
        <w:tc>
          <w:tcPr>
            <w:tcW w:w="855" w:type="pct"/>
            <w:tcBorders>
              <w:top w:val="outset" w:sz="6" w:space="0" w:color="auto"/>
              <w:left w:val="outset" w:sz="6" w:space="0" w:color="auto"/>
              <w:bottom w:val="outset" w:sz="6" w:space="0" w:color="auto"/>
              <w:right w:val="outset" w:sz="6" w:space="0" w:color="auto"/>
            </w:tcBorders>
          </w:tcPr>
          <w:p w14:paraId="24176D13" w14:textId="2058CB65" w:rsidR="00B51AD9" w:rsidRDefault="00B51AD9" w:rsidP="00B51AD9">
            <w:pPr>
              <w:spacing w:line="256" w:lineRule="auto"/>
              <w:jc w:val="center"/>
              <w:rPr>
                <w:b/>
                <w:kern w:val="28"/>
                <w:szCs w:val="22"/>
                <w:lang w:eastAsia="en-US"/>
              </w:rPr>
            </w:pPr>
            <w:r w:rsidRPr="009772CA">
              <w:rPr>
                <w:szCs w:val="22"/>
              </w:rPr>
              <w:t>25</w:t>
            </w:r>
            <w:r w:rsidRPr="00B77163">
              <w:t xml:space="preserve"> </w:t>
            </w:r>
            <w:r w:rsidRPr="009772CA">
              <w:rPr>
                <w:szCs w:val="22"/>
              </w:rPr>
              <w:t>(7</w:t>
            </w:r>
            <w:r w:rsidR="008C405C">
              <w:rPr>
                <w:szCs w:val="22"/>
              </w:rPr>
              <w:t>,</w:t>
            </w:r>
            <w:r w:rsidRPr="009772CA">
              <w:rPr>
                <w:szCs w:val="22"/>
              </w:rPr>
              <w:t>2)</w:t>
            </w:r>
          </w:p>
        </w:tc>
        <w:tc>
          <w:tcPr>
            <w:tcW w:w="776" w:type="pct"/>
            <w:tcBorders>
              <w:top w:val="outset" w:sz="6" w:space="0" w:color="auto"/>
              <w:left w:val="outset" w:sz="6" w:space="0" w:color="auto"/>
              <w:bottom w:val="outset" w:sz="6" w:space="0" w:color="auto"/>
              <w:right w:val="outset" w:sz="6" w:space="0" w:color="auto"/>
            </w:tcBorders>
          </w:tcPr>
          <w:p w14:paraId="31C02F58" w14:textId="68B4FBF1" w:rsidR="00B51AD9" w:rsidRDefault="00B51AD9" w:rsidP="00B51AD9">
            <w:pPr>
              <w:spacing w:line="256" w:lineRule="auto"/>
              <w:jc w:val="center"/>
              <w:rPr>
                <w:szCs w:val="22"/>
                <w:lang w:eastAsia="en-US"/>
              </w:rPr>
            </w:pPr>
            <w:r w:rsidRPr="009772CA">
              <w:rPr>
                <w:szCs w:val="22"/>
              </w:rPr>
              <w:t>0</w:t>
            </w:r>
          </w:p>
        </w:tc>
        <w:tc>
          <w:tcPr>
            <w:tcW w:w="854" w:type="pct"/>
            <w:tcBorders>
              <w:top w:val="outset" w:sz="6" w:space="0" w:color="auto"/>
              <w:left w:val="outset" w:sz="6" w:space="0" w:color="auto"/>
              <w:bottom w:val="outset" w:sz="6" w:space="0" w:color="auto"/>
              <w:right w:val="outset" w:sz="6" w:space="0" w:color="auto"/>
            </w:tcBorders>
          </w:tcPr>
          <w:p w14:paraId="34E51AB6" w14:textId="071C62BB" w:rsidR="00B51AD9" w:rsidRDefault="00B51AD9" w:rsidP="00B51AD9">
            <w:pPr>
              <w:spacing w:line="256" w:lineRule="auto"/>
              <w:jc w:val="center"/>
              <w:rPr>
                <w:b/>
                <w:kern w:val="28"/>
                <w:szCs w:val="22"/>
                <w:lang w:eastAsia="en-US"/>
              </w:rPr>
            </w:pPr>
            <w:r w:rsidRPr="009772CA">
              <w:rPr>
                <w:szCs w:val="22"/>
              </w:rPr>
              <w:t>2</w:t>
            </w:r>
            <w:r w:rsidRPr="0077444B">
              <w:t xml:space="preserve"> </w:t>
            </w:r>
            <w:r w:rsidRPr="009772CA">
              <w:rPr>
                <w:szCs w:val="22"/>
              </w:rPr>
              <w:t>(1</w:t>
            </w:r>
            <w:r w:rsidR="008C405C">
              <w:rPr>
                <w:szCs w:val="22"/>
              </w:rPr>
              <w:t>,</w:t>
            </w:r>
            <w:r w:rsidRPr="009772CA">
              <w:rPr>
                <w:szCs w:val="22"/>
              </w:rPr>
              <w:t>2)</w:t>
            </w:r>
          </w:p>
        </w:tc>
        <w:tc>
          <w:tcPr>
            <w:tcW w:w="855" w:type="pct"/>
            <w:tcBorders>
              <w:top w:val="outset" w:sz="6" w:space="0" w:color="auto"/>
              <w:left w:val="outset" w:sz="6" w:space="0" w:color="auto"/>
              <w:bottom w:val="outset" w:sz="6" w:space="0" w:color="auto"/>
              <w:right w:val="outset" w:sz="6" w:space="0" w:color="auto"/>
            </w:tcBorders>
          </w:tcPr>
          <w:p w14:paraId="543E867E" w14:textId="6704592D" w:rsidR="00B51AD9" w:rsidRDefault="00B51AD9" w:rsidP="00B51AD9">
            <w:pPr>
              <w:spacing w:line="256" w:lineRule="auto"/>
              <w:jc w:val="center"/>
              <w:rPr>
                <w:szCs w:val="22"/>
                <w:lang w:eastAsia="en-US"/>
              </w:rPr>
            </w:pPr>
            <w:r w:rsidRPr="009772CA">
              <w:rPr>
                <w:szCs w:val="22"/>
              </w:rPr>
              <w:t>0</w:t>
            </w:r>
          </w:p>
        </w:tc>
      </w:tr>
      <w:tr w:rsidR="00B51AD9" w14:paraId="708AB88B"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736CBDF6" w14:textId="77777777" w:rsidR="00B51AD9" w:rsidRDefault="00B51AD9" w:rsidP="00B51AD9">
            <w:pPr>
              <w:spacing w:line="256" w:lineRule="auto"/>
              <w:ind w:left="284"/>
              <w:rPr>
                <w:szCs w:val="22"/>
                <w:lang w:eastAsia="en-US"/>
              </w:rPr>
            </w:pPr>
            <w:r>
              <w:rPr>
                <w:szCs w:val="22"/>
                <w:lang w:eastAsia="en-US"/>
              </w:rPr>
              <w:t>Sumažėjęs vaizdo ryškumas</w:t>
            </w:r>
          </w:p>
        </w:tc>
        <w:tc>
          <w:tcPr>
            <w:tcW w:w="855" w:type="pct"/>
            <w:tcBorders>
              <w:top w:val="outset" w:sz="6" w:space="0" w:color="auto"/>
              <w:left w:val="outset" w:sz="6" w:space="0" w:color="auto"/>
              <w:bottom w:val="outset" w:sz="6" w:space="0" w:color="auto"/>
              <w:right w:val="outset" w:sz="6" w:space="0" w:color="auto"/>
            </w:tcBorders>
          </w:tcPr>
          <w:p w14:paraId="2DC08E5D" w14:textId="45967C17" w:rsidR="00B51AD9" w:rsidRPr="001C6B52" w:rsidRDefault="00B51AD9" w:rsidP="00B51AD9">
            <w:pPr>
              <w:spacing w:line="256" w:lineRule="auto"/>
              <w:jc w:val="center"/>
              <w:rPr>
                <w:b/>
                <w:kern w:val="28"/>
              </w:rPr>
            </w:pPr>
            <w:r w:rsidRPr="009772CA">
              <w:rPr>
                <w:szCs w:val="22"/>
              </w:rPr>
              <w:t>24</w:t>
            </w:r>
            <w:r w:rsidRPr="00B77163">
              <w:t xml:space="preserve"> </w:t>
            </w:r>
            <w:r w:rsidRPr="009772CA">
              <w:rPr>
                <w:szCs w:val="22"/>
              </w:rPr>
              <w:t>(7</w:t>
            </w:r>
            <w:r w:rsidR="008C405C">
              <w:rPr>
                <w:szCs w:val="22"/>
              </w:rPr>
              <w:t>,</w:t>
            </w:r>
            <w:r w:rsidRPr="009772CA">
              <w:rPr>
                <w:szCs w:val="22"/>
              </w:rPr>
              <w:t>0)</w:t>
            </w:r>
          </w:p>
        </w:tc>
        <w:tc>
          <w:tcPr>
            <w:tcW w:w="776" w:type="pct"/>
            <w:tcBorders>
              <w:top w:val="outset" w:sz="6" w:space="0" w:color="auto"/>
              <w:left w:val="outset" w:sz="6" w:space="0" w:color="auto"/>
              <w:bottom w:val="outset" w:sz="6" w:space="0" w:color="auto"/>
              <w:right w:val="outset" w:sz="6" w:space="0" w:color="auto"/>
            </w:tcBorders>
          </w:tcPr>
          <w:p w14:paraId="4F225356" w14:textId="3C424EF8" w:rsidR="00B51AD9" w:rsidRPr="001C6B52" w:rsidRDefault="00B51AD9" w:rsidP="00B51AD9">
            <w:pPr>
              <w:spacing w:line="256" w:lineRule="auto"/>
              <w:jc w:val="center"/>
            </w:pPr>
            <w:r w:rsidRPr="009772CA">
              <w:rPr>
                <w:szCs w:val="22"/>
              </w:rPr>
              <w:t>0</w:t>
            </w:r>
          </w:p>
        </w:tc>
        <w:tc>
          <w:tcPr>
            <w:tcW w:w="854" w:type="pct"/>
            <w:tcBorders>
              <w:top w:val="outset" w:sz="6" w:space="0" w:color="auto"/>
              <w:left w:val="outset" w:sz="6" w:space="0" w:color="auto"/>
              <w:bottom w:val="outset" w:sz="6" w:space="0" w:color="auto"/>
              <w:right w:val="outset" w:sz="6" w:space="0" w:color="auto"/>
            </w:tcBorders>
          </w:tcPr>
          <w:p w14:paraId="72E3E401" w14:textId="580C3587" w:rsidR="00B51AD9" w:rsidRPr="001C6B52" w:rsidRDefault="00B51AD9" w:rsidP="00B51AD9">
            <w:pPr>
              <w:spacing w:line="256" w:lineRule="auto"/>
              <w:jc w:val="center"/>
              <w:rPr>
                <w:b/>
                <w:kern w:val="28"/>
              </w:rPr>
            </w:pPr>
            <w:r w:rsidRPr="009772CA">
              <w:rPr>
                <w:szCs w:val="22"/>
              </w:rPr>
              <w:t>3</w:t>
            </w:r>
            <w:r w:rsidRPr="0077444B">
              <w:t xml:space="preserve"> </w:t>
            </w:r>
            <w:r w:rsidRPr="009772CA">
              <w:rPr>
                <w:szCs w:val="22"/>
              </w:rPr>
              <w:t>(1</w:t>
            </w:r>
            <w:r w:rsidR="008C405C">
              <w:rPr>
                <w:szCs w:val="22"/>
              </w:rPr>
              <w:t>,</w:t>
            </w:r>
            <w:r w:rsidRPr="009772CA">
              <w:rPr>
                <w:szCs w:val="22"/>
              </w:rPr>
              <w:t>7)</w:t>
            </w:r>
          </w:p>
        </w:tc>
        <w:tc>
          <w:tcPr>
            <w:tcW w:w="855" w:type="pct"/>
            <w:tcBorders>
              <w:top w:val="outset" w:sz="6" w:space="0" w:color="auto"/>
              <w:left w:val="outset" w:sz="6" w:space="0" w:color="auto"/>
              <w:bottom w:val="outset" w:sz="6" w:space="0" w:color="auto"/>
              <w:right w:val="outset" w:sz="6" w:space="0" w:color="auto"/>
            </w:tcBorders>
          </w:tcPr>
          <w:p w14:paraId="2BAEEB6F" w14:textId="676E6025" w:rsidR="00B51AD9" w:rsidRPr="001C6B52" w:rsidRDefault="00B51AD9" w:rsidP="00B51AD9">
            <w:pPr>
              <w:spacing w:line="256" w:lineRule="auto"/>
              <w:jc w:val="center"/>
            </w:pPr>
            <w:r w:rsidRPr="009772CA">
              <w:rPr>
                <w:szCs w:val="22"/>
              </w:rPr>
              <w:t>0</w:t>
            </w:r>
          </w:p>
        </w:tc>
      </w:tr>
      <w:tr w:rsidR="00B51AD9" w14:paraId="30D3C7FD"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14D6A7AE" w14:textId="77777777" w:rsidR="00B51AD9" w:rsidRDefault="00B51AD9" w:rsidP="00B51AD9">
            <w:pPr>
              <w:spacing w:line="256" w:lineRule="auto"/>
              <w:ind w:left="284"/>
              <w:rPr>
                <w:szCs w:val="22"/>
                <w:lang w:eastAsia="en-US"/>
              </w:rPr>
            </w:pPr>
            <w:r>
              <w:rPr>
                <w:szCs w:val="22"/>
                <w:lang w:eastAsia="en-US"/>
              </w:rPr>
              <w:t>Akių sausumas</w:t>
            </w:r>
          </w:p>
        </w:tc>
        <w:tc>
          <w:tcPr>
            <w:tcW w:w="855" w:type="pct"/>
            <w:tcBorders>
              <w:top w:val="outset" w:sz="6" w:space="0" w:color="auto"/>
              <w:left w:val="outset" w:sz="6" w:space="0" w:color="auto"/>
              <w:bottom w:val="outset" w:sz="6" w:space="0" w:color="auto"/>
              <w:right w:val="outset" w:sz="6" w:space="0" w:color="auto"/>
            </w:tcBorders>
          </w:tcPr>
          <w:p w14:paraId="09EB895E" w14:textId="73D2EA9F" w:rsidR="00B51AD9" w:rsidRPr="001C6B52" w:rsidRDefault="00B51AD9" w:rsidP="00B51AD9">
            <w:pPr>
              <w:spacing w:line="256" w:lineRule="auto"/>
              <w:jc w:val="center"/>
              <w:rPr>
                <w:b/>
                <w:kern w:val="28"/>
              </w:rPr>
            </w:pPr>
            <w:r w:rsidRPr="009772CA">
              <w:rPr>
                <w:szCs w:val="22"/>
              </w:rPr>
              <w:t>15</w:t>
            </w:r>
            <w:r w:rsidRPr="00B77163">
              <w:t xml:space="preserve"> </w:t>
            </w:r>
            <w:r w:rsidRPr="009772CA">
              <w:rPr>
                <w:szCs w:val="22"/>
              </w:rPr>
              <w:t>(4</w:t>
            </w:r>
            <w:r w:rsidR="008C405C">
              <w:rPr>
                <w:szCs w:val="22"/>
              </w:rPr>
              <w:t>,</w:t>
            </w:r>
            <w:r w:rsidRPr="009772CA">
              <w:rPr>
                <w:szCs w:val="22"/>
              </w:rPr>
              <w:t>3)</w:t>
            </w:r>
          </w:p>
        </w:tc>
        <w:tc>
          <w:tcPr>
            <w:tcW w:w="776" w:type="pct"/>
            <w:tcBorders>
              <w:top w:val="outset" w:sz="6" w:space="0" w:color="auto"/>
              <w:left w:val="outset" w:sz="6" w:space="0" w:color="auto"/>
              <w:bottom w:val="outset" w:sz="6" w:space="0" w:color="auto"/>
              <w:right w:val="outset" w:sz="6" w:space="0" w:color="auto"/>
            </w:tcBorders>
          </w:tcPr>
          <w:p w14:paraId="2C0195BE" w14:textId="6F527DD7" w:rsidR="00B51AD9" w:rsidRPr="001C6B52" w:rsidRDefault="00B51AD9" w:rsidP="00B51AD9">
            <w:pPr>
              <w:spacing w:line="256" w:lineRule="auto"/>
              <w:jc w:val="center"/>
            </w:pPr>
            <w:r w:rsidRPr="009772CA">
              <w:rPr>
                <w:szCs w:val="22"/>
              </w:rPr>
              <w:t>0</w:t>
            </w:r>
          </w:p>
        </w:tc>
        <w:tc>
          <w:tcPr>
            <w:tcW w:w="854" w:type="pct"/>
            <w:tcBorders>
              <w:top w:val="outset" w:sz="6" w:space="0" w:color="auto"/>
              <w:left w:val="outset" w:sz="6" w:space="0" w:color="auto"/>
              <w:bottom w:val="outset" w:sz="6" w:space="0" w:color="auto"/>
              <w:right w:val="outset" w:sz="6" w:space="0" w:color="auto"/>
            </w:tcBorders>
          </w:tcPr>
          <w:p w14:paraId="53DA7583" w14:textId="661FF801" w:rsidR="00B51AD9" w:rsidRPr="001C6B52" w:rsidRDefault="00B51AD9" w:rsidP="00B51AD9">
            <w:pPr>
              <w:spacing w:line="256" w:lineRule="auto"/>
              <w:jc w:val="center"/>
              <w:rPr>
                <w:b/>
                <w:kern w:val="28"/>
              </w:rPr>
            </w:pPr>
            <w:r w:rsidRPr="009772CA">
              <w:rPr>
                <w:szCs w:val="22"/>
              </w:rPr>
              <w:t>3</w:t>
            </w:r>
            <w:r w:rsidRPr="0077444B">
              <w:t xml:space="preserve"> </w:t>
            </w:r>
            <w:r w:rsidRPr="009772CA">
              <w:rPr>
                <w:szCs w:val="22"/>
              </w:rPr>
              <w:t>(1</w:t>
            </w:r>
            <w:r w:rsidR="008C405C">
              <w:rPr>
                <w:szCs w:val="22"/>
              </w:rPr>
              <w:t>,</w:t>
            </w:r>
            <w:r w:rsidRPr="009772CA">
              <w:rPr>
                <w:szCs w:val="22"/>
              </w:rPr>
              <w:t>7)</w:t>
            </w:r>
          </w:p>
        </w:tc>
        <w:tc>
          <w:tcPr>
            <w:tcW w:w="855" w:type="pct"/>
            <w:tcBorders>
              <w:top w:val="outset" w:sz="6" w:space="0" w:color="auto"/>
              <w:left w:val="outset" w:sz="6" w:space="0" w:color="auto"/>
              <w:bottom w:val="outset" w:sz="6" w:space="0" w:color="auto"/>
              <w:right w:val="outset" w:sz="6" w:space="0" w:color="auto"/>
            </w:tcBorders>
          </w:tcPr>
          <w:p w14:paraId="7EDAF41C" w14:textId="737A3965" w:rsidR="00B51AD9" w:rsidRPr="001C6B52" w:rsidRDefault="00B51AD9" w:rsidP="00B51AD9">
            <w:pPr>
              <w:spacing w:line="256" w:lineRule="auto"/>
              <w:jc w:val="center"/>
            </w:pPr>
            <w:r w:rsidRPr="009772CA">
              <w:rPr>
                <w:szCs w:val="22"/>
              </w:rPr>
              <w:t>0</w:t>
            </w:r>
          </w:p>
        </w:tc>
      </w:tr>
      <w:tr w:rsidR="00B51AD9" w14:paraId="2E40331D" w14:textId="77777777" w:rsidTr="00901F66">
        <w:trPr>
          <w:gridAfter w:val="1"/>
          <w:wAfter w:w="5" w:type="pct"/>
          <w:tblCellSpacing w:w="0" w:type="dxa"/>
        </w:trPr>
        <w:tc>
          <w:tcPr>
            <w:tcW w:w="4995" w:type="pct"/>
            <w:gridSpan w:val="5"/>
            <w:tcBorders>
              <w:top w:val="outset" w:sz="6" w:space="0" w:color="auto"/>
              <w:left w:val="outset" w:sz="6" w:space="0" w:color="auto"/>
              <w:bottom w:val="outset" w:sz="6" w:space="0" w:color="auto"/>
              <w:right w:val="outset" w:sz="6" w:space="0" w:color="auto"/>
            </w:tcBorders>
            <w:hideMark/>
          </w:tcPr>
          <w:p w14:paraId="47AC0B74" w14:textId="77777777" w:rsidR="00B51AD9" w:rsidRPr="00116F85" w:rsidRDefault="00B51AD9" w:rsidP="00B51AD9">
            <w:pPr>
              <w:spacing w:line="256" w:lineRule="auto"/>
              <w:rPr>
                <w:b/>
                <w:szCs w:val="22"/>
                <w:lang w:eastAsia="en-US"/>
              </w:rPr>
            </w:pPr>
            <w:r w:rsidRPr="0085724A">
              <w:rPr>
                <w:b/>
                <w:szCs w:val="22"/>
                <w:lang w:eastAsia="en-US"/>
              </w:rPr>
              <w:t>Kvėpavimo sistemos, krūtinės ląstos ir tarpuplaučio sutrikimai</w:t>
            </w:r>
          </w:p>
        </w:tc>
      </w:tr>
      <w:tr w:rsidR="00B51AD9" w14:paraId="0CEEAA49"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hideMark/>
          </w:tcPr>
          <w:p w14:paraId="6FF5AE6F" w14:textId="77777777" w:rsidR="00B51AD9" w:rsidRPr="00116F85" w:rsidRDefault="00B51AD9" w:rsidP="00B51AD9">
            <w:pPr>
              <w:spacing w:line="256" w:lineRule="auto"/>
              <w:rPr>
                <w:i/>
                <w:szCs w:val="22"/>
                <w:lang w:eastAsia="en-US"/>
              </w:rPr>
            </w:pPr>
            <w:r>
              <w:rPr>
                <w:i/>
                <w:szCs w:val="22"/>
                <w:lang w:eastAsia="en-US"/>
              </w:rPr>
              <w:t>D</w:t>
            </w:r>
            <w:r w:rsidRPr="00116F85">
              <w:rPr>
                <w:i/>
                <w:szCs w:val="22"/>
                <w:lang w:eastAsia="en-US"/>
              </w:rPr>
              <w:t>ažnas</w:t>
            </w:r>
          </w:p>
        </w:tc>
        <w:tc>
          <w:tcPr>
            <w:tcW w:w="855" w:type="pct"/>
            <w:tcBorders>
              <w:top w:val="outset" w:sz="6" w:space="0" w:color="auto"/>
              <w:left w:val="outset" w:sz="6" w:space="0" w:color="auto"/>
              <w:bottom w:val="outset" w:sz="6" w:space="0" w:color="auto"/>
              <w:right w:val="outset" w:sz="6" w:space="0" w:color="auto"/>
            </w:tcBorders>
          </w:tcPr>
          <w:p w14:paraId="3F31BC6E" w14:textId="77777777" w:rsidR="00B51AD9" w:rsidRDefault="00B51AD9" w:rsidP="00B51AD9">
            <w:pPr>
              <w:spacing w:line="256" w:lineRule="auto"/>
              <w:rPr>
                <w:szCs w:val="22"/>
                <w:lang w:eastAsia="en-US"/>
              </w:rPr>
            </w:pPr>
          </w:p>
        </w:tc>
        <w:tc>
          <w:tcPr>
            <w:tcW w:w="776" w:type="pct"/>
            <w:tcBorders>
              <w:top w:val="outset" w:sz="6" w:space="0" w:color="auto"/>
              <w:left w:val="outset" w:sz="6" w:space="0" w:color="auto"/>
              <w:bottom w:val="outset" w:sz="6" w:space="0" w:color="auto"/>
              <w:right w:val="outset" w:sz="6" w:space="0" w:color="auto"/>
            </w:tcBorders>
          </w:tcPr>
          <w:p w14:paraId="72169536" w14:textId="77777777" w:rsidR="00B51AD9" w:rsidRDefault="00B51AD9" w:rsidP="00B51AD9">
            <w:pPr>
              <w:spacing w:line="256" w:lineRule="auto"/>
              <w:rPr>
                <w:szCs w:val="22"/>
                <w:lang w:eastAsia="en-US"/>
              </w:rPr>
            </w:pPr>
          </w:p>
        </w:tc>
        <w:tc>
          <w:tcPr>
            <w:tcW w:w="854" w:type="pct"/>
            <w:tcBorders>
              <w:top w:val="outset" w:sz="6" w:space="0" w:color="auto"/>
              <w:left w:val="outset" w:sz="6" w:space="0" w:color="auto"/>
              <w:bottom w:val="outset" w:sz="6" w:space="0" w:color="auto"/>
              <w:right w:val="outset" w:sz="6" w:space="0" w:color="auto"/>
            </w:tcBorders>
          </w:tcPr>
          <w:p w14:paraId="67671CDF" w14:textId="77777777" w:rsidR="00B51AD9" w:rsidRDefault="00B51AD9" w:rsidP="00B51AD9">
            <w:pPr>
              <w:spacing w:line="256" w:lineRule="auto"/>
              <w:rPr>
                <w:szCs w:val="22"/>
                <w:lang w:eastAsia="en-US"/>
              </w:rPr>
            </w:pPr>
          </w:p>
        </w:tc>
        <w:tc>
          <w:tcPr>
            <w:tcW w:w="855" w:type="pct"/>
            <w:tcBorders>
              <w:top w:val="outset" w:sz="6" w:space="0" w:color="auto"/>
              <w:left w:val="outset" w:sz="6" w:space="0" w:color="auto"/>
              <w:bottom w:val="outset" w:sz="6" w:space="0" w:color="auto"/>
              <w:right w:val="outset" w:sz="6" w:space="0" w:color="auto"/>
            </w:tcBorders>
          </w:tcPr>
          <w:p w14:paraId="79CB7259" w14:textId="77777777" w:rsidR="00B51AD9" w:rsidRDefault="00B51AD9" w:rsidP="00B51AD9">
            <w:pPr>
              <w:spacing w:line="256" w:lineRule="auto"/>
              <w:rPr>
                <w:szCs w:val="22"/>
                <w:lang w:eastAsia="en-US"/>
              </w:rPr>
            </w:pPr>
          </w:p>
        </w:tc>
      </w:tr>
      <w:tr w:rsidR="00B51AD9" w14:paraId="6479BD90"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3B076000" w14:textId="77777777" w:rsidR="00B51AD9" w:rsidRPr="00116F85" w:rsidRDefault="00B51AD9" w:rsidP="00B51AD9">
            <w:pPr>
              <w:spacing w:line="256" w:lineRule="auto"/>
              <w:ind w:left="284"/>
              <w:rPr>
                <w:szCs w:val="22"/>
                <w:lang w:eastAsia="en-US"/>
              </w:rPr>
            </w:pPr>
            <w:r>
              <w:rPr>
                <w:szCs w:val="22"/>
                <w:lang w:eastAsia="en-US"/>
              </w:rPr>
              <w:t>Kraujavimas iš nosies</w:t>
            </w:r>
          </w:p>
        </w:tc>
        <w:tc>
          <w:tcPr>
            <w:tcW w:w="855" w:type="pct"/>
            <w:tcBorders>
              <w:top w:val="outset" w:sz="6" w:space="0" w:color="auto"/>
              <w:left w:val="outset" w:sz="6" w:space="0" w:color="auto"/>
              <w:bottom w:val="outset" w:sz="6" w:space="0" w:color="auto"/>
              <w:right w:val="outset" w:sz="6" w:space="0" w:color="auto"/>
            </w:tcBorders>
          </w:tcPr>
          <w:p w14:paraId="24FAC3A8" w14:textId="178C114E" w:rsidR="00B51AD9" w:rsidRDefault="00B51AD9" w:rsidP="00B51AD9">
            <w:pPr>
              <w:spacing w:line="256" w:lineRule="auto"/>
              <w:jc w:val="center"/>
              <w:rPr>
                <w:b/>
                <w:kern w:val="28"/>
                <w:szCs w:val="22"/>
                <w:lang w:eastAsia="en-US"/>
              </w:rPr>
            </w:pPr>
            <w:r w:rsidRPr="009772CA">
              <w:rPr>
                <w:szCs w:val="22"/>
              </w:rPr>
              <w:t>25</w:t>
            </w:r>
            <w:r w:rsidRPr="00B77163">
              <w:t xml:space="preserve"> </w:t>
            </w:r>
            <w:r w:rsidRPr="009772CA">
              <w:rPr>
                <w:szCs w:val="22"/>
              </w:rPr>
              <w:t>(7</w:t>
            </w:r>
            <w:r w:rsidR="0027007B">
              <w:rPr>
                <w:szCs w:val="22"/>
              </w:rPr>
              <w:t>,</w:t>
            </w:r>
            <w:r w:rsidRPr="009772CA">
              <w:rPr>
                <w:szCs w:val="22"/>
              </w:rPr>
              <w:t>2)</w:t>
            </w:r>
          </w:p>
        </w:tc>
        <w:tc>
          <w:tcPr>
            <w:tcW w:w="776" w:type="pct"/>
            <w:tcBorders>
              <w:top w:val="outset" w:sz="6" w:space="0" w:color="auto"/>
              <w:left w:val="outset" w:sz="6" w:space="0" w:color="auto"/>
              <w:bottom w:val="outset" w:sz="6" w:space="0" w:color="auto"/>
              <w:right w:val="outset" w:sz="6" w:space="0" w:color="auto"/>
            </w:tcBorders>
          </w:tcPr>
          <w:p w14:paraId="4330CDD6" w14:textId="62C4A4E6" w:rsidR="00B51AD9" w:rsidRDefault="00B51AD9" w:rsidP="00B51AD9">
            <w:pPr>
              <w:spacing w:line="256" w:lineRule="auto"/>
              <w:jc w:val="center"/>
              <w:rPr>
                <w:szCs w:val="22"/>
                <w:lang w:eastAsia="en-US"/>
              </w:rPr>
            </w:pPr>
            <w:r w:rsidRPr="009772CA">
              <w:rPr>
                <w:szCs w:val="22"/>
              </w:rPr>
              <w:t>0</w:t>
            </w:r>
          </w:p>
        </w:tc>
        <w:tc>
          <w:tcPr>
            <w:tcW w:w="854" w:type="pct"/>
            <w:tcBorders>
              <w:top w:val="outset" w:sz="6" w:space="0" w:color="auto"/>
              <w:left w:val="outset" w:sz="6" w:space="0" w:color="auto"/>
              <w:bottom w:val="outset" w:sz="6" w:space="0" w:color="auto"/>
              <w:right w:val="outset" w:sz="6" w:space="0" w:color="auto"/>
            </w:tcBorders>
          </w:tcPr>
          <w:p w14:paraId="4255615C" w14:textId="2A313FD8" w:rsidR="00B51AD9" w:rsidRDefault="00B51AD9" w:rsidP="00B51AD9">
            <w:pPr>
              <w:spacing w:line="256" w:lineRule="auto"/>
              <w:jc w:val="center"/>
              <w:rPr>
                <w:b/>
                <w:kern w:val="28"/>
                <w:szCs w:val="22"/>
                <w:lang w:eastAsia="en-US"/>
              </w:rPr>
            </w:pPr>
            <w:r w:rsidRPr="009772CA">
              <w:rPr>
                <w:szCs w:val="22"/>
              </w:rPr>
              <w:t>4</w:t>
            </w:r>
            <w:r w:rsidRPr="00B77163">
              <w:t xml:space="preserve"> </w:t>
            </w:r>
            <w:r w:rsidRPr="009772CA">
              <w:rPr>
                <w:szCs w:val="22"/>
              </w:rPr>
              <w:t>(2</w:t>
            </w:r>
            <w:r w:rsidR="0027007B">
              <w:rPr>
                <w:szCs w:val="22"/>
              </w:rPr>
              <w:t>,</w:t>
            </w:r>
            <w:r w:rsidRPr="009772CA">
              <w:rPr>
                <w:szCs w:val="22"/>
              </w:rPr>
              <w:t>3)</w:t>
            </w:r>
          </w:p>
        </w:tc>
        <w:tc>
          <w:tcPr>
            <w:tcW w:w="855" w:type="pct"/>
            <w:tcBorders>
              <w:top w:val="outset" w:sz="6" w:space="0" w:color="auto"/>
              <w:left w:val="outset" w:sz="6" w:space="0" w:color="auto"/>
              <w:bottom w:val="outset" w:sz="6" w:space="0" w:color="auto"/>
              <w:right w:val="outset" w:sz="6" w:space="0" w:color="auto"/>
            </w:tcBorders>
          </w:tcPr>
          <w:p w14:paraId="6084DF5C" w14:textId="250A2E6C" w:rsidR="00B51AD9" w:rsidRDefault="00B51AD9" w:rsidP="00B51AD9">
            <w:pPr>
              <w:spacing w:line="256" w:lineRule="auto"/>
              <w:jc w:val="center"/>
              <w:rPr>
                <w:szCs w:val="22"/>
                <w:lang w:eastAsia="en-US"/>
              </w:rPr>
            </w:pPr>
            <w:r w:rsidRPr="009772CA">
              <w:rPr>
                <w:szCs w:val="22"/>
              </w:rPr>
              <w:t>0</w:t>
            </w:r>
          </w:p>
        </w:tc>
      </w:tr>
      <w:tr w:rsidR="00B51AD9" w14:paraId="5B9F3279" w14:textId="77777777" w:rsidTr="00901F66">
        <w:trPr>
          <w:gridAfter w:val="1"/>
          <w:wAfter w:w="5" w:type="pct"/>
          <w:tblCellSpacing w:w="0" w:type="dxa"/>
        </w:trPr>
        <w:tc>
          <w:tcPr>
            <w:tcW w:w="4995" w:type="pct"/>
            <w:gridSpan w:val="5"/>
            <w:tcBorders>
              <w:top w:val="outset" w:sz="6" w:space="0" w:color="auto"/>
              <w:left w:val="outset" w:sz="6" w:space="0" w:color="auto"/>
              <w:bottom w:val="outset" w:sz="6" w:space="0" w:color="auto"/>
              <w:right w:val="outset" w:sz="6" w:space="0" w:color="auto"/>
            </w:tcBorders>
            <w:hideMark/>
          </w:tcPr>
          <w:p w14:paraId="2D6A21CB" w14:textId="77777777" w:rsidR="00B51AD9" w:rsidRPr="00116F85" w:rsidRDefault="00B51AD9" w:rsidP="00B51AD9">
            <w:pPr>
              <w:spacing w:line="256" w:lineRule="auto"/>
              <w:rPr>
                <w:b/>
                <w:szCs w:val="22"/>
                <w:lang w:eastAsia="en-US"/>
              </w:rPr>
            </w:pPr>
            <w:r>
              <w:rPr>
                <w:b/>
                <w:szCs w:val="22"/>
                <w:lang w:eastAsia="en-US"/>
              </w:rPr>
              <w:t>Virškinimo trakto sutrikimai</w:t>
            </w:r>
          </w:p>
        </w:tc>
      </w:tr>
      <w:tr w:rsidR="00B51AD9" w14:paraId="45FB07B0"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hideMark/>
          </w:tcPr>
          <w:p w14:paraId="056041F9" w14:textId="77777777" w:rsidR="00B51AD9" w:rsidRPr="00116F85" w:rsidRDefault="00B51AD9" w:rsidP="00B51AD9">
            <w:pPr>
              <w:spacing w:line="256" w:lineRule="auto"/>
              <w:rPr>
                <w:i/>
                <w:szCs w:val="22"/>
                <w:lang w:eastAsia="en-US"/>
              </w:rPr>
            </w:pPr>
            <w:r w:rsidRPr="00116F85">
              <w:rPr>
                <w:i/>
                <w:szCs w:val="22"/>
                <w:lang w:eastAsia="en-US"/>
              </w:rPr>
              <w:t>Labai dažnas</w:t>
            </w:r>
          </w:p>
        </w:tc>
        <w:tc>
          <w:tcPr>
            <w:tcW w:w="855" w:type="pct"/>
            <w:tcBorders>
              <w:top w:val="outset" w:sz="6" w:space="0" w:color="auto"/>
              <w:left w:val="outset" w:sz="6" w:space="0" w:color="auto"/>
              <w:bottom w:val="outset" w:sz="6" w:space="0" w:color="auto"/>
              <w:right w:val="outset" w:sz="6" w:space="0" w:color="auto"/>
            </w:tcBorders>
          </w:tcPr>
          <w:p w14:paraId="58CFA427" w14:textId="77777777" w:rsidR="00B51AD9" w:rsidRDefault="00B51AD9" w:rsidP="00B51AD9">
            <w:pPr>
              <w:spacing w:line="256" w:lineRule="auto"/>
              <w:rPr>
                <w:szCs w:val="22"/>
                <w:lang w:eastAsia="en-US"/>
              </w:rPr>
            </w:pPr>
          </w:p>
        </w:tc>
        <w:tc>
          <w:tcPr>
            <w:tcW w:w="776" w:type="pct"/>
            <w:tcBorders>
              <w:top w:val="outset" w:sz="6" w:space="0" w:color="auto"/>
              <w:left w:val="outset" w:sz="6" w:space="0" w:color="auto"/>
              <w:bottom w:val="outset" w:sz="6" w:space="0" w:color="auto"/>
              <w:right w:val="outset" w:sz="6" w:space="0" w:color="auto"/>
            </w:tcBorders>
          </w:tcPr>
          <w:p w14:paraId="30D95CF0" w14:textId="77777777" w:rsidR="00B51AD9" w:rsidRDefault="00B51AD9" w:rsidP="00B51AD9">
            <w:pPr>
              <w:spacing w:line="256" w:lineRule="auto"/>
              <w:rPr>
                <w:szCs w:val="22"/>
                <w:lang w:eastAsia="en-US"/>
              </w:rPr>
            </w:pPr>
          </w:p>
        </w:tc>
        <w:tc>
          <w:tcPr>
            <w:tcW w:w="854" w:type="pct"/>
            <w:tcBorders>
              <w:top w:val="outset" w:sz="6" w:space="0" w:color="auto"/>
              <w:left w:val="outset" w:sz="6" w:space="0" w:color="auto"/>
              <w:bottom w:val="outset" w:sz="6" w:space="0" w:color="auto"/>
              <w:right w:val="outset" w:sz="6" w:space="0" w:color="auto"/>
            </w:tcBorders>
          </w:tcPr>
          <w:p w14:paraId="1DCF24D4" w14:textId="77777777" w:rsidR="00B51AD9" w:rsidRDefault="00B51AD9" w:rsidP="00B51AD9">
            <w:pPr>
              <w:spacing w:line="256" w:lineRule="auto"/>
              <w:rPr>
                <w:szCs w:val="22"/>
                <w:lang w:eastAsia="en-US"/>
              </w:rPr>
            </w:pPr>
          </w:p>
        </w:tc>
        <w:tc>
          <w:tcPr>
            <w:tcW w:w="855" w:type="pct"/>
            <w:tcBorders>
              <w:top w:val="outset" w:sz="6" w:space="0" w:color="auto"/>
              <w:left w:val="outset" w:sz="6" w:space="0" w:color="auto"/>
              <w:bottom w:val="outset" w:sz="6" w:space="0" w:color="auto"/>
              <w:right w:val="outset" w:sz="6" w:space="0" w:color="auto"/>
            </w:tcBorders>
          </w:tcPr>
          <w:p w14:paraId="2EC490FD" w14:textId="77777777" w:rsidR="00B51AD9" w:rsidRDefault="00B51AD9" w:rsidP="00B51AD9">
            <w:pPr>
              <w:spacing w:line="256" w:lineRule="auto"/>
              <w:rPr>
                <w:szCs w:val="22"/>
                <w:lang w:eastAsia="en-US"/>
              </w:rPr>
            </w:pPr>
          </w:p>
        </w:tc>
      </w:tr>
      <w:tr w:rsidR="00B51AD9" w14:paraId="5C171D34"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4A62B33E" w14:textId="77777777" w:rsidR="00B51AD9" w:rsidRPr="00116F85" w:rsidRDefault="00B51AD9" w:rsidP="00B51AD9">
            <w:pPr>
              <w:spacing w:line="256" w:lineRule="auto"/>
              <w:ind w:left="284"/>
              <w:rPr>
                <w:szCs w:val="22"/>
                <w:lang w:eastAsia="en-US"/>
              </w:rPr>
            </w:pPr>
            <w:r>
              <w:rPr>
                <w:szCs w:val="22"/>
                <w:lang w:eastAsia="en-US"/>
              </w:rPr>
              <w:t>Pykinimas</w:t>
            </w:r>
          </w:p>
        </w:tc>
        <w:tc>
          <w:tcPr>
            <w:tcW w:w="855" w:type="pct"/>
            <w:tcBorders>
              <w:top w:val="outset" w:sz="6" w:space="0" w:color="auto"/>
              <w:left w:val="outset" w:sz="6" w:space="0" w:color="auto"/>
              <w:bottom w:val="outset" w:sz="6" w:space="0" w:color="auto"/>
              <w:right w:val="outset" w:sz="6" w:space="0" w:color="auto"/>
            </w:tcBorders>
          </w:tcPr>
          <w:p w14:paraId="4783363A" w14:textId="3E6AFFE2" w:rsidR="00B51AD9" w:rsidRDefault="00B51AD9" w:rsidP="00B51AD9">
            <w:pPr>
              <w:spacing w:line="256" w:lineRule="auto"/>
              <w:jc w:val="center"/>
              <w:rPr>
                <w:b/>
                <w:kern w:val="28"/>
                <w:szCs w:val="22"/>
                <w:lang w:eastAsia="en-US"/>
              </w:rPr>
            </w:pPr>
            <w:r w:rsidRPr="009772CA">
              <w:rPr>
                <w:szCs w:val="22"/>
              </w:rPr>
              <w:t>124 (35</w:t>
            </w:r>
            <w:r w:rsidR="0027007B">
              <w:rPr>
                <w:szCs w:val="22"/>
              </w:rPr>
              <w:t>,</w:t>
            </w:r>
            <w:r w:rsidRPr="009772CA">
              <w:rPr>
                <w:szCs w:val="22"/>
              </w:rPr>
              <w:t>9)</w:t>
            </w:r>
          </w:p>
        </w:tc>
        <w:tc>
          <w:tcPr>
            <w:tcW w:w="776" w:type="pct"/>
            <w:tcBorders>
              <w:top w:val="outset" w:sz="6" w:space="0" w:color="auto"/>
              <w:left w:val="outset" w:sz="6" w:space="0" w:color="auto"/>
              <w:bottom w:val="outset" w:sz="6" w:space="0" w:color="auto"/>
              <w:right w:val="outset" w:sz="6" w:space="0" w:color="auto"/>
            </w:tcBorders>
          </w:tcPr>
          <w:p w14:paraId="0FC42DB5" w14:textId="68F92DBC" w:rsidR="00B51AD9" w:rsidRDefault="00B51AD9" w:rsidP="00B51AD9">
            <w:pPr>
              <w:spacing w:line="256" w:lineRule="auto"/>
              <w:jc w:val="center"/>
              <w:rPr>
                <w:szCs w:val="22"/>
                <w:lang w:eastAsia="en-US"/>
              </w:rPr>
            </w:pPr>
            <w:r w:rsidRPr="009772CA">
              <w:rPr>
                <w:szCs w:val="22"/>
              </w:rPr>
              <w:t>2 (0</w:t>
            </w:r>
            <w:r w:rsidR="0027007B">
              <w:rPr>
                <w:szCs w:val="22"/>
              </w:rPr>
              <w:t>,</w:t>
            </w:r>
            <w:r w:rsidRPr="009772CA">
              <w:rPr>
                <w:szCs w:val="22"/>
              </w:rPr>
              <w:t>6)</w:t>
            </w:r>
          </w:p>
        </w:tc>
        <w:tc>
          <w:tcPr>
            <w:tcW w:w="854" w:type="pct"/>
            <w:tcBorders>
              <w:top w:val="outset" w:sz="6" w:space="0" w:color="auto"/>
              <w:left w:val="outset" w:sz="6" w:space="0" w:color="auto"/>
              <w:bottom w:val="outset" w:sz="6" w:space="0" w:color="auto"/>
              <w:right w:val="outset" w:sz="6" w:space="0" w:color="auto"/>
            </w:tcBorders>
          </w:tcPr>
          <w:p w14:paraId="741A3C09" w14:textId="3A9CD1EE" w:rsidR="00B51AD9" w:rsidRDefault="00B51AD9" w:rsidP="00B51AD9">
            <w:pPr>
              <w:spacing w:line="256" w:lineRule="auto"/>
              <w:jc w:val="center"/>
              <w:rPr>
                <w:b/>
                <w:kern w:val="28"/>
                <w:szCs w:val="22"/>
                <w:lang w:eastAsia="en-US"/>
              </w:rPr>
            </w:pPr>
            <w:r w:rsidRPr="009772CA">
              <w:rPr>
                <w:szCs w:val="22"/>
              </w:rPr>
              <w:t>53</w:t>
            </w:r>
            <w:r w:rsidRPr="00B77163">
              <w:t xml:space="preserve"> </w:t>
            </w:r>
            <w:r w:rsidRPr="009772CA">
              <w:rPr>
                <w:szCs w:val="22"/>
              </w:rPr>
              <w:t>(30</w:t>
            </w:r>
            <w:r w:rsidR="0027007B">
              <w:rPr>
                <w:szCs w:val="22"/>
              </w:rPr>
              <w:t>,</w:t>
            </w:r>
            <w:r w:rsidRPr="009772CA">
              <w:rPr>
                <w:szCs w:val="22"/>
              </w:rPr>
              <w:t>8)</w:t>
            </w:r>
          </w:p>
        </w:tc>
        <w:tc>
          <w:tcPr>
            <w:tcW w:w="855" w:type="pct"/>
            <w:tcBorders>
              <w:top w:val="outset" w:sz="6" w:space="0" w:color="auto"/>
              <w:left w:val="outset" w:sz="6" w:space="0" w:color="auto"/>
              <w:bottom w:val="outset" w:sz="6" w:space="0" w:color="auto"/>
              <w:right w:val="outset" w:sz="6" w:space="0" w:color="auto"/>
            </w:tcBorders>
          </w:tcPr>
          <w:p w14:paraId="2D7E29D2" w14:textId="340A4A00" w:rsidR="00B51AD9" w:rsidRDefault="00B51AD9" w:rsidP="00B51AD9">
            <w:pPr>
              <w:spacing w:line="256" w:lineRule="auto"/>
              <w:jc w:val="center"/>
              <w:rPr>
                <w:b/>
                <w:kern w:val="28"/>
                <w:szCs w:val="22"/>
                <w:lang w:eastAsia="en-US"/>
              </w:rPr>
            </w:pPr>
            <w:r w:rsidRPr="009772CA">
              <w:rPr>
                <w:szCs w:val="22"/>
              </w:rPr>
              <w:t>1</w:t>
            </w:r>
            <w:r w:rsidRPr="0077444B">
              <w:t xml:space="preserve"> </w:t>
            </w:r>
            <w:r w:rsidRPr="009772CA">
              <w:rPr>
                <w:szCs w:val="22"/>
              </w:rPr>
              <w:t>(0</w:t>
            </w:r>
            <w:r w:rsidR="0027007B">
              <w:rPr>
                <w:szCs w:val="22"/>
              </w:rPr>
              <w:t>,</w:t>
            </w:r>
            <w:r w:rsidRPr="009772CA">
              <w:rPr>
                <w:szCs w:val="22"/>
              </w:rPr>
              <w:t>6)</w:t>
            </w:r>
          </w:p>
        </w:tc>
      </w:tr>
      <w:tr w:rsidR="00B51AD9" w14:paraId="23BA4D87"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7DC82B67" w14:textId="77777777" w:rsidR="00B51AD9" w:rsidRDefault="00B51AD9" w:rsidP="00B51AD9">
            <w:pPr>
              <w:spacing w:line="256" w:lineRule="auto"/>
              <w:ind w:left="284"/>
              <w:rPr>
                <w:szCs w:val="22"/>
                <w:lang w:eastAsia="en-US"/>
              </w:rPr>
            </w:pPr>
            <w:r>
              <w:rPr>
                <w:szCs w:val="22"/>
                <w:lang w:eastAsia="en-US"/>
              </w:rPr>
              <w:t>Burnos gleivinės uždegimas</w:t>
            </w:r>
            <w:r w:rsidRPr="00901F66">
              <w:rPr>
                <w:szCs w:val="22"/>
                <w:vertAlign w:val="superscript"/>
                <w:lang w:eastAsia="en-US"/>
              </w:rPr>
              <w:t>g</w:t>
            </w:r>
          </w:p>
        </w:tc>
        <w:tc>
          <w:tcPr>
            <w:tcW w:w="855" w:type="pct"/>
            <w:tcBorders>
              <w:top w:val="outset" w:sz="6" w:space="0" w:color="auto"/>
              <w:left w:val="outset" w:sz="6" w:space="0" w:color="auto"/>
              <w:bottom w:val="outset" w:sz="6" w:space="0" w:color="auto"/>
              <w:right w:val="outset" w:sz="6" w:space="0" w:color="auto"/>
            </w:tcBorders>
          </w:tcPr>
          <w:p w14:paraId="0336149E" w14:textId="76D92A6D" w:rsidR="00B51AD9" w:rsidRPr="00901F66" w:rsidRDefault="00B51AD9" w:rsidP="00B51AD9">
            <w:pPr>
              <w:spacing w:line="256" w:lineRule="auto"/>
              <w:jc w:val="center"/>
            </w:pPr>
            <w:r w:rsidRPr="009772CA">
              <w:rPr>
                <w:szCs w:val="22"/>
              </w:rPr>
              <w:t>104</w:t>
            </w:r>
            <w:r w:rsidRPr="00B77163">
              <w:t xml:space="preserve"> </w:t>
            </w:r>
            <w:r w:rsidRPr="009772CA">
              <w:rPr>
                <w:szCs w:val="22"/>
              </w:rPr>
              <w:t>(30</w:t>
            </w:r>
            <w:r w:rsidR="0027007B">
              <w:rPr>
                <w:szCs w:val="22"/>
              </w:rPr>
              <w:t>,</w:t>
            </w:r>
            <w:r w:rsidRPr="009772CA">
              <w:rPr>
                <w:szCs w:val="22"/>
              </w:rPr>
              <w:t>1)</w:t>
            </w:r>
          </w:p>
        </w:tc>
        <w:tc>
          <w:tcPr>
            <w:tcW w:w="776" w:type="pct"/>
            <w:tcBorders>
              <w:top w:val="outset" w:sz="6" w:space="0" w:color="auto"/>
              <w:left w:val="outset" w:sz="6" w:space="0" w:color="auto"/>
              <w:bottom w:val="outset" w:sz="6" w:space="0" w:color="auto"/>
              <w:right w:val="outset" w:sz="6" w:space="0" w:color="auto"/>
            </w:tcBorders>
          </w:tcPr>
          <w:p w14:paraId="4CC1B129" w14:textId="491AEF0C" w:rsidR="00B51AD9" w:rsidRPr="00901F66" w:rsidRDefault="00B51AD9" w:rsidP="00B51AD9">
            <w:pPr>
              <w:spacing w:line="256" w:lineRule="auto"/>
              <w:jc w:val="center"/>
            </w:pPr>
            <w:r w:rsidRPr="009772CA">
              <w:rPr>
                <w:szCs w:val="22"/>
              </w:rPr>
              <w:t>3</w:t>
            </w:r>
            <w:r w:rsidRPr="0077444B">
              <w:t xml:space="preserve"> </w:t>
            </w:r>
            <w:r w:rsidRPr="009772CA">
              <w:rPr>
                <w:szCs w:val="22"/>
              </w:rPr>
              <w:t>(0</w:t>
            </w:r>
            <w:r w:rsidR="0027007B">
              <w:rPr>
                <w:szCs w:val="22"/>
              </w:rPr>
              <w:t>,</w:t>
            </w:r>
            <w:r w:rsidRPr="009772CA">
              <w:rPr>
                <w:szCs w:val="22"/>
              </w:rPr>
              <w:t>9)</w:t>
            </w:r>
          </w:p>
        </w:tc>
        <w:tc>
          <w:tcPr>
            <w:tcW w:w="854" w:type="pct"/>
            <w:tcBorders>
              <w:top w:val="outset" w:sz="6" w:space="0" w:color="auto"/>
              <w:left w:val="outset" w:sz="6" w:space="0" w:color="auto"/>
              <w:bottom w:val="outset" w:sz="6" w:space="0" w:color="auto"/>
              <w:right w:val="outset" w:sz="6" w:space="0" w:color="auto"/>
            </w:tcBorders>
          </w:tcPr>
          <w:p w14:paraId="3DB661D7" w14:textId="025D1839" w:rsidR="00B51AD9" w:rsidRPr="00901F66" w:rsidRDefault="00B51AD9" w:rsidP="00B51AD9">
            <w:pPr>
              <w:spacing w:line="256" w:lineRule="auto"/>
              <w:jc w:val="center"/>
            </w:pPr>
            <w:r w:rsidRPr="009772CA">
              <w:rPr>
                <w:szCs w:val="22"/>
              </w:rPr>
              <w:t>24</w:t>
            </w:r>
            <w:r w:rsidRPr="00B77163">
              <w:t xml:space="preserve"> </w:t>
            </w:r>
            <w:r w:rsidRPr="009772CA">
              <w:rPr>
                <w:szCs w:val="22"/>
              </w:rPr>
              <w:t>(14</w:t>
            </w:r>
            <w:r w:rsidR="0027007B">
              <w:rPr>
                <w:szCs w:val="22"/>
              </w:rPr>
              <w:t>,</w:t>
            </w:r>
            <w:r w:rsidRPr="009772CA">
              <w:rPr>
                <w:szCs w:val="22"/>
              </w:rPr>
              <w:t>0)</w:t>
            </w:r>
          </w:p>
        </w:tc>
        <w:tc>
          <w:tcPr>
            <w:tcW w:w="855" w:type="pct"/>
            <w:tcBorders>
              <w:top w:val="outset" w:sz="6" w:space="0" w:color="auto"/>
              <w:left w:val="outset" w:sz="6" w:space="0" w:color="auto"/>
              <w:bottom w:val="outset" w:sz="6" w:space="0" w:color="auto"/>
              <w:right w:val="outset" w:sz="6" w:space="0" w:color="auto"/>
            </w:tcBorders>
          </w:tcPr>
          <w:p w14:paraId="18D44DD3" w14:textId="0B2B62C9" w:rsidR="00B51AD9" w:rsidRPr="00901F66" w:rsidRDefault="00B51AD9" w:rsidP="00B51AD9">
            <w:pPr>
              <w:keepNext/>
              <w:keepLines/>
              <w:tabs>
                <w:tab w:val="left" w:pos="567"/>
              </w:tabs>
              <w:spacing w:line="256" w:lineRule="auto"/>
              <w:ind w:left="567" w:hanging="567"/>
              <w:jc w:val="center"/>
              <w:outlineLvl w:val="2"/>
            </w:pPr>
            <w:r w:rsidRPr="009772CA">
              <w:rPr>
                <w:szCs w:val="22"/>
              </w:rPr>
              <w:t>0</w:t>
            </w:r>
          </w:p>
        </w:tc>
      </w:tr>
      <w:tr w:rsidR="00B51AD9" w14:paraId="3CCF1348"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3D3CFE86" w14:textId="77777777" w:rsidR="00B51AD9" w:rsidRDefault="00B51AD9" w:rsidP="00B51AD9">
            <w:pPr>
              <w:spacing w:line="256" w:lineRule="auto"/>
              <w:ind w:left="284"/>
              <w:rPr>
                <w:szCs w:val="22"/>
                <w:lang w:eastAsia="en-US"/>
              </w:rPr>
            </w:pPr>
            <w:r>
              <w:rPr>
                <w:szCs w:val="22"/>
                <w:lang w:eastAsia="en-US"/>
              </w:rPr>
              <w:t>Viduriavimas</w:t>
            </w:r>
          </w:p>
        </w:tc>
        <w:tc>
          <w:tcPr>
            <w:tcW w:w="855" w:type="pct"/>
            <w:tcBorders>
              <w:top w:val="outset" w:sz="6" w:space="0" w:color="auto"/>
              <w:left w:val="outset" w:sz="6" w:space="0" w:color="auto"/>
              <w:bottom w:val="outset" w:sz="6" w:space="0" w:color="auto"/>
              <w:right w:val="outset" w:sz="6" w:space="0" w:color="auto"/>
            </w:tcBorders>
          </w:tcPr>
          <w:p w14:paraId="67FD2348" w14:textId="22C3653A" w:rsidR="00B51AD9" w:rsidRPr="00901F66" w:rsidRDefault="00B51AD9" w:rsidP="00B51AD9">
            <w:pPr>
              <w:spacing w:line="256" w:lineRule="auto"/>
              <w:jc w:val="center"/>
            </w:pPr>
            <w:r w:rsidRPr="009772CA">
              <w:rPr>
                <w:szCs w:val="22"/>
              </w:rPr>
              <w:t>94</w:t>
            </w:r>
            <w:r w:rsidRPr="00B77163">
              <w:t xml:space="preserve"> </w:t>
            </w:r>
            <w:r w:rsidRPr="009772CA">
              <w:rPr>
                <w:szCs w:val="22"/>
              </w:rPr>
              <w:t>(27</w:t>
            </w:r>
            <w:r w:rsidR="0027007B">
              <w:rPr>
                <w:szCs w:val="22"/>
              </w:rPr>
              <w:t>,</w:t>
            </w:r>
            <w:r w:rsidRPr="009772CA">
              <w:rPr>
                <w:szCs w:val="22"/>
              </w:rPr>
              <w:t>2)</w:t>
            </w:r>
          </w:p>
        </w:tc>
        <w:tc>
          <w:tcPr>
            <w:tcW w:w="776" w:type="pct"/>
            <w:tcBorders>
              <w:top w:val="outset" w:sz="6" w:space="0" w:color="auto"/>
              <w:left w:val="outset" w:sz="6" w:space="0" w:color="auto"/>
              <w:bottom w:val="outset" w:sz="6" w:space="0" w:color="auto"/>
              <w:right w:val="outset" w:sz="6" w:space="0" w:color="auto"/>
            </w:tcBorders>
          </w:tcPr>
          <w:p w14:paraId="753F81BB" w14:textId="72D5293B" w:rsidR="00B51AD9" w:rsidRPr="00901F66" w:rsidRDefault="00B51AD9" w:rsidP="00B51AD9">
            <w:pPr>
              <w:keepNext/>
              <w:keepLines/>
              <w:tabs>
                <w:tab w:val="left" w:pos="567"/>
              </w:tabs>
              <w:spacing w:line="256" w:lineRule="auto"/>
              <w:ind w:left="567" w:hanging="567"/>
              <w:jc w:val="center"/>
              <w:outlineLvl w:val="2"/>
            </w:pPr>
            <w:r w:rsidRPr="009772CA">
              <w:rPr>
                <w:szCs w:val="22"/>
              </w:rPr>
              <w:t>0</w:t>
            </w:r>
          </w:p>
        </w:tc>
        <w:tc>
          <w:tcPr>
            <w:tcW w:w="854" w:type="pct"/>
            <w:tcBorders>
              <w:top w:val="outset" w:sz="6" w:space="0" w:color="auto"/>
              <w:left w:val="outset" w:sz="6" w:space="0" w:color="auto"/>
              <w:bottom w:val="outset" w:sz="6" w:space="0" w:color="auto"/>
              <w:right w:val="outset" w:sz="6" w:space="0" w:color="auto"/>
            </w:tcBorders>
          </w:tcPr>
          <w:p w14:paraId="2060D773" w14:textId="32D7B32D" w:rsidR="00B51AD9" w:rsidRPr="00901F66" w:rsidRDefault="00B51AD9" w:rsidP="00B51AD9">
            <w:pPr>
              <w:spacing w:line="256" w:lineRule="auto"/>
              <w:jc w:val="center"/>
            </w:pPr>
            <w:r w:rsidRPr="009772CA">
              <w:rPr>
                <w:szCs w:val="22"/>
              </w:rPr>
              <w:t>35</w:t>
            </w:r>
            <w:r w:rsidRPr="00B77163">
              <w:t xml:space="preserve"> </w:t>
            </w:r>
            <w:r w:rsidRPr="009772CA">
              <w:rPr>
                <w:szCs w:val="22"/>
              </w:rPr>
              <w:t>(20</w:t>
            </w:r>
            <w:r w:rsidR="0027007B">
              <w:rPr>
                <w:szCs w:val="22"/>
              </w:rPr>
              <w:t>,</w:t>
            </w:r>
            <w:r w:rsidRPr="009772CA">
              <w:rPr>
                <w:szCs w:val="22"/>
              </w:rPr>
              <w:t>3)</w:t>
            </w:r>
          </w:p>
        </w:tc>
        <w:tc>
          <w:tcPr>
            <w:tcW w:w="855" w:type="pct"/>
            <w:tcBorders>
              <w:top w:val="outset" w:sz="6" w:space="0" w:color="auto"/>
              <w:left w:val="outset" w:sz="6" w:space="0" w:color="auto"/>
              <w:bottom w:val="outset" w:sz="6" w:space="0" w:color="auto"/>
              <w:right w:val="outset" w:sz="6" w:space="0" w:color="auto"/>
            </w:tcBorders>
          </w:tcPr>
          <w:p w14:paraId="3E361BA3" w14:textId="0FE8294E" w:rsidR="00B51AD9" w:rsidRPr="00901F66" w:rsidRDefault="00B51AD9" w:rsidP="00B51AD9">
            <w:pPr>
              <w:spacing w:line="256" w:lineRule="auto"/>
              <w:jc w:val="center"/>
            </w:pPr>
            <w:r w:rsidRPr="009772CA">
              <w:rPr>
                <w:szCs w:val="22"/>
              </w:rPr>
              <w:t>2</w:t>
            </w:r>
            <w:r w:rsidRPr="0077444B">
              <w:t xml:space="preserve"> </w:t>
            </w:r>
            <w:r w:rsidRPr="009772CA">
              <w:rPr>
                <w:szCs w:val="22"/>
              </w:rPr>
              <w:t>(1</w:t>
            </w:r>
            <w:r w:rsidR="0027007B">
              <w:rPr>
                <w:szCs w:val="22"/>
              </w:rPr>
              <w:t>,</w:t>
            </w:r>
            <w:r w:rsidRPr="009772CA">
              <w:rPr>
                <w:szCs w:val="22"/>
              </w:rPr>
              <w:t>2)</w:t>
            </w:r>
          </w:p>
        </w:tc>
      </w:tr>
      <w:tr w:rsidR="00B51AD9" w14:paraId="313DC9E6"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6F238D8A" w14:textId="77777777" w:rsidR="00B51AD9" w:rsidRDefault="00B51AD9" w:rsidP="00B51AD9">
            <w:pPr>
              <w:spacing w:line="256" w:lineRule="auto"/>
              <w:ind w:left="284"/>
              <w:rPr>
                <w:szCs w:val="22"/>
                <w:lang w:eastAsia="en-US"/>
              </w:rPr>
            </w:pPr>
            <w:r>
              <w:rPr>
                <w:szCs w:val="22"/>
                <w:lang w:eastAsia="en-US"/>
              </w:rPr>
              <w:t>Vėmimas</w:t>
            </w:r>
          </w:p>
        </w:tc>
        <w:tc>
          <w:tcPr>
            <w:tcW w:w="855" w:type="pct"/>
            <w:tcBorders>
              <w:top w:val="outset" w:sz="6" w:space="0" w:color="auto"/>
              <w:left w:val="outset" w:sz="6" w:space="0" w:color="auto"/>
              <w:bottom w:val="outset" w:sz="6" w:space="0" w:color="auto"/>
              <w:right w:val="outset" w:sz="6" w:space="0" w:color="auto"/>
            </w:tcBorders>
          </w:tcPr>
          <w:p w14:paraId="41F9E5E9" w14:textId="26057165" w:rsidR="00B51AD9" w:rsidRPr="00901F66" w:rsidRDefault="00B51AD9" w:rsidP="00B51AD9">
            <w:pPr>
              <w:spacing w:line="256" w:lineRule="auto"/>
              <w:jc w:val="center"/>
            </w:pPr>
            <w:r w:rsidRPr="009772CA">
              <w:rPr>
                <w:szCs w:val="22"/>
              </w:rPr>
              <w:t>75</w:t>
            </w:r>
            <w:r w:rsidRPr="00B77163">
              <w:t xml:space="preserve"> </w:t>
            </w:r>
            <w:r w:rsidRPr="009772CA">
              <w:rPr>
                <w:szCs w:val="22"/>
              </w:rPr>
              <w:t>(21</w:t>
            </w:r>
            <w:r w:rsidR="0027007B">
              <w:rPr>
                <w:szCs w:val="22"/>
              </w:rPr>
              <w:t>,</w:t>
            </w:r>
            <w:r w:rsidRPr="009772CA">
              <w:rPr>
                <w:szCs w:val="22"/>
              </w:rPr>
              <w:t>7)</w:t>
            </w:r>
          </w:p>
        </w:tc>
        <w:tc>
          <w:tcPr>
            <w:tcW w:w="776" w:type="pct"/>
            <w:tcBorders>
              <w:top w:val="outset" w:sz="6" w:space="0" w:color="auto"/>
              <w:left w:val="outset" w:sz="6" w:space="0" w:color="auto"/>
              <w:bottom w:val="outset" w:sz="6" w:space="0" w:color="auto"/>
              <w:right w:val="outset" w:sz="6" w:space="0" w:color="auto"/>
            </w:tcBorders>
          </w:tcPr>
          <w:p w14:paraId="2AF6025F" w14:textId="07ABC29A" w:rsidR="00B51AD9" w:rsidRPr="00901F66" w:rsidRDefault="00B51AD9" w:rsidP="00B51AD9">
            <w:pPr>
              <w:spacing w:line="256" w:lineRule="auto"/>
              <w:jc w:val="center"/>
            </w:pPr>
            <w:r w:rsidRPr="009772CA">
              <w:rPr>
                <w:szCs w:val="22"/>
              </w:rPr>
              <w:t>2</w:t>
            </w:r>
            <w:r w:rsidRPr="0077444B">
              <w:t xml:space="preserve"> </w:t>
            </w:r>
            <w:r w:rsidRPr="009772CA">
              <w:rPr>
                <w:szCs w:val="22"/>
              </w:rPr>
              <w:t>(0</w:t>
            </w:r>
            <w:r w:rsidR="0027007B">
              <w:rPr>
                <w:szCs w:val="22"/>
              </w:rPr>
              <w:t>,</w:t>
            </w:r>
            <w:r w:rsidRPr="009772CA">
              <w:rPr>
                <w:szCs w:val="22"/>
              </w:rPr>
              <w:t>6)</w:t>
            </w:r>
          </w:p>
        </w:tc>
        <w:tc>
          <w:tcPr>
            <w:tcW w:w="854" w:type="pct"/>
            <w:tcBorders>
              <w:top w:val="outset" w:sz="6" w:space="0" w:color="auto"/>
              <w:left w:val="outset" w:sz="6" w:space="0" w:color="auto"/>
              <w:bottom w:val="outset" w:sz="6" w:space="0" w:color="auto"/>
              <w:right w:val="outset" w:sz="6" w:space="0" w:color="auto"/>
            </w:tcBorders>
          </w:tcPr>
          <w:p w14:paraId="3AC5D17A" w14:textId="7789E2BD" w:rsidR="00B51AD9" w:rsidRPr="00901F66" w:rsidRDefault="00B51AD9" w:rsidP="00B51AD9">
            <w:pPr>
              <w:spacing w:line="256" w:lineRule="auto"/>
              <w:jc w:val="center"/>
            </w:pPr>
            <w:r w:rsidRPr="009772CA">
              <w:rPr>
                <w:szCs w:val="22"/>
              </w:rPr>
              <w:t>28</w:t>
            </w:r>
            <w:r w:rsidRPr="00B77163">
              <w:t xml:space="preserve"> </w:t>
            </w:r>
            <w:r w:rsidRPr="009772CA">
              <w:rPr>
                <w:szCs w:val="22"/>
              </w:rPr>
              <w:t>(16</w:t>
            </w:r>
            <w:r w:rsidR="0027007B">
              <w:rPr>
                <w:szCs w:val="22"/>
              </w:rPr>
              <w:t>,</w:t>
            </w:r>
            <w:r w:rsidRPr="009772CA">
              <w:rPr>
                <w:szCs w:val="22"/>
              </w:rPr>
              <w:t>3)</w:t>
            </w:r>
          </w:p>
        </w:tc>
        <w:tc>
          <w:tcPr>
            <w:tcW w:w="855" w:type="pct"/>
            <w:tcBorders>
              <w:top w:val="outset" w:sz="6" w:space="0" w:color="auto"/>
              <w:left w:val="outset" w:sz="6" w:space="0" w:color="auto"/>
              <w:bottom w:val="outset" w:sz="6" w:space="0" w:color="auto"/>
              <w:right w:val="outset" w:sz="6" w:space="0" w:color="auto"/>
            </w:tcBorders>
          </w:tcPr>
          <w:p w14:paraId="5201FC6D" w14:textId="6E9A5FD1" w:rsidR="00B51AD9" w:rsidRPr="00901F66" w:rsidRDefault="00B51AD9" w:rsidP="00B51AD9">
            <w:pPr>
              <w:spacing w:line="256" w:lineRule="auto"/>
              <w:jc w:val="center"/>
            </w:pPr>
            <w:r w:rsidRPr="009772CA">
              <w:rPr>
                <w:szCs w:val="22"/>
              </w:rPr>
              <w:t>1</w:t>
            </w:r>
            <w:r w:rsidRPr="0077444B">
              <w:t xml:space="preserve"> </w:t>
            </w:r>
            <w:r w:rsidRPr="009772CA">
              <w:rPr>
                <w:szCs w:val="22"/>
              </w:rPr>
              <w:t>(0</w:t>
            </w:r>
            <w:r w:rsidR="0027007B">
              <w:rPr>
                <w:szCs w:val="22"/>
              </w:rPr>
              <w:t>,</w:t>
            </w:r>
            <w:r w:rsidRPr="009772CA">
              <w:rPr>
                <w:szCs w:val="22"/>
              </w:rPr>
              <w:t>6)</w:t>
            </w:r>
          </w:p>
        </w:tc>
      </w:tr>
      <w:tr w:rsidR="00B51AD9" w14:paraId="3E543CB6" w14:textId="77777777" w:rsidTr="00901F66">
        <w:trPr>
          <w:gridAfter w:val="1"/>
          <w:wAfter w:w="5" w:type="pct"/>
          <w:tblCellSpacing w:w="0" w:type="dxa"/>
        </w:trPr>
        <w:tc>
          <w:tcPr>
            <w:tcW w:w="4995" w:type="pct"/>
            <w:gridSpan w:val="5"/>
            <w:tcBorders>
              <w:top w:val="outset" w:sz="6" w:space="0" w:color="auto"/>
              <w:left w:val="outset" w:sz="6" w:space="0" w:color="auto"/>
              <w:bottom w:val="outset" w:sz="6" w:space="0" w:color="auto"/>
              <w:right w:val="outset" w:sz="6" w:space="0" w:color="auto"/>
            </w:tcBorders>
            <w:hideMark/>
          </w:tcPr>
          <w:p w14:paraId="2A775067" w14:textId="77777777" w:rsidR="00B51AD9" w:rsidRPr="00116F85" w:rsidRDefault="00B51AD9" w:rsidP="00B51AD9">
            <w:pPr>
              <w:spacing w:line="256" w:lineRule="auto"/>
              <w:rPr>
                <w:b/>
                <w:szCs w:val="22"/>
                <w:lang w:eastAsia="en-US"/>
              </w:rPr>
            </w:pPr>
            <w:r>
              <w:rPr>
                <w:b/>
                <w:szCs w:val="22"/>
                <w:lang w:eastAsia="en-US"/>
              </w:rPr>
              <w:t>Odos ir poodinio audinio sutrikimai</w:t>
            </w:r>
          </w:p>
        </w:tc>
      </w:tr>
      <w:tr w:rsidR="00B51AD9" w14:paraId="13FD64D9"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hideMark/>
          </w:tcPr>
          <w:p w14:paraId="40A9DBEC" w14:textId="77777777" w:rsidR="00B51AD9" w:rsidRPr="00116F85" w:rsidRDefault="00B51AD9" w:rsidP="00B51AD9">
            <w:pPr>
              <w:spacing w:line="256" w:lineRule="auto"/>
              <w:rPr>
                <w:i/>
                <w:szCs w:val="22"/>
                <w:lang w:eastAsia="en-US"/>
              </w:rPr>
            </w:pPr>
            <w:r w:rsidRPr="00116F85">
              <w:rPr>
                <w:i/>
                <w:szCs w:val="22"/>
                <w:lang w:eastAsia="en-US"/>
              </w:rPr>
              <w:t>Labai dažnas</w:t>
            </w:r>
          </w:p>
        </w:tc>
        <w:tc>
          <w:tcPr>
            <w:tcW w:w="855" w:type="pct"/>
            <w:tcBorders>
              <w:top w:val="outset" w:sz="6" w:space="0" w:color="auto"/>
              <w:left w:val="outset" w:sz="6" w:space="0" w:color="auto"/>
              <w:bottom w:val="outset" w:sz="6" w:space="0" w:color="auto"/>
              <w:right w:val="outset" w:sz="6" w:space="0" w:color="auto"/>
            </w:tcBorders>
          </w:tcPr>
          <w:p w14:paraId="4F66C35A" w14:textId="77777777" w:rsidR="00B51AD9" w:rsidRDefault="00B51AD9" w:rsidP="00B51AD9">
            <w:pPr>
              <w:spacing w:line="256" w:lineRule="auto"/>
              <w:rPr>
                <w:szCs w:val="22"/>
                <w:lang w:eastAsia="en-US"/>
              </w:rPr>
            </w:pPr>
          </w:p>
        </w:tc>
        <w:tc>
          <w:tcPr>
            <w:tcW w:w="776" w:type="pct"/>
            <w:tcBorders>
              <w:top w:val="outset" w:sz="6" w:space="0" w:color="auto"/>
              <w:left w:val="outset" w:sz="6" w:space="0" w:color="auto"/>
              <w:bottom w:val="outset" w:sz="6" w:space="0" w:color="auto"/>
              <w:right w:val="outset" w:sz="6" w:space="0" w:color="auto"/>
            </w:tcBorders>
          </w:tcPr>
          <w:p w14:paraId="34612CA3" w14:textId="77777777" w:rsidR="00B51AD9" w:rsidRDefault="00B51AD9" w:rsidP="00B51AD9">
            <w:pPr>
              <w:spacing w:line="256" w:lineRule="auto"/>
              <w:rPr>
                <w:szCs w:val="22"/>
                <w:lang w:eastAsia="en-US"/>
              </w:rPr>
            </w:pPr>
          </w:p>
        </w:tc>
        <w:tc>
          <w:tcPr>
            <w:tcW w:w="854" w:type="pct"/>
            <w:tcBorders>
              <w:top w:val="outset" w:sz="6" w:space="0" w:color="auto"/>
              <w:left w:val="outset" w:sz="6" w:space="0" w:color="auto"/>
              <w:bottom w:val="outset" w:sz="6" w:space="0" w:color="auto"/>
              <w:right w:val="outset" w:sz="6" w:space="0" w:color="auto"/>
            </w:tcBorders>
          </w:tcPr>
          <w:p w14:paraId="0EFA33FF" w14:textId="77777777" w:rsidR="00B51AD9" w:rsidRDefault="00B51AD9" w:rsidP="00B51AD9">
            <w:pPr>
              <w:spacing w:line="256" w:lineRule="auto"/>
              <w:rPr>
                <w:szCs w:val="22"/>
                <w:lang w:eastAsia="en-US"/>
              </w:rPr>
            </w:pPr>
          </w:p>
        </w:tc>
        <w:tc>
          <w:tcPr>
            <w:tcW w:w="855" w:type="pct"/>
            <w:tcBorders>
              <w:top w:val="outset" w:sz="6" w:space="0" w:color="auto"/>
              <w:left w:val="outset" w:sz="6" w:space="0" w:color="auto"/>
              <w:bottom w:val="outset" w:sz="6" w:space="0" w:color="auto"/>
              <w:right w:val="outset" w:sz="6" w:space="0" w:color="auto"/>
            </w:tcBorders>
          </w:tcPr>
          <w:p w14:paraId="2FA97BC1" w14:textId="77777777" w:rsidR="00B51AD9" w:rsidRDefault="00B51AD9" w:rsidP="00B51AD9">
            <w:pPr>
              <w:spacing w:line="256" w:lineRule="auto"/>
              <w:rPr>
                <w:szCs w:val="22"/>
                <w:lang w:eastAsia="en-US"/>
              </w:rPr>
            </w:pPr>
          </w:p>
        </w:tc>
      </w:tr>
      <w:tr w:rsidR="00B51AD9" w14:paraId="6988F345"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7B12821D" w14:textId="77777777" w:rsidR="00B51AD9" w:rsidRPr="00116F85" w:rsidRDefault="00B51AD9" w:rsidP="00B51AD9">
            <w:pPr>
              <w:spacing w:line="256" w:lineRule="auto"/>
              <w:ind w:left="284"/>
              <w:rPr>
                <w:szCs w:val="22"/>
                <w:lang w:eastAsia="en-US"/>
              </w:rPr>
            </w:pPr>
            <w:r>
              <w:rPr>
                <w:szCs w:val="22"/>
                <w:lang w:eastAsia="en-US"/>
              </w:rPr>
              <w:t>Nuplikimas</w:t>
            </w:r>
          </w:p>
        </w:tc>
        <w:tc>
          <w:tcPr>
            <w:tcW w:w="855" w:type="pct"/>
            <w:tcBorders>
              <w:top w:val="outset" w:sz="6" w:space="0" w:color="auto"/>
              <w:left w:val="outset" w:sz="6" w:space="0" w:color="auto"/>
              <w:bottom w:val="outset" w:sz="6" w:space="0" w:color="auto"/>
              <w:right w:val="outset" w:sz="6" w:space="0" w:color="auto"/>
            </w:tcBorders>
          </w:tcPr>
          <w:p w14:paraId="101695F6" w14:textId="66D59CA0" w:rsidR="00B51AD9" w:rsidRDefault="00B51AD9" w:rsidP="00B51AD9">
            <w:pPr>
              <w:spacing w:line="256" w:lineRule="auto"/>
              <w:jc w:val="center"/>
              <w:rPr>
                <w:b/>
                <w:kern w:val="28"/>
                <w:szCs w:val="22"/>
                <w:lang w:eastAsia="en-US"/>
              </w:rPr>
            </w:pPr>
            <w:r w:rsidRPr="009772CA">
              <w:rPr>
                <w:szCs w:val="22"/>
              </w:rPr>
              <w:t>67</w:t>
            </w:r>
            <w:r w:rsidRPr="00B77163">
              <w:t xml:space="preserve"> </w:t>
            </w:r>
            <w:r w:rsidRPr="009772CA">
              <w:rPr>
                <w:szCs w:val="22"/>
              </w:rPr>
              <w:t>(19</w:t>
            </w:r>
            <w:r w:rsidR="00A175D3">
              <w:rPr>
                <w:szCs w:val="22"/>
              </w:rPr>
              <w:t>,</w:t>
            </w:r>
            <w:r w:rsidRPr="009772CA">
              <w:rPr>
                <w:szCs w:val="22"/>
              </w:rPr>
              <w:t>4)</w:t>
            </w:r>
          </w:p>
        </w:tc>
        <w:tc>
          <w:tcPr>
            <w:tcW w:w="776" w:type="pct"/>
            <w:tcBorders>
              <w:top w:val="outset" w:sz="6" w:space="0" w:color="auto"/>
              <w:left w:val="outset" w:sz="6" w:space="0" w:color="auto"/>
              <w:bottom w:val="outset" w:sz="6" w:space="0" w:color="auto"/>
              <w:right w:val="outset" w:sz="6" w:space="0" w:color="auto"/>
            </w:tcBorders>
          </w:tcPr>
          <w:p w14:paraId="4D83C8EC" w14:textId="2BE68AFB" w:rsidR="00B51AD9" w:rsidRDefault="00B51AD9" w:rsidP="00B51AD9">
            <w:pPr>
              <w:spacing w:line="256" w:lineRule="auto"/>
              <w:jc w:val="center"/>
              <w:rPr>
                <w:szCs w:val="22"/>
                <w:lang w:eastAsia="en-US"/>
              </w:rPr>
            </w:pPr>
            <w:r w:rsidRPr="009772CA">
              <w:rPr>
                <w:szCs w:val="22"/>
              </w:rPr>
              <w:t>NA</w:t>
            </w:r>
          </w:p>
        </w:tc>
        <w:tc>
          <w:tcPr>
            <w:tcW w:w="854" w:type="pct"/>
            <w:tcBorders>
              <w:top w:val="outset" w:sz="6" w:space="0" w:color="auto"/>
              <w:left w:val="outset" w:sz="6" w:space="0" w:color="auto"/>
              <w:bottom w:val="outset" w:sz="6" w:space="0" w:color="auto"/>
              <w:right w:val="outset" w:sz="6" w:space="0" w:color="auto"/>
            </w:tcBorders>
          </w:tcPr>
          <w:p w14:paraId="53BFD54F" w14:textId="08D41F21" w:rsidR="00B51AD9" w:rsidRDefault="00B51AD9" w:rsidP="00B51AD9">
            <w:pPr>
              <w:spacing w:line="256" w:lineRule="auto"/>
              <w:jc w:val="center"/>
              <w:rPr>
                <w:b/>
                <w:kern w:val="28"/>
                <w:szCs w:val="22"/>
                <w:lang w:eastAsia="en-US"/>
              </w:rPr>
            </w:pPr>
            <w:r w:rsidRPr="009772CA">
              <w:rPr>
                <w:szCs w:val="22"/>
              </w:rPr>
              <w:t>11</w:t>
            </w:r>
            <w:r w:rsidRPr="0077444B">
              <w:t xml:space="preserve"> </w:t>
            </w:r>
            <w:r w:rsidRPr="009772CA">
              <w:rPr>
                <w:szCs w:val="22"/>
              </w:rPr>
              <w:t>(6</w:t>
            </w:r>
            <w:r w:rsidR="00A175D3">
              <w:rPr>
                <w:szCs w:val="22"/>
              </w:rPr>
              <w:t>,</w:t>
            </w:r>
            <w:r w:rsidRPr="009772CA">
              <w:rPr>
                <w:szCs w:val="22"/>
              </w:rPr>
              <w:t>4)</w:t>
            </w:r>
          </w:p>
        </w:tc>
        <w:tc>
          <w:tcPr>
            <w:tcW w:w="855" w:type="pct"/>
            <w:tcBorders>
              <w:top w:val="outset" w:sz="6" w:space="0" w:color="auto"/>
              <w:left w:val="outset" w:sz="6" w:space="0" w:color="auto"/>
              <w:bottom w:val="outset" w:sz="6" w:space="0" w:color="auto"/>
              <w:right w:val="outset" w:sz="6" w:space="0" w:color="auto"/>
            </w:tcBorders>
          </w:tcPr>
          <w:p w14:paraId="01670DCC" w14:textId="466E8564" w:rsidR="00B51AD9" w:rsidRDefault="00B51AD9" w:rsidP="00B51AD9">
            <w:pPr>
              <w:spacing w:line="256" w:lineRule="auto"/>
              <w:jc w:val="center"/>
              <w:rPr>
                <w:szCs w:val="22"/>
                <w:lang w:eastAsia="en-US"/>
              </w:rPr>
            </w:pPr>
            <w:r w:rsidRPr="009772CA">
              <w:rPr>
                <w:szCs w:val="22"/>
              </w:rPr>
              <w:t>NA</w:t>
            </w:r>
          </w:p>
        </w:tc>
      </w:tr>
      <w:tr w:rsidR="00B51AD9" w14:paraId="71DF2506"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45E985B2" w14:textId="77777777" w:rsidR="00B51AD9" w:rsidRDefault="00B51AD9" w:rsidP="00B51AD9">
            <w:pPr>
              <w:spacing w:line="256" w:lineRule="auto"/>
              <w:ind w:left="284"/>
              <w:rPr>
                <w:b/>
                <w:kern w:val="28"/>
                <w:szCs w:val="22"/>
                <w:lang w:eastAsia="en-US"/>
              </w:rPr>
            </w:pPr>
            <w:r>
              <w:rPr>
                <w:szCs w:val="22"/>
                <w:lang w:eastAsia="en-US"/>
              </w:rPr>
              <w:t>Išbėrimas</w:t>
            </w:r>
            <w:r>
              <w:rPr>
                <w:szCs w:val="22"/>
                <w:vertAlign w:val="superscript"/>
                <w:lang w:eastAsia="en-US"/>
              </w:rPr>
              <w:t>h</w:t>
            </w:r>
          </w:p>
        </w:tc>
        <w:tc>
          <w:tcPr>
            <w:tcW w:w="855" w:type="pct"/>
            <w:tcBorders>
              <w:top w:val="outset" w:sz="6" w:space="0" w:color="auto"/>
              <w:left w:val="outset" w:sz="6" w:space="0" w:color="auto"/>
              <w:bottom w:val="outset" w:sz="6" w:space="0" w:color="auto"/>
              <w:right w:val="outset" w:sz="6" w:space="0" w:color="auto"/>
            </w:tcBorders>
          </w:tcPr>
          <w:p w14:paraId="2ABAC49F" w14:textId="25BAD398" w:rsidR="00B51AD9" w:rsidRPr="00116F85" w:rsidRDefault="00B51AD9" w:rsidP="00B51AD9">
            <w:pPr>
              <w:spacing w:line="256" w:lineRule="auto"/>
              <w:jc w:val="center"/>
              <w:rPr>
                <w:b/>
                <w:kern w:val="28"/>
              </w:rPr>
            </w:pPr>
            <w:r w:rsidRPr="009772CA">
              <w:rPr>
                <w:szCs w:val="22"/>
              </w:rPr>
              <w:t>63</w:t>
            </w:r>
            <w:r w:rsidRPr="00B77163">
              <w:t xml:space="preserve"> </w:t>
            </w:r>
            <w:r w:rsidRPr="009772CA">
              <w:rPr>
                <w:szCs w:val="22"/>
              </w:rPr>
              <w:t>(18</w:t>
            </w:r>
            <w:r w:rsidR="00A175D3">
              <w:rPr>
                <w:szCs w:val="22"/>
              </w:rPr>
              <w:t>,</w:t>
            </w:r>
            <w:r w:rsidRPr="009772CA">
              <w:rPr>
                <w:szCs w:val="22"/>
              </w:rPr>
              <w:t>3)</w:t>
            </w:r>
          </w:p>
        </w:tc>
        <w:tc>
          <w:tcPr>
            <w:tcW w:w="776" w:type="pct"/>
            <w:tcBorders>
              <w:top w:val="outset" w:sz="6" w:space="0" w:color="auto"/>
              <w:left w:val="outset" w:sz="6" w:space="0" w:color="auto"/>
              <w:bottom w:val="outset" w:sz="6" w:space="0" w:color="auto"/>
              <w:right w:val="outset" w:sz="6" w:space="0" w:color="auto"/>
            </w:tcBorders>
          </w:tcPr>
          <w:p w14:paraId="5A15E220" w14:textId="398B8E13" w:rsidR="00B51AD9" w:rsidRPr="00116F85" w:rsidRDefault="00B51AD9" w:rsidP="00B51AD9">
            <w:pPr>
              <w:spacing w:line="256" w:lineRule="auto"/>
              <w:jc w:val="center"/>
              <w:rPr>
                <w:b/>
                <w:kern w:val="28"/>
              </w:rPr>
            </w:pPr>
            <w:r w:rsidRPr="009772CA">
              <w:rPr>
                <w:szCs w:val="22"/>
              </w:rPr>
              <w:t>3</w:t>
            </w:r>
            <w:r w:rsidRPr="0077444B">
              <w:t xml:space="preserve"> </w:t>
            </w:r>
            <w:r w:rsidRPr="009772CA">
              <w:rPr>
                <w:szCs w:val="22"/>
              </w:rPr>
              <w:t>(0</w:t>
            </w:r>
            <w:r w:rsidR="00A175D3">
              <w:rPr>
                <w:szCs w:val="22"/>
              </w:rPr>
              <w:t>,</w:t>
            </w:r>
            <w:r w:rsidRPr="009772CA">
              <w:rPr>
                <w:szCs w:val="22"/>
              </w:rPr>
              <w:t>9)</w:t>
            </w:r>
          </w:p>
        </w:tc>
        <w:tc>
          <w:tcPr>
            <w:tcW w:w="854" w:type="pct"/>
            <w:tcBorders>
              <w:top w:val="outset" w:sz="6" w:space="0" w:color="auto"/>
              <w:left w:val="outset" w:sz="6" w:space="0" w:color="auto"/>
              <w:bottom w:val="outset" w:sz="6" w:space="0" w:color="auto"/>
              <w:right w:val="outset" w:sz="6" w:space="0" w:color="auto"/>
            </w:tcBorders>
          </w:tcPr>
          <w:p w14:paraId="1490C1B7" w14:textId="08B8E22C" w:rsidR="00B51AD9" w:rsidRPr="00116F85" w:rsidRDefault="00B51AD9" w:rsidP="00B51AD9">
            <w:pPr>
              <w:spacing w:line="256" w:lineRule="auto"/>
              <w:jc w:val="center"/>
              <w:rPr>
                <w:b/>
                <w:kern w:val="28"/>
              </w:rPr>
            </w:pPr>
            <w:r w:rsidRPr="009772CA">
              <w:rPr>
                <w:szCs w:val="22"/>
              </w:rPr>
              <w:t>10</w:t>
            </w:r>
            <w:r w:rsidRPr="00B77163">
              <w:t xml:space="preserve"> </w:t>
            </w:r>
            <w:r w:rsidRPr="009772CA">
              <w:rPr>
                <w:szCs w:val="22"/>
              </w:rPr>
              <w:t>(5</w:t>
            </w:r>
            <w:r w:rsidR="001B6C56">
              <w:rPr>
                <w:szCs w:val="22"/>
              </w:rPr>
              <w:t>,</w:t>
            </w:r>
            <w:r w:rsidRPr="009772CA">
              <w:rPr>
                <w:szCs w:val="22"/>
              </w:rPr>
              <w:t>8)</w:t>
            </w:r>
          </w:p>
        </w:tc>
        <w:tc>
          <w:tcPr>
            <w:tcW w:w="855" w:type="pct"/>
            <w:tcBorders>
              <w:top w:val="outset" w:sz="6" w:space="0" w:color="auto"/>
              <w:left w:val="outset" w:sz="6" w:space="0" w:color="auto"/>
              <w:bottom w:val="outset" w:sz="6" w:space="0" w:color="auto"/>
              <w:right w:val="outset" w:sz="6" w:space="0" w:color="auto"/>
            </w:tcBorders>
          </w:tcPr>
          <w:p w14:paraId="10644607" w14:textId="4828A347" w:rsidR="00B51AD9" w:rsidRPr="00116F85" w:rsidRDefault="00B51AD9" w:rsidP="00B51AD9">
            <w:pPr>
              <w:spacing w:line="256" w:lineRule="auto"/>
              <w:jc w:val="center"/>
            </w:pPr>
            <w:r w:rsidRPr="009772CA">
              <w:rPr>
                <w:szCs w:val="22"/>
              </w:rPr>
              <w:t>0</w:t>
            </w:r>
          </w:p>
        </w:tc>
      </w:tr>
      <w:tr w:rsidR="00B51AD9" w14:paraId="602332EF"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189C5703" w14:textId="77777777" w:rsidR="00B51AD9" w:rsidRPr="00901F66" w:rsidRDefault="00B51AD9" w:rsidP="00B51AD9">
            <w:pPr>
              <w:spacing w:line="256" w:lineRule="auto"/>
              <w:rPr>
                <w:i/>
                <w:szCs w:val="22"/>
                <w:lang w:eastAsia="en-US"/>
              </w:rPr>
            </w:pPr>
            <w:r w:rsidRPr="00901F66">
              <w:rPr>
                <w:i/>
                <w:szCs w:val="22"/>
                <w:lang w:eastAsia="en-US"/>
              </w:rPr>
              <w:t>Dažnas</w:t>
            </w:r>
          </w:p>
        </w:tc>
        <w:tc>
          <w:tcPr>
            <w:tcW w:w="855" w:type="pct"/>
            <w:tcBorders>
              <w:top w:val="outset" w:sz="6" w:space="0" w:color="auto"/>
              <w:left w:val="outset" w:sz="6" w:space="0" w:color="auto"/>
              <w:bottom w:val="outset" w:sz="6" w:space="0" w:color="auto"/>
              <w:right w:val="outset" w:sz="6" w:space="0" w:color="auto"/>
            </w:tcBorders>
          </w:tcPr>
          <w:p w14:paraId="40C2BD12" w14:textId="77777777" w:rsidR="00B51AD9" w:rsidRPr="00116F85" w:rsidRDefault="00B51AD9" w:rsidP="00B51AD9">
            <w:pPr>
              <w:spacing w:line="256" w:lineRule="auto"/>
              <w:jc w:val="center"/>
            </w:pPr>
          </w:p>
        </w:tc>
        <w:tc>
          <w:tcPr>
            <w:tcW w:w="776" w:type="pct"/>
            <w:tcBorders>
              <w:top w:val="outset" w:sz="6" w:space="0" w:color="auto"/>
              <w:left w:val="outset" w:sz="6" w:space="0" w:color="auto"/>
              <w:bottom w:val="outset" w:sz="6" w:space="0" w:color="auto"/>
              <w:right w:val="outset" w:sz="6" w:space="0" w:color="auto"/>
            </w:tcBorders>
          </w:tcPr>
          <w:p w14:paraId="09DC311C" w14:textId="77777777" w:rsidR="00B51AD9" w:rsidRPr="00116F85" w:rsidRDefault="00B51AD9" w:rsidP="00B51AD9">
            <w:pPr>
              <w:spacing w:line="256" w:lineRule="auto"/>
              <w:jc w:val="center"/>
            </w:pPr>
          </w:p>
        </w:tc>
        <w:tc>
          <w:tcPr>
            <w:tcW w:w="854" w:type="pct"/>
            <w:tcBorders>
              <w:top w:val="outset" w:sz="6" w:space="0" w:color="auto"/>
              <w:left w:val="outset" w:sz="6" w:space="0" w:color="auto"/>
              <w:bottom w:val="outset" w:sz="6" w:space="0" w:color="auto"/>
              <w:right w:val="outset" w:sz="6" w:space="0" w:color="auto"/>
            </w:tcBorders>
          </w:tcPr>
          <w:p w14:paraId="5F54C348" w14:textId="77777777" w:rsidR="00B51AD9" w:rsidRPr="00116F85" w:rsidRDefault="00B51AD9" w:rsidP="00B51AD9">
            <w:pPr>
              <w:spacing w:line="256" w:lineRule="auto"/>
              <w:jc w:val="center"/>
            </w:pPr>
          </w:p>
        </w:tc>
        <w:tc>
          <w:tcPr>
            <w:tcW w:w="855" w:type="pct"/>
            <w:tcBorders>
              <w:top w:val="outset" w:sz="6" w:space="0" w:color="auto"/>
              <w:left w:val="outset" w:sz="6" w:space="0" w:color="auto"/>
              <w:bottom w:val="outset" w:sz="6" w:space="0" w:color="auto"/>
              <w:right w:val="outset" w:sz="6" w:space="0" w:color="auto"/>
            </w:tcBorders>
          </w:tcPr>
          <w:p w14:paraId="51D47F44" w14:textId="77777777" w:rsidR="00B51AD9" w:rsidRPr="00116F85" w:rsidRDefault="00B51AD9" w:rsidP="00B51AD9">
            <w:pPr>
              <w:spacing w:line="256" w:lineRule="auto"/>
              <w:jc w:val="center"/>
            </w:pPr>
          </w:p>
        </w:tc>
      </w:tr>
      <w:tr w:rsidR="00B51AD9" w14:paraId="2F5075F1"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4165F5DB" w14:textId="77777777" w:rsidR="00B51AD9" w:rsidRDefault="00B51AD9" w:rsidP="00B51AD9">
            <w:pPr>
              <w:spacing w:line="256" w:lineRule="auto"/>
              <w:ind w:left="284"/>
              <w:rPr>
                <w:szCs w:val="22"/>
                <w:lang w:eastAsia="en-US"/>
              </w:rPr>
            </w:pPr>
            <w:r>
              <w:rPr>
                <w:szCs w:val="22"/>
                <w:lang w:eastAsia="en-US"/>
              </w:rPr>
              <w:t>Odos sausumas</w:t>
            </w:r>
          </w:p>
        </w:tc>
        <w:tc>
          <w:tcPr>
            <w:tcW w:w="855" w:type="pct"/>
            <w:tcBorders>
              <w:top w:val="outset" w:sz="6" w:space="0" w:color="auto"/>
              <w:left w:val="outset" w:sz="6" w:space="0" w:color="auto"/>
              <w:bottom w:val="outset" w:sz="6" w:space="0" w:color="auto"/>
              <w:right w:val="outset" w:sz="6" w:space="0" w:color="auto"/>
            </w:tcBorders>
          </w:tcPr>
          <w:p w14:paraId="7F95B622" w14:textId="38AB4A18" w:rsidR="00B51AD9" w:rsidRPr="00901F66" w:rsidRDefault="00B51AD9" w:rsidP="00B51AD9">
            <w:pPr>
              <w:spacing w:line="256" w:lineRule="auto"/>
              <w:jc w:val="center"/>
            </w:pPr>
            <w:r w:rsidRPr="009772CA">
              <w:rPr>
                <w:szCs w:val="22"/>
              </w:rPr>
              <w:t>28</w:t>
            </w:r>
            <w:r w:rsidRPr="00B77163">
              <w:t xml:space="preserve"> </w:t>
            </w:r>
            <w:r w:rsidRPr="009772CA">
              <w:rPr>
                <w:szCs w:val="22"/>
              </w:rPr>
              <w:t>(8</w:t>
            </w:r>
            <w:r w:rsidR="001B6C56">
              <w:rPr>
                <w:szCs w:val="22"/>
              </w:rPr>
              <w:t>,</w:t>
            </w:r>
            <w:r w:rsidRPr="009772CA">
              <w:rPr>
                <w:szCs w:val="22"/>
              </w:rPr>
              <w:t>1)</w:t>
            </w:r>
          </w:p>
        </w:tc>
        <w:tc>
          <w:tcPr>
            <w:tcW w:w="776" w:type="pct"/>
            <w:tcBorders>
              <w:top w:val="outset" w:sz="6" w:space="0" w:color="auto"/>
              <w:left w:val="outset" w:sz="6" w:space="0" w:color="auto"/>
              <w:bottom w:val="outset" w:sz="6" w:space="0" w:color="auto"/>
              <w:right w:val="outset" w:sz="6" w:space="0" w:color="auto"/>
            </w:tcBorders>
          </w:tcPr>
          <w:p w14:paraId="2D7945EA" w14:textId="4E60E500" w:rsidR="00B51AD9" w:rsidRPr="00901F66" w:rsidRDefault="00B51AD9" w:rsidP="00B51AD9">
            <w:pPr>
              <w:keepNext/>
              <w:keepLines/>
              <w:tabs>
                <w:tab w:val="left" w:pos="567"/>
              </w:tabs>
              <w:spacing w:line="256" w:lineRule="auto"/>
              <w:ind w:left="567" w:hanging="567"/>
              <w:jc w:val="center"/>
              <w:outlineLvl w:val="2"/>
            </w:pPr>
            <w:r w:rsidRPr="009772CA">
              <w:rPr>
                <w:szCs w:val="22"/>
              </w:rPr>
              <w:t>0</w:t>
            </w:r>
          </w:p>
        </w:tc>
        <w:tc>
          <w:tcPr>
            <w:tcW w:w="854" w:type="pct"/>
            <w:tcBorders>
              <w:top w:val="outset" w:sz="6" w:space="0" w:color="auto"/>
              <w:left w:val="outset" w:sz="6" w:space="0" w:color="auto"/>
              <w:bottom w:val="outset" w:sz="6" w:space="0" w:color="auto"/>
              <w:right w:val="outset" w:sz="6" w:space="0" w:color="auto"/>
            </w:tcBorders>
          </w:tcPr>
          <w:p w14:paraId="207BFCC0" w14:textId="0ADC06FD" w:rsidR="00B51AD9" w:rsidRPr="00901F66" w:rsidRDefault="00B51AD9" w:rsidP="00B51AD9">
            <w:pPr>
              <w:spacing w:line="256" w:lineRule="auto"/>
              <w:jc w:val="center"/>
            </w:pPr>
            <w:r w:rsidRPr="009772CA">
              <w:rPr>
                <w:szCs w:val="22"/>
              </w:rPr>
              <w:t>3</w:t>
            </w:r>
            <w:r w:rsidRPr="0077444B">
              <w:t xml:space="preserve"> </w:t>
            </w:r>
            <w:r w:rsidRPr="009772CA">
              <w:rPr>
                <w:szCs w:val="22"/>
              </w:rPr>
              <w:t>(1</w:t>
            </w:r>
            <w:r w:rsidR="001B6C56">
              <w:rPr>
                <w:szCs w:val="22"/>
              </w:rPr>
              <w:t>,</w:t>
            </w:r>
            <w:r w:rsidRPr="009772CA">
              <w:rPr>
                <w:szCs w:val="22"/>
              </w:rPr>
              <w:t>7)</w:t>
            </w:r>
          </w:p>
        </w:tc>
        <w:tc>
          <w:tcPr>
            <w:tcW w:w="855" w:type="pct"/>
            <w:tcBorders>
              <w:top w:val="outset" w:sz="6" w:space="0" w:color="auto"/>
              <w:left w:val="outset" w:sz="6" w:space="0" w:color="auto"/>
              <w:bottom w:val="outset" w:sz="6" w:space="0" w:color="auto"/>
              <w:right w:val="outset" w:sz="6" w:space="0" w:color="auto"/>
            </w:tcBorders>
          </w:tcPr>
          <w:p w14:paraId="4F9C03F4" w14:textId="08771710" w:rsidR="00B51AD9" w:rsidRPr="00901F66" w:rsidRDefault="00B51AD9" w:rsidP="00B51AD9">
            <w:pPr>
              <w:keepNext/>
              <w:keepLines/>
              <w:tabs>
                <w:tab w:val="left" w:pos="567"/>
              </w:tabs>
              <w:spacing w:line="256" w:lineRule="auto"/>
              <w:ind w:left="567" w:hanging="567"/>
              <w:jc w:val="center"/>
              <w:outlineLvl w:val="2"/>
            </w:pPr>
            <w:r w:rsidRPr="009772CA">
              <w:rPr>
                <w:szCs w:val="22"/>
              </w:rPr>
              <w:t>0</w:t>
            </w:r>
          </w:p>
        </w:tc>
      </w:tr>
      <w:tr w:rsidR="00B51AD9" w14:paraId="170B524A" w14:textId="77777777" w:rsidTr="00901F66">
        <w:trPr>
          <w:gridAfter w:val="1"/>
          <w:wAfter w:w="5" w:type="pct"/>
          <w:tblCellSpacing w:w="0" w:type="dxa"/>
        </w:trPr>
        <w:tc>
          <w:tcPr>
            <w:tcW w:w="4995" w:type="pct"/>
            <w:gridSpan w:val="5"/>
            <w:tcBorders>
              <w:top w:val="outset" w:sz="6" w:space="0" w:color="auto"/>
              <w:left w:val="outset" w:sz="6" w:space="0" w:color="auto"/>
              <w:bottom w:val="outset" w:sz="6" w:space="0" w:color="auto"/>
              <w:right w:val="outset" w:sz="6" w:space="0" w:color="auto"/>
            </w:tcBorders>
            <w:hideMark/>
          </w:tcPr>
          <w:p w14:paraId="3CC97146" w14:textId="77777777" w:rsidR="00B51AD9" w:rsidRPr="00116F85" w:rsidRDefault="00B51AD9" w:rsidP="00B51AD9">
            <w:pPr>
              <w:spacing w:line="256" w:lineRule="auto"/>
              <w:rPr>
                <w:b/>
                <w:szCs w:val="22"/>
                <w:lang w:eastAsia="en-US"/>
              </w:rPr>
            </w:pPr>
            <w:r>
              <w:rPr>
                <w:b/>
                <w:szCs w:val="22"/>
                <w:lang w:eastAsia="en-US"/>
              </w:rPr>
              <w:t>Bendrieji sutrikimai ir vartojimo vietos pažeidimai</w:t>
            </w:r>
          </w:p>
        </w:tc>
      </w:tr>
      <w:tr w:rsidR="00B51AD9" w14:paraId="5DCF9DDC"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hideMark/>
          </w:tcPr>
          <w:p w14:paraId="28609BC7" w14:textId="77777777" w:rsidR="00B51AD9" w:rsidRPr="00116F85" w:rsidRDefault="00B51AD9" w:rsidP="00B51AD9">
            <w:pPr>
              <w:spacing w:line="256" w:lineRule="auto"/>
              <w:rPr>
                <w:i/>
                <w:szCs w:val="22"/>
                <w:lang w:eastAsia="en-US"/>
              </w:rPr>
            </w:pPr>
            <w:r w:rsidRPr="00116F85">
              <w:rPr>
                <w:i/>
                <w:szCs w:val="22"/>
                <w:lang w:eastAsia="en-US"/>
              </w:rPr>
              <w:t>Labai dažnas</w:t>
            </w:r>
          </w:p>
        </w:tc>
        <w:tc>
          <w:tcPr>
            <w:tcW w:w="855" w:type="pct"/>
            <w:tcBorders>
              <w:top w:val="outset" w:sz="6" w:space="0" w:color="auto"/>
              <w:left w:val="outset" w:sz="6" w:space="0" w:color="auto"/>
              <w:bottom w:val="outset" w:sz="6" w:space="0" w:color="auto"/>
              <w:right w:val="outset" w:sz="6" w:space="0" w:color="auto"/>
            </w:tcBorders>
          </w:tcPr>
          <w:p w14:paraId="1D44F24B" w14:textId="77777777" w:rsidR="00B51AD9" w:rsidRDefault="00B51AD9" w:rsidP="00B51AD9">
            <w:pPr>
              <w:spacing w:line="256" w:lineRule="auto"/>
              <w:rPr>
                <w:szCs w:val="22"/>
                <w:lang w:eastAsia="en-US"/>
              </w:rPr>
            </w:pPr>
          </w:p>
        </w:tc>
        <w:tc>
          <w:tcPr>
            <w:tcW w:w="776" w:type="pct"/>
            <w:tcBorders>
              <w:top w:val="outset" w:sz="6" w:space="0" w:color="auto"/>
              <w:left w:val="outset" w:sz="6" w:space="0" w:color="auto"/>
              <w:bottom w:val="outset" w:sz="6" w:space="0" w:color="auto"/>
              <w:right w:val="outset" w:sz="6" w:space="0" w:color="auto"/>
            </w:tcBorders>
          </w:tcPr>
          <w:p w14:paraId="790FE848" w14:textId="77777777" w:rsidR="00B51AD9" w:rsidRDefault="00B51AD9" w:rsidP="00B51AD9">
            <w:pPr>
              <w:spacing w:line="256" w:lineRule="auto"/>
              <w:rPr>
                <w:szCs w:val="22"/>
                <w:lang w:eastAsia="en-US"/>
              </w:rPr>
            </w:pPr>
          </w:p>
        </w:tc>
        <w:tc>
          <w:tcPr>
            <w:tcW w:w="854" w:type="pct"/>
            <w:tcBorders>
              <w:top w:val="outset" w:sz="6" w:space="0" w:color="auto"/>
              <w:left w:val="outset" w:sz="6" w:space="0" w:color="auto"/>
              <w:bottom w:val="outset" w:sz="6" w:space="0" w:color="auto"/>
              <w:right w:val="outset" w:sz="6" w:space="0" w:color="auto"/>
            </w:tcBorders>
          </w:tcPr>
          <w:p w14:paraId="724F0578" w14:textId="77777777" w:rsidR="00B51AD9" w:rsidRDefault="00B51AD9" w:rsidP="00B51AD9">
            <w:pPr>
              <w:spacing w:line="256" w:lineRule="auto"/>
              <w:rPr>
                <w:szCs w:val="22"/>
                <w:lang w:eastAsia="en-US"/>
              </w:rPr>
            </w:pPr>
          </w:p>
        </w:tc>
        <w:tc>
          <w:tcPr>
            <w:tcW w:w="855" w:type="pct"/>
            <w:tcBorders>
              <w:top w:val="outset" w:sz="6" w:space="0" w:color="auto"/>
              <w:left w:val="outset" w:sz="6" w:space="0" w:color="auto"/>
              <w:bottom w:val="outset" w:sz="6" w:space="0" w:color="auto"/>
              <w:right w:val="outset" w:sz="6" w:space="0" w:color="auto"/>
            </w:tcBorders>
          </w:tcPr>
          <w:p w14:paraId="5C91BB69" w14:textId="77777777" w:rsidR="00B51AD9" w:rsidRDefault="00B51AD9" w:rsidP="00B51AD9">
            <w:pPr>
              <w:spacing w:line="256" w:lineRule="auto"/>
              <w:rPr>
                <w:szCs w:val="22"/>
                <w:lang w:eastAsia="en-US"/>
              </w:rPr>
            </w:pPr>
          </w:p>
        </w:tc>
      </w:tr>
      <w:tr w:rsidR="00B51AD9" w14:paraId="5F0E4168"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00E7DE49" w14:textId="77777777" w:rsidR="00B51AD9" w:rsidRPr="00116F85" w:rsidRDefault="00B51AD9" w:rsidP="00B51AD9">
            <w:pPr>
              <w:spacing w:line="256" w:lineRule="auto"/>
              <w:ind w:left="284"/>
              <w:rPr>
                <w:szCs w:val="22"/>
                <w:lang w:eastAsia="en-US"/>
              </w:rPr>
            </w:pPr>
            <w:r>
              <w:rPr>
                <w:szCs w:val="22"/>
                <w:lang w:eastAsia="en-US"/>
              </w:rPr>
              <w:t>Nuovargis</w:t>
            </w:r>
          </w:p>
        </w:tc>
        <w:tc>
          <w:tcPr>
            <w:tcW w:w="855" w:type="pct"/>
            <w:tcBorders>
              <w:top w:val="outset" w:sz="6" w:space="0" w:color="auto"/>
              <w:left w:val="outset" w:sz="6" w:space="0" w:color="auto"/>
              <w:bottom w:val="outset" w:sz="6" w:space="0" w:color="auto"/>
              <w:right w:val="outset" w:sz="6" w:space="0" w:color="auto"/>
            </w:tcBorders>
          </w:tcPr>
          <w:p w14:paraId="5A47566F" w14:textId="3604C2FF" w:rsidR="00B51AD9" w:rsidRDefault="00B51AD9" w:rsidP="00B51AD9">
            <w:pPr>
              <w:spacing w:line="256" w:lineRule="auto"/>
              <w:jc w:val="center"/>
              <w:rPr>
                <w:b/>
                <w:kern w:val="28"/>
                <w:szCs w:val="22"/>
                <w:lang w:eastAsia="en-US"/>
              </w:rPr>
            </w:pPr>
            <w:r w:rsidRPr="009772CA">
              <w:rPr>
                <w:szCs w:val="22"/>
              </w:rPr>
              <w:t>152 (44</w:t>
            </w:r>
            <w:r w:rsidR="001B6C56">
              <w:rPr>
                <w:szCs w:val="22"/>
              </w:rPr>
              <w:t>,</w:t>
            </w:r>
            <w:r w:rsidRPr="009772CA">
              <w:rPr>
                <w:szCs w:val="22"/>
              </w:rPr>
              <w:t>1)</w:t>
            </w:r>
          </w:p>
        </w:tc>
        <w:tc>
          <w:tcPr>
            <w:tcW w:w="776" w:type="pct"/>
            <w:tcBorders>
              <w:top w:val="outset" w:sz="6" w:space="0" w:color="auto"/>
              <w:left w:val="outset" w:sz="6" w:space="0" w:color="auto"/>
              <w:bottom w:val="outset" w:sz="6" w:space="0" w:color="auto"/>
              <w:right w:val="outset" w:sz="6" w:space="0" w:color="auto"/>
            </w:tcBorders>
          </w:tcPr>
          <w:p w14:paraId="7DCBB7D7" w14:textId="38CF00DA" w:rsidR="00B51AD9" w:rsidRDefault="00B51AD9" w:rsidP="00B51AD9">
            <w:pPr>
              <w:spacing w:line="256" w:lineRule="auto"/>
              <w:jc w:val="center"/>
              <w:rPr>
                <w:b/>
                <w:kern w:val="28"/>
                <w:szCs w:val="22"/>
                <w:lang w:eastAsia="en-US"/>
              </w:rPr>
            </w:pPr>
            <w:r w:rsidRPr="009772CA">
              <w:rPr>
                <w:szCs w:val="22"/>
              </w:rPr>
              <w:t>9</w:t>
            </w:r>
            <w:r w:rsidRPr="0077444B">
              <w:t xml:space="preserve"> </w:t>
            </w:r>
            <w:r w:rsidRPr="009772CA">
              <w:rPr>
                <w:szCs w:val="22"/>
              </w:rPr>
              <w:t>(2</w:t>
            </w:r>
            <w:r w:rsidR="001B6C56">
              <w:rPr>
                <w:szCs w:val="22"/>
              </w:rPr>
              <w:t>,</w:t>
            </w:r>
            <w:r w:rsidRPr="009772CA">
              <w:rPr>
                <w:szCs w:val="22"/>
              </w:rPr>
              <w:t>6)</w:t>
            </w:r>
          </w:p>
        </w:tc>
        <w:tc>
          <w:tcPr>
            <w:tcW w:w="854" w:type="pct"/>
            <w:tcBorders>
              <w:top w:val="outset" w:sz="6" w:space="0" w:color="auto"/>
              <w:left w:val="outset" w:sz="6" w:space="0" w:color="auto"/>
              <w:bottom w:val="outset" w:sz="6" w:space="0" w:color="auto"/>
              <w:right w:val="outset" w:sz="6" w:space="0" w:color="auto"/>
            </w:tcBorders>
          </w:tcPr>
          <w:p w14:paraId="0B589E68" w14:textId="06FC1808" w:rsidR="00B51AD9" w:rsidRDefault="00B51AD9" w:rsidP="00B51AD9">
            <w:pPr>
              <w:spacing w:line="256" w:lineRule="auto"/>
              <w:jc w:val="center"/>
              <w:rPr>
                <w:b/>
                <w:kern w:val="28"/>
                <w:szCs w:val="22"/>
                <w:lang w:eastAsia="en-US"/>
              </w:rPr>
            </w:pPr>
            <w:r w:rsidRPr="009772CA">
              <w:rPr>
                <w:szCs w:val="22"/>
              </w:rPr>
              <w:t>54</w:t>
            </w:r>
            <w:r w:rsidRPr="00B77163">
              <w:t xml:space="preserve"> </w:t>
            </w:r>
            <w:r w:rsidRPr="009772CA">
              <w:rPr>
                <w:szCs w:val="22"/>
              </w:rPr>
              <w:t>(31</w:t>
            </w:r>
            <w:r w:rsidR="001B6C56">
              <w:rPr>
                <w:szCs w:val="22"/>
              </w:rPr>
              <w:t>,</w:t>
            </w:r>
            <w:r w:rsidRPr="009772CA">
              <w:rPr>
                <w:szCs w:val="22"/>
              </w:rPr>
              <w:t>4)</w:t>
            </w:r>
          </w:p>
        </w:tc>
        <w:tc>
          <w:tcPr>
            <w:tcW w:w="855" w:type="pct"/>
            <w:tcBorders>
              <w:top w:val="outset" w:sz="6" w:space="0" w:color="auto"/>
              <w:left w:val="outset" w:sz="6" w:space="0" w:color="auto"/>
              <w:bottom w:val="outset" w:sz="6" w:space="0" w:color="auto"/>
              <w:right w:val="outset" w:sz="6" w:space="0" w:color="auto"/>
            </w:tcBorders>
          </w:tcPr>
          <w:p w14:paraId="61C1B374" w14:textId="0896FC97" w:rsidR="00B51AD9" w:rsidRDefault="00B51AD9" w:rsidP="00B51AD9">
            <w:pPr>
              <w:spacing w:line="256" w:lineRule="auto"/>
              <w:jc w:val="center"/>
              <w:rPr>
                <w:b/>
                <w:kern w:val="28"/>
                <w:szCs w:val="22"/>
                <w:lang w:eastAsia="en-US"/>
              </w:rPr>
            </w:pPr>
            <w:r w:rsidRPr="009772CA">
              <w:rPr>
                <w:szCs w:val="22"/>
              </w:rPr>
              <w:t>2</w:t>
            </w:r>
            <w:r w:rsidRPr="0077444B">
              <w:t xml:space="preserve"> </w:t>
            </w:r>
            <w:r w:rsidRPr="009772CA">
              <w:rPr>
                <w:szCs w:val="22"/>
              </w:rPr>
              <w:t>(1</w:t>
            </w:r>
            <w:r w:rsidR="00883A7C">
              <w:rPr>
                <w:szCs w:val="22"/>
              </w:rPr>
              <w:t>,</w:t>
            </w:r>
            <w:r w:rsidRPr="009772CA">
              <w:rPr>
                <w:szCs w:val="22"/>
              </w:rPr>
              <w:t>2)</w:t>
            </w:r>
          </w:p>
        </w:tc>
      </w:tr>
      <w:tr w:rsidR="00B51AD9" w14:paraId="4256BF84"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40F00B92" w14:textId="77777777" w:rsidR="00B51AD9" w:rsidRDefault="00B51AD9" w:rsidP="00B51AD9">
            <w:pPr>
              <w:spacing w:line="256" w:lineRule="auto"/>
              <w:ind w:left="284"/>
              <w:rPr>
                <w:szCs w:val="22"/>
                <w:lang w:eastAsia="en-US"/>
              </w:rPr>
            </w:pPr>
            <w:r>
              <w:rPr>
                <w:szCs w:val="22"/>
                <w:lang w:eastAsia="en-US"/>
              </w:rPr>
              <w:t>Karščiavimas</w:t>
            </w:r>
          </w:p>
        </w:tc>
        <w:tc>
          <w:tcPr>
            <w:tcW w:w="855" w:type="pct"/>
            <w:tcBorders>
              <w:top w:val="outset" w:sz="6" w:space="0" w:color="auto"/>
              <w:left w:val="outset" w:sz="6" w:space="0" w:color="auto"/>
              <w:bottom w:val="outset" w:sz="6" w:space="0" w:color="auto"/>
              <w:right w:val="outset" w:sz="6" w:space="0" w:color="auto"/>
            </w:tcBorders>
          </w:tcPr>
          <w:p w14:paraId="53F8C33E" w14:textId="44D6EF3C" w:rsidR="00B51AD9" w:rsidRPr="00116F85" w:rsidRDefault="00B51AD9" w:rsidP="00B51AD9">
            <w:pPr>
              <w:spacing w:line="256" w:lineRule="auto"/>
              <w:jc w:val="center"/>
              <w:rPr>
                <w:b/>
                <w:kern w:val="28"/>
              </w:rPr>
            </w:pPr>
            <w:r w:rsidRPr="009772CA">
              <w:rPr>
                <w:szCs w:val="22"/>
              </w:rPr>
              <w:t>47</w:t>
            </w:r>
            <w:r w:rsidRPr="00B77163">
              <w:t xml:space="preserve"> </w:t>
            </w:r>
            <w:r w:rsidRPr="009772CA">
              <w:rPr>
                <w:szCs w:val="22"/>
              </w:rPr>
              <w:t>(13</w:t>
            </w:r>
            <w:r w:rsidR="00883A7C">
              <w:rPr>
                <w:szCs w:val="22"/>
              </w:rPr>
              <w:t>,</w:t>
            </w:r>
            <w:r w:rsidRPr="009772CA">
              <w:rPr>
                <w:szCs w:val="22"/>
              </w:rPr>
              <w:t>6)</w:t>
            </w:r>
          </w:p>
        </w:tc>
        <w:tc>
          <w:tcPr>
            <w:tcW w:w="776" w:type="pct"/>
            <w:tcBorders>
              <w:top w:val="outset" w:sz="6" w:space="0" w:color="auto"/>
              <w:left w:val="outset" w:sz="6" w:space="0" w:color="auto"/>
              <w:bottom w:val="outset" w:sz="6" w:space="0" w:color="auto"/>
              <w:right w:val="outset" w:sz="6" w:space="0" w:color="auto"/>
            </w:tcBorders>
          </w:tcPr>
          <w:p w14:paraId="09670E3F" w14:textId="2A33CBAD" w:rsidR="00B51AD9" w:rsidRPr="00116F85" w:rsidRDefault="00B51AD9" w:rsidP="00B51AD9">
            <w:pPr>
              <w:spacing w:line="256" w:lineRule="auto"/>
              <w:jc w:val="center"/>
              <w:rPr>
                <w:b/>
                <w:kern w:val="28"/>
              </w:rPr>
            </w:pPr>
            <w:r w:rsidRPr="009772CA">
              <w:rPr>
                <w:szCs w:val="22"/>
              </w:rPr>
              <w:t>1</w:t>
            </w:r>
            <w:r w:rsidRPr="0077444B">
              <w:t xml:space="preserve"> </w:t>
            </w:r>
            <w:r w:rsidRPr="009772CA">
              <w:rPr>
                <w:szCs w:val="22"/>
              </w:rPr>
              <w:t>(0</w:t>
            </w:r>
            <w:r w:rsidR="00883A7C">
              <w:rPr>
                <w:szCs w:val="22"/>
              </w:rPr>
              <w:t>,</w:t>
            </w:r>
            <w:r w:rsidRPr="009772CA">
              <w:rPr>
                <w:szCs w:val="22"/>
              </w:rPr>
              <w:t>3)</w:t>
            </w:r>
          </w:p>
        </w:tc>
        <w:tc>
          <w:tcPr>
            <w:tcW w:w="854" w:type="pct"/>
            <w:tcBorders>
              <w:top w:val="outset" w:sz="6" w:space="0" w:color="auto"/>
              <w:left w:val="outset" w:sz="6" w:space="0" w:color="auto"/>
              <w:bottom w:val="outset" w:sz="6" w:space="0" w:color="auto"/>
              <w:right w:val="outset" w:sz="6" w:space="0" w:color="auto"/>
            </w:tcBorders>
          </w:tcPr>
          <w:p w14:paraId="519A4FDE" w14:textId="3E0A6BAD" w:rsidR="00B51AD9" w:rsidRPr="00116F85" w:rsidRDefault="00B51AD9" w:rsidP="00B51AD9">
            <w:pPr>
              <w:spacing w:line="256" w:lineRule="auto"/>
              <w:jc w:val="center"/>
              <w:rPr>
                <w:b/>
                <w:kern w:val="28"/>
              </w:rPr>
            </w:pPr>
            <w:r w:rsidRPr="009772CA">
              <w:rPr>
                <w:szCs w:val="22"/>
              </w:rPr>
              <w:t>10</w:t>
            </w:r>
            <w:r w:rsidRPr="0077444B">
              <w:t xml:space="preserve"> </w:t>
            </w:r>
            <w:r w:rsidRPr="009772CA">
              <w:rPr>
                <w:szCs w:val="22"/>
              </w:rPr>
              <w:t>(5</w:t>
            </w:r>
            <w:r w:rsidR="00883A7C">
              <w:rPr>
                <w:szCs w:val="22"/>
              </w:rPr>
              <w:t>,</w:t>
            </w:r>
            <w:r w:rsidRPr="009772CA">
              <w:rPr>
                <w:szCs w:val="22"/>
              </w:rPr>
              <w:t>8)</w:t>
            </w:r>
          </w:p>
        </w:tc>
        <w:tc>
          <w:tcPr>
            <w:tcW w:w="855" w:type="pct"/>
            <w:tcBorders>
              <w:top w:val="outset" w:sz="6" w:space="0" w:color="auto"/>
              <w:left w:val="outset" w:sz="6" w:space="0" w:color="auto"/>
              <w:bottom w:val="outset" w:sz="6" w:space="0" w:color="auto"/>
              <w:right w:val="outset" w:sz="6" w:space="0" w:color="auto"/>
            </w:tcBorders>
          </w:tcPr>
          <w:p w14:paraId="27F6CE58" w14:textId="275F830A" w:rsidR="00B51AD9" w:rsidRPr="00116F85" w:rsidRDefault="00B51AD9" w:rsidP="00B51AD9">
            <w:pPr>
              <w:spacing w:line="256" w:lineRule="auto"/>
              <w:jc w:val="center"/>
            </w:pPr>
            <w:r w:rsidRPr="009772CA">
              <w:rPr>
                <w:szCs w:val="22"/>
              </w:rPr>
              <w:t>0</w:t>
            </w:r>
          </w:p>
        </w:tc>
      </w:tr>
      <w:tr w:rsidR="00B51AD9" w14:paraId="2D08FAC8"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14FDF19D" w14:textId="77777777" w:rsidR="00B51AD9" w:rsidRPr="00116F85" w:rsidRDefault="00B51AD9" w:rsidP="00B51AD9">
            <w:pPr>
              <w:spacing w:line="256" w:lineRule="auto"/>
              <w:rPr>
                <w:i/>
                <w:szCs w:val="22"/>
                <w:lang w:eastAsia="en-US"/>
              </w:rPr>
            </w:pPr>
            <w:r w:rsidRPr="00116F85">
              <w:rPr>
                <w:i/>
                <w:szCs w:val="22"/>
                <w:lang w:eastAsia="en-US"/>
              </w:rPr>
              <w:t>Dažnas</w:t>
            </w:r>
          </w:p>
        </w:tc>
        <w:tc>
          <w:tcPr>
            <w:tcW w:w="855" w:type="pct"/>
            <w:tcBorders>
              <w:top w:val="outset" w:sz="6" w:space="0" w:color="auto"/>
              <w:left w:val="outset" w:sz="6" w:space="0" w:color="auto"/>
              <w:bottom w:val="outset" w:sz="6" w:space="0" w:color="auto"/>
              <w:right w:val="outset" w:sz="6" w:space="0" w:color="auto"/>
            </w:tcBorders>
          </w:tcPr>
          <w:p w14:paraId="6D2AD286" w14:textId="77777777" w:rsidR="00B51AD9" w:rsidRPr="00116F85" w:rsidRDefault="00B51AD9" w:rsidP="00B51AD9">
            <w:pPr>
              <w:spacing w:line="256" w:lineRule="auto"/>
              <w:jc w:val="center"/>
            </w:pPr>
          </w:p>
        </w:tc>
        <w:tc>
          <w:tcPr>
            <w:tcW w:w="776" w:type="pct"/>
            <w:tcBorders>
              <w:top w:val="outset" w:sz="6" w:space="0" w:color="auto"/>
              <w:left w:val="outset" w:sz="6" w:space="0" w:color="auto"/>
              <w:bottom w:val="outset" w:sz="6" w:space="0" w:color="auto"/>
              <w:right w:val="outset" w:sz="6" w:space="0" w:color="auto"/>
            </w:tcBorders>
          </w:tcPr>
          <w:p w14:paraId="1EDB4B41" w14:textId="77777777" w:rsidR="00B51AD9" w:rsidRPr="00116F85" w:rsidRDefault="00B51AD9" w:rsidP="00B51AD9">
            <w:pPr>
              <w:spacing w:line="256" w:lineRule="auto"/>
              <w:jc w:val="center"/>
            </w:pPr>
          </w:p>
        </w:tc>
        <w:tc>
          <w:tcPr>
            <w:tcW w:w="854" w:type="pct"/>
            <w:tcBorders>
              <w:top w:val="outset" w:sz="6" w:space="0" w:color="auto"/>
              <w:left w:val="outset" w:sz="6" w:space="0" w:color="auto"/>
              <w:bottom w:val="outset" w:sz="6" w:space="0" w:color="auto"/>
              <w:right w:val="outset" w:sz="6" w:space="0" w:color="auto"/>
            </w:tcBorders>
          </w:tcPr>
          <w:p w14:paraId="5DE2B7BB" w14:textId="77777777" w:rsidR="00B51AD9" w:rsidRPr="00116F85" w:rsidRDefault="00B51AD9" w:rsidP="00B51AD9">
            <w:pPr>
              <w:spacing w:line="256" w:lineRule="auto"/>
              <w:jc w:val="center"/>
            </w:pPr>
          </w:p>
        </w:tc>
        <w:tc>
          <w:tcPr>
            <w:tcW w:w="855" w:type="pct"/>
            <w:tcBorders>
              <w:top w:val="outset" w:sz="6" w:space="0" w:color="auto"/>
              <w:left w:val="outset" w:sz="6" w:space="0" w:color="auto"/>
              <w:bottom w:val="outset" w:sz="6" w:space="0" w:color="auto"/>
              <w:right w:val="outset" w:sz="6" w:space="0" w:color="auto"/>
            </w:tcBorders>
          </w:tcPr>
          <w:p w14:paraId="5DAF66D6" w14:textId="77777777" w:rsidR="00B51AD9" w:rsidRPr="00116F85" w:rsidRDefault="00B51AD9" w:rsidP="00B51AD9">
            <w:pPr>
              <w:spacing w:line="256" w:lineRule="auto"/>
              <w:jc w:val="center"/>
            </w:pPr>
          </w:p>
        </w:tc>
      </w:tr>
      <w:tr w:rsidR="00B51AD9" w14:paraId="74317A44"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4C8998BB" w14:textId="77777777" w:rsidR="00B51AD9" w:rsidRDefault="00B51AD9" w:rsidP="00B51AD9">
            <w:pPr>
              <w:spacing w:line="256" w:lineRule="auto"/>
              <w:ind w:left="284"/>
              <w:rPr>
                <w:szCs w:val="22"/>
                <w:lang w:eastAsia="en-US"/>
              </w:rPr>
            </w:pPr>
            <w:r>
              <w:rPr>
                <w:szCs w:val="22"/>
                <w:lang w:eastAsia="en-US"/>
              </w:rPr>
              <w:t>Astenija</w:t>
            </w:r>
          </w:p>
        </w:tc>
        <w:tc>
          <w:tcPr>
            <w:tcW w:w="855" w:type="pct"/>
            <w:tcBorders>
              <w:top w:val="outset" w:sz="6" w:space="0" w:color="auto"/>
              <w:left w:val="outset" w:sz="6" w:space="0" w:color="auto"/>
              <w:bottom w:val="outset" w:sz="6" w:space="0" w:color="auto"/>
              <w:right w:val="outset" w:sz="6" w:space="0" w:color="auto"/>
            </w:tcBorders>
          </w:tcPr>
          <w:p w14:paraId="55B5221D" w14:textId="77F04A09" w:rsidR="00B51AD9" w:rsidRPr="00116F85" w:rsidRDefault="00B51AD9" w:rsidP="00B51AD9">
            <w:pPr>
              <w:spacing w:line="256" w:lineRule="auto"/>
              <w:jc w:val="center"/>
              <w:rPr>
                <w:b/>
                <w:kern w:val="28"/>
              </w:rPr>
            </w:pPr>
            <w:r w:rsidRPr="009772CA">
              <w:rPr>
                <w:szCs w:val="22"/>
              </w:rPr>
              <w:t>27</w:t>
            </w:r>
            <w:r w:rsidRPr="0077444B">
              <w:t xml:space="preserve"> </w:t>
            </w:r>
            <w:r w:rsidRPr="009772CA">
              <w:rPr>
                <w:szCs w:val="22"/>
              </w:rPr>
              <w:t>(7</w:t>
            </w:r>
            <w:r w:rsidR="00883A7C">
              <w:rPr>
                <w:szCs w:val="22"/>
              </w:rPr>
              <w:t>,</w:t>
            </w:r>
            <w:r w:rsidRPr="009772CA">
              <w:rPr>
                <w:szCs w:val="22"/>
              </w:rPr>
              <w:t>8)</w:t>
            </w:r>
          </w:p>
        </w:tc>
        <w:tc>
          <w:tcPr>
            <w:tcW w:w="776" w:type="pct"/>
            <w:tcBorders>
              <w:top w:val="outset" w:sz="6" w:space="0" w:color="auto"/>
              <w:left w:val="outset" w:sz="6" w:space="0" w:color="auto"/>
              <w:bottom w:val="outset" w:sz="6" w:space="0" w:color="auto"/>
              <w:right w:val="outset" w:sz="6" w:space="0" w:color="auto"/>
            </w:tcBorders>
          </w:tcPr>
          <w:p w14:paraId="20EA86C2" w14:textId="39F956ED" w:rsidR="00B51AD9" w:rsidRPr="00116F85" w:rsidRDefault="00B51AD9" w:rsidP="00B51AD9">
            <w:pPr>
              <w:spacing w:line="256" w:lineRule="auto"/>
              <w:jc w:val="center"/>
            </w:pPr>
            <w:r w:rsidRPr="009772CA">
              <w:rPr>
                <w:szCs w:val="22"/>
              </w:rPr>
              <w:t>1 (0</w:t>
            </w:r>
            <w:r w:rsidR="00883A7C">
              <w:rPr>
                <w:szCs w:val="22"/>
              </w:rPr>
              <w:t>,</w:t>
            </w:r>
            <w:r w:rsidRPr="009772CA">
              <w:rPr>
                <w:szCs w:val="22"/>
              </w:rPr>
              <w:t>3)</w:t>
            </w:r>
          </w:p>
        </w:tc>
        <w:tc>
          <w:tcPr>
            <w:tcW w:w="854" w:type="pct"/>
            <w:tcBorders>
              <w:top w:val="outset" w:sz="6" w:space="0" w:color="auto"/>
              <w:left w:val="outset" w:sz="6" w:space="0" w:color="auto"/>
              <w:bottom w:val="outset" w:sz="6" w:space="0" w:color="auto"/>
              <w:right w:val="outset" w:sz="6" w:space="0" w:color="auto"/>
            </w:tcBorders>
          </w:tcPr>
          <w:p w14:paraId="60407A3F" w14:textId="4E891B5D" w:rsidR="00B51AD9" w:rsidRPr="00116F85" w:rsidRDefault="00B51AD9" w:rsidP="00B51AD9">
            <w:pPr>
              <w:spacing w:line="256" w:lineRule="auto"/>
              <w:jc w:val="center"/>
              <w:rPr>
                <w:b/>
                <w:kern w:val="28"/>
              </w:rPr>
            </w:pPr>
            <w:r w:rsidRPr="009772CA">
              <w:rPr>
                <w:szCs w:val="22"/>
              </w:rPr>
              <w:t>13</w:t>
            </w:r>
            <w:r w:rsidRPr="00B77163">
              <w:t xml:space="preserve"> </w:t>
            </w:r>
            <w:r w:rsidRPr="009772CA">
              <w:rPr>
                <w:szCs w:val="22"/>
              </w:rPr>
              <w:t>(7</w:t>
            </w:r>
            <w:r w:rsidR="00883A7C">
              <w:rPr>
                <w:szCs w:val="22"/>
              </w:rPr>
              <w:t>,</w:t>
            </w:r>
            <w:r w:rsidRPr="009772CA">
              <w:rPr>
                <w:szCs w:val="22"/>
              </w:rPr>
              <w:t>6)</w:t>
            </w:r>
          </w:p>
        </w:tc>
        <w:tc>
          <w:tcPr>
            <w:tcW w:w="855" w:type="pct"/>
            <w:tcBorders>
              <w:top w:val="outset" w:sz="6" w:space="0" w:color="auto"/>
              <w:left w:val="outset" w:sz="6" w:space="0" w:color="auto"/>
              <w:bottom w:val="outset" w:sz="6" w:space="0" w:color="auto"/>
              <w:right w:val="outset" w:sz="6" w:space="0" w:color="auto"/>
            </w:tcBorders>
          </w:tcPr>
          <w:p w14:paraId="249E9E73" w14:textId="780E23FB" w:rsidR="00B51AD9" w:rsidRPr="00116F85" w:rsidRDefault="00B51AD9" w:rsidP="00B51AD9">
            <w:pPr>
              <w:spacing w:line="256" w:lineRule="auto"/>
              <w:jc w:val="center"/>
              <w:rPr>
                <w:b/>
                <w:kern w:val="28"/>
              </w:rPr>
            </w:pPr>
            <w:r w:rsidRPr="009772CA">
              <w:rPr>
                <w:szCs w:val="22"/>
              </w:rPr>
              <w:t>2</w:t>
            </w:r>
            <w:r w:rsidRPr="00B77163">
              <w:t xml:space="preserve"> </w:t>
            </w:r>
            <w:r w:rsidRPr="009772CA">
              <w:rPr>
                <w:szCs w:val="22"/>
              </w:rPr>
              <w:t>(1</w:t>
            </w:r>
            <w:r w:rsidR="00883A7C">
              <w:rPr>
                <w:szCs w:val="22"/>
              </w:rPr>
              <w:t>,</w:t>
            </w:r>
            <w:r w:rsidRPr="009772CA">
              <w:rPr>
                <w:szCs w:val="22"/>
              </w:rPr>
              <w:t>2)</w:t>
            </w:r>
          </w:p>
        </w:tc>
      </w:tr>
      <w:tr w:rsidR="00B51AD9" w14:paraId="28E0CFE6" w14:textId="77777777" w:rsidTr="00901F66">
        <w:trPr>
          <w:gridAfter w:val="1"/>
          <w:wAfter w:w="5" w:type="pct"/>
          <w:tblCellSpacing w:w="0" w:type="dxa"/>
        </w:trPr>
        <w:tc>
          <w:tcPr>
            <w:tcW w:w="4995" w:type="pct"/>
            <w:gridSpan w:val="5"/>
            <w:tcBorders>
              <w:top w:val="outset" w:sz="6" w:space="0" w:color="auto"/>
              <w:left w:val="outset" w:sz="6" w:space="0" w:color="auto"/>
              <w:bottom w:val="outset" w:sz="6" w:space="0" w:color="auto"/>
              <w:right w:val="outset" w:sz="6" w:space="0" w:color="auto"/>
            </w:tcBorders>
            <w:hideMark/>
          </w:tcPr>
          <w:p w14:paraId="292C7066" w14:textId="77777777" w:rsidR="00B51AD9" w:rsidRPr="00116F85" w:rsidRDefault="00B51AD9" w:rsidP="00B51AD9">
            <w:pPr>
              <w:spacing w:line="256" w:lineRule="auto"/>
              <w:rPr>
                <w:b/>
                <w:szCs w:val="22"/>
                <w:lang w:eastAsia="en-US"/>
              </w:rPr>
            </w:pPr>
            <w:r>
              <w:rPr>
                <w:b/>
                <w:szCs w:val="22"/>
                <w:lang w:eastAsia="en-US"/>
              </w:rPr>
              <w:t>Tyrimai</w:t>
            </w:r>
          </w:p>
        </w:tc>
      </w:tr>
      <w:tr w:rsidR="00B51AD9" w14:paraId="289476A5"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hideMark/>
          </w:tcPr>
          <w:p w14:paraId="53947209" w14:textId="5187439A" w:rsidR="00B51AD9" w:rsidRPr="00116F85" w:rsidRDefault="00C14004" w:rsidP="00B51AD9">
            <w:pPr>
              <w:spacing w:line="256" w:lineRule="auto"/>
              <w:rPr>
                <w:i/>
                <w:szCs w:val="22"/>
                <w:lang w:eastAsia="en-US"/>
              </w:rPr>
            </w:pPr>
            <w:r>
              <w:rPr>
                <w:i/>
                <w:szCs w:val="22"/>
                <w:lang w:eastAsia="en-US"/>
              </w:rPr>
              <w:t>Labai d</w:t>
            </w:r>
            <w:r w:rsidR="00B51AD9" w:rsidRPr="00116F85">
              <w:rPr>
                <w:i/>
                <w:szCs w:val="22"/>
                <w:lang w:eastAsia="en-US"/>
              </w:rPr>
              <w:t>ažnas</w:t>
            </w:r>
          </w:p>
        </w:tc>
        <w:tc>
          <w:tcPr>
            <w:tcW w:w="855" w:type="pct"/>
            <w:tcBorders>
              <w:top w:val="outset" w:sz="6" w:space="0" w:color="auto"/>
              <w:left w:val="outset" w:sz="6" w:space="0" w:color="auto"/>
              <w:bottom w:val="outset" w:sz="6" w:space="0" w:color="auto"/>
              <w:right w:val="outset" w:sz="6" w:space="0" w:color="auto"/>
            </w:tcBorders>
          </w:tcPr>
          <w:p w14:paraId="00E7A80D" w14:textId="77777777" w:rsidR="00B51AD9" w:rsidRDefault="00B51AD9" w:rsidP="00B51AD9">
            <w:pPr>
              <w:spacing w:line="256" w:lineRule="auto"/>
              <w:rPr>
                <w:szCs w:val="22"/>
                <w:lang w:eastAsia="en-US"/>
              </w:rPr>
            </w:pPr>
          </w:p>
        </w:tc>
        <w:tc>
          <w:tcPr>
            <w:tcW w:w="776" w:type="pct"/>
            <w:tcBorders>
              <w:top w:val="outset" w:sz="6" w:space="0" w:color="auto"/>
              <w:left w:val="outset" w:sz="6" w:space="0" w:color="auto"/>
              <w:bottom w:val="outset" w:sz="6" w:space="0" w:color="auto"/>
              <w:right w:val="outset" w:sz="6" w:space="0" w:color="auto"/>
            </w:tcBorders>
          </w:tcPr>
          <w:p w14:paraId="5226B9F6" w14:textId="77777777" w:rsidR="00B51AD9" w:rsidRDefault="00B51AD9" w:rsidP="00B51AD9">
            <w:pPr>
              <w:spacing w:line="256" w:lineRule="auto"/>
              <w:rPr>
                <w:szCs w:val="22"/>
                <w:lang w:eastAsia="en-US"/>
              </w:rPr>
            </w:pPr>
          </w:p>
        </w:tc>
        <w:tc>
          <w:tcPr>
            <w:tcW w:w="854" w:type="pct"/>
            <w:tcBorders>
              <w:top w:val="outset" w:sz="6" w:space="0" w:color="auto"/>
              <w:left w:val="outset" w:sz="6" w:space="0" w:color="auto"/>
              <w:bottom w:val="outset" w:sz="6" w:space="0" w:color="auto"/>
              <w:right w:val="outset" w:sz="6" w:space="0" w:color="auto"/>
            </w:tcBorders>
          </w:tcPr>
          <w:p w14:paraId="32B8F7E6" w14:textId="77777777" w:rsidR="00B51AD9" w:rsidRDefault="00B51AD9" w:rsidP="00B51AD9">
            <w:pPr>
              <w:spacing w:line="256" w:lineRule="auto"/>
              <w:rPr>
                <w:szCs w:val="22"/>
                <w:lang w:eastAsia="en-US"/>
              </w:rPr>
            </w:pPr>
          </w:p>
        </w:tc>
        <w:tc>
          <w:tcPr>
            <w:tcW w:w="855" w:type="pct"/>
            <w:tcBorders>
              <w:top w:val="outset" w:sz="6" w:space="0" w:color="auto"/>
              <w:left w:val="outset" w:sz="6" w:space="0" w:color="auto"/>
              <w:bottom w:val="outset" w:sz="6" w:space="0" w:color="auto"/>
              <w:right w:val="outset" w:sz="6" w:space="0" w:color="auto"/>
            </w:tcBorders>
          </w:tcPr>
          <w:p w14:paraId="7D0AF636" w14:textId="77777777" w:rsidR="00B51AD9" w:rsidRDefault="00B51AD9" w:rsidP="00B51AD9">
            <w:pPr>
              <w:spacing w:line="256" w:lineRule="auto"/>
              <w:rPr>
                <w:szCs w:val="22"/>
                <w:lang w:eastAsia="en-US"/>
              </w:rPr>
            </w:pPr>
          </w:p>
        </w:tc>
      </w:tr>
      <w:tr w:rsidR="00B51AD9" w14:paraId="2AD7F144"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629869B0" w14:textId="77777777" w:rsidR="00B51AD9" w:rsidRPr="00116F85" w:rsidRDefault="00B51AD9" w:rsidP="00B51AD9">
            <w:pPr>
              <w:spacing w:line="256" w:lineRule="auto"/>
              <w:ind w:left="284"/>
              <w:rPr>
                <w:szCs w:val="22"/>
                <w:lang w:eastAsia="en-US"/>
              </w:rPr>
            </w:pPr>
            <w:r w:rsidRPr="00F01B67">
              <w:rPr>
                <w:szCs w:val="22"/>
                <w:lang w:eastAsia="en-US"/>
              </w:rPr>
              <w:t>Padidėj</w:t>
            </w:r>
            <w:r>
              <w:rPr>
                <w:szCs w:val="22"/>
                <w:lang w:eastAsia="en-US"/>
              </w:rPr>
              <w:t>ęs</w:t>
            </w:r>
            <w:r w:rsidRPr="00F01B67">
              <w:rPr>
                <w:szCs w:val="22"/>
                <w:lang w:eastAsia="en-US"/>
              </w:rPr>
              <w:t xml:space="preserve"> AST </w:t>
            </w:r>
            <w:r>
              <w:rPr>
                <w:szCs w:val="22"/>
                <w:lang w:eastAsia="en-US"/>
              </w:rPr>
              <w:t>aktyvumas</w:t>
            </w:r>
          </w:p>
        </w:tc>
        <w:tc>
          <w:tcPr>
            <w:tcW w:w="855" w:type="pct"/>
            <w:tcBorders>
              <w:top w:val="outset" w:sz="6" w:space="0" w:color="auto"/>
              <w:left w:val="outset" w:sz="6" w:space="0" w:color="auto"/>
              <w:bottom w:val="outset" w:sz="6" w:space="0" w:color="auto"/>
              <w:right w:val="outset" w:sz="6" w:space="0" w:color="auto"/>
            </w:tcBorders>
          </w:tcPr>
          <w:p w14:paraId="0C1B654C" w14:textId="4D3948AE" w:rsidR="00B51AD9" w:rsidRDefault="00B51AD9" w:rsidP="00B51AD9">
            <w:pPr>
              <w:spacing w:line="256" w:lineRule="auto"/>
              <w:jc w:val="center"/>
              <w:rPr>
                <w:szCs w:val="22"/>
                <w:lang w:eastAsia="en-US"/>
              </w:rPr>
            </w:pPr>
            <w:r w:rsidRPr="009772CA">
              <w:rPr>
                <w:szCs w:val="22"/>
              </w:rPr>
              <w:t>40 (11</w:t>
            </w:r>
            <w:r w:rsidR="00883A7C">
              <w:rPr>
                <w:szCs w:val="22"/>
              </w:rPr>
              <w:t>,</w:t>
            </w:r>
            <w:r w:rsidRPr="009772CA">
              <w:rPr>
                <w:szCs w:val="22"/>
              </w:rPr>
              <w:t>6)</w:t>
            </w:r>
          </w:p>
        </w:tc>
        <w:tc>
          <w:tcPr>
            <w:tcW w:w="776" w:type="pct"/>
            <w:tcBorders>
              <w:top w:val="outset" w:sz="6" w:space="0" w:color="auto"/>
              <w:left w:val="outset" w:sz="6" w:space="0" w:color="auto"/>
              <w:bottom w:val="outset" w:sz="6" w:space="0" w:color="auto"/>
              <w:right w:val="outset" w:sz="6" w:space="0" w:color="auto"/>
            </w:tcBorders>
          </w:tcPr>
          <w:p w14:paraId="1209DEB7" w14:textId="650E14FB" w:rsidR="00B51AD9" w:rsidRDefault="00B51AD9" w:rsidP="00B51AD9">
            <w:pPr>
              <w:spacing w:line="256" w:lineRule="auto"/>
              <w:jc w:val="center"/>
              <w:rPr>
                <w:szCs w:val="22"/>
                <w:lang w:eastAsia="en-US"/>
              </w:rPr>
            </w:pPr>
            <w:r w:rsidRPr="009772CA">
              <w:rPr>
                <w:szCs w:val="22"/>
              </w:rPr>
              <w:t>11</w:t>
            </w:r>
            <w:r w:rsidRPr="00B77163">
              <w:t xml:space="preserve"> </w:t>
            </w:r>
            <w:r w:rsidRPr="009772CA">
              <w:rPr>
                <w:szCs w:val="22"/>
              </w:rPr>
              <w:t>(3</w:t>
            </w:r>
            <w:r w:rsidR="00883A7C">
              <w:rPr>
                <w:szCs w:val="22"/>
              </w:rPr>
              <w:t>,</w:t>
            </w:r>
            <w:r w:rsidRPr="009772CA">
              <w:rPr>
                <w:szCs w:val="22"/>
              </w:rPr>
              <w:t>2)</w:t>
            </w:r>
          </w:p>
        </w:tc>
        <w:tc>
          <w:tcPr>
            <w:tcW w:w="854" w:type="pct"/>
            <w:tcBorders>
              <w:top w:val="outset" w:sz="6" w:space="0" w:color="auto"/>
              <w:left w:val="outset" w:sz="6" w:space="0" w:color="auto"/>
              <w:bottom w:val="outset" w:sz="6" w:space="0" w:color="auto"/>
              <w:right w:val="outset" w:sz="6" w:space="0" w:color="auto"/>
            </w:tcBorders>
          </w:tcPr>
          <w:p w14:paraId="1FB1DE9C" w14:textId="308BF8E6" w:rsidR="00B51AD9" w:rsidRDefault="00B51AD9" w:rsidP="00B51AD9">
            <w:pPr>
              <w:spacing w:line="256" w:lineRule="auto"/>
              <w:jc w:val="center"/>
              <w:rPr>
                <w:szCs w:val="22"/>
                <w:lang w:eastAsia="en-US"/>
              </w:rPr>
            </w:pPr>
            <w:r w:rsidRPr="009772CA">
              <w:rPr>
                <w:szCs w:val="22"/>
              </w:rPr>
              <w:t>13</w:t>
            </w:r>
            <w:r w:rsidRPr="00B77163">
              <w:t xml:space="preserve"> </w:t>
            </w:r>
            <w:r w:rsidRPr="009772CA">
              <w:rPr>
                <w:szCs w:val="22"/>
              </w:rPr>
              <w:t>(7</w:t>
            </w:r>
            <w:r w:rsidR="00883A7C">
              <w:rPr>
                <w:szCs w:val="22"/>
              </w:rPr>
              <w:t>,</w:t>
            </w:r>
            <w:r w:rsidRPr="009772CA">
              <w:rPr>
                <w:szCs w:val="22"/>
              </w:rPr>
              <w:t>6)</w:t>
            </w:r>
          </w:p>
        </w:tc>
        <w:tc>
          <w:tcPr>
            <w:tcW w:w="855" w:type="pct"/>
            <w:tcBorders>
              <w:top w:val="outset" w:sz="6" w:space="0" w:color="auto"/>
              <w:left w:val="outset" w:sz="6" w:space="0" w:color="auto"/>
              <w:bottom w:val="outset" w:sz="6" w:space="0" w:color="auto"/>
              <w:right w:val="outset" w:sz="6" w:space="0" w:color="auto"/>
            </w:tcBorders>
          </w:tcPr>
          <w:p w14:paraId="05B5CF22" w14:textId="78F4CB8A" w:rsidR="00B51AD9" w:rsidRDefault="00B51AD9" w:rsidP="00B51AD9">
            <w:pPr>
              <w:spacing w:line="256" w:lineRule="auto"/>
              <w:jc w:val="center"/>
              <w:rPr>
                <w:szCs w:val="22"/>
                <w:lang w:eastAsia="en-US"/>
              </w:rPr>
            </w:pPr>
            <w:r w:rsidRPr="009772CA">
              <w:rPr>
                <w:szCs w:val="22"/>
              </w:rPr>
              <w:t>4</w:t>
            </w:r>
            <w:r w:rsidRPr="00B77163">
              <w:t xml:space="preserve"> </w:t>
            </w:r>
            <w:r w:rsidRPr="009772CA">
              <w:rPr>
                <w:szCs w:val="22"/>
              </w:rPr>
              <w:t>(2</w:t>
            </w:r>
            <w:r w:rsidR="00883A7C">
              <w:rPr>
                <w:szCs w:val="22"/>
              </w:rPr>
              <w:t>,</w:t>
            </w:r>
            <w:r w:rsidRPr="009772CA">
              <w:rPr>
                <w:szCs w:val="22"/>
              </w:rPr>
              <w:t>3)</w:t>
            </w:r>
          </w:p>
        </w:tc>
      </w:tr>
      <w:tr w:rsidR="00B51AD9" w14:paraId="286F4F12"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394F9419" w14:textId="703F8317" w:rsidR="00B51AD9" w:rsidRDefault="00C14004" w:rsidP="00B51AD9">
            <w:pPr>
              <w:spacing w:line="256" w:lineRule="auto"/>
              <w:ind w:left="284"/>
              <w:rPr>
                <w:szCs w:val="22"/>
                <w:lang w:eastAsia="en-US"/>
              </w:rPr>
            </w:pPr>
            <w:r>
              <w:rPr>
                <w:i/>
                <w:szCs w:val="22"/>
                <w:lang w:eastAsia="en-US"/>
              </w:rPr>
              <w:t>D</w:t>
            </w:r>
            <w:r w:rsidRPr="00116F85">
              <w:rPr>
                <w:i/>
                <w:szCs w:val="22"/>
                <w:lang w:eastAsia="en-US"/>
              </w:rPr>
              <w:t>ažnas</w:t>
            </w:r>
            <w:r w:rsidRPr="00F01B67" w:rsidDel="00C14004">
              <w:rPr>
                <w:szCs w:val="22"/>
                <w:lang w:eastAsia="en-US"/>
              </w:rPr>
              <w:t xml:space="preserve"> </w:t>
            </w:r>
          </w:p>
        </w:tc>
        <w:tc>
          <w:tcPr>
            <w:tcW w:w="855" w:type="pct"/>
            <w:tcBorders>
              <w:top w:val="outset" w:sz="6" w:space="0" w:color="auto"/>
              <w:left w:val="outset" w:sz="6" w:space="0" w:color="auto"/>
              <w:bottom w:val="outset" w:sz="6" w:space="0" w:color="auto"/>
              <w:right w:val="outset" w:sz="6" w:space="0" w:color="auto"/>
            </w:tcBorders>
          </w:tcPr>
          <w:p w14:paraId="3CF1471E" w14:textId="047EA277" w:rsidR="00B51AD9" w:rsidRPr="00116F85" w:rsidRDefault="00B51AD9" w:rsidP="00B51AD9">
            <w:pPr>
              <w:spacing w:line="256" w:lineRule="auto"/>
              <w:jc w:val="center"/>
            </w:pPr>
          </w:p>
        </w:tc>
        <w:tc>
          <w:tcPr>
            <w:tcW w:w="776" w:type="pct"/>
            <w:tcBorders>
              <w:top w:val="outset" w:sz="6" w:space="0" w:color="auto"/>
              <w:left w:val="outset" w:sz="6" w:space="0" w:color="auto"/>
              <w:bottom w:val="outset" w:sz="6" w:space="0" w:color="auto"/>
              <w:right w:val="outset" w:sz="6" w:space="0" w:color="auto"/>
            </w:tcBorders>
          </w:tcPr>
          <w:p w14:paraId="0F42210B" w14:textId="4EFFB75A" w:rsidR="00B51AD9" w:rsidRPr="00116F85" w:rsidRDefault="00B51AD9" w:rsidP="00B51AD9">
            <w:pPr>
              <w:spacing w:line="256" w:lineRule="auto"/>
              <w:jc w:val="center"/>
            </w:pPr>
          </w:p>
        </w:tc>
        <w:tc>
          <w:tcPr>
            <w:tcW w:w="854" w:type="pct"/>
            <w:tcBorders>
              <w:top w:val="outset" w:sz="6" w:space="0" w:color="auto"/>
              <w:left w:val="outset" w:sz="6" w:space="0" w:color="auto"/>
              <w:bottom w:val="outset" w:sz="6" w:space="0" w:color="auto"/>
              <w:right w:val="outset" w:sz="6" w:space="0" w:color="auto"/>
            </w:tcBorders>
          </w:tcPr>
          <w:p w14:paraId="76FA5FFC" w14:textId="265CA047" w:rsidR="00B51AD9" w:rsidRPr="00116F85" w:rsidRDefault="00B51AD9" w:rsidP="00B51AD9">
            <w:pPr>
              <w:spacing w:line="256" w:lineRule="auto"/>
              <w:jc w:val="center"/>
            </w:pPr>
          </w:p>
        </w:tc>
        <w:tc>
          <w:tcPr>
            <w:tcW w:w="855" w:type="pct"/>
            <w:tcBorders>
              <w:top w:val="outset" w:sz="6" w:space="0" w:color="auto"/>
              <w:left w:val="outset" w:sz="6" w:space="0" w:color="auto"/>
              <w:bottom w:val="outset" w:sz="6" w:space="0" w:color="auto"/>
              <w:right w:val="outset" w:sz="6" w:space="0" w:color="auto"/>
            </w:tcBorders>
          </w:tcPr>
          <w:p w14:paraId="7E414133" w14:textId="4A7D9816" w:rsidR="00B51AD9" w:rsidRPr="00116F85" w:rsidRDefault="00B51AD9" w:rsidP="00B51AD9">
            <w:pPr>
              <w:spacing w:line="256" w:lineRule="auto"/>
              <w:jc w:val="center"/>
            </w:pPr>
          </w:p>
        </w:tc>
      </w:tr>
      <w:tr w:rsidR="00B51AD9" w14:paraId="4C55B7BA" w14:textId="77777777" w:rsidTr="00B77163">
        <w:trPr>
          <w:gridAfter w:val="1"/>
          <w:wAfter w:w="5" w:type="pct"/>
          <w:tblCellSpacing w:w="0" w:type="dxa"/>
        </w:trPr>
        <w:tc>
          <w:tcPr>
            <w:tcW w:w="1655" w:type="pct"/>
            <w:tcBorders>
              <w:top w:val="outset" w:sz="6" w:space="0" w:color="auto"/>
              <w:left w:val="outset" w:sz="6" w:space="0" w:color="auto"/>
              <w:bottom w:val="outset" w:sz="6" w:space="0" w:color="auto"/>
              <w:right w:val="outset" w:sz="6" w:space="0" w:color="auto"/>
            </w:tcBorders>
          </w:tcPr>
          <w:p w14:paraId="4AB58A7A" w14:textId="199304CC" w:rsidR="00B51AD9" w:rsidRPr="00F01B67" w:rsidRDefault="00C14004" w:rsidP="00B51AD9">
            <w:pPr>
              <w:spacing w:line="256" w:lineRule="auto"/>
              <w:ind w:left="284"/>
              <w:rPr>
                <w:szCs w:val="22"/>
                <w:lang w:eastAsia="en-US"/>
              </w:rPr>
            </w:pPr>
            <w:r w:rsidRPr="00F01B67">
              <w:rPr>
                <w:szCs w:val="22"/>
                <w:lang w:eastAsia="en-US"/>
              </w:rPr>
              <w:t>Padidėjęs A</w:t>
            </w:r>
            <w:r>
              <w:rPr>
                <w:szCs w:val="22"/>
                <w:lang w:eastAsia="en-US"/>
              </w:rPr>
              <w:t>L</w:t>
            </w:r>
            <w:r w:rsidRPr="00F01B67">
              <w:rPr>
                <w:szCs w:val="22"/>
                <w:lang w:eastAsia="en-US"/>
              </w:rPr>
              <w:t>T aktyvumas</w:t>
            </w:r>
          </w:p>
        </w:tc>
        <w:tc>
          <w:tcPr>
            <w:tcW w:w="855" w:type="pct"/>
            <w:tcBorders>
              <w:top w:val="outset" w:sz="6" w:space="0" w:color="auto"/>
              <w:left w:val="outset" w:sz="6" w:space="0" w:color="auto"/>
              <w:bottom w:val="outset" w:sz="6" w:space="0" w:color="auto"/>
              <w:right w:val="outset" w:sz="6" w:space="0" w:color="auto"/>
            </w:tcBorders>
          </w:tcPr>
          <w:p w14:paraId="318E3A1F" w14:textId="72C671DA" w:rsidR="00B51AD9" w:rsidDel="00B51AD9" w:rsidRDefault="00B51AD9" w:rsidP="00B51AD9">
            <w:pPr>
              <w:spacing w:line="256" w:lineRule="auto"/>
              <w:jc w:val="center"/>
            </w:pPr>
            <w:r w:rsidRPr="009772CA">
              <w:rPr>
                <w:szCs w:val="22"/>
              </w:rPr>
              <w:t>30</w:t>
            </w:r>
            <w:r w:rsidRPr="00B77163">
              <w:t xml:space="preserve"> </w:t>
            </w:r>
            <w:r w:rsidRPr="009772CA">
              <w:rPr>
                <w:szCs w:val="22"/>
              </w:rPr>
              <w:t>(8</w:t>
            </w:r>
            <w:r w:rsidR="00883A7C">
              <w:rPr>
                <w:szCs w:val="22"/>
              </w:rPr>
              <w:t>,</w:t>
            </w:r>
            <w:r w:rsidRPr="009772CA">
              <w:rPr>
                <w:szCs w:val="22"/>
              </w:rPr>
              <w:t>7)</w:t>
            </w:r>
          </w:p>
        </w:tc>
        <w:tc>
          <w:tcPr>
            <w:tcW w:w="776" w:type="pct"/>
            <w:tcBorders>
              <w:top w:val="outset" w:sz="6" w:space="0" w:color="auto"/>
              <w:left w:val="outset" w:sz="6" w:space="0" w:color="auto"/>
              <w:bottom w:val="outset" w:sz="6" w:space="0" w:color="auto"/>
              <w:right w:val="outset" w:sz="6" w:space="0" w:color="auto"/>
            </w:tcBorders>
          </w:tcPr>
          <w:p w14:paraId="38587BE6" w14:textId="3C0FA82F" w:rsidR="00B51AD9" w:rsidDel="00B51AD9" w:rsidRDefault="00B51AD9" w:rsidP="00B51AD9">
            <w:pPr>
              <w:spacing w:line="256" w:lineRule="auto"/>
              <w:jc w:val="center"/>
            </w:pPr>
            <w:r w:rsidRPr="009772CA">
              <w:rPr>
                <w:szCs w:val="22"/>
              </w:rPr>
              <w:t>7</w:t>
            </w:r>
            <w:r w:rsidRPr="00B77163">
              <w:t xml:space="preserve"> </w:t>
            </w:r>
            <w:r w:rsidRPr="009772CA">
              <w:rPr>
                <w:szCs w:val="22"/>
              </w:rPr>
              <w:t>(2</w:t>
            </w:r>
            <w:r w:rsidR="00883A7C">
              <w:rPr>
                <w:szCs w:val="22"/>
              </w:rPr>
              <w:t>,</w:t>
            </w:r>
            <w:r w:rsidRPr="009772CA">
              <w:rPr>
                <w:szCs w:val="22"/>
              </w:rPr>
              <w:t>0)</w:t>
            </w:r>
          </w:p>
        </w:tc>
        <w:tc>
          <w:tcPr>
            <w:tcW w:w="854" w:type="pct"/>
            <w:tcBorders>
              <w:top w:val="outset" w:sz="6" w:space="0" w:color="auto"/>
              <w:left w:val="outset" w:sz="6" w:space="0" w:color="auto"/>
              <w:bottom w:val="outset" w:sz="6" w:space="0" w:color="auto"/>
              <w:right w:val="outset" w:sz="6" w:space="0" w:color="auto"/>
            </w:tcBorders>
          </w:tcPr>
          <w:p w14:paraId="3595E8B8" w14:textId="7447022B" w:rsidR="00B51AD9" w:rsidDel="00B51AD9" w:rsidRDefault="00B51AD9" w:rsidP="00B51AD9">
            <w:pPr>
              <w:spacing w:line="256" w:lineRule="auto"/>
              <w:jc w:val="center"/>
            </w:pPr>
            <w:r w:rsidRPr="009772CA">
              <w:rPr>
                <w:szCs w:val="22"/>
              </w:rPr>
              <w:t>10</w:t>
            </w:r>
            <w:r w:rsidRPr="0077444B">
              <w:t xml:space="preserve"> </w:t>
            </w:r>
            <w:r w:rsidRPr="009772CA">
              <w:rPr>
                <w:szCs w:val="22"/>
              </w:rPr>
              <w:t>(5</w:t>
            </w:r>
            <w:r w:rsidR="00883A7C">
              <w:rPr>
                <w:szCs w:val="22"/>
              </w:rPr>
              <w:t>,</w:t>
            </w:r>
            <w:r w:rsidRPr="009772CA">
              <w:rPr>
                <w:szCs w:val="22"/>
              </w:rPr>
              <w:t>8)</w:t>
            </w:r>
          </w:p>
        </w:tc>
        <w:tc>
          <w:tcPr>
            <w:tcW w:w="855" w:type="pct"/>
            <w:tcBorders>
              <w:top w:val="outset" w:sz="6" w:space="0" w:color="auto"/>
              <w:left w:val="outset" w:sz="6" w:space="0" w:color="auto"/>
              <w:bottom w:val="outset" w:sz="6" w:space="0" w:color="auto"/>
              <w:right w:val="outset" w:sz="6" w:space="0" w:color="auto"/>
            </w:tcBorders>
          </w:tcPr>
          <w:p w14:paraId="530D9D3B" w14:textId="7CCC7EE5" w:rsidR="00B51AD9" w:rsidDel="00B51AD9" w:rsidRDefault="00B51AD9" w:rsidP="00B51AD9">
            <w:pPr>
              <w:spacing w:line="256" w:lineRule="auto"/>
              <w:jc w:val="center"/>
            </w:pPr>
            <w:r w:rsidRPr="009772CA">
              <w:rPr>
                <w:szCs w:val="22"/>
              </w:rPr>
              <w:t>1 (0</w:t>
            </w:r>
            <w:r w:rsidR="00883A7C">
              <w:rPr>
                <w:szCs w:val="22"/>
              </w:rPr>
              <w:t>,</w:t>
            </w:r>
            <w:r w:rsidRPr="009772CA">
              <w:rPr>
                <w:szCs w:val="22"/>
              </w:rPr>
              <w:t>6)</w:t>
            </w:r>
          </w:p>
        </w:tc>
      </w:tr>
    </w:tbl>
    <w:p w14:paraId="51391DA9" w14:textId="4C2D1778" w:rsidR="00F01B67" w:rsidRPr="00B77163" w:rsidRDefault="00F01B67" w:rsidP="00F01B67">
      <w:pPr>
        <w:autoSpaceDE w:val="0"/>
        <w:autoSpaceDN w:val="0"/>
        <w:adjustRightInd w:val="0"/>
        <w:rPr>
          <w:rFonts w:eastAsia="Batang"/>
          <w:sz w:val="20"/>
        </w:rPr>
      </w:pPr>
      <w:r w:rsidRPr="00B77163">
        <w:rPr>
          <w:rFonts w:eastAsia="Batang"/>
          <w:sz w:val="20"/>
        </w:rPr>
        <w:t xml:space="preserve">ALT </w:t>
      </w:r>
      <w:r w:rsidRPr="00B77163">
        <w:rPr>
          <w:rFonts w:eastAsia="Batang" w:hint="eastAsia"/>
          <w:sz w:val="20"/>
        </w:rPr>
        <w:t>–</w:t>
      </w:r>
      <w:r w:rsidRPr="00B77163">
        <w:rPr>
          <w:rFonts w:eastAsia="Batang"/>
          <w:sz w:val="20"/>
        </w:rPr>
        <w:t xml:space="preserve"> alanino aminotransferazė, AST </w:t>
      </w:r>
      <w:r w:rsidRPr="00B77163">
        <w:rPr>
          <w:rFonts w:eastAsia="Batang" w:hint="eastAsia"/>
          <w:sz w:val="20"/>
        </w:rPr>
        <w:t>–</w:t>
      </w:r>
      <w:r w:rsidRPr="00B77163">
        <w:rPr>
          <w:rFonts w:eastAsia="Batang"/>
          <w:sz w:val="20"/>
        </w:rPr>
        <w:t xml:space="preserve"> aspartato aminotransferazė, N/n </w:t>
      </w:r>
      <w:r w:rsidRPr="00B77163">
        <w:rPr>
          <w:rFonts w:eastAsia="Batang" w:hint="eastAsia"/>
          <w:sz w:val="20"/>
        </w:rPr>
        <w:t>–</w:t>
      </w:r>
      <w:r w:rsidRPr="00B77163">
        <w:rPr>
          <w:rFonts w:eastAsia="Batang"/>
          <w:sz w:val="20"/>
        </w:rPr>
        <w:t xml:space="preserve"> pacientų skaičius</w:t>
      </w:r>
      <w:r w:rsidR="00C14004" w:rsidRPr="00B77163">
        <w:rPr>
          <w:rFonts w:eastAsia="Batang"/>
          <w:sz w:val="20"/>
        </w:rPr>
        <w:t xml:space="preserve">, </w:t>
      </w:r>
      <w:r w:rsidR="00C14004">
        <w:rPr>
          <w:rFonts w:eastAsia="Batang"/>
          <w:sz w:val="20"/>
          <w:lang w:eastAsia="en-US"/>
        </w:rPr>
        <w:t>NA-netaikoma</w:t>
      </w:r>
    </w:p>
    <w:p w14:paraId="1733B81C" w14:textId="77777777" w:rsidR="00F01B67" w:rsidRPr="00B77163" w:rsidRDefault="00F01B67" w:rsidP="00F01B67">
      <w:pPr>
        <w:autoSpaceDE w:val="0"/>
        <w:autoSpaceDN w:val="0"/>
        <w:adjustRightInd w:val="0"/>
        <w:rPr>
          <w:rFonts w:eastAsia="Batang"/>
          <w:sz w:val="20"/>
        </w:rPr>
      </w:pPr>
      <w:r w:rsidRPr="00B77163">
        <w:rPr>
          <w:rFonts w:eastAsia="Batang"/>
          <w:sz w:val="20"/>
          <w:vertAlign w:val="superscript"/>
        </w:rPr>
        <w:t xml:space="preserve">a </w:t>
      </w:r>
      <w:r w:rsidRPr="00B77163">
        <w:rPr>
          <w:rFonts w:eastAsia="Batang"/>
          <w:sz w:val="20"/>
        </w:rPr>
        <w:t>Tinkamiausi terminai (PT) išvardyti pagal MedDRA 17.1.</w:t>
      </w:r>
    </w:p>
    <w:p w14:paraId="362ACA3D" w14:textId="77777777" w:rsidR="00F01B67" w:rsidRPr="00B77163" w:rsidRDefault="00F01B67" w:rsidP="00F01B67">
      <w:pPr>
        <w:autoSpaceDE w:val="0"/>
        <w:autoSpaceDN w:val="0"/>
        <w:adjustRightInd w:val="0"/>
        <w:rPr>
          <w:rFonts w:eastAsia="Batang"/>
          <w:sz w:val="20"/>
        </w:rPr>
      </w:pPr>
      <w:r w:rsidRPr="00B77163">
        <w:rPr>
          <w:rFonts w:eastAsia="Batang"/>
          <w:sz w:val="20"/>
          <w:vertAlign w:val="superscript"/>
        </w:rPr>
        <w:t>b</w:t>
      </w:r>
      <w:r w:rsidRPr="00B77163">
        <w:rPr>
          <w:rFonts w:eastAsia="Batang"/>
          <w:sz w:val="20"/>
        </w:rPr>
        <w:t xml:space="preserve"> Infekcijos apima visus PT, nurodytus infekcijų ir infestacijų organų sistemų grupėje.</w:t>
      </w:r>
    </w:p>
    <w:p w14:paraId="229D4540" w14:textId="77777777" w:rsidR="00F01B67" w:rsidRPr="00B77163" w:rsidRDefault="00F01B67" w:rsidP="00F01B67">
      <w:pPr>
        <w:autoSpaceDE w:val="0"/>
        <w:autoSpaceDN w:val="0"/>
        <w:adjustRightInd w:val="0"/>
        <w:rPr>
          <w:rFonts w:eastAsia="Batang"/>
          <w:sz w:val="20"/>
        </w:rPr>
      </w:pPr>
      <w:r w:rsidRPr="00B77163">
        <w:rPr>
          <w:rFonts w:eastAsia="Batang"/>
          <w:sz w:val="20"/>
          <w:vertAlign w:val="superscript"/>
        </w:rPr>
        <w:t>c</w:t>
      </w:r>
      <w:r w:rsidRPr="00B77163">
        <w:rPr>
          <w:rFonts w:eastAsia="Batang"/>
          <w:sz w:val="20"/>
        </w:rPr>
        <w:t xml:space="preserve"> Neutropenija apima šiuos PT: neutropenija, sumažėjęs neutrofilų kiekis.</w:t>
      </w:r>
    </w:p>
    <w:p w14:paraId="06767FD8" w14:textId="77777777" w:rsidR="00F01B67" w:rsidRPr="00B77163" w:rsidRDefault="00F01B67" w:rsidP="00F01B67">
      <w:pPr>
        <w:autoSpaceDE w:val="0"/>
        <w:autoSpaceDN w:val="0"/>
        <w:adjustRightInd w:val="0"/>
        <w:rPr>
          <w:rFonts w:eastAsia="Batang"/>
          <w:sz w:val="20"/>
        </w:rPr>
      </w:pPr>
      <w:r w:rsidRPr="00B77163">
        <w:rPr>
          <w:rFonts w:eastAsia="Batang"/>
          <w:sz w:val="20"/>
          <w:vertAlign w:val="superscript"/>
        </w:rPr>
        <w:t>d</w:t>
      </w:r>
      <w:r w:rsidRPr="00B77163">
        <w:rPr>
          <w:rFonts w:eastAsia="Batang"/>
          <w:sz w:val="20"/>
        </w:rPr>
        <w:t xml:space="preserve"> Leukopenija apima šiuos PT: leukopenija, sumažėjęs baltųjų kraujo ląstelių kiekis.</w:t>
      </w:r>
    </w:p>
    <w:p w14:paraId="0B1341E9" w14:textId="77777777" w:rsidR="00F01B67" w:rsidRPr="00B77163" w:rsidRDefault="00F01B67" w:rsidP="00F01B67">
      <w:pPr>
        <w:autoSpaceDE w:val="0"/>
        <w:autoSpaceDN w:val="0"/>
        <w:adjustRightInd w:val="0"/>
        <w:rPr>
          <w:rFonts w:eastAsia="Batang"/>
          <w:sz w:val="20"/>
        </w:rPr>
      </w:pPr>
      <w:r w:rsidRPr="00B77163">
        <w:rPr>
          <w:rFonts w:eastAsia="Batang"/>
          <w:sz w:val="20"/>
          <w:vertAlign w:val="superscript"/>
        </w:rPr>
        <w:lastRenderedPageBreak/>
        <w:t>e</w:t>
      </w:r>
      <w:r w:rsidRPr="00B77163">
        <w:rPr>
          <w:rFonts w:eastAsia="Batang"/>
          <w:sz w:val="20"/>
        </w:rPr>
        <w:t xml:space="preserve"> Anemija apima šiuos PT: anemija, sumažėjusi hemoglobino koncentracija, sumažėjęs hematokritas.</w:t>
      </w:r>
    </w:p>
    <w:p w14:paraId="7CD44336" w14:textId="77777777" w:rsidR="00F01B67" w:rsidRPr="00B77163" w:rsidRDefault="00F01B67" w:rsidP="00F01B67">
      <w:pPr>
        <w:autoSpaceDE w:val="0"/>
        <w:autoSpaceDN w:val="0"/>
        <w:adjustRightInd w:val="0"/>
        <w:rPr>
          <w:rFonts w:eastAsia="Batang"/>
          <w:sz w:val="20"/>
        </w:rPr>
      </w:pPr>
      <w:r w:rsidRPr="00B77163">
        <w:rPr>
          <w:rFonts w:eastAsia="Batang"/>
          <w:sz w:val="20"/>
          <w:vertAlign w:val="superscript"/>
        </w:rPr>
        <w:t>f</w:t>
      </w:r>
      <w:r w:rsidRPr="00B77163">
        <w:rPr>
          <w:rFonts w:eastAsia="Batang"/>
          <w:sz w:val="20"/>
        </w:rPr>
        <w:t xml:space="preserve"> Trombocitopenija apima šiuos PT: trombocitopenija, sumažėjęs trombocitų kiekis.</w:t>
      </w:r>
    </w:p>
    <w:p w14:paraId="762357F7" w14:textId="77777777" w:rsidR="00F01B67" w:rsidRPr="00B77163" w:rsidRDefault="00F01B67" w:rsidP="00901F66">
      <w:pPr>
        <w:autoSpaceDE w:val="0"/>
        <w:autoSpaceDN w:val="0"/>
        <w:adjustRightInd w:val="0"/>
        <w:ind w:left="142" w:hanging="142"/>
        <w:rPr>
          <w:rFonts w:eastAsia="Batang"/>
          <w:sz w:val="20"/>
        </w:rPr>
      </w:pPr>
      <w:r w:rsidRPr="00B77163">
        <w:rPr>
          <w:rFonts w:eastAsia="Batang"/>
          <w:sz w:val="20"/>
        </w:rPr>
        <w:t xml:space="preserve">g Stomatitas apima </w:t>
      </w:r>
      <w:r w:rsidRPr="00B77163">
        <w:rPr>
          <w:rFonts w:eastAsia="Batang" w:hint="eastAsia"/>
          <w:sz w:val="20"/>
        </w:rPr>
        <w:t>š</w:t>
      </w:r>
      <w:r w:rsidRPr="00B77163">
        <w:rPr>
          <w:rFonts w:eastAsia="Batang"/>
          <w:sz w:val="20"/>
        </w:rPr>
        <w:t>iuos PT: aftinis stomatitas, cheilitas, glositas, glosodinija, išopėjusi burnos ertmė, gleivinės uždegimas, burnos ertmės skausmas, burnos ertmės ir ryklės diskomfortas, burnos ertmės ir ryklės skausmas, stomatitas.</w:t>
      </w:r>
    </w:p>
    <w:p w14:paraId="44F2878E" w14:textId="77777777" w:rsidR="004D7EFD" w:rsidRPr="00B77163" w:rsidRDefault="00F01B67" w:rsidP="00901F66">
      <w:pPr>
        <w:autoSpaceDE w:val="0"/>
        <w:autoSpaceDN w:val="0"/>
        <w:adjustRightInd w:val="0"/>
        <w:ind w:left="142" w:hanging="142"/>
        <w:rPr>
          <w:sz w:val="20"/>
        </w:rPr>
      </w:pPr>
      <w:r w:rsidRPr="00B77163">
        <w:rPr>
          <w:rFonts w:eastAsia="Batang"/>
          <w:sz w:val="20"/>
          <w:vertAlign w:val="superscript"/>
        </w:rPr>
        <w:t>h</w:t>
      </w:r>
      <w:r w:rsidRPr="00B77163">
        <w:rPr>
          <w:rFonts w:eastAsia="Batang"/>
          <w:sz w:val="20"/>
        </w:rPr>
        <w:t xml:space="preserve"> Išbėrimas apima šiuos PT: išbėrimas, išbėrimas dėmelėmis ir mazgeliais, niežtintis išbėrimas, eriteminis išbėrimas, išbėrimas mazgeliais, dermatitas, spuoginis dermatitas, toksinis odos išbėrimas.</w:t>
      </w:r>
    </w:p>
    <w:p w14:paraId="274730EC" w14:textId="77777777" w:rsidR="00F01B67" w:rsidRPr="00901F66" w:rsidRDefault="00F01B67" w:rsidP="004364B8">
      <w:pPr>
        <w:rPr>
          <w:sz w:val="20"/>
          <w:lang w:eastAsia="en-US"/>
        </w:rPr>
      </w:pPr>
    </w:p>
    <w:p w14:paraId="712C9B82" w14:textId="77777777" w:rsidR="00F01B67" w:rsidRPr="00F01B67" w:rsidRDefault="00F01B67" w:rsidP="00F01B67">
      <w:pPr>
        <w:rPr>
          <w:szCs w:val="22"/>
          <w:u w:val="single"/>
          <w:lang w:eastAsia="en-US"/>
        </w:rPr>
      </w:pPr>
      <w:r w:rsidRPr="00F01B67">
        <w:rPr>
          <w:szCs w:val="22"/>
          <w:u w:val="single"/>
          <w:lang w:eastAsia="en-US"/>
        </w:rPr>
        <w:t>Atrinktų nepageidaujamų reakcijų apibūdinimas</w:t>
      </w:r>
    </w:p>
    <w:p w14:paraId="5756B8E5" w14:textId="77777777" w:rsidR="00F01B67" w:rsidRPr="00901F66" w:rsidRDefault="00F01B67" w:rsidP="00F01B67">
      <w:pPr>
        <w:rPr>
          <w:i/>
          <w:szCs w:val="22"/>
          <w:lang w:eastAsia="en-US"/>
        </w:rPr>
      </w:pPr>
      <w:r w:rsidRPr="00901F66">
        <w:rPr>
          <w:i/>
          <w:szCs w:val="22"/>
          <w:lang w:eastAsia="en-US"/>
        </w:rPr>
        <w:t>Neutropenija</w:t>
      </w:r>
    </w:p>
    <w:p w14:paraId="35000DF9" w14:textId="2C5252AA" w:rsidR="00F01B67" w:rsidRPr="00F01B67" w:rsidRDefault="00F01B67" w:rsidP="00F01B67">
      <w:pPr>
        <w:rPr>
          <w:szCs w:val="22"/>
          <w:lang w:eastAsia="en-US"/>
        </w:rPr>
      </w:pPr>
      <w:r w:rsidRPr="00901F66">
        <w:rPr>
          <w:szCs w:val="22"/>
          <w:lang w:eastAsia="en-US"/>
        </w:rPr>
        <w:t xml:space="preserve">PALOMA3 tyrimo metu bet kurio laipsnio neutropenija </w:t>
      </w:r>
      <w:r>
        <w:rPr>
          <w:szCs w:val="22"/>
          <w:lang w:eastAsia="en-US"/>
        </w:rPr>
        <w:t>buvo nustatyta</w:t>
      </w:r>
      <w:r w:rsidRPr="00901F66">
        <w:rPr>
          <w:szCs w:val="22"/>
          <w:lang w:eastAsia="en-US"/>
        </w:rPr>
        <w:t xml:space="preserve"> 2</w:t>
      </w:r>
      <w:r w:rsidR="00C14004">
        <w:rPr>
          <w:szCs w:val="22"/>
          <w:lang w:eastAsia="en-US"/>
        </w:rPr>
        <w:t>90</w:t>
      </w:r>
      <w:r w:rsidRPr="00901F66">
        <w:rPr>
          <w:szCs w:val="22"/>
          <w:lang w:eastAsia="en-US"/>
        </w:rPr>
        <w:t xml:space="preserve"> (8</w:t>
      </w:r>
      <w:r w:rsidR="00C14004">
        <w:rPr>
          <w:szCs w:val="22"/>
          <w:lang w:eastAsia="en-US"/>
        </w:rPr>
        <w:t>4</w:t>
      </w:r>
      <w:r w:rsidRPr="00901F66">
        <w:rPr>
          <w:szCs w:val="22"/>
          <w:lang w:eastAsia="en-US"/>
        </w:rPr>
        <w:t>,</w:t>
      </w:r>
      <w:r w:rsidR="00C14004">
        <w:rPr>
          <w:szCs w:val="22"/>
          <w:lang w:eastAsia="en-US"/>
        </w:rPr>
        <w:t>1</w:t>
      </w:r>
      <w:r w:rsidR="00FC03AF">
        <w:rPr>
          <w:szCs w:val="22"/>
          <w:lang w:eastAsia="en-US"/>
        </w:rPr>
        <w:t> </w:t>
      </w:r>
      <w:r w:rsidRPr="00901F66">
        <w:rPr>
          <w:szCs w:val="22"/>
          <w:lang w:eastAsia="en-US"/>
        </w:rPr>
        <w:t>%), 3</w:t>
      </w:r>
      <w:r w:rsidR="00FC03AF">
        <w:rPr>
          <w:szCs w:val="22"/>
          <w:lang w:eastAsia="en-US"/>
        </w:rPr>
        <w:t> </w:t>
      </w:r>
      <w:r w:rsidRPr="00901F66">
        <w:rPr>
          <w:szCs w:val="22"/>
          <w:lang w:eastAsia="en-US"/>
        </w:rPr>
        <w:t>laipsnio</w:t>
      </w:r>
      <w:r>
        <w:rPr>
          <w:szCs w:val="22"/>
          <w:lang w:eastAsia="en-US"/>
        </w:rPr>
        <w:t xml:space="preserve"> </w:t>
      </w:r>
      <w:r w:rsidRPr="00901F66">
        <w:rPr>
          <w:szCs w:val="22"/>
          <w:lang w:eastAsia="en-US"/>
        </w:rPr>
        <w:t xml:space="preserve">neutropenija – </w:t>
      </w:r>
      <w:r w:rsidR="00C14004">
        <w:rPr>
          <w:szCs w:val="22"/>
          <w:lang w:eastAsia="en-US"/>
        </w:rPr>
        <w:t>200</w:t>
      </w:r>
      <w:r w:rsidRPr="00901F66">
        <w:rPr>
          <w:szCs w:val="22"/>
          <w:lang w:eastAsia="en-US"/>
        </w:rPr>
        <w:t xml:space="preserve"> (5</w:t>
      </w:r>
      <w:r w:rsidR="00C14004">
        <w:rPr>
          <w:szCs w:val="22"/>
          <w:lang w:eastAsia="en-US"/>
        </w:rPr>
        <w:t>8</w:t>
      </w:r>
      <w:r w:rsidR="00FC03AF">
        <w:rPr>
          <w:szCs w:val="22"/>
          <w:lang w:eastAsia="en-US"/>
        </w:rPr>
        <w:t> </w:t>
      </w:r>
      <w:r w:rsidRPr="00901F66">
        <w:rPr>
          <w:szCs w:val="22"/>
          <w:lang w:eastAsia="en-US"/>
        </w:rPr>
        <w:t>%), 4</w:t>
      </w:r>
      <w:r w:rsidR="00FC03AF">
        <w:rPr>
          <w:szCs w:val="22"/>
          <w:lang w:eastAsia="en-US"/>
        </w:rPr>
        <w:t> </w:t>
      </w:r>
      <w:r w:rsidRPr="00901F66">
        <w:rPr>
          <w:szCs w:val="22"/>
          <w:lang w:eastAsia="en-US"/>
        </w:rPr>
        <w:t xml:space="preserve">laipsnio neutropenija – </w:t>
      </w:r>
      <w:r w:rsidR="00C14004">
        <w:rPr>
          <w:szCs w:val="22"/>
          <w:lang w:eastAsia="en-US"/>
        </w:rPr>
        <w:t>40</w:t>
      </w:r>
      <w:r w:rsidRPr="00901F66">
        <w:rPr>
          <w:szCs w:val="22"/>
          <w:lang w:eastAsia="en-US"/>
        </w:rPr>
        <w:t xml:space="preserve"> (1</w:t>
      </w:r>
      <w:r w:rsidR="00C14004">
        <w:rPr>
          <w:szCs w:val="22"/>
          <w:lang w:eastAsia="en-US"/>
        </w:rPr>
        <w:t>1</w:t>
      </w:r>
      <w:r w:rsidRPr="00901F66">
        <w:rPr>
          <w:szCs w:val="22"/>
          <w:lang w:eastAsia="en-US"/>
        </w:rPr>
        <w:t>,</w:t>
      </w:r>
      <w:r w:rsidR="00C14004">
        <w:rPr>
          <w:szCs w:val="22"/>
          <w:lang w:eastAsia="en-US"/>
        </w:rPr>
        <w:t>6</w:t>
      </w:r>
      <w:r w:rsidR="00FC03AF">
        <w:rPr>
          <w:szCs w:val="22"/>
          <w:lang w:eastAsia="en-US"/>
        </w:rPr>
        <w:t> </w:t>
      </w:r>
      <w:r w:rsidRPr="00901F66">
        <w:rPr>
          <w:szCs w:val="22"/>
          <w:lang w:eastAsia="en-US"/>
        </w:rPr>
        <w:t>%) fulvestrant</w:t>
      </w:r>
      <w:r>
        <w:rPr>
          <w:szCs w:val="22"/>
          <w:lang w:eastAsia="en-US"/>
        </w:rPr>
        <w:t>o</w:t>
      </w:r>
      <w:r w:rsidRPr="00901F66">
        <w:rPr>
          <w:szCs w:val="22"/>
          <w:lang w:eastAsia="en-US"/>
        </w:rPr>
        <w:t xml:space="preserve"> kartu su palbociklibu</w:t>
      </w:r>
      <w:r>
        <w:rPr>
          <w:szCs w:val="22"/>
          <w:lang w:eastAsia="en-US"/>
        </w:rPr>
        <w:t xml:space="preserve"> </w:t>
      </w:r>
      <w:r w:rsidRPr="00901F66">
        <w:rPr>
          <w:szCs w:val="22"/>
          <w:lang w:eastAsia="en-US"/>
        </w:rPr>
        <w:t>vartojusioms pacientėms. Fulvestranto ir placebo derinio grupėje (n=172) bet kurio laipsnio</w:t>
      </w:r>
      <w:r>
        <w:rPr>
          <w:szCs w:val="22"/>
          <w:lang w:eastAsia="en-US"/>
        </w:rPr>
        <w:t xml:space="preserve"> </w:t>
      </w:r>
      <w:r w:rsidRPr="00F01B67">
        <w:rPr>
          <w:szCs w:val="22"/>
          <w:lang w:eastAsia="en-US"/>
        </w:rPr>
        <w:t xml:space="preserve">neutropenija buvo nustatyta </w:t>
      </w:r>
      <w:r w:rsidR="00C14004">
        <w:rPr>
          <w:szCs w:val="22"/>
          <w:lang w:eastAsia="en-US"/>
        </w:rPr>
        <w:t>6</w:t>
      </w:r>
      <w:r w:rsidRPr="00F01B67">
        <w:rPr>
          <w:szCs w:val="22"/>
          <w:lang w:eastAsia="en-US"/>
        </w:rPr>
        <w:t xml:space="preserve"> (</w:t>
      </w:r>
      <w:r w:rsidR="00C14004">
        <w:rPr>
          <w:szCs w:val="22"/>
          <w:lang w:eastAsia="en-US"/>
        </w:rPr>
        <w:t>3</w:t>
      </w:r>
      <w:r w:rsidRPr="00F01B67">
        <w:rPr>
          <w:szCs w:val="22"/>
          <w:lang w:eastAsia="en-US"/>
        </w:rPr>
        <w:t>,</w:t>
      </w:r>
      <w:r w:rsidR="00C14004">
        <w:rPr>
          <w:szCs w:val="22"/>
          <w:lang w:eastAsia="en-US"/>
        </w:rPr>
        <w:t>5</w:t>
      </w:r>
      <w:r w:rsidR="00FC03AF">
        <w:rPr>
          <w:szCs w:val="22"/>
          <w:lang w:eastAsia="en-US"/>
        </w:rPr>
        <w:t> </w:t>
      </w:r>
      <w:r w:rsidRPr="00F01B67">
        <w:rPr>
          <w:szCs w:val="22"/>
          <w:lang w:eastAsia="en-US"/>
        </w:rPr>
        <w:t>%)</w:t>
      </w:r>
      <w:r w:rsidR="00C14004">
        <w:rPr>
          <w:szCs w:val="22"/>
          <w:lang w:eastAsia="en-US"/>
        </w:rPr>
        <w:t>.</w:t>
      </w:r>
      <w:r w:rsidRPr="00F01B67">
        <w:rPr>
          <w:szCs w:val="22"/>
          <w:lang w:eastAsia="en-US"/>
        </w:rPr>
        <w:t xml:space="preserve"> </w:t>
      </w:r>
      <w:r w:rsidR="0072236B">
        <w:rPr>
          <w:szCs w:val="22"/>
          <w:lang w:eastAsia="en-US"/>
        </w:rPr>
        <w:t xml:space="preserve">Pranešimų apie </w:t>
      </w:r>
      <w:r w:rsidR="00C14004">
        <w:rPr>
          <w:szCs w:val="22"/>
          <w:lang w:eastAsia="en-US"/>
        </w:rPr>
        <w:t xml:space="preserve">3 ir </w:t>
      </w:r>
      <w:r w:rsidRPr="00F01B67">
        <w:rPr>
          <w:szCs w:val="22"/>
          <w:lang w:eastAsia="en-US"/>
        </w:rPr>
        <w:t>4</w:t>
      </w:r>
      <w:r w:rsidR="00FC03AF">
        <w:rPr>
          <w:szCs w:val="22"/>
          <w:lang w:eastAsia="en-US"/>
        </w:rPr>
        <w:t> </w:t>
      </w:r>
      <w:r w:rsidRPr="00F01B67">
        <w:rPr>
          <w:szCs w:val="22"/>
          <w:lang w:eastAsia="en-US"/>
        </w:rPr>
        <w:t>laipsnio</w:t>
      </w:r>
      <w:r>
        <w:rPr>
          <w:szCs w:val="22"/>
          <w:lang w:eastAsia="en-US"/>
        </w:rPr>
        <w:t xml:space="preserve"> </w:t>
      </w:r>
      <w:r w:rsidRPr="00F01B67">
        <w:rPr>
          <w:szCs w:val="22"/>
          <w:lang w:eastAsia="en-US"/>
        </w:rPr>
        <w:t>neutropenijos atvej</w:t>
      </w:r>
      <w:r w:rsidR="0072236B">
        <w:rPr>
          <w:szCs w:val="22"/>
          <w:lang w:eastAsia="en-US"/>
        </w:rPr>
        <w:t>us</w:t>
      </w:r>
      <w:r w:rsidRPr="00F01B67">
        <w:rPr>
          <w:szCs w:val="22"/>
          <w:lang w:eastAsia="en-US"/>
        </w:rPr>
        <w:t xml:space="preserve"> fulvestranto ir placebo derinio grupės pacientėms ne</w:t>
      </w:r>
      <w:r w:rsidR="0072236B">
        <w:rPr>
          <w:szCs w:val="22"/>
          <w:lang w:eastAsia="en-US"/>
        </w:rPr>
        <w:t>gauta</w:t>
      </w:r>
      <w:r w:rsidRPr="00F01B67">
        <w:rPr>
          <w:szCs w:val="22"/>
          <w:lang w:eastAsia="en-US"/>
        </w:rPr>
        <w:t>.</w:t>
      </w:r>
    </w:p>
    <w:p w14:paraId="5E24C8B2" w14:textId="77777777" w:rsidR="0072236B" w:rsidRDefault="0072236B" w:rsidP="00F01B67">
      <w:pPr>
        <w:rPr>
          <w:szCs w:val="22"/>
          <w:lang w:eastAsia="en-US"/>
        </w:rPr>
      </w:pPr>
    </w:p>
    <w:p w14:paraId="44343A31" w14:textId="3FAA99E8" w:rsidR="00F01B67" w:rsidRPr="00901F66" w:rsidRDefault="00F01B67" w:rsidP="00F01B67">
      <w:pPr>
        <w:rPr>
          <w:szCs w:val="22"/>
          <w:lang w:eastAsia="en-US"/>
        </w:rPr>
      </w:pPr>
      <w:r w:rsidRPr="00F01B67">
        <w:rPr>
          <w:szCs w:val="22"/>
          <w:lang w:eastAsia="en-US"/>
        </w:rPr>
        <w:t>Pacientėms, vartojusioms fulvestrant</w:t>
      </w:r>
      <w:r w:rsidR="0072236B">
        <w:rPr>
          <w:szCs w:val="22"/>
          <w:lang w:eastAsia="en-US"/>
        </w:rPr>
        <w:t>o</w:t>
      </w:r>
      <w:r w:rsidRPr="00F01B67">
        <w:rPr>
          <w:szCs w:val="22"/>
          <w:lang w:eastAsia="en-US"/>
        </w:rPr>
        <w:t xml:space="preserve"> kartu su palbociklibu, laikotarpio iki pirmo bet kurio laipsnio</w:t>
      </w:r>
      <w:r w:rsidR="0072236B">
        <w:rPr>
          <w:szCs w:val="22"/>
          <w:lang w:eastAsia="en-US"/>
        </w:rPr>
        <w:t xml:space="preserve"> </w:t>
      </w:r>
      <w:r w:rsidRPr="00F01B67">
        <w:rPr>
          <w:szCs w:val="22"/>
          <w:lang w:eastAsia="en-US"/>
        </w:rPr>
        <w:t>neutropenijos epizodo trukmės mediana buvo 15</w:t>
      </w:r>
      <w:r w:rsidR="00FC03AF">
        <w:rPr>
          <w:szCs w:val="22"/>
          <w:lang w:eastAsia="en-US"/>
        </w:rPr>
        <w:t> </w:t>
      </w:r>
      <w:r w:rsidR="0072236B">
        <w:rPr>
          <w:szCs w:val="22"/>
          <w:lang w:eastAsia="en-US"/>
        </w:rPr>
        <w:t>parų</w:t>
      </w:r>
      <w:r w:rsidRPr="00F01B67">
        <w:rPr>
          <w:szCs w:val="22"/>
          <w:lang w:eastAsia="en-US"/>
        </w:rPr>
        <w:t xml:space="preserve"> (diapazonas – nuo 13 iki </w:t>
      </w:r>
      <w:r w:rsidR="00C14004">
        <w:rPr>
          <w:szCs w:val="22"/>
          <w:lang w:eastAsia="en-US"/>
        </w:rPr>
        <w:t>512</w:t>
      </w:r>
      <w:r w:rsidRPr="00F01B67">
        <w:rPr>
          <w:szCs w:val="22"/>
          <w:lang w:eastAsia="en-US"/>
        </w:rPr>
        <w:t>), o ≥</w:t>
      </w:r>
      <w:r w:rsidR="00FC03AF">
        <w:rPr>
          <w:szCs w:val="22"/>
          <w:lang w:eastAsia="en-US"/>
        </w:rPr>
        <w:t> </w:t>
      </w:r>
      <w:r w:rsidRPr="00F01B67">
        <w:rPr>
          <w:szCs w:val="22"/>
          <w:lang w:eastAsia="en-US"/>
        </w:rPr>
        <w:t>3</w:t>
      </w:r>
      <w:r w:rsidR="00FC03AF">
        <w:rPr>
          <w:szCs w:val="22"/>
          <w:lang w:eastAsia="en-US"/>
        </w:rPr>
        <w:t> </w:t>
      </w:r>
      <w:r w:rsidRPr="00F01B67">
        <w:rPr>
          <w:szCs w:val="22"/>
          <w:lang w:eastAsia="en-US"/>
        </w:rPr>
        <w:t>laipsnio</w:t>
      </w:r>
      <w:r w:rsidR="0072236B">
        <w:rPr>
          <w:szCs w:val="22"/>
          <w:lang w:eastAsia="en-US"/>
        </w:rPr>
        <w:t xml:space="preserve"> </w:t>
      </w:r>
      <w:r w:rsidRPr="00F01B67">
        <w:rPr>
          <w:szCs w:val="22"/>
          <w:lang w:eastAsia="en-US"/>
        </w:rPr>
        <w:t xml:space="preserve">neutropenijos trukmės mediana buvo </w:t>
      </w:r>
      <w:r w:rsidR="00C14004">
        <w:rPr>
          <w:szCs w:val="22"/>
          <w:lang w:eastAsia="en-US"/>
        </w:rPr>
        <w:t>16</w:t>
      </w:r>
      <w:r w:rsidR="00FC03AF">
        <w:rPr>
          <w:szCs w:val="22"/>
          <w:lang w:eastAsia="en-US"/>
        </w:rPr>
        <w:t> </w:t>
      </w:r>
      <w:r w:rsidR="0072236B">
        <w:rPr>
          <w:szCs w:val="22"/>
          <w:lang w:eastAsia="en-US"/>
        </w:rPr>
        <w:t>paros</w:t>
      </w:r>
      <w:r w:rsidRPr="00F01B67">
        <w:rPr>
          <w:szCs w:val="22"/>
          <w:lang w:eastAsia="en-US"/>
        </w:rPr>
        <w:t xml:space="preserve">. Febrilinė neutropenija </w:t>
      </w:r>
      <w:r w:rsidR="0072236B">
        <w:rPr>
          <w:szCs w:val="22"/>
          <w:lang w:eastAsia="en-US"/>
        </w:rPr>
        <w:t>buvo nustatyta</w:t>
      </w:r>
      <w:r w:rsidRPr="00F01B67">
        <w:rPr>
          <w:szCs w:val="22"/>
          <w:lang w:eastAsia="en-US"/>
        </w:rPr>
        <w:t xml:space="preserve"> </w:t>
      </w:r>
      <w:r w:rsidR="00C14004">
        <w:rPr>
          <w:szCs w:val="22"/>
          <w:lang w:eastAsia="en-US"/>
        </w:rPr>
        <w:t>3 (</w:t>
      </w:r>
      <w:r w:rsidRPr="00F01B67">
        <w:rPr>
          <w:szCs w:val="22"/>
          <w:lang w:eastAsia="en-US"/>
        </w:rPr>
        <w:t>0,9</w:t>
      </w:r>
      <w:r w:rsidR="00FC03AF">
        <w:rPr>
          <w:szCs w:val="22"/>
          <w:lang w:eastAsia="en-US"/>
        </w:rPr>
        <w:t> </w:t>
      </w:r>
      <w:r w:rsidRPr="00F01B67">
        <w:rPr>
          <w:szCs w:val="22"/>
          <w:lang w:eastAsia="en-US"/>
        </w:rPr>
        <w:t>%</w:t>
      </w:r>
      <w:r w:rsidR="00C14004">
        <w:rPr>
          <w:szCs w:val="22"/>
          <w:lang w:eastAsia="en-US"/>
        </w:rPr>
        <w:t>)</w:t>
      </w:r>
      <w:r w:rsidRPr="00F01B67">
        <w:rPr>
          <w:szCs w:val="22"/>
          <w:lang w:eastAsia="en-US"/>
        </w:rPr>
        <w:t>fulvestrant</w:t>
      </w:r>
      <w:r w:rsidR="0072236B">
        <w:rPr>
          <w:szCs w:val="22"/>
          <w:lang w:eastAsia="en-US"/>
        </w:rPr>
        <w:t xml:space="preserve">o </w:t>
      </w:r>
      <w:r w:rsidRPr="00F01B67">
        <w:rPr>
          <w:szCs w:val="22"/>
          <w:lang w:eastAsia="en-US"/>
        </w:rPr>
        <w:t>kartu su palbociklibu vartojusių pacienčių.</w:t>
      </w:r>
    </w:p>
    <w:p w14:paraId="22A9485D" w14:textId="77777777" w:rsidR="004D7EFD" w:rsidRDefault="004D7EFD" w:rsidP="004364B8">
      <w:pPr>
        <w:rPr>
          <w:szCs w:val="22"/>
          <w:u w:val="single"/>
          <w:lang w:eastAsia="en-US"/>
        </w:rPr>
      </w:pPr>
    </w:p>
    <w:p w14:paraId="5349D41A" w14:textId="77777777" w:rsidR="004364B8" w:rsidRPr="0072236B" w:rsidRDefault="004364B8" w:rsidP="004364B8">
      <w:pPr>
        <w:rPr>
          <w:szCs w:val="22"/>
          <w:u w:val="single"/>
          <w:lang w:eastAsia="en-US"/>
        </w:rPr>
      </w:pPr>
      <w:r w:rsidRPr="0072236B">
        <w:rPr>
          <w:szCs w:val="22"/>
          <w:u w:val="single"/>
          <w:lang w:eastAsia="en-US"/>
        </w:rPr>
        <w:t>Pranešimas apie įtariamas nepageidaujamas reakcijas</w:t>
      </w:r>
    </w:p>
    <w:p w14:paraId="7ABD72A4" w14:textId="01561068" w:rsidR="009220E0" w:rsidRPr="005D554B" w:rsidRDefault="004364B8" w:rsidP="00B77163">
      <w:pPr>
        <w:tabs>
          <w:tab w:val="left" w:pos="567"/>
        </w:tabs>
        <w:autoSpaceDE w:val="0"/>
        <w:autoSpaceDN w:val="0"/>
        <w:adjustRightInd w:val="0"/>
        <w:spacing w:line="260" w:lineRule="exact"/>
        <w:rPr>
          <w:noProof/>
          <w:snapToGrid w:val="0"/>
          <w:szCs w:val="24"/>
        </w:rPr>
      </w:pPr>
      <w:r w:rsidRPr="0072236B">
        <w:rPr>
          <w:szCs w:val="22"/>
          <w:lang w:eastAsia="en-US"/>
        </w:rPr>
        <w:t>Svarbu pranešti apie įtariamas nepageidaujamas reakcijas, pastebėtas po vaistinio preparato registracijos, nes tai leidžia nuolat stebėti vaistinio preparato naudos ir rizikos santykį. Sveikatos</w:t>
      </w:r>
      <w:r>
        <w:rPr>
          <w:szCs w:val="22"/>
          <w:lang w:eastAsia="en-US"/>
        </w:rPr>
        <w:t xml:space="preserve"> priežiūros </w:t>
      </w:r>
      <w:r w:rsidR="009220E0">
        <w:rPr>
          <w:szCs w:val="22"/>
          <w:lang w:eastAsia="en-US"/>
        </w:rPr>
        <w:t xml:space="preserve">ar farmacijos </w:t>
      </w:r>
      <w:r>
        <w:rPr>
          <w:szCs w:val="22"/>
          <w:lang w:eastAsia="en-US"/>
        </w:rPr>
        <w:t xml:space="preserve">specialistai turi pranešti apie bet kokias įtariamas nepageidaujamas reakcijas, </w:t>
      </w:r>
      <w:r w:rsidR="009220E0">
        <w:rPr>
          <w:szCs w:val="22"/>
          <w:lang w:eastAsia="en-US"/>
        </w:rPr>
        <w:t xml:space="preserve">tiesiogiai </w:t>
      </w:r>
      <w:r>
        <w:rPr>
          <w:szCs w:val="22"/>
          <w:lang w:eastAsia="en-US"/>
        </w:rPr>
        <w:t>užpildę</w:t>
      </w:r>
      <w:r w:rsidR="009220E0">
        <w:rPr>
          <w:szCs w:val="22"/>
          <w:lang w:eastAsia="en-US"/>
        </w:rPr>
        <w:t xml:space="preserve"> pranešimo formą </w:t>
      </w:r>
      <w:r>
        <w:rPr>
          <w:szCs w:val="22"/>
          <w:lang w:eastAsia="en-US"/>
        </w:rPr>
        <w:t xml:space="preserve"> internet</w:t>
      </w:r>
      <w:r w:rsidR="009220E0">
        <w:rPr>
          <w:szCs w:val="22"/>
          <w:lang w:eastAsia="en-US"/>
        </w:rPr>
        <w:t>u</w:t>
      </w:r>
      <w:r>
        <w:rPr>
          <w:szCs w:val="22"/>
          <w:lang w:eastAsia="en-US"/>
        </w:rPr>
        <w:t xml:space="preserve"> </w:t>
      </w:r>
      <w:r w:rsidR="009220E0" w:rsidRPr="009220E0">
        <w:rPr>
          <w:noProof/>
          <w:snapToGrid w:val="0"/>
          <w:szCs w:val="24"/>
        </w:rPr>
        <w:t xml:space="preserve"> </w:t>
      </w:r>
      <w:r w:rsidR="009220E0" w:rsidRPr="005D554B">
        <w:rPr>
          <w:noProof/>
          <w:snapToGrid w:val="0"/>
          <w:szCs w:val="24"/>
        </w:rPr>
        <w:t xml:space="preserve">Tarnybos Vaistinių preparatų informacinėje sistemoje </w:t>
      </w:r>
      <w:hyperlink r:id="rId8" w:history="1">
        <w:r w:rsidR="009220E0" w:rsidRPr="0077444B">
          <w:t>https://vapris.vvkt.lt/vvkt-web/public/nrvSpecialist</w:t>
        </w:r>
      </w:hyperlink>
      <w:r w:rsidR="009220E0" w:rsidRPr="005D554B">
        <w:rPr>
          <w:noProof/>
          <w:snapToGrid w:val="0"/>
          <w:szCs w:val="24"/>
        </w:rPr>
        <w:t xml:space="preserve"> arba užpildę Sveikatos priežiūros ar farmacijos specialisto pranešimo apie įtariamą nepageidaujamą reakciją (ĮNR) formą, kuri skelbiama </w:t>
      </w:r>
      <w:hyperlink r:id="rId9" w:history="1">
        <w:r w:rsidR="009220E0" w:rsidRPr="0077444B">
          <w:t>https://www.vvkt.lt/index.php?1399030386</w:t>
        </w:r>
      </w:hyperlink>
      <w:r w:rsidR="009220E0" w:rsidRPr="005D554B">
        <w:rPr>
          <w:noProof/>
          <w:snapToGrid w:val="0"/>
          <w:szCs w:val="24"/>
        </w:rPr>
        <w:t>, ir atsiųsti elektroniniu paštu (adresu NepageidaujamaR@vvkt.lt).</w:t>
      </w:r>
    </w:p>
    <w:p w14:paraId="50E3E62D" w14:textId="77777777" w:rsidR="009220E0" w:rsidRPr="000F063A" w:rsidRDefault="009220E0" w:rsidP="009220E0">
      <w:pPr>
        <w:outlineLvl w:val="0"/>
        <w:rPr>
          <w:rFonts w:eastAsia="Calibri"/>
          <w:szCs w:val="22"/>
          <w:lang w:eastAsia="en-US"/>
        </w:rPr>
      </w:pPr>
    </w:p>
    <w:p w14:paraId="525ACBC0" w14:textId="52023C11" w:rsidR="004364B8" w:rsidRDefault="004364B8" w:rsidP="004364B8">
      <w:pPr>
        <w:rPr>
          <w:szCs w:val="22"/>
          <w:lang w:eastAsia="en-US"/>
        </w:rPr>
      </w:pPr>
    </w:p>
    <w:p w14:paraId="00476A95" w14:textId="77777777" w:rsidR="004364B8" w:rsidRDefault="004364B8" w:rsidP="004364B8">
      <w:pPr>
        <w:ind w:left="540" w:hanging="540"/>
        <w:rPr>
          <w:rFonts w:eastAsia="Calibri"/>
          <w:szCs w:val="22"/>
        </w:rPr>
      </w:pPr>
    </w:p>
    <w:p w14:paraId="4ED083D6" w14:textId="77777777" w:rsidR="004364B8" w:rsidRDefault="004364B8" w:rsidP="004364B8">
      <w:pPr>
        <w:ind w:left="540" w:hanging="540"/>
        <w:rPr>
          <w:b/>
          <w:szCs w:val="22"/>
          <w:lang w:eastAsia="en-US"/>
        </w:rPr>
      </w:pPr>
      <w:r>
        <w:rPr>
          <w:b/>
          <w:szCs w:val="22"/>
          <w:lang w:eastAsia="en-US"/>
        </w:rPr>
        <w:t>4.9</w:t>
      </w:r>
      <w:r>
        <w:rPr>
          <w:b/>
          <w:szCs w:val="22"/>
          <w:lang w:eastAsia="en-US"/>
        </w:rPr>
        <w:tab/>
        <w:t>Perdozavimas</w:t>
      </w:r>
    </w:p>
    <w:p w14:paraId="305E7AF1" w14:textId="77777777" w:rsidR="004364B8" w:rsidRDefault="004364B8" w:rsidP="004364B8">
      <w:pPr>
        <w:rPr>
          <w:szCs w:val="22"/>
          <w:lang w:eastAsia="en-US"/>
        </w:rPr>
      </w:pPr>
    </w:p>
    <w:p w14:paraId="339F3B61" w14:textId="7635A6F8" w:rsidR="004364B8" w:rsidRDefault="0072236B" w:rsidP="0072236B">
      <w:pPr>
        <w:tabs>
          <w:tab w:val="left" w:pos="567"/>
        </w:tabs>
        <w:rPr>
          <w:szCs w:val="22"/>
        </w:rPr>
      </w:pPr>
      <w:r>
        <w:rPr>
          <w:szCs w:val="22"/>
        </w:rPr>
        <w:t xml:space="preserve">Yra pavienių pranešimų apie fulvestranto perdozavimą </w:t>
      </w:r>
      <w:r w:rsidR="004364B8">
        <w:rPr>
          <w:szCs w:val="22"/>
        </w:rPr>
        <w:t>žmo</w:t>
      </w:r>
      <w:r>
        <w:rPr>
          <w:szCs w:val="22"/>
        </w:rPr>
        <w:t>nėms</w:t>
      </w:r>
      <w:r w:rsidR="004364B8">
        <w:rPr>
          <w:szCs w:val="22"/>
        </w:rPr>
        <w:t>. Jeigu pasireiškia perdozavimas, rekomenduojamas simptominis palaikomasis gydymas.</w:t>
      </w:r>
      <w:r>
        <w:rPr>
          <w:szCs w:val="22"/>
        </w:rPr>
        <w:t xml:space="preserve"> </w:t>
      </w:r>
      <w:r w:rsidRPr="0072236B">
        <w:rPr>
          <w:szCs w:val="22"/>
        </w:rPr>
        <w:t>Tyrimai su gyvūnais parodė</w:t>
      </w:r>
      <w:r>
        <w:rPr>
          <w:szCs w:val="22"/>
        </w:rPr>
        <w:t xml:space="preserve">, kad kitoks, negu didesnių </w:t>
      </w:r>
      <w:r w:rsidRPr="0072236B">
        <w:rPr>
          <w:szCs w:val="22"/>
        </w:rPr>
        <w:t>fulvestranto dozių sukelt</w:t>
      </w:r>
      <w:r>
        <w:rPr>
          <w:szCs w:val="22"/>
        </w:rPr>
        <w:t xml:space="preserve">as poveikis, </w:t>
      </w:r>
      <w:r w:rsidRPr="0072236B">
        <w:rPr>
          <w:szCs w:val="22"/>
        </w:rPr>
        <w:t>tiesiogiai arba netiesiogiai susij</w:t>
      </w:r>
      <w:r>
        <w:rPr>
          <w:szCs w:val="22"/>
        </w:rPr>
        <w:t>ęs</w:t>
      </w:r>
      <w:r w:rsidRPr="0072236B">
        <w:rPr>
          <w:szCs w:val="22"/>
        </w:rPr>
        <w:t xml:space="preserve"> su antiestrogeniniu aktyvumu</w:t>
      </w:r>
      <w:r>
        <w:rPr>
          <w:szCs w:val="22"/>
        </w:rPr>
        <w:t>, nepasireiškia</w:t>
      </w:r>
      <w:r w:rsidRPr="0072236B">
        <w:rPr>
          <w:szCs w:val="22"/>
        </w:rPr>
        <w:t xml:space="preserve"> (žr. 5.3 skyrių).</w:t>
      </w:r>
    </w:p>
    <w:p w14:paraId="7EB5CB2E" w14:textId="77777777" w:rsidR="004364B8" w:rsidRDefault="004364B8" w:rsidP="004364B8">
      <w:pPr>
        <w:rPr>
          <w:szCs w:val="22"/>
          <w:lang w:eastAsia="en-US"/>
        </w:rPr>
      </w:pPr>
    </w:p>
    <w:p w14:paraId="1F40A6D6" w14:textId="77777777" w:rsidR="004364B8" w:rsidRDefault="004364B8" w:rsidP="004364B8">
      <w:pPr>
        <w:rPr>
          <w:szCs w:val="22"/>
          <w:lang w:eastAsia="en-US"/>
        </w:rPr>
      </w:pPr>
    </w:p>
    <w:p w14:paraId="0E4D34CA" w14:textId="77777777" w:rsidR="004364B8" w:rsidRDefault="004364B8" w:rsidP="004364B8">
      <w:pPr>
        <w:ind w:left="540" w:hanging="540"/>
        <w:rPr>
          <w:b/>
          <w:szCs w:val="22"/>
          <w:lang w:eastAsia="en-US"/>
        </w:rPr>
      </w:pPr>
      <w:r>
        <w:rPr>
          <w:b/>
          <w:szCs w:val="22"/>
          <w:lang w:eastAsia="en-US"/>
        </w:rPr>
        <w:t>5.</w:t>
      </w:r>
      <w:r>
        <w:rPr>
          <w:b/>
          <w:szCs w:val="22"/>
          <w:lang w:eastAsia="en-US"/>
        </w:rPr>
        <w:tab/>
        <w:t>FARMAKOLOGINĖS SAVYBĖS</w:t>
      </w:r>
    </w:p>
    <w:p w14:paraId="42EEE314" w14:textId="77777777" w:rsidR="004364B8" w:rsidRDefault="004364B8" w:rsidP="004364B8">
      <w:pPr>
        <w:rPr>
          <w:szCs w:val="22"/>
          <w:lang w:eastAsia="en-US"/>
        </w:rPr>
      </w:pPr>
    </w:p>
    <w:p w14:paraId="618A4ADC" w14:textId="77777777" w:rsidR="004364B8" w:rsidRDefault="004364B8" w:rsidP="00BA1D9E">
      <w:pPr>
        <w:tabs>
          <w:tab w:val="left" w:pos="567"/>
        </w:tabs>
        <w:rPr>
          <w:b/>
          <w:bCs/>
          <w:szCs w:val="22"/>
          <w:lang w:eastAsia="en-US"/>
        </w:rPr>
      </w:pPr>
      <w:r>
        <w:rPr>
          <w:b/>
          <w:bCs/>
          <w:szCs w:val="22"/>
          <w:lang w:eastAsia="en-US"/>
        </w:rPr>
        <w:t xml:space="preserve">5.1 </w:t>
      </w:r>
      <w:r w:rsidR="00964FC3">
        <w:rPr>
          <w:b/>
          <w:bCs/>
          <w:szCs w:val="22"/>
          <w:lang w:eastAsia="en-US"/>
        </w:rPr>
        <w:tab/>
      </w:r>
      <w:r>
        <w:rPr>
          <w:b/>
          <w:bCs/>
          <w:szCs w:val="22"/>
          <w:lang w:eastAsia="en-US"/>
        </w:rPr>
        <w:t>Farmakodinaminės savybės</w:t>
      </w:r>
    </w:p>
    <w:p w14:paraId="1166B689" w14:textId="77777777" w:rsidR="004364B8" w:rsidRDefault="004364B8" w:rsidP="004364B8">
      <w:pPr>
        <w:rPr>
          <w:szCs w:val="22"/>
          <w:lang w:eastAsia="en-US"/>
        </w:rPr>
      </w:pPr>
    </w:p>
    <w:p w14:paraId="2C756CBA" w14:textId="77777777" w:rsidR="004364B8" w:rsidRDefault="004364B8" w:rsidP="004364B8">
      <w:pPr>
        <w:rPr>
          <w:szCs w:val="22"/>
          <w:lang w:eastAsia="en-US"/>
        </w:rPr>
      </w:pPr>
      <w:r>
        <w:rPr>
          <w:szCs w:val="22"/>
          <w:lang w:eastAsia="en-US"/>
        </w:rPr>
        <w:t>Farmakoterapinė grupė - antiestrogenai, ATC kodas - L02BA03.</w:t>
      </w:r>
    </w:p>
    <w:p w14:paraId="2FD8F5EF" w14:textId="77777777" w:rsidR="004364B8" w:rsidRDefault="004364B8" w:rsidP="004364B8">
      <w:pPr>
        <w:rPr>
          <w:szCs w:val="22"/>
          <w:lang w:eastAsia="en-US"/>
        </w:rPr>
      </w:pPr>
    </w:p>
    <w:p w14:paraId="315FADEA" w14:textId="77777777" w:rsidR="004364B8" w:rsidRDefault="004364B8" w:rsidP="004364B8">
      <w:pPr>
        <w:rPr>
          <w:szCs w:val="22"/>
          <w:u w:val="single"/>
          <w:lang w:eastAsia="en-US"/>
        </w:rPr>
      </w:pPr>
      <w:r>
        <w:rPr>
          <w:szCs w:val="22"/>
          <w:u w:val="single"/>
          <w:lang w:eastAsia="en-US"/>
        </w:rPr>
        <w:t>Veikimo mechanizmas ir farmakodinaminis poveikis</w:t>
      </w:r>
    </w:p>
    <w:p w14:paraId="3E9FA68D" w14:textId="77777777" w:rsidR="004364B8" w:rsidRDefault="004364B8" w:rsidP="004364B8">
      <w:pPr>
        <w:rPr>
          <w:szCs w:val="22"/>
          <w:lang w:eastAsia="en-US"/>
        </w:rPr>
      </w:pPr>
    </w:p>
    <w:p w14:paraId="0DC54013" w14:textId="77777777" w:rsidR="004364B8" w:rsidRDefault="004364B8" w:rsidP="004364B8">
      <w:pPr>
        <w:rPr>
          <w:szCs w:val="22"/>
          <w:lang w:eastAsia="en-US"/>
        </w:rPr>
      </w:pPr>
      <w:r>
        <w:rPr>
          <w:szCs w:val="22"/>
          <w:lang w:eastAsia="en-US"/>
        </w:rPr>
        <w:t>Fulvestrantas yra konkurencinio veikimo estrogenų receptorių (ER) antagonistas, kurio afinitetas panašus į estradiolio. Fulvestrantas blokuoja trofinį estrogenų poveikį, nesukeldamas jokio dalinio agonistinio (panašaus į estrogenų) aktyvumo. Jo veikimo mechanizmas yra susijęs su ER baltymo kiekio sumažėjimu.</w:t>
      </w:r>
    </w:p>
    <w:p w14:paraId="6337CC00" w14:textId="77777777" w:rsidR="004364B8" w:rsidRDefault="004364B8" w:rsidP="004364B8">
      <w:pPr>
        <w:rPr>
          <w:szCs w:val="22"/>
          <w:lang w:eastAsia="en-US"/>
        </w:rPr>
      </w:pPr>
      <w:r>
        <w:rPr>
          <w:szCs w:val="22"/>
          <w:lang w:eastAsia="en-US"/>
        </w:rPr>
        <w:t xml:space="preserve">Klinikiniai tyrimai, atlikti su pirminiu krūties vėžiu sergančiomis moterimis po menopauzės, parodė, kad fulvestrantas reikšmingai sumažina ER baltymo kiekį ER teigiamuose navikuose (palyginus su </w:t>
      </w:r>
      <w:r>
        <w:rPr>
          <w:szCs w:val="22"/>
          <w:lang w:eastAsia="en-US"/>
        </w:rPr>
        <w:lastRenderedPageBreak/>
        <w:t>placebu). Taip pat nustatytas reikšmingas progesterono receptorių ekspresijos sumažėjimas, suderinamas su vidinio agonistinio estrogeninio poveikio stoka. Taip pat nustatyta, kad fulvestranto 500</w:t>
      </w:r>
      <w:r w:rsidR="00153369">
        <w:rPr>
          <w:szCs w:val="22"/>
          <w:lang w:eastAsia="en-US"/>
        </w:rPr>
        <w:t> </w:t>
      </w:r>
      <w:r>
        <w:rPr>
          <w:szCs w:val="22"/>
          <w:lang w:eastAsia="en-US"/>
        </w:rPr>
        <w:t>mg dozė sumažina moterų po menopauzės, kurioms taikomas neoadjuvantinis gydymas, ER ir proliferacijos žymens Ki67 kiekį krūties navikuose labiau, negu 250</w:t>
      </w:r>
      <w:r w:rsidR="00153369">
        <w:rPr>
          <w:szCs w:val="22"/>
          <w:lang w:eastAsia="en-US"/>
        </w:rPr>
        <w:t> </w:t>
      </w:r>
      <w:r>
        <w:rPr>
          <w:szCs w:val="22"/>
          <w:lang w:eastAsia="en-US"/>
        </w:rPr>
        <w:t>mg dozė.</w:t>
      </w:r>
    </w:p>
    <w:p w14:paraId="6E9A178E" w14:textId="77777777" w:rsidR="004364B8" w:rsidRDefault="004364B8" w:rsidP="004364B8">
      <w:pPr>
        <w:rPr>
          <w:szCs w:val="22"/>
          <w:lang w:eastAsia="en-US"/>
        </w:rPr>
      </w:pPr>
    </w:p>
    <w:p w14:paraId="28869095" w14:textId="77777777" w:rsidR="004364B8" w:rsidRDefault="004364B8" w:rsidP="004364B8">
      <w:pPr>
        <w:rPr>
          <w:szCs w:val="22"/>
          <w:u w:val="single"/>
          <w:lang w:eastAsia="en-US"/>
        </w:rPr>
      </w:pPr>
      <w:r>
        <w:rPr>
          <w:szCs w:val="22"/>
          <w:u w:val="single"/>
          <w:lang w:eastAsia="en-US"/>
        </w:rPr>
        <w:t>Klinikinis saugumas ir veiksmingumas progresavusiu krūties vėžiu sergančioms pacientėms</w:t>
      </w:r>
    </w:p>
    <w:p w14:paraId="4D65707B" w14:textId="77777777" w:rsidR="00561D9B" w:rsidRDefault="00561D9B" w:rsidP="004364B8">
      <w:pPr>
        <w:rPr>
          <w:szCs w:val="22"/>
          <w:lang w:eastAsia="en-US"/>
        </w:rPr>
      </w:pPr>
    </w:p>
    <w:p w14:paraId="4798FC0B" w14:textId="77777777" w:rsidR="00561D9B" w:rsidRPr="00901F66" w:rsidRDefault="00561D9B" w:rsidP="004364B8">
      <w:pPr>
        <w:rPr>
          <w:i/>
          <w:szCs w:val="22"/>
          <w:lang w:eastAsia="en-US"/>
        </w:rPr>
      </w:pPr>
      <w:r w:rsidRPr="00901F66">
        <w:rPr>
          <w:i/>
          <w:szCs w:val="22"/>
          <w:lang w:eastAsia="en-US"/>
        </w:rPr>
        <w:t>Monoterapija</w:t>
      </w:r>
    </w:p>
    <w:p w14:paraId="530A1846" w14:textId="03536215" w:rsidR="004364B8" w:rsidRDefault="004364B8" w:rsidP="004364B8">
      <w:pPr>
        <w:rPr>
          <w:szCs w:val="22"/>
          <w:lang w:eastAsia="en-US"/>
        </w:rPr>
      </w:pPr>
      <w:r>
        <w:rPr>
          <w:szCs w:val="22"/>
          <w:lang w:eastAsia="en-US"/>
        </w:rPr>
        <w:t>III fazės klinikinį tyrimą baigė 736 moterys po menopauzės, sirgusios progresavusiu krūties vėžiu, kuris atsinaujino taikant adjuvantinį endokrininį gydymą ar po jo arba toliau progresavo po progresavusio vėžio endokrininio gydymo. Tyrime dalyvavo 423 pacientės, kurių liga pasikartojo arba progresavo taikant gydymą antiestrogenu (AE pogrupis), ir 313 pacienčių, kurių liga pasikartojo arba progresavo taikant gydymą aromatazės inhibitoriumi (AI pogrupis). Šio tyrimo metu buvo lyginami 500</w:t>
      </w:r>
      <w:r w:rsidR="00153369">
        <w:rPr>
          <w:szCs w:val="22"/>
          <w:lang w:eastAsia="en-US"/>
        </w:rPr>
        <w:t> </w:t>
      </w:r>
      <w:r>
        <w:rPr>
          <w:szCs w:val="22"/>
          <w:lang w:eastAsia="en-US"/>
        </w:rPr>
        <w:t>mg (n=362) bei 250</w:t>
      </w:r>
      <w:r w:rsidR="00153369">
        <w:rPr>
          <w:szCs w:val="22"/>
          <w:lang w:eastAsia="en-US"/>
        </w:rPr>
        <w:t> </w:t>
      </w:r>
      <w:r>
        <w:rPr>
          <w:szCs w:val="22"/>
          <w:lang w:eastAsia="en-US"/>
        </w:rPr>
        <w:t xml:space="preserve">mg (n=374) fulvestranto dozių veiksmingumas ir saugumas. Pirmaeilė vertinamoji baigtis buvo neprogresuojant ligai išgyventas laikotarpis (PFS), pagrindinės antraeilės vertinamosios baigtys buvo objektyvaus atsako dažnis (ORR), klinikinės naudos pasireiškimo dažnis (CBR) ir bendrasis išgyvenamumas (OS). </w:t>
      </w:r>
      <w:r w:rsidR="00561D9B">
        <w:rPr>
          <w:szCs w:val="22"/>
          <w:lang w:eastAsia="en-US"/>
        </w:rPr>
        <w:t xml:space="preserve">3 </w:t>
      </w:r>
      <w:r>
        <w:rPr>
          <w:szCs w:val="22"/>
          <w:lang w:eastAsia="en-US"/>
        </w:rPr>
        <w:t>lentelėje apibendrinti CONFIRM tyrimo metu gauti veiksmingumo duomenys visoms pacientėms bendrai ir atskirai jų pogrupiams, į kuriuos įtrauktų pacienčių ankstesnis gydymas antiestrogenu arba aromatazės inhibitoriumi buvo neveiksmingas.</w:t>
      </w:r>
    </w:p>
    <w:p w14:paraId="45520CF2" w14:textId="77777777" w:rsidR="004364B8" w:rsidRDefault="004364B8" w:rsidP="004364B8">
      <w:pPr>
        <w:rPr>
          <w:szCs w:val="22"/>
          <w:lang w:eastAsia="en-US"/>
        </w:rPr>
      </w:pPr>
    </w:p>
    <w:p w14:paraId="77C77FBF" w14:textId="30E683BD" w:rsidR="004364B8" w:rsidRDefault="003D0DA1" w:rsidP="009B558C">
      <w:pPr>
        <w:ind w:left="851" w:hanging="851"/>
        <w:rPr>
          <w:szCs w:val="22"/>
          <w:lang w:eastAsia="en-US"/>
        </w:rPr>
      </w:pPr>
      <w:r w:rsidRPr="003F235A">
        <w:rPr>
          <w:b/>
          <w:bCs/>
          <w:szCs w:val="22"/>
          <w:lang w:eastAsia="en-US"/>
        </w:rPr>
        <w:t>3</w:t>
      </w:r>
      <w:r w:rsidR="004364B8">
        <w:rPr>
          <w:b/>
          <w:bCs/>
          <w:szCs w:val="22"/>
          <w:lang w:eastAsia="en-US"/>
        </w:rPr>
        <w:t xml:space="preserve"> lentelė. CONFIRM tyrimo metu nustatytų pirmaeilės vertinamosios baigties (PFS) ir pagrindinių antraeilių vertinamųjų baigčių duomenų santrauka</w:t>
      </w:r>
    </w:p>
    <w:p w14:paraId="3B7CA871" w14:textId="77777777" w:rsidR="004364B8" w:rsidRDefault="004364B8" w:rsidP="004364B8">
      <w:pPr>
        <w:rPr>
          <w:szCs w:val="22"/>
          <w:lang w:eastAsia="en-US"/>
        </w:rPr>
      </w:pPr>
    </w:p>
    <w:tbl>
      <w:tblPr>
        <w:tblW w:w="5068" w:type="pct"/>
        <w:tblCellSpacing w:w="0" w:type="dxa"/>
        <w:tblCellMar>
          <w:top w:w="30" w:type="dxa"/>
          <w:left w:w="30" w:type="dxa"/>
          <w:bottom w:w="30" w:type="dxa"/>
          <w:right w:w="30" w:type="dxa"/>
        </w:tblCellMar>
        <w:tblLook w:val="04A0" w:firstRow="1" w:lastRow="0" w:firstColumn="1" w:lastColumn="0" w:noHBand="0" w:noVBand="1"/>
      </w:tblPr>
      <w:tblGrid>
        <w:gridCol w:w="1445"/>
        <w:gridCol w:w="1388"/>
        <w:gridCol w:w="1263"/>
        <w:gridCol w:w="1263"/>
        <w:gridCol w:w="1263"/>
        <w:gridCol w:w="1263"/>
        <w:gridCol w:w="1264"/>
      </w:tblGrid>
      <w:tr w:rsidR="004364B8" w14:paraId="164EDE09" w14:textId="77777777" w:rsidTr="009B558C">
        <w:trPr>
          <w:tblCellSpacing w:w="0" w:type="dxa"/>
        </w:trPr>
        <w:tc>
          <w:tcPr>
            <w:tcW w:w="790" w:type="pct"/>
            <w:vMerge w:val="restart"/>
            <w:tcBorders>
              <w:top w:val="single" w:sz="4" w:space="0" w:color="auto"/>
              <w:left w:val="nil"/>
              <w:bottom w:val="nil"/>
              <w:right w:val="nil"/>
            </w:tcBorders>
            <w:hideMark/>
          </w:tcPr>
          <w:p w14:paraId="3856B9D0" w14:textId="77777777" w:rsidR="004364B8" w:rsidRDefault="004364B8" w:rsidP="00BA1D9E">
            <w:pPr>
              <w:spacing w:line="256" w:lineRule="auto"/>
              <w:rPr>
                <w:szCs w:val="22"/>
                <w:lang w:eastAsia="en-US"/>
              </w:rPr>
            </w:pPr>
            <w:r>
              <w:rPr>
                <w:b/>
                <w:bCs/>
                <w:szCs w:val="22"/>
                <w:lang w:eastAsia="en-US"/>
              </w:rPr>
              <w:t>Kintamasis</w:t>
            </w:r>
          </w:p>
        </w:tc>
        <w:tc>
          <w:tcPr>
            <w:tcW w:w="759" w:type="pct"/>
            <w:vMerge w:val="restart"/>
            <w:tcBorders>
              <w:top w:val="single" w:sz="4" w:space="0" w:color="auto"/>
              <w:left w:val="nil"/>
              <w:bottom w:val="nil"/>
              <w:right w:val="nil"/>
            </w:tcBorders>
            <w:hideMark/>
          </w:tcPr>
          <w:p w14:paraId="72233454" w14:textId="77777777" w:rsidR="004364B8" w:rsidRDefault="004364B8" w:rsidP="00BA1D9E">
            <w:pPr>
              <w:spacing w:line="256" w:lineRule="auto"/>
              <w:rPr>
                <w:b/>
                <w:bCs/>
                <w:szCs w:val="22"/>
                <w:lang w:eastAsia="en-US"/>
              </w:rPr>
            </w:pPr>
            <w:r>
              <w:rPr>
                <w:b/>
                <w:bCs/>
                <w:szCs w:val="22"/>
                <w:lang w:eastAsia="en-US"/>
              </w:rPr>
              <w:t>Vertinimo</w:t>
            </w:r>
          </w:p>
          <w:p w14:paraId="4B9B7D91" w14:textId="77777777" w:rsidR="004364B8" w:rsidRDefault="004364B8" w:rsidP="00BA1D9E">
            <w:pPr>
              <w:spacing w:line="256" w:lineRule="auto"/>
              <w:rPr>
                <w:b/>
                <w:bCs/>
                <w:szCs w:val="22"/>
                <w:lang w:eastAsia="en-US"/>
              </w:rPr>
            </w:pPr>
            <w:r>
              <w:rPr>
                <w:b/>
                <w:bCs/>
                <w:szCs w:val="22"/>
                <w:lang w:eastAsia="en-US"/>
              </w:rPr>
              <w:t>objektas;</w:t>
            </w:r>
          </w:p>
          <w:p w14:paraId="272CF1AE" w14:textId="77777777" w:rsidR="004364B8" w:rsidRDefault="004364B8" w:rsidP="00BA1D9E">
            <w:pPr>
              <w:spacing w:line="256" w:lineRule="auto"/>
              <w:rPr>
                <w:b/>
                <w:bCs/>
                <w:szCs w:val="22"/>
                <w:lang w:eastAsia="en-US"/>
              </w:rPr>
            </w:pPr>
            <w:r>
              <w:rPr>
                <w:b/>
                <w:bCs/>
                <w:szCs w:val="22"/>
                <w:lang w:eastAsia="en-US"/>
              </w:rPr>
              <w:t>lygintas</w:t>
            </w:r>
          </w:p>
          <w:p w14:paraId="02405710" w14:textId="77777777" w:rsidR="004364B8" w:rsidRDefault="004364B8" w:rsidP="00BA1D9E">
            <w:pPr>
              <w:spacing w:line="256" w:lineRule="auto"/>
              <w:rPr>
                <w:szCs w:val="22"/>
                <w:lang w:eastAsia="en-US"/>
              </w:rPr>
            </w:pPr>
            <w:r>
              <w:rPr>
                <w:b/>
                <w:bCs/>
                <w:szCs w:val="22"/>
                <w:lang w:eastAsia="en-US"/>
              </w:rPr>
              <w:t>rodiklis</w:t>
            </w:r>
          </w:p>
        </w:tc>
        <w:tc>
          <w:tcPr>
            <w:tcW w:w="690" w:type="pct"/>
            <w:vMerge w:val="restart"/>
            <w:tcBorders>
              <w:top w:val="single" w:sz="4" w:space="0" w:color="auto"/>
              <w:left w:val="nil"/>
              <w:bottom w:val="nil"/>
              <w:right w:val="nil"/>
            </w:tcBorders>
            <w:hideMark/>
          </w:tcPr>
          <w:p w14:paraId="7958B2C9" w14:textId="77777777" w:rsidR="004364B8" w:rsidRDefault="004364B8" w:rsidP="00BA1D9E">
            <w:pPr>
              <w:spacing w:line="256" w:lineRule="auto"/>
              <w:rPr>
                <w:szCs w:val="22"/>
                <w:lang w:eastAsia="en-US"/>
              </w:rPr>
            </w:pPr>
            <w:r>
              <w:rPr>
                <w:b/>
                <w:bCs/>
                <w:szCs w:val="22"/>
                <w:lang w:eastAsia="en-US"/>
              </w:rPr>
              <w:t>500</w:t>
            </w:r>
            <w:r w:rsidR="00153369">
              <w:rPr>
                <w:b/>
                <w:bCs/>
                <w:szCs w:val="22"/>
                <w:lang w:eastAsia="en-US"/>
              </w:rPr>
              <w:t> </w:t>
            </w:r>
            <w:r>
              <w:rPr>
                <w:b/>
                <w:bCs/>
                <w:szCs w:val="22"/>
                <w:lang w:eastAsia="en-US"/>
              </w:rPr>
              <w:t>mg</w:t>
            </w:r>
            <w:r>
              <w:rPr>
                <w:szCs w:val="22"/>
                <w:lang w:eastAsia="en-US"/>
              </w:rPr>
              <w:t xml:space="preserve"> </w:t>
            </w:r>
            <w:r>
              <w:rPr>
                <w:b/>
                <w:bCs/>
                <w:szCs w:val="22"/>
                <w:lang w:eastAsia="en-US"/>
              </w:rPr>
              <w:t xml:space="preserve">fulvestranto </w:t>
            </w:r>
          </w:p>
          <w:p w14:paraId="5ACFCF24" w14:textId="77777777" w:rsidR="004364B8" w:rsidRDefault="004364B8" w:rsidP="00BA1D9E">
            <w:pPr>
              <w:spacing w:line="256" w:lineRule="auto"/>
              <w:rPr>
                <w:szCs w:val="22"/>
                <w:lang w:eastAsia="en-US"/>
              </w:rPr>
            </w:pPr>
            <w:r>
              <w:rPr>
                <w:b/>
                <w:bCs/>
                <w:szCs w:val="22"/>
                <w:lang w:eastAsia="en-US"/>
              </w:rPr>
              <w:t>(N=362)</w:t>
            </w:r>
          </w:p>
        </w:tc>
        <w:tc>
          <w:tcPr>
            <w:tcW w:w="690" w:type="pct"/>
            <w:vMerge w:val="restart"/>
            <w:tcBorders>
              <w:top w:val="single" w:sz="4" w:space="0" w:color="auto"/>
              <w:left w:val="nil"/>
              <w:bottom w:val="nil"/>
              <w:right w:val="nil"/>
            </w:tcBorders>
            <w:hideMark/>
          </w:tcPr>
          <w:p w14:paraId="714A8E3D" w14:textId="77777777" w:rsidR="004364B8" w:rsidRDefault="004364B8" w:rsidP="00BA1D9E">
            <w:pPr>
              <w:spacing w:line="256" w:lineRule="auto"/>
              <w:rPr>
                <w:szCs w:val="22"/>
                <w:lang w:eastAsia="en-US"/>
              </w:rPr>
            </w:pPr>
            <w:r>
              <w:rPr>
                <w:b/>
                <w:bCs/>
                <w:szCs w:val="22"/>
                <w:lang w:eastAsia="en-US"/>
              </w:rPr>
              <w:t>250</w:t>
            </w:r>
            <w:r w:rsidR="00153369">
              <w:rPr>
                <w:b/>
                <w:bCs/>
                <w:szCs w:val="22"/>
                <w:lang w:eastAsia="en-US"/>
              </w:rPr>
              <w:t> </w:t>
            </w:r>
            <w:r>
              <w:rPr>
                <w:b/>
                <w:bCs/>
                <w:szCs w:val="22"/>
                <w:lang w:eastAsia="en-US"/>
              </w:rPr>
              <w:t>mg</w:t>
            </w:r>
            <w:r>
              <w:rPr>
                <w:szCs w:val="22"/>
                <w:lang w:eastAsia="en-US"/>
              </w:rPr>
              <w:t xml:space="preserve"> </w:t>
            </w:r>
            <w:r>
              <w:rPr>
                <w:b/>
                <w:bCs/>
                <w:szCs w:val="22"/>
                <w:lang w:eastAsia="en-US"/>
              </w:rPr>
              <w:t xml:space="preserve">fulvestranto </w:t>
            </w:r>
          </w:p>
          <w:p w14:paraId="543FA528" w14:textId="77777777" w:rsidR="004364B8" w:rsidRDefault="004364B8" w:rsidP="00BA1D9E">
            <w:pPr>
              <w:spacing w:line="256" w:lineRule="auto"/>
              <w:rPr>
                <w:szCs w:val="22"/>
                <w:lang w:eastAsia="en-US"/>
              </w:rPr>
            </w:pPr>
            <w:r>
              <w:rPr>
                <w:b/>
                <w:bCs/>
                <w:szCs w:val="22"/>
                <w:lang w:eastAsia="en-US"/>
              </w:rPr>
              <w:t>(N=374)</w:t>
            </w:r>
          </w:p>
        </w:tc>
        <w:tc>
          <w:tcPr>
            <w:tcW w:w="2071" w:type="pct"/>
            <w:gridSpan w:val="3"/>
            <w:tcBorders>
              <w:top w:val="single" w:sz="4" w:space="0" w:color="auto"/>
              <w:left w:val="nil"/>
              <w:bottom w:val="nil"/>
              <w:right w:val="nil"/>
            </w:tcBorders>
            <w:hideMark/>
          </w:tcPr>
          <w:p w14:paraId="28AFD80F" w14:textId="77777777" w:rsidR="004364B8" w:rsidRDefault="004364B8" w:rsidP="009B558C">
            <w:pPr>
              <w:spacing w:line="256" w:lineRule="auto"/>
              <w:jc w:val="center"/>
              <w:rPr>
                <w:szCs w:val="22"/>
                <w:lang w:eastAsia="en-US"/>
              </w:rPr>
            </w:pPr>
            <w:r>
              <w:rPr>
                <w:b/>
                <w:bCs/>
                <w:szCs w:val="22"/>
                <w:lang w:eastAsia="en-US"/>
              </w:rPr>
              <w:t>Grupių palyginimas</w:t>
            </w:r>
          </w:p>
          <w:p w14:paraId="7D0079D5" w14:textId="77777777" w:rsidR="004364B8" w:rsidRDefault="004364B8" w:rsidP="009B558C">
            <w:pPr>
              <w:spacing w:line="256" w:lineRule="auto"/>
              <w:jc w:val="center"/>
              <w:rPr>
                <w:szCs w:val="22"/>
                <w:lang w:eastAsia="en-US"/>
              </w:rPr>
            </w:pPr>
            <w:r>
              <w:rPr>
                <w:b/>
                <w:bCs/>
                <w:szCs w:val="22"/>
                <w:lang w:eastAsia="en-US"/>
              </w:rPr>
              <w:t>(500</w:t>
            </w:r>
            <w:r w:rsidR="00153369">
              <w:rPr>
                <w:b/>
                <w:bCs/>
                <w:szCs w:val="22"/>
                <w:lang w:eastAsia="en-US"/>
              </w:rPr>
              <w:t> </w:t>
            </w:r>
            <w:r>
              <w:rPr>
                <w:b/>
                <w:bCs/>
                <w:szCs w:val="22"/>
                <w:lang w:eastAsia="en-US"/>
              </w:rPr>
              <w:t>mg fulvestranto /250</w:t>
            </w:r>
            <w:r w:rsidR="00153369">
              <w:rPr>
                <w:b/>
                <w:bCs/>
                <w:szCs w:val="22"/>
                <w:lang w:eastAsia="en-US"/>
              </w:rPr>
              <w:t> </w:t>
            </w:r>
            <w:r>
              <w:rPr>
                <w:b/>
                <w:bCs/>
                <w:szCs w:val="22"/>
                <w:lang w:eastAsia="en-US"/>
              </w:rPr>
              <w:t>mg fulvestranto)</w:t>
            </w:r>
          </w:p>
        </w:tc>
      </w:tr>
      <w:tr w:rsidR="004364B8" w14:paraId="37428256" w14:textId="77777777" w:rsidTr="009B558C">
        <w:trPr>
          <w:trHeight w:val="497"/>
          <w:tblCellSpacing w:w="0" w:type="dxa"/>
        </w:trPr>
        <w:tc>
          <w:tcPr>
            <w:tcW w:w="0" w:type="auto"/>
            <w:vMerge/>
            <w:tcBorders>
              <w:top w:val="single" w:sz="4" w:space="0" w:color="auto"/>
              <w:left w:val="nil"/>
              <w:bottom w:val="nil"/>
              <w:right w:val="nil"/>
            </w:tcBorders>
            <w:vAlign w:val="center"/>
            <w:hideMark/>
          </w:tcPr>
          <w:p w14:paraId="6AA8CA45" w14:textId="77777777" w:rsidR="004364B8" w:rsidRDefault="004364B8" w:rsidP="00BA1D9E">
            <w:pPr>
              <w:spacing w:line="256" w:lineRule="auto"/>
              <w:rPr>
                <w:szCs w:val="22"/>
                <w:lang w:eastAsia="en-US"/>
              </w:rPr>
            </w:pPr>
          </w:p>
        </w:tc>
        <w:tc>
          <w:tcPr>
            <w:tcW w:w="0" w:type="auto"/>
            <w:vMerge/>
            <w:tcBorders>
              <w:top w:val="single" w:sz="4" w:space="0" w:color="auto"/>
              <w:left w:val="nil"/>
              <w:bottom w:val="nil"/>
              <w:right w:val="nil"/>
            </w:tcBorders>
            <w:vAlign w:val="center"/>
            <w:hideMark/>
          </w:tcPr>
          <w:p w14:paraId="6864B273" w14:textId="77777777" w:rsidR="004364B8" w:rsidRDefault="004364B8" w:rsidP="00BA1D9E">
            <w:pPr>
              <w:spacing w:line="256" w:lineRule="auto"/>
              <w:rPr>
                <w:szCs w:val="22"/>
                <w:lang w:eastAsia="en-US"/>
              </w:rPr>
            </w:pPr>
          </w:p>
        </w:tc>
        <w:tc>
          <w:tcPr>
            <w:tcW w:w="0" w:type="auto"/>
            <w:vMerge/>
            <w:tcBorders>
              <w:top w:val="single" w:sz="4" w:space="0" w:color="auto"/>
              <w:left w:val="nil"/>
              <w:bottom w:val="nil"/>
              <w:right w:val="nil"/>
            </w:tcBorders>
            <w:vAlign w:val="center"/>
            <w:hideMark/>
          </w:tcPr>
          <w:p w14:paraId="7A1EC981" w14:textId="77777777" w:rsidR="004364B8" w:rsidRDefault="004364B8" w:rsidP="00BA1D9E">
            <w:pPr>
              <w:spacing w:line="256" w:lineRule="auto"/>
              <w:rPr>
                <w:szCs w:val="22"/>
                <w:lang w:eastAsia="en-US"/>
              </w:rPr>
            </w:pPr>
          </w:p>
        </w:tc>
        <w:tc>
          <w:tcPr>
            <w:tcW w:w="0" w:type="auto"/>
            <w:vMerge/>
            <w:tcBorders>
              <w:top w:val="single" w:sz="4" w:space="0" w:color="auto"/>
              <w:left w:val="nil"/>
              <w:bottom w:val="nil"/>
              <w:right w:val="nil"/>
            </w:tcBorders>
            <w:vAlign w:val="center"/>
            <w:hideMark/>
          </w:tcPr>
          <w:p w14:paraId="0A255101" w14:textId="77777777" w:rsidR="004364B8" w:rsidRDefault="004364B8" w:rsidP="00BA1D9E">
            <w:pPr>
              <w:spacing w:line="256" w:lineRule="auto"/>
              <w:rPr>
                <w:szCs w:val="22"/>
                <w:lang w:eastAsia="en-US"/>
              </w:rPr>
            </w:pPr>
          </w:p>
        </w:tc>
        <w:tc>
          <w:tcPr>
            <w:tcW w:w="690" w:type="pct"/>
            <w:tcBorders>
              <w:top w:val="single" w:sz="4" w:space="0" w:color="auto"/>
              <w:left w:val="nil"/>
              <w:bottom w:val="nil"/>
              <w:right w:val="nil"/>
            </w:tcBorders>
            <w:hideMark/>
          </w:tcPr>
          <w:p w14:paraId="54A13FA5" w14:textId="77777777" w:rsidR="004364B8" w:rsidRDefault="004364B8" w:rsidP="00BA1D9E">
            <w:pPr>
              <w:spacing w:line="256" w:lineRule="auto"/>
              <w:rPr>
                <w:szCs w:val="22"/>
                <w:lang w:eastAsia="en-US"/>
              </w:rPr>
            </w:pPr>
            <w:r>
              <w:rPr>
                <w:b/>
                <w:bCs/>
                <w:szCs w:val="22"/>
                <w:lang w:eastAsia="en-US"/>
              </w:rPr>
              <w:t>Santykinė rizika</w:t>
            </w:r>
          </w:p>
        </w:tc>
        <w:tc>
          <w:tcPr>
            <w:tcW w:w="690" w:type="pct"/>
            <w:tcBorders>
              <w:top w:val="single" w:sz="4" w:space="0" w:color="auto"/>
              <w:left w:val="nil"/>
              <w:bottom w:val="nil"/>
              <w:right w:val="nil"/>
            </w:tcBorders>
            <w:hideMark/>
          </w:tcPr>
          <w:p w14:paraId="49138431" w14:textId="77777777" w:rsidR="004364B8" w:rsidRDefault="004364B8" w:rsidP="00BA1D9E">
            <w:pPr>
              <w:spacing w:line="256" w:lineRule="auto"/>
              <w:rPr>
                <w:szCs w:val="22"/>
                <w:lang w:eastAsia="en-US"/>
              </w:rPr>
            </w:pPr>
            <w:r>
              <w:rPr>
                <w:b/>
                <w:bCs/>
                <w:szCs w:val="22"/>
                <w:lang w:eastAsia="en-US"/>
              </w:rPr>
              <w:t>95</w:t>
            </w:r>
            <w:r w:rsidR="00153369">
              <w:rPr>
                <w:b/>
                <w:bCs/>
                <w:szCs w:val="22"/>
                <w:lang w:eastAsia="en-US"/>
              </w:rPr>
              <w:t> </w:t>
            </w:r>
            <w:r>
              <w:rPr>
                <w:b/>
                <w:bCs/>
                <w:szCs w:val="22"/>
                <w:lang w:eastAsia="en-US"/>
              </w:rPr>
              <w:t>% PI</w:t>
            </w:r>
          </w:p>
        </w:tc>
        <w:tc>
          <w:tcPr>
            <w:tcW w:w="691" w:type="pct"/>
            <w:tcBorders>
              <w:top w:val="single" w:sz="4" w:space="0" w:color="auto"/>
              <w:left w:val="nil"/>
              <w:bottom w:val="nil"/>
              <w:right w:val="nil"/>
            </w:tcBorders>
            <w:hideMark/>
          </w:tcPr>
          <w:p w14:paraId="0CC3312F" w14:textId="77777777" w:rsidR="004364B8" w:rsidRDefault="004364B8" w:rsidP="00BA1D9E">
            <w:pPr>
              <w:spacing w:line="256" w:lineRule="auto"/>
              <w:rPr>
                <w:szCs w:val="22"/>
                <w:lang w:eastAsia="en-US"/>
              </w:rPr>
            </w:pPr>
            <w:r>
              <w:rPr>
                <w:b/>
                <w:bCs/>
                <w:szCs w:val="22"/>
                <w:lang w:eastAsia="en-US"/>
              </w:rPr>
              <w:t>P reikšmė</w:t>
            </w:r>
          </w:p>
        </w:tc>
      </w:tr>
      <w:tr w:rsidR="004364B8" w14:paraId="370616F8" w14:textId="77777777" w:rsidTr="009B558C">
        <w:trPr>
          <w:tblCellSpacing w:w="0" w:type="dxa"/>
        </w:trPr>
        <w:tc>
          <w:tcPr>
            <w:tcW w:w="790" w:type="pct"/>
            <w:tcBorders>
              <w:top w:val="single" w:sz="4" w:space="0" w:color="auto"/>
              <w:left w:val="nil"/>
              <w:bottom w:val="nil"/>
              <w:right w:val="nil"/>
            </w:tcBorders>
            <w:hideMark/>
          </w:tcPr>
          <w:p w14:paraId="0D8EE1CE" w14:textId="77777777" w:rsidR="004364B8" w:rsidRDefault="004364B8" w:rsidP="00BA1D9E">
            <w:pPr>
              <w:spacing w:line="256" w:lineRule="auto"/>
              <w:rPr>
                <w:szCs w:val="22"/>
                <w:lang w:eastAsia="en-US"/>
              </w:rPr>
            </w:pPr>
            <w:r>
              <w:rPr>
                <w:b/>
                <w:bCs/>
                <w:szCs w:val="22"/>
                <w:lang w:eastAsia="en-US"/>
              </w:rPr>
              <w:t>PFS</w:t>
            </w:r>
          </w:p>
        </w:tc>
        <w:tc>
          <w:tcPr>
            <w:tcW w:w="759" w:type="pct"/>
            <w:tcBorders>
              <w:top w:val="single" w:sz="4" w:space="0" w:color="auto"/>
              <w:left w:val="nil"/>
              <w:bottom w:val="nil"/>
              <w:right w:val="nil"/>
            </w:tcBorders>
            <w:hideMark/>
          </w:tcPr>
          <w:p w14:paraId="3D795708" w14:textId="77777777" w:rsidR="004364B8" w:rsidRDefault="004364B8" w:rsidP="00BA1D9E">
            <w:pPr>
              <w:spacing w:line="256" w:lineRule="auto"/>
              <w:rPr>
                <w:szCs w:val="22"/>
                <w:lang w:eastAsia="en-US"/>
              </w:rPr>
            </w:pPr>
            <w:r>
              <w:rPr>
                <w:b/>
                <w:bCs/>
                <w:szCs w:val="22"/>
                <w:lang w:eastAsia="en-US"/>
              </w:rPr>
              <w:t>K-M mediana mėnesiais; santykinė rizika</w:t>
            </w:r>
          </w:p>
        </w:tc>
        <w:tc>
          <w:tcPr>
            <w:tcW w:w="690" w:type="pct"/>
            <w:tcBorders>
              <w:top w:val="single" w:sz="4" w:space="0" w:color="auto"/>
              <w:left w:val="nil"/>
              <w:bottom w:val="nil"/>
              <w:right w:val="nil"/>
            </w:tcBorders>
            <w:hideMark/>
          </w:tcPr>
          <w:p w14:paraId="730C9469" w14:textId="77777777" w:rsidR="004364B8" w:rsidRDefault="004364B8">
            <w:pPr>
              <w:rPr>
                <w:szCs w:val="22"/>
                <w:lang w:eastAsia="en-US"/>
              </w:rPr>
            </w:pPr>
          </w:p>
        </w:tc>
        <w:tc>
          <w:tcPr>
            <w:tcW w:w="690" w:type="pct"/>
            <w:tcBorders>
              <w:top w:val="single" w:sz="4" w:space="0" w:color="auto"/>
              <w:left w:val="nil"/>
              <w:bottom w:val="nil"/>
              <w:right w:val="nil"/>
            </w:tcBorders>
            <w:hideMark/>
          </w:tcPr>
          <w:p w14:paraId="44A67D6D" w14:textId="77777777" w:rsidR="004364B8" w:rsidRPr="0077444B" w:rsidRDefault="004364B8" w:rsidP="00BA1D9E">
            <w:pPr>
              <w:spacing w:line="256" w:lineRule="auto"/>
              <w:rPr>
                <w:rFonts w:asciiTheme="minorHAnsi" w:eastAsiaTheme="minorHAnsi" w:hAnsiTheme="minorHAnsi"/>
                <w:sz w:val="20"/>
              </w:rPr>
            </w:pPr>
          </w:p>
        </w:tc>
        <w:tc>
          <w:tcPr>
            <w:tcW w:w="690" w:type="pct"/>
            <w:tcBorders>
              <w:top w:val="single" w:sz="4" w:space="0" w:color="auto"/>
              <w:left w:val="nil"/>
              <w:bottom w:val="nil"/>
              <w:right w:val="nil"/>
            </w:tcBorders>
            <w:hideMark/>
          </w:tcPr>
          <w:p w14:paraId="42268D0C" w14:textId="77777777" w:rsidR="004364B8" w:rsidRPr="0077444B" w:rsidRDefault="004364B8" w:rsidP="00BA1D9E">
            <w:pPr>
              <w:spacing w:line="256" w:lineRule="auto"/>
              <w:rPr>
                <w:rFonts w:asciiTheme="minorHAnsi" w:eastAsiaTheme="minorHAnsi" w:hAnsiTheme="minorHAnsi"/>
                <w:sz w:val="20"/>
              </w:rPr>
            </w:pPr>
          </w:p>
        </w:tc>
        <w:tc>
          <w:tcPr>
            <w:tcW w:w="690" w:type="pct"/>
            <w:tcBorders>
              <w:top w:val="single" w:sz="4" w:space="0" w:color="auto"/>
              <w:left w:val="nil"/>
              <w:bottom w:val="nil"/>
              <w:right w:val="nil"/>
            </w:tcBorders>
            <w:hideMark/>
          </w:tcPr>
          <w:p w14:paraId="5BFDE604" w14:textId="77777777" w:rsidR="004364B8" w:rsidRPr="0077444B" w:rsidRDefault="004364B8" w:rsidP="00BA1D9E">
            <w:pPr>
              <w:spacing w:line="256" w:lineRule="auto"/>
              <w:rPr>
                <w:rFonts w:asciiTheme="minorHAnsi" w:eastAsiaTheme="minorHAnsi" w:hAnsiTheme="minorHAnsi"/>
                <w:sz w:val="20"/>
              </w:rPr>
            </w:pPr>
          </w:p>
        </w:tc>
        <w:tc>
          <w:tcPr>
            <w:tcW w:w="691" w:type="pct"/>
            <w:tcBorders>
              <w:top w:val="single" w:sz="4" w:space="0" w:color="auto"/>
              <w:left w:val="nil"/>
              <w:bottom w:val="nil"/>
              <w:right w:val="nil"/>
            </w:tcBorders>
            <w:hideMark/>
          </w:tcPr>
          <w:p w14:paraId="366E0D6E" w14:textId="77777777" w:rsidR="004364B8" w:rsidRPr="0077444B" w:rsidRDefault="004364B8" w:rsidP="00BA1D9E">
            <w:pPr>
              <w:spacing w:line="256" w:lineRule="auto"/>
              <w:rPr>
                <w:rFonts w:asciiTheme="minorHAnsi" w:eastAsiaTheme="minorHAnsi" w:hAnsiTheme="minorHAnsi"/>
                <w:sz w:val="20"/>
              </w:rPr>
            </w:pPr>
          </w:p>
        </w:tc>
      </w:tr>
      <w:tr w:rsidR="004364B8" w14:paraId="38DFF303" w14:textId="77777777" w:rsidTr="009B558C">
        <w:trPr>
          <w:tblCellSpacing w:w="0" w:type="dxa"/>
        </w:trPr>
        <w:tc>
          <w:tcPr>
            <w:tcW w:w="1549" w:type="pct"/>
            <w:gridSpan w:val="2"/>
            <w:hideMark/>
          </w:tcPr>
          <w:p w14:paraId="7FABF20B" w14:textId="77777777" w:rsidR="004364B8" w:rsidRDefault="004364B8" w:rsidP="00BA1D9E">
            <w:pPr>
              <w:spacing w:line="256" w:lineRule="auto"/>
              <w:rPr>
                <w:szCs w:val="22"/>
                <w:lang w:eastAsia="en-US"/>
              </w:rPr>
            </w:pPr>
            <w:r>
              <w:rPr>
                <w:b/>
                <w:bCs/>
                <w:szCs w:val="22"/>
                <w:lang w:eastAsia="en-US"/>
              </w:rPr>
              <w:t>Visos pacientės</w:t>
            </w:r>
          </w:p>
        </w:tc>
        <w:tc>
          <w:tcPr>
            <w:tcW w:w="690" w:type="pct"/>
            <w:hideMark/>
          </w:tcPr>
          <w:p w14:paraId="02719AEB" w14:textId="77777777" w:rsidR="004364B8" w:rsidRPr="00901F66" w:rsidRDefault="004364B8" w:rsidP="009B558C">
            <w:pPr>
              <w:spacing w:line="256" w:lineRule="auto"/>
              <w:jc w:val="center"/>
              <w:rPr>
                <w:szCs w:val="22"/>
                <w:lang w:eastAsia="en-US"/>
              </w:rPr>
            </w:pPr>
            <w:r w:rsidRPr="009B558C">
              <w:t>6,5</w:t>
            </w:r>
          </w:p>
        </w:tc>
        <w:tc>
          <w:tcPr>
            <w:tcW w:w="690" w:type="pct"/>
            <w:hideMark/>
          </w:tcPr>
          <w:p w14:paraId="5B50D3DB" w14:textId="77777777" w:rsidR="004364B8" w:rsidRPr="00901F66" w:rsidRDefault="004364B8" w:rsidP="009B558C">
            <w:pPr>
              <w:spacing w:line="256" w:lineRule="auto"/>
              <w:jc w:val="center"/>
              <w:rPr>
                <w:szCs w:val="22"/>
                <w:lang w:eastAsia="en-US"/>
              </w:rPr>
            </w:pPr>
            <w:r w:rsidRPr="009B558C">
              <w:t>5,5</w:t>
            </w:r>
          </w:p>
        </w:tc>
        <w:tc>
          <w:tcPr>
            <w:tcW w:w="690" w:type="pct"/>
            <w:hideMark/>
          </w:tcPr>
          <w:p w14:paraId="46DC5206" w14:textId="77777777" w:rsidR="004364B8" w:rsidRPr="00901F66" w:rsidRDefault="004364B8" w:rsidP="009B558C">
            <w:pPr>
              <w:spacing w:line="256" w:lineRule="auto"/>
              <w:jc w:val="center"/>
              <w:rPr>
                <w:szCs w:val="22"/>
                <w:lang w:eastAsia="en-US"/>
              </w:rPr>
            </w:pPr>
            <w:r w:rsidRPr="009B558C">
              <w:t>0,80</w:t>
            </w:r>
          </w:p>
        </w:tc>
        <w:tc>
          <w:tcPr>
            <w:tcW w:w="690" w:type="pct"/>
            <w:hideMark/>
          </w:tcPr>
          <w:p w14:paraId="0D439C61" w14:textId="77777777" w:rsidR="004364B8" w:rsidRPr="00901F66" w:rsidRDefault="004364B8" w:rsidP="009B558C">
            <w:pPr>
              <w:spacing w:line="256" w:lineRule="auto"/>
              <w:jc w:val="center"/>
              <w:rPr>
                <w:szCs w:val="22"/>
                <w:lang w:eastAsia="en-US"/>
              </w:rPr>
            </w:pPr>
            <w:r w:rsidRPr="009B558C">
              <w:t>0,68; 0,94</w:t>
            </w:r>
          </w:p>
        </w:tc>
        <w:tc>
          <w:tcPr>
            <w:tcW w:w="691" w:type="pct"/>
            <w:hideMark/>
          </w:tcPr>
          <w:p w14:paraId="75D2F3CD" w14:textId="77777777" w:rsidR="004364B8" w:rsidRPr="00901F66" w:rsidRDefault="004364B8" w:rsidP="009B558C">
            <w:pPr>
              <w:spacing w:line="256" w:lineRule="auto"/>
              <w:jc w:val="center"/>
              <w:rPr>
                <w:szCs w:val="22"/>
                <w:lang w:eastAsia="en-US"/>
              </w:rPr>
            </w:pPr>
            <w:r w:rsidRPr="009B558C">
              <w:t>0,006</w:t>
            </w:r>
          </w:p>
        </w:tc>
      </w:tr>
      <w:tr w:rsidR="004364B8" w14:paraId="7B517A30" w14:textId="77777777" w:rsidTr="009B558C">
        <w:trPr>
          <w:tblCellSpacing w:w="0" w:type="dxa"/>
        </w:trPr>
        <w:tc>
          <w:tcPr>
            <w:tcW w:w="1549" w:type="pct"/>
            <w:gridSpan w:val="2"/>
            <w:hideMark/>
          </w:tcPr>
          <w:p w14:paraId="027A9788" w14:textId="77777777" w:rsidR="004364B8" w:rsidRDefault="004364B8" w:rsidP="00BA1D9E">
            <w:pPr>
              <w:spacing w:line="256" w:lineRule="auto"/>
              <w:rPr>
                <w:szCs w:val="22"/>
                <w:lang w:eastAsia="en-US"/>
              </w:rPr>
            </w:pPr>
            <w:r>
              <w:rPr>
                <w:b/>
                <w:bCs/>
                <w:szCs w:val="22"/>
                <w:lang w:eastAsia="en-US"/>
              </w:rPr>
              <w:t>-AE pogrupis (n=423)</w:t>
            </w:r>
          </w:p>
        </w:tc>
        <w:tc>
          <w:tcPr>
            <w:tcW w:w="690" w:type="pct"/>
            <w:hideMark/>
          </w:tcPr>
          <w:p w14:paraId="3413DCED" w14:textId="77777777" w:rsidR="004364B8" w:rsidRPr="00901F66" w:rsidRDefault="004364B8" w:rsidP="009B558C">
            <w:pPr>
              <w:spacing w:line="256" w:lineRule="auto"/>
              <w:jc w:val="center"/>
              <w:rPr>
                <w:szCs w:val="22"/>
                <w:lang w:eastAsia="en-US"/>
              </w:rPr>
            </w:pPr>
            <w:r w:rsidRPr="009B558C">
              <w:t>8,6</w:t>
            </w:r>
          </w:p>
        </w:tc>
        <w:tc>
          <w:tcPr>
            <w:tcW w:w="690" w:type="pct"/>
            <w:hideMark/>
          </w:tcPr>
          <w:p w14:paraId="790F437E" w14:textId="77777777" w:rsidR="004364B8" w:rsidRPr="00901F66" w:rsidRDefault="004364B8" w:rsidP="009B558C">
            <w:pPr>
              <w:spacing w:line="256" w:lineRule="auto"/>
              <w:jc w:val="center"/>
              <w:rPr>
                <w:szCs w:val="22"/>
                <w:lang w:eastAsia="en-US"/>
              </w:rPr>
            </w:pPr>
            <w:r w:rsidRPr="009B558C">
              <w:t>5,8</w:t>
            </w:r>
          </w:p>
        </w:tc>
        <w:tc>
          <w:tcPr>
            <w:tcW w:w="690" w:type="pct"/>
            <w:hideMark/>
          </w:tcPr>
          <w:p w14:paraId="599D2FFC" w14:textId="77777777" w:rsidR="004364B8" w:rsidRPr="00901F66" w:rsidRDefault="004364B8" w:rsidP="009B558C">
            <w:pPr>
              <w:spacing w:line="256" w:lineRule="auto"/>
              <w:jc w:val="center"/>
              <w:rPr>
                <w:szCs w:val="22"/>
                <w:lang w:eastAsia="en-US"/>
              </w:rPr>
            </w:pPr>
            <w:r w:rsidRPr="009B558C">
              <w:t>0,76</w:t>
            </w:r>
          </w:p>
        </w:tc>
        <w:tc>
          <w:tcPr>
            <w:tcW w:w="690" w:type="pct"/>
            <w:hideMark/>
          </w:tcPr>
          <w:p w14:paraId="7E46B015" w14:textId="77777777" w:rsidR="004364B8" w:rsidRPr="00901F66" w:rsidRDefault="004364B8" w:rsidP="009B558C">
            <w:pPr>
              <w:spacing w:line="256" w:lineRule="auto"/>
              <w:jc w:val="center"/>
              <w:rPr>
                <w:szCs w:val="22"/>
                <w:lang w:eastAsia="en-US"/>
              </w:rPr>
            </w:pPr>
            <w:r w:rsidRPr="009B558C">
              <w:t>0,62; 0,94</w:t>
            </w:r>
          </w:p>
        </w:tc>
        <w:tc>
          <w:tcPr>
            <w:tcW w:w="691" w:type="pct"/>
            <w:hideMark/>
          </w:tcPr>
          <w:p w14:paraId="78DE1827" w14:textId="77777777" w:rsidR="004364B8" w:rsidRPr="00901F66" w:rsidRDefault="004364B8" w:rsidP="009B558C">
            <w:pPr>
              <w:spacing w:line="256" w:lineRule="auto"/>
              <w:jc w:val="center"/>
              <w:rPr>
                <w:szCs w:val="22"/>
                <w:lang w:eastAsia="en-US"/>
              </w:rPr>
            </w:pPr>
            <w:r w:rsidRPr="009B558C">
              <w:t>0,013</w:t>
            </w:r>
          </w:p>
        </w:tc>
      </w:tr>
      <w:tr w:rsidR="004364B8" w14:paraId="0CF68FAC" w14:textId="77777777" w:rsidTr="009B558C">
        <w:trPr>
          <w:tblCellSpacing w:w="0" w:type="dxa"/>
        </w:trPr>
        <w:tc>
          <w:tcPr>
            <w:tcW w:w="1549" w:type="pct"/>
            <w:gridSpan w:val="2"/>
            <w:tcBorders>
              <w:top w:val="nil"/>
              <w:left w:val="nil"/>
              <w:bottom w:val="single" w:sz="4" w:space="0" w:color="auto"/>
              <w:right w:val="nil"/>
            </w:tcBorders>
            <w:hideMark/>
          </w:tcPr>
          <w:p w14:paraId="7FC98489" w14:textId="77777777" w:rsidR="004364B8" w:rsidRDefault="004364B8" w:rsidP="00BA1D9E">
            <w:pPr>
              <w:spacing w:line="256" w:lineRule="auto"/>
              <w:rPr>
                <w:szCs w:val="22"/>
                <w:lang w:eastAsia="en-US"/>
              </w:rPr>
            </w:pPr>
            <w:r>
              <w:rPr>
                <w:b/>
                <w:bCs/>
                <w:szCs w:val="22"/>
                <w:lang w:eastAsia="en-US"/>
              </w:rPr>
              <w:t>-AI pogrupis (n=313)</w:t>
            </w:r>
            <w:r>
              <w:rPr>
                <w:b/>
                <w:bCs/>
                <w:szCs w:val="22"/>
                <w:vertAlign w:val="superscript"/>
                <w:lang w:eastAsia="en-US"/>
              </w:rPr>
              <w:t>a</w:t>
            </w:r>
          </w:p>
        </w:tc>
        <w:tc>
          <w:tcPr>
            <w:tcW w:w="690" w:type="pct"/>
            <w:tcBorders>
              <w:top w:val="nil"/>
              <w:left w:val="nil"/>
              <w:bottom w:val="single" w:sz="4" w:space="0" w:color="auto"/>
              <w:right w:val="nil"/>
            </w:tcBorders>
            <w:hideMark/>
          </w:tcPr>
          <w:p w14:paraId="70EE7AC5" w14:textId="77777777" w:rsidR="004364B8" w:rsidRPr="00901F66" w:rsidRDefault="004364B8" w:rsidP="009B558C">
            <w:pPr>
              <w:spacing w:line="256" w:lineRule="auto"/>
              <w:jc w:val="center"/>
              <w:rPr>
                <w:szCs w:val="22"/>
                <w:lang w:eastAsia="en-US"/>
              </w:rPr>
            </w:pPr>
            <w:r w:rsidRPr="009B558C">
              <w:t>5,4</w:t>
            </w:r>
          </w:p>
        </w:tc>
        <w:tc>
          <w:tcPr>
            <w:tcW w:w="690" w:type="pct"/>
            <w:tcBorders>
              <w:top w:val="nil"/>
              <w:left w:val="nil"/>
              <w:bottom w:val="single" w:sz="4" w:space="0" w:color="auto"/>
              <w:right w:val="nil"/>
            </w:tcBorders>
            <w:hideMark/>
          </w:tcPr>
          <w:p w14:paraId="07E8D347" w14:textId="77777777" w:rsidR="004364B8" w:rsidRPr="00901F66" w:rsidRDefault="004364B8" w:rsidP="009B558C">
            <w:pPr>
              <w:spacing w:line="256" w:lineRule="auto"/>
              <w:jc w:val="center"/>
              <w:rPr>
                <w:szCs w:val="22"/>
                <w:lang w:eastAsia="en-US"/>
              </w:rPr>
            </w:pPr>
            <w:r w:rsidRPr="009B558C">
              <w:t>4,1</w:t>
            </w:r>
          </w:p>
        </w:tc>
        <w:tc>
          <w:tcPr>
            <w:tcW w:w="690" w:type="pct"/>
            <w:tcBorders>
              <w:top w:val="nil"/>
              <w:left w:val="nil"/>
              <w:bottom w:val="single" w:sz="4" w:space="0" w:color="auto"/>
              <w:right w:val="nil"/>
            </w:tcBorders>
            <w:hideMark/>
          </w:tcPr>
          <w:p w14:paraId="09FDFA14" w14:textId="77777777" w:rsidR="004364B8" w:rsidRPr="00901F66" w:rsidRDefault="004364B8" w:rsidP="009B558C">
            <w:pPr>
              <w:spacing w:line="256" w:lineRule="auto"/>
              <w:jc w:val="center"/>
              <w:rPr>
                <w:szCs w:val="22"/>
                <w:lang w:eastAsia="en-US"/>
              </w:rPr>
            </w:pPr>
            <w:r w:rsidRPr="009B558C">
              <w:t>0,85</w:t>
            </w:r>
          </w:p>
        </w:tc>
        <w:tc>
          <w:tcPr>
            <w:tcW w:w="690" w:type="pct"/>
            <w:tcBorders>
              <w:top w:val="nil"/>
              <w:left w:val="nil"/>
              <w:bottom w:val="single" w:sz="4" w:space="0" w:color="auto"/>
              <w:right w:val="nil"/>
            </w:tcBorders>
            <w:hideMark/>
          </w:tcPr>
          <w:p w14:paraId="6F6F75FA" w14:textId="77777777" w:rsidR="004364B8" w:rsidRPr="00901F66" w:rsidRDefault="004364B8" w:rsidP="009B558C">
            <w:pPr>
              <w:spacing w:line="256" w:lineRule="auto"/>
              <w:jc w:val="center"/>
              <w:rPr>
                <w:szCs w:val="22"/>
                <w:lang w:eastAsia="en-US"/>
              </w:rPr>
            </w:pPr>
            <w:r w:rsidRPr="009B558C">
              <w:t>0,67; 1,08</w:t>
            </w:r>
          </w:p>
        </w:tc>
        <w:tc>
          <w:tcPr>
            <w:tcW w:w="691" w:type="pct"/>
            <w:tcBorders>
              <w:top w:val="nil"/>
              <w:left w:val="nil"/>
              <w:bottom w:val="single" w:sz="4" w:space="0" w:color="auto"/>
              <w:right w:val="nil"/>
            </w:tcBorders>
            <w:hideMark/>
          </w:tcPr>
          <w:p w14:paraId="220DF82D" w14:textId="77777777" w:rsidR="004364B8" w:rsidRPr="00901F66" w:rsidRDefault="004364B8" w:rsidP="009B558C">
            <w:pPr>
              <w:spacing w:line="256" w:lineRule="auto"/>
              <w:jc w:val="center"/>
              <w:rPr>
                <w:szCs w:val="22"/>
                <w:lang w:eastAsia="en-US"/>
              </w:rPr>
            </w:pPr>
            <w:r w:rsidRPr="009B558C">
              <w:t>0,195</w:t>
            </w:r>
          </w:p>
        </w:tc>
      </w:tr>
      <w:tr w:rsidR="004364B8" w14:paraId="7D0A7E80" w14:textId="77777777" w:rsidTr="009B558C">
        <w:trPr>
          <w:tblCellSpacing w:w="0" w:type="dxa"/>
        </w:trPr>
        <w:tc>
          <w:tcPr>
            <w:tcW w:w="790" w:type="pct"/>
            <w:hideMark/>
          </w:tcPr>
          <w:p w14:paraId="69F26B3C" w14:textId="77777777" w:rsidR="004364B8" w:rsidRDefault="004364B8" w:rsidP="00BA1D9E">
            <w:pPr>
              <w:spacing w:line="256" w:lineRule="auto"/>
              <w:rPr>
                <w:szCs w:val="22"/>
                <w:lang w:eastAsia="en-US"/>
              </w:rPr>
            </w:pPr>
            <w:r w:rsidRPr="009B558C">
              <w:rPr>
                <w:b/>
              </w:rPr>
              <w:t>OS</w:t>
            </w:r>
            <w:r>
              <w:rPr>
                <w:szCs w:val="22"/>
                <w:vertAlign w:val="superscript"/>
                <w:lang w:eastAsia="en-US"/>
              </w:rPr>
              <w:t>b</w:t>
            </w:r>
          </w:p>
        </w:tc>
        <w:tc>
          <w:tcPr>
            <w:tcW w:w="759" w:type="pct"/>
            <w:hideMark/>
          </w:tcPr>
          <w:p w14:paraId="1408CE04" w14:textId="77777777" w:rsidR="004364B8" w:rsidRDefault="004364B8" w:rsidP="00BA1D9E">
            <w:pPr>
              <w:spacing w:line="256" w:lineRule="auto"/>
              <w:rPr>
                <w:szCs w:val="22"/>
                <w:lang w:eastAsia="en-US"/>
              </w:rPr>
            </w:pPr>
            <w:r>
              <w:rPr>
                <w:bCs/>
                <w:szCs w:val="22"/>
                <w:lang w:eastAsia="en-US"/>
              </w:rPr>
              <w:t>K-M mediana mėnesiais; santykinė rizika</w:t>
            </w:r>
          </w:p>
        </w:tc>
        <w:tc>
          <w:tcPr>
            <w:tcW w:w="690" w:type="pct"/>
            <w:hideMark/>
          </w:tcPr>
          <w:p w14:paraId="30D4348A" w14:textId="77777777" w:rsidR="004364B8" w:rsidRDefault="004364B8">
            <w:pPr>
              <w:rPr>
                <w:szCs w:val="22"/>
                <w:lang w:eastAsia="en-US"/>
              </w:rPr>
            </w:pPr>
          </w:p>
        </w:tc>
        <w:tc>
          <w:tcPr>
            <w:tcW w:w="690" w:type="pct"/>
            <w:hideMark/>
          </w:tcPr>
          <w:p w14:paraId="57F057BD" w14:textId="77777777" w:rsidR="004364B8" w:rsidRPr="0077444B" w:rsidRDefault="004364B8" w:rsidP="00BA1D9E">
            <w:pPr>
              <w:spacing w:line="256" w:lineRule="auto"/>
              <w:rPr>
                <w:rFonts w:asciiTheme="minorHAnsi" w:eastAsiaTheme="minorHAnsi" w:hAnsiTheme="minorHAnsi"/>
                <w:sz w:val="20"/>
              </w:rPr>
            </w:pPr>
          </w:p>
        </w:tc>
        <w:tc>
          <w:tcPr>
            <w:tcW w:w="690" w:type="pct"/>
            <w:hideMark/>
          </w:tcPr>
          <w:p w14:paraId="3A62E40C" w14:textId="77777777" w:rsidR="004364B8" w:rsidRPr="0077444B" w:rsidRDefault="004364B8" w:rsidP="00BA1D9E">
            <w:pPr>
              <w:spacing w:line="256" w:lineRule="auto"/>
              <w:rPr>
                <w:rFonts w:asciiTheme="minorHAnsi" w:eastAsiaTheme="minorHAnsi" w:hAnsiTheme="minorHAnsi"/>
                <w:sz w:val="20"/>
              </w:rPr>
            </w:pPr>
          </w:p>
        </w:tc>
        <w:tc>
          <w:tcPr>
            <w:tcW w:w="690" w:type="pct"/>
            <w:hideMark/>
          </w:tcPr>
          <w:p w14:paraId="7ED379E5" w14:textId="77777777" w:rsidR="004364B8" w:rsidRPr="0077444B" w:rsidRDefault="004364B8" w:rsidP="00BA1D9E">
            <w:pPr>
              <w:spacing w:line="256" w:lineRule="auto"/>
              <w:rPr>
                <w:rFonts w:asciiTheme="minorHAnsi" w:eastAsiaTheme="minorHAnsi" w:hAnsiTheme="minorHAnsi"/>
                <w:sz w:val="20"/>
              </w:rPr>
            </w:pPr>
          </w:p>
        </w:tc>
        <w:tc>
          <w:tcPr>
            <w:tcW w:w="691" w:type="pct"/>
            <w:hideMark/>
          </w:tcPr>
          <w:p w14:paraId="11F848B8" w14:textId="77777777" w:rsidR="004364B8" w:rsidRPr="0077444B" w:rsidRDefault="004364B8" w:rsidP="00BA1D9E">
            <w:pPr>
              <w:spacing w:line="256" w:lineRule="auto"/>
              <w:rPr>
                <w:rFonts w:asciiTheme="minorHAnsi" w:eastAsiaTheme="minorHAnsi" w:hAnsiTheme="minorHAnsi"/>
                <w:sz w:val="20"/>
              </w:rPr>
            </w:pPr>
          </w:p>
        </w:tc>
      </w:tr>
      <w:tr w:rsidR="004364B8" w14:paraId="1D4F74BB" w14:textId="77777777" w:rsidTr="009B558C">
        <w:trPr>
          <w:tblCellSpacing w:w="0" w:type="dxa"/>
        </w:trPr>
        <w:tc>
          <w:tcPr>
            <w:tcW w:w="790" w:type="pct"/>
            <w:hideMark/>
          </w:tcPr>
          <w:p w14:paraId="16A3F588" w14:textId="77777777" w:rsidR="004364B8" w:rsidRPr="009B558C" w:rsidRDefault="004364B8" w:rsidP="009B558C">
            <w:pPr>
              <w:keepNext/>
              <w:keepLines/>
              <w:tabs>
                <w:tab w:val="left" w:pos="284"/>
              </w:tabs>
              <w:spacing w:line="256" w:lineRule="auto"/>
              <w:ind w:left="284" w:hanging="284"/>
              <w:outlineLvl w:val="2"/>
              <w:rPr>
                <w:b/>
              </w:rPr>
            </w:pPr>
            <w:r w:rsidRPr="009B558C">
              <w:rPr>
                <w:b/>
              </w:rPr>
              <w:t xml:space="preserve">Visos pacientės </w:t>
            </w:r>
          </w:p>
        </w:tc>
        <w:tc>
          <w:tcPr>
            <w:tcW w:w="759" w:type="pct"/>
            <w:hideMark/>
          </w:tcPr>
          <w:p w14:paraId="2B0F0DCB" w14:textId="77777777" w:rsidR="004364B8" w:rsidRPr="009B558C" w:rsidRDefault="004364B8">
            <w:pPr>
              <w:rPr>
                <w:b/>
              </w:rPr>
            </w:pPr>
          </w:p>
        </w:tc>
        <w:tc>
          <w:tcPr>
            <w:tcW w:w="690" w:type="pct"/>
            <w:hideMark/>
          </w:tcPr>
          <w:p w14:paraId="7B90DEBD" w14:textId="1658C7C6" w:rsidR="004364B8" w:rsidRPr="009B558C" w:rsidRDefault="004364B8" w:rsidP="009B558C">
            <w:pPr>
              <w:spacing w:line="256" w:lineRule="auto"/>
              <w:jc w:val="center"/>
              <w:rPr>
                <w:b/>
                <w:kern w:val="28"/>
              </w:rPr>
            </w:pPr>
            <w:r>
              <w:rPr>
                <w:szCs w:val="22"/>
                <w:lang w:eastAsia="en-US"/>
              </w:rPr>
              <w:t>26,4</w:t>
            </w:r>
          </w:p>
        </w:tc>
        <w:tc>
          <w:tcPr>
            <w:tcW w:w="690" w:type="pct"/>
            <w:hideMark/>
          </w:tcPr>
          <w:p w14:paraId="7FBDE920" w14:textId="66F4C6CD" w:rsidR="004364B8" w:rsidRPr="009B558C" w:rsidRDefault="004364B8" w:rsidP="009B558C">
            <w:pPr>
              <w:spacing w:line="256" w:lineRule="auto"/>
              <w:jc w:val="center"/>
              <w:rPr>
                <w:b/>
                <w:kern w:val="28"/>
              </w:rPr>
            </w:pPr>
            <w:r>
              <w:rPr>
                <w:szCs w:val="22"/>
                <w:lang w:eastAsia="en-US"/>
              </w:rPr>
              <w:t>22,3</w:t>
            </w:r>
          </w:p>
        </w:tc>
        <w:tc>
          <w:tcPr>
            <w:tcW w:w="690" w:type="pct"/>
            <w:hideMark/>
          </w:tcPr>
          <w:p w14:paraId="33A56331" w14:textId="577B9870" w:rsidR="004364B8" w:rsidRPr="009B558C" w:rsidRDefault="004364B8" w:rsidP="009B558C">
            <w:pPr>
              <w:spacing w:line="256" w:lineRule="auto"/>
              <w:jc w:val="center"/>
              <w:rPr>
                <w:b/>
                <w:kern w:val="28"/>
              </w:rPr>
            </w:pPr>
            <w:r>
              <w:rPr>
                <w:szCs w:val="22"/>
                <w:lang w:eastAsia="en-US"/>
              </w:rPr>
              <w:t>0,81</w:t>
            </w:r>
          </w:p>
        </w:tc>
        <w:tc>
          <w:tcPr>
            <w:tcW w:w="690" w:type="pct"/>
            <w:hideMark/>
          </w:tcPr>
          <w:p w14:paraId="6ADB1E4C" w14:textId="3B93E518" w:rsidR="004364B8" w:rsidRPr="009B558C" w:rsidRDefault="004364B8" w:rsidP="009B558C">
            <w:pPr>
              <w:spacing w:line="256" w:lineRule="auto"/>
              <w:jc w:val="center"/>
              <w:rPr>
                <w:b/>
                <w:kern w:val="28"/>
              </w:rPr>
            </w:pPr>
            <w:r>
              <w:rPr>
                <w:szCs w:val="22"/>
                <w:lang w:eastAsia="en-US"/>
              </w:rPr>
              <w:t>0,69; 0,96</w:t>
            </w:r>
          </w:p>
        </w:tc>
        <w:tc>
          <w:tcPr>
            <w:tcW w:w="691" w:type="pct"/>
            <w:hideMark/>
          </w:tcPr>
          <w:p w14:paraId="73263F18" w14:textId="77777777" w:rsidR="004364B8" w:rsidRPr="009B558C" w:rsidRDefault="004364B8" w:rsidP="009B558C">
            <w:pPr>
              <w:spacing w:line="256" w:lineRule="auto"/>
              <w:jc w:val="center"/>
              <w:rPr>
                <w:b/>
                <w:kern w:val="28"/>
              </w:rPr>
            </w:pPr>
            <w:r>
              <w:rPr>
                <w:szCs w:val="22"/>
                <w:lang w:eastAsia="en-US"/>
              </w:rPr>
              <w:t>0,016</w:t>
            </w:r>
            <w:r>
              <w:rPr>
                <w:szCs w:val="22"/>
                <w:vertAlign w:val="superscript"/>
                <w:lang w:eastAsia="en-US"/>
              </w:rPr>
              <w:t>c</w:t>
            </w:r>
          </w:p>
        </w:tc>
      </w:tr>
      <w:tr w:rsidR="004364B8" w14:paraId="5FE7134D" w14:textId="77777777" w:rsidTr="009B558C">
        <w:trPr>
          <w:tblCellSpacing w:w="0" w:type="dxa"/>
        </w:trPr>
        <w:tc>
          <w:tcPr>
            <w:tcW w:w="1549" w:type="pct"/>
            <w:gridSpan w:val="2"/>
            <w:hideMark/>
          </w:tcPr>
          <w:p w14:paraId="0C3DEAE6" w14:textId="77777777" w:rsidR="004364B8" w:rsidRPr="009B558C" w:rsidRDefault="004364B8" w:rsidP="009B558C">
            <w:pPr>
              <w:spacing w:line="256" w:lineRule="auto"/>
              <w:ind w:left="567"/>
              <w:rPr>
                <w:b/>
              </w:rPr>
            </w:pPr>
            <w:r w:rsidRPr="009B558C">
              <w:rPr>
                <w:b/>
              </w:rPr>
              <w:t xml:space="preserve">-AE pogrupis (n=423) </w:t>
            </w:r>
          </w:p>
        </w:tc>
        <w:tc>
          <w:tcPr>
            <w:tcW w:w="690" w:type="pct"/>
            <w:hideMark/>
          </w:tcPr>
          <w:p w14:paraId="3E693F8A" w14:textId="33C88C7B" w:rsidR="004364B8" w:rsidRPr="009B558C" w:rsidRDefault="004364B8" w:rsidP="009B558C">
            <w:pPr>
              <w:spacing w:line="256" w:lineRule="auto"/>
              <w:jc w:val="center"/>
              <w:rPr>
                <w:b/>
                <w:kern w:val="28"/>
              </w:rPr>
            </w:pPr>
            <w:r>
              <w:rPr>
                <w:szCs w:val="22"/>
                <w:lang w:eastAsia="en-US"/>
              </w:rPr>
              <w:t>30,6</w:t>
            </w:r>
          </w:p>
        </w:tc>
        <w:tc>
          <w:tcPr>
            <w:tcW w:w="690" w:type="pct"/>
            <w:hideMark/>
          </w:tcPr>
          <w:p w14:paraId="66B75DA2" w14:textId="2FC21E74" w:rsidR="004364B8" w:rsidRPr="009B558C" w:rsidRDefault="004364B8" w:rsidP="009B558C">
            <w:pPr>
              <w:spacing w:line="256" w:lineRule="auto"/>
              <w:jc w:val="center"/>
              <w:rPr>
                <w:b/>
                <w:kern w:val="28"/>
              </w:rPr>
            </w:pPr>
            <w:r>
              <w:rPr>
                <w:szCs w:val="22"/>
                <w:lang w:eastAsia="en-US"/>
              </w:rPr>
              <w:t>23,9</w:t>
            </w:r>
          </w:p>
        </w:tc>
        <w:tc>
          <w:tcPr>
            <w:tcW w:w="690" w:type="pct"/>
            <w:hideMark/>
          </w:tcPr>
          <w:p w14:paraId="238FFB27" w14:textId="451724D4" w:rsidR="004364B8" w:rsidRPr="009B558C" w:rsidRDefault="004364B8" w:rsidP="009B558C">
            <w:pPr>
              <w:spacing w:line="256" w:lineRule="auto"/>
              <w:jc w:val="center"/>
              <w:rPr>
                <w:b/>
                <w:kern w:val="28"/>
              </w:rPr>
            </w:pPr>
            <w:r>
              <w:rPr>
                <w:szCs w:val="22"/>
                <w:lang w:eastAsia="en-US"/>
              </w:rPr>
              <w:t>0,79</w:t>
            </w:r>
          </w:p>
        </w:tc>
        <w:tc>
          <w:tcPr>
            <w:tcW w:w="690" w:type="pct"/>
            <w:hideMark/>
          </w:tcPr>
          <w:p w14:paraId="65A2BED6" w14:textId="23ECA6F1" w:rsidR="004364B8" w:rsidRPr="009B558C" w:rsidRDefault="004364B8" w:rsidP="009B558C">
            <w:pPr>
              <w:spacing w:line="256" w:lineRule="auto"/>
              <w:jc w:val="center"/>
              <w:rPr>
                <w:b/>
                <w:kern w:val="28"/>
              </w:rPr>
            </w:pPr>
            <w:r>
              <w:rPr>
                <w:szCs w:val="22"/>
                <w:lang w:eastAsia="en-US"/>
              </w:rPr>
              <w:t>0,63; 0,99</w:t>
            </w:r>
          </w:p>
        </w:tc>
        <w:tc>
          <w:tcPr>
            <w:tcW w:w="691" w:type="pct"/>
            <w:hideMark/>
          </w:tcPr>
          <w:p w14:paraId="2F80165F" w14:textId="77777777" w:rsidR="004364B8" w:rsidRPr="009B558C" w:rsidRDefault="004364B8" w:rsidP="009B558C">
            <w:pPr>
              <w:spacing w:line="256" w:lineRule="auto"/>
              <w:jc w:val="center"/>
              <w:rPr>
                <w:b/>
                <w:kern w:val="28"/>
              </w:rPr>
            </w:pPr>
            <w:r>
              <w:rPr>
                <w:szCs w:val="22"/>
                <w:lang w:eastAsia="en-US"/>
              </w:rPr>
              <w:t>0,038</w:t>
            </w:r>
            <w:r>
              <w:rPr>
                <w:szCs w:val="22"/>
                <w:vertAlign w:val="superscript"/>
                <w:lang w:eastAsia="en-US"/>
              </w:rPr>
              <w:t>c</w:t>
            </w:r>
          </w:p>
        </w:tc>
      </w:tr>
      <w:tr w:rsidR="004364B8" w14:paraId="035129DF" w14:textId="77777777" w:rsidTr="009B558C">
        <w:trPr>
          <w:tblCellSpacing w:w="0" w:type="dxa"/>
        </w:trPr>
        <w:tc>
          <w:tcPr>
            <w:tcW w:w="1549" w:type="pct"/>
            <w:gridSpan w:val="2"/>
            <w:tcBorders>
              <w:top w:val="nil"/>
              <w:left w:val="nil"/>
              <w:bottom w:val="single" w:sz="4" w:space="0" w:color="auto"/>
              <w:right w:val="nil"/>
            </w:tcBorders>
            <w:hideMark/>
          </w:tcPr>
          <w:p w14:paraId="3EDC542E" w14:textId="77777777" w:rsidR="004364B8" w:rsidRPr="009B558C" w:rsidRDefault="004364B8" w:rsidP="009B558C">
            <w:pPr>
              <w:spacing w:line="256" w:lineRule="auto"/>
              <w:ind w:left="567"/>
              <w:rPr>
                <w:b/>
              </w:rPr>
            </w:pPr>
            <w:r w:rsidRPr="009B558C">
              <w:rPr>
                <w:b/>
              </w:rPr>
              <w:t>-AI pogrupis (n=313)</w:t>
            </w:r>
            <w:r w:rsidRPr="009B558C">
              <w:rPr>
                <w:b/>
                <w:vertAlign w:val="superscript"/>
              </w:rPr>
              <w:t>a</w:t>
            </w:r>
          </w:p>
        </w:tc>
        <w:tc>
          <w:tcPr>
            <w:tcW w:w="690" w:type="pct"/>
            <w:tcBorders>
              <w:top w:val="nil"/>
              <w:left w:val="nil"/>
              <w:bottom w:val="single" w:sz="4" w:space="0" w:color="auto"/>
              <w:right w:val="nil"/>
            </w:tcBorders>
            <w:hideMark/>
          </w:tcPr>
          <w:p w14:paraId="25962F12" w14:textId="48CD41CB" w:rsidR="004364B8" w:rsidRPr="009B558C" w:rsidRDefault="004364B8" w:rsidP="009B558C">
            <w:pPr>
              <w:spacing w:line="256" w:lineRule="auto"/>
              <w:jc w:val="center"/>
              <w:rPr>
                <w:b/>
                <w:kern w:val="28"/>
              </w:rPr>
            </w:pPr>
            <w:r>
              <w:rPr>
                <w:szCs w:val="22"/>
                <w:lang w:eastAsia="en-US"/>
              </w:rPr>
              <w:t>24,1</w:t>
            </w:r>
          </w:p>
        </w:tc>
        <w:tc>
          <w:tcPr>
            <w:tcW w:w="690" w:type="pct"/>
            <w:tcBorders>
              <w:top w:val="nil"/>
              <w:left w:val="nil"/>
              <w:bottom w:val="single" w:sz="4" w:space="0" w:color="auto"/>
              <w:right w:val="nil"/>
            </w:tcBorders>
            <w:hideMark/>
          </w:tcPr>
          <w:p w14:paraId="0D988E86" w14:textId="0561E536" w:rsidR="004364B8" w:rsidRPr="009B558C" w:rsidRDefault="004364B8" w:rsidP="009B558C">
            <w:pPr>
              <w:spacing w:line="256" w:lineRule="auto"/>
              <w:jc w:val="center"/>
              <w:rPr>
                <w:b/>
                <w:kern w:val="28"/>
              </w:rPr>
            </w:pPr>
            <w:r>
              <w:rPr>
                <w:szCs w:val="22"/>
                <w:lang w:eastAsia="en-US"/>
              </w:rPr>
              <w:t>20,8</w:t>
            </w:r>
          </w:p>
        </w:tc>
        <w:tc>
          <w:tcPr>
            <w:tcW w:w="690" w:type="pct"/>
            <w:tcBorders>
              <w:top w:val="nil"/>
              <w:left w:val="nil"/>
              <w:bottom w:val="single" w:sz="4" w:space="0" w:color="auto"/>
              <w:right w:val="nil"/>
            </w:tcBorders>
            <w:hideMark/>
          </w:tcPr>
          <w:p w14:paraId="30A05B02" w14:textId="17A301A4" w:rsidR="004364B8" w:rsidRPr="009B558C" w:rsidRDefault="004364B8" w:rsidP="009B558C">
            <w:pPr>
              <w:spacing w:line="256" w:lineRule="auto"/>
              <w:jc w:val="center"/>
              <w:rPr>
                <w:b/>
                <w:kern w:val="28"/>
              </w:rPr>
            </w:pPr>
            <w:r>
              <w:rPr>
                <w:szCs w:val="22"/>
                <w:lang w:eastAsia="en-US"/>
              </w:rPr>
              <w:t>0,86</w:t>
            </w:r>
          </w:p>
        </w:tc>
        <w:tc>
          <w:tcPr>
            <w:tcW w:w="690" w:type="pct"/>
            <w:tcBorders>
              <w:top w:val="nil"/>
              <w:left w:val="nil"/>
              <w:bottom w:val="single" w:sz="4" w:space="0" w:color="auto"/>
              <w:right w:val="nil"/>
            </w:tcBorders>
            <w:hideMark/>
          </w:tcPr>
          <w:p w14:paraId="12D03BA3" w14:textId="6382ACD2" w:rsidR="004364B8" w:rsidRPr="009B558C" w:rsidRDefault="004364B8" w:rsidP="009B558C">
            <w:pPr>
              <w:spacing w:line="256" w:lineRule="auto"/>
              <w:jc w:val="center"/>
              <w:rPr>
                <w:b/>
                <w:kern w:val="28"/>
              </w:rPr>
            </w:pPr>
            <w:r>
              <w:rPr>
                <w:szCs w:val="22"/>
                <w:lang w:eastAsia="en-US"/>
              </w:rPr>
              <w:t>0,67; 1,11</w:t>
            </w:r>
          </w:p>
        </w:tc>
        <w:tc>
          <w:tcPr>
            <w:tcW w:w="691" w:type="pct"/>
            <w:tcBorders>
              <w:top w:val="nil"/>
              <w:left w:val="nil"/>
              <w:bottom w:val="single" w:sz="4" w:space="0" w:color="auto"/>
              <w:right w:val="nil"/>
            </w:tcBorders>
            <w:hideMark/>
          </w:tcPr>
          <w:p w14:paraId="598CA2DF" w14:textId="77777777" w:rsidR="004364B8" w:rsidRPr="009B558C" w:rsidRDefault="004364B8" w:rsidP="009B558C">
            <w:pPr>
              <w:spacing w:line="256" w:lineRule="auto"/>
              <w:jc w:val="center"/>
              <w:rPr>
                <w:b/>
                <w:kern w:val="28"/>
              </w:rPr>
            </w:pPr>
            <w:r>
              <w:rPr>
                <w:szCs w:val="22"/>
                <w:lang w:eastAsia="en-US"/>
              </w:rPr>
              <w:t>0,241</w:t>
            </w:r>
            <w:r>
              <w:rPr>
                <w:szCs w:val="22"/>
                <w:vertAlign w:val="superscript"/>
                <w:lang w:eastAsia="en-US"/>
              </w:rPr>
              <w:t>c</w:t>
            </w:r>
          </w:p>
        </w:tc>
      </w:tr>
      <w:tr w:rsidR="004364B8" w14:paraId="24A899E1" w14:textId="77777777" w:rsidTr="009B558C">
        <w:trPr>
          <w:tblCellSpacing w:w="0" w:type="dxa"/>
        </w:trPr>
        <w:tc>
          <w:tcPr>
            <w:tcW w:w="790" w:type="pct"/>
            <w:vMerge w:val="restart"/>
            <w:tcBorders>
              <w:top w:val="nil"/>
              <w:left w:val="nil"/>
              <w:bottom w:val="single" w:sz="4" w:space="0" w:color="auto"/>
              <w:right w:val="nil"/>
            </w:tcBorders>
            <w:hideMark/>
          </w:tcPr>
          <w:p w14:paraId="5BBFEFDB" w14:textId="77777777" w:rsidR="004364B8" w:rsidRPr="009B558C" w:rsidRDefault="004364B8" w:rsidP="009B558C">
            <w:pPr>
              <w:keepNext/>
              <w:keepLines/>
              <w:tabs>
                <w:tab w:val="left" w:pos="567"/>
              </w:tabs>
              <w:spacing w:line="256" w:lineRule="auto"/>
              <w:ind w:left="567" w:hanging="567"/>
              <w:outlineLvl w:val="2"/>
              <w:rPr>
                <w:b/>
              </w:rPr>
            </w:pPr>
            <w:r w:rsidRPr="009B558C">
              <w:rPr>
                <w:b/>
              </w:rPr>
              <w:t xml:space="preserve">Kintamasis </w:t>
            </w:r>
          </w:p>
        </w:tc>
        <w:tc>
          <w:tcPr>
            <w:tcW w:w="759" w:type="pct"/>
            <w:vMerge w:val="restart"/>
            <w:tcBorders>
              <w:top w:val="nil"/>
              <w:left w:val="nil"/>
              <w:bottom w:val="single" w:sz="4" w:space="0" w:color="auto"/>
              <w:right w:val="nil"/>
            </w:tcBorders>
            <w:hideMark/>
          </w:tcPr>
          <w:p w14:paraId="6D6185F7" w14:textId="77777777" w:rsidR="004364B8" w:rsidRPr="009B558C" w:rsidRDefault="004364B8" w:rsidP="009B558C">
            <w:pPr>
              <w:keepNext/>
              <w:keepLines/>
              <w:tabs>
                <w:tab w:val="left" w:pos="567"/>
              </w:tabs>
              <w:spacing w:line="256" w:lineRule="auto"/>
              <w:ind w:left="567" w:hanging="567"/>
              <w:outlineLvl w:val="2"/>
              <w:rPr>
                <w:b/>
              </w:rPr>
            </w:pPr>
            <w:r w:rsidRPr="009B558C">
              <w:rPr>
                <w:b/>
              </w:rPr>
              <w:t>Vertinimo</w:t>
            </w:r>
          </w:p>
          <w:p w14:paraId="515D4AAB" w14:textId="77777777" w:rsidR="004364B8" w:rsidRPr="009B558C" w:rsidRDefault="004364B8" w:rsidP="00BA1D9E">
            <w:pPr>
              <w:spacing w:line="256" w:lineRule="auto"/>
              <w:rPr>
                <w:b/>
              </w:rPr>
            </w:pPr>
            <w:r w:rsidRPr="009B558C">
              <w:rPr>
                <w:b/>
              </w:rPr>
              <w:t>objektas;</w:t>
            </w:r>
          </w:p>
          <w:p w14:paraId="0306585E" w14:textId="77777777" w:rsidR="004364B8" w:rsidRPr="009B558C" w:rsidRDefault="004364B8" w:rsidP="00BA1D9E">
            <w:pPr>
              <w:spacing w:line="256" w:lineRule="auto"/>
              <w:rPr>
                <w:b/>
              </w:rPr>
            </w:pPr>
            <w:r w:rsidRPr="009B558C">
              <w:rPr>
                <w:b/>
              </w:rPr>
              <w:t>lygintas</w:t>
            </w:r>
          </w:p>
          <w:p w14:paraId="2578C440" w14:textId="77777777" w:rsidR="004364B8" w:rsidRPr="009B558C" w:rsidRDefault="004364B8" w:rsidP="00BA1D9E">
            <w:pPr>
              <w:spacing w:line="256" w:lineRule="auto"/>
              <w:rPr>
                <w:b/>
              </w:rPr>
            </w:pPr>
            <w:r w:rsidRPr="009B558C">
              <w:rPr>
                <w:b/>
              </w:rPr>
              <w:t>rodiklis</w:t>
            </w:r>
          </w:p>
        </w:tc>
        <w:tc>
          <w:tcPr>
            <w:tcW w:w="690" w:type="pct"/>
            <w:vMerge w:val="restart"/>
            <w:tcBorders>
              <w:top w:val="nil"/>
              <w:left w:val="nil"/>
              <w:bottom w:val="single" w:sz="4" w:space="0" w:color="auto"/>
              <w:right w:val="nil"/>
            </w:tcBorders>
            <w:hideMark/>
          </w:tcPr>
          <w:p w14:paraId="250D8446" w14:textId="77777777" w:rsidR="004364B8" w:rsidRPr="009B558C" w:rsidRDefault="004364B8" w:rsidP="009B558C">
            <w:pPr>
              <w:keepNext/>
              <w:keepLines/>
              <w:spacing w:line="256" w:lineRule="auto"/>
              <w:outlineLvl w:val="2"/>
              <w:rPr>
                <w:b/>
              </w:rPr>
            </w:pPr>
            <w:r w:rsidRPr="009B558C">
              <w:rPr>
                <w:b/>
              </w:rPr>
              <w:t>500</w:t>
            </w:r>
            <w:r w:rsidR="00153369" w:rsidRPr="009B558C">
              <w:rPr>
                <w:b/>
              </w:rPr>
              <w:t> </w:t>
            </w:r>
            <w:r w:rsidRPr="009B558C">
              <w:rPr>
                <w:b/>
              </w:rPr>
              <w:t xml:space="preserve">mg fulvestranto </w:t>
            </w:r>
          </w:p>
          <w:p w14:paraId="129844AE" w14:textId="77777777" w:rsidR="004364B8" w:rsidRPr="009B558C" w:rsidRDefault="004364B8" w:rsidP="00BA1D9E">
            <w:pPr>
              <w:spacing w:line="256" w:lineRule="auto"/>
              <w:rPr>
                <w:b/>
              </w:rPr>
            </w:pPr>
            <w:r w:rsidRPr="009B558C">
              <w:rPr>
                <w:b/>
              </w:rPr>
              <w:t xml:space="preserve">(N=362) </w:t>
            </w:r>
          </w:p>
        </w:tc>
        <w:tc>
          <w:tcPr>
            <w:tcW w:w="690" w:type="pct"/>
            <w:vMerge w:val="restart"/>
            <w:tcBorders>
              <w:top w:val="nil"/>
              <w:left w:val="nil"/>
              <w:bottom w:val="single" w:sz="4" w:space="0" w:color="auto"/>
              <w:right w:val="nil"/>
            </w:tcBorders>
            <w:hideMark/>
          </w:tcPr>
          <w:p w14:paraId="768F731E" w14:textId="77777777" w:rsidR="004364B8" w:rsidRPr="009B558C" w:rsidRDefault="004364B8" w:rsidP="009B558C">
            <w:pPr>
              <w:keepNext/>
              <w:keepLines/>
              <w:tabs>
                <w:tab w:val="left" w:pos="0"/>
              </w:tabs>
              <w:spacing w:line="256" w:lineRule="auto"/>
              <w:outlineLvl w:val="2"/>
              <w:rPr>
                <w:b/>
              </w:rPr>
            </w:pPr>
            <w:r w:rsidRPr="009B558C">
              <w:rPr>
                <w:b/>
              </w:rPr>
              <w:t>250</w:t>
            </w:r>
            <w:r w:rsidR="00153369" w:rsidRPr="009B558C">
              <w:rPr>
                <w:b/>
              </w:rPr>
              <w:t> </w:t>
            </w:r>
            <w:r w:rsidRPr="009B558C">
              <w:rPr>
                <w:b/>
              </w:rPr>
              <w:t>mg fulvestranto</w:t>
            </w:r>
          </w:p>
          <w:p w14:paraId="784030AB" w14:textId="77777777" w:rsidR="004364B8" w:rsidRPr="009B558C" w:rsidRDefault="004364B8" w:rsidP="00BA1D9E">
            <w:pPr>
              <w:spacing w:line="256" w:lineRule="auto"/>
              <w:rPr>
                <w:b/>
              </w:rPr>
            </w:pPr>
            <w:r w:rsidRPr="009B558C">
              <w:rPr>
                <w:b/>
              </w:rPr>
              <w:t xml:space="preserve">(N=374) </w:t>
            </w:r>
          </w:p>
        </w:tc>
        <w:tc>
          <w:tcPr>
            <w:tcW w:w="2071" w:type="pct"/>
            <w:gridSpan w:val="3"/>
            <w:hideMark/>
          </w:tcPr>
          <w:p w14:paraId="51980A2E" w14:textId="77777777" w:rsidR="004364B8" w:rsidRPr="009B558C" w:rsidRDefault="004364B8" w:rsidP="009B558C">
            <w:pPr>
              <w:spacing w:line="256" w:lineRule="auto"/>
              <w:jc w:val="center"/>
              <w:rPr>
                <w:b/>
              </w:rPr>
            </w:pPr>
            <w:r w:rsidRPr="009B558C">
              <w:rPr>
                <w:b/>
              </w:rPr>
              <w:t>Grupių palyginimas</w:t>
            </w:r>
          </w:p>
          <w:p w14:paraId="50CB5C81" w14:textId="272CCFA1" w:rsidR="004364B8" w:rsidRPr="009B558C" w:rsidRDefault="004364B8" w:rsidP="009B558C">
            <w:pPr>
              <w:spacing w:line="256" w:lineRule="auto"/>
              <w:jc w:val="center"/>
              <w:rPr>
                <w:b/>
              </w:rPr>
            </w:pPr>
            <w:r w:rsidRPr="009B558C">
              <w:rPr>
                <w:b/>
              </w:rPr>
              <w:t>(500</w:t>
            </w:r>
            <w:r w:rsidR="00153369" w:rsidRPr="009B558C">
              <w:rPr>
                <w:b/>
              </w:rPr>
              <w:t> </w:t>
            </w:r>
            <w:r w:rsidRPr="009B558C">
              <w:rPr>
                <w:b/>
              </w:rPr>
              <w:t>mg fulvestranto / 250</w:t>
            </w:r>
            <w:r w:rsidR="00153369" w:rsidRPr="009B558C">
              <w:rPr>
                <w:b/>
              </w:rPr>
              <w:t> </w:t>
            </w:r>
            <w:r w:rsidRPr="009B558C">
              <w:rPr>
                <w:b/>
              </w:rPr>
              <w:t>mg fulvestranto)</w:t>
            </w:r>
          </w:p>
        </w:tc>
      </w:tr>
      <w:tr w:rsidR="004364B8" w14:paraId="57FE95AA" w14:textId="77777777" w:rsidTr="009B558C">
        <w:trPr>
          <w:tblCellSpacing w:w="0" w:type="dxa"/>
        </w:trPr>
        <w:tc>
          <w:tcPr>
            <w:tcW w:w="0" w:type="auto"/>
            <w:vMerge/>
            <w:tcBorders>
              <w:top w:val="nil"/>
              <w:left w:val="nil"/>
              <w:bottom w:val="single" w:sz="4" w:space="0" w:color="auto"/>
              <w:right w:val="nil"/>
            </w:tcBorders>
            <w:vAlign w:val="center"/>
            <w:hideMark/>
          </w:tcPr>
          <w:p w14:paraId="73241E7B" w14:textId="77777777" w:rsidR="004364B8" w:rsidRPr="009B558C" w:rsidRDefault="004364B8" w:rsidP="00BA1D9E">
            <w:pPr>
              <w:spacing w:line="256" w:lineRule="auto"/>
              <w:rPr>
                <w:b/>
              </w:rPr>
            </w:pPr>
          </w:p>
        </w:tc>
        <w:tc>
          <w:tcPr>
            <w:tcW w:w="0" w:type="auto"/>
            <w:vMerge/>
            <w:tcBorders>
              <w:top w:val="nil"/>
              <w:left w:val="nil"/>
              <w:bottom w:val="single" w:sz="4" w:space="0" w:color="auto"/>
              <w:right w:val="nil"/>
            </w:tcBorders>
            <w:vAlign w:val="center"/>
            <w:hideMark/>
          </w:tcPr>
          <w:p w14:paraId="4BB25B67" w14:textId="77777777" w:rsidR="004364B8" w:rsidRPr="009B558C" w:rsidRDefault="004364B8" w:rsidP="00BA1D9E">
            <w:pPr>
              <w:spacing w:line="256" w:lineRule="auto"/>
              <w:rPr>
                <w:b/>
              </w:rPr>
            </w:pPr>
          </w:p>
        </w:tc>
        <w:tc>
          <w:tcPr>
            <w:tcW w:w="0" w:type="auto"/>
            <w:vMerge/>
            <w:tcBorders>
              <w:top w:val="nil"/>
              <w:left w:val="nil"/>
              <w:bottom w:val="single" w:sz="4" w:space="0" w:color="auto"/>
              <w:right w:val="nil"/>
            </w:tcBorders>
            <w:vAlign w:val="center"/>
            <w:hideMark/>
          </w:tcPr>
          <w:p w14:paraId="14696F0A" w14:textId="77777777" w:rsidR="004364B8" w:rsidRPr="009B558C" w:rsidRDefault="004364B8" w:rsidP="00BA1D9E">
            <w:pPr>
              <w:spacing w:line="256" w:lineRule="auto"/>
              <w:rPr>
                <w:b/>
              </w:rPr>
            </w:pPr>
          </w:p>
        </w:tc>
        <w:tc>
          <w:tcPr>
            <w:tcW w:w="0" w:type="auto"/>
            <w:vMerge/>
            <w:tcBorders>
              <w:top w:val="nil"/>
              <w:left w:val="nil"/>
              <w:bottom w:val="single" w:sz="4" w:space="0" w:color="auto"/>
              <w:right w:val="nil"/>
            </w:tcBorders>
            <w:vAlign w:val="center"/>
            <w:hideMark/>
          </w:tcPr>
          <w:p w14:paraId="2BD58656" w14:textId="77777777" w:rsidR="004364B8" w:rsidRPr="009B558C" w:rsidRDefault="004364B8" w:rsidP="00BA1D9E">
            <w:pPr>
              <w:spacing w:line="256" w:lineRule="auto"/>
              <w:rPr>
                <w:b/>
              </w:rPr>
            </w:pPr>
          </w:p>
        </w:tc>
        <w:tc>
          <w:tcPr>
            <w:tcW w:w="690" w:type="pct"/>
            <w:tcBorders>
              <w:top w:val="nil"/>
              <w:left w:val="nil"/>
              <w:bottom w:val="single" w:sz="4" w:space="0" w:color="auto"/>
              <w:right w:val="nil"/>
            </w:tcBorders>
            <w:hideMark/>
          </w:tcPr>
          <w:p w14:paraId="398F5175" w14:textId="77777777" w:rsidR="004364B8" w:rsidRPr="009B558C" w:rsidRDefault="004364B8" w:rsidP="009B558C">
            <w:pPr>
              <w:keepNext/>
              <w:keepLines/>
              <w:tabs>
                <w:tab w:val="left" w:pos="134"/>
              </w:tabs>
              <w:spacing w:line="256" w:lineRule="auto"/>
              <w:ind w:left="134" w:hanging="134"/>
              <w:outlineLvl w:val="2"/>
              <w:rPr>
                <w:b/>
              </w:rPr>
            </w:pPr>
            <w:r w:rsidRPr="009B558C">
              <w:rPr>
                <w:b/>
              </w:rPr>
              <w:t xml:space="preserve">Absoliutus skirtumas % </w:t>
            </w:r>
          </w:p>
        </w:tc>
        <w:tc>
          <w:tcPr>
            <w:tcW w:w="690" w:type="pct"/>
            <w:tcBorders>
              <w:top w:val="nil"/>
              <w:left w:val="nil"/>
              <w:bottom w:val="single" w:sz="4" w:space="0" w:color="auto"/>
              <w:right w:val="nil"/>
            </w:tcBorders>
            <w:hideMark/>
          </w:tcPr>
          <w:p w14:paraId="4A34C288" w14:textId="77777777" w:rsidR="004364B8" w:rsidRPr="009B558C" w:rsidRDefault="004364B8" w:rsidP="009B558C">
            <w:pPr>
              <w:keepNext/>
              <w:keepLines/>
              <w:tabs>
                <w:tab w:val="left" w:pos="567"/>
              </w:tabs>
              <w:spacing w:line="256" w:lineRule="auto"/>
              <w:ind w:left="567" w:hanging="567"/>
              <w:outlineLvl w:val="2"/>
              <w:rPr>
                <w:b/>
              </w:rPr>
            </w:pPr>
            <w:r w:rsidRPr="009B558C">
              <w:rPr>
                <w:b/>
              </w:rPr>
              <w:t>95</w:t>
            </w:r>
            <w:r w:rsidR="00153369" w:rsidRPr="009B558C">
              <w:rPr>
                <w:b/>
              </w:rPr>
              <w:t> </w:t>
            </w:r>
            <w:r w:rsidRPr="009B558C">
              <w:rPr>
                <w:b/>
              </w:rPr>
              <w:t xml:space="preserve">% PI </w:t>
            </w:r>
          </w:p>
        </w:tc>
        <w:tc>
          <w:tcPr>
            <w:tcW w:w="691" w:type="pct"/>
            <w:tcBorders>
              <w:top w:val="nil"/>
              <w:left w:val="nil"/>
              <w:bottom w:val="single" w:sz="4" w:space="0" w:color="auto"/>
              <w:right w:val="nil"/>
            </w:tcBorders>
            <w:hideMark/>
          </w:tcPr>
          <w:p w14:paraId="6517AAC1" w14:textId="77777777" w:rsidR="004364B8" w:rsidRDefault="004364B8">
            <w:pPr>
              <w:rPr>
                <w:szCs w:val="22"/>
                <w:lang w:eastAsia="en-US"/>
              </w:rPr>
            </w:pPr>
          </w:p>
        </w:tc>
      </w:tr>
      <w:tr w:rsidR="004364B8" w14:paraId="3056D3C6" w14:textId="77777777" w:rsidTr="009B558C">
        <w:trPr>
          <w:tblCellSpacing w:w="0" w:type="dxa"/>
        </w:trPr>
        <w:tc>
          <w:tcPr>
            <w:tcW w:w="790" w:type="pct"/>
            <w:hideMark/>
          </w:tcPr>
          <w:p w14:paraId="5CC075A5" w14:textId="77777777" w:rsidR="004364B8" w:rsidRDefault="004364B8" w:rsidP="00BA1D9E">
            <w:pPr>
              <w:spacing w:line="256" w:lineRule="auto"/>
              <w:rPr>
                <w:szCs w:val="22"/>
                <w:lang w:eastAsia="en-US"/>
              </w:rPr>
            </w:pPr>
            <w:r>
              <w:rPr>
                <w:szCs w:val="22"/>
                <w:lang w:eastAsia="en-US"/>
              </w:rPr>
              <w:lastRenderedPageBreak/>
              <w:t>ORR</w:t>
            </w:r>
            <w:r>
              <w:rPr>
                <w:szCs w:val="22"/>
                <w:vertAlign w:val="superscript"/>
                <w:lang w:eastAsia="en-US"/>
              </w:rPr>
              <w:t>d</w:t>
            </w:r>
          </w:p>
        </w:tc>
        <w:tc>
          <w:tcPr>
            <w:tcW w:w="759" w:type="pct"/>
            <w:hideMark/>
          </w:tcPr>
          <w:p w14:paraId="5E6E2171" w14:textId="77777777" w:rsidR="004364B8" w:rsidRPr="009B558C" w:rsidRDefault="004364B8" w:rsidP="009B558C">
            <w:pPr>
              <w:keepNext/>
              <w:keepLines/>
              <w:tabs>
                <w:tab w:val="left" w:pos="0"/>
              </w:tabs>
              <w:spacing w:line="256" w:lineRule="auto"/>
              <w:ind w:left="105" w:hanging="105"/>
              <w:outlineLvl w:val="2"/>
              <w:rPr>
                <w:b/>
              </w:rPr>
            </w:pPr>
            <w:r w:rsidRPr="009B558C">
              <w:rPr>
                <w:b/>
              </w:rPr>
              <w:t>% pacienčių patyrusių OR; absoliutus skirtumas %</w:t>
            </w:r>
          </w:p>
        </w:tc>
        <w:tc>
          <w:tcPr>
            <w:tcW w:w="690" w:type="pct"/>
            <w:hideMark/>
          </w:tcPr>
          <w:p w14:paraId="4205D879" w14:textId="77777777" w:rsidR="004364B8" w:rsidRPr="009B558C" w:rsidRDefault="004364B8">
            <w:pPr>
              <w:rPr>
                <w:b/>
              </w:rPr>
            </w:pPr>
          </w:p>
        </w:tc>
        <w:tc>
          <w:tcPr>
            <w:tcW w:w="690" w:type="pct"/>
            <w:hideMark/>
          </w:tcPr>
          <w:p w14:paraId="754E6D6D" w14:textId="77777777" w:rsidR="004364B8" w:rsidRPr="0077444B" w:rsidRDefault="004364B8" w:rsidP="00BA1D9E">
            <w:pPr>
              <w:spacing w:line="256" w:lineRule="auto"/>
              <w:rPr>
                <w:rFonts w:asciiTheme="minorHAnsi" w:eastAsiaTheme="minorHAnsi" w:hAnsiTheme="minorHAnsi"/>
                <w:sz w:val="20"/>
              </w:rPr>
            </w:pPr>
          </w:p>
        </w:tc>
        <w:tc>
          <w:tcPr>
            <w:tcW w:w="690" w:type="pct"/>
            <w:hideMark/>
          </w:tcPr>
          <w:p w14:paraId="5CC8D5C6" w14:textId="77777777" w:rsidR="004364B8" w:rsidRPr="0077444B" w:rsidRDefault="004364B8" w:rsidP="00BA1D9E">
            <w:pPr>
              <w:spacing w:line="256" w:lineRule="auto"/>
              <w:rPr>
                <w:rFonts w:asciiTheme="minorHAnsi" w:eastAsiaTheme="minorHAnsi" w:hAnsiTheme="minorHAnsi"/>
                <w:sz w:val="20"/>
              </w:rPr>
            </w:pPr>
          </w:p>
        </w:tc>
        <w:tc>
          <w:tcPr>
            <w:tcW w:w="690" w:type="pct"/>
            <w:hideMark/>
          </w:tcPr>
          <w:p w14:paraId="1FBDEB6B" w14:textId="77777777" w:rsidR="004364B8" w:rsidRPr="0077444B" w:rsidRDefault="004364B8" w:rsidP="00BA1D9E">
            <w:pPr>
              <w:spacing w:line="256" w:lineRule="auto"/>
              <w:rPr>
                <w:rFonts w:asciiTheme="minorHAnsi" w:eastAsiaTheme="minorHAnsi" w:hAnsiTheme="minorHAnsi"/>
                <w:sz w:val="20"/>
              </w:rPr>
            </w:pPr>
          </w:p>
        </w:tc>
        <w:tc>
          <w:tcPr>
            <w:tcW w:w="691" w:type="pct"/>
            <w:hideMark/>
          </w:tcPr>
          <w:p w14:paraId="53FD1D38" w14:textId="77777777" w:rsidR="004364B8" w:rsidRPr="0077444B" w:rsidRDefault="004364B8" w:rsidP="00BA1D9E">
            <w:pPr>
              <w:spacing w:line="256" w:lineRule="auto"/>
              <w:rPr>
                <w:rFonts w:asciiTheme="minorHAnsi" w:eastAsiaTheme="minorHAnsi" w:hAnsiTheme="minorHAnsi"/>
                <w:sz w:val="20"/>
              </w:rPr>
            </w:pPr>
          </w:p>
        </w:tc>
      </w:tr>
      <w:tr w:rsidR="004364B8" w14:paraId="794F8057" w14:textId="77777777" w:rsidTr="009B558C">
        <w:trPr>
          <w:tblCellSpacing w:w="0" w:type="dxa"/>
        </w:trPr>
        <w:tc>
          <w:tcPr>
            <w:tcW w:w="1549" w:type="pct"/>
            <w:gridSpan w:val="2"/>
            <w:hideMark/>
          </w:tcPr>
          <w:p w14:paraId="0E071206" w14:textId="77777777" w:rsidR="004364B8" w:rsidRPr="009B558C" w:rsidRDefault="004364B8" w:rsidP="009B558C">
            <w:pPr>
              <w:keepNext/>
              <w:keepLines/>
              <w:tabs>
                <w:tab w:val="left" w:pos="567"/>
              </w:tabs>
              <w:spacing w:line="256" w:lineRule="auto"/>
              <w:ind w:left="567" w:hanging="567"/>
              <w:outlineLvl w:val="2"/>
              <w:rPr>
                <w:b/>
              </w:rPr>
            </w:pPr>
            <w:r w:rsidRPr="009B558C">
              <w:rPr>
                <w:b/>
              </w:rPr>
              <w:t xml:space="preserve">Visos pacientės </w:t>
            </w:r>
          </w:p>
        </w:tc>
        <w:tc>
          <w:tcPr>
            <w:tcW w:w="690" w:type="pct"/>
            <w:hideMark/>
          </w:tcPr>
          <w:p w14:paraId="404B2168" w14:textId="7D261712" w:rsidR="004364B8" w:rsidRPr="00901F66" w:rsidRDefault="004364B8" w:rsidP="009B558C">
            <w:pPr>
              <w:spacing w:line="256" w:lineRule="auto"/>
              <w:jc w:val="center"/>
              <w:rPr>
                <w:szCs w:val="22"/>
                <w:lang w:eastAsia="en-US"/>
              </w:rPr>
            </w:pPr>
            <w:r w:rsidRPr="00321632">
              <w:rPr>
                <w:szCs w:val="22"/>
                <w:lang w:eastAsia="en-US"/>
              </w:rPr>
              <w:t>13,8</w:t>
            </w:r>
          </w:p>
        </w:tc>
        <w:tc>
          <w:tcPr>
            <w:tcW w:w="690" w:type="pct"/>
            <w:hideMark/>
          </w:tcPr>
          <w:p w14:paraId="1D4D7996" w14:textId="39500799" w:rsidR="004364B8" w:rsidRPr="009B558C" w:rsidRDefault="004364B8" w:rsidP="009B558C">
            <w:pPr>
              <w:spacing w:line="256" w:lineRule="auto"/>
              <w:jc w:val="center"/>
              <w:rPr>
                <w:b/>
                <w:kern w:val="28"/>
              </w:rPr>
            </w:pPr>
            <w:r>
              <w:rPr>
                <w:szCs w:val="22"/>
                <w:lang w:eastAsia="en-US"/>
              </w:rPr>
              <w:t>14,6</w:t>
            </w:r>
          </w:p>
        </w:tc>
        <w:tc>
          <w:tcPr>
            <w:tcW w:w="690" w:type="pct"/>
            <w:hideMark/>
          </w:tcPr>
          <w:p w14:paraId="403E2B0F" w14:textId="4E404E60" w:rsidR="004364B8" w:rsidRPr="009B558C" w:rsidRDefault="004364B8" w:rsidP="009B558C">
            <w:pPr>
              <w:spacing w:line="256" w:lineRule="auto"/>
              <w:jc w:val="center"/>
              <w:rPr>
                <w:b/>
                <w:kern w:val="28"/>
              </w:rPr>
            </w:pPr>
            <w:r>
              <w:rPr>
                <w:szCs w:val="22"/>
                <w:lang w:eastAsia="en-US"/>
              </w:rPr>
              <w:t>-0,8</w:t>
            </w:r>
          </w:p>
        </w:tc>
        <w:tc>
          <w:tcPr>
            <w:tcW w:w="690" w:type="pct"/>
            <w:hideMark/>
          </w:tcPr>
          <w:p w14:paraId="2C06C7CD" w14:textId="140B91E5" w:rsidR="004364B8" w:rsidRPr="009B558C" w:rsidRDefault="004364B8" w:rsidP="009B558C">
            <w:pPr>
              <w:spacing w:line="256" w:lineRule="auto"/>
              <w:jc w:val="center"/>
              <w:rPr>
                <w:b/>
                <w:kern w:val="28"/>
              </w:rPr>
            </w:pPr>
            <w:r>
              <w:rPr>
                <w:szCs w:val="22"/>
                <w:lang w:eastAsia="en-US"/>
              </w:rPr>
              <w:t>-5,8; 6,3</w:t>
            </w:r>
          </w:p>
        </w:tc>
        <w:tc>
          <w:tcPr>
            <w:tcW w:w="691" w:type="pct"/>
            <w:hideMark/>
          </w:tcPr>
          <w:p w14:paraId="1B2BC5C9" w14:textId="77777777" w:rsidR="004364B8" w:rsidRDefault="004364B8">
            <w:pPr>
              <w:rPr>
                <w:szCs w:val="22"/>
                <w:lang w:eastAsia="en-US"/>
              </w:rPr>
            </w:pPr>
          </w:p>
        </w:tc>
      </w:tr>
      <w:tr w:rsidR="004364B8" w14:paraId="1541B17F" w14:textId="77777777" w:rsidTr="009B558C">
        <w:trPr>
          <w:tblCellSpacing w:w="0" w:type="dxa"/>
        </w:trPr>
        <w:tc>
          <w:tcPr>
            <w:tcW w:w="1549" w:type="pct"/>
            <w:gridSpan w:val="2"/>
            <w:hideMark/>
          </w:tcPr>
          <w:p w14:paraId="79FB7F04" w14:textId="77777777" w:rsidR="004364B8" w:rsidRPr="009B558C" w:rsidRDefault="004364B8" w:rsidP="009B558C">
            <w:pPr>
              <w:spacing w:line="256" w:lineRule="auto"/>
              <w:ind w:left="426"/>
              <w:rPr>
                <w:b/>
              </w:rPr>
            </w:pPr>
            <w:r w:rsidRPr="009B558C">
              <w:rPr>
                <w:b/>
              </w:rPr>
              <w:t xml:space="preserve">-AE pogrupis (n=296) </w:t>
            </w:r>
          </w:p>
        </w:tc>
        <w:tc>
          <w:tcPr>
            <w:tcW w:w="690" w:type="pct"/>
            <w:hideMark/>
          </w:tcPr>
          <w:p w14:paraId="4044AE92" w14:textId="1AE8A994" w:rsidR="004364B8" w:rsidRPr="00901F66" w:rsidRDefault="004364B8" w:rsidP="009B558C">
            <w:pPr>
              <w:spacing w:line="256" w:lineRule="auto"/>
              <w:jc w:val="center"/>
              <w:rPr>
                <w:szCs w:val="22"/>
                <w:lang w:eastAsia="en-US"/>
              </w:rPr>
            </w:pPr>
            <w:r w:rsidRPr="00321632">
              <w:rPr>
                <w:szCs w:val="22"/>
                <w:lang w:eastAsia="en-US"/>
              </w:rPr>
              <w:t>18,1</w:t>
            </w:r>
          </w:p>
        </w:tc>
        <w:tc>
          <w:tcPr>
            <w:tcW w:w="690" w:type="pct"/>
            <w:hideMark/>
          </w:tcPr>
          <w:p w14:paraId="25E9E318" w14:textId="6ABE4CC2" w:rsidR="004364B8" w:rsidRPr="009B558C" w:rsidRDefault="004364B8" w:rsidP="009B558C">
            <w:pPr>
              <w:spacing w:line="256" w:lineRule="auto"/>
              <w:jc w:val="center"/>
              <w:rPr>
                <w:b/>
                <w:kern w:val="28"/>
              </w:rPr>
            </w:pPr>
            <w:r>
              <w:rPr>
                <w:szCs w:val="22"/>
                <w:lang w:eastAsia="en-US"/>
              </w:rPr>
              <w:t>19,1</w:t>
            </w:r>
          </w:p>
        </w:tc>
        <w:tc>
          <w:tcPr>
            <w:tcW w:w="690" w:type="pct"/>
            <w:hideMark/>
          </w:tcPr>
          <w:p w14:paraId="18B9D135" w14:textId="21939EF2" w:rsidR="004364B8" w:rsidRPr="009B558C" w:rsidRDefault="004364B8" w:rsidP="009B558C">
            <w:pPr>
              <w:spacing w:line="256" w:lineRule="auto"/>
              <w:jc w:val="center"/>
              <w:rPr>
                <w:b/>
                <w:kern w:val="28"/>
              </w:rPr>
            </w:pPr>
            <w:r>
              <w:rPr>
                <w:szCs w:val="22"/>
                <w:lang w:eastAsia="en-US"/>
              </w:rPr>
              <w:t>-1,0</w:t>
            </w:r>
          </w:p>
        </w:tc>
        <w:tc>
          <w:tcPr>
            <w:tcW w:w="690" w:type="pct"/>
            <w:hideMark/>
          </w:tcPr>
          <w:p w14:paraId="2B9BAEA7" w14:textId="3745760B" w:rsidR="004364B8" w:rsidRPr="009B558C" w:rsidRDefault="004364B8" w:rsidP="009B558C">
            <w:pPr>
              <w:spacing w:line="256" w:lineRule="auto"/>
              <w:jc w:val="center"/>
              <w:rPr>
                <w:b/>
                <w:kern w:val="28"/>
              </w:rPr>
            </w:pPr>
            <w:r>
              <w:rPr>
                <w:szCs w:val="22"/>
                <w:lang w:eastAsia="en-US"/>
              </w:rPr>
              <w:t>-8,2; 9,3</w:t>
            </w:r>
          </w:p>
        </w:tc>
        <w:tc>
          <w:tcPr>
            <w:tcW w:w="691" w:type="pct"/>
            <w:hideMark/>
          </w:tcPr>
          <w:p w14:paraId="0E8812B0" w14:textId="77777777" w:rsidR="004364B8" w:rsidRDefault="004364B8">
            <w:pPr>
              <w:rPr>
                <w:szCs w:val="22"/>
                <w:lang w:eastAsia="en-US"/>
              </w:rPr>
            </w:pPr>
          </w:p>
        </w:tc>
      </w:tr>
      <w:tr w:rsidR="004364B8" w14:paraId="1B4ED492" w14:textId="77777777" w:rsidTr="009B558C">
        <w:trPr>
          <w:tblCellSpacing w:w="0" w:type="dxa"/>
        </w:trPr>
        <w:tc>
          <w:tcPr>
            <w:tcW w:w="1549" w:type="pct"/>
            <w:gridSpan w:val="2"/>
            <w:tcBorders>
              <w:top w:val="nil"/>
              <w:left w:val="nil"/>
              <w:bottom w:val="single" w:sz="4" w:space="0" w:color="auto"/>
              <w:right w:val="nil"/>
            </w:tcBorders>
            <w:hideMark/>
          </w:tcPr>
          <w:p w14:paraId="14431A86" w14:textId="77777777" w:rsidR="004364B8" w:rsidRPr="009B558C" w:rsidRDefault="004364B8" w:rsidP="009B558C">
            <w:pPr>
              <w:spacing w:line="256" w:lineRule="auto"/>
              <w:ind w:left="426"/>
              <w:rPr>
                <w:b/>
              </w:rPr>
            </w:pPr>
            <w:r w:rsidRPr="009B558C">
              <w:rPr>
                <w:b/>
              </w:rPr>
              <w:t>-AI pogrupis (n=205)</w:t>
            </w:r>
            <w:r w:rsidRPr="009B558C">
              <w:rPr>
                <w:b/>
                <w:vertAlign w:val="superscript"/>
              </w:rPr>
              <w:t>a</w:t>
            </w:r>
          </w:p>
        </w:tc>
        <w:tc>
          <w:tcPr>
            <w:tcW w:w="690" w:type="pct"/>
            <w:tcBorders>
              <w:top w:val="nil"/>
              <w:left w:val="nil"/>
              <w:bottom w:val="single" w:sz="4" w:space="0" w:color="auto"/>
              <w:right w:val="nil"/>
            </w:tcBorders>
            <w:hideMark/>
          </w:tcPr>
          <w:p w14:paraId="6D5D41CC" w14:textId="7ECE4C73" w:rsidR="004364B8" w:rsidRPr="00901F66" w:rsidRDefault="004364B8" w:rsidP="009B558C">
            <w:pPr>
              <w:spacing w:line="256" w:lineRule="auto"/>
              <w:jc w:val="center"/>
              <w:rPr>
                <w:szCs w:val="22"/>
                <w:lang w:eastAsia="en-US"/>
              </w:rPr>
            </w:pPr>
            <w:r w:rsidRPr="00321632">
              <w:rPr>
                <w:szCs w:val="22"/>
                <w:lang w:eastAsia="en-US"/>
              </w:rPr>
              <w:t>7,3</w:t>
            </w:r>
          </w:p>
        </w:tc>
        <w:tc>
          <w:tcPr>
            <w:tcW w:w="690" w:type="pct"/>
            <w:tcBorders>
              <w:top w:val="nil"/>
              <w:left w:val="nil"/>
              <w:bottom w:val="single" w:sz="4" w:space="0" w:color="auto"/>
              <w:right w:val="nil"/>
            </w:tcBorders>
            <w:hideMark/>
          </w:tcPr>
          <w:p w14:paraId="2DB21503" w14:textId="4B57CA6B" w:rsidR="004364B8" w:rsidRPr="009B558C" w:rsidRDefault="004364B8" w:rsidP="009B558C">
            <w:pPr>
              <w:spacing w:line="256" w:lineRule="auto"/>
              <w:jc w:val="center"/>
              <w:rPr>
                <w:b/>
                <w:kern w:val="28"/>
              </w:rPr>
            </w:pPr>
            <w:r>
              <w:rPr>
                <w:szCs w:val="22"/>
                <w:lang w:eastAsia="en-US"/>
              </w:rPr>
              <w:t>8,3</w:t>
            </w:r>
          </w:p>
        </w:tc>
        <w:tc>
          <w:tcPr>
            <w:tcW w:w="690" w:type="pct"/>
            <w:tcBorders>
              <w:top w:val="nil"/>
              <w:left w:val="nil"/>
              <w:bottom w:val="single" w:sz="4" w:space="0" w:color="auto"/>
              <w:right w:val="nil"/>
            </w:tcBorders>
            <w:hideMark/>
          </w:tcPr>
          <w:p w14:paraId="23DCEF21" w14:textId="01FD416B" w:rsidR="004364B8" w:rsidRPr="009B558C" w:rsidRDefault="004364B8" w:rsidP="009B558C">
            <w:pPr>
              <w:spacing w:line="256" w:lineRule="auto"/>
              <w:jc w:val="center"/>
              <w:rPr>
                <w:b/>
                <w:kern w:val="28"/>
              </w:rPr>
            </w:pPr>
            <w:r>
              <w:rPr>
                <w:szCs w:val="22"/>
                <w:lang w:eastAsia="en-US"/>
              </w:rPr>
              <w:t>-1,0</w:t>
            </w:r>
          </w:p>
        </w:tc>
        <w:tc>
          <w:tcPr>
            <w:tcW w:w="690" w:type="pct"/>
            <w:tcBorders>
              <w:top w:val="nil"/>
              <w:left w:val="nil"/>
              <w:bottom w:val="single" w:sz="4" w:space="0" w:color="auto"/>
              <w:right w:val="nil"/>
            </w:tcBorders>
            <w:hideMark/>
          </w:tcPr>
          <w:p w14:paraId="6DCE9310" w14:textId="6BC3517A" w:rsidR="004364B8" w:rsidRPr="009B558C" w:rsidRDefault="004364B8" w:rsidP="009B558C">
            <w:pPr>
              <w:spacing w:line="256" w:lineRule="auto"/>
              <w:jc w:val="center"/>
              <w:rPr>
                <w:b/>
                <w:kern w:val="28"/>
              </w:rPr>
            </w:pPr>
            <w:r>
              <w:rPr>
                <w:szCs w:val="22"/>
                <w:lang w:eastAsia="en-US"/>
              </w:rPr>
              <w:t>-5,5; 9,8</w:t>
            </w:r>
          </w:p>
        </w:tc>
        <w:tc>
          <w:tcPr>
            <w:tcW w:w="691" w:type="pct"/>
            <w:tcBorders>
              <w:top w:val="nil"/>
              <w:left w:val="nil"/>
              <w:bottom w:val="single" w:sz="4" w:space="0" w:color="auto"/>
              <w:right w:val="nil"/>
            </w:tcBorders>
            <w:hideMark/>
          </w:tcPr>
          <w:p w14:paraId="28ECB0FE" w14:textId="77777777" w:rsidR="004364B8" w:rsidRDefault="004364B8">
            <w:pPr>
              <w:rPr>
                <w:szCs w:val="22"/>
                <w:lang w:eastAsia="en-US"/>
              </w:rPr>
            </w:pPr>
          </w:p>
        </w:tc>
      </w:tr>
      <w:tr w:rsidR="004364B8" w14:paraId="6EE4FB9F" w14:textId="77777777" w:rsidTr="009B558C">
        <w:trPr>
          <w:tblCellSpacing w:w="0" w:type="dxa"/>
        </w:trPr>
        <w:tc>
          <w:tcPr>
            <w:tcW w:w="790" w:type="pct"/>
            <w:hideMark/>
          </w:tcPr>
          <w:p w14:paraId="3A3DA5C7" w14:textId="77777777" w:rsidR="004364B8" w:rsidRDefault="004364B8" w:rsidP="00BA1D9E">
            <w:pPr>
              <w:spacing w:line="256" w:lineRule="auto"/>
              <w:rPr>
                <w:szCs w:val="22"/>
                <w:lang w:eastAsia="en-US"/>
              </w:rPr>
            </w:pPr>
            <w:r>
              <w:rPr>
                <w:szCs w:val="22"/>
                <w:lang w:eastAsia="en-US"/>
              </w:rPr>
              <w:t>CBR</w:t>
            </w:r>
            <w:r>
              <w:rPr>
                <w:szCs w:val="22"/>
                <w:vertAlign w:val="superscript"/>
                <w:lang w:eastAsia="en-US"/>
              </w:rPr>
              <w:t>e</w:t>
            </w:r>
          </w:p>
        </w:tc>
        <w:tc>
          <w:tcPr>
            <w:tcW w:w="759" w:type="pct"/>
            <w:hideMark/>
          </w:tcPr>
          <w:p w14:paraId="6A0D9ABB" w14:textId="77777777" w:rsidR="004364B8" w:rsidRPr="009B558C" w:rsidRDefault="004364B8" w:rsidP="009B558C">
            <w:pPr>
              <w:keepNext/>
              <w:keepLines/>
              <w:tabs>
                <w:tab w:val="left" w:pos="0"/>
              </w:tabs>
              <w:spacing w:line="256" w:lineRule="auto"/>
              <w:outlineLvl w:val="2"/>
              <w:rPr>
                <w:b/>
              </w:rPr>
            </w:pPr>
            <w:r w:rsidRPr="009B558C">
              <w:rPr>
                <w:b/>
              </w:rPr>
              <w:t xml:space="preserve">% pacienčių patyrusių CB; absoliutus skirtumas % </w:t>
            </w:r>
          </w:p>
        </w:tc>
        <w:tc>
          <w:tcPr>
            <w:tcW w:w="690" w:type="pct"/>
            <w:hideMark/>
          </w:tcPr>
          <w:p w14:paraId="26F5F72A" w14:textId="77777777" w:rsidR="004364B8" w:rsidRPr="009B558C" w:rsidRDefault="004364B8">
            <w:pPr>
              <w:rPr>
                <w:b/>
              </w:rPr>
            </w:pPr>
          </w:p>
        </w:tc>
        <w:tc>
          <w:tcPr>
            <w:tcW w:w="690" w:type="pct"/>
            <w:hideMark/>
          </w:tcPr>
          <w:p w14:paraId="4517CA11" w14:textId="77777777" w:rsidR="004364B8" w:rsidRPr="0077444B" w:rsidRDefault="004364B8" w:rsidP="00BA1D9E">
            <w:pPr>
              <w:spacing w:line="256" w:lineRule="auto"/>
              <w:rPr>
                <w:rFonts w:asciiTheme="minorHAnsi" w:eastAsiaTheme="minorHAnsi" w:hAnsiTheme="minorHAnsi"/>
                <w:sz w:val="20"/>
              </w:rPr>
            </w:pPr>
          </w:p>
        </w:tc>
        <w:tc>
          <w:tcPr>
            <w:tcW w:w="690" w:type="pct"/>
            <w:hideMark/>
          </w:tcPr>
          <w:p w14:paraId="3CAFD6C7" w14:textId="77777777" w:rsidR="004364B8" w:rsidRPr="0077444B" w:rsidRDefault="004364B8" w:rsidP="00BA1D9E">
            <w:pPr>
              <w:spacing w:line="256" w:lineRule="auto"/>
              <w:rPr>
                <w:rFonts w:asciiTheme="minorHAnsi" w:eastAsiaTheme="minorHAnsi" w:hAnsiTheme="minorHAnsi"/>
                <w:sz w:val="20"/>
              </w:rPr>
            </w:pPr>
          </w:p>
        </w:tc>
        <w:tc>
          <w:tcPr>
            <w:tcW w:w="690" w:type="pct"/>
            <w:hideMark/>
          </w:tcPr>
          <w:p w14:paraId="40CF59A6" w14:textId="77777777" w:rsidR="004364B8" w:rsidRPr="0077444B" w:rsidRDefault="004364B8" w:rsidP="00BA1D9E">
            <w:pPr>
              <w:spacing w:line="256" w:lineRule="auto"/>
              <w:rPr>
                <w:rFonts w:asciiTheme="minorHAnsi" w:eastAsiaTheme="minorHAnsi" w:hAnsiTheme="minorHAnsi"/>
                <w:sz w:val="20"/>
              </w:rPr>
            </w:pPr>
          </w:p>
        </w:tc>
        <w:tc>
          <w:tcPr>
            <w:tcW w:w="691" w:type="pct"/>
            <w:hideMark/>
          </w:tcPr>
          <w:p w14:paraId="6DAF0879" w14:textId="77777777" w:rsidR="004364B8" w:rsidRPr="0077444B" w:rsidRDefault="004364B8" w:rsidP="00BA1D9E">
            <w:pPr>
              <w:spacing w:line="256" w:lineRule="auto"/>
              <w:rPr>
                <w:rFonts w:asciiTheme="minorHAnsi" w:eastAsiaTheme="minorHAnsi" w:hAnsiTheme="minorHAnsi"/>
                <w:sz w:val="20"/>
              </w:rPr>
            </w:pPr>
          </w:p>
        </w:tc>
      </w:tr>
      <w:tr w:rsidR="004364B8" w14:paraId="1834DC4B" w14:textId="77777777" w:rsidTr="009B558C">
        <w:trPr>
          <w:tblCellSpacing w:w="0" w:type="dxa"/>
        </w:trPr>
        <w:tc>
          <w:tcPr>
            <w:tcW w:w="790" w:type="pct"/>
            <w:hideMark/>
          </w:tcPr>
          <w:p w14:paraId="6195F1BB" w14:textId="77777777" w:rsidR="004364B8" w:rsidRPr="009B558C" w:rsidRDefault="004364B8" w:rsidP="009B558C">
            <w:pPr>
              <w:keepNext/>
              <w:keepLines/>
              <w:tabs>
                <w:tab w:val="left" w:pos="284"/>
              </w:tabs>
              <w:spacing w:line="256" w:lineRule="auto"/>
              <w:ind w:left="284" w:hanging="284"/>
              <w:outlineLvl w:val="2"/>
              <w:rPr>
                <w:b/>
              </w:rPr>
            </w:pPr>
            <w:r w:rsidRPr="009B558C">
              <w:rPr>
                <w:b/>
              </w:rPr>
              <w:t xml:space="preserve">Visos pacientės </w:t>
            </w:r>
          </w:p>
        </w:tc>
        <w:tc>
          <w:tcPr>
            <w:tcW w:w="759" w:type="pct"/>
            <w:hideMark/>
          </w:tcPr>
          <w:p w14:paraId="50676D39" w14:textId="77777777" w:rsidR="004364B8" w:rsidRPr="009B558C" w:rsidRDefault="004364B8">
            <w:pPr>
              <w:rPr>
                <w:b/>
              </w:rPr>
            </w:pPr>
          </w:p>
        </w:tc>
        <w:tc>
          <w:tcPr>
            <w:tcW w:w="690" w:type="pct"/>
            <w:hideMark/>
          </w:tcPr>
          <w:p w14:paraId="2AD5F8D4" w14:textId="3F19AA96" w:rsidR="004364B8" w:rsidRPr="009B558C" w:rsidRDefault="004364B8" w:rsidP="009B558C">
            <w:pPr>
              <w:spacing w:line="256" w:lineRule="auto"/>
              <w:jc w:val="center"/>
              <w:rPr>
                <w:b/>
                <w:kern w:val="28"/>
              </w:rPr>
            </w:pPr>
            <w:r>
              <w:rPr>
                <w:szCs w:val="22"/>
                <w:lang w:eastAsia="en-US"/>
              </w:rPr>
              <w:t>45,6</w:t>
            </w:r>
          </w:p>
        </w:tc>
        <w:tc>
          <w:tcPr>
            <w:tcW w:w="690" w:type="pct"/>
            <w:hideMark/>
          </w:tcPr>
          <w:p w14:paraId="6DB79DAD" w14:textId="56B2113C" w:rsidR="004364B8" w:rsidRPr="009B558C" w:rsidRDefault="004364B8" w:rsidP="009B558C">
            <w:pPr>
              <w:spacing w:line="256" w:lineRule="auto"/>
              <w:jc w:val="center"/>
              <w:rPr>
                <w:b/>
                <w:kern w:val="28"/>
              </w:rPr>
            </w:pPr>
            <w:r>
              <w:rPr>
                <w:szCs w:val="22"/>
                <w:lang w:eastAsia="en-US"/>
              </w:rPr>
              <w:t>39,6</w:t>
            </w:r>
          </w:p>
        </w:tc>
        <w:tc>
          <w:tcPr>
            <w:tcW w:w="690" w:type="pct"/>
            <w:hideMark/>
          </w:tcPr>
          <w:p w14:paraId="3828ECAF" w14:textId="084C1559" w:rsidR="004364B8" w:rsidRPr="009B558C" w:rsidRDefault="004364B8" w:rsidP="009B558C">
            <w:pPr>
              <w:spacing w:line="256" w:lineRule="auto"/>
              <w:jc w:val="center"/>
              <w:rPr>
                <w:b/>
                <w:kern w:val="28"/>
              </w:rPr>
            </w:pPr>
            <w:r>
              <w:rPr>
                <w:szCs w:val="22"/>
                <w:lang w:eastAsia="en-US"/>
              </w:rPr>
              <w:t>6,0</w:t>
            </w:r>
          </w:p>
        </w:tc>
        <w:tc>
          <w:tcPr>
            <w:tcW w:w="690" w:type="pct"/>
            <w:hideMark/>
          </w:tcPr>
          <w:p w14:paraId="150CD2B7" w14:textId="69DBB60B" w:rsidR="004364B8" w:rsidRPr="009B558C" w:rsidRDefault="004364B8" w:rsidP="009B558C">
            <w:pPr>
              <w:spacing w:line="256" w:lineRule="auto"/>
              <w:jc w:val="center"/>
              <w:rPr>
                <w:b/>
                <w:kern w:val="28"/>
              </w:rPr>
            </w:pPr>
            <w:r>
              <w:rPr>
                <w:szCs w:val="22"/>
                <w:lang w:eastAsia="en-US"/>
              </w:rPr>
              <w:t>-1,1; 13,3</w:t>
            </w:r>
          </w:p>
        </w:tc>
        <w:tc>
          <w:tcPr>
            <w:tcW w:w="691" w:type="pct"/>
            <w:hideMark/>
          </w:tcPr>
          <w:p w14:paraId="27FC617E" w14:textId="77777777" w:rsidR="004364B8" w:rsidRDefault="004364B8">
            <w:pPr>
              <w:rPr>
                <w:szCs w:val="22"/>
                <w:lang w:eastAsia="en-US"/>
              </w:rPr>
            </w:pPr>
          </w:p>
        </w:tc>
      </w:tr>
      <w:tr w:rsidR="004364B8" w14:paraId="4D5BB05A" w14:textId="77777777" w:rsidTr="009B558C">
        <w:trPr>
          <w:tblCellSpacing w:w="0" w:type="dxa"/>
        </w:trPr>
        <w:tc>
          <w:tcPr>
            <w:tcW w:w="1549" w:type="pct"/>
            <w:gridSpan w:val="2"/>
            <w:hideMark/>
          </w:tcPr>
          <w:p w14:paraId="3EF3E198" w14:textId="77777777" w:rsidR="004364B8" w:rsidRPr="009B558C" w:rsidRDefault="004364B8" w:rsidP="009B558C">
            <w:pPr>
              <w:spacing w:line="256" w:lineRule="auto"/>
              <w:ind w:left="426"/>
              <w:rPr>
                <w:b/>
              </w:rPr>
            </w:pPr>
            <w:r w:rsidRPr="009B558C">
              <w:rPr>
                <w:b/>
              </w:rPr>
              <w:t xml:space="preserve">-AE pogrupis (n=423) </w:t>
            </w:r>
          </w:p>
        </w:tc>
        <w:tc>
          <w:tcPr>
            <w:tcW w:w="690" w:type="pct"/>
            <w:hideMark/>
          </w:tcPr>
          <w:p w14:paraId="2D224E79" w14:textId="2CE3C579" w:rsidR="004364B8" w:rsidRPr="009B558C" w:rsidRDefault="004364B8" w:rsidP="009B558C">
            <w:pPr>
              <w:spacing w:line="256" w:lineRule="auto"/>
              <w:jc w:val="center"/>
              <w:rPr>
                <w:b/>
                <w:kern w:val="28"/>
              </w:rPr>
            </w:pPr>
            <w:r>
              <w:rPr>
                <w:szCs w:val="22"/>
                <w:lang w:eastAsia="en-US"/>
              </w:rPr>
              <w:t>52,4</w:t>
            </w:r>
          </w:p>
        </w:tc>
        <w:tc>
          <w:tcPr>
            <w:tcW w:w="690" w:type="pct"/>
            <w:hideMark/>
          </w:tcPr>
          <w:p w14:paraId="18295206" w14:textId="391B8800" w:rsidR="004364B8" w:rsidRPr="009B558C" w:rsidRDefault="004364B8" w:rsidP="009B558C">
            <w:pPr>
              <w:spacing w:line="256" w:lineRule="auto"/>
              <w:jc w:val="center"/>
              <w:rPr>
                <w:b/>
                <w:kern w:val="28"/>
              </w:rPr>
            </w:pPr>
            <w:r>
              <w:rPr>
                <w:szCs w:val="22"/>
                <w:lang w:eastAsia="en-US"/>
              </w:rPr>
              <w:t>45,1</w:t>
            </w:r>
          </w:p>
        </w:tc>
        <w:tc>
          <w:tcPr>
            <w:tcW w:w="690" w:type="pct"/>
            <w:hideMark/>
          </w:tcPr>
          <w:p w14:paraId="043C7066" w14:textId="703D480E" w:rsidR="004364B8" w:rsidRPr="009B558C" w:rsidRDefault="004364B8" w:rsidP="009B558C">
            <w:pPr>
              <w:spacing w:line="256" w:lineRule="auto"/>
              <w:jc w:val="center"/>
              <w:rPr>
                <w:b/>
                <w:kern w:val="28"/>
              </w:rPr>
            </w:pPr>
            <w:r>
              <w:rPr>
                <w:szCs w:val="22"/>
                <w:lang w:eastAsia="en-US"/>
              </w:rPr>
              <w:t>7,3</w:t>
            </w:r>
          </w:p>
        </w:tc>
        <w:tc>
          <w:tcPr>
            <w:tcW w:w="690" w:type="pct"/>
            <w:hideMark/>
          </w:tcPr>
          <w:p w14:paraId="1DB09FB8" w14:textId="7A023C0A" w:rsidR="004364B8" w:rsidRPr="009B558C" w:rsidRDefault="004364B8" w:rsidP="009B558C">
            <w:pPr>
              <w:spacing w:line="256" w:lineRule="auto"/>
              <w:jc w:val="center"/>
              <w:rPr>
                <w:b/>
                <w:kern w:val="28"/>
              </w:rPr>
            </w:pPr>
            <w:r>
              <w:rPr>
                <w:szCs w:val="22"/>
                <w:lang w:eastAsia="en-US"/>
              </w:rPr>
              <w:t>-2,2; 16,6</w:t>
            </w:r>
          </w:p>
        </w:tc>
        <w:tc>
          <w:tcPr>
            <w:tcW w:w="691" w:type="pct"/>
            <w:hideMark/>
          </w:tcPr>
          <w:p w14:paraId="1BEC2532" w14:textId="77777777" w:rsidR="004364B8" w:rsidRDefault="004364B8">
            <w:pPr>
              <w:rPr>
                <w:szCs w:val="22"/>
                <w:lang w:eastAsia="en-US"/>
              </w:rPr>
            </w:pPr>
          </w:p>
        </w:tc>
      </w:tr>
      <w:tr w:rsidR="004364B8" w14:paraId="37D9BDCA" w14:textId="77777777" w:rsidTr="009B558C">
        <w:trPr>
          <w:tblCellSpacing w:w="0" w:type="dxa"/>
        </w:trPr>
        <w:tc>
          <w:tcPr>
            <w:tcW w:w="1549" w:type="pct"/>
            <w:gridSpan w:val="2"/>
            <w:tcBorders>
              <w:top w:val="nil"/>
              <w:left w:val="nil"/>
              <w:bottom w:val="single" w:sz="4" w:space="0" w:color="auto"/>
              <w:right w:val="nil"/>
            </w:tcBorders>
            <w:hideMark/>
          </w:tcPr>
          <w:p w14:paraId="51894795" w14:textId="77777777" w:rsidR="004364B8" w:rsidRPr="009B558C" w:rsidRDefault="004364B8" w:rsidP="009B558C">
            <w:pPr>
              <w:spacing w:line="256" w:lineRule="auto"/>
              <w:ind w:left="426"/>
              <w:rPr>
                <w:b/>
              </w:rPr>
            </w:pPr>
            <w:r w:rsidRPr="009B558C">
              <w:rPr>
                <w:b/>
              </w:rPr>
              <w:t>-AI pogrupis (n=313)</w:t>
            </w:r>
            <w:r w:rsidRPr="009B558C">
              <w:rPr>
                <w:b/>
                <w:vertAlign w:val="superscript"/>
              </w:rPr>
              <w:t>a</w:t>
            </w:r>
          </w:p>
        </w:tc>
        <w:tc>
          <w:tcPr>
            <w:tcW w:w="690" w:type="pct"/>
            <w:tcBorders>
              <w:top w:val="nil"/>
              <w:left w:val="nil"/>
              <w:bottom w:val="single" w:sz="4" w:space="0" w:color="auto"/>
              <w:right w:val="nil"/>
            </w:tcBorders>
            <w:hideMark/>
          </w:tcPr>
          <w:p w14:paraId="1A8C05A2" w14:textId="42C64EAF" w:rsidR="004364B8" w:rsidRPr="009B558C" w:rsidRDefault="004364B8" w:rsidP="009B558C">
            <w:pPr>
              <w:spacing w:line="256" w:lineRule="auto"/>
              <w:jc w:val="center"/>
              <w:rPr>
                <w:b/>
                <w:kern w:val="28"/>
              </w:rPr>
            </w:pPr>
            <w:r>
              <w:rPr>
                <w:szCs w:val="22"/>
                <w:lang w:eastAsia="en-US"/>
              </w:rPr>
              <w:t>36,2</w:t>
            </w:r>
          </w:p>
        </w:tc>
        <w:tc>
          <w:tcPr>
            <w:tcW w:w="690" w:type="pct"/>
            <w:tcBorders>
              <w:top w:val="nil"/>
              <w:left w:val="nil"/>
              <w:bottom w:val="single" w:sz="4" w:space="0" w:color="auto"/>
              <w:right w:val="nil"/>
            </w:tcBorders>
            <w:hideMark/>
          </w:tcPr>
          <w:p w14:paraId="08C0DDEA" w14:textId="4CC55D93" w:rsidR="004364B8" w:rsidRPr="009B558C" w:rsidRDefault="004364B8" w:rsidP="009B558C">
            <w:pPr>
              <w:spacing w:line="256" w:lineRule="auto"/>
              <w:jc w:val="center"/>
              <w:rPr>
                <w:b/>
                <w:kern w:val="28"/>
              </w:rPr>
            </w:pPr>
            <w:r>
              <w:rPr>
                <w:szCs w:val="22"/>
                <w:lang w:eastAsia="en-US"/>
              </w:rPr>
              <w:t>32,3</w:t>
            </w:r>
          </w:p>
        </w:tc>
        <w:tc>
          <w:tcPr>
            <w:tcW w:w="690" w:type="pct"/>
            <w:tcBorders>
              <w:top w:val="nil"/>
              <w:left w:val="nil"/>
              <w:bottom w:val="single" w:sz="4" w:space="0" w:color="auto"/>
              <w:right w:val="nil"/>
            </w:tcBorders>
            <w:hideMark/>
          </w:tcPr>
          <w:p w14:paraId="6A0E071D" w14:textId="4AA3AD9D" w:rsidR="004364B8" w:rsidRPr="009B558C" w:rsidRDefault="004364B8" w:rsidP="009B558C">
            <w:pPr>
              <w:spacing w:line="256" w:lineRule="auto"/>
              <w:jc w:val="center"/>
              <w:rPr>
                <w:b/>
                <w:kern w:val="28"/>
              </w:rPr>
            </w:pPr>
            <w:r>
              <w:rPr>
                <w:szCs w:val="22"/>
                <w:lang w:eastAsia="en-US"/>
              </w:rPr>
              <w:t>3,9</w:t>
            </w:r>
          </w:p>
        </w:tc>
        <w:tc>
          <w:tcPr>
            <w:tcW w:w="690" w:type="pct"/>
            <w:tcBorders>
              <w:top w:val="nil"/>
              <w:left w:val="nil"/>
              <w:bottom w:val="single" w:sz="4" w:space="0" w:color="auto"/>
              <w:right w:val="nil"/>
            </w:tcBorders>
            <w:hideMark/>
          </w:tcPr>
          <w:p w14:paraId="3733CAB6" w14:textId="04483861" w:rsidR="004364B8" w:rsidRPr="009B558C" w:rsidRDefault="004364B8" w:rsidP="009B558C">
            <w:pPr>
              <w:spacing w:line="256" w:lineRule="auto"/>
              <w:jc w:val="center"/>
              <w:rPr>
                <w:b/>
                <w:kern w:val="28"/>
              </w:rPr>
            </w:pPr>
            <w:r>
              <w:rPr>
                <w:szCs w:val="22"/>
                <w:lang w:eastAsia="en-US"/>
              </w:rPr>
              <w:t>-6,1; 15,2</w:t>
            </w:r>
          </w:p>
        </w:tc>
        <w:tc>
          <w:tcPr>
            <w:tcW w:w="691" w:type="pct"/>
            <w:tcBorders>
              <w:top w:val="nil"/>
              <w:left w:val="nil"/>
              <w:bottom w:val="single" w:sz="4" w:space="0" w:color="auto"/>
              <w:right w:val="nil"/>
            </w:tcBorders>
            <w:hideMark/>
          </w:tcPr>
          <w:p w14:paraId="58F48687" w14:textId="77777777" w:rsidR="004364B8" w:rsidRDefault="004364B8">
            <w:pPr>
              <w:rPr>
                <w:szCs w:val="22"/>
                <w:lang w:eastAsia="en-US"/>
              </w:rPr>
            </w:pPr>
          </w:p>
        </w:tc>
      </w:tr>
    </w:tbl>
    <w:p w14:paraId="3752B292" w14:textId="77777777" w:rsidR="004364B8" w:rsidRDefault="004364B8" w:rsidP="004364B8">
      <w:pPr>
        <w:ind w:left="142" w:hanging="142"/>
        <w:rPr>
          <w:szCs w:val="22"/>
          <w:lang w:eastAsia="en-US"/>
        </w:rPr>
      </w:pPr>
      <w:r>
        <w:rPr>
          <w:szCs w:val="22"/>
          <w:vertAlign w:val="superscript"/>
          <w:lang w:eastAsia="en-US"/>
        </w:rPr>
        <w:t>a</w:t>
      </w:r>
      <w:r>
        <w:rPr>
          <w:szCs w:val="22"/>
          <w:lang w:eastAsia="en-US"/>
        </w:rPr>
        <w:t xml:space="preserve"> Fulvestranto skiriama pacientėms, kurių liga pasikartojo arba progresavo vartojant antiestrogenų. AI pogrupio rezultatai yra negalutiniai.</w:t>
      </w:r>
    </w:p>
    <w:p w14:paraId="7A9949C0" w14:textId="77777777" w:rsidR="004364B8" w:rsidRDefault="004364B8" w:rsidP="004364B8">
      <w:pPr>
        <w:rPr>
          <w:szCs w:val="22"/>
          <w:lang w:eastAsia="en-US"/>
        </w:rPr>
      </w:pPr>
      <w:r>
        <w:rPr>
          <w:szCs w:val="22"/>
          <w:vertAlign w:val="superscript"/>
          <w:lang w:eastAsia="en-US"/>
        </w:rPr>
        <w:t>b</w:t>
      </w:r>
      <w:r>
        <w:rPr>
          <w:szCs w:val="22"/>
          <w:lang w:eastAsia="en-US"/>
        </w:rPr>
        <w:t xml:space="preserve"> OS pateikiamas pagal galutinio išgyvenamumo analizės duomenis esant 75</w:t>
      </w:r>
      <w:r w:rsidR="009202B0">
        <w:rPr>
          <w:szCs w:val="22"/>
          <w:lang w:eastAsia="en-US"/>
        </w:rPr>
        <w:t> </w:t>
      </w:r>
      <w:r>
        <w:rPr>
          <w:szCs w:val="22"/>
          <w:lang w:eastAsia="en-US"/>
        </w:rPr>
        <w:t>% užbaigtumui.</w:t>
      </w:r>
    </w:p>
    <w:p w14:paraId="65AF4C39" w14:textId="77777777" w:rsidR="004364B8" w:rsidRDefault="004364B8" w:rsidP="004364B8">
      <w:pPr>
        <w:ind w:left="142" w:hanging="142"/>
        <w:rPr>
          <w:szCs w:val="22"/>
          <w:lang w:eastAsia="en-US"/>
        </w:rPr>
      </w:pPr>
      <w:r>
        <w:rPr>
          <w:szCs w:val="22"/>
          <w:vertAlign w:val="superscript"/>
          <w:lang w:eastAsia="en-US"/>
        </w:rPr>
        <w:t>c</w:t>
      </w:r>
      <w:r>
        <w:rPr>
          <w:szCs w:val="22"/>
          <w:lang w:eastAsia="en-US"/>
        </w:rPr>
        <w:t xml:space="preserve"> Nominali p reikšmė, nekoreguota atsižvelgiant į įvairių veiksnių įtaką laikotarpiu tarp pradinės išgyvenamumo analizės esant 50</w:t>
      </w:r>
      <w:r w:rsidR="009202B0">
        <w:rPr>
          <w:szCs w:val="22"/>
          <w:lang w:eastAsia="en-US"/>
        </w:rPr>
        <w:t> </w:t>
      </w:r>
      <w:r>
        <w:rPr>
          <w:szCs w:val="22"/>
          <w:lang w:eastAsia="en-US"/>
        </w:rPr>
        <w:t>% užbaigtumui ir atnaujintos išgyvenamumo analizės esant 75</w:t>
      </w:r>
      <w:r w:rsidR="009202B0">
        <w:rPr>
          <w:szCs w:val="22"/>
          <w:lang w:eastAsia="en-US"/>
        </w:rPr>
        <w:t> </w:t>
      </w:r>
      <w:r>
        <w:rPr>
          <w:szCs w:val="22"/>
          <w:lang w:eastAsia="en-US"/>
        </w:rPr>
        <w:t>% užbaigtumui.</w:t>
      </w:r>
    </w:p>
    <w:p w14:paraId="110C221E" w14:textId="77777777" w:rsidR="004364B8" w:rsidRDefault="004364B8" w:rsidP="004364B8">
      <w:pPr>
        <w:ind w:left="142" w:hanging="142"/>
        <w:rPr>
          <w:szCs w:val="22"/>
          <w:lang w:eastAsia="en-US"/>
        </w:rPr>
      </w:pPr>
      <w:r>
        <w:rPr>
          <w:szCs w:val="22"/>
          <w:vertAlign w:val="superscript"/>
          <w:lang w:eastAsia="en-US"/>
        </w:rPr>
        <w:t>d</w:t>
      </w:r>
      <w:r>
        <w:rPr>
          <w:szCs w:val="22"/>
          <w:lang w:eastAsia="en-US"/>
        </w:rPr>
        <w:t xml:space="preserve"> ORR buvo vertinamas pacientėms, kurioms pasireiškusį atsaką buvo galima įvertinti, t.y. kurioms iki gydymo buvo nustatyta įvertinamų ligos požymių (tokios buvo 240 pacienčių 500</w:t>
      </w:r>
      <w:r w:rsidR="00153369">
        <w:rPr>
          <w:szCs w:val="22"/>
          <w:lang w:eastAsia="en-US"/>
        </w:rPr>
        <w:t> </w:t>
      </w:r>
      <w:r>
        <w:rPr>
          <w:szCs w:val="22"/>
          <w:lang w:eastAsia="en-US"/>
        </w:rPr>
        <w:t>mg fulvestranto grupėje ir 261</w:t>
      </w:r>
      <w:r w:rsidR="00153369">
        <w:rPr>
          <w:szCs w:val="22"/>
          <w:lang w:eastAsia="en-US"/>
        </w:rPr>
        <w:noBreakHyphen/>
      </w:r>
      <w:r>
        <w:rPr>
          <w:szCs w:val="22"/>
          <w:lang w:eastAsia="en-US"/>
        </w:rPr>
        <w:t>250</w:t>
      </w:r>
      <w:r w:rsidR="00153369">
        <w:rPr>
          <w:szCs w:val="22"/>
          <w:lang w:eastAsia="en-US"/>
        </w:rPr>
        <w:t> </w:t>
      </w:r>
      <w:r>
        <w:rPr>
          <w:szCs w:val="22"/>
          <w:lang w:eastAsia="en-US"/>
        </w:rPr>
        <w:t>mg fulvestranto grupėje).</w:t>
      </w:r>
    </w:p>
    <w:p w14:paraId="19859299" w14:textId="77777777" w:rsidR="004364B8" w:rsidRDefault="004364B8" w:rsidP="004364B8">
      <w:pPr>
        <w:ind w:left="142" w:hanging="142"/>
        <w:rPr>
          <w:szCs w:val="22"/>
          <w:lang w:eastAsia="en-US"/>
        </w:rPr>
      </w:pPr>
      <w:r>
        <w:rPr>
          <w:szCs w:val="22"/>
          <w:vertAlign w:val="superscript"/>
          <w:lang w:eastAsia="en-US"/>
        </w:rPr>
        <w:t>e</w:t>
      </w:r>
      <w:r>
        <w:rPr>
          <w:szCs w:val="22"/>
          <w:lang w:eastAsia="en-US"/>
        </w:rPr>
        <w:t xml:space="preserve"> Pacientės, kurioms 24</w:t>
      </w:r>
      <w:r w:rsidR="00153369">
        <w:rPr>
          <w:szCs w:val="22"/>
          <w:lang w:eastAsia="en-US"/>
        </w:rPr>
        <w:t> </w:t>
      </w:r>
      <w:r>
        <w:rPr>
          <w:szCs w:val="22"/>
          <w:lang w:eastAsia="en-US"/>
        </w:rPr>
        <w:t xml:space="preserve">savaites ar ilgiau nustatytas didžiausias objektyvus reagavimas pilnutinio atsako, dalinio atsako ar stabilios ligos metu. </w:t>
      </w:r>
    </w:p>
    <w:p w14:paraId="3455A5D0" w14:textId="77777777" w:rsidR="004364B8" w:rsidRDefault="004364B8" w:rsidP="004364B8">
      <w:pPr>
        <w:rPr>
          <w:szCs w:val="22"/>
          <w:lang w:eastAsia="en-US"/>
        </w:rPr>
      </w:pPr>
      <w:r>
        <w:rPr>
          <w:szCs w:val="22"/>
          <w:lang w:eastAsia="en-US"/>
        </w:rPr>
        <w:t>PFS – neprogresuojant ligai išgyventas laikotarpis, ORR – objektyvaus atsako dažnis, OR – objektyvus atsakas, CBR – klinikinės naudos dažnis, CB – klinikinė nauda, OS – bendras išgyvenamumas, K-M – Kaplan-Meier, PI – pasikliautinasis intervalas; AI – aromatazės inhibitorius, AE - antiestrogenas.</w:t>
      </w:r>
    </w:p>
    <w:p w14:paraId="54C6F92C" w14:textId="77777777" w:rsidR="004364B8" w:rsidRDefault="004364B8" w:rsidP="004364B8">
      <w:pPr>
        <w:rPr>
          <w:szCs w:val="22"/>
          <w:lang w:eastAsia="en-US"/>
        </w:rPr>
      </w:pPr>
    </w:p>
    <w:p w14:paraId="7051FA4D" w14:textId="2BDE525E" w:rsidR="00321632" w:rsidRPr="00321632" w:rsidRDefault="00321632" w:rsidP="00321632">
      <w:pPr>
        <w:rPr>
          <w:szCs w:val="22"/>
          <w:lang w:eastAsia="en-US"/>
        </w:rPr>
      </w:pPr>
      <w:r w:rsidRPr="00321632">
        <w:rPr>
          <w:szCs w:val="22"/>
          <w:lang w:eastAsia="en-US"/>
        </w:rPr>
        <w:t>3</w:t>
      </w:r>
      <w:r w:rsidR="00FC03AF">
        <w:rPr>
          <w:szCs w:val="22"/>
          <w:lang w:eastAsia="en-US"/>
        </w:rPr>
        <w:t> </w:t>
      </w:r>
      <w:r w:rsidRPr="00321632">
        <w:rPr>
          <w:szCs w:val="22"/>
          <w:lang w:eastAsia="en-US"/>
        </w:rPr>
        <w:t>fazės randomizuoto dvigubai koduoto dviejų placebų daugelyje centrų atlikto tyrimo metu lygintas</w:t>
      </w:r>
      <w:r>
        <w:rPr>
          <w:szCs w:val="22"/>
          <w:lang w:eastAsia="en-US"/>
        </w:rPr>
        <w:t xml:space="preserve"> </w:t>
      </w:r>
      <w:r w:rsidRPr="00321632">
        <w:rPr>
          <w:szCs w:val="22"/>
          <w:lang w:eastAsia="en-US"/>
        </w:rPr>
        <w:t>500</w:t>
      </w:r>
      <w:r>
        <w:rPr>
          <w:szCs w:val="22"/>
          <w:lang w:eastAsia="en-US"/>
        </w:rPr>
        <w:t> </w:t>
      </w:r>
      <w:r w:rsidRPr="00321632">
        <w:rPr>
          <w:szCs w:val="22"/>
          <w:lang w:eastAsia="en-US"/>
        </w:rPr>
        <w:t xml:space="preserve">mg </w:t>
      </w:r>
      <w:r>
        <w:rPr>
          <w:szCs w:val="22"/>
          <w:lang w:eastAsia="en-US"/>
        </w:rPr>
        <w:t xml:space="preserve">fulvestranto </w:t>
      </w:r>
      <w:r w:rsidRPr="00321632">
        <w:rPr>
          <w:szCs w:val="22"/>
          <w:lang w:eastAsia="en-US"/>
        </w:rPr>
        <w:t>ir 1</w:t>
      </w:r>
      <w:r>
        <w:rPr>
          <w:szCs w:val="22"/>
          <w:lang w:eastAsia="en-US"/>
        </w:rPr>
        <w:t> </w:t>
      </w:r>
      <w:r w:rsidRPr="00321632">
        <w:rPr>
          <w:szCs w:val="22"/>
          <w:lang w:eastAsia="en-US"/>
        </w:rPr>
        <w:t>mg anastrozolo poveikis moterims po menopauzės, sergančioms ER teigiamu ir</w:t>
      </w:r>
      <w:r>
        <w:rPr>
          <w:szCs w:val="22"/>
          <w:lang w:eastAsia="en-US"/>
        </w:rPr>
        <w:t xml:space="preserve"> </w:t>
      </w:r>
      <w:r w:rsidRPr="00321632">
        <w:rPr>
          <w:szCs w:val="22"/>
          <w:lang w:eastAsia="en-US"/>
        </w:rPr>
        <w:t>(arba) PgR teigiamu lokaliai progresavusiu ar metastazavusiu krūties vėžiu, dėl kurio anksčiau</w:t>
      </w:r>
      <w:r>
        <w:rPr>
          <w:szCs w:val="22"/>
          <w:lang w:eastAsia="en-US"/>
        </w:rPr>
        <w:t xml:space="preserve"> </w:t>
      </w:r>
      <w:r w:rsidRPr="00321632">
        <w:rPr>
          <w:szCs w:val="22"/>
          <w:lang w:eastAsia="en-US"/>
        </w:rPr>
        <w:t>netaikytas joks hormoninis gydymas. Iš viso 462 pacientės buvo nuosekliai santykiu 1:1</w:t>
      </w:r>
      <w:r w:rsidR="00BF152E">
        <w:rPr>
          <w:szCs w:val="22"/>
          <w:lang w:eastAsia="en-US"/>
        </w:rPr>
        <w:t xml:space="preserve"> </w:t>
      </w:r>
      <w:r w:rsidRPr="00321632">
        <w:rPr>
          <w:szCs w:val="22"/>
          <w:lang w:eastAsia="en-US"/>
        </w:rPr>
        <w:t>randomizuotos vartoti 500</w:t>
      </w:r>
      <w:r w:rsidR="00BF152E">
        <w:rPr>
          <w:szCs w:val="22"/>
          <w:lang w:eastAsia="en-US"/>
        </w:rPr>
        <w:t> </w:t>
      </w:r>
      <w:r w:rsidRPr="00321632">
        <w:rPr>
          <w:szCs w:val="22"/>
          <w:lang w:eastAsia="en-US"/>
        </w:rPr>
        <w:t>mg fulvestranto arba 1</w:t>
      </w:r>
      <w:r w:rsidR="00BF152E">
        <w:rPr>
          <w:szCs w:val="22"/>
          <w:lang w:eastAsia="en-US"/>
        </w:rPr>
        <w:t> </w:t>
      </w:r>
      <w:r w:rsidRPr="00321632">
        <w:rPr>
          <w:szCs w:val="22"/>
          <w:lang w:eastAsia="en-US"/>
        </w:rPr>
        <w:t>mg anastrozolo.</w:t>
      </w:r>
    </w:p>
    <w:p w14:paraId="13FC5CB4" w14:textId="77777777" w:rsidR="00321632" w:rsidRPr="00321632" w:rsidRDefault="00321632" w:rsidP="00321632">
      <w:pPr>
        <w:rPr>
          <w:szCs w:val="22"/>
          <w:lang w:eastAsia="en-US"/>
        </w:rPr>
      </w:pPr>
      <w:r w:rsidRPr="00321632">
        <w:rPr>
          <w:szCs w:val="22"/>
          <w:lang w:eastAsia="en-US"/>
        </w:rPr>
        <w:t>Randomizacija buvo stratifikuota pagal naviko būklę (lokaliai progresavęs ar metastazavęs), ankstesnę</w:t>
      </w:r>
      <w:r w:rsidR="00BF152E">
        <w:rPr>
          <w:szCs w:val="22"/>
          <w:lang w:eastAsia="en-US"/>
        </w:rPr>
        <w:t xml:space="preserve"> </w:t>
      </w:r>
      <w:r w:rsidRPr="00321632">
        <w:rPr>
          <w:szCs w:val="22"/>
          <w:lang w:eastAsia="en-US"/>
        </w:rPr>
        <w:t>chemoterapiją dėl progresavusio naviko ir galimybę išmatuoti naviką.</w:t>
      </w:r>
    </w:p>
    <w:p w14:paraId="537D1B43" w14:textId="77777777" w:rsidR="00321632" w:rsidRPr="00321632" w:rsidRDefault="00321632" w:rsidP="00321632">
      <w:pPr>
        <w:rPr>
          <w:szCs w:val="22"/>
          <w:lang w:eastAsia="en-US"/>
        </w:rPr>
      </w:pPr>
      <w:r w:rsidRPr="00321632">
        <w:rPr>
          <w:szCs w:val="22"/>
          <w:lang w:eastAsia="en-US"/>
        </w:rPr>
        <w:t>Pagrindinė veiksmingumo vertinamoji baigtis šio tyrimo metu buvo neprogresuojant ligai išgyventas</w:t>
      </w:r>
      <w:r w:rsidR="00BF152E">
        <w:rPr>
          <w:szCs w:val="22"/>
          <w:lang w:eastAsia="en-US"/>
        </w:rPr>
        <w:t xml:space="preserve"> </w:t>
      </w:r>
      <w:r w:rsidRPr="00321632">
        <w:rPr>
          <w:szCs w:val="22"/>
          <w:lang w:eastAsia="en-US"/>
        </w:rPr>
        <w:t>laikotarpis (</w:t>
      </w:r>
      <w:r w:rsidRPr="00901F66">
        <w:rPr>
          <w:i/>
          <w:szCs w:val="22"/>
          <w:lang w:eastAsia="en-US"/>
        </w:rPr>
        <w:t>angl. progression-free survival, PFS</w:t>
      </w:r>
      <w:r w:rsidRPr="00321632">
        <w:rPr>
          <w:szCs w:val="22"/>
          <w:lang w:eastAsia="en-US"/>
        </w:rPr>
        <w:t>), nustatytas tyrėjo pagal RECIST 1.1 (solidinių</w:t>
      </w:r>
      <w:r w:rsidR="00BF152E">
        <w:rPr>
          <w:szCs w:val="22"/>
          <w:lang w:eastAsia="en-US"/>
        </w:rPr>
        <w:t xml:space="preserve"> </w:t>
      </w:r>
      <w:r w:rsidRPr="00321632">
        <w:rPr>
          <w:szCs w:val="22"/>
          <w:lang w:eastAsia="en-US"/>
        </w:rPr>
        <w:t xml:space="preserve">navikų atsako vertinimo kriterijus, </w:t>
      </w:r>
      <w:r w:rsidRPr="00901F66">
        <w:rPr>
          <w:i/>
          <w:szCs w:val="22"/>
          <w:lang w:eastAsia="en-US"/>
        </w:rPr>
        <w:t>angl. Response Evaluation Criteria in Solid Tumours</w:t>
      </w:r>
      <w:r w:rsidRPr="00321632">
        <w:rPr>
          <w:szCs w:val="22"/>
          <w:lang w:eastAsia="en-US"/>
        </w:rPr>
        <w:t>). Pagrindinės</w:t>
      </w:r>
      <w:r w:rsidR="00BF152E">
        <w:rPr>
          <w:szCs w:val="22"/>
          <w:lang w:eastAsia="en-US"/>
        </w:rPr>
        <w:t xml:space="preserve"> </w:t>
      </w:r>
      <w:r w:rsidRPr="00321632">
        <w:rPr>
          <w:szCs w:val="22"/>
          <w:lang w:eastAsia="en-US"/>
        </w:rPr>
        <w:t>ant</w:t>
      </w:r>
      <w:r w:rsidR="00BF152E">
        <w:rPr>
          <w:szCs w:val="22"/>
          <w:lang w:eastAsia="en-US"/>
        </w:rPr>
        <w:t>raeilės</w:t>
      </w:r>
      <w:r w:rsidRPr="00321632">
        <w:rPr>
          <w:szCs w:val="22"/>
          <w:lang w:eastAsia="en-US"/>
        </w:rPr>
        <w:t xml:space="preserve"> veiksmingumo vertinamosios baigtys buvo bendras išgyventas laikotarpis (</w:t>
      </w:r>
      <w:r w:rsidRPr="00901F66">
        <w:rPr>
          <w:i/>
          <w:szCs w:val="22"/>
          <w:lang w:eastAsia="en-US"/>
        </w:rPr>
        <w:t>angl. overall</w:t>
      </w:r>
      <w:r w:rsidR="00BF152E" w:rsidRPr="00901F66">
        <w:rPr>
          <w:i/>
          <w:szCs w:val="22"/>
          <w:lang w:eastAsia="en-US"/>
        </w:rPr>
        <w:t xml:space="preserve"> </w:t>
      </w:r>
      <w:r w:rsidRPr="00901F66">
        <w:rPr>
          <w:i/>
          <w:szCs w:val="22"/>
          <w:lang w:eastAsia="en-US"/>
        </w:rPr>
        <w:t>survival, OS</w:t>
      </w:r>
      <w:r w:rsidRPr="00321632">
        <w:rPr>
          <w:szCs w:val="22"/>
          <w:lang w:eastAsia="en-US"/>
        </w:rPr>
        <w:t>) ir objektyvaus atsako dažnis (</w:t>
      </w:r>
      <w:r w:rsidRPr="00901F66">
        <w:rPr>
          <w:i/>
          <w:szCs w:val="22"/>
          <w:lang w:eastAsia="en-US"/>
        </w:rPr>
        <w:t>angl. objective response rate, ORR</w:t>
      </w:r>
      <w:r w:rsidRPr="00321632">
        <w:rPr>
          <w:szCs w:val="22"/>
          <w:lang w:eastAsia="en-US"/>
        </w:rPr>
        <w:t>).</w:t>
      </w:r>
    </w:p>
    <w:p w14:paraId="018BCA30" w14:textId="77777777" w:rsidR="00BF152E" w:rsidRDefault="00BF152E" w:rsidP="00321632">
      <w:pPr>
        <w:rPr>
          <w:szCs w:val="22"/>
          <w:lang w:eastAsia="en-US"/>
        </w:rPr>
      </w:pPr>
    </w:p>
    <w:p w14:paraId="6AD835AD" w14:textId="2A0EC897" w:rsidR="00321632" w:rsidRPr="00321632" w:rsidRDefault="00BF152E" w:rsidP="00321632">
      <w:pPr>
        <w:rPr>
          <w:szCs w:val="22"/>
          <w:lang w:eastAsia="en-US"/>
        </w:rPr>
      </w:pPr>
      <w:r>
        <w:rPr>
          <w:szCs w:val="22"/>
          <w:lang w:eastAsia="en-US"/>
        </w:rPr>
        <w:t>Šiame tyrime dalyvavusių</w:t>
      </w:r>
      <w:r w:rsidR="00321632" w:rsidRPr="00321632">
        <w:rPr>
          <w:szCs w:val="22"/>
          <w:lang w:eastAsia="en-US"/>
        </w:rPr>
        <w:t xml:space="preserve"> pacienčių amžiaus mediana buvo 63 metai (diapazonas – 36</w:t>
      </w:r>
      <w:r w:rsidR="00FC03AF">
        <w:rPr>
          <w:szCs w:val="22"/>
          <w:lang w:eastAsia="en-US"/>
        </w:rPr>
        <w:noBreakHyphen/>
      </w:r>
      <w:r w:rsidR="00321632" w:rsidRPr="00321632">
        <w:rPr>
          <w:szCs w:val="22"/>
          <w:lang w:eastAsia="en-US"/>
        </w:rPr>
        <w:t>90</w:t>
      </w:r>
      <w:r w:rsidR="00FC03AF">
        <w:rPr>
          <w:szCs w:val="22"/>
          <w:lang w:eastAsia="en-US"/>
        </w:rPr>
        <w:t> </w:t>
      </w:r>
      <w:r w:rsidR="00321632" w:rsidRPr="00321632">
        <w:rPr>
          <w:szCs w:val="22"/>
          <w:lang w:eastAsia="en-US"/>
        </w:rPr>
        <w:t>met</w:t>
      </w:r>
      <w:r>
        <w:rPr>
          <w:szCs w:val="22"/>
          <w:lang w:eastAsia="en-US"/>
        </w:rPr>
        <w:t>ų</w:t>
      </w:r>
      <w:r w:rsidR="00321632" w:rsidRPr="00321632">
        <w:rPr>
          <w:szCs w:val="22"/>
          <w:lang w:eastAsia="en-US"/>
        </w:rPr>
        <w:t>). Daugumos</w:t>
      </w:r>
      <w:r>
        <w:rPr>
          <w:szCs w:val="22"/>
          <w:lang w:eastAsia="en-US"/>
        </w:rPr>
        <w:t xml:space="preserve"> </w:t>
      </w:r>
      <w:r w:rsidR="00321632" w:rsidRPr="00321632">
        <w:rPr>
          <w:szCs w:val="22"/>
          <w:lang w:eastAsia="en-US"/>
        </w:rPr>
        <w:t>(87</w:t>
      </w:r>
      <w:r w:rsidR="00FC03AF">
        <w:rPr>
          <w:szCs w:val="22"/>
          <w:lang w:eastAsia="en-US"/>
        </w:rPr>
        <w:t> </w:t>
      </w:r>
      <w:r w:rsidR="00321632" w:rsidRPr="00321632">
        <w:rPr>
          <w:szCs w:val="22"/>
          <w:lang w:eastAsia="en-US"/>
        </w:rPr>
        <w:t>%) pacienčių navikai įtraukimo metu buvo metastazavę, 55</w:t>
      </w:r>
      <w:r w:rsidR="00FC03AF">
        <w:rPr>
          <w:szCs w:val="22"/>
          <w:lang w:eastAsia="en-US"/>
        </w:rPr>
        <w:t> </w:t>
      </w:r>
      <w:r w:rsidR="00321632" w:rsidRPr="00321632">
        <w:rPr>
          <w:szCs w:val="22"/>
          <w:lang w:eastAsia="en-US"/>
        </w:rPr>
        <w:t>% pacienčių – į visceralinius organus.</w:t>
      </w:r>
      <w:r>
        <w:rPr>
          <w:szCs w:val="22"/>
          <w:lang w:eastAsia="en-US"/>
        </w:rPr>
        <w:t xml:space="preserve"> </w:t>
      </w:r>
      <w:r w:rsidR="00321632" w:rsidRPr="00321632">
        <w:rPr>
          <w:szCs w:val="22"/>
          <w:lang w:eastAsia="en-US"/>
        </w:rPr>
        <w:t>17,1</w:t>
      </w:r>
      <w:r w:rsidR="00FC03AF">
        <w:rPr>
          <w:szCs w:val="22"/>
          <w:lang w:eastAsia="en-US"/>
        </w:rPr>
        <w:t> </w:t>
      </w:r>
      <w:r w:rsidR="00321632" w:rsidRPr="00321632">
        <w:rPr>
          <w:szCs w:val="22"/>
          <w:lang w:eastAsia="en-US"/>
        </w:rPr>
        <w:t>% pacienčių anksčiau buvo taikyta progresavusio naviko chemoterapija, 84,2</w:t>
      </w:r>
      <w:r w:rsidR="00FC03AF">
        <w:rPr>
          <w:szCs w:val="22"/>
          <w:lang w:eastAsia="en-US"/>
        </w:rPr>
        <w:t> </w:t>
      </w:r>
      <w:r w:rsidR="00321632" w:rsidRPr="00321632">
        <w:rPr>
          <w:szCs w:val="22"/>
          <w:lang w:eastAsia="en-US"/>
        </w:rPr>
        <w:t>% pacienčių naviką</w:t>
      </w:r>
      <w:r>
        <w:rPr>
          <w:szCs w:val="22"/>
          <w:lang w:eastAsia="en-US"/>
        </w:rPr>
        <w:t xml:space="preserve"> </w:t>
      </w:r>
      <w:r w:rsidR="00321632" w:rsidRPr="00321632">
        <w:rPr>
          <w:szCs w:val="22"/>
          <w:lang w:eastAsia="en-US"/>
        </w:rPr>
        <w:t>buvo galima išmatuoti.</w:t>
      </w:r>
    </w:p>
    <w:p w14:paraId="03902E6E" w14:textId="77777777" w:rsidR="00BF152E" w:rsidRDefault="00BF152E" w:rsidP="00321632">
      <w:pPr>
        <w:rPr>
          <w:szCs w:val="22"/>
          <w:lang w:eastAsia="en-US"/>
        </w:rPr>
      </w:pPr>
    </w:p>
    <w:p w14:paraId="4D51E549" w14:textId="1D44EFD7" w:rsidR="00321632" w:rsidRPr="00321632" w:rsidRDefault="00321632" w:rsidP="00321632">
      <w:pPr>
        <w:rPr>
          <w:szCs w:val="22"/>
          <w:lang w:eastAsia="en-US"/>
        </w:rPr>
      </w:pPr>
      <w:r w:rsidRPr="00321632">
        <w:rPr>
          <w:szCs w:val="22"/>
          <w:lang w:eastAsia="en-US"/>
        </w:rPr>
        <w:lastRenderedPageBreak/>
        <w:t xml:space="preserve">Daugumoje iš anksto numatytų pacienčių pogrupių gauti išmatuojami duomenys. Palyginus </w:t>
      </w:r>
      <w:r w:rsidR="00BF152E">
        <w:rPr>
          <w:szCs w:val="22"/>
          <w:lang w:eastAsia="en-US"/>
        </w:rPr>
        <w:t xml:space="preserve">fulvestranto </w:t>
      </w:r>
      <w:r w:rsidRPr="00321632">
        <w:rPr>
          <w:szCs w:val="22"/>
          <w:lang w:eastAsia="en-US"/>
        </w:rPr>
        <w:t>ir anastrozolo grupes, visceralinių metastazių neturėjusių pacienčių (n=208) pogrupio HR buvo 0,592</w:t>
      </w:r>
      <w:r w:rsidR="00BF152E">
        <w:rPr>
          <w:szCs w:val="22"/>
          <w:lang w:eastAsia="en-US"/>
        </w:rPr>
        <w:t xml:space="preserve"> </w:t>
      </w:r>
      <w:r w:rsidRPr="00321632">
        <w:rPr>
          <w:szCs w:val="22"/>
          <w:lang w:eastAsia="en-US"/>
        </w:rPr>
        <w:t>(95</w:t>
      </w:r>
      <w:r w:rsidR="00FC03AF">
        <w:rPr>
          <w:szCs w:val="22"/>
          <w:lang w:eastAsia="en-US"/>
        </w:rPr>
        <w:t> </w:t>
      </w:r>
      <w:r w:rsidRPr="00321632">
        <w:rPr>
          <w:szCs w:val="22"/>
          <w:lang w:eastAsia="en-US"/>
        </w:rPr>
        <w:t xml:space="preserve">% PI – nuo 0,419 iki 0,837). Jų turėjusių pacienčių (n=254) pogrupio HR, palyginus </w:t>
      </w:r>
      <w:r w:rsidR="00BF152E">
        <w:rPr>
          <w:szCs w:val="22"/>
          <w:lang w:eastAsia="en-US"/>
        </w:rPr>
        <w:t>fulvestranto</w:t>
      </w:r>
      <w:r w:rsidRPr="00321632">
        <w:rPr>
          <w:szCs w:val="22"/>
          <w:lang w:eastAsia="en-US"/>
        </w:rPr>
        <w:t xml:space="preserve"> ir</w:t>
      </w:r>
      <w:r w:rsidR="00BF152E">
        <w:rPr>
          <w:szCs w:val="22"/>
          <w:lang w:eastAsia="en-US"/>
        </w:rPr>
        <w:t xml:space="preserve"> </w:t>
      </w:r>
      <w:r w:rsidRPr="00321632">
        <w:rPr>
          <w:szCs w:val="22"/>
          <w:lang w:eastAsia="en-US"/>
        </w:rPr>
        <w:t>anastrozolo grupes, buvo 0,993 (95</w:t>
      </w:r>
      <w:r w:rsidR="00FC03AF">
        <w:rPr>
          <w:szCs w:val="22"/>
          <w:lang w:eastAsia="en-US"/>
        </w:rPr>
        <w:t> </w:t>
      </w:r>
      <w:r w:rsidRPr="00321632">
        <w:rPr>
          <w:szCs w:val="22"/>
          <w:lang w:eastAsia="en-US"/>
        </w:rPr>
        <w:t>% PI – nuo 0,740 iki 1,331). FALCON tyrimo metu gauti</w:t>
      </w:r>
      <w:r w:rsidR="00BF152E">
        <w:rPr>
          <w:szCs w:val="22"/>
          <w:lang w:eastAsia="en-US"/>
        </w:rPr>
        <w:t xml:space="preserve"> </w:t>
      </w:r>
      <w:r w:rsidRPr="00321632">
        <w:rPr>
          <w:szCs w:val="22"/>
          <w:lang w:eastAsia="en-US"/>
        </w:rPr>
        <w:t>veiksmingumo duomenys pateikiami 4 lentelėje ir 1 pav.</w:t>
      </w:r>
    </w:p>
    <w:p w14:paraId="59D60B9E" w14:textId="77777777" w:rsidR="00BF152E" w:rsidRDefault="00BF152E" w:rsidP="00321632">
      <w:pPr>
        <w:rPr>
          <w:szCs w:val="22"/>
          <w:lang w:eastAsia="en-US"/>
        </w:rPr>
      </w:pPr>
    </w:p>
    <w:p w14:paraId="03888E09" w14:textId="77777777" w:rsidR="00321632" w:rsidRPr="00901F66" w:rsidRDefault="00321632" w:rsidP="00901F66">
      <w:pPr>
        <w:ind w:left="851" w:hanging="851"/>
        <w:rPr>
          <w:b/>
          <w:szCs w:val="22"/>
          <w:lang w:eastAsia="en-US"/>
        </w:rPr>
      </w:pPr>
      <w:r w:rsidRPr="00901F66">
        <w:rPr>
          <w:b/>
          <w:szCs w:val="22"/>
          <w:lang w:eastAsia="en-US"/>
        </w:rPr>
        <w:t>4 lentelė. Pagrindinės veiksmingumo vertinamosios baigties (PFS) tyrėjo vertinimu ir</w:t>
      </w:r>
      <w:r w:rsidR="00BF152E" w:rsidRPr="00901F66">
        <w:rPr>
          <w:b/>
          <w:szCs w:val="22"/>
          <w:lang w:eastAsia="en-US"/>
        </w:rPr>
        <w:t xml:space="preserve"> </w:t>
      </w:r>
      <w:r w:rsidRPr="00901F66">
        <w:rPr>
          <w:b/>
          <w:szCs w:val="22"/>
          <w:lang w:eastAsia="en-US"/>
        </w:rPr>
        <w:t>svarbiausių antr</w:t>
      </w:r>
      <w:r w:rsidR="00BF152E" w:rsidRPr="00901F66">
        <w:rPr>
          <w:b/>
          <w:szCs w:val="22"/>
          <w:lang w:eastAsia="en-US"/>
        </w:rPr>
        <w:t>aeilių</w:t>
      </w:r>
      <w:r w:rsidRPr="00901F66">
        <w:rPr>
          <w:b/>
          <w:szCs w:val="22"/>
          <w:lang w:eastAsia="en-US"/>
        </w:rPr>
        <w:t xml:space="preserve"> veiksmingumo vertinamųjų baigčių duomenų santrauka numatytai gydyti</w:t>
      </w:r>
      <w:r w:rsidR="00BF152E" w:rsidRPr="00901F66">
        <w:rPr>
          <w:b/>
          <w:szCs w:val="22"/>
          <w:lang w:eastAsia="en-US"/>
        </w:rPr>
        <w:t xml:space="preserve"> </w:t>
      </w:r>
      <w:r w:rsidRPr="00901F66">
        <w:rPr>
          <w:b/>
          <w:szCs w:val="22"/>
          <w:lang w:eastAsia="en-US"/>
        </w:rPr>
        <w:t>populiacijai (FALCON tyrimas)</w:t>
      </w:r>
    </w:p>
    <w:p w14:paraId="28BD9662" w14:textId="77777777" w:rsidR="00321632" w:rsidRDefault="00321632" w:rsidP="004364B8">
      <w:pPr>
        <w:rPr>
          <w:szCs w:val="22"/>
          <w:lang w:eastAsia="en-US"/>
        </w:rPr>
      </w:pPr>
    </w:p>
    <w:tbl>
      <w:tblPr>
        <w:tblW w:w="9058" w:type="dxa"/>
        <w:tblInd w:w="95" w:type="dxa"/>
        <w:tblLayout w:type="fixed"/>
        <w:tblCellMar>
          <w:left w:w="0" w:type="dxa"/>
          <w:right w:w="0" w:type="dxa"/>
        </w:tblCellMar>
        <w:tblLook w:val="01E0" w:firstRow="1" w:lastRow="1" w:firstColumn="1" w:lastColumn="1" w:noHBand="0" w:noVBand="0"/>
      </w:tblPr>
      <w:tblGrid>
        <w:gridCol w:w="3455"/>
        <w:gridCol w:w="2583"/>
        <w:gridCol w:w="3020"/>
      </w:tblGrid>
      <w:tr w:rsidR="00BF152E" w:rsidRPr="00BF152E" w14:paraId="276E436A" w14:textId="77777777" w:rsidTr="003F235A">
        <w:trPr>
          <w:trHeight w:hRule="exact" w:val="938"/>
        </w:trPr>
        <w:tc>
          <w:tcPr>
            <w:tcW w:w="3455" w:type="dxa"/>
            <w:tcBorders>
              <w:top w:val="single" w:sz="5" w:space="0" w:color="000000"/>
              <w:left w:val="single" w:sz="5" w:space="0" w:color="000000"/>
              <w:bottom w:val="single" w:sz="5" w:space="0" w:color="000000"/>
              <w:right w:val="single" w:sz="5" w:space="0" w:color="000000"/>
            </w:tcBorders>
          </w:tcPr>
          <w:p w14:paraId="0C3F0067" w14:textId="77777777" w:rsidR="00BF152E" w:rsidRPr="00901F66" w:rsidRDefault="00BF152E" w:rsidP="00BF152E">
            <w:pPr>
              <w:rPr>
                <w:szCs w:val="22"/>
                <w:lang w:eastAsia="en-US"/>
              </w:rPr>
            </w:pPr>
          </w:p>
        </w:tc>
        <w:tc>
          <w:tcPr>
            <w:tcW w:w="2583" w:type="dxa"/>
            <w:tcBorders>
              <w:top w:val="single" w:sz="5" w:space="0" w:color="000000"/>
              <w:left w:val="single" w:sz="5" w:space="0" w:color="000000"/>
              <w:bottom w:val="single" w:sz="5" w:space="0" w:color="000000"/>
              <w:right w:val="single" w:sz="5" w:space="0" w:color="000000"/>
            </w:tcBorders>
          </w:tcPr>
          <w:p w14:paraId="67FF17E1" w14:textId="77777777" w:rsidR="00BF152E" w:rsidRPr="00901F66" w:rsidRDefault="00BF152E" w:rsidP="00BF152E">
            <w:pPr>
              <w:widowControl w:val="0"/>
              <w:spacing w:before="47"/>
              <w:jc w:val="center"/>
              <w:rPr>
                <w:szCs w:val="22"/>
                <w:lang w:eastAsia="en-US"/>
              </w:rPr>
            </w:pPr>
            <w:r w:rsidRPr="00901F66">
              <w:rPr>
                <w:rFonts w:eastAsia="Calibri"/>
                <w:b/>
                <w:spacing w:val="-2"/>
                <w:szCs w:val="22"/>
                <w:lang w:eastAsia="en-US"/>
              </w:rPr>
              <w:t>Fulvestrantas</w:t>
            </w:r>
          </w:p>
          <w:p w14:paraId="260EB216" w14:textId="578CD8EB" w:rsidR="00FC03AF" w:rsidRDefault="00BF152E" w:rsidP="003F235A">
            <w:pPr>
              <w:widowControl w:val="0"/>
              <w:spacing w:before="3" w:line="280" w:lineRule="atLeast"/>
              <w:ind w:left="284" w:right="315" w:hanging="5"/>
              <w:jc w:val="center"/>
              <w:rPr>
                <w:rFonts w:eastAsia="Calibri"/>
                <w:b/>
                <w:spacing w:val="-5"/>
                <w:szCs w:val="22"/>
                <w:lang w:eastAsia="en-US"/>
              </w:rPr>
            </w:pPr>
            <w:r w:rsidRPr="00901F66">
              <w:rPr>
                <w:rFonts w:eastAsia="Calibri"/>
                <w:b/>
                <w:szCs w:val="22"/>
                <w:lang w:eastAsia="en-US"/>
              </w:rPr>
              <w:t>500</w:t>
            </w:r>
            <w:r w:rsidR="00FC03AF">
              <w:rPr>
                <w:rFonts w:eastAsia="Calibri"/>
                <w:b/>
                <w:szCs w:val="22"/>
                <w:lang w:eastAsia="en-US"/>
              </w:rPr>
              <w:t> </w:t>
            </w:r>
            <w:r w:rsidRPr="00901F66">
              <w:rPr>
                <w:rFonts w:eastAsia="Calibri"/>
                <w:b/>
                <w:spacing w:val="-5"/>
                <w:szCs w:val="22"/>
                <w:lang w:eastAsia="en-US"/>
              </w:rPr>
              <w:t>mg</w:t>
            </w:r>
          </w:p>
          <w:p w14:paraId="4043EFE0" w14:textId="1CD2C246" w:rsidR="00BF152E" w:rsidRPr="00901F66" w:rsidRDefault="00BF152E" w:rsidP="003F235A">
            <w:pPr>
              <w:widowControl w:val="0"/>
              <w:spacing w:before="3" w:line="280" w:lineRule="atLeast"/>
              <w:ind w:left="284" w:right="315" w:hanging="5"/>
              <w:jc w:val="center"/>
              <w:rPr>
                <w:szCs w:val="22"/>
                <w:lang w:eastAsia="en-US"/>
              </w:rPr>
            </w:pPr>
            <w:r w:rsidRPr="00901F66">
              <w:rPr>
                <w:rFonts w:eastAsia="Calibri"/>
                <w:b/>
                <w:spacing w:val="-1"/>
                <w:szCs w:val="22"/>
                <w:lang w:eastAsia="en-US"/>
              </w:rPr>
              <w:t>(N=230</w:t>
            </w:r>
            <w:r>
              <w:rPr>
                <w:rFonts w:eastAsia="Calibri"/>
                <w:b/>
                <w:spacing w:val="-1"/>
                <w:szCs w:val="22"/>
                <w:lang w:eastAsia="en-US"/>
              </w:rPr>
              <w:t>)</w:t>
            </w:r>
          </w:p>
        </w:tc>
        <w:tc>
          <w:tcPr>
            <w:tcW w:w="3020" w:type="dxa"/>
            <w:tcBorders>
              <w:top w:val="single" w:sz="5" w:space="0" w:color="000000"/>
              <w:left w:val="single" w:sz="5" w:space="0" w:color="000000"/>
              <w:bottom w:val="single" w:sz="5" w:space="0" w:color="000000"/>
              <w:right w:val="single" w:sz="5" w:space="0" w:color="000000"/>
            </w:tcBorders>
          </w:tcPr>
          <w:p w14:paraId="095635C0" w14:textId="77777777" w:rsidR="00BF152E" w:rsidRPr="00901F66" w:rsidRDefault="00BF152E" w:rsidP="00BF152E">
            <w:pPr>
              <w:widowControl w:val="0"/>
              <w:spacing w:before="47"/>
              <w:jc w:val="center"/>
              <w:rPr>
                <w:szCs w:val="22"/>
                <w:lang w:eastAsia="en-US"/>
              </w:rPr>
            </w:pPr>
            <w:r w:rsidRPr="00901F66">
              <w:rPr>
                <w:rFonts w:eastAsia="Calibri"/>
                <w:b/>
                <w:spacing w:val="-2"/>
                <w:szCs w:val="22"/>
                <w:lang w:eastAsia="en-US"/>
              </w:rPr>
              <w:t>Anastrozolas</w:t>
            </w:r>
          </w:p>
          <w:p w14:paraId="4CF69580" w14:textId="516A94E6" w:rsidR="00FC03AF" w:rsidRDefault="00BF152E" w:rsidP="00FC03AF">
            <w:pPr>
              <w:widowControl w:val="0"/>
              <w:spacing w:before="3" w:line="280" w:lineRule="atLeast"/>
              <w:ind w:left="1160" w:right="783" w:hanging="11"/>
              <w:jc w:val="center"/>
              <w:rPr>
                <w:rFonts w:eastAsia="Calibri"/>
                <w:b/>
                <w:spacing w:val="19"/>
                <w:szCs w:val="22"/>
                <w:lang w:eastAsia="en-US"/>
              </w:rPr>
            </w:pPr>
            <w:r w:rsidRPr="00901F66">
              <w:rPr>
                <w:rFonts w:eastAsia="Calibri"/>
                <w:b/>
                <w:szCs w:val="22"/>
                <w:lang w:eastAsia="en-US"/>
              </w:rPr>
              <w:t>1</w:t>
            </w:r>
            <w:r w:rsidR="00FC03AF">
              <w:rPr>
                <w:rFonts w:eastAsia="Calibri"/>
                <w:b/>
                <w:szCs w:val="22"/>
                <w:lang w:eastAsia="en-US"/>
              </w:rPr>
              <w:t> </w:t>
            </w:r>
            <w:r w:rsidRPr="00901F66">
              <w:rPr>
                <w:rFonts w:eastAsia="Calibri"/>
                <w:b/>
                <w:spacing w:val="-1"/>
                <w:szCs w:val="22"/>
                <w:lang w:eastAsia="en-US"/>
              </w:rPr>
              <w:t>mg</w:t>
            </w:r>
          </w:p>
          <w:p w14:paraId="4B58C444" w14:textId="00DF1A1E" w:rsidR="00BF152E" w:rsidRPr="00901F66" w:rsidRDefault="00BF152E" w:rsidP="00FC03AF">
            <w:pPr>
              <w:widowControl w:val="0"/>
              <w:spacing w:before="3" w:line="280" w:lineRule="atLeast"/>
              <w:ind w:left="1160" w:right="783" w:hanging="11"/>
              <w:jc w:val="center"/>
              <w:rPr>
                <w:szCs w:val="22"/>
                <w:lang w:eastAsia="en-US"/>
              </w:rPr>
            </w:pPr>
            <w:r w:rsidRPr="00901F66">
              <w:rPr>
                <w:rFonts w:eastAsia="Calibri"/>
                <w:b/>
                <w:spacing w:val="-1"/>
                <w:szCs w:val="22"/>
                <w:lang w:eastAsia="en-US"/>
              </w:rPr>
              <w:t>(N=232)</w:t>
            </w:r>
          </w:p>
        </w:tc>
      </w:tr>
      <w:tr w:rsidR="00BF152E" w:rsidRPr="00BF152E" w14:paraId="102629E8" w14:textId="77777777" w:rsidTr="00BF152E">
        <w:trPr>
          <w:trHeight w:hRule="exact" w:val="293"/>
        </w:trPr>
        <w:tc>
          <w:tcPr>
            <w:tcW w:w="9058" w:type="dxa"/>
            <w:gridSpan w:val="3"/>
            <w:tcBorders>
              <w:top w:val="single" w:sz="5" w:space="0" w:color="000000"/>
              <w:left w:val="single" w:sz="5" w:space="0" w:color="000000"/>
              <w:bottom w:val="single" w:sz="5" w:space="0" w:color="000000"/>
              <w:right w:val="single" w:sz="5" w:space="0" w:color="000000"/>
            </w:tcBorders>
          </w:tcPr>
          <w:p w14:paraId="4C1D03C3" w14:textId="09F9AD38" w:rsidR="00BF152E" w:rsidRPr="00901F66" w:rsidRDefault="002C6AF3" w:rsidP="002C6AF3">
            <w:pPr>
              <w:widowControl w:val="0"/>
              <w:spacing w:before="47"/>
              <w:ind w:left="104"/>
              <w:rPr>
                <w:szCs w:val="22"/>
                <w:lang w:eastAsia="en-US"/>
              </w:rPr>
            </w:pPr>
            <w:r w:rsidRPr="002C6AF3">
              <w:rPr>
                <w:rFonts w:eastAsia="Calibri"/>
                <w:b/>
                <w:spacing w:val="-1"/>
                <w:szCs w:val="22"/>
                <w:lang w:eastAsia="en-US"/>
              </w:rPr>
              <w:t xml:space="preserve">Neprogresuojant ligai išgyventas laikotarpis </w:t>
            </w:r>
          </w:p>
        </w:tc>
      </w:tr>
      <w:tr w:rsidR="00BF152E" w:rsidRPr="00BF152E" w14:paraId="1AE3DDF0" w14:textId="77777777" w:rsidTr="00901F66">
        <w:trPr>
          <w:trHeight w:hRule="exact" w:val="288"/>
        </w:trPr>
        <w:tc>
          <w:tcPr>
            <w:tcW w:w="3455" w:type="dxa"/>
            <w:tcBorders>
              <w:top w:val="single" w:sz="5" w:space="0" w:color="000000"/>
              <w:left w:val="single" w:sz="5" w:space="0" w:color="000000"/>
              <w:bottom w:val="single" w:sz="5" w:space="0" w:color="000000"/>
              <w:right w:val="single" w:sz="5" w:space="0" w:color="000000"/>
            </w:tcBorders>
          </w:tcPr>
          <w:p w14:paraId="2322697F" w14:textId="4A76F94A" w:rsidR="00BF152E" w:rsidRPr="00901F66" w:rsidRDefault="00BF152E" w:rsidP="003F235A">
            <w:pPr>
              <w:keepNext/>
              <w:keepLines/>
              <w:widowControl w:val="0"/>
              <w:tabs>
                <w:tab w:val="left" w:pos="567"/>
              </w:tabs>
              <w:spacing w:before="47" w:line="229" w:lineRule="exact"/>
              <w:ind w:left="104" w:hanging="51"/>
              <w:outlineLvl w:val="2"/>
              <w:rPr>
                <w:szCs w:val="22"/>
                <w:lang w:eastAsia="en-US"/>
              </w:rPr>
            </w:pPr>
            <w:r w:rsidRPr="00901F66">
              <w:rPr>
                <w:rFonts w:eastAsia="Calibri"/>
                <w:b/>
                <w:spacing w:val="-1"/>
                <w:szCs w:val="22"/>
                <w:lang w:eastAsia="en-US"/>
              </w:rPr>
              <w:t>PFS atvej</w:t>
            </w:r>
            <w:r w:rsidR="002C6AF3">
              <w:rPr>
                <w:rFonts w:eastAsia="Calibri"/>
                <w:b/>
                <w:spacing w:val="-1"/>
                <w:szCs w:val="22"/>
                <w:lang w:eastAsia="en-US"/>
              </w:rPr>
              <w:t>ų skaičius (</w:t>
            </w:r>
            <w:r w:rsidR="002C6AF3" w:rsidRPr="003F235A">
              <w:rPr>
                <w:rFonts w:eastAsia="Calibri"/>
                <w:b/>
                <w:spacing w:val="-1"/>
                <w:szCs w:val="22"/>
                <w:lang w:eastAsia="en-US"/>
              </w:rPr>
              <w:t>%</w:t>
            </w:r>
            <w:r w:rsidR="002C6AF3">
              <w:rPr>
                <w:rFonts w:eastAsia="Calibri"/>
                <w:b/>
                <w:spacing w:val="-1"/>
                <w:szCs w:val="22"/>
                <w:lang w:eastAsia="en-US"/>
              </w:rPr>
              <w:t>)</w:t>
            </w:r>
          </w:p>
        </w:tc>
        <w:tc>
          <w:tcPr>
            <w:tcW w:w="2583" w:type="dxa"/>
            <w:tcBorders>
              <w:top w:val="single" w:sz="5" w:space="0" w:color="000000"/>
              <w:left w:val="single" w:sz="5" w:space="0" w:color="000000"/>
              <w:bottom w:val="single" w:sz="5" w:space="0" w:color="000000"/>
              <w:right w:val="single" w:sz="5" w:space="0" w:color="000000"/>
            </w:tcBorders>
          </w:tcPr>
          <w:p w14:paraId="7A35FA29" w14:textId="4D8D7EF9" w:rsidR="00BF152E" w:rsidRPr="00901F66" w:rsidRDefault="00BF152E" w:rsidP="00901F66">
            <w:pPr>
              <w:widowControl w:val="0"/>
              <w:spacing w:before="47" w:line="229" w:lineRule="exact"/>
              <w:ind w:left="987"/>
              <w:rPr>
                <w:szCs w:val="22"/>
                <w:lang w:eastAsia="en-US"/>
              </w:rPr>
            </w:pPr>
            <w:r w:rsidRPr="00901F66">
              <w:rPr>
                <w:rFonts w:eastAsia="Calibri"/>
                <w:b/>
                <w:spacing w:val="-1"/>
                <w:szCs w:val="22"/>
                <w:lang w:eastAsia="en-US"/>
              </w:rPr>
              <w:t>143 (62,2</w:t>
            </w:r>
            <w:r w:rsidR="00FC03AF">
              <w:rPr>
                <w:rFonts w:eastAsia="Calibri"/>
                <w:b/>
                <w:spacing w:val="-1"/>
                <w:szCs w:val="22"/>
                <w:lang w:eastAsia="en-US"/>
              </w:rPr>
              <w:t> </w:t>
            </w:r>
            <w:r w:rsidRPr="00901F66">
              <w:rPr>
                <w:rFonts w:eastAsia="Calibri"/>
                <w:b/>
                <w:spacing w:val="-1"/>
                <w:szCs w:val="22"/>
                <w:lang w:eastAsia="en-US"/>
              </w:rPr>
              <w:t>%)</w:t>
            </w:r>
          </w:p>
        </w:tc>
        <w:tc>
          <w:tcPr>
            <w:tcW w:w="3020" w:type="dxa"/>
            <w:tcBorders>
              <w:top w:val="single" w:sz="5" w:space="0" w:color="000000"/>
              <w:left w:val="single" w:sz="5" w:space="0" w:color="000000"/>
              <w:bottom w:val="single" w:sz="5" w:space="0" w:color="000000"/>
              <w:right w:val="single" w:sz="5" w:space="0" w:color="000000"/>
            </w:tcBorders>
          </w:tcPr>
          <w:p w14:paraId="03CAEC9C" w14:textId="484CFCA9" w:rsidR="00BF152E" w:rsidRPr="00901F66" w:rsidRDefault="00BF152E" w:rsidP="00901F66">
            <w:pPr>
              <w:widowControl w:val="0"/>
              <w:spacing w:before="47" w:line="229" w:lineRule="exact"/>
              <w:ind w:left="987"/>
              <w:rPr>
                <w:szCs w:val="22"/>
                <w:lang w:eastAsia="en-US"/>
              </w:rPr>
            </w:pPr>
            <w:r w:rsidRPr="00901F66">
              <w:rPr>
                <w:rFonts w:eastAsia="Calibri"/>
                <w:b/>
                <w:spacing w:val="-1"/>
                <w:szCs w:val="22"/>
                <w:lang w:eastAsia="en-US"/>
              </w:rPr>
              <w:t>166 (71,6</w:t>
            </w:r>
            <w:r w:rsidR="00FC03AF">
              <w:rPr>
                <w:rFonts w:eastAsia="Calibri"/>
                <w:b/>
                <w:spacing w:val="-1"/>
                <w:szCs w:val="22"/>
                <w:lang w:eastAsia="en-US"/>
              </w:rPr>
              <w:t> </w:t>
            </w:r>
            <w:r w:rsidRPr="00901F66">
              <w:rPr>
                <w:rFonts w:eastAsia="Calibri"/>
                <w:b/>
                <w:spacing w:val="-1"/>
                <w:szCs w:val="22"/>
                <w:lang w:eastAsia="en-US"/>
              </w:rPr>
              <w:t>%)</w:t>
            </w:r>
          </w:p>
        </w:tc>
      </w:tr>
      <w:tr w:rsidR="00BF152E" w:rsidRPr="00BF152E" w14:paraId="0D69A1A8" w14:textId="77777777" w:rsidTr="00901F66">
        <w:trPr>
          <w:trHeight w:hRule="exact" w:val="318"/>
        </w:trPr>
        <w:tc>
          <w:tcPr>
            <w:tcW w:w="3455" w:type="dxa"/>
            <w:tcBorders>
              <w:top w:val="single" w:sz="5" w:space="0" w:color="000000"/>
              <w:left w:val="single" w:sz="5" w:space="0" w:color="000000"/>
              <w:bottom w:val="nil"/>
              <w:right w:val="single" w:sz="5" w:space="0" w:color="000000"/>
            </w:tcBorders>
          </w:tcPr>
          <w:p w14:paraId="32C5FBAF" w14:textId="514656D9" w:rsidR="00BF152E" w:rsidRPr="00901F66" w:rsidRDefault="00BF152E" w:rsidP="002C6AF3">
            <w:pPr>
              <w:widowControl w:val="0"/>
              <w:spacing w:before="47"/>
              <w:ind w:left="104"/>
              <w:rPr>
                <w:b/>
                <w:szCs w:val="22"/>
                <w:lang w:eastAsia="en-US"/>
              </w:rPr>
            </w:pPr>
            <w:r w:rsidRPr="00901F66">
              <w:rPr>
                <w:b/>
                <w:szCs w:val="22"/>
              </w:rPr>
              <w:t>PFS SR (95</w:t>
            </w:r>
            <w:r w:rsidR="002C6AF3">
              <w:rPr>
                <w:b/>
                <w:szCs w:val="22"/>
              </w:rPr>
              <w:t> </w:t>
            </w:r>
            <w:r w:rsidRPr="00901F66">
              <w:rPr>
                <w:b/>
                <w:szCs w:val="22"/>
              </w:rPr>
              <w:t>% PI) ir</w:t>
            </w:r>
          </w:p>
        </w:tc>
        <w:tc>
          <w:tcPr>
            <w:tcW w:w="5603" w:type="dxa"/>
            <w:gridSpan w:val="2"/>
            <w:tcBorders>
              <w:top w:val="single" w:sz="5" w:space="0" w:color="000000"/>
              <w:left w:val="single" w:sz="5" w:space="0" w:color="000000"/>
              <w:bottom w:val="nil"/>
              <w:right w:val="single" w:sz="5" w:space="0" w:color="000000"/>
            </w:tcBorders>
          </w:tcPr>
          <w:p w14:paraId="70552497" w14:textId="77777777" w:rsidR="00BF152E" w:rsidRPr="00901F66" w:rsidRDefault="00010FD7" w:rsidP="00901F66">
            <w:pPr>
              <w:widowControl w:val="0"/>
              <w:spacing w:before="42"/>
              <w:ind w:left="1990"/>
              <w:rPr>
                <w:szCs w:val="22"/>
                <w:lang w:eastAsia="en-US"/>
              </w:rPr>
            </w:pPr>
            <w:r>
              <w:rPr>
                <w:rFonts w:eastAsia="Calibri"/>
                <w:b/>
                <w:spacing w:val="-1"/>
                <w:szCs w:val="22"/>
                <w:lang w:eastAsia="en-US"/>
              </w:rPr>
              <w:t>S</w:t>
            </w:r>
            <w:r w:rsidR="00BF152E" w:rsidRPr="00901F66">
              <w:rPr>
                <w:rFonts w:eastAsia="Calibri"/>
                <w:b/>
                <w:spacing w:val="-1"/>
                <w:szCs w:val="22"/>
                <w:lang w:eastAsia="en-US"/>
              </w:rPr>
              <w:t>R 0,797 (0,637</w:t>
            </w:r>
            <w:r w:rsidR="00BF152E" w:rsidRPr="00901F66">
              <w:rPr>
                <w:rFonts w:eastAsia="Calibri"/>
                <w:b/>
                <w:spacing w:val="1"/>
                <w:szCs w:val="22"/>
                <w:lang w:eastAsia="en-US"/>
              </w:rPr>
              <w:t xml:space="preserve"> </w:t>
            </w:r>
            <w:r w:rsidR="00BF152E" w:rsidRPr="00901F66">
              <w:rPr>
                <w:rFonts w:eastAsia="Calibri"/>
                <w:szCs w:val="22"/>
                <w:lang w:eastAsia="en-US"/>
              </w:rPr>
              <w:t>–</w:t>
            </w:r>
            <w:r w:rsidR="00BF152E" w:rsidRPr="00901F66">
              <w:rPr>
                <w:rFonts w:eastAsia="Calibri"/>
                <w:spacing w:val="-2"/>
                <w:szCs w:val="22"/>
                <w:lang w:eastAsia="en-US"/>
              </w:rPr>
              <w:t xml:space="preserve"> </w:t>
            </w:r>
            <w:r w:rsidR="00BF152E" w:rsidRPr="00901F66">
              <w:rPr>
                <w:rFonts w:eastAsia="Calibri"/>
                <w:b/>
                <w:spacing w:val="-1"/>
                <w:szCs w:val="22"/>
                <w:lang w:eastAsia="en-US"/>
              </w:rPr>
              <w:t>0,999)</w:t>
            </w:r>
          </w:p>
        </w:tc>
      </w:tr>
      <w:tr w:rsidR="00BF152E" w:rsidRPr="00BF152E" w14:paraId="47D95860" w14:textId="77777777" w:rsidTr="00901F66">
        <w:trPr>
          <w:trHeight w:hRule="exact" w:val="253"/>
        </w:trPr>
        <w:tc>
          <w:tcPr>
            <w:tcW w:w="3455" w:type="dxa"/>
            <w:tcBorders>
              <w:top w:val="nil"/>
              <w:left w:val="single" w:sz="5" w:space="0" w:color="000000"/>
              <w:bottom w:val="single" w:sz="5" w:space="0" w:color="000000"/>
              <w:right w:val="single" w:sz="5" w:space="0" w:color="000000"/>
            </w:tcBorders>
          </w:tcPr>
          <w:p w14:paraId="286B539E" w14:textId="77777777" w:rsidR="00BF152E" w:rsidRPr="00901F66" w:rsidRDefault="00BF152E" w:rsidP="00BF152E">
            <w:pPr>
              <w:widowControl w:val="0"/>
              <w:spacing w:before="14"/>
              <w:ind w:left="104"/>
              <w:rPr>
                <w:b/>
                <w:szCs w:val="22"/>
                <w:lang w:eastAsia="en-US"/>
              </w:rPr>
            </w:pPr>
            <w:r w:rsidRPr="00901F66">
              <w:rPr>
                <w:b/>
                <w:szCs w:val="22"/>
              </w:rPr>
              <w:t>p reikšmė</w:t>
            </w:r>
          </w:p>
        </w:tc>
        <w:tc>
          <w:tcPr>
            <w:tcW w:w="5603" w:type="dxa"/>
            <w:gridSpan w:val="2"/>
            <w:tcBorders>
              <w:top w:val="nil"/>
              <w:left w:val="single" w:sz="5" w:space="0" w:color="000000"/>
              <w:bottom w:val="single" w:sz="5" w:space="0" w:color="000000"/>
              <w:right w:val="single" w:sz="5" w:space="0" w:color="000000"/>
            </w:tcBorders>
          </w:tcPr>
          <w:p w14:paraId="3873A6F8" w14:textId="1FA354C5" w:rsidR="00BF152E" w:rsidRPr="00901F66" w:rsidRDefault="00BF152E" w:rsidP="00FC03AF">
            <w:pPr>
              <w:widowControl w:val="0"/>
              <w:spacing w:before="14"/>
              <w:ind w:left="4"/>
              <w:jc w:val="center"/>
              <w:rPr>
                <w:szCs w:val="22"/>
                <w:lang w:eastAsia="en-US"/>
              </w:rPr>
            </w:pPr>
            <w:r w:rsidRPr="00901F66">
              <w:rPr>
                <w:rFonts w:eastAsia="Calibri"/>
                <w:b/>
                <w:szCs w:val="22"/>
                <w:lang w:eastAsia="en-US"/>
              </w:rPr>
              <w:t>p=</w:t>
            </w:r>
            <w:r w:rsidRPr="00901F66">
              <w:rPr>
                <w:rFonts w:eastAsia="Calibri"/>
                <w:b/>
                <w:spacing w:val="-1"/>
                <w:szCs w:val="22"/>
                <w:lang w:eastAsia="en-US"/>
              </w:rPr>
              <w:t>0,0486</w:t>
            </w:r>
          </w:p>
        </w:tc>
      </w:tr>
      <w:tr w:rsidR="00BF152E" w:rsidRPr="00BF152E" w14:paraId="1022956D" w14:textId="77777777" w:rsidTr="00901F66">
        <w:trPr>
          <w:trHeight w:hRule="exact" w:val="288"/>
        </w:trPr>
        <w:tc>
          <w:tcPr>
            <w:tcW w:w="3455" w:type="dxa"/>
            <w:tcBorders>
              <w:top w:val="single" w:sz="5" w:space="0" w:color="000000"/>
              <w:left w:val="single" w:sz="5" w:space="0" w:color="000000"/>
              <w:bottom w:val="single" w:sz="5" w:space="0" w:color="000000"/>
              <w:right w:val="single" w:sz="5" w:space="0" w:color="000000"/>
            </w:tcBorders>
          </w:tcPr>
          <w:p w14:paraId="7820445F" w14:textId="57F7C4E9" w:rsidR="00BF152E" w:rsidRPr="00901F66" w:rsidRDefault="00010FD7" w:rsidP="002C6AF3">
            <w:pPr>
              <w:widowControl w:val="0"/>
              <w:spacing w:before="47" w:line="229" w:lineRule="exact"/>
              <w:ind w:left="102" w:right="-510"/>
              <w:rPr>
                <w:b/>
                <w:szCs w:val="22"/>
                <w:lang w:eastAsia="en-US"/>
              </w:rPr>
            </w:pPr>
            <w:r w:rsidRPr="00901F66">
              <w:rPr>
                <w:rFonts w:eastAsia="Batang"/>
                <w:b/>
                <w:szCs w:val="22"/>
                <w:lang w:eastAsia="en-US"/>
              </w:rPr>
              <w:t xml:space="preserve">PFS mediana, </w:t>
            </w:r>
            <w:r w:rsidRPr="00901F66">
              <w:rPr>
                <w:rFonts w:eastAsia="Batang" w:hint="eastAsia"/>
                <w:b/>
                <w:szCs w:val="22"/>
                <w:lang w:eastAsia="en-US"/>
              </w:rPr>
              <w:t>mėn.</w:t>
            </w:r>
            <w:r w:rsidRPr="00901F66">
              <w:rPr>
                <w:rFonts w:eastAsia="Batang"/>
                <w:b/>
                <w:szCs w:val="22"/>
                <w:lang w:eastAsia="en-US"/>
              </w:rPr>
              <w:t xml:space="preserve"> (95</w:t>
            </w:r>
            <w:r w:rsidR="002C6AF3">
              <w:rPr>
                <w:rFonts w:eastAsia="Batang"/>
                <w:b/>
                <w:szCs w:val="22"/>
                <w:lang w:eastAsia="en-US"/>
              </w:rPr>
              <w:t> </w:t>
            </w:r>
            <w:r w:rsidRPr="00901F66">
              <w:rPr>
                <w:rFonts w:eastAsia="Batang"/>
                <w:b/>
                <w:szCs w:val="22"/>
                <w:lang w:eastAsia="en-US"/>
              </w:rPr>
              <w:t>% PI)</w:t>
            </w:r>
          </w:p>
        </w:tc>
        <w:tc>
          <w:tcPr>
            <w:tcW w:w="2583" w:type="dxa"/>
            <w:tcBorders>
              <w:top w:val="single" w:sz="5" w:space="0" w:color="000000"/>
              <w:left w:val="single" w:sz="5" w:space="0" w:color="000000"/>
              <w:bottom w:val="single" w:sz="5" w:space="0" w:color="000000"/>
              <w:right w:val="single" w:sz="5" w:space="0" w:color="000000"/>
            </w:tcBorders>
          </w:tcPr>
          <w:p w14:paraId="08EBE720" w14:textId="5749F316" w:rsidR="00BF152E" w:rsidRPr="00901F66" w:rsidRDefault="00BF152E" w:rsidP="008B7779">
            <w:pPr>
              <w:widowControl w:val="0"/>
              <w:spacing w:before="47" w:line="229" w:lineRule="exact"/>
              <w:ind w:left="839"/>
              <w:rPr>
                <w:szCs w:val="22"/>
                <w:lang w:eastAsia="en-US"/>
              </w:rPr>
            </w:pPr>
            <w:r w:rsidRPr="00901F66">
              <w:rPr>
                <w:rFonts w:eastAsia="Calibri"/>
                <w:b/>
                <w:szCs w:val="22"/>
                <w:lang w:eastAsia="en-US"/>
              </w:rPr>
              <w:t>16</w:t>
            </w:r>
            <w:r w:rsidR="008B7779">
              <w:rPr>
                <w:rFonts w:eastAsia="Calibri"/>
                <w:b/>
                <w:szCs w:val="22"/>
                <w:lang w:eastAsia="en-US"/>
              </w:rPr>
              <w:t>,</w:t>
            </w:r>
            <w:r w:rsidRPr="00901F66">
              <w:rPr>
                <w:rFonts w:eastAsia="Calibri"/>
                <w:b/>
                <w:szCs w:val="22"/>
                <w:lang w:eastAsia="en-US"/>
              </w:rPr>
              <w:t>6</w:t>
            </w:r>
            <w:r w:rsidRPr="00901F66">
              <w:rPr>
                <w:rFonts w:eastAsia="Calibri"/>
                <w:b/>
                <w:spacing w:val="-2"/>
                <w:szCs w:val="22"/>
                <w:lang w:eastAsia="en-US"/>
              </w:rPr>
              <w:t xml:space="preserve"> </w:t>
            </w:r>
            <w:r w:rsidRPr="00901F66">
              <w:rPr>
                <w:rFonts w:eastAsia="Calibri"/>
                <w:b/>
                <w:spacing w:val="-1"/>
                <w:szCs w:val="22"/>
                <w:lang w:eastAsia="en-US"/>
              </w:rPr>
              <w:t>(13</w:t>
            </w:r>
            <w:r w:rsidR="00010FD7">
              <w:rPr>
                <w:rFonts w:eastAsia="Calibri"/>
                <w:b/>
                <w:spacing w:val="-1"/>
                <w:szCs w:val="22"/>
                <w:lang w:eastAsia="en-US"/>
              </w:rPr>
              <w:t>,</w:t>
            </w:r>
            <w:r w:rsidRPr="00901F66">
              <w:rPr>
                <w:rFonts w:eastAsia="Calibri"/>
                <w:b/>
                <w:spacing w:val="-1"/>
                <w:szCs w:val="22"/>
                <w:lang w:eastAsia="en-US"/>
              </w:rPr>
              <w:t>8</w:t>
            </w:r>
            <w:r w:rsidR="00010FD7">
              <w:rPr>
                <w:rFonts w:eastAsia="Calibri"/>
                <w:b/>
                <w:spacing w:val="-1"/>
                <w:szCs w:val="22"/>
                <w:lang w:eastAsia="en-US"/>
              </w:rPr>
              <w:t>;</w:t>
            </w:r>
            <w:r w:rsidRPr="00901F66">
              <w:rPr>
                <w:rFonts w:eastAsia="Calibri"/>
                <w:b/>
                <w:szCs w:val="22"/>
                <w:lang w:eastAsia="en-US"/>
              </w:rPr>
              <w:t xml:space="preserve"> </w:t>
            </w:r>
            <w:r w:rsidRPr="00901F66">
              <w:rPr>
                <w:rFonts w:eastAsia="Calibri"/>
                <w:b/>
                <w:spacing w:val="-1"/>
                <w:szCs w:val="22"/>
                <w:lang w:eastAsia="en-US"/>
              </w:rPr>
              <w:t>21</w:t>
            </w:r>
            <w:r w:rsidR="00010FD7">
              <w:rPr>
                <w:rFonts w:eastAsia="Calibri"/>
                <w:b/>
                <w:spacing w:val="-1"/>
                <w:szCs w:val="22"/>
                <w:lang w:eastAsia="en-US"/>
              </w:rPr>
              <w:t>,</w:t>
            </w:r>
            <w:r w:rsidRPr="00901F66">
              <w:rPr>
                <w:rFonts w:eastAsia="Calibri"/>
                <w:b/>
                <w:spacing w:val="-1"/>
                <w:szCs w:val="22"/>
                <w:lang w:eastAsia="en-US"/>
              </w:rPr>
              <w:t>0)</w:t>
            </w:r>
          </w:p>
        </w:tc>
        <w:tc>
          <w:tcPr>
            <w:tcW w:w="3020" w:type="dxa"/>
            <w:tcBorders>
              <w:top w:val="single" w:sz="5" w:space="0" w:color="000000"/>
              <w:left w:val="single" w:sz="5" w:space="0" w:color="000000"/>
              <w:bottom w:val="single" w:sz="5" w:space="0" w:color="000000"/>
              <w:right w:val="single" w:sz="5" w:space="0" w:color="000000"/>
            </w:tcBorders>
          </w:tcPr>
          <w:p w14:paraId="5D0E7EC8" w14:textId="4AFF8808" w:rsidR="00BF152E" w:rsidRPr="00901F66" w:rsidRDefault="00BF152E" w:rsidP="008B7779">
            <w:pPr>
              <w:widowControl w:val="0"/>
              <w:spacing w:before="47" w:line="229" w:lineRule="exact"/>
              <w:ind w:left="838"/>
              <w:rPr>
                <w:szCs w:val="22"/>
                <w:lang w:eastAsia="en-US"/>
              </w:rPr>
            </w:pPr>
            <w:r w:rsidRPr="00901F66">
              <w:rPr>
                <w:rFonts w:eastAsia="Calibri"/>
                <w:b/>
                <w:szCs w:val="22"/>
                <w:lang w:eastAsia="en-US"/>
              </w:rPr>
              <w:t>13</w:t>
            </w:r>
            <w:r w:rsidR="008B7779">
              <w:rPr>
                <w:rFonts w:eastAsia="Calibri"/>
                <w:b/>
                <w:szCs w:val="22"/>
                <w:lang w:eastAsia="en-US"/>
              </w:rPr>
              <w:t>,</w:t>
            </w:r>
            <w:r w:rsidRPr="00901F66">
              <w:rPr>
                <w:rFonts w:eastAsia="Calibri"/>
                <w:b/>
                <w:szCs w:val="22"/>
                <w:lang w:eastAsia="en-US"/>
              </w:rPr>
              <w:t xml:space="preserve">8 </w:t>
            </w:r>
            <w:r w:rsidRPr="00901F66">
              <w:rPr>
                <w:rFonts w:eastAsia="Calibri"/>
                <w:b/>
                <w:spacing w:val="-1"/>
                <w:szCs w:val="22"/>
                <w:lang w:eastAsia="en-US"/>
              </w:rPr>
              <w:t>(12</w:t>
            </w:r>
            <w:r w:rsidR="00010FD7">
              <w:rPr>
                <w:rFonts w:eastAsia="Calibri"/>
                <w:b/>
                <w:spacing w:val="-1"/>
                <w:szCs w:val="22"/>
                <w:lang w:eastAsia="en-US"/>
              </w:rPr>
              <w:t>,</w:t>
            </w:r>
            <w:r w:rsidRPr="00901F66">
              <w:rPr>
                <w:rFonts w:eastAsia="Calibri"/>
                <w:b/>
                <w:spacing w:val="-1"/>
                <w:szCs w:val="22"/>
                <w:lang w:eastAsia="en-US"/>
              </w:rPr>
              <w:t>0</w:t>
            </w:r>
            <w:r w:rsidR="00010FD7">
              <w:rPr>
                <w:rFonts w:eastAsia="Calibri"/>
                <w:b/>
                <w:spacing w:val="-1"/>
                <w:szCs w:val="22"/>
                <w:lang w:eastAsia="en-US"/>
              </w:rPr>
              <w:t>;</w:t>
            </w:r>
            <w:r w:rsidRPr="00901F66">
              <w:rPr>
                <w:rFonts w:eastAsia="Calibri"/>
                <w:b/>
                <w:spacing w:val="-2"/>
                <w:szCs w:val="22"/>
                <w:lang w:eastAsia="en-US"/>
              </w:rPr>
              <w:t xml:space="preserve"> </w:t>
            </w:r>
            <w:r w:rsidRPr="00901F66">
              <w:rPr>
                <w:rFonts w:eastAsia="Calibri"/>
                <w:b/>
                <w:spacing w:val="-1"/>
                <w:szCs w:val="22"/>
                <w:lang w:eastAsia="en-US"/>
              </w:rPr>
              <w:t>16</w:t>
            </w:r>
            <w:r w:rsidR="00010FD7">
              <w:rPr>
                <w:rFonts w:eastAsia="Calibri"/>
                <w:b/>
                <w:spacing w:val="-1"/>
                <w:szCs w:val="22"/>
                <w:lang w:eastAsia="en-US"/>
              </w:rPr>
              <w:t>,</w:t>
            </w:r>
            <w:r w:rsidRPr="00901F66">
              <w:rPr>
                <w:rFonts w:eastAsia="Calibri"/>
                <w:b/>
                <w:spacing w:val="-1"/>
                <w:szCs w:val="22"/>
                <w:lang w:eastAsia="en-US"/>
              </w:rPr>
              <w:t>6)</w:t>
            </w:r>
          </w:p>
        </w:tc>
      </w:tr>
      <w:tr w:rsidR="00BF152E" w:rsidRPr="00BF152E" w14:paraId="5F8B6940" w14:textId="77777777" w:rsidTr="00901F66">
        <w:trPr>
          <w:trHeight w:hRule="exact" w:val="293"/>
        </w:trPr>
        <w:tc>
          <w:tcPr>
            <w:tcW w:w="3455" w:type="dxa"/>
            <w:tcBorders>
              <w:top w:val="single" w:sz="5" w:space="0" w:color="000000"/>
              <w:left w:val="single" w:sz="5" w:space="0" w:color="000000"/>
              <w:bottom w:val="single" w:sz="5" w:space="0" w:color="000000"/>
              <w:right w:val="single" w:sz="5" w:space="0" w:color="000000"/>
            </w:tcBorders>
          </w:tcPr>
          <w:p w14:paraId="19CB371D" w14:textId="77777777" w:rsidR="00BF152E" w:rsidRPr="00901F66" w:rsidRDefault="00010FD7" w:rsidP="00BF152E">
            <w:pPr>
              <w:widowControl w:val="0"/>
              <w:spacing w:before="47"/>
              <w:ind w:left="104"/>
              <w:rPr>
                <w:szCs w:val="22"/>
                <w:lang w:eastAsia="en-US"/>
              </w:rPr>
            </w:pPr>
            <w:r w:rsidRPr="00010FD7">
              <w:rPr>
                <w:rFonts w:eastAsia="Calibri"/>
                <w:b/>
                <w:spacing w:val="-1"/>
                <w:szCs w:val="22"/>
                <w:lang w:eastAsia="en-US"/>
              </w:rPr>
              <w:t>OS atvejų skaičius</w:t>
            </w:r>
            <w:r w:rsidR="00BF152E" w:rsidRPr="00901F66">
              <w:rPr>
                <w:rFonts w:eastAsia="Calibri"/>
                <w:b/>
                <w:spacing w:val="-1"/>
                <w:szCs w:val="22"/>
                <w:lang w:eastAsia="en-US"/>
              </w:rPr>
              <w:t>*</w:t>
            </w:r>
          </w:p>
        </w:tc>
        <w:tc>
          <w:tcPr>
            <w:tcW w:w="2583" w:type="dxa"/>
            <w:tcBorders>
              <w:top w:val="single" w:sz="5" w:space="0" w:color="000000"/>
              <w:left w:val="single" w:sz="5" w:space="0" w:color="000000"/>
              <w:bottom w:val="single" w:sz="5" w:space="0" w:color="000000"/>
              <w:right w:val="single" w:sz="5" w:space="0" w:color="000000"/>
            </w:tcBorders>
          </w:tcPr>
          <w:p w14:paraId="240E1613" w14:textId="3FC8C5EA" w:rsidR="00BF152E" w:rsidRPr="00901F66" w:rsidRDefault="00BF152E" w:rsidP="00901F66">
            <w:pPr>
              <w:widowControl w:val="0"/>
              <w:spacing w:before="47"/>
              <w:ind w:left="9"/>
              <w:jc w:val="center"/>
              <w:rPr>
                <w:szCs w:val="22"/>
                <w:lang w:eastAsia="en-US"/>
              </w:rPr>
            </w:pPr>
            <w:r w:rsidRPr="00901F66">
              <w:rPr>
                <w:rFonts w:eastAsia="Calibri"/>
                <w:b/>
                <w:spacing w:val="-1"/>
                <w:szCs w:val="22"/>
                <w:lang w:eastAsia="en-US"/>
              </w:rPr>
              <w:t>67 (29</w:t>
            </w:r>
            <w:r w:rsidR="00010FD7">
              <w:rPr>
                <w:rFonts w:eastAsia="Calibri"/>
                <w:b/>
                <w:spacing w:val="-1"/>
                <w:szCs w:val="22"/>
                <w:lang w:eastAsia="en-US"/>
              </w:rPr>
              <w:t>,</w:t>
            </w:r>
            <w:r w:rsidRPr="00901F66">
              <w:rPr>
                <w:rFonts w:eastAsia="Calibri"/>
                <w:b/>
                <w:spacing w:val="-1"/>
                <w:szCs w:val="22"/>
                <w:lang w:eastAsia="en-US"/>
              </w:rPr>
              <w:t>1</w:t>
            </w:r>
            <w:r w:rsidR="00FC03AF">
              <w:rPr>
                <w:rFonts w:eastAsia="Calibri"/>
                <w:b/>
                <w:spacing w:val="-1"/>
                <w:szCs w:val="22"/>
                <w:lang w:eastAsia="en-US"/>
              </w:rPr>
              <w:t> </w:t>
            </w:r>
            <w:r w:rsidRPr="00901F66">
              <w:rPr>
                <w:rFonts w:eastAsia="Calibri"/>
                <w:b/>
                <w:spacing w:val="-1"/>
                <w:szCs w:val="22"/>
                <w:lang w:eastAsia="en-US"/>
              </w:rPr>
              <w:t>%)</w:t>
            </w:r>
          </w:p>
        </w:tc>
        <w:tc>
          <w:tcPr>
            <w:tcW w:w="3020" w:type="dxa"/>
            <w:tcBorders>
              <w:top w:val="single" w:sz="5" w:space="0" w:color="000000"/>
              <w:left w:val="single" w:sz="5" w:space="0" w:color="000000"/>
              <w:bottom w:val="single" w:sz="5" w:space="0" w:color="000000"/>
              <w:right w:val="single" w:sz="5" w:space="0" w:color="000000"/>
            </w:tcBorders>
          </w:tcPr>
          <w:p w14:paraId="4B7195C4" w14:textId="3F4E7419" w:rsidR="00BF152E" w:rsidRPr="00901F66" w:rsidRDefault="00BF152E" w:rsidP="00901F66">
            <w:pPr>
              <w:widowControl w:val="0"/>
              <w:spacing w:before="47"/>
              <w:ind w:left="9"/>
              <w:jc w:val="center"/>
              <w:rPr>
                <w:szCs w:val="22"/>
                <w:lang w:eastAsia="en-US"/>
              </w:rPr>
            </w:pPr>
            <w:r w:rsidRPr="00901F66">
              <w:rPr>
                <w:rFonts w:eastAsia="Calibri"/>
                <w:b/>
                <w:spacing w:val="-1"/>
                <w:szCs w:val="22"/>
                <w:lang w:eastAsia="en-US"/>
              </w:rPr>
              <w:t>75 (32</w:t>
            </w:r>
            <w:r w:rsidR="00010FD7">
              <w:rPr>
                <w:rFonts w:eastAsia="Calibri"/>
                <w:b/>
                <w:spacing w:val="-1"/>
                <w:szCs w:val="22"/>
                <w:lang w:eastAsia="en-US"/>
              </w:rPr>
              <w:t>,</w:t>
            </w:r>
            <w:r w:rsidRPr="00901F66">
              <w:rPr>
                <w:rFonts w:eastAsia="Calibri"/>
                <w:b/>
                <w:spacing w:val="-1"/>
                <w:szCs w:val="22"/>
                <w:lang w:eastAsia="en-US"/>
              </w:rPr>
              <w:t>3</w:t>
            </w:r>
            <w:r w:rsidR="00FC03AF">
              <w:rPr>
                <w:rFonts w:eastAsia="Calibri"/>
                <w:b/>
                <w:spacing w:val="-1"/>
                <w:szCs w:val="22"/>
                <w:lang w:eastAsia="en-US"/>
              </w:rPr>
              <w:t> </w:t>
            </w:r>
            <w:r w:rsidRPr="00901F66">
              <w:rPr>
                <w:rFonts w:eastAsia="Calibri"/>
                <w:b/>
                <w:spacing w:val="-1"/>
                <w:szCs w:val="22"/>
                <w:lang w:eastAsia="en-US"/>
              </w:rPr>
              <w:t>%)</w:t>
            </w:r>
          </w:p>
        </w:tc>
      </w:tr>
      <w:tr w:rsidR="00BF152E" w:rsidRPr="00BF152E" w14:paraId="6AD32EFA" w14:textId="77777777" w:rsidTr="00901F66">
        <w:trPr>
          <w:trHeight w:hRule="exact" w:val="318"/>
        </w:trPr>
        <w:tc>
          <w:tcPr>
            <w:tcW w:w="3455" w:type="dxa"/>
            <w:tcBorders>
              <w:top w:val="single" w:sz="5" w:space="0" w:color="000000"/>
              <w:left w:val="single" w:sz="5" w:space="0" w:color="000000"/>
              <w:bottom w:val="nil"/>
              <w:right w:val="single" w:sz="5" w:space="0" w:color="000000"/>
            </w:tcBorders>
          </w:tcPr>
          <w:p w14:paraId="0251AF6B" w14:textId="29665D2F" w:rsidR="00BF152E" w:rsidRPr="00901F66" w:rsidRDefault="00BF152E">
            <w:pPr>
              <w:widowControl w:val="0"/>
              <w:spacing w:before="47"/>
              <w:ind w:left="104"/>
              <w:rPr>
                <w:szCs w:val="22"/>
                <w:lang w:eastAsia="en-US"/>
              </w:rPr>
            </w:pPr>
            <w:r w:rsidRPr="00901F66">
              <w:rPr>
                <w:rFonts w:eastAsia="Calibri"/>
                <w:b/>
                <w:spacing w:val="-1"/>
                <w:szCs w:val="22"/>
                <w:lang w:eastAsia="en-US"/>
              </w:rPr>
              <w:t xml:space="preserve">OS </w:t>
            </w:r>
            <w:r w:rsidR="00010FD7">
              <w:rPr>
                <w:rFonts w:eastAsia="Calibri"/>
                <w:b/>
                <w:spacing w:val="-1"/>
                <w:szCs w:val="22"/>
                <w:lang w:eastAsia="en-US"/>
              </w:rPr>
              <w:t>santykinė rizika</w:t>
            </w:r>
            <w:r w:rsidRPr="00901F66">
              <w:rPr>
                <w:rFonts w:eastAsia="Calibri"/>
                <w:b/>
                <w:spacing w:val="-1"/>
                <w:szCs w:val="22"/>
                <w:lang w:eastAsia="en-US"/>
              </w:rPr>
              <w:t xml:space="preserve"> (95</w:t>
            </w:r>
            <w:r w:rsidR="002C6AF3">
              <w:rPr>
                <w:rFonts w:eastAsia="Calibri"/>
                <w:b/>
                <w:spacing w:val="-1"/>
                <w:szCs w:val="22"/>
                <w:lang w:eastAsia="en-US"/>
              </w:rPr>
              <w:t> </w:t>
            </w:r>
            <w:r w:rsidRPr="00901F66">
              <w:rPr>
                <w:rFonts w:eastAsia="Calibri"/>
                <w:b/>
                <w:spacing w:val="-1"/>
                <w:szCs w:val="22"/>
                <w:lang w:eastAsia="en-US"/>
              </w:rPr>
              <w:t xml:space="preserve">% </w:t>
            </w:r>
            <w:r w:rsidR="00010FD7">
              <w:rPr>
                <w:rFonts w:eastAsia="Calibri"/>
                <w:b/>
                <w:spacing w:val="-1"/>
                <w:szCs w:val="22"/>
                <w:lang w:eastAsia="en-US"/>
              </w:rPr>
              <w:t>PI</w:t>
            </w:r>
            <w:r w:rsidRPr="00901F66">
              <w:rPr>
                <w:rFonts w:eastAsia="Calibri"/>
                <w:b/>
                <w:spacing w:val="-1"/>
                <w:szCs w:val="22"/>
                <w:lang w:eastAsia="en-US"/>
              </w:rPr>
              <w:t xml:space="preserve">) </w:t>
            </w:r>
            <w:r w:rsidR="00010FD7">
              <w:rPr>
                <w:rFonts w:eastAsia="Calibri"/>
                <w:b/>
                <w:spacing w:val="-1"/>
                <w:szCs w:val="22"/>
                <w:lang w:eastAsia="en-US"/>
              </w:rPr>
              <w:t>ir</w:t>
            </w:r>
          </w:p>
        </w:tc>
        <w:tc>
          <w:tcPr>
            <w:tcW w:w="5603" w:type="dxa"/>
            <w:gridSpan w:val="2"/>
            <w:tcBorders>
              <w:top w:val="single" w:sz="5" w:space="0" w:color="000000"/>
              <w:left w:val="single" w:sz="5" w:space="0" w:color="000000"/>
              <w:bottom w:val="nil"/>
              <w:right w:val="single" w:sz="5" w:space="0" w:color="000000"/>
            </w:tcBorders>
          </w:tcPr>
          <w:p w14:paraId="12C35651" w14:textId="48126A1B" w:rsidR="00BF152E" w:rsidRPr="00901F66" w:rsidRDefault="00010FD7" w:rsidP="008B7779">
            <w:pPr>
              <w:widowControl w:val="0"/>
              <w:spacing w:before="42"/>
              <w:ind w:left="1971"/>
              <w:rPr>
                <w:szCs w:val="22"/>
                <w:lang w:eastAsia="en-US"/>
              </w:rPr>
            </w:pPr>
            <w:r>
              <w:rPr>
                <w:b/>
                <w:bCs/>
                <w:spacing w:val="-1"/>
                <w:szCs w:val="22"/>
                <w:lang w:eastAsia="en-US"/>
              </w:rPr>
              <w:t>S</w:t>
            </w:r>
            <w:r w:rsidR="00BF152E" w:rsidRPr="00901F66">
              <w:rPr>
                <w:b/>
                <w:bCs/>
                <w:spacing w:val="-1"/>
                <w:szCs w:val="22"/>
                <w:lang w:eastAsia="en-US"/>
              </w:rPr>
              <w:t>R 0</w:t>
            </w:r>
            <w:r w:rsidR="008B7779">
              <w:rPr>
                <w:b/>
                <w:bCs/>
                <w:spacing w:val="-1"/>
                <w:szCs w:val="22"/>
                <w:lang w:eastAsia="en-US"/>
              </w:rPr>
              <w:t>,</w:t>
            </w:r>
            <w:r w:rsidR="00BF152E" w:rsidRPr="00901F66">
              <w:rPr>
                <w:b/>
                <w:bCs/>
                <w:spacing w:val="-1"/>
                <w:szCs w:val="22"/>
                <w:lang w:eastAsia="en-US"/>
              </w:rPr>
              <w:t>875 (0</w:t>
            </w:r>
            <w:r>
              <w:rPr>
                <w:b/>
                <w:bCs/>
                <w:spacing w:val="-1"/>
                <w:szCs w:val="22"/>
                <w:lang w:eastAsia="en-US"/>
              </w:rPr>
              <w:t>,</w:t>
            </w:r>
            <w:r w:rsidR="00BF152E" w:rsidRPr="00901F66">
              <w:rPr>
                <w:b/>
                <w:bCs/>
                <w:spacing w:val="-1"/>
                <w:szCs w:val="22"/>
                <w:lang w:eastAsia="en-US"/>
              </w:rPr>
              <w:t>629</w:t>
            </w:r>
            <w:r w:rsidR="00BF152E" w:rsidRPr="00901F66">
              <w:rPr>
                <w:b/>
                <w:bCs/>
                <w:spacing w:val="1"/>
                <w:szCs w:val="22"/>
                <w:lang w:eastAsia="en-US"/>
              </w:rPr>
              <w:t xml:space="preserve"> </w:t>
            </w:r>
            <w:r w:rsidR="00BF152E" w:rsidRPr="00901F66">
              <w:rPr>
                <w:szCs w:val="22"/>
                <w:lang w:eastAsia="en-US"/>
              </w:rPr>
              <w:t>–</w:t>
            </w:r>
            <w:r w:rsidR="00BF152E" w:rsidRPr="00901F66">
              <w:rPr>
                <w:spacing w:val="-2"/>
                <w:szCs w:val="22"/>
                <w:lang w:eastAsia="en-US"/>
              </w:rPr>
              <w:t xml:space="preserve"> </w:t>
            </w:r>
            <w:r w:rsidR="00BF152E" w:rsidRPr="00901F66">
              <w:rPr>
                <w:b/>
                <w:bCs/>
                <w:spacing w:val="-1"/>
                <w:szCs w:val="22"/>
                <w:lang w:eastAsia="en-US"/>
              </w:rPr>
              <w:t>1</w:t>
            </w:r>
            <w:r>
              <w:rPr>
                <w:b/>
                <w:bCs/>
                <w:spacing w:val="-1"/>
                <w:szCs w:val="22"/>
                <w:lang w:eastAsia="en-US"/>
              </w:rPr>
              <w:t>,</w:t>
            </w:r>
            <w:r w:rsidR="00BF152E" w:rsidRPr="00901F66">
              <w:rPr>
                <w:b/>
                <w:bCs/>
                <w:spacing w:val="-1"/>
                <w:szCs w:val="22"/>
                <w:lang w:eastAsia="en-US"/>
              </w:rPr>
              <w:t>217)</w:t>
            </w:r>
          </w:p>
        </w:tc>
      </w:tr>
      <w:tr w:rsidR="00BF152E" w:rsidRPr="00BF152E" w14:paraId="1D36FEFB" w14:textId="77777777" w:rsidTr="00901F66">
        <w:trPr>
          <w:trHeight w:hRule="exact" w:val="249"/>
        </w:trPr>
        <w:tc>
          <w:tcPr>
            <w:tcW w:w="3455" w:type="dxa"/>
            <w:tcBorders>
              <w:top w:val="nil"/>
              <w:left w:val="single" w:sz="5" w:space="0" w:color="000000"/>
              <w:bottom w:val="single" w:sz="5" w:space="0" w:color="000000"/>
              <w:right w:val="single" w:sz="5" w:space="0" w:color="000000"/>
            </w:tcBorders>
          </w:tcPr>
          <w:p w14:paraId="42BE1D96" w14:textId="77777777" w:rsidR="00BF152E" w:rsidRPr="00901F66" w:rsidRDefault="00BF152E">
            <w:pPr>
              <w:widowControl w:val="0"/>
              <w:spacing w:before="14" w:line="229" w:lineRule="exact"/>
              <w:ind w:left="104"/>
              <w:rPr>
                <w:szCs w:val="22"/>
                <w:lang w:eastAsia="en-US"/>
              </w:rPr>
            </w:pPr>
            <w:r w:rsidRPr="00901F66">
              <w:rPr>
                <w:rFonts w:eastAsia="Calibri"/>
                <w:b/>
                <w:spacing w:val="-3"/>
                <w:szCs w:val="22"/>
                <w:lang w:eastAsia="en-US"/>
              </w:rPr>
              <w:t>p-</w:t>
            </w:r>
            <w:r w:rsidR="00010FD7">
              <w:rPr>
                <w:rFonts w:eastAsia="Calibri"/>
                <w:b/>
                <w:spacing w:val="-3"/>
                <w:szCs w:val="22"/>
                <w:lang w:eastAsia="en-US"/>
              </w:rPr>
              <w:t>reikšmė</w:t>
            </w:r>
          </w:p>
        </w:tc>
        <w:tc>
          <w:tcPr>
            <w:tcW w:w="5603" w:type="dxa"/>
            <w:gridSpan w:val="2"/>
            <w:tcBorders>
              <w:top w:val="nil"/>
              <w:left w:val="single" w:sz="5" w:space="0" w:color="000000"/>
              <w:bottom w:val="single" w:sz="5" w:space="0" w:color="000000"/>
              <w:right w:val="single" w:sz="5" w:space="0" w:color="000000"/>
            </w:tcBorders>
          </w:tcPr>
          <w:p w14:paraId="1281EB92" w14:textId="02D73E8B" w:rsidR="00BF152E" w:rsidRPr="00901F66" w:rsidRDefault="00BF152E" w:rsidP="00FC03AF">
            <w:pPr>
              <w:keepNext/>
              <w:keepLines/>
              <w:widowControl w:val="0"/>
              <w:tabs>
                <w:tab w:val="left" w:pos="567"/>
              </w:tabs>
              <w:spacing w:before="14" w:line="229" w:lineRule="exact"/>
              <w:ind w:left="4" w:hanging="567"/>
              <w:jc w:val="center"/>
              <w:outlineLvl w:val="2"/>
              <w:rPr>
                <w:szCs w:val="22"/>
                <w:lang w:eastAsia="en-US"/>
              </w:rPr>
            </w:pPr>
            <w:r w:rsidRPr="00901F66">
              <w:rPr>
                <w:rFonts w:eastAsia="Calibri"/>
                <w:b/>
                <w:szCs w:val="22"/>
                <w:lang w:eastAsia="en-US"/>
              </w:rPr>
              <w:t>p=</w:t>
            </w:r>
            <w:r w:rsidRPr="00901F66">
              <w:rPr>
                <w:rFonts w:eastAsia="Calibri"/>
                <w:b/>
                <w:spacing w:val="-1"/>
                <w:szCs w:val="22"/>
                <w:lang w:eastAsia="en-US"/>
              </w:rPr>
              <w:t>0</w:t>
            </w:r>
            <w:r w:rsidR="008B7779">
              <w:rPr>
                <w:rFonts w:eastAsia="Calibri"/>
                <w:b/>
                <w:spacing w:val="-1"/>
                <w:szCs w:val="22"/>
                <w:lang w:eastAsia="en-US"/>
              </w:rPr>
              <w:t>,</w:t>
            </w:r>
            <w:r w:rsidRPr="00901F66">
              <w:rPr>
                <w:rFonts w:eastAsia="Calibri"/>
                <w:b/>
                <w:spacing w:val="-1"/>
                <w:szCs w:val="22"/>
                <w:lang w:eastAsia="en-US"/>
              </w:rPr>
              <w:t>4277</w:t>
            </w:r>
          </w:p>
        </w:tc>
      </w:tr>
      <w:tr w:rsidR="00BF152E" w:rsidRPr="00BF152E" w14:paraId="1ECBF0ED" w14:textId="77777777" w:rsidTr="00901F66">
        <w:trPr>
          <w:trHeight w:hRule="exact" w:val="293"/>
        </w:trPr>
        <w:tc>
          <w:tcPr>
            <w:tcW w:w="3455" w:type="dxa"/>
            <w:tcBorders>
              <w:top w:val="single" w:sz="5" w:space="0" w:color="000000"/>
              <w:left w:val="single" w:sz="5" w:space="0" w:color="000000"/>
              <w:bottom w:val="single" w:sz="5" w:space="0" w:color="000000"/>
              <w:right w:val="single" w:sz="5" w:space="0" w:color="000000"/>
            </w:tcBorders>
          </w:tcPr>
          <w:p w14:paraId="61E0ACD6" w14:textId="77777777" w:rsidR="00BF152E" w:rsidRPr="00901F66" w:rsidRDefault="00BF152E" w:rsidP="00BF152E">
            <w:pPr>
              <w:widowControl w:val="0"/>
              <w:spacing w:before="47"/>
              <w:ind w:left="104"/>
              <w:rPr>
                <w:szCs w:val="22"/>
                <w:lang w:eastAsia="en-US"/>
              </w:rPr>
            </w:pPr>
            <w:r w:rsidRPr="00901F66">
              <w:rPr>
                <w:rFonts w:eastAsia="Calibri"/>
                <w:b/>
                <w:spacing w:val="-1"/>
                <w:szCs w:val="22"/>
                <w:lang w:eastAsia="en-US"/>
              </w:rPr>
              <w:t>ORR**</w:t>
            </w:r>
          </w:p>
        </w:tc>
        <w:tc>
          <w:tcPr>
            <w:tcW w:w="2583" w:type="dxa"/>
            <w:tcBorders>
              <w:top w:val="single" w:sz="5" w:space="0" w:color="000000"/>
              <w:left w:val="single" w:sz="5" w:space="0" w:color="000000"/>
              <w:bottom w:val="single" w:sz="5" w:space="0" w:color="000000"/>
              <w:right w:val="single" w:sz="5" w:space="0" w:color="000000"/>
            </w:tcBorders>
          </w:tcPr>
          <w:p w14:paraId="03537CCA" w14:textId="1687013D" w:rsidR="00BF152E" w:rsidRPr="00901F66" w:rsidRDefault="00BF152E" w:rsidP="008B7779">
            <w:pPr>
              <w:keepNext/>
              <w:keepLines/>
              <w:widowControl w:val="0"/>
              <w:tabs>
                <w:tab w:val="left" w:pos="567"/>
              </w:tabs>
              <w:spacing w:before="47"/>
              <w:ind w:left="9" w:hanging="567"/>
              <w:jc w:val="center"/>
              <w:outlineLvl w:val="2"/>
              <w:rPr>
                <w:szCs w:val="22"/>
                <w:lang w:eastAsia="en-US"/>
              </w:rPr>
            </w:pPr>
            <w:r w:rsidRPr="00901F66">
              <w:rPr>
                <w:rFonts w:eastAsia="Calibri"/>
                <w:b/>
                <w:spacing w:val="-1"/>
                <w:szCs w:val="22"/>
                <w:lang w:eastAsia="en-US"/>
              </w:rPr>
              <w:t>89 (46</w:t>
            </w:r>
            <w:r w:rsidR="008B7779">
              <w:rPr>
                <w:rFonts w:eastAsia="Calibri"/>
                <w:b/>
                <w:spacing w:val="-1"/>
                <w:szCs w:val="22"/>
                <w:lang w:eastAsia="en-US"/>
              </w:rPr>
              <w:t>,</w:t>
            </w:r>
            <w:r w:rsidRPr="00901F66">
              <w:rPr>
                <w:rFonts w:eastAsia="Calibri"/>
                <w:b/>
                <w:spacing w:val="-1"/>
                <w:szCs w:val="22"/>
                <w:lang w:eastAsia="en-US"/>
              </w:rPr>
              <w:t>1</w:t>
            </w:r>
            <w:r w:rsidR="00FC03AF">
              <w:rPr>
                <w:rFonts w:eastAsia="Calibri"/>
                <w:b/>
                <w:spacing w:val="-1"/>
                <w:szCs w:val="22"/>
                <w:lang w:eastAsia="en-US"/>
              </w:rPr>
              <w:t> </w:t>
            </w:r>
            <w:r w:rsidRPr="00901F66">
              <w:rPr>
                <w:rFonts w:eastAsia="Calibri"/>
                <w:b/>
                <w:spacing w:val="-1"/>
                <w:szCs w:val="22"/>
                <w:lang w:eastAsia="en-US"/>
              </w:rPr>
              <w:t>%)</w:t>
            </w:r>
          </w:p>
        </w:tc>
        <w:tc>
          <w:tcPr>
            <w:tcW w:w="3020" w:type="dxa"/>
            <w:tcBorders>
              <w:top w:val="single" w:sz="5" w:space="0" w:color="000000"/>
              <w:left w:val="single" w:sz="5" w:space="0" w:color="000000"/>
              <w:bottom w:val="single" w:sz="5" w:space="0" w:color="000000"/>
              <w:right w:val="single" w:sz="5" w:space="0" w:color="000000"/>
            </w:tcBorders>
          </w:tcPr>
          <w:p w14:paraId="34E70C34" w14:textId="5447311E" w:rsidR="00BF152E" w:rsidRPr="00901F66" w:rsidRDefault="00BF152E" w:rsidP="008B7779">
            <w:pPr>
              <w:keepNext/>
              <w:keepLines/>
              <w:widowControl w:val="0"/>
              <w:tabs>
                <w:tab w:val="left" w:pos="567"/>
              </w:tabs>
              <w:spacing w:before="47"/>
              <w:ind w:left="9" w:hanging="567"/>
              <w:jc w:val="center"/>
              <w:outlineLvl w:val="2"/>
              <w:rPr>
                <w:szCs w:val="22"/>
                <w:lang w:eastAsia="en-US"/>
              </w:rPr>
            </w:pPr>
            <w:r w:rsidRPr="00901F66">
              <w:rPr>
                <w:rFonts w:eastAsia="Calibri"/>
                <w:b/>
                <w:spacing w:val="-1"/>
                <w:szCs w:val="22"/>
                <w:lang w:eastAsia="en-US"/>
              </w:rPr>
              <w:t>88 (44</w:t>
            </w:r>
            <w:r w:rsidR="008B7779">
              <w:rPr>
                <w:rFonts w:eastAsia="Calibri"/>
                <w:b/>
                <w:spacing w:val="-1"/>
                <w:szCs w:val="22"/>
                <w:lang w:eastAsia="en-US"/>
              </w:rPr>
              <w:t>,</w:t>
            </w:r>
            <w:r w:rsidRPr="00901F66">
              <w:rPr>
                <w:rFonts w:eastAsia="Calibri"/>
                <w:b/>
                <w:spacing w:val="-1"/>
                <w:szCs w:val="22"/>
                <w:lang w:eastAsia="en-US"/>
              </w:rPr>
              <w:t>9</w:t>
            </w:r>
            <w:r w:rsidR="00FC03AF">
              <w:rPr>
                <w:rFonts w:eastAsia="Calibri"/>
                <w:b/>
                <w:spacing w:val="-1"/>
                <w:szCs w:val="22"/>
                <w:lang w:eastAsia="en-US"/>
              </w:rPr>
              <w:t> </w:t>
            </w:r>
            <w:r w:rsidRPr="00901F66">
              <w:rPr>
                <w:rFonts w:eastAsia="Calibri"/>
                <w:b/>
                <w:spacing w:val="-1"/>
                <w:szCs w:val="22"/>
                <w:lang w:eastAsia="en-US"/>
              </w:rPr>
              <w:t>%)</w:t>
            </w:r>
          </w:p>
        </w:tc>
      </w:tr>
      <w:tr w:rsidR="00010FD7" w:rsidRPr="00BF152E" w14:paraId="71751725" w14:textId="77777777" w:rsidTr="00901F66">
        <w:trPr>
          <w:trHeight w:hRule="exact" w:val="680"/>
        </w:trPr>
        <w:tc>
          <w:tcPr>
            <w:tcW w:w="3455" w:type="dxa"/>
            <w:tcBorders>
              <w:top w:val="single" w:sz="5" w:space="0" w:color="000000"/>
              <w:left w:val="single" w:sz="5" w:space="0" w:color="000000"/>
              <w:bottom w:val="nil"/>
              <w:right w:val="single" w:sz="5" w:space="0" w:color="000000"/>
            </w:tcBorders>
          </w:tcPr>
          <w:p w14:paraId="10E669E6" w14:textId="77777777" w:rsidR="00010FD7" w:rsidRDefault="00BF152E" w:rsidP="00901F66">
            <w:pPr>
              <w:widowControl w:val="0"/>
              <w:spacing w:before="47"/>
              <w:ind w:left="102"/>
              <w:rPr>
                <w:rFonts w:eastAsia="Calibri"/>
                <w:b/>
                <w:spacing w:val="-1"/>
                <w:szCs w:val="22"/>
                <w:lang w:eastAsia="en-US"/>
              </w:rPr>
            </w:pPr>
            <w:r w:rsidRPr="00901F66">
              <w:rPr>
                <w:rFonts w:eastAsia="Calibri"/>
                <w:b/>
                <w:spacing w:val="-1"/>
                <w:szCs w:val="22"/>
                <w:lang w:eastAsia="en-US"/>
              </w:rPr>
              <w:t xml:space="preserve">ORR </w:t>
            </w:r>
            <w:r w:rsidR="00010FD7" w:rsidRPr="00010FD7">
              <w:rPr>
                <w:rFonts w:eastAsia="Calibri"/>
                <w:b/>
                <w:spacing w:val="-1"/>
                <w:szCs w:val="22"/>
                <w:lang w:eastAsia="en-US"/>
              </w:rPr>
              <w:t xml:space="preserve">šansų (Odds) santykis </w:t>
            </w:r>
          </w:p>
          <w:p w14:paraId="72796010" w14:textId="4A341FF8" w:rsidR="00BF152E" w:rsidRPr="00901F66" w:rsidRDefault="00010FD7" w:rsidP="002C6AF3">
            <w:pPr>
              <w:widowControl w:val="0"/>
              <w:spacing w:before="47"/>
              <w:ind w:left="102"/>
              <w:rPr>
                <w:szCs w:val="22"/>
                <w:lang w:eastAsia="en-US"/>
              </w:rPr>
            </w:pPr>
            <w:r w:rsidRPr="00010FD7">
              <w:rPr>
                <w:rFonts w:eastAsia="Calibri"/>
                <w:b/>
                <w:spacing w:val="-1"/>
                <w:szCs w:val="22"/>
                <w:lang w:eastAsia="en-US"/>
              </w:rPr>
              <w:t>(95</w:t>
            </w:r>
            <w:r w:rsidR="002C6AF3">
              <w:rPr>
                <w:rFonts w:eastAsia="Calibri"/>
                <w:b/>
                <w:spacing w:val="-1"/>
                <w:szCs w:val="22"/>
                <w:lang w:eastAsia="en-US"/>
              </w:rPr>
              <w:t> </w:t>
            </w:r>
            <w:r w:rsidRPr="00010FD7">
              <w:rPr>
                <w:rFonts w:eastAsia="Calibri"/>
                <w:b/>
                <w:spacing w:val="-1"/>
                <w:szCs w:val="22"/>
                <w:lang w:eastAsia="en-US"/>
              </w:rPr>
              <w:t>%</w:t>
            </w:r>
            <w:r>
              <w:rPr>
                <w:rFonts w:eastAsia="Calibri"/>
                <w:b/>
                <w:spacing w:val="-1"/>
                <w:szCs w:val="22"/>
                <w:lang w:eastAsia="en-US"/>
              </w:rPr>
              <w:t xml:space="preserve"> </w:t>
            </w:r>
            <w:r w:rsidRPr="00010FD7">
              <w:rPr>
                <w:rFonts w:eastAsia="Calibri"/>
                <w:b/>
                <w:spacing w:val="-1"/>
                <w:szCs w:val="22"/>
                <w:lang w:eastAsia="en-US"/>
              </w:rPr>
              <w:t>PI) ir p reikšmė</w:t>
            </w:r>
          </w:p>
        </w:tc>
        <w:tc>
          <w:tcPr>
            <w:tcW w:w="5603" w:type="dxa"/>
            <w:gridSpan w:val="2"/>
            <w:tcBorders>
              <w:top w:val="single" w:sz="5" w:space="0" w:color="000000"/>
              <w:left w:val="single" w:sz="5" w:space="0" w:color="000000"/>
              <w:bottom w:val="nil"/>
              <w:right w:val="single" w:sz="5" w:space="0" w:color="000000"/>
            </w:tcBorders>
          </w:tcPr>
          <w:p w14:paraId="356738E7" w14:textId="4677DDB0" w:rsidR="00010FD7" w:rsidRDefault="00BF152E" w:rsidP="00901F66">
            <w:pPr>
              <w:widowControl w:val="0"/>
              <w:spacing w:before="47"/>
              <w:ind w:left="1971"/>
              <w:rPr>
                <w:rFonts w:eastAsia="Calibri"/>
                <w:b/>
                <w:kern w:val="28"/>
                <w:szCs w:val="22"/>
                <w:lang w:eastAsia="en-US"/>
              </w:rPr>
            </w:pPr>
            <w:r w:rsidRPr="00901F66">
              <w:rPr>
                <w:b/>
                <w:bCs/>
                <w:spacing w:val="-1"/>
                <w:szCs w:val="22"/>
                <w:lang w:eastAsia="en-US"/>
              </w:rPr>
              <w:t>OR 1</w:t>
            </w:r>
            <w:r w:rsidR="008B7779">
              <w:rPr>
                <w:b/>
                <w:bCs/>
                <w:spacing w:val="-1"/>
                <w:szCs w:val="22"/>
                <w:lang w:eastAsia="en-US"/>
              </w:rPr>
              <w:t>,</w:t>
            </w:r>
            <w:r w:rsidRPr="00901F66">
              <w:rPr>
                <w:b/>
                <w:bCs/>
                <w:spacing w:val="-1"/>
                <w:szCs w:val="22"/>
                <w:lang w:eastAsia="en-US"/>
              </w:rPr>
              <w:t>074 (0</w:t>
            </w:r>
            <w:r w:rsidR="008B7779">
              <w:rPr>
                <w:b/>
                <w:bCs/>
                <w:spacing w:val="-1"/>
                <w:szCs w:val="22"/>
                <w:lang w:eastAsia="en-US"/>
              </w:rPr>
              <w:t>,</w:t>
            </w:r>
            <w:r w:rsidRPr="00901F66">
              <w:rPr>
                <w:b/>
                <w:bCs/>
                <w:spacing w:val="-1"/>
                <w:szCs w:val="22"/>
                <w:lang w:eastAsia="en-US"/>
              </w:rPr>
              <w:t>716</w:t>
            </w:r>
            <w:r w:rsidRPr="00901F66">
              <w:rPr>
                <w:b/>
                <w:bCs/>
                <w:spacing w:val="1"/>
                <w:szCs w:val="22"/>
                <w:lang w:eastAsia="en-US"/>
              </w:rPr>
              <w:t xml:space="preserve"> </w:t>
            </w:r>
            <w:r w:rsidRPr="00901F66">
              <w:rPr>
                <w:b/>
                <w:bCs/>
                <w:szCs w:val="22"/>
                <w:lang w:eastAsia="en-US"/>
              </w:rPr>
              <w:t>–</w:t>
            </w:r>
            <w:r w:rsidRPr="00901F66">
              <w:rPr>
                <w:b/>
                <w:bCs/>
                <w:spacing w:val="-2"/>
                <w:szCs w:val="22"/>
                <w:lang w:eastAsia="en-US"/>
              </w:rPr>
              <w:t xml:space="preserve"> </w:t>
            </w:r>
            <w:r w:rsidRPr="00901F66">
              <w:rPr>
                <w:b/>
                <w:bCs/>
                <w:spacing w:val="-1"/>
                <w:szCs w:val="22"/>
                <w:lang w:eastAsia="en-US"/>
              </w:rPr>
              <w:t>1.614)</w:t>
            </w:r>
          </w:p>
          <w:p w14:paraId="53FECFC2" w14:textId="380D9155" w:rsidR="00BF152E" w:rsidRPr="00901F66" w:rsidRDefault="00010FD7" w:rsidP="00FC03AF">
            <w:pPr>
              <w:widowControl w:val="0"/>
              <w:spacing w:before="47"/>
              <w:ind w:left="1971"/>
              <w:rPr>
                <w:szCs w:val="22"/>
                <w:lang w:eastAsia="en-US"/>
              </w:rPr>
            </w:pPr>
            <w:r w:rsidRPr="00D55519">
              <w:rPr>
                <w:rFonts w:eastAsia="Calibri"/>
                <w:b/>
                <w:szCs w:val="22"/>
                <w:lang w:eastAsia="en-US"/>
              </w:rPr>
              <w:t>p=</w:t>
            </w:r>
            <w:r w:rsidRPr="00D55519">
              <w:rPr>
                <w:rFonts w:eastAsia="Calibri"/>
                <w:b/>
                <w:spacing w:val="-2"/>
                <w:szCs w:val="22"/>
                <w:lang w:eastAsia="en-US"/>
              </w:rPr>
              <w:t>0</w:t>
            </w:r>
            <w:r w:rsidR="008B7779">
              <w:rPr>
                <w:rFonts w:eastAsia="Calibri"/>
                <w:b/>
                <w:spacing w:val="-2"/>
                <w:szCs w:val="22"/>
                <w:lang w:eastAsia="en-US"/>
              </w:rPr>
              <w:t>,</w:t>
            </w:r>
            <w:r w:rsidRPr="00D55519">
              <w:rPr>
                <w:rFonts w:eastAsia="Calibri"/>
                <w:b/>
                <w:spacing w:val="-2"/>
                <w:szCs w:val="22"/>
                <w:lang w:eastAsia="en-US"/>
              </w:rPr>
              <w:t>7290</w:t>
            </w:r>
          </w:p>
        </w:tc>
      </w:tr>
      <w:tr w:rsidR="00BF152E" w:rsidRPr="00BF152E" w14:paraId="26F72D80" w14:textId="77777777" w:rsidTr="00901F66">
        <w:trPr>
          <w:trHeight w:hRule="exact" w:val="288"/>
        </w:trPr>
        <w:tc>
          <w:tcPr>
            <w:tcW w:w="3455" w:type="dxa"/>
            <w:tcBorders>
              <w:top w:val="single" w:sz="5" w:space="0" w:color="000000"/>
              <w:left w:val="single" w:sz="5" w:space="0" w:color="000000"/>
              <w:bottom w:val="single" w:sz="5" w:space="0" w:color="000000"/>
              <w:right w:val="single" w:sz="5" w:space="0" w:color="000000"/>
            </w:tcBorders>
          </w:tcPr>
          <w:p w14:paraId="3405E632" w14:textId="77777777" w:rsidR="00BF152E" w:rsidRPr="00901F66" w:rsidRDefault="00BF152E">
            <w:pPr>
              <w:widowControl w:val="0"/>
              <w:spacing w:before="47" w:line="229" w:lineRule="exact"/>
              <w:ind w:left="104"/>
              <w:rPr>
                <w:szCs w:val="22"/>
                <w:lang w:eastAsia="en-US"/>
              </w:rPr>
            </w:pPr>
            <w:r w:rsidRPr="00901F66">
              <w:rPr>
                <w:rFonts w:eastAsia="Calibri"/>
                <w:b/>
                <w:spacing w:val="-3"/>
                <w:szCs w:val="22"/>
                <w:lang w:eastAsia="en-US"/>
              </w:rPr>
              <w:t>DoR</w:t>
            </w:r>
            <w:r w:rsidR="00010FD7">
              <w:rPr>
                <w:rFonts w:eastAsia="Calibri"/>
                <w:b/>
                <w:spacing w:val="-3"/>
                <w:szCs w:val="22"/>
                <w:lang w:eastAsia="en-US"/>
              </w:rPr>
              <w:t xml:space="preserve"> mediana</w:t>
            </w:r>
            <w:r w:rsidRPr="00901F66">
              <w:rPr>
                <w:rFonts w:eastAsia="Calibri"/>
                <w:b/>
                <w:spacing w:val="-3"/>
                <w:szCs w:val="22"/>
                <w:lang w:eastAsia="en-US"/>
              </w:rPr>
              <w:t xml:space="preserve"> </w:t>
            </w:r>
            <w:r w:rsidRPr="00901F66">
              <w:rPr>
                <w:rFonts w:eastAsia="Calibri"/>
                <w:b/>
                <w:spacing w:val="-2"/>
                <w:szCs w:val="22"/>
                <w:lang w:eastAsia="en-US"/>
              </w:rPr>
              <w:t>(</w:t>
            </w:r>
            <w:r w:rsidR="00010FD7">
              <w:rPr>
                <w:rFonts w:eastAsia="Calibri"/>
                <w:b/>
                <w:spacing w:val="-2"/>
                <w:szCs w:val="22"/>
                <w:lang w:eastAsia="en-US"/>
              </w:rPr>
              <w:t>mėn.</w:t>
            </w:r>
            <w:r w:rsidRPr="00901F66">
              <w:rPr>
                <w:rFonts w:eastAsia="Calibri"/>
                <w:b/>
                <w:spacing w:val="-2"/>
                <w:szCs w:val="22"/>
                <w:lang w:eastAsia="en-US"/>
              </w:rPr>
              <w:t>)</w:t>
            </w:r>
          </w:p>
        </w:tc>
        <w:tc>
          <w:tcPr>
            <w:tcW w:w="2583" w:type="dxa"/>
            <w:tcBorders>
              <w:top w:val="single" w:sz="5" w:space="0" w:color="000000"/>
              <w:left w:val="single" w:sz="5" w:space="0" w:color="000000"/>
              <w:bottom w:val="single" w:sz="5" w:space="0" w:color="000000"/>
              <w:right w:val="single" w:sz="5" w:space="0" w:color="000000"/>
            </w:tcBorders>
          </w:tcPr>
          <w:p w14:paraId="615CDA76" w14:textId="77777777" w:rsidR="00BF152E" w:rsidRPr="00901F66" w:rsidRDefault="00BF152E" w:rsidP="00901F66">
            <w:pPr>
              <w:widowControl w:val="0"/>
              <w:spacing w:before="47" w:line="229" w:lineRule="exact"/>
              <w:ind w:left="5"/>
              <w:jc w:val="center"/>
              <w:rPr>
                <w:szCs w:val="22"/>
                <w:lang w:eastAsia="en-US"/>
              </w:rPr>
            </w:pPr>
            <w:r w:rsidRPr="00901F66">
              <w:rPr>
                <w:rFonts w:eastAsia="Calibri"/>
                <w:b/>
                <w:szCs w:val="22"/>
                <w:lang w:eastAsia="en-US"/>
              </w:rPr>
              <w:t>20</w:t>
            </w:r>
            <w:r w:rsidR="00010FD7">
              <w:rPr>
                <w:rFonts w:eastAsia="Calibri"/>
                <w:b/>
                <w:szCs w:val="22"/>
                <w:lang w:eastAsia="en-US"/>
              </w:rPr>
              <w:t>,</w:t>
            </w:r>
            <w:r w:rsidRPr="00901F66">
              <w:rPr>
                <w:rFonts w:eastAsia="Calibri"/>
                <w:b/>
                <w:szCs w:val="22"/>
                <w:lang w:eastAsia="en-US"/>
              </w:rPr>
              <w:t>0</w:t>
            </w:r>
          </w:p>
        </w:tc>
        <w:tc>
          <w:tcPr>
            <w:tcW w:w="3020" w:type="dxa"/>
            <w:tcBorders>
              <w:top w:val="single" w:sz="5" w:space="0" w:color="000000"/>
              <w:left w:val="single" w:sz="5" w:space="0" w:color="000000"/>
              <w:bottom w:val="single" w:sz="5" w:space="0" w:color="000000"/>
              <w:right w:val="single" w:sz="5" w:space="0" w:color="000000"/>
            </w:tcBorders>
          </w:tcPr>
          <w:p w14:paraId="4235D9F4" w14:textId="77777777" w:rsidR="00BF152E" w:rsidRPr="00901F66" w:rsidRDefault="00BF152E" w:rsidP="00901F66">
            <w:pPr>
              <w:widowControl w:val="0"/>
              <w:spacing w:before="47" w:line="229" w:lineRule="exact"/>
              <w:ind w:left="5"/>
              <w:jc w:val="center"/>
              <w:rPr>
                <w:szCs w:val="22"/>
                <w:lang w:eastAsia="en-US"/>
              </w:rPr>
            </w:pPr>
            <w:r w:rsidRPr="00901F66">
              <w:rPr>
                <w:rFonts w:eastAsia="Calibri"/>
                <w:b/>
                <w:szCs w:val="22"/>
                <w:lang w:eastAsia="en-US"/>
              </w:rPr>
              <w:t>13</w:t>
            </w:r>
            <w:r w:rsidR="00010FD7">
              <w:rPr>
                <w:rFonts w:eastAsia="Calibri"/>
                <w:b/>
                <w:szCs w:val="22"/>
                <w:lang w:eastAsia="en-US"/>
              </w:rPr>
              <w:t>,</w:t>
            </w:r>
            <w:r w:rsidRPr="00901F66">
              <w:rPr>
                <w:rFonts w:eastAsia="Calibri"/>
                <w:b/>
                <w:szCs w:val="22"/>
                <w:lang w:eastAsia="en-US"/>
              </w:rPr>
              <w:t>2</w:t>
            </w:r>
          </w:p>
        </w:tc>
      </w:tr>
      <w:tr w:rsidR="00BF152E" w:rsidRPr="00BF152E" w14:paraId="68D2966D" w14:textId="77777777" w:rsidTr="00901F66">
        <w:trPr>
          <w:trHeight w:hRule="exact" w:val="288"/>
        </w:trPr>
        <w:tc>
          <w:tcPr>
            <w:tcW w:w="3455" w:type="dxa"/>
            <w:tcBorders>
              <w:top w:val="single" w:sz="5" w:space="0" w:color="000000"/>
              <w:left w:val="single" w:sz="5" w:space="0" w:color="000000"/>
              <w:bottom w:val="single" w:sz="6" w:space="0" w:color="000000"/>
              <w:right w:val="single" w:sz="5" w:space="0" w:color="000000"/>
            </w:tcBorders>
          </w:tcPr>
          <w:p w14:paraId="73994264" w14:textId="77777777" w:rsidR="00BF152E" w:rsidRPr="00901F66" w:rsidRDefault="00BF152E" w:rsidP="00BF152E">
            <w:pPr>
              <w:widowControl w:val="0"/>
              <w:spacing w:before="47" w:line="229" w:lineRule="exact"/>
              <w:ind w:left="104"/>
              <w:rPr>
                <w:szCs w:val="22"/>
                <w:lang w:eastAsia="en-US"/>
              </w:rPr>
            </w:pPr>
            <w:r w:rsidRPr="00901F66">
              <w:rPr>
                <w:rFonts w:eastAsia="Calibri"/>
                <w:b/>
                <w:spacing w:val="1"/>
                <w:szCs w:val="22"/>
                <w:lang w:eastAsia="en-US"/>
              </w:rPr>
              <w:t>CBR</w:t>
            </w:r>
          </w:p>
        </w:tc>
        <w:tc>
          <w:tcPr>
            <w:tcW w:w="2583" w:type="dxa"/>
            <w:tcBorders>
              <w:top w:val="single" w:sz="5" w:space="0" w:color="000000"/>
              <w:left w:val="single" w:sz="5" w:space="0" w:color="000000"/>
              <w:bottom w:val="single" w:sz="6" w:space="0" w:color="000000"/>
              <w:right w:val="single" w:sz="5" w:space="0" w:color="000000"/>
            </w:tcBorders>
          </w:tcPr>
          <w:p w14:paraId="5994EDB0" w14:textId="7B8D3B9F" w:rsidR="00BF152E" w:rsidRPr="00901F66" w:rsidRDefault="00BF152E" w:rsidP="008B7779">
            <w:pPr>
              <w:keepNext/>
              <w:keepLines/>
              <w:widowControl w:val="0"/>
              <w:tabs>
                <w:tab w:val="left" w:pos="567"/>
              </w:tabs>
              <w:spacing w:before="47" w:line="229" w:lineRule="exact"/>
              <w:ind w:left="987" w:hanging="567"/>
              <w:outlineLvl w:val="2"/>
              <w:rPr>
                <w:szCs w:val="22"/>
                <w:lang w:eastAsia="en-US"/>
              </w:rPr>
            </w:pPr>
            <w:r w:rsidRPr="00901F66">
              <w:rPr>
                <w:rFonts w:eastAsia="Calibri"/>
                <w:b/>
                <w:spacing w:val="-1"/>
                <w:szCs w:val="22"/>
                <w:lang w:eastAsia="en-US"/>
              </w:rPr>
              <w:t>180 (78</w:t>
            </w:r>
            <w:r w:rsidR="008B7779">
              <w:rPr>
                <w:rFonts w:eastAsia="Calibri"/>
                <w:b/>
                <w:spacing w:val="-1"/>
                <w:szCs w:val="22"/>
                <w:lang w:eastAsia="en-US"/>
              </w:rPr>
              <w:t>,</w:t>
            </w:r>
            <w:r w:rsidRPr="00901F66">
              <w:rPr>
                <w:rFonts w:eastAsia="Calibri"/>
                <w:b/>
                <w:spacing w:val="-1"/>
                <w:szCs w:val="22"/>
                <w:lang w:eastAsia="en-US"/>
              </w:rPr>
              <w:t>3</w:t>
            </w:r>
            <w:r w:rsidR="00FC03AF">
              <w:rPr>
                <w:rFonts w:eastAsia="Calibri"/>
                <w:b/>
                <w:spacing w:val="-1"/>
                <w:szCs w:val="22"/>
                <w:lang w:eastAsia="en-US"/>
              </w:rPr>
              <w:t> </w:t>
            </w:r>
            <w:r w:rsidRPr="00901F66">
              <w:rPr>
                <w:rFonts w:eastAsia="Calibri"/>
                <w:b/>
                <w:spacing w:val="-1"/>
                <w:szCs w:val="22"/>
                <w:lang w:eastAsia="en-US"/>
              </w:rPr>
              <w:t>%)</w:t>
            </w:r>
          </w:p>
        </w:tc>
        <w:tc>
          <w:tcPr>
            <w:tcW w:w="3020" w:type="dxa"/>
            <w:tcBorders>
              <w:top w:val="single" w:sz="5" w:space="0" w:color="000000"/>
              <w:left w:val="single" w:sz="5" w:space="0" w:color="000000"/>
              <w:bottom w:val="single" w:sz="6" w:space="0" w:color="000000"/>
              <w:right w:val="single" w:sz="5" w:space="0" w:color="000000"/>
            </w:tcBorders>
          </w:tcPr>
          <w:p w14:paraId="416F606A" w14:textId="7435497B" w:rsidR="00BF152E" w:rsidRPr="00901F66" w:rsidRDefault="00BF152E" w:rsidP="008B7779">
            <w:pPr>
              <w:keepNext/>
              <w:keepLines/>
              <w:widowControl w:val="0"/>
              <w:tabs>
                <w:tab w:val="left" w:pos="567"/>
              </w:tabs>
              <w:spacing w:before="47" w:line="229" w:lineRule="exact"/>
              <w:ind w:left="987" w:hanging="567"/>
              <w:outlineLvl w:val="2"/>
              <w:rPr>
                <w:szCs w:val="22"/>
                <w:lang w:eastAsia="en-US"/>
              </w:rPr>
            </w:pPr>
            <w:r w:rsidRPr="00901F66">
              <w:rPr>
                <w:rFonts w:eastAsia="Calibri"/>
                <w:b/>
                <w:spacing w:val="-1"/>
                <w:szCs w:val="22"/>
                <w:lang w:eastAsia="en-US"/>
              </w:rPr>
              <w:t>172 (74</w:t>
            </w:r>
            <w:r w:rsidR="008B7779">
              <w:rPr>
                <w:rFonts w:eastAsia="Calibri"/>
                <w:b/>
                <w:spacing w:val="-1"/>
                <w:szCs w:val="22"/>
                <w:lang w:eastAsia="en-US"/>
              </w:rPr>
              <w:t>,</w:t>
            </w:r>
            <w:r w:rsidRPr="00901F66">
              <w:rPr>
                <w:rFonts w:eastAsia="Calibri"/>
                <w:b/>
                <w:spacing w:val="-1"/>
                <w:szCs w:val="22"/>
                <w:lang w:eastAsia="en-US"/>
              </w:rPr>
              <w:t>1</w:t>
            </w:r>
            <w:r w:rsidR="00FC03AF">
              <w:rPr>
                <w:rFonts w:eastAsia="Calibri"/>
                <w:b/>
                <w:spacing w:val="-1"/>
                <w:szCs w:val="22"/>
                <w:lang w:eastAsia="en-US"/>
              </w:rPr>
              <w:t> </w:t>
            </w:r>
            <w:r w:rsidRPr="00901F66">
              <w:rPr>
                <w:rFonts w:eastAsia="Calibri"/>
                <w:b/>
                <w:spacing w:val="-1"/>
                <w:szCs w:val="22"/>
                <w:lang w:eastAsia="en-US"/>
              </w:rPr>
              <w:t>%)</w:t>
            </w:r>
          </w:p>
        </w:tc>
      </w:tr>
      <w:tr w:rsidR="00010FD7" w:rsidRPr="00BF152E" w14:paraId="75A71D84" w14:textId="77777777" w:rsidTr="00901F66">
        <w:trPr>
          <w:trHeight w:hRule="exact" w:val="737"/>
        </w:trPr>
        <w:tc>
          <w:tcPr>
            <w:tcW w:w="3455" w:type="dxa"/>
            <w:tcBorders>
              <w:top w:val="single" w:sz="6" w:space="0" w:color="000000"/>
              <w:left w:val="single" w:sz="6" w:space="0" w:color="000000"/>
              <w:bottom w:val="single" w:sz="4" w:space="0" w:color="auto"/>
              <w:right w:val="single" w:sz="6" w:space="0" w:color="000000"/>
            </w:tcBorders>
          </w:tcPr>
          <w:p w14:paraId="71E1BE38" w14:textId="77777777" w:rsidR="00010FD7" w:rsidRDefault="00010FD7" w:rsidP="00010FD7">
            <w:pPr>
              <w:widowControl w:val="0"/>
              <w:spacing w:before="47"/>
              <w:ind w:left="104"/>
              <w:rPr>
                <w:rFonts w:eastAsia="Calibri"/>
                <w:b/>
                <w:spacing w:val="-1"/>
                <w:szCs w:val="22"/>
                <w:lang w:eastAsia="en-US"/>
              </w:rPr>
            </w:pPr>
            <w:r w:rsidRPr="00010FD7">
              <w:rPr>
                <w:rFonts w:eastAsia="Calibri"/>
                <w:b/>
                <w:spacing w:val="-1"/>
                <w:szCs w:val="22"/>
                <w:lang w:eastAsia="en-US"/>
              </w:rPr>
              <w:t xml:space="preserve">CBR šansų (Odds) santykis </w:t>
            </w:r>
          </w:p>
          <w:p w14:paraId="7C4B5663" w14:textId="3B50E44D" w:rsidR="00BF152E" w:rsidRPr="00901F66" w:rsidRDefault="00010FD7" w:rsidP="002C6AF3">
            <w:pPr>
              <w:widowControl w:val="0"/>
              <w:spacing w:before="47"/>
              <w:ind w:left="104"/>
              <w:rPr>
                <w:szCs w:val="22"/>
                <w:lang w:eastAsia="en-US"/>
              </w:rPr>
            </w:pPr>
            <w:r w:rsidRPr="00010FD7">
              <w:rPr>
                <w:rFonts w:eastAsia="Calibri"/>
                <w:b/>
                <w:spacing w:val="-1"/>
                <w:szCs w:val="22"/>
                <w:lang w:eastAsia="en-US"/>
              </w:rPr>
              <w:t>(95</w:t>
            </w:r>
            <w:r w:rsidR="002C6AF3">
              <w:rPr>
                <w:rFonts w:eastAsia="Calibri"/>
                <w:b/>
                <w:spacing w:val="-1"/>
                <w:szCs w:val="22"/>
                <w:lang w:eastAsia="en-US"/>
              </w:rPr>
              <w:t> </w:t>
            </w:r>
            <w:r w:rsidRPr="00010FD7">
              <w:rPr>
                <w:rFonts w:eastAsia="Calibri"/>
                <w:b/>
                <w:spacing w:val="-1"/>
                <w:szCs w:val="22"/>
                <w:lang w:eastAsia="en-US"/>
              </w:rPr>
              <w:t>%</w:t>
            </w:r>
            <w:r>
              <w:rPr>
                <w:rFonts w:eastAsia="Calibri"/>
                <w:b/>
                <w:spacing w:val="-1"/>
                <w:szCs w:val="22"/>
                <w:lang w:eastAsia="en-US"/>
              </w:rPr>
              <w:t xml:space="preserve"> </w:t>
            </w:r>
            <w:r w:rsidRPr="00010FD7">
              <w:rPr>
                <w:rFonts w:eastAsia="Calibri"/>
                <w:b/>
                <w:spacing w:val="-1"/>
                <w:szCs w:val="22"/>
                <w:lang w:eastAsia="en-US"/>
              </w:rPr>
              <w:t>PI) ir p reikšmė</w:t>
            </w:r>
          </w:p>
        </w:tc>
        <w:tc>
          <w:tcPr>
            <w:tcW w:w="5603" w:type="dxa"/>
            <w:gridSpan w:val="2"/>
            <w:tcBorders>
              <w:top w:val="single" w:sz="6" w:space="0" w:color="000000"/>
              <w:left w:val="single" w:sz="6" w:space="0" w:color="000000"/>
              <w:bottom w:val="single" w:sz="4" w:space="0" w:color="auto"/>
              <w:right w:val="single" w:sz="6" w:space="0" w:color="000000"/>
            </w:tcBorders>
          </w:tcPr>
          <w:p w14:paraId="713E1178" w14:textId="25A996C0" w:rsidR="00010FD7" w:rsidRDefault="00BF152E" w:rsidP="00BF152E">
            <w:pPr>
              <w:widowControl w:val="0"/>
              <w:spacing w:before="47"/>
              <w:ind w:left="1971"/>
              <w:rPr>
                <w:rFonts w:eastAsia="Calibri"/>
                <w:b/>
                <w:szCs w:val="22"/>
                <w:lang w:eastAsia="en-US"/>
              </w:rPr>
            </w:pPr>
            <w:r w:rsidRPr="00901F66">
              <w:rPr>
                <w:b/>
                <w:bCs/>
                <w:spacing w:val="-1"/>
                <w:szCs w:val="22"/>
                <w:lang w:eastAsia="en-US"/>
              </w:rPr>
              <w:t>OR 1</w:t>
            </w:r>
            <w:r w:rsidR="008B7779">
              <w:rPr>
                <w:b/>
                <w:bCs/>
                <w:spacing w:val="-1"/>
                <w:szCs w:val="22"/>
                <w:lang w:eastAsia="en-US"/>
              </w:rPr>
              <w:t>,</w:t>
            </w:r>
            <w:r w:rsidRPr="00901F66">
              <w:rPr>
                <w:b/>
                <w:bCs/>
                <w:spacing w:val="-1"/>
                <w:szCs w:val="22"/>
                <w:lang w:eastAsia="en-US"/>
              </w:rPr>
              <w:t>253 (0</w:t>
            </w:r>
            <w:r w:rsidR="008B7779">
              <w:rPr>
                <w:b/>
                <w:bCs/>
                <w:spacing w:val="-1"/>
                <w:szCs w:val="22"/>
                <w:lang w:eastAsia="en-US"/>
              </w:rPr>
              <w:t>,</w:t>
            </w:r>
            <w:r w:rsidRPr="00901F66">
              <w:rPr>
                <w:b/>
                <w:bCs/>
                <w:spacing w:val="-1"/>
                <w:szCs w:val="22"/>
                <w:lang w:eastAsia="en-US"/>
              </w:rPr>
              <w:t>815</w:t>
            </w:r>
            <w:r w:rsidRPr="00901F66">
              <w:rPr>
                <w:b/>
                <w:bCs/>
                <w:spacing w:val="1"/>
                <w:szCs w:val="22"/>
                <w:lang w:eastAsia="en-US"/>
              </w:rPr>
              <w:t xml:space="preserve"> </w:t>
            </w:r>
            <w:r w:rsidRPr="00901F66">
              <w:rPr>
                <w:b/>
                <w:bCs/>
                <w:szCs w:val="22"/>
                <w:lang w:eastAsia="en-US"/>
              </w:rPr>
              <w:t>–</w:t>
            </w:r>
            <w:r w:rsidRPr="00901F66">
              <w:rPr>
                <w:b/>
                <w:bCs/>
                <w:spacing w:val="-2"/>
                <w:szCs w:val="22"/>
                <w:lang w:eastAsia="en-US"/>
              </w:rPr>
              <w:t xml:space="preserve"> </w:t>
            </w:r>
            <w:r w:rsidRPr="00901F66">
              <w:rPr>
                <w:b/>
                <w:bCs/>
                <w:spacing w:val="-1"/>
                <w:szCs w:val="22"/>
                <w:lang w:eastAsia="en-US"/>
              </w:rPr>
              <w:t>1</w:t>
            </w:r>
            <w:r w:rsidR="008B7779">
              <w:rPr>
                <w:b/>
                <w:bCs/>
                <w:spacing w:val="-1"/>
                <w:szCs w:val="22"/>
                <w:lang w:eastAsia="en-US"/>
              </w:rPr>
              <w:t>,</w:t>
            </w:r>
            <w:r w:rsidRPr="00901F66">
              <w:rPr>
                <w:b/>
                <w:bCs/>
                <w:spacing w:val="-1"/>
                <w:szCs w:val="22"/>
                <w:lang w:eastAsia="en-US"/>
              </w:rPr>
              <w:t>932)</w:t>
            </w:r>
            <w:r w:rsidR="00010FD7" w:rsidRPr="002D1F31">
              <w:rPr>
                <w:rFonts w:eastAsia="Calibri"/>
                <w:b/>
                <w:szCs w:val="22"/>
                <w:lang w:eastAsia="en-US"/>
              </w:rPr>
              <w:t xml:space="preserve"> </w:t>
            </w:r>
          </w:p>
          <w:p w14:paraId="75310C05" w14:textId="0BA2D616" w:rsidR="00BF152E" w:rsidRPr="00901F66" w:rsidRDefault="00010FD7" w:rsidP="00FC03AF">
            <w:pPr>
              <w:widowControl w:val="0"/>
              <w:spacing w:before="47"/>
              <w:ind w:left="1971"/>
              <w:rPr>
                <w:szCs w:val="22"/>
                <w:lang w:eastAsia="en-US"/>
              </w:rPr>
            </w:pPr>
            <w:r w:rsidRPr="002D1F31">
              <w:rPr>
                <w:rFonts w:eastAsia="Calibri"/>
                <w:b/>
                <w:szCs w:val="22"/>
                <w:lang w:eastAsia="en-US"/>
              </w:rPr>
              <w:t>p=</w:t>
            </w:r>
            <w:r w:rsidRPr="002D1F31">
              <w:rPr>
                <w:rFonts w:eastAsia="Calibri"/>
                <w:b/>
                <w:spacing w:val="-2"/>
                <w:szCs w:val="22"/>
                <w:lang w:eastAsia="en-US"/>
              </w:rPr>
              <w:t>0</w:t>
            </w:r>
            <w:r w:rsidR="008B7779">
              <w:rPr>
                <w:rFonts w:eastAsia="Calibri"/>
                <w:b/>
                <w:spacing w:val="-2"/>
                <w:szCs w:val="22"/>
                <w:lang w:eastAsia="en-US"/>
              </w:rPr>
              <w:t>,</w:t>
            </w:r>
            <w:r w:rsidRPr="002D1F31">
              <w:rPr>
                <w:rFonts w:eastAsia="Calibri"/>
                <w:b/>
                <w:spacing w:val="-2"/>
                <w:szCs w:val="22"/>
                <w:lang w:eastAsia="en-US"/>
              </w:rPr>
              <w:t>3045</w:t>
            </w:r>
          </w:p>
        </w:tc>
      </w:tr>
    </w:tbl>
    <w:p w14:paraId="27243AFA" w14:textId="41F43BD4" w:rsidR="00010FD7" w:rsidRPr="00901F66" w:rsidRDefault="00010FD7" w:rsidP="00010FD7">
      <w:pPr>
        <w:autoSpaceDE w:val="0"/>
        <w:autoSpaceDN w:val="0"/>
        <w:adjustRightInd w:val="0"/>
        <w:rPr>
          <w:rFonts w:eastAsia="Batang"/>
          <w:b/>
          <w:sz w:val="20"/>
          <w:lang w:eastAsia="en-US"/>
        </w:rPr>
      </w:pPr>
      <w:r w:rsidRPr="00901F66">
        <w:rPr>
          <w:rFonts w:eastAsia="Batang"/>
          <w:b/>
          <w:sz w:val="20"/>
          <w:lang w:eastAsia="en-US"/>
        </w:rPr>
        <w:t>*(31</w:t>
      </w:r>
      <w:r w:rsidR="00FC03AF">
        <w:rPr>
          <w:rFonts w:eastAsia="Batang"/>
          <w:b/>
          <w:sz w:val="20"/>
          <w:lang w:eastAsia="en-US"/>
        </w:rPr>
        <w:t> </w:t>
      </w:r>
      <w:r w:rsidRPr="00901F66">
        <w:rPr>
          <w:rFonts w:eastAsia="Batang"/>
          <w:b/>
          <w:sz w:val="20"/>
          <w:lang w:eastAsia="en-US"/>
        </w:rPr>
        <w:t xml:space="preserve">% branda) </w:t>
      </w:r>
      <w:r w:rsidRPr="00901F66">
        <w:rPr>
          <w:rFonts w:eastAsia="Batang" w:hint="eastAsia"/>
          <w:b/>
          <w:sz w:val="20"/>
          <w:lang w:eastAsia="en-US"/>
        </w:rPr>
        <w:t>–</w:t>
      </w:r>
      <w:r w:rsidRPr="00901F66">
        <w:rPr>
          <w:rFonts w:eastAsia="Batang"/>
          <w:b/>
          <w:sz w:val="20"/>
          <w:lang w:eastAsia="en-US"/>
        </w:rPr>
        <w:t xml:space="preserve"> </w:t>
      </w:r>
      <w:r w:rsidRPr="00901F66">
        <w:rPr>
          <w:rFonts w:eastAsia="Batang" w:hint="eastAsia"/>
          <w:b/>
          <w:sz w:val="20"/>
          <w:lang w:eastAsia="en-US"/>
        </w:rPr>
        <w:t>negalutinės</w:t>
      </w:r>
      <w:r w:rsidRPr="00901F66">
        <w:rPr>
          <w:rFonts w:eastAsia="Batang"/>
          <w:b/>
          <w:sz w:val="20"/>
          <w:lang w:eastAsia="en-US"/>
        </w:rPr>
        <w:t xml:space="preserve"> OS </w:t>
      </w:r>
      <w:r w:rsidRPr="00901F66">
        <w:rPr>
          <w:rFonts w:eastAsia="Batang" w:hint="eastAsia"/>
          <w:b/>
          <w:sz w:val="20"/>
          <w:lang w:eastAsia="en-US"/>
        </w:rPr>
        <w:t>analizės</w:t>
      </w:r>
      <w:r w:rsidRPr="00901F66">
        <w:rPr>
          <w:rFonts w:eastAsia="Batang"/>
          <w:b/>
          <w:sz w:val="20"/>
          <w:lang w:eastAsia="en-US"/>
        </w:rPr>
        <w:t xml:space="preserve"> duomenys</w:t>
      </w:r>
    </w:p>
    <w:p w14:paraId="33F7638F" w14:textId="77777777" w:rsidR="00321632" w:rsidRPr="00901F66" w:rsidRDefault="00010FD7" w:rsidP="00010FD7">
      <w:pPr>
        <w:rPr>
          <w:b/>
          <w:szCs w:val="22"/>
          <w:lang w:eastAsia="en-US"/>
        </w:rPr>
      </w:pPr>
      <w:r w:rsidRPr="00901F66">
        <w:rPr>
          <w:rFonts w:eastAsia="Batang"/>
          <w:b/>
          <w:sz w:val="20"/>
          <w:lang w:eastAsia="en-US"/>
        </w:rPr>
        <w:t xml:space="preserve">** </w:t>
      </w:r>
      <w:r w:rsidRPr="00901F66">
        <w:rPr>
          <w:rFonts w:eastAsia="Batang" w:hint="eastAsia"/>
          <w:b/>
          <w:sz w:val="20"/>
          <w:lang w:eastAsia="en-US"/>
        </w:rPr>
        <w:t>pacientėms,</w:t>
      </w:r>
      <w:r w:rsidRPr="00901F66">
        <w:rPr>
          <w:rFonts w:eastAsia="Batang"/>
          <w:b/>
          <w:sz w:val="20"/>
          <w:lang w:eastAsia="en-US"/>
        </w:rPr>
        <w:t xml:space="preserve"> </w:t>
      </w:r>
      <w:r w:rsidRPr="00901F66">
        <w:rPr>
          <w:rFonts w:eastAsia="Batang" w:hint="eastAsia"/>
          <w:b/>
          <w:sz w:val="20"/>
          <w:lang w:eastAsia="en-US"/>
        </w:rPr>
        <w:t>kurių</w:t>
      </w:r>
      <w:r w:rsidRPr="00901F66">
        <w:rPr>
          <w:rFonts w:eastAsia="Batang"/>
          <w:b/>
          <w:sz w:val="20"/>
          <w:lang w:eastAsia="en-US"/>
        </w:rPr>
        <w:t xml:space="preserve"> navikus buvo galima </w:t>
      </w:r>
      <w:r w:rsidRPr="00901F66">
        <w:rPr>
          <w:rFonts w:eastAsia="Batang" w:hint="eastAsia"/>
          <w:b/>
          <w:sz w:val="20"/>
          <w:lang w:eastAsia="en-US"/>
        </w:rPr>
        <w:t>išmatuoti</w:t>
      </w:r>
    </w:p>
    <w:p w14:paraId="34B33D84" w14:textId="77777777" w:rsidR="00321632" w:rsidRDefault="00321632" w:rsidP="004364B8">
      <w:pPr>
        <w:rPr>
          <w:szCs w:val="22"/>
          <w:lang w:eastAsia="en-US"/>
        </w:rPr>
      </w:pPr>
    </w:p>
    <w:p w14:paraId="5B4BBF40" w14:textId="77777777" w:rsidR="00321632" w:rsidRPr="00901F66" w:rsidRDefault="00F760B3" w:rsidP="00901F66">
      <w:pPr>
        <w:ind w:left="567" w:hanging="567"/>
        <w:rPr>
          <w:b/>
          <w:szCs w:val="22"/>
          <w:lang w:eastAsia="en-US"/>
        </w:rPr>
      </w:pPr>
      <w:r w:rsidRPr="00901F66">
        <w:rPr>
          <w:b/>
          <w:szCs w:val="22"/>
          <w:lang w:eastAsia="en-US"/>
        </w:rPr>
        <w:t>1 pav. Neprogresuojant ligai išgyvento laikotarpio (tyrėjo vertinimu) Kaplan-Meier kreivės</w:t>
      </w:r>
      <w:r>
        <w:rPr>
          <w:b/>
          <w:szCs w:val="22"/>
          <w:lang w:eastAsia="en-US"/>
        </w:rPr>
        <w:t xml:space="preserve"> </w:t>
      </w:r>
      <w:r w:rsidRPr="00901F66">
        <w:rPr>
          <w:b/>
          <w:szCs w:val="22"/>
          <w:lang w:eastAsia="en-US"/>
        </w:rPr>
        <w:t>numatytai gydyti populiacijai FALCON tyrimo duomenimis</w:t>
      </w:r>
    </w:p>
    <w:p w14:paraId="03F4F357" w14:textId="77777777" w:rsidR="00F760B3" w:rsidRDefault="00F760B3" w:rsidP="00F760B3">
      <w:pPr>
        <w:rPr>
          <w:szCs w:val="22"/>
          <w:lang w:eastAsia="en-US"/>
        </w:rPr>
      </w:pPr>
    </w:p>
    <w:p w14:paraId="6727F219" w14:textId="2C5D7E2B" w:rsidR="008C6A4F" w:rsidRDefault="008C6A4F">
      <w:pPr>
        <w:spacing w:after="160" w:line="259" w:lineRule="auto"/>
        <w:rPr>
          <w:szCs w:val="22"/>
          <w:lang w:eastAsia="en-US"/>
        </w:rPr>
      </w:pPr>
      <w:r>
        <w:rPr>
          <w:szCs w:val="22"/>
          <w:lang w:eastAsia="en-US"/>
        </w:rPr>
        <w:br w:type="page"/>
      </w:r>
    </w:p>
    <w:p w14:paraId="027F8A58" w14:textId="77777777" w:rsidR="00F760B3" w:rsidRDefault="007206AA" w:rsidP="00F760B3">
      <w:pPr>
        <w:rPr>
          <w:szCs w:val="22"/>
          <w:lang w:eastAsia="en-US"/>
        </w:rPr>
      </w:pPr>
      <w:r w:rsidRPr="002D5E6D">
        <w:rPr>
          <w:noProof/>
          <w:szCs w:val="22"/>
        </w:rPr>
        <w:lastRenderedPageBreak/>
        <mc:AlternateContent>
          <mc:Choice Requires="wpg">
            <w:drawing>
              <wp:anchor distT="0" distB="0" distL="114300" distR="114300" simplePos="0" relativeHeight="251664384" behindDoc="0" locked="0" layoutInCell="1" allowOverlap="1" wp14:anchorId="28E76AC3" wp14:editId="50F77775">
                <wp:simplePos x="0" y="0"/>
                <wp:positionH relativeFrom="page">
                  <wp:posOffset>2143276</wp:posOffset>
                </wp:positionH>
                <wp:positionV relativeFrom="paragraph">
                  <wp:posOffset>72571</wp:posOffset>
                </wp:positionV>
                <wp:extent cx="4707255" cy="2395038"/>
                <wp:effectExtent l="0" t="0" r="0" b="571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7255" cy="2395038"/>
                          <a:chOff x="1238" y="821"/>
                          <a:chExt cx="9379" cy="4451"/>
                        </a:xfrm>
                      </wpg:grpSpPr>
                      <pic:pic xmlns:pic="http://schemas.openxmlformats.org/drawingml/2006/picture">
                        <pic:nvPicPr>
                          <pic:cNvPr id="27"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411" y="821"/>
                            <a:ext cx="9206" cy="4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8" name="Group 16"/>
                        <wpg:cNvGrpSpPr>
                          <a:grpSpLocks/>
                        </wpg:cNvGrpSpPr>
                        <wpg:grpSpPr bwMode="auto">
                          <a:xfrm>
                            <a:off x="1238" y="1948"/>
                            <a:ext cx="7056" cy="3324"/>
                            <a:chOff x="1238" y="1948"/>
                            <a:chExt cx="7056" cy="3324"/>
                          </a:xfrm>
                        </wpg:grpSpPr>
                        <wps:wsp>
                          <wps:cNvPr id="29" name="Freeform 17"/>
                          <wps:cNvSpPr>
                            <a:spLocks/>
                          </wps:cNvSpPr>
                          <wps:spPr bwMode="auto">
                            <a:xfrm>
                              <a:off x="1238" y="1948"/>
                              <a:ext cx="396" cy="1752"/>
                            </a:xfrm>
                            <a:custGeom>
                              <a:avLst/>
                              <a:gdLst>
                                <a:gd name="T0" fmla="+- 0 1238 1238"/>
                                <a:gd name="T1" fmla="*/ T0 w 216"/>
                                <a:gd name="T2" fmla="+- 0 1948 1948"/>
                                <a:gd name="T3" fmla="*/ 1948 h 1752"/>
                                <a:gd name="T4" fmla="+- 0 1454 1238"/>
                                <a:gd name="T5" fmla="*/ T4 w 216"/>
                                <a:gd name="T6" fmla="+- 0 1948 1948"/>
                                <a:gd name="T7" fmla="*/ 1948 h 1752"/>
                                <a:gd name="T8" fmla="+- 0 1454 1238"/>
                                <a:gd name="T9" fmla="*/ T8 w 216"/>
                                <a:gd name="T10" fmla="+- 0 3700 1948"/>
                                <a:gd name="T11" fmla="*/ 3700 h 1752"/>
                                <a:gd name="T12" fmla="+- 0 1238 1238"/>
                                <a:gd name="T13" fmla="*/ T12 w 216"/>
                                <a:gd name="T14" fmla="+- 0 3700 1948"/>
                                <a:gd name="T15" fmla="*/ 3700 h 1752"/>
                                <a:gd name="T16" fmla="+- 0 1238 1238"/>
                                <a:gd name="T17" fmla="*/ T16 w 216"/>
                                <a:gd name="T18" fmla="+- 0 1948 1948"/>
                                <a:gd name="T19" fmla="*/ 1948 h 1752"/>
                              </a:gdLst>
                              <a:ahLst/>
                              <a:cxnLst>
                                <a:cxn ang="0">
                                  <a:pos x="T1" y="T3"/>
                                </a:cxn>
                                <a:cxn ang="0">
                                  <a:pos x="T5" y="T7"/>
                                </a:cxn>
                                <a:cxn ang="0">
                                  <a:pos x="T9" y="T11"/>
                                </a:cxn>
                                <a:cxn ang="0">
                                  <a:pos x="T13" y="T15"/>
                                </a:cxn>
                                <a:cxn ang="0">
                                  <a:pos x="T17" y="T19"/>
                                </a:cxn>
                              </a:cxnLst>
                              <a:rect l="0" t="0" r="r" b="b"/>
                              <a:pathLst>
                                <a:path w="216" h="1752">
                                  <a:moveTo>
                                    <a:pt x="0" y="0"/>
                                  </a:moveTo>
                                  <a:lnTo>
                                    <a:pt x="216" y="0"/>
                                  </a:lnTo>
                                  <a:lnTo>
                                    <a:pt x="216" y="1752"/>
                                  </a:lnTo>
                                  <a:lnTo>
                                    <a:pt x="0" y="175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99573E" w14:textId="77777777" w:rsidR="00C65C78" w:rsidRPr="00901F66" w:rsidRDefault="00C65C78" w:rsidP="008C6A4F">
                                <w:pPr>
                                  <w:jc w:val="center"/>
                                  <w:rPr>
                                    <w:sz w:val="16"/>
                                    <w:szCs w:val="16"/>
                                  </w:rPr>
                                </w:pPr>
                              </w:p>
                            </w:txbxContent>
                          </wps:txbx>
                          <wps:bodyPr rot="0" vert="horz" wrap="square" lIns="91440" tIns="45720" rIns="91440" bIns="45720" anchor="t" anchorCtr="0" upright="1">
                            <a:noAutofit/>
                          </wps:bodyPr>
                        </wps:wsp>
                        <wps:wsp>
                          <wps:cNvPr id="30" name="Text Box 18"/>
                          <wps:cNvSpPr txBox="1">
                            <a:spLocks noChangeArrowheads="1"/>
                          </wps:cNvSpPr>
                          <wps:spPr bwMode="auto">
                            <a:xfrm>
                              <a:off x="4843" y="4908"/>
                              <a:ext cx="3451"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DA3D4" w14:textId="77777777" w:rsidR="00C65C78" w:rsidRDefault="00C65C78" w:rsidP="0061760E">
                                <w:pPr>
                                  <w:spacing w:line="158" w:lineRule="exact"/>
                                  <w:rPr>
                                    <w:sz w:val="16"/>
                                    <w:szCs w:val="16"/>
                                  </w:rPr>
                                </w:pPr>
                                <w:r w:rsidRPr="00901F66">
                                  <w:rPr>
                                    <w:sz w:val="20"/>
                                  </w:rPr>
                                  <w:t xml:space="preserve">Laikas po randomizacijos (mėn.) </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E76AC3" id="Group 26" o:spid="_x0000_s1026" style="position:absolute;margin-left:168.75pt;margin-top:5.7pt;width:370.65pt;height:188.6pt;z-index:251664384;mso-position-horizontal-relative:page" coordorigin="1238,821" coordsize="9379,4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411;top:821;width:9206;height:4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">
                  <v:imagedata r:id="rId11" o:title=""/>
                </v:shape>
                <v:group id="Group 16" o:spid="_x0000_s1028" style="position:absolute;left:1238;top:1948;width:7056;height:3324" coordorigin="1238,1948" coordsize="7056,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7" o:spid="_x0000_s1029" style="position:absolute;left:1238;top:1948;width:396;height:1752;visibility:visible;mso-wrap-style:square;v-text-anchor:top" coordsize="216,1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" adj="-11796480,,5400" path="m,l216,r,1752l,1752,,xe" stroked="f">
                    <v:stroke joinstyle="round"/>
                    <v:formulas/>
                    <v:path arrowok="t" o:connecttype="custom" o:connectlocs="0,1948;396,1948;396,3700;0,3700;0,1948" o:connectangles="0,0,0,0,0" textboxrect="0,0,216,1752"/>
                    <v:textbox>
                      <w:txbxContent>
                        <w:p w14:paraId="0399573E" w14:textId="77777777" w:rsidR="00C65C78" w:rsidRPr="00901F66" w:rsidRDefault="00C65C78" w:rsidP="008C6A4F">
                          <w:pPr>
                            <w:jc w:val="center"/>
                            <w:rPr>
                              <w:sz w:val="16"/>
                              <w:szCs w:val="16"/>
                            </w:rPr>
                          </w:pPr>
                        </w:p>
                      </w:txbxContent>
                    </v:textbox>
                  </v:shape>
                  <v:shapetype id="_x0000_t202" coordsize="21600,21600" o:spt="202" path="m,l,21600r21600,l21600,xe">
                    <v:stroke joinstyle="miter"/>
                    <v:path gradientshapeok="t" o:connecttype="rect"/>
                  </v:shapetype>
                  <v:shape id="Text Box 18" o:spid="_x0000_s1030" type="#_x0000_t202" style="position:absolute;left:4843;top:4908;width:3451;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79DA3D4" w14:textId="77777777" w:rsidR="00C65C78" w:rsidRDefault="00C65C78" w:rsidP="0061760E">
                          <w:pPr>
                            <w:spacing w:line="158" w:lineRule="exact"/>
                            <w:rPr>
                              <w:sz w:val="16"/>
                              <w:szCs w:val="16"/>
                            </w:rPr>
                          </w:pPr>
                          <w:r w:rsidRPr="00901F66">
                            <w:rPr>
                              <w:sz w:val="20"/>
                            </w:rPr>
                            <w:t xml:space="preserve">Laikas po randomizacijos (mėn.) </w:t>
                          </w:r>
                        </w:p>
                      </w:txbxContent>
                    </v:textbox>
                  </v:shape>
                </v:group>
                <w10:wrap anchorx="page"/>
              </v:group>
            </w:pict>
          </mc:Fallback>
        </mc:AlternateContent>
      </w:r>
    </w:p>
    <w:p w14:paraId="71EAFC9A" w14:textId="77777777" w:rsidR="00F760B3" w:rsidRDefault="00F760B3" w:rsidP="00F760B3">
      <w:pPr>
        <w:rPr>
          <w:szCs w:val="22"/>
          <w:lang w:eastAsia="en-US"/>
        </w:rPr>
      </w:pPr>
    </w:p>
    <w:p w14:paraId="5EE98759" w14:textId="77777777" w:rsidR="00F760B3" w:rsidRDefault="00F760B3" w:rsidP="00F760B3">
      <w:pPr>
        <w:rPr>
          <w:szCs w:val="22"/>
          <w:lang w:eastAsia="en-US"/>
        </w:rPr>
      </w:pPr>
    </w:p>
    <w:p w14:paraId="3FFA455D" w14:textId="77777777" w:rsidR="00F760B3" w:rsidRDefault="00F760B3" w:rsidP="00F760B3">
      <w:pPr>
        <w:rPr>
          <w:szCs w:val="22"/>
          <w:lang w:eastAsia="en-US"/>
        </w:rPr>
      </w:pPr>
    </w:p>
    <w:p w14:paraId="7F43C710" w14:textId="77777777" w:rsidR="00F760B3" w:rsidRDefault="00F760B3" w:rsidP="00F760B3">
      <w:pPr>
        <w:rPr>
          <w:szCs w:val="22"/>
          <w:lang w:eastAsia="en-US"/>
        </w:rPr>
      </w:pPr>
    </w:p>
    <w:p w14:paraId="6638BF8D" w14:textId="77777777" w:rsidR="00F760B3" w:rsidRPr="00901F66" w:rsidRDefault="007206AA" w:rsidP="0077444B">
      <w:pPr>
        <w:ind w:left="851"/>
        <w:rPr>
          <w:sz w:val="20"/>
          <w:lang w:eastAsia="en-US"/>
        </w:rPr>
      </w:pPr>
      <w:r w:rsidRPr="00901F66">
        <w:rPr>
          <w:sz w:val="20"/>
          <w:lang w:eastAsia="en-US"/>
        </w:rPr>
        <w:t>PFS tikimybė</w:t>
      </w:r>
    </w:p>
    <w:p w14:paraId="2A195F1D" w14:textId="77777777" w:rsidR="00F760B3" w:rsidRDefault="00F760B3" w:rsidP="00F760B3">
      <w:pPr>
        <w:rPr>
          <w:szCs w:val="22"/>
          <w:lang w:eastAsia="en-US"/>
        </w:rPr>
      </w:pPr>
    </w:p>
    <w:p w14:paraId="2A629BAD" w14:textId="77777777" w:rsidR="00F760B3" w:rsidRDefault="00F760B3" w:rsidP="00F760B3">
      <w:pPr>
        <w:rPr>
          <w:b/>
          <w:bCs/>
          <w:sz w:val="20"/>
        </w:rPr>
      </w:pPr>
    </w:p>
    <w:p w14:paraId="23FB01E8" w14:textId="77777777" w:rsidR="00F760B3" w:rsidRDefault="00F760B3" w:rsidP="00F760B3">
      <w:pPr>
        <w:rPr>
          <w:b/>
          <w:bCs/>
          <w:sz w:val="20"/>
        </w:rPr>
      </w:pPr>
    </w:p>
    <w:p w14:paraId="6F84F4C0" w14:textId="77777777" w:rsidR="00F760B3" w:rsidRDefault="00F760B3" w:rsidP="00F760B3">
      <w:pPr>
        <w:rPr>
          <w:b/>
          <w:bCs/>
          <w:sz w:val="20"/>
        </w:rPr>
      </w:pPr>
    </w:p>
    <w:p w14:paraId="5AAE50ED" w14:textId="77777777" w:rsidR="00F760B3" w:rsidRDefault="00F760B3" w:rsidP="00F760B3">
      <w:pPr>
        <w:rPr>
          <w:b/>
          <w:bCs/>
          <w:sz w:val="20"/>
        </w:rPr>
      </w:pPr>
    </w:p>
    <w:p w14:paraId="6C637294" w14:textId="77777777" w:rsidR="00F760B3" w:rsidRDefault="00F760B3" w:rsidP="00F760B3">
      <w:pPr>
        <w:rPr>
          <w:b/>
          <w:bCs/>
          <w:sz w:val="20"/>
        </w:rPr>
      </w:pPr>
    </w:p>
    <w:p w14:paraId="3E2F99D7" w14:textId="77777777" w:rsidR="00F760B3" w:rsidRDefault="00F760B3" w:rsidP="00F760B3">
      <w:pPr>
        <w:rPr>
          <w:b/>
          <w:bCs/>
          <w:sz w:val="20"/>
        </w:rPr>
      </w:pPr>
    </w:p>
    <w:p w14:paraId="432DB388" w14:textId="77777777" w:rsidR="00F760B3" w:rsidRDefault="00F760B3" w:rsidP="00F760B3">
      <w:pPr>
        <w:rPr>
          <w:b/>
          <w:bCs/>
          <w:sz w:val="20"/>
        </w:rPr>
      </w:pPr>
    </w:p>
    <w:p w14:paraId="4B4D4DDC" w14:textId="77777777" w:rsidR="00F760B3" w:rsidRDefault="00F760B3" w:rsidP="00F760B3">
      <w:pPr>
        <w:rPr>
          <w:b/>
          <w:bCs/>
          <w:sz w:val="20"/>
        </w:rPr>
      </w:pPr>
    </w:p>
    <w:p w14:paraId="6FB0C883" w14:textId="77777777" w:rsidR="00F760B3" w:rsidRDefault="00F760B3" w:rsidP="00F760B3">
      <w:pPr>
        <w:rPr>
          <w:b/>
          <w:bCs/>
          <w:sz w:val="20"/>
        </w:rPr>
      </w:pPr>
    </w:p>
    <w:p w14:paraId="6C093064" w14:textId="77777777" w:rsidR="007206AA" w:rsidRDefault="007206AA" w:rsidP="007206AA">
      <w:pPr>
        <w:spacing w:before="6"/>
        <w:rPr>
          <w:b/>
          <w:bCs/>
          <w:sz w:val="16"/>
          <w:szCs w:val="16"/>
          <w:lang w:val="en-US" w:eastAsia="en-US"/>
        </w:rPr>
      </w:pPr>
    </w:p>
    <w:p w14:paraId="37924E43" w14:textId="77777777" w:rsidR="000C3A64" w:rsidRPr="007206AA" w:rsidRDefault="000C3A64" w:rsidP="007206AA">
      <w:pPr>
        <w:spacing w:before="6"/>
        <w:rPr>
          <w:b/>
          <w:bCs/>
          <w:sz w:val="16"/>
          <w:szCs w:val="16"/>
          <w:lang w:val="en-US" w:eastAsia="en-US"/>
        </w:rPr>
      </w:pPr>
    </w:p>
    <w:p w14:paraId="02D12368" w14:textId="77777777" w:rsidR="007206AA" w:rsidRDefault="007206AA" w:rsidP="007206AA">
      <w:pPr>
        <w:spacing w:line="200" w:lineRule="atLeast"/>
        <w:ind w:left="2264"/>
        <w:rPr>
          <w:sz w:val="20"/>
          <w:lang w:val="en-US" w:eastAsia="en-US"/>
        </w:rPr>
      </w:pPr>
      <w:r w:rsidRPr="00C65C78">
        <w:rPr>
          <w:noProof/>
          <w:sz w:val="20"/>
        </w:rPr>
        <mc:AlternateContent>
          <mc:Choice Requires="wps">
            <w:drawing>
              <wp:inline distT="0" distB="0" distL="0" distR="0" wp14:anchorId="40AE9B52" wp14:editId="05896E23">
                <wp:extent cx="3572510" cy="143510"/>
                <wp:effectExtent l="5715" t="12700" r="12700" b="571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3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B1D10" w14:textId="14AAE331" w:rsidR="00C65C78" w:rsidRDefault="00C65C78" w:rsidP="007206AA">
                            <w:pPr>
                              <w:spacing w:line="139" w:lineRule="exact"/>
                              <w:ind w:left="347"/>
                              <w:rPr>
                                <w:sz w:val="14"/>
                                <w:szCs w:val="14"/>
                              </w:rPr>
                            </w:pPr>
                            <w:r>
                              <w:rPr>
                                <w:spacing w:val="-1"/>
                                <w:sz w:val="14"/>
                                <w:szCs w:val="14"/>
                              </w:rPr>
                              <w:t>Gydymas</w:t>
                            </w:r>
                            <w:r>
                              <w:rPr>
                                <w:sz w:val="14"/>
                                <w:szCs w:val="14"/>
                              </w:rPr>
                              <w:t xml:space="preserve"> </w:t>
                            </w:r>
                            <w:r>
                              <w:rPr>
                                <w:spacing w:val="22"/>
                                <w:sz w:val="14"/>
                                <w:szCs w:val="14"/>
                              </w:rPr>
                              <w:t xml:space="preserve"> </w:t>
                            </w:r>
                            <w:r>
                              <w:rPr>
                                <w:spacing w:val="1"/>
                                <w:sz w:val="14"/>
                                <w:szCs w:val="14"/>
                              </w:rPr>
                              <w:t xml:space="preserve">——— </w:t>
                            </w:r>
                            <w:r>
                              <w:rPr>
                                <w:sz w:val="14"/>
                                <w:szCs w:val="14"/>
                              </w:rPr>
                              <w:t>500 mg fulvestranto</w:t>
                            </w:r>
                            <w:r>
                              <w:rPr>
                                <w:spacing w:val="-2"/>
                                <w:sz w:val="14"/>
                                <w:szCs w:val="14"/>
                              </w:rPr>
                              <w:t xml:space="preserve"> </w:t>
                            </w:r>
                            <w:r>
                              <w:rPr>
                                <w:sz w:val="14"/>
                                <w:szCs w:val="14"/>
                              </w:rPr>
                              <w:t xml:space="preserve">(N=230) </w:t>
                            </w:r>
                            <w:r>
                              <w:rPr>
                                <w:spacing w:val="28"/>
                                <w:sz w:val="14"/>
                                <w:szCs w:val="14"/>
                              </w:rPr>
                              <w:t xml:space="preserve"> </w:t>
                            </w:r>
                            <w:r>
                              <w:rPr>
                                <w:sz w:val="14"/>
                                <w:szCs w:val="14"/>
                              </w:rPr>
                              <w:t>-</w:t>
                            </w:r>
                            <w:r>
                              <w:rPr>
                                <w:spacing w:val="-2"/>
                                <w:sz w:val="14"/>
                                <w:szCs w:val="14"/>
                              </w:rPr>
                              <w:t xml:space="preserve"> </w:t>
                            </w:r>
                            <w:r>
                              <w:rPr>
                                <w:sz w:val="14"/>
                                <w:szCs w:val="14"/>
                              </w:rPr>
                              <w:t>-</w:t>
                            </w:r>
                            <w:r>
                              <w:rPr>
                                <w:spacing w:val="-2"/>
                                <w:sz w:val="14"/>
                                <w:szCs w:val="14"/>
                              </w:rPr>
                              <w:t xml:space="preserve"> </w:t>
                            </w:r>
                            <w:r>
                              <w:rPr>
                                <w:sz w:val="14"/>
                                <w:szCs w:val="14"/>
                              </w:rPr>
                              <w:t>-</w:t>
                            </w:r>
                            <w:r>
                              <w:rPr>
                                <w:spacing w:val="-2"/>
                                <w:sz w:val="14"/>
                                <w:szCs w:val="14"/>
                              </w:rPr>
                              <w:t xml:space="preserve"> </w:t>
                            </w:r>
                            <w:r>
                              <w:rPr>
                                <w:sz w:val="14"/>
                                <w:szCs w:val="14"/>
                              </w:rPr>
                              <w:t>-</w:t>
                            </w:r>
                            <w:r>
                              <w:rPr>
                                <w:spacing w:val="-2"/>
                                <w:sz w:val="14"/>
                                <w:szCs w:val="14"/>
                              </w:rPr>
                              <w:t xml:space="preserve"> </w:t>
                            </w:r>
                            <w:r>
                              <w:rPr>
                                <w:sz w:val="14"/>
                                <w:szCs w:val="14"/>
                              </w:rPr>
                              <w:t>-</w:t>
                            </w:r>
                            <w:r>
                              <w:rPr>
                                <w:spacing w:val="-2"/>
                                <w:sz w:val="14"/>
                                <w:szCs w:val="14"/>
                              </w:rPr>
                              <w:t xml:space="preserve"> </w:t>
                            </w:r>
                            <w:r>
                              <w:rPr>
                                <w:sz w:val="14"/>
                                <w:szCs w:val="14"/>
                              </w:rPr>
                              <w:t>-</w:t>
                            </w:r>
                            <w:r>
                              <w:rPr>
                                <w:spacing w:val="3"/>
                                <w:sz w:val="14"/>
                                <w:szCs w:val="14"/>
                              </w:rPr>
                              <w:t xml:space="preserve"> 1 mg </w:t>
                            </w:r>
                            <w:r>
                              <w:rPr>
                                <w:sz w:val="14"/>
                                <w:szCs w:val="14"/>
                              </w:rPr>
                              <w:t>anastrozolo</w:t>
                            </w:r>
                            <w:r>
                              <w:rPr>
                                <w:spacing w:val="-2"/>
                                <w:sz w:val="14"/>
                                <w:szCs w:val="14"/>
                              </w:rPr>
                              <w:t xml:space="preserve"> </w:t>
                            </w:r>
                            <w:r>
                              <w:rPr>
                                <w:sz w:val="14"/>
                                <w:szCs w:val="14"/>
                              </w:rPr>
                              <w:t>(N=232)</w:t>
                            </w:r>
                          </w:p>
                        </w:txbxContent>
                      </wps:txbx>
                      <wps:bodyPr rot="0" vert="horz" wrap="square" lIns="0" tIns="0" rIns="0" bIns="0" anchor="t" anchorCtr="0" upright="1">
                        <a:noAutofit/>
                      </wps:bodyPr>
                    </wps:wsp>
                  </a:graphicData>
                </a:graphic>
              </wp:inline>
            </w:drawing>
          </mc:Choice>
          <mc:Fallback>
            <w:pict>
              <v:shape w14:anchorId="40AE9B52" id="Text Box 49" o:spid="_x0000_s1036" type="#_x0000_t202" style="width:281.3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" filled="f">
                <v:textbox inset="0,0,0,0">
                  <w:txbxContent>
                    <w:p w14:paraId="30CB1D10" w14:textId="14AAE331" w:rsidR="00C65C78" w:rsidRDefault="00C65C78" w:rsidP="007206AA">
                      <w:pPr>
                        <w:spacing w:line="139" w:lineRule="exact"/>
                        <w:ind w:left="347"/>
                        <w:rPr>
                          <w:sz w:val="14"/>
                          <w:szCs w:val="14"/>
                        </w:rPr>
                      </w:pPr>
                      <w:r>
                        <w:rPr>
                          <w:spacing w:val="-1"/>
                          <w:sz w:val="14"/>
                          <w:szCs w:val="14"/>
                        </w:rPr>
                        <w:t>Gydymas</w:t>
                      </w:r>
                      <w:r>
                        <w:rPr>
                          <w:sz w:val="14"/>
                          <w:szCs w:val="14"/>
                        </w:rPr>
                        <w:t xml:space="preserve"> </w:t>
                      </w:r>
                      <w:r>
                        <w:rPr>
                          <w:spacing w:val="22"/>
                          <w:sz w:val="14"/>
                          <w:szCs w:val="14"/>
                        </w:rPr>
                        <w:t xml:space="preserve"> </w:t>
                      </w:r>
                      <w:r>
                        <w:rPr>
                          <w:spacing w:val="1"/>
                          <w:sz w:val="14"/>
                          <w:szCs w:val="14"/>
                        </w:rPr>
                        <w:t xml:space="preserve">——— </w:t>
                      </w:r>
                      <w:r>
                        <w:rPr>
                          <w:sz w:val="14"/>
                          <w:szCs w:val="14"/>
                        </w:rPr>
                        <w:t>500 mg fulvestranto</w:t>
                      </w:r>
                      <w:r>
                        <w:rPr>
                          <w:spacing w:val="-2"/>
                          <w:sz w:val="14"/>
                          <w:szCs w:val="14"/>
                        </w:rPr>
                        <w:t xml:space="preserve"> </w:t>
                      </w:r>
                      <w:r>
                        <w:rPr>
                          <w:sz w:val="14"/>
                          <w:szCs w:val="14"/>
                        </w:rPr>
                        <w:t xml:space="preserve">(N=230) </w:t>
                      </w:r>
                      <w:r>
                        <w:rPr>
                          <w:spacing w:val="28"/>
                          <w:sz w:val="14"/>
                          <w:szCs w:val="14"/>
                        </w:rPr>
                        <w:t xml:space="preserve"> </w:t>
                      </w:r>
                      <w:r>
                        <w:rPr>
                          <w:sz w:val="14"/>
                          <w:szCs w:val="14"/>
                        </w:rPr>
                        <w:t>-</w:t>
                      </w:r>
                      <w:r>
                        <w:rPr>
                          <w:spacing w:val="-2"/>
                          <w:sz w:val="14"/>
                          <w:szCs w:val="14"/>
                        </w:rPr>
                        <w:t xml:space="preserve"> </w:t>
                      </w:r>
                      <w:r>
                        <w:rPr>
                          <w:sz w:val="14"/>
                          <w:szCs w:val="14"/>
                        </w:rPr>
                        <w:t>-</w:t>
                      </w:r>
                      <w:r>
                        <w:rPr>
                          <w:spacing w:val="-2"/>
                          <w:sz w:val="14"/>
                          <w:szCs w:val="14"/>
                        </w:rPr>
                        <w:t xml:space="preserve"> </w:t>
                      </w:r>
                      <w:r>
                        <w:rPr>
                          <w:sz w:val="14"/>
                          <w:szCs w:val="14"/>
                        </w:rPr>
                        <w:t>-</w:t>
                      </w:r>
                      <w:r>
                        <w:rPr>
                          <w:spacing w:val="-2"/>
                          <w:sz w:val="14"/>
                          <w:szCs w:val="14"/>
                        </w:rPr>
                        <w:t xml:space="preserve"> </w:t>
                      </w:r>
                      <w:r>
                        <w:rPr>
                          <w:sz w:val="14"/>
                          <w:szCs w:val="14"/>
                        </w:rPr>
                        <w:t>-</w:t>
                      </w:r>
                      <w:r>
                        <w:rPr>
                          <w:spacing w:val="-2"/>
                          <w:sz w:val="14"/>
                          <w:szCs w:val="14"/>
                        </w:rPr>
                        <w:t xml:space="preserve"> </w:t>
                      </w:r>
                      <w:r>
                        <w:rPr>
                          <w:sz w:val="14"/>
                          <w:szCs w:val="14"/>
                        </w:rPr>
                        <w:t>-</w:t>
                      </w:r>
                      <w:r>
                        <w:rPr>
                          <w:spacing w:val="-2"/>
                          <w:sz w:val="14"/>
                          <w:szCs w:val="14"/>
                        </w:rPr>
                        <w:t xml:space="preserve"> </w:t>
                      </w:r>
                      <w:r>
                        <w:rPr>
                          <w:sz w:val="14"/>
                          <w:szCs w:val="14"/>
                        </w:rPr>
                        <w:t>-</w:t>
                      </w:r>
                      <w:r>
                        <w:rPr>
                          <w:spacing w:val="3"/>
                          <w:sz w:val="14"/>
                          <w:szCs w:val="14"/>
                        </w:rPr>
                        <w:t xml:space="preserve"> 1 mg </w:t>
                      </w:r>
                      <w:r>
                        <w:rPr>
                          <w:sz w:val="14"/>
                          <w:szCs w:val="14"/>
                        </w:rPr>
                        <w:t>anastrozolo</w:t>
                      </w:r>
                      <w:r>
                        <w:rPr>
                          <w:spacing w:val="-2"/>
                          <w:sz w:val="14"/>
                          <w:szCs w:val="14"/>
                        </w:rPr>
                        <w:t xml:space="preserve"> </w:t>
                      </w:r>
                      <w:r>
                        <w:rPr>
                          <w:sz w:val="14"/>
                          <w:szCs w:val="14"/>
                        </w:rPr>
                        <w:t>(N=232)</w:t>
                      </w:r>
                    </w:p>
                  </w:txbxContent>
                </v:textbox>
                <w10:anchorlock/>
              </v:shape>
            </w:pict>
          </mc:Fallback>
        </mc:AlternateContent>
      </w:r>
    </w:p>
    <w:p w14:paraId="2C47EFB3" w14:textId="77777777" w:rsidR="000C3A64" w:rsidRPr="00901F66" w:rsidRDefault="000C3A64" w:rsidP="007206AA">
      <w:pPr>
        <w:spacing w:line="200" w:lineRule="atLeast"/>
        <w:ind w:left="2264"/>
        <w:rPr>
          <w:sz w:val="16"/>
          <w:szCs w:val="16"/>
          <w:lang w:val="en-US" w:eastAsia="en-US"/>
        </w:rPr>
      </w:pPr>
    </w:p>
    <w:p w14:paraId="5EC3723B" w14:textId="6ADE82CD" w:rsidR="007206AA" w:rsidRPr="0077444B" w:rsidRDefault="000C3A64" w:rsidP="007206AA">
      <w:pPr>
        <w:spacing w:line="141" w:lineRule="exact"/>
        <w:ind w:left="334"/>
        <w:rPr>
          <w:sz w:val="14"/>
          <w:lang w:val="en-US"/>
        </w:rPr>
      </w:pPr>
      <w:r w:rsidRPr="0077444B">
        <w:rPr>
          <w:sz w:val="14"/>
          <w:lang w:val="en-US"/>
        </w:rPr>
        <w:t>Pacienčių, kurioms yra riziką</w:t>
      </w:r>
      <w:r w:rsidR="00180DD9">
        <w:rPr>
          <w:sz w:val="14"/>
          <w:lang w:val="en-US"/>
        </w:rPr>
        <w:t>,</w:t>
      </w:r>
      <w:r w:rsidRPr="0077444B">
        <w:rPr>
          <w:sz w:val="14"/>
          <w:lang w:val="en-US"/>
        </w:rPr>
        <w:t xml:space="preserve"> skaičius</w:t>
      </w:r>
    </w:p>
    <w:p w14:paraId="0B0227DD" w14:textId="77777777" w:rsidR="007206AA" w:rsidRPr="0077444B" w:rsidRDefault="007206AA" w:rsidP="007206AA">
      <w:pPr>
        <w:spacing w:before="2"/>
        <w:rPr>
          <w:sz w:val="3"/>
          <w:lang w:val="en-US"/>
        </w:rPr>
      </w:pPr>
    </w:p>
    <w:tbl>
      <w:tblPr>
        <w:tblW w:w="0" w:type="auto"/>
        <w:tblInd w:w="279" w:type="dxa"/>
        <w:tblLayout w:type="fixed"/>
        <w:tblCellMar>
          <w:left w:w="0" w:type="dxa"/>
          <w:right w:w="0" w:type="dxa"/>
        </w:tblCellMar>
        <w:tblLook w:val="01E0" w:firstRow="1" w:lastRow="1" w:firstColumn="1" w:lastColumn="1" w:noHBand="0" w:noVBand="0"/>
      </w:tblPr>
      <w:tblGrid>
        <w:gridCol w:w="675"/>
        <w:gridCol w:w="550"/>
        <w:gridCol w:w="593"/>
        <w:gridCol w:w="590"/>
        <w:gridCol w:w="590"/>
        <w:gridCol w:w="590"/>
        <w:gridCol w:w="607"/>
        <w:gridCol w:w="570"/>
        <w:gridCol w:w="590"/>
        <w:gridCol w:w="593"/>
        <w:gridCol w:w="593"/>
        <w:gridCol w:w="590"/>
        <w:gridCol w:w="607"/>
        <w:gridCol w:w="575"/>
        <w:gridCol w:w="385"/>
      </w:tblGrid>
      <w:tr w:rsidR="007206AA" w:rsidRPr="007206AA" w14:paraId="32B4218D" w14:textId="77777777" w:rsidTr="0061760E">
        <w:trPr>
          <w:trHeight w:hRule="exact" w:val="243"/>
        </w:trPr>
        <w:tc>
          <w:tcPr>
            <w:tcW w:w="675" w:type="dxa"/>
            <w:tcBorders>
              <w:top w:val="nil"/>
              <w:left w:val="nil"/>
              <w:bottom w:val="nil"/>
              <w:right w:val="nil"/>
            </w:tcBorders>
          </w:tcPr>
          <w:p w14:paraId="6CC0085F" w14:textId="77777777" w:rsidR="007206AA" w:rsidRPr="007206AA" w:rsidRDefault="007206AA" w:rsidP="007206AA">
            <w:pPr>
              <w:widowControl w:val="0"/>
              <w:spacing w:before="37"/>
              <w:ind w:left="55"/>
              <w:rPr>
                <w:sz w:val="14"/>
                <w:szCs w:val="14"/>
                <w:lang w:val="en-US" w:eastAsia="en-US"/>
              </w:rPr>
            </w:pPr>
            <w:r w:rsidRPr="0077444B">
              <w:rPr>
                <w:rFonts w:eastAsia="Calibri" w:hAnsi="Calibri"/>
                <w:sz w:val="14"/>
                <w:lang w:val="en-US"/>
              </w:rPr>
              <w:t>FUL500</w:t>
            </w:r>
          </w:p>
        </w:tc>
        <w:tc>
          <w:tcPr>
            <w:tcW w:w="550" w:type="dxa"/>
            <w:tcBorders>
              <w:top w:val="nil"/>
              <w:left w:val="nil"/>
              <w:bottom w:val="nil"/>
              <w:right w:val="nil"/>
            </w:tcBorders>
          </w:tcPr>
          <w:p w14:paraId="1E0E2278" w14:textId="77777777" w:rsidR="007206AA" w:rsidRPr="007206AA" w:rsidRDefault="007206AA" w:rsidP="007206AA">
            <w:pPr>
              <w:widowControl w:val="0"/>
              <w:spacing w:before="37"/>
              <w:ind w:left="147"/>
              <w:rPr>
                <w:sz w:val="14"/>
                <w:szCs w:val="14"/>
                <w:lang w:val="en-US" w:eastAsia="en-US"/>
              </w:rPr>
            </w:pPr>
            <w:r w:rsidRPr="0077444B">
              <w:rPr>
                <w:rFonts w:eastAsia="Calibri" w:hAnsi="Calibri"/>
                <w:sz w:val="14"/>
                <w:lang w:val="en-US"/>
              </w:rPr>
              <w:t>230</w:t>
            </w:r>
          </w:p>
        </w:tc>
        <w:tc>
          <w:tcPr>
            <w:tcW w:w="593" w:type="dxa"/>
            <w:tcBorders>
              <w:top w:val="nil"/>
              <w:left w:val="nil"/>
              <w:bottom w:val="nil"/>
              <w:right w:val="nil"/>
            </w:tcBorders>
          </w:tcPr>
          <w:p w14:paraId="1F4D161C" w14:textId="77777777" w:rsidR="007206AA" w:rsidRPr="007206AA" w:rsidRDefault="007206AA" w:rsidP="007206AA">
            <w:pPr>
              <w:widowControl w:val="0"/>
              <w:spacing w:before="37"/>
              <w:ind w:left="193"/>
              <w:rPr>
                <w:sz w:val="14"/>
                <w:szCs w:val="14"/>
                <w:lang w:val="en-US" w:eastAsia="en-US"/>
              </w:rPr>
            </w:pPr>
            <w:r w:rsidRPr="0077444B">
              <w:rPr>
                <w:rFonts w:eastAsia="Calibri" w:hAnsi="Calibri"/>
                <w:sz w:val="14"/>
                <w:lang w:val="en-US"/>
              </w:rPr>
              <w:t>187</w:t>
            </w:r>
          </w:p>
        </w:tc>
        <w:tc>
          <w:tcPr>
            <w:tcW w:w="590" w:type="dxa"/>
            <w:tcBorders>
              <w:top w:val="nil"/>
              <w:left w:val="nil"/>
              <w:bottom w:val="nil"/>
              <w:right w:val="nil"/>
            </w:tcBorders>
          </w:tcPr>
          <w:p w14:paraId="6B55F2B5" w14:textId="77777777" w:rsidR="007206AA" w:rsidRPr="007206AA" w:rsidRDefault="007206AA" w:rsidP="007206AA">
            <w:pPr>
              <w:widowControl w:val="0"/>
              <w:spacing w:before="37"/>
              <w:ind w:left="190"/>
              <w:rPr>
                <w:sz w:val="14"/>
                <w:szCs w:val="14"/>
                <w:lang w:val="en-US" w:eastAsia="en-US"/>
              </w:rPr>
            </w:pPr>
            <w:r w:rsidRPr="0077444B">
              <w:rPr>
                <w:rFonts w:eastAsia="Calibri" w:hAnsi="Calibri"/>
                <w:sz w:val="14"/>
                <w:lang w:val="en-US"/>
              </w:rPr>
              <w:t>171</w:t>
            </w:r>
          </w:p>
        </w:tc>
        <w:tc>
          <w:tcPr>
            <w:tcW w:w="590" w:type="dxa"/>
            <w:tcBorders>
              <w:top w:val="nil"/>
              <w:left w:val="nil"/>
              <w:bottom w:val="nil"/>
              <w:right w:val="nil"/>
            </w:tcBorders>
          </w:tcPr>
          <w:p w14:paraId="5B4CEEFB" w14:textId="77777777" w:rsidR="007206AA" w:rsidRPr="007206AA" w:rsidRDefault="007206AA" w:rsidP="007206AA">
            <w:pPr>
              <w:widowControl w:val="0"/>
              <w:spacing w:before="37"/>
              <w:ind w:left="190"/>
              <w:rPr>
                <w:sz w:val="14"/>
                <w:szCs w:val="14"/>
                <w:lang w:val="en-US" w:eastAsia="en-US"/>
              </w:rPr>
            </w:pPr>
            <w:r w:rsidRPr="0077444B">
              <w:rPr>
                <w:rFonts w:eastAsia="Calibri" w:hAnsi="Calibri"/>
                <w:sz w:val="14"/>
                <w:lang w:val="en-US"/>
              </w:rPr>
              <w:t>150</w:t>
            </w:r>
          </w:p>
        </w:tc>
        <w:tc>
          <w:tcPr>
            <w:tcW w:w="590" w:type="dxa"/>
            <w:tcBorders>
              <w:top w:val="nil"/>
              <w:left w:val="nil"/>
              <w:bottom w:val="nil"/>
              <w:right w:val="nil"/>
            </w:tcBorders>
          </w:tcPr>
          <w:p w14:paraId="3178FC4F" w14:textId="77777777" w:rsidR="007206AA" w:rsidRPr="007206AA" w:rsidRDefault="007206AA" w:rsidP="007206AA">
            <w:pPr>
              <w:widowControl w:val="0"/>
              <w:spacing w:before="37"/>
              <w:ind w:left="190"/>
              <w:rPr>
                <w:sz w:val="14"/>
                <w:szCs w:val="14"/>
                <w:lang w:val="en-US" w:eastAsia="en-US"/>
              </w:rPr>
            </w:pPr>
            <w:r w:rsidRPr="0077444B">
              <w:rPr>
                <w:rFonts w:eastAsia="Calibri" w:hAnsi="Calibri"/>
                <w:sz w:val="14"/>
                <w:lang w:val="en-US"/>
              </w:rPr>
              <w:t>124</w:t>
            </w:r>
          </w:p>
        </w:tc>
        <w:tc>
          <w:tcPr>
            <w:tcW w:w="607" w:type="dxa"/>
            <w:tcBorders>
              <w:top w:val="nil"/>
              <w:left w:val="nil"/>
              <w:bottom w:val="nil"/>
              <w:right w:val="nil"/>
            </w:tcBorders>
          </w:tcPr>
          <w:p w14:paraId="09743679" w14:textId="77777777" w:rsidR="007206AA" w:rsidRPr="007206AA" w:rsidRDefault="007206AA" w:rsidP="007206AA">
            <w:pPr>
              <w:widowControl w:val="0"/>
              <w:spacing w:before="37"/>
              <w:ind w:left="190"/>
              <w:rPr>
                <w:sz w:val="14"/>
                <w:szCs w:val="14"/>
                <w:lang w:val="en-US" w:eastAsia="en-US"/>
              </w:rPr>
            </w:pPr>
            <w:r w:rsidRPr="0077444B">
              <w:rPr>
                <w:rFonts w:eastAsia="Calibri" w:hAnsi="Calibri"/>
                <w:sz w:val="14"/>
                <w:lang w:val="en-US"/>
              </w:rPr>
              <w:t>110</w:t>
            </w:r>
          </w:p>
        </w:tc>
        <w:tc>
          <w:tcPr>
            <w:tcW w:w="570" w:type="dxa"/>
            <w:tcBorders>
              <w:top w:val="nil"/>
              <w:left w:val="nil"/>
              <w:bottom w:val="nil"/>
              <w:right w:val="nil"/>
            </w:tcBorders>
          </w:tcPr>
          <w:p w14:paraId="4A5A7648" w14:textId="77777777" w:rsidR="007206AA" w:rsidRPr="007206AA" w:rsidRDefault="007206AA" w:rsidP="007206AA">
            <w:pPr>
              <w:widowControl w:val="0"/>
              <w:spacing w:before="37"/>
              <w:ind w:right="18"/>
              <w:jc w:val="center"/>
              <w:rPr>
                <w:sz w:val="14"/>
                <w:szCs w:val="14"/>
                <w:lang w:val="en-US" w:eastAsia="en-US"/>
              </w:rPr>
            </w:pPr>
            <w:r w:rsidRPr="0077444B">
              <w:rPr>
                <w:rFonts w:eastAsia="Calibri" w:hAnsi="Calibri"/>
                <w:spacing w:val="-3"/>
                <w:sz w:val="14"/>
                <w:lang w:val="en-US"/>
              </w:rPr>
              <w:t>96</w:t>
            </w:r>
          </w:p>
        </w:tc>
        <w:tc>
          <w:tcPr>
            <w:tcW w:w="590" w:type="dxa"/>
            <w:tcBorders>
              <w:top w:val="nil"/>
              <w:left w:val="nil"/>
              <w:bottom w:val="nil"/>
              <w:right w:val="nil"/>
            </w:tcBorders>
          </w:tcPr>
          <w:p w14:paraId="0B787616" w14:textId="77777777" w:rsidR="007206AA" w:rsidRPr="007206AA" w:rsidRDefault="007206AA" w:rsidP="007206AA">
            <w:pPr>
              <w:widowControl w:val="0"/>
              <w:spacing w:before="37"/>
              <w:jc w:val="center"/>
              <w:rPr>
                <w:sz w:val="14"/>
                <w:szCs w:val="14"/>
                <w:lang w:val="en-US" w:eastAsia="en-US"/>
              </w:rPr>
            </w:pPr>
            <w:r w:rsidRPr="0077444B">
              <w:rPr>
                <w:rFonts w:eastAsia="Calibri" w:hAnsi="Calibri"/>
                <w:spacing w:val="-3"/>
                <w:sz w:val="14"/>
                <w:lang w:val="en-US"/>
              </w:rPr>
              <w:t>81</w:t>
            </w:r>
          </w:p>
        </w:tc>
        <w:tc>
          <w:tcPr>
            <w:tcW w:w="593" w:type="dxa"/>
            <w:tcBorders>
              <w:top w:val="nil"/>
              <w:left w:val="nil"/>
              <w:bottom w:val="nil"/>
              <w:right w:val="nil"/>
            </w:tcBorders>
          </w:tcPr>
          <w:p w14:paraId="2756D9E0" w14:textId="77777777" w:rsidR="007206AA" w:rsidRPr="007206AA" w:rsidRDefault="007206AA" w:rsidP="007206AA">
            <w:pPr>
              <w:widowControl w:val="0"/>
              <w:spacing w:before="37"/>
              <w:jc w:val="center"/>
              <w:rPr>
                <w:sz w:val="14"/>
                <w:szCs w:val="14"/>
                <w:lang w:val="en-US" w:eastAsia="en-US"/>
              </w:rPr>
            </w:pPr>
            <w:r w:rsidRPr="0077444B">
              <w:rPr>
                <w:rFonts w:eastAsia="Calibri" w:hAnsi="Calibri"/>
                <w:spacing w:val="-3"/>
                <w:sz w:val="14"/>
                <w:lang w:val="en-US"/>
              </w:rPr>
              <w:t>63</w:t>
            </w:r>
          </w:p>
        </w:tc>
        <w:tc>
          <w:tcPr>
            <w:tcW w:w="593" w:type="dxa"/>
            <w:tcBorders>
              <w:top w:val="nil"/>
              <w:left w:val="nil"/>
              <w:bottom w:val="nil"/>
              <w:right w:val="nil"/>
            </w:tcBorders>
          </w:tcPr>
          <w:p w14:paraId="49F11C79" w14:textId="77777777" w:rsidR="007206AA" w:rsidRPr="007206AA" w:rsidRDefault="007206AA" w:rsidP="007206AA">
            <w:pPr>
              <w:widowControl w:val="0"/>
              <w:spacing w:before="37"/>
              <w:ind w:left="2"/>
              <w:jc w:val="center"/>
              <w:rPr>
                <w:sz w:val="14"/>
                <w:szCs w:val="14"/>
                <w:lang w:val="en-US" w:eastAsia="en-US"/>
              </w:rPr>
            </w:pPr>
            <w:r w:rsidRPr="0077444B">
              <w:rPr>
                <w:rFonts w:eastAsia="Calibri" w:hAnsi="Calibri"/>
                <w:spacing w:val="-3"/>
                <w:sz w:val="14"/>
                <w:lang w:val="en-US"/>
              </w:rPr>
              <w:t>44</w:t>
            </w:r>
          </w:p>
        </w:tc>
        <w:tc>
          <w:tcPr>
            <w:tcW w:w="590" w:type="dxa"/>
            <w:tcBorders>
              <w:top w:val="nil"/>
              <w:left w:val="nil"/>
              <w:bottom w:val="nil"/>
              <w:right w:val="nil"/>
            </w:tcBorders>
          </w:tcPr>
          <w:p w14:paraId="41DE2D57" w14:textId="77777777" w:rsidR="007206AA" w:rsidRPr="007206AA" w:rsidRDefault="007206AA" w:rsidP="007206AA">
            <w:pPr>
              <w:widowControl w:val="0"/>
              <w:spacing w:before="37"/>
              <w:jc w:val="center"/>
              <w:rPr>
                <w:sz w:val="14"/>
                <w:szCs w:val="14"/>
                <w:lang w:val="en-US" w:eastAsia="en-US"/>
              </w:rPr>
            </w:pPr>
            <w:r w:rsidRPr="0077444B">
              <w:rPr>
                <w:rFonts w:eastAsia="Calibri" w:hAnsi="Calibri"/>
                <w:spacing w:val="-3"/>
                <w:sz w:val="14"/>
                <w:lang w:val="en-US"/>
              </w:rPr>
              <w:t>24</w:t>
            </w:r>
          </w:p>
        </w:tc>
        <w:tc>
          <w:tcPr>
            <w:tcW w:w="607" w:type="dxa"/>
            <w:tcBorders>
              <w:top w:val="nil"/>
              <w:left w:val="nil"/>
              <w:bottom w:val="nil"/>
              <w:right w:val="nil"/>
            </w:tcBorders>
          </w:tcPr>
          <w:p w14:paraId="037E4537" w14:textId="77777777" w:rsidR="007206AA" w:rsidRPr="007206AA" w:rsidRDefault="007206AA" w:rsidP="007206AA">
            <w:pPr>
              <w:widowControl w:val="0"/>
              <w:spacing w:before="37"/>
              <w:ind w:right="14"/>
              <w:jc w:val="center"/>
              <w:rPr>
                <w:sz w:val="14"/>
                <w:szCs w:val="14"/>
                <w:lang w:val="en-US" w:eastAsia="en-US"/>
              </w:rPr>
            </w:pPr>
            <w:r w:rsidRPr="0077444B">
              <w:rPr>
                <w:rFonts w:eastAsia="Calibri" w:hAnsi="Calibri"/>
                <w:spacing w:val="-3"/>
                <w:sz w:val="14"/>
                <w:lang w:val="en-US"/>
              </w:rPr>
              <w:t>11</w:t>
            </w:r>
          </w:p>
        </w:tc>
        <w:tc>
          <w:tcPr>
            <w:tcW w:w="575" w:type="dxa"/>
            <w:tcBorders>
              <w:top w:val="nil"/>
              <w:left w:val="nil"/>
              <w:bottom w:val="nil"/>
              <w:right w:val="nil"/>
            </w:tcBorders>
          </w:tcPr>
          <w:p w14:paraId="1E3203F5" w14:textId="77777777" w:rsidR="007206AA" w:rsidRPr="007206AA" w:rsidRDefault="007206AA" w:rsidP="007206AA">
            <w:pPr>
              <w:widowControl w:val="0"/>
              <w:spacing w:before="37"/>
              <w:ind w:right="13"/>
              <w:jc w:val="center"/>
              <w:rPr>
                <w:sz w:val="14"/>
                <w:szCs w:val="14"/>
                <w:lang w:val="en-US" w:eastAsia="en-US"/>
              </w:rPr>
            </w:pPr>
            <w:r w:rsidRPr="0077444B">
              <w:rPr>
                <w:rFonts w:eastAsia="Calibri" w:hAnsi="Calibri"/>
                <w:sz w:val="14"/>
                <w:lang w:val="en-US"/>
              </w:rPr>
              <w:t>2</w:t>
            </w:r>
          </w:p>
        </w:tc>
        <w:tc>
          <w:tcPr>
            <w:tcW w:w="385" w:type="dxa"/>
            <w:tcBorders>
              <w:top w:val="nil"/>
              <w:left w:val="nil"/>
              <w:bottom w:val="nil"/>
              <w:right w:val="nil"/>
            </w:tcBorders>
          </w:tcPr>
          <w:p w14:paraId="7FCE9196" w14:textId="77777777" w:rsidR="007206AA" w:rsidRPr="007206AA" w:rsidRDefault="007206AA" w:rsidP="007206AA">
            <w:pPr>
              <w:widowControl w:val="0"/>
              <w:spacing w:before="37"/>
              <w:ind w:right="53"/>
              <w:jc w:val="right"/>
              <w:rPr>
                <w:sz w:val="14"/>
                <w:szCs w:val="14"/>
                <w:lang w:val="en-US" w:eastAsia="en-US"/>
              </w:rPr>
            </w:pPr>
            <w:r w:rsidRPr="0077444B">
              <w:rPr>
                <w:rFonts w:eastAsia="Calibri" w:hAnsi="Calibri"/>
                <w:w w:val="95"/>
                <w:sz w:val="14"/>
                <w:lang w:val="en-US"/>
              </w:rPr>
              <w:t>0</w:t>
            </w:r>
          </w:p>
        </w:tc>
      </w:tr>
      <w:tr w:rsidR="007206AA" w:rsidRPr="007206AA" w14:paraId="2EA9C14A" w14:textId="77777777" w:rsidTr="0061760E">
        <w:trPr>
          <w:trHeight w:hRule="exact" w:val="287"/>
        </w:trPr>
        <w:tc>
          <w:tcPr>
            <w:tcW w:w="675" w:type="dxa"/>
            <w:tcBorders>
              <w:top w:val="nil"/>
              <w:left w:val="nil"/>
              <w:bottom w:val="nil"/>
              <w:right w:val="nil"/>
            </w:tcBorders>
          </w:tcPr>
          <w:p w14:paraId="4377F404" w14:textId="77777777" w:rsidR="007206AA" w:rsidRPr="007206AA" w:rsidRDefault="007206AA" w:rsidP="007206AA">
            <w:pPr>
              <w:widowControl w:val="0"/>
              <w:spacing w:before="29"/>
              <w:ind w:left="64"/>
              <w:rPr>
                <w:sz w:val="14"/>
                <w:szCs w:val="14"/>
                <w:lang w:val="en-US" w:eastAsia="en-US"/>
              </w:rPr>
            </w:pPr>
            <w:r w:rsidRPr="0077444B">
              <w:rPr>
                <w:rFonts w:eastAsia="Calibri" w:hAnsi="Calibri"/>
                <w:sz w:val="14"/>
                <w:lang w:val="en-US"/>
              </w:rPr>
              <w:t>ANAS1</w:t>
            </w:r>
          </w:p>
        </w:tc>
        <w:tc>
          <w:tcPr>
            <w:tcW w:w="550" w:type="dxa"/>
            <w:tcBorders>
              <w:top w:val="nil"/>
              <w:left w:val="nil"/>
              <w:bottom w:val="nil"/>
              <w:right w:val="nil"/>
            </w:tcBorders>
          </w:tcPr>
          <w:p w14:paraId="6BD91677" w14:textId="77777777" w:rsidR="007206AA" w:rsidRPr="007206AA" w:rsidRDefault="007206AA" w:rsidP="007206AA">
            <w:pPr>
              <w:widowControl w:val="0"/>
              <w:spacing w:before="29"/>
              <w:ind w:left="147"/>
              <w:rPr>
                <w:sz w:val="14"/>
                <w:szCs w:val="14"/>
                <w:lang w:val="en-US" w:eastAsia="en-US"/>
              </w:rPr>
            </w:pPr>
            <w:r w:rsidRPr="0077444B">
              <w:rPr>
                <w:rFonts w:eastAsia="Calibri" w:hAnsi="Calibri"/>
                <w:sz w:val="14"/>
                <w:lang w:val="en-US"/>
              </w:rPr>
              <w:t>232</w:t>
            </w:r>
          </w:p>
        </w:tc>
        <w:tc>
          <w:tcPr>
            <w:tcW w:w="593" w:type="dxa"/>
            <w:tcBorders>
              <w:top w:val="nil"/>
              <w:left w:val="nil"/>
              <w:bottom w:val="nil"/>
              <w:right w:val="nil"/>
            </w:tcBorders>
          </w:tcPr>
          <w:p w14:paraId="023FCB58" w14:textId="77777777" w:rsidR="007206AA" w:rsidRPr="007206AA" w:rsidRDefault="007206AA" w:rsidP="007206AA">
            <w:pPr>
              <w:widowControl w:val="0"/>
              <w:spacing w:before="29"/>
              <w:ind w:left="193"/>
              <w:rPr>
                <w:sz w:val="14"/>
                <w:szCs w:val="14"/>
                <w:lang w:val="en-US" w:eastAsia="en-US"/>
              </w:rPr>
            </w:pPr>
            <w:r w:rsidRPr="0077444B">
              <w:rPr>
                <w:rFonts w:eastAsia="Calibri" w:hAnsi="Calibri"/>
                <w:sz w:val="14"/>
                <w:lang w:val="en-US"/>
              </w:rPr>
              <w:t>194</w:t>
            </w:r>
          </w:p>
        </w:tc>
        <w:tc>
          <w:tcPr>
            <w:tcW w:w="590" w:type="dxa"/>
            <w:tcBorders>
              <w:top w:val="nil"/>
              <w:left w:val="nil"/>
              <w:bottom w:val="nil"/>
              <w:right w:val="nil"/>
            </w:tcBorders>
          </w:tcPr>
          <w:p w14:paraId="6468A909" w14:textId="77777777" w:rsidR="007206AA" w:rsidRPr="007206AA" w:rsidRDefault="007206AA" w:rsidP="007206AA">
            <w:pPr>
              <w:widowControl w:val="0"/>
              <w:spacing w:before="29"/>
              <w:ind w:left="190"/>
              <w:rPr>
                <w:sz w:val="14"/>
                <w:szCs w:val="14"/>
                <w:lang w:val="en-US" w:eastAsia="en-US"/>
              </w:rPr>
            </w:pPr>
            <w:r w:rsidRPr="0077444B">
              <w:rPr>
                <w:rFonts w:eastAsia="Calibri" w:hAnsi="Calibri"/>
                <w:sz w:val="14"/>
                <w:lang w:val="en-US"/>
              </w:rPr>
              <w:t>162</w:t>
            </w:r>
          </w:p>
        </w:tc>
        <w:tc>
          <w:tcPr>
            <w:tcW w:w="590" w:type="dxa"/>
            <w:tcBorders>
              <w:top w:val="nil"/>
              <w:left w:val="nil"/>
              <w:bottom w:val="nil"/>
              <w:right w:val="nil"/>
            </w:tcBorders>
          </w:tcPr>
          <w:p w14:paraId="1E29B5B6" w14:textId="77777777" w:rsidR="007206AA" w:rsidRPr="007206AA" w:rsidRDefault="007206AA" w:rsidP="007206AA">
            <w:pPr>
              <w:widowControl w:val="0"/>
              <w:spacing w:before="29"/>
              <w:ind w:left="190"/>
              <w:rPr>
                <w:sz w:val="14"/>
                <w:szCs w:val="14"/>
                <w:lang w:val="en-US" w:eastAsia="en-US"/>
              </w:rPr>
            </w:pPr>
            <w:r w:rsidRPr="0077444B">
              <w:rPr>
                <w:rFonts w:eastAsia="Calibri" w:hAnsi="Calibri"/>
                <w:sz w:val="14"/>
                <w:lang w:val="en-US"/>
              </w:rPr>
              <w:t>139</w:t>
            </w:r>
          </w:p>
        </w:tc>
        <w:tc>
          <w:tcPr>
            <w:tcW w:w="590" w:type="dxa"/>
            <w:tcBorders>
              <w:top w:val="nil"/>
              <w:left w:val="nil"/>
              <w:bottom w:val="nil"/>
              <w:right w:val="nil"/>
            </w:tcBorders>
          </w:tcPr>
          <w:p w14:paraId="412CBFC3" w14:textId="77777777" w:rsidR="007206AA" w:rsidRPr="007206AA" w:rsidRDefault="007206AA" w:rsidP="007206AA">
            <w:pPr>
              <w:widowControl w:val="0"/>
              <w:spacing w:before="29"/>
              <w:ind w:left="190"/>
              <w:rPr>
                <w:sz w:val="14"/>
                <w:szCs w:val="14"/>
                <w:lang w:val="en-US" w:eastAsia="en-US"/>
              </w:rPr>
            </w:pPr>
            <w:r w:rsidRPr="0077444B">
              <w:rPr>
                <w:rFonts w:eastAsia="Calibri" w:hAnsi="Calibri"/>
                <w:sz w:val="14"/>
                <w:lang w:val="en-US"/>
              </w:rPr>
              <w:t>120</w:t>
            </w:r>
          </w:p>
        </w:tc>
        <w:tc>
          <w:tcPr>
            <w:tcW w:w="607" w:type="dxa"/>
            <w:tcBorders>
              <w:top w:val="nil"/>
              <w:left w:val="nil"/>
              <w:bottom w:val="nil"/>
              <w:right w:val="nil"/>
            </w:tcBorders>
          </w:tcPr>
          <w:p w14:paraId="6CC581F7" w14:textId="77777777" w:rsidR="007206AA" w:rsidRPr="007206AA" w:rsidRDefault="007206AA" w:rsidP="007206AA">
            <w:pPr>
              <w:widowControl w:val="0"/>
              <w:spacing w:before="29"/>
              <w:ind w:left="190"/>
              <w:rPr>
                <w:sz w:val="14"/>
                <w:szCs w:val="14"/>
                <w:lang w:val="en-US" w:eastAsia="en-US"/>
              </w:rPr>
            </w:pPr>
            <w:r w:rsidRPr="0077444B">
              <w:rPr>
                <w:rFonts w:eastAsia="Calibri" w:hAnsi="Calibri"/>
                <w:sz w:val="14"/>
                <w:lang w:val="en-US"/>
              </w:rPr>
              <w:t>102</w:t>
            </w:r>
          </w:p>
        </w:tc>
        <w:tc>
          <w:tcPr>
            <w:tcW w:w="570" w:type="dxa"/>
            <w:tcBorders>
              <w:top w:val="nil"/>
              <w:left w:val="nil"/>
              <w:bottom w:val="nil"/>
              <w:right w:val="nil"/>
            </w:tcBorders>
          </w:tcPr>
          <w:p w14:paraId="7017D0AC" w14:textId="77777777" w:rsidR="007206AA" w:rsidRPr="007206AA" w:rsidRDefault="007206AA" w:rsidP="007206AA">
            <w:pPr>
              <w:widowControl w:val="0"/>
              <w:spacing w:before="29"/>
              <w:ind w:right="18"/>
              <w:jc w:val="center"/>
              <w:rPr>
                <w:sz w:val="14"/>
                <w:szCs w:val="14"/>
                <w:lang w:val="en-US" w:eastAsia="en-US"/>
              </w:rPr>
            </w:pPr>
            <w:r w:rsidRPr="0077444B">
              <w:rPr>
                <w:rFonts w:eastAsia="Calibri" w:hAnsi="Calibri"/>
                <w:spacing w:val="-3"/>
                <w:sz w:val="14"/>
                <w:lang w:val="en-US"/>
              </w:rPr>
              <w:t>84</w:t>
            </w:r>
          </w:p>
        </w:tc>
        <w:tc>
          <w:tcPr>
            <w:tcW w:w="590" w:type="dxa"/>
            <w:tcBorders>
              <w:top w:val="nil"/>
              <w:left w:val="nil"/>
              <w:bottom w:val="nil"/>
              <w:right w:val="nil"/>
            </w:tcBorders>
          </w:tcPr>
          <w:p w14:paraId="5CAD3EB5" w14:textId="77777777" w:rsidR="007206AA" w:rsidRPr="007206AA" w:rsidRDefault="007206AA" w:rsidP="007206AA">
            <w:pPr>
              <w:widowControl w:val="0"/>
              <w:spacing w:before="29"/>
              <w:jc w:val="center"/>
              <w:rPr>
                <w:sz w:val="14"/>
                <w:szCs w:val="14"/>
                <w:lang w:val="en-US" w:eastAsia="en-US"/>
              </w:rPr>
            </w:pPr>
            <w:r w:rsidRPr="0077444B">
              <w:rPr>
                <w:rFonts w:eastAsia="Calibri" w:hAnsi="Calibri"/>
                <w:spacing w:val="-3"/>
                <w:sz w:val="14"/>
                <w:lang w:val="en-US"/>
              </w:rPr>
              <w:t>60</w:t>
            </w:r>
          </w:p>
        </w:tc>
        <w:tc>
          <w:tcPr>
            <w:tcW w:w="593" w:type="dxa"/>
            <w:tcBorders>
              <w:top w:val="nil"/>
              <w:left w:val="nil"/>
              <w:bottom w:val="nil"/>
              <w:right w:val="nil"/>
            </w:tcBorders>
          </w:tcPr>
          <w:p w14:paraId="7D4B9911" w14:textId="77777777" w:rsidR="007206AA" w:rsidRPr="007206AA" w:rsidRDefault="007206AA" w:rsidP="007206AA">
            <w:pPr>
              <w:widowControl w:val="0"/>
              <w:spacing w:before="29"/>
              <w:jc w:val="center"/>
              <w:rPr>
                <w:sz w:val="14"/>
                <w:szCs w:val="14"/>
                <w:lang w:val="en-US" w:eastAsia="en-US"/>
              </w:rPr>
            </w:pPr>
            <w:r w:rsidRPr="0077444B">
              <w:rPr>
                <w:rFonts w:eastAsia="Calibri" w:hAnsi="Calibri"/>
                <w:spacing w:val="-3"/>
                <w:sz w:val="14"/>
                <w:lang w:val="en-US"/>
              </w:rPr>
              <w:t>45</w:t>
            </w:r>
          </w:p>
        </w:tc>
        <w:tc>
          <w:tcPr>
            <w:tcW w:w="593" w:type="dxa"/>
            <w:tcBorders>
              <w:top w:val="nil"/>
              <w:left w:val="nil"/>
              <w:bottom w:val="nil"/>
              <w:right w:val="nil"/>
            </w:tcBorders>
          </w:tcPr>
          <w:p w14:paraId="583C0FEB" w14:textId="77777777" w:rsidR="007206AA" w:rsidRPr="007206AA" w:rsidRDefault="007206AA" w:rsidP="007206AA">
            <w:pPr>
              <w:widowControl w:val="0"/>
              <w:spacing w:before="29"/>
              <w:ind w:left="2"/>
              <w:jc w:val="center"/>
              <w:rPr>
                <w:sz w:val="14"/>
                <w:szCs w:val="14"/>
                <w:lang w:val="en-US" w:eastAsia="en-US"/>
              </w:rPr>
            </w:pPr>
            <w:r w:rsidRPr="0077444B">
              <w:rPr>
                <w:rFonts w:eastAsia="Calibri" w:hAnsi="Calibri"/>
                <w:spacing w:val="-3"/>
                <w:sz w:val="14"/>
                <w:lang w:val="en-US"/>
              </w:rPr>
              <w:t>31</w:t>
            </w:r>
          </w:p>
        </w:tc>
        <w:tc>
          <w:tcPr>
            <w:tcW w:w="590" w:type="dxa"/>
            <w:tcBorders>
              <w:top w:val="nil"/>
              <w:left w:val="nil"/>
              <w:bottom w:val="nil"/>
              <w:right w:val="nil"/>
            </w:tcBorders>
          </w:tcPr>
          <w:p w14:paraId="133B9632" w14:textId="77777777" w:rsidR="007206AA" w:rsidRPr="007206AA" w:rsidRDefault="007206AA" w:rsidP="007206AA">
            <w:pPr>
              <w:widowControl w:val="0"/>
              <w:spacing w:before="29"/>
              <w:jc w:val="center"/>
              <w:rPr>
                <w:sz w:val="14"/>
                <w:szCs w:val="14"/>
                <w:lang w:val="en-US" w:eastAsia="en-US"/>
              </w:rPr>
            </w:pPr>
            <w:r w:rsidRPr="0077444B">
              <w:rPr>
                <w:rFonts w:eastAsia="Calibri" w:hAnsi="Calibri"/>
                <w:spacing w:val="-3"/>
                <w:sz w:val="14"/>
                <w:lang w:val="en-US"/>
              </w:rPr>
              <w:t>22</w:t>
            </w:r>
          </w:p>
        </w:tc>
        <w:tc>
          <w:tcPr>
            <w:tcW w:w="607" w:type="dxa"/>
            <w:tcBorders>
              <w:top w:val="nil"/>
              <w:left w:val="nil"/>
              <w:bottom w:val="nil"/>
              <w:right w:val="nil"/>
            </w:tcBorders>
          </w:tcPr>
          <w:p w14:paraId="6FFDBE40" w14:textId="77777777" w:rsidR="007206AA" w:rsidRPr="007206AA" w:rsidRDefault="007206AA" w:rsidP="007206AA">
            <w:pPr>
              <w:widowControl w:val="0"/>
              <w:spacing w:before="29"/>
              <w:ind w:right="14"/>
              <w:jc w:val="center"/>
              <w:rPr>
                <w:sz w:val="14"/>
                <w:szCs w:val="14"/>
                <w:lang w:val="en-US" w:eastAsia="en-US"/>
              </w:rPr>
            </w:pPr>
            <w:r w:rsidRPr="0077444B">
              <w:rPr>
                <w:rFonts w:eastAsia="Calibri" w:hAnsi="Calibri"/>
                <w:spacing w:val="-3"/>
                <w:sz w:val="14"/>
                <w:lang w:val="en-US"/>
              </w:rPr>
              <w:t>10</w:t>
            </w:r>
          </w:p>
        </w:tc>
        <w:tc>
          <w:tcPr>
            <w:tcW w:w="575" w:type="dxa"/>
            <w:tcBorders>
              <w:top w:val="nil"/>
              <w:left w:val="nil"/>
              <w:bottom w:val="nil"/>
              <w:right w:val="nil"/>
            </w:tcBorders>
          </w:tcPr>
          <w:p w14:paraId="74787F07" w14:textId="77777777" w:rsidR="007206AA" w:rsidRPr="007206AA" w:rsidRDefault="007206AA" w:rsidP="007206AA">
            <w:pPr>
              <w:widowControl w:val="0"/>
              <w:spacing w:before="29"/>
              <w:ind w:right="13"/>
              <w:jc w:val="center"/>
              <w:rPr>
                <w:sz w:val="14"/>
                <w:szCs w:val="14"/>
                <w:lang w:val="en-US" w:eastAsia="en-US"/>
              </w:rPr>
            </w:pPr>
            <w:r w:rsidRPr="0077444B">
              <w:rPr>
                <w:rFonts w:eastAsia="Calibri" w:hAnsi="Calibri"/>
                <w:sz w:val="14"/>
                <w:lang w:val="en-US"/>
              </w:rPr>
              <w:t>0</w:t>
            </w:r>
          </w:p>
        </w:tc>
        <w:tc>
          <w:tcPr>
            <w:tcW w:w="385" w:type="dxa"/>
            <w:tcBorders>
              <w:top w:val="nil"/>
              <w:left w:val="nil"/>
              <w:bottom w:val="nil"/>
              <w:right w:val="nil"/>
            </w:tcBorders>
          </w:tcPr>
          <w:p w14:paraId="4DAE3165" w14:textId="77777777" w:rsidR="007206AA" w:rsidRPr="007206AA" w:rsidRDefault="007206AA" w:rsidP="007206AA">
            <w:pPr>
              <w:widowControl w:val="0"/>
              <w:spacing w:before="29"/>
              <w:ind w:right="53"/>
              <w:jc w:val="right"/>
              <w:rPr>
                <w:sz w:val="14"/>
                <w:szCs w:val="14"/>
                <w:lang w:val="en-US" w:eastAsia="en-US"/>
              </w:rPr>
            </w:pPr>
            <w:r w:rsidRPr="0077444B">
              <w:rPr>
                <w:rFonts w:eastAsia="Calibri" w:hAnsi="Calibri"/>
                <w:w w:val="95"/>
                <w:sz w:val="14"/>
                <w:lang w:val="en-US"/>
              </w:rPr>
              <w:t>0</w:t>
            </w:r>
          </w:p>
        </w:tc>
      </w:tr>
    </w:tbl>
    <w:p w14:paraId="4169064E" w14:textId="77777777" w:rsidR="00F760B3" w:rsidRDefault="00F760B3" w:rsidP="00F760B3">
      <w:pPr>
        <w:rPr>
          <w:szCs w:val="22"/>
          <w:lang w:eastAsia="en-US"/>
        </w:rPr>
      </w:pPr>
    </w:p>
    <w:p w14:paraId="7523B0AE" w14:textId="77777777" w:rsidR="004364B8" w:rsidRDefault="004364B8" w:rsidP="004364B8">
      <w:pPr>
        <w:rPr>
          <w:szCs w:val="22"/>
          <w:lang w:eastAsia="en-US"/>
        </w:rPr>
      </w:pPr>
      <w:r>
        <w:rPr>
          <w:szCs w:val="22"/>
          <w:lang w:eastAsia="en-US"/>
        </w:rPr>
        <w:t>Dviejuose III fazės klinikiniuose tyrimuose dalyvavo 851 moteris po menopauzės, sirgusi progresavusiu krūties vėžiu, pasikartojusiu adjuvantinės endokrininės terapijos metu ar po jos arba progresavusiu endokrininės terapijos metu (77</w:t>
      </w:r>
      <w:r w:rsidR="009202B0">
        <w:rPr>
          <w:szCs w:val="22"/>
          <w:lang w:eastAsia="en-US"/>
        </w:rPr>
        <w:t> </w:t>
      </w:r>
      <w:r>
        <w:rPr>
          <w:szCs w:val="22"/>
          <w:lang w:eastAsia="en-US"/>
        </w:rPr>
        <w:t>% tyrimo dalyvių krūties vėžys buvo teigiamas estrogenų receptorių atžvilgiu). Šių tyrimų metu lygintas kas mėnesį vartojamo 250</w:t>
      </w:r>
      <w:r w:rsidR="00153369">
        <w:rPr>
          <w:szCs w:val="22"/>
          <w:lang w:eastAsia="en-US"/>
        </w:rPr>
        <w:t> </w:t>
      </w:r>
      <w:r>
        <w:rPr>
          <w:szCs w:val="22"/>
          <w:lang w:eastAsia="en-US"/>
        </w:rPr>
        <w:t>mg fulvestranto ir kartą per parą vartojamo 1</w:t>
      </w:r>
      <w:r w:rsidR="00153369">
        <w:rPr>
          <w:szCs w:val="22"/>
          <w:lang w:eastAsia="en-US"/>
        </w:rPr>
        <w:t> </w:t>
      </w:r>
      <w:r>
        <w:rPr>
          <w:szCs w:val="22"/>
          <w:lang w:eastAsia="en-US"/>
        </w:rPr>
        <w:t>mg aromatazės inhibitoriaus anastrozolo saugumas ir veiksmingumas. Apskritai 1 kartą per mėnesį vartojamo 250</w:t>
      </w:r>
      <w:r w:rsidR="00153369">
        <w:rPr>
          <w:szCs w:val="22"/>
          <w:lang w:eastAsia="en-US"/>
        </w:rPr>
        <w:t> </w:t>
      </w:r>
      <w:r>
        <w:rPr>
          <w:szCs w:val="22"/>
          <w:lang w:eastAsia="en-US"/>
        </w:rPr>
        <w:t>mg fulvestranto veiksmingumas buvo bent ne mažesnis už anastrozolo (remiantis neprogresuojant ligai išgyvento laikotarpio trukme, objektyviu atsaku ir išgyvento laikotarpio trukme). Nė vienas iš šių gydymo veiksmingumo rodiklių tarp fulvestranto ir anastrozolo grupių statistiškai reikšmingai nesiskyrė. Gydymo veiksmingumo pirmaeilė vertinamoji baigtis buvo neprogresuojant ligai išgyventas laikotarpis. Abiejų tyrimų bendra analizė parodė, kad progresavo 83</w:t>
      </w:r>
      <w:r w:rsidR="009202B0">
        <w:rPr>
          <w:szCs w:val="22"/>
          <w:lang w:eastAsia="en-US"/>
        </w:rPr>
        <w:t> </w:t>
      </w:r>
      <w:r>
        <w:rPr>
          <w:szCs w:val="22"/>
          <w:lang w:eastAsia="en-US"/>
        </w:rPr>
        <w:t>% fulvestranto ir 85</w:t>
      </w:r>
      <w:r w:rsidR="009202B0">
        <w:rPr>
          <w:szCs w:val="22"/>
          <w:lang w:eastAsia="en-US"/>
        </w:rPr>
        <w:t> </w:t>
      </w:r>
      <w:r>
        <w:rPr>
          <w:szCs w:val="22"/>
          <w:lang w:eastAsia="en-US"/>
        </w:rPr>
        <w:t>% anastrozolo vartojusių pacienčių liga. Kombinuota abiejų tyrimų rezultatų analizė parodė, kad pagal neprogresuojant ligai išgyventą laikotarpį apskaičiuota santykinė rizika, palyginus 250 mg fulvestranto dozę ir anastrozolo vartojusias pacientes, buvo 0,95 (95</w:t>
      </w:r>
      <w:r w:rsidR="000F2959">
        <w:rPr>
          <w:szCs w:val="22"/>
          <w:lang w:eastAsia="en-US"/>
        </w:rPr>
        <w:t> </w:t>
      </w:r>
      <w:r>
        <w:rPr>
          <w:szCs w:val="22"/>
          <w:lang w:eastAsia="en-US"/>
        </w:rPr>
        <w:t>% PI – 0,82-1,1). Objektyvus atsakas nustatytas 19,2</w:t>
      </w:r>
      <w:r w:rsidR="000F2959">
        <w:rPr>
          <w:szCs w:val="22"/>
          <w:lang w:eastAsia="en-US"/>
        </w:rPr>
        <w:t> </w:t>
      </w:r>
      <w:r>
        <w:rPr>
          <w:szCs w:val="22"/>
          <w:lang w:eastAsia="en-US"/>
        </w:rPr>
        <w:t>% 250 mg fulvestranto dozę ir 16,5</w:t>
      </w:r>
      <w:r w:rsidR="000F2959">
        <w:rPr>
          <w:szCs w:val="22"/>
          <w:lang w:eastAsia="en-US"/>
        </w:rPr>
        <w:t> </w:t>
      </w:r>
      <w:r>
        <w:rPr>
          <w:szCs w:val="22"/>
          <w:lang w:eastAsia="en-US"/>
        </w:rPr>
        <w:t>% anastrozolo vartojusių pacienčių. Fulvestranto vartojusių pacienčių iki mirties išgyvento laikotarpio trukmės mediana buvo 27,4</w:t>
      </w:r>
      <w:r w:rsidR="00153369">
        <w:rPr>
          <w:szCs w:val="22"/>
          <w:lang w:eastAsia="en-US"/>
        </w:rPr>
        <w:t> </w:t>
      </w:r>
      <w:r>
        <w:rPr>
          <w:szCs w:val="22"/>
          <w:lang w:eastAsia="en-US"/>
        </w:rPr>
        <w:t>mėn., vartojusių anastrozolo – 27,6</w:t>
      </w:r>
      <w:r w:rsidR="00153369">
        <w:rPr>
          <w:szCs w:val="22"/>
          <w:lang w:eastAsia="en-US"/>
        </w:rPr>
        <w:t> </w:t>
      </w:r>
      <w:r>
        <w:rPr>
          <w:szCs w:val="22"/>
          <w:lang w:eastAsia="en-US"/>
        </w:rPr>
        <w:t>mėn. Pagal išgyventą laikotarpį apskaičiuota santykinė rizika, palyginus 250</w:t>
      </w:r>
      <w:r w:rsidR="00153369">
        <w:rPr>
          <w:szCs w:val="22"/>
          <w:lang w:eastAsia="en-US"/>
        </w:rPr>
        <w:t> </w:t>
      </w:r>
      <w:r>
        <w:rPr>
          <w:szCs w:val="22"/>
          <w:lang w:eastAsia="en-US"/>
        </w:rPr>
        <w:t>mg fulvestranto dozę ir anastrozolo vartojusias pacientes, buvo 1,01 (95</w:t>
      </w:r>
      <w:r w:rsidR="000F2959">
        <w:rPr>
          <w:szCs w:val="22"/>
          <w:lang w:eastAsia="en-US"/>
        </w:rPr>
        <w:t> </w:t>
      </w:r>
      <w:r>
        <w:rPr>
          <w:szCs w:val="22"/>
          <w:lang w:eastAsia="en-US"/>
        </w:rPr>
        <w:t>% PI – 0,86-1,19).</w:t>
      </w:r>
    </w:p>
    <w:p w14:paraId="753DF4F3" w14:textId="77777777" w:rsidR="004364B8" w:rsidRDefault="004364B8" w:rsidP="004364B8">
      <w:pPr>
        <w:rPr>
          <w:i/>
          <w:iCs/>
          <w:szCs w:val="22"/>
          <w:lang w:eastAsia="en-US"/>
        </w:rPr>
      </w:pPr>
    </w:p>
    <w:p w14:paraId="64EB044A" w14:textId="77777777" w:rsidR="000C3A64" w:rsidRPr="00901F66" w:rsidRDefault="000C3A64" w:rsidP="000C3A64">
      <w:pPr>
        <w:rPr>
          <w:i/>
          <w:iCs/>
          <w:szCs w:val="22"/>
          <w:lang w:eastAsia="en-US"/>
        </w:rPr>
      </w:pPr>
      <w:r w:rsidRPr="00901F66">
        <w:rPr>
          <w:i/>
          <w:iCs/>
          <w:szCs w:val="22"/>
          <w:lang w:eastAsia="en-US"/>
        </w:rPr>
        <w:t>Gydymas derinyje</w:t>
      </w:r>
      <w:r w:rsidR="00D27D42">
        <w:rPr>
          <w:i/>
          <w:iCs/>
          <w:szCs w:val="22"/>
          <w:lang w:eastAsia="en-US"/>
        </w:rPr>
        <w:t xml:space="preserve"> </w:t>
      </w:r>
      <w:r w:rsidRPr="00901F66">
        <w:rPr>
          <w:i/>
          <w:iCs/>
          <w:szCs w:val="22"/>
          <w:lang w:eastAsia="en-US"/>
        </w:rPr>
        <w:t>su palbociklibu</w:t>
      </w:r>
    </w:p>
    <w:p w14:paraId="27106805" w14:textId="00FBCC62" w:rsidR="000C3A64" w:rsidRPr="000C3A64" w:rsidRDefault="000C3A64" w:rsidP="000C3A64">
      <w:pPr>
        <w:rPr>
          <w:iCs/>
          <w:szCs w:val="22"/>
          <w:lang w:eastAsia="en-US"/>
        </w:rPr>
      </w:pPr>
      <w:r w:rsidRPr="000C3A64">
        <w:rPr>
          <w:iCs/>
          <w:szCs w:val="22"/>
          <w:lang w:eastAsia="en-US"/>
        </w:rPr>
        <w:t>3 fazės tarptautinio randomizuoto dvigubai aklo lygiagrečių grupių daugelyje centrų atlikto tyrimo</w:t>
      </w:r>
      <w:r>
        <w:rPr>
          <w:iCs/>
          <w:szCs w:val="22"/>
          <w:lang w:eastAsia="en-US"/>
        </w:rPr>
        <w:t xml:space="preserve"> </w:t>
      </w:r>
      <w:r w:rsidRPr="000C3A64">
        <w:rPr>
          <w:iCs/>
          <w:szCs w:val="22"/>
          <w:lang w:eastAsia="en-US"/>
        </w:rPr>
        <w:t>metu lygintas 500</w:t>
      </w:r>
      <w:r>
        <w:rPr>
          <w:iCs/>
          <w:szCs w:val="22"/>
          <w:lang w:eastAsia="en-US"/>
        </w:rPr>
        <w:t> </w:t>
      </w:r>
      <w:r w:rsidRPr="000C3A64">
        <w:rPr>
          <w:iCs/>
          <w:szCs w:val="22"/>
          <w:lang w:eastAsia="en-US"/>
        </w:rPr>
        <w:t xml:space="preserve">mg </w:t>
      </w:r>
      <w:r>
        <w:rPr>
          <w:iCs/>
          <w:szCs w:val="22"/>
          <w:lang w:eastAsia="en-US"/>
        </w:rPr>
        <w:t>fulvestranto derinio su</w:t>
      </w:r>
      <w:r w:rsidRPr="000C3A64">
        <w:rPr>
          <w:iCs/>
          <w:szCs w:val="22"/>
          <w:lang w:eastAsia="en-US"/>
        </w:rPr>
        <w:t xml:space="preserve"> 125</w:t>
      </w:r>
      <w:r>
        <w:rPr>
          <w:iCs/>
          <w:szCs w:val="22"/>
          <w:lang w:eastAsia="en-US"/>
        </w:rPr>
        <w:t> </w:t>
      </w:r>
      <w:r w:rsidRPr="000C3A64">
        <w:rPr>
          <w:iCs/>
          <w:szCs w:val="22"/>
          <w:lang w:eastAsia="en-US"/>
        </w:rPr>
        <w:t>mg palbociklibo ir 500</w:t>
      </w:r>
      <w:r>
        <w:rPr>
          <w:iCs/>
          <w:szCs w:val="22"/>
          <w:lang w:eastAsia="en-US"/>
        </w:rPr>
        <w:t> </w:t>
      </w:r>
      <w:r w:rsidRPr="000C3A64">
        <w:rPr>
          <w:iCs/>
          <w:szCs w:val="22"/>
          <w:lang w:eastAsia="en-US"/>
        </w:rPr>
        <w:t xml:space="preserve">mg </w:t>
      </w:r>
      <w:r>
        <w:rPr>
          <w:iCs/>
          <w:szCs w:val="22"/>
          <w:lang w:eastAsia="en-US"/>
        </w:rPr>
        <w:t>fulvestranto derinio su</w:t>
      </w:r>
      <w:r w:rsidRPr="000C3A64">
        <w:rPr>
          <w:iCs/>
          <w:szCs w:val="22"/>
          <w:lang w:eastAsia="en-US"/>
        </w:rPr>
        <w:t xml:space="preserve"> placeb</w:t>
      </w:r>
      <w:r w:rsidR="00F16D2A">
        <w:rPr>
          <w:iCs/>
          <w:szCs w:val="22"/>
          <w:lang w:eastAsia="en-US"/>
        </w:rPr>
        <w:t>u</w:t>
      </w:r>
      <w:r w:rsidRPr="000C3A64">
        <w:rPr>
          <w:iCs/>
          <w:szCs w:val="22"/>
          <w:lang w:eastAsia="en-US"/>
        </w:rPr>
        <w:t xml:space="preserve"> poveikis</w:t>
      </w:r>
      <w:r w:rsidR="00F16D2A">
        <w:rPr>
          <w:iCs/>
          <w:szCs w:val="22"/>
          <w:lang w:eastAsia="en-US"/>
        </w:rPr>
        <w:t xml:space="preserve"> </w:t>
      </w:r>
      <w:r w:rsidRPr="000C3A64">
        <w:rPr>
          <w:iCs/>
          <w:szCs w:val="22"/>
          <w:lang w:eastAsia="en-US"/>
        </w:rPr>
        <w:t>moterims (nepriklausomai nuo menopauzės), sergančioms HR teigiamu, HER2 neigiamu lokaliai</w:t>
      </w:r>
      <w:r w:rsidR="00F16D2A">
        <w:rPr>
          <w:iCs/>
          <w:szCs w:val="22"/>
          <w:lang w:eastAsia="en-US"/>
        </w:rPr>
        <w:t xml:space="preserve"> </w:t>
      </w:r>
      <w:r w:rsidRPr="000C3A64">
        <w:rPr>
          <w:iCs/>
          <w:szCs w:val="22"/>
          <w:lang w:eastAsia="en-US"/>
        </w:rPr>
        <w:t>progresavusiu krūties vėžiu, kurio negalima išoperuoti arba išgyti spinduliais, arba metastazavusiu</w:t>
      </w:r>
      <w:r w:rsidR="00F16D2A">
        <w:rPr>
          <w:iCs/>
          <w:szCs w:val="22"/>
          <w:lang w:eastAsia="en-US"/>
        </w:rPr>
        <w:t xml:space="preserve"> </w:t>
      </w:r>
      <w:r w:rsidRPr="000C3A64">
        <w:rPr>
          <w:iCs/>
          <w:szCs w:val="22"/>
          <w:lang w:eastAsia="en-US"/>
        </w:rPr>
        <w:t>krūties vėžiu, progresavusiu po ankstesnio endokrininio gydymo ([neo]adjuvantinio arba esant</w:t>
      </w:r>
      <w:r w:rsidR="00F16D2A">
        <w:rPr>
          <w:iCs/>
          <w:szCs w:val="22"/>
          <w:lang w:eastAsia="en-US"/>
        </w:rPr>
        <w:t xml:space="preserve"> </w:t>
      </w:r>
      <w:r w:rsidRPr="000C3A64">
        <w:rPr>
          <w:iCs/>
          <w:szCs w:val="22"/>
          <w:lang w:eastAsia="en-US"/>
        </w:rPr>
        <w:t>metastazių).</w:t>
      </w:r>
    </w:p>
    <w:p w14:paraId="3B735930" w14:textId="77777777" w:rsidR="00F16D2A" w:rsidRDefault="00F16D2A" w:rsidP="000C3A64">
      <w:pPr>
        <w:rPr>
          <w:iCs/>
          <w:szCs w:val="22"/>
          <w:lang w:eastAsia="en-US"/>
        </w:rPr>
      </w:pPr>
    </w:p>
    <w:p w14:paraId="53316A51" w14:textId="615812C2" w:rsidR="000C3A64" w:rsidRPr="000C3A64" w:rsidRDefault="000C3A64" w:rsidP="000C3A64">
      <w:pPr>
        <w:rPr>
          <w:iCs/>
          <w:szCs w:val="22"/>
          <w:lang w:eastAsia="en-US"/>
        </w:rPr>
      </w:pPr>
      <w:r w:rsidRPr="000C3A64">
        <w:rPr>
          <w:iCs/>
          <w:szCs w:val="22"/>
          <w:lang w:eastAsia="en-US"/>
        </w:rPr>
        <w:t xml:space="preserve">Iš viso </w:t>
      </w:r>
      <w:r w:rsidR="00F16D2A">
        <w:rPr>
          <w:iCs/>
          <w:szCs w:val="22"/>
          <w:lang w:eastAsia="en-US"/>
        </w:rPr>
        <w:t>tyrime dalyvavo</w:t>
      </w:r>
      <w:r w:rsidRPr="000C3A64">
        <w:rPr>
          <w:iCs/>
          <w:szCs w:val="22"/>
          <w:lang w:eastAsia="en-US"/>
        </w:rPr>
        <w:t xml:space="preserve"> 521 moteris (iki menopauzės ar perimenopauzės laikotarpiu arba po menopauzės),</w:t>
      </w:r>
      <w:r w:rsidR="00F16D2A">
        <w:rPr>
          <w:iCs/>
          <w:szCs w:val="22"/>
          <w:lang w:eastAsia="en-US"/>
        </w:rPr>
        <w:t xml:space="preserve"> </w:t>
      </w:r>
      <w:r w:rsidRPr="000C3A64">
        <w:rPr>
          <w:iCs/>
          <w:szCs w:val="22"/>
          <w:lang w:eastAsia="en-US"/>
        </w:rPr>
        <w:t>kurios liga progresavo adjuvantinio hormoninio gydymo metu, per 12</w:t>
      </w:r>
      <w:r w:rsidR="00FC03AF">
        <w:rPr>
          <w:iCs/>
          <w:szCs w:val="22"/>
          <w:lang w:eastAsia="en-US"/>
        </w:rPr>
        <w:t> </w:t>
      </w:r>
      <w:r w:rsidRPr="000C3A64">
        <w:rPr>
          <w:iCs/>
          <w:szCs w:val="22"/>
          <w:lang w:eastAsia="en-US"/>
        </w:rPr>
        <w:t>mėn. po jo arba per 1</w:t>
      </w:r>
      <w:r w:rsidR="00FC03AF">
        <w:rPr>
          <w:iCs/>
          <w:szCs w:val="22"/>
          <w:lang w:eastAsia="en-US"/>
        </w:rPr>
        <w:t> </w:t>
      </w:r>
      <w:r w:rsidRPr="000C3A64">
        <w:rPr>
          <w:iCs/>
          <w:szCs w:val="22"/>
          <w:lang w:eastAsia="en-US"/>
        </w:rPr>
        <w:t>mėn. po</w:t>
      </w:r>
      <w:r w:rsidR="00F16D2A">
        <w:rPr>
          <w:iCs/>
          <w:szCs w:val="22"/>
          <w:lang w:eastAsia="en-US"/>
        </w:rPr>
        <w:t xml:space="preserve"> </w:t>
      </w:r>
      <w:r w:rsidRPr="000C3A64">
        <w:rPr>
          <w:iCs/>
          <w:szCs w:val="22"/>
          <w:lang w:eastAsia="en-US"/>
        </w:rPr>
        <w:t>ankstesnio progresavusios ligos endokrininio gydymo. Tiriamosios buvo randomizuotos santykiu 2:1</w:t>
      </w:r>
      <w:r w:rsidR="00F16D2A">
        <w:rPr>
          <w:iCs/>
          <w:szCs w:val="22"/>
          <w:lang w:eastAsia="en-US"/>
        </w:rPr>
        <w:t xml:space="preserve"> </w:t>
      </w:r>
      <w:r w:rsidRPr="000C3A64">
        <w:rPr>
          <w:iCs/>
          <w:szCs w:val="22"/>
          <w:lang w:eastAsia="en-US"/>
        </w:rPr>
        <w:t xml:space="preserve">vartoti </w:t>
      </w:r>
      <w:r w:rsidR="00F16D2A">
        <w:rPr>
          <w:iCs/>
          <w:szCs w:val="22"/>
          <w:lang w:eastAsia="en-US"/>
        </w:rPr>
        <w:t>fulvestranto derinio su</w:t>
      </w:r>
      <w:r w:rsidRPr="000C3A64">
        <w:rPr>
          <w:iCs/>
          <w:szCs w:val="22"/>
          <w:lang w:eastAsia="en-US"/>
        </w:rPr>
        <w:t xml:space="preserve"> palbociklib</w:t>
      </w:r>
      <w:r w:rsidR="00F16D2A">
        <w:rPr>
          <w:iCs/>
          <w:szCs w:val="22"/>
          <w:lang w:eastAsia="en-US"/>
        </w:rPr>
        <w:t>u</w:t>
      </w:r>
      <w:r w:rsidRPr="000C3A64">
        <w:rPr>
          <w:iCs/>
          <w:szCs w:val="22"/>
          <w:lang w:eastAsia="en-US"/>
        </w:rPr>
        <w:t xml:space="preserve"> arba </w:t>
      </w:r>
      <w:r w:rsidR="00F16D2A">
        <w:rPr>
          <w:iCs/>
          <w:szCs w:val="22"/>
          <w:lang w:eastAsia="en-US"/>
        </w:rPr>
        <w:t>fulvestranto ir placebo derinio</w:t>
      </w:r>
      <w:r w:rsidRPr="000C3A64">
        <w:rPr>
          <w:iCs/>
          <w:szCs w:val="22"/>
          <w:lang w:eastAsia="en-US"/>
        </w:rPr>
        <w:t xml:space="preserve"> bei stratifikuotos pagal dokumentuotą</w:t>
      </w:r>
      <w:r w:rsidR="00F16D2A">
        <w:rPr>
          <w:iCs/>
          <w:szCs w:val="22"/>
          <w:lang w:eastAsia="en-US"/>
        </w:rPr>
        <w:t xml:space="preserve"> </w:t>
      </w:r>
      <w:r w:rsidRPr="000C3A64">
        <w:rPr>
          <w:iCs/>
          <w:szCs w:val="22"/>
          <w:lang w:eastAsia="en-US"/>
        </w:rPr>
        <w:t xml:space="preserve">jautrumą ankstesniam hormoniniam gydymui, menopauzės buvimą </w:t>
      </w:r>
      <w:r w:rsidRPr="000C3A64">
        <w:rPr>
          <w:iCs/>
          <w:szCs w:val="22"/>
          <w:lang w:eastAsia="en-US"/>
        </w:rPr>
        <w:lastRenderedPageBreak/>
        <w:t>įtraukiant į tyrimą (iki menopauzės</w:t>
      </w:r>
      <w:r w:rsidR="00F16D2A">
        <w:rPr>
          <w:iCs/>
          <w:szCs w:val="22"/>
          <w:lang w:eastAsia="en-US"/>
        </w:rPr>
        <w:t xml:space="preserve"> </w:t>
      </w:r>
      <w:r w:rsidRPr="000C3A64">
        <w:rPr>
          <w:iCs/>
          <w:szCs w:val="22"/>
          <w:lang w:eastAsia="en-US"/>
        </w:rPr>
        <w:t>ar perimenopauzės laikotarpiu plg. su po menopauzės) ir visceralinių metastazių buvimą. Moterys iki</w:t>
      </w:r>
      <w:r w:rsidR="00F16D2A">
        <w:rPr>
          <w:iCs/>
          <w:szCs w:val="22"/>
          <w:lang w:eastAsia="en-US"/>
        </w:rPr>
        <w:t xml:space="preserve"> </w:t>
      </w:r>
      <w:r w:rsidRPr="000C3A64">
        <w:rPr>
          <w:iCs/>
          <w:szCs w:val="22"/>
          <w:lang w:eastAsia="en-US"/>
        </w:rPr>
        <w:t>menopauzės ir perimenopauzės laikotarpiu dar vartojo LHRH agonistą gosereliną. Progresavusiu ar</w:t>
      </w:r>
      <w:r w:rsidR="00F16D2A">
        <w:rPr>
          <w:iCs/>
          <w:szCs w:val="22"/>
          <w:lang w:eastAsia="en-US"/>
        </w:rPr>
        <w:t xml:space="preserve"> </w:t>
      </w:r>
      <w:r w:rsidRPr="000C3A64">
        <w:rPr>
          <w:iCs/>
          <w:szCs w:val="22"/>
          <w:lang w:eastAsia="en-US"/>
        </w:rPr>
        <w:t>metastazavusiu, simptominiu, turėjusių visceralinių metastazių vėžiu sirgusių pacienčių nebuvo</w:t>
      </w:r>
      <w:r w:rsidR="00F16D2A">
        <w:rPr>
          <w:iCs/>
          <w:szCs w:val="22"/>
          <w:lang w:eastAsia="en-US"/>
        </w:rPr>
        <w:t xml:space="preserve"> </w:t>
      </w:r>
      <w:r w:rsidRPr="000C3A64">
        <w:rPr>
          <w:iCs/>
          <w:szCs w:val="22"/>
          <w:lang w:eastAsia="en-US"/>
        </w:rPr>
        <w:t>leidžiama įtraukti į šį tyrimą, jei buvo gyvybei pavojingų komplikacijų rizika trumpuoju laikotarpiu</w:t>
      </w:r>
      <w:r w:rsidR="00F16D2A">
        <w:rPr>
          <w:iCs/>
          <w:szCs w:val="22"/>
          <w:lang w:eastAsia="en-US"/>
        </w:rPr>
        <w:t xml:space="preserve"> </w:t>
      </w:r>
      <w:r w:rsidRPr="000C3A64">
        <w:rPr>
          <w:iCs/>
          <w:szCs w:val="22"/>
          <w:lang w:eastAsia="en-US"/>
        </w:rPr>
        <w:t>esant didelių nekontroliuojamų efuzijų (pleuroje, perikarde ar pilvaplėvėje), plaučių limfangitui arba</w:t>
      </w:r>
      <w:r w:rsidR="00F16D2A">
        <w:rPr>
          <w:iCs/>
          <w:szCs w:val="22"/>
          <w:lang w:eastAsia="en-US"/>
        </w:rPr>
        <w:t xml:space="preserve"> </w:t>
      </w:r>
      <w:r w:rsidRPr="000C3A64">
        <w:rPr>
          <w:iCs/>
          <w:szCs w:val="22"/>
          <w:lang w:eastAsia="en-US"/>
        </w:rPr>
        <w:t>daugiau kaip 50</w:t>
      </w:r>
      <w:r w:rsidR="00FC03AF">
        <w:rPr>
          <w:iCs/>
          <w:szCs w:val="22"/>
          <w:lang w:eastAsia="en-US"/>
        </w:rPr>
        <w:t> </w:t>
      </w:r>
      <w:r w:rsidRPr="000C3A64">
        <w:rPr>
          <w:iCs/>
          <w:szCs w:val="22"/>
          <w:lang w:eastAsia="en-US"/>
        </w:rPr>
        <w:t>% pažeistoms kepenims.</w:t>
      </w:r>
    </w:p>
    <w:p w14:paraId="29C88423" w14:textId="77777777" w:rsidR="00F16D2A" w:rsidRDefault="00F16D2A" w:rsidP="000C3A64">
      <w:pPr>
        <w:rPr>
          <w:iCs/>
          <w:szCs w:val="22"/>
          <w:lang w:eastAsia="en-US"/>
        </w:rPr>
      </w:pPr>
    </w:p>
    <w:p w14:paraId="0C81FCF9" w14:textId="77777777" w:rsidR="000C3A64" w:rsidRPr="000C3A64" w:rsidRDefault="000C3A64" w:rsidP="000C3A64">
      <w:pPr>
        <w:rPr>
          <w:iCs/>
          <w:szCs w:val="22"/>
          <w:lang w:eastAsia="en-US"/>
        </w:rPr>
      </w:pPr>
      <w:r w:rsidRPr="000C3A64">
        <w:rPr>
          <w:iCs/>
          <w:szCs w:val="22"/>
          <w:lang w:eastAsia="en-US"/>
        </w:rPr>
        <w:t>Paskirtas gydymas taikytas iki pirmojo iš šių įvykių: objektyvaus ligos progresavimo, simptomų</w:t>
      </w:r>
      <w:r w:rsidR="00F16D2A">
        <w:rPr>
          <w:iCs/>
          <w:szCs w:val="22"/>
          <w:lang w:eastAsia="en-US"/>
        </w:rPr>
        <w:t xml:space="preserve"> </w:t>
      </w:r>
      <w:r w:rsidRPr="000C3A64">
        <w:rPr>
          <w:iCs/>
          <w:szCs w:val="22"/>
          <w:lang w:eastAsia="en-US"/>
        </w:rPr>
        <w:t>pasunkėjimo, nepriimtino toksinio poveikio pasireiškimo, mirties arba sutikimo dalyvauti atšaukimo.</w:t>
      </w:r>
      <w:r w:rsidR="00F16D2A">
        <w:rPr>
          <w:iCs/>
          <w:szCs w:val="22"/>
          <w:lang w:eastAsia="en-US"/>
        </w:rPr>
        <w:t xml:space="preserve"> </w:t>
      </w:r>
      <w:r w:rsidRPr="000C3A64">
        <w:rPr>
          <w:iCs/>
          <w:szCs w:val="22"/>
          <w:lang w:eastAsia="en-US"/>
        </w:rPr>
        <w:t>Pacienčių perkėlimas iš vienos grupės į kitą buvo neleidžiamas.</w:t>
      </w:r>
    </w:p>
    <w:p w14:paraId="71D29028" w14:textId="77777777" w:rsidR="00F16D2A" w:rsidRDefault="00F16D2A" w:rsidP="000C3A64">
      <w:pPr>
        <w:rPr>
          <w:iCs/>
          <w:szCs w:val="22"/>
          <w:lang w:eastAsia="en-US"/>
        </w:rPr>
      </w:pPr>
    </w:p>
    <w:p w14:paraId="35F1351C" w14:textId="06F3E283" w:rsidR="000C3A64" w:rsidRPr="000C3A64" w:rsidRDefault="00F16D2A" w:rsidP="000C3A64">
      <w:pPr>
        <w:rPr>
          <w:iCs/>
          <w:szCs w:val="22"/>
          <w:lang w:eastAsia="en-US"/>
        </w:rPr>
      </w:pPr>
      <w:r>
        <w:rPr>
          <w:iCs/>
          <w:szCs w:val="22"/>
          <w:lang w:eastAsia="en-US"/>
        </w:rPr>
        <w:t>F</w:t>
      </w:r>
      <w:r w:rsidRPr="00F16D2A">
        <w:rPr>
          <w:iCs/>
          <w:szCs w:val="22"/>
          <w:lang w:eastAsia="en-US"/>
        </w:rPr>
        <w:t xml:space="preserve">ulvestranto derinio su palbociklibu </w:t>
      </w:r>
      <w:r>
        <w:rPr>
          <w:iCs/>
          <w:szCs w:val="22"/>
          <w:lang w:eastAsia="en-US"/>
        </w:rPr>
        <w:t>ir</w:t>
      </w:r>
      <w:r w:rsidRPr="00F16D2A">
        <w:rPr>
          <w:iCs/>
          <w:szCs w:val="22"/>
          <w:lang w:eastAsia="en-US"/>
        </w:rPr>
        <w:t xml:space="preserve"> fulvestranto derinio </w:t>
      </w:r>
      <w:r>
        <w:rPr>
          <w:iCs/>
          <w:szCs w:val="22"/>
          <w:lang w:eastAsia="en-US"/>
        </w:rPr>
        <w:t xml:space="preserve">su </w:t>
      </w:r>
      <w:r w:rsidRPr="00F16D2A">
        <w:rPr>
          <w:iCs/>
          <w:szCs w:val="22"/>
          <w:lang w:eastAsia="en-US"/>
        </w:rPr>
        <w:t>placeb</w:t>
      </w:r>
      <w:r>
        <w:rPr>
          <w:iCs/>
          <w:szCs w:val="22"/>
          <w:lang w:eastAsia="en-US"/>
        </w:rPr>
        <w:t>u</w:t>
      </w:r>
      <w:r w:rsidRPr="000C3A64">
        <w:rPr>
          <w:iCs/>
          <w:szCs w:val="22"/>
          <w:lang w:eastAsia="en-US"/>
        </w:rPr>
        <w:t xml:space="preserve"> </w:t>
      </w:r>
      <w:r w:rsidR="000C3A64" w:rsidRPr="000C3A64">
        <w:rPr>
          <w:iCs/>
          <w:szCs w:val="22"/>
          <w:lang w:eastAsia="en-US"/>
        </w:rPr>
        <w:t>grupių pacienčių pradinės demografinės ir</w:t>
      </w:r>
      <w:r>
        <w:rPr>
          <w:iCs/>
          <w:szCs w:val="22"/>
          <w:lang w:eastAsia="en-US"/>
        </w:rPr>
        <w:t xml:space="preserve"> </w:t>
      </w:r>
      <w:r w:rsidR="000C3A64" w:rsidRPr="000C3A64">
        <w:rPr>
          <w:iCs/>
          <w:szCs w:val="22"/>
          <w:lang w:eastAsia="en-US"/>
        </w:rPr>
        <w:t>prognozinės savybės gerai atitiko. Į šį tyrimą įtrauktų pacienčių amžiaus mediana buvo 57</w:t>
      </w:r>
      <w:r w:rsidR="00FC03AF">
        <w:rPr>
          <w:iCs/>
          <w:szCs w:val="22"/>
          <w:lang w:eastAsia="en-US"/>
        </w:rPr>
        <w:t> </w:t>
      </w:r>
      <w:r w:rsidR="000C3A64" w:rsidRPr="000C3A64">
        <w:rPr>
          <w:iCs/>
          <w:szCs w:val="22"/>
          <w:lang w:eastAsia="en-US"/>
        </w:rPr>
        <w:t>metai</w:t>
      </w:r>
      <w:r>
        <w:rPr>
          <w:iCs/>
          <w:szCs w:val="22"/>
          <w:lang w:eastAsia="en-US"/>
        </w:rPr>
        <w:t xml:space="preserve"> </w:t>
      </w:r>
      <w:r w:rsidR="000C3A64" w:rsidRPr="000C3A64">
        <w:rPr>
          <w:iCs/>
          <w:szCs w:val="22"/>
          <w:lang w:eastAsia="en-US"/>
        </w:rPr>
        <w:t>(diapazonas – nuo 29 iki 88</w:t>
      </w:r>
      <w:r w:rsidR="00FC03AF">
        <w:rPr>
          <w:iCs/>
          <w:szCs w:val="22"/>
          <w:lang w:eastAsia="en-US"/>
        </w:rPr>
        <w:t> </w:t>
      </w:r>
      <w:r w:rsidR="000C3A64" w:rsidRPr="000C3A64">
        <w:rPr>
          <w:iCs/>
          <w:szCs w:val="22"/>
          <w:lang w:eastAsia="en-US"/>
        </w:rPr>
        <w:t>metų). Dauguma ab</w:t>
      </w:r>
      <w:r w:rsidR="003B6B39">
        <w:rPr>
          <w:iCs/>
          <w:szCs w:val="22"/>
          <w:lang w:eastAsia="en-US"/>
        </w:rPr>
        <w:t>i</w:t>
      </w:r>
      <w:r w:rsidR="000C3A64" w:rsidRPr="000C3A64">
        <w:rPr>
          <w:iCs/>
          <w:szCs w:val="22"/>
          <w:lang w:eastAsia="en-US"/>
        </w:rPr>
        <w:t>ejų grupių pacienčių buvo baltaodės, įtrauktos po</w:t>
      </w:r>
      <w:r>
        <w:rPr>
          <w:iCs/>
          <w:szCs w:val="22"/>
          <w:lang w:eastAsia="en-US"/>
        </w:rPr>
        <w:t xml:space="preserve"> </w:t>
      </w:r>
      <w:r w:rsidR="000C3A64" w:rsidRPr="000C3A64">
        <w:rPr>
          <w:iCs/>
          <w:szCs w:val="22"/>
          <w:lang w:eastAsia="en-US"/>
        </w:rPr>
        <w:t>menopauzės ir turėjo dokumentuotą jautrumą ankstesniam hormoniniam gydymui. Maždaug 20</w:t>
      </w:r>
      <w:r w:rsidR="00FC03AF">
        <w:rPr>
          <w:iCs/>
          <w:szCs w:val="22"/>
          <w:lang w:eastAsia="en-US"/>
        </w:rPr>
        <w:t> </w:t>
      </w:r>
      <w:r w:rsidR="000C3A64" w:rsidRPr="000C3A64">
        <w:rPr>
          <w:iCs/>
          <w:szCs w:val="22"/>
          <w:lang w:eastAsia="en-US"/>
        </w:rPr>
        <w:t>%</w:t>
      </w:r>
      <w:r>
        <w:rPr>
          <w:iCs/>
          <w:szCs w:val="22"/>
          <w:lang w:eastAsia="en-US"/>
        </w:rPr>
        <w:t xml:space="preserve"> </w:t>
      </w:r>
      <w:r w:rsidR="000C3A64" w:rsidRPr="000C3A64">
        <w:rPr>
          <w:iCs/>
          <w:szCs w:val="22"/>
          <w:lang w:eastAsia="en-US"/>
        </w:rPr>
        <w:t>pacienčių įtrauktos iki menopauzės arba perimenopauzės laikotarpiu. Visoms joms anksčiau taikytas</w:t>
      </w:r>
      <w:r>
        <w:rPr>
          <w:iCs/>
          <w:szCs w:val="22"/>
          <w:lang w:eastAsia="en-US"/>
        </w:rPr>
        <w:t xml:space="preserve"> </w:t>
      </w:r>
      <w:r w:rsidR="000C3A64" w:rsidRPr="000C3A64">
        <w:rPr>
          <w:iCs/>
          <w:szCs w:val="22"/>
          <w:lang w:eastAsia="en-US"/>
        </w:rPr>
        <w:t>sisteminis gydymas, daugumai kiekvienos grupės pacienčių – chemoterapija dėl pagrindinės</w:t>
      </w:r>
      <w:r>
        <w:rPr>
          <w:iCs/>
          <w:szCs w:val="22"/>
          <w:lang w:eastAsia="en-US"/>
        </w:rPr>
        <w:t xml:space="preserve"> </w:t>
      </w:r>
      <w:r w:rsidR="000C3A64" w:rsidRPr="000C3A64">
        <w:rPr>
          <w:iCs/>
          <w:szCs w:val="22"/>
          <w:lang w:eastAsia="en-US"/>
        </w:rPr>
        <w:t>diagnozės. Daugiau kaip pusės (62</w:t>
      </w:r>
      <w:r w:rsidR="00FC03AF">
        <w:rPr>
          <w:iCs/>
          <w:szCs w:val="22"/>
          <w:lang w:eastAsia="en-US"/>
        </w:rPr>
        <w:t> </w:t>
      </w:r>
      <w:r w:rsidR="000C3A64" w:rsidRPr="000C3A64">
        <w:rPr>
          <w:iCs/>
          <w:szCs w:val="22"/>
          <w:lang w:eastAsia="en-US"/>
        </w:rPr>
        <w:t>%) pacienčių fizinė būklė pagal ECOG įvertinta 0 balų, 60</w:t>
      </w:r>
      <w:r w:rsidR="00FC03AF">
        <w:rPr>
          <w:iCs/>
          <w:szCs w:val="22"/>
          <w:lang w:eastAsia="en-US"/>
        </w:rPr>
        <w:t> </w:t>
      </w:r>
      <w:r w:rsidR="000C3A64" w:rsidRPr="000C3A64">
        <w:rPr>
          <w:iCs/>
          <w:szCs w:val="22"/>
          <w:lang w:eastAsia="en-US"/>
        </w:rPr>
        <w:t>%</w:t>
      </w:r>
      <w:r>
        <w:rPr>
          <w:iCs/>
          <w:szCs w:val="22"/>
          <w:lang w:eastAsia="en-US"/>
        </w:rPr>
        <w:t xml:space="preserve"> </w:t>
      </w:r>
      <w:r w:rsidR="000C3A64" w:rsidRPr="000C3A64">
        <w:rPr>
          <w:iCs/>
          <w:szCs w:val="22"/>
          <w:lang w:eastAsia="en-US"/>
        </w:rPr>
        <w:t>turėjo visceralinių metastazių, 60</w:t>
      </w:r>
      <w:r w:rsidR="00FC03AF">
        <w:rPr>
          <w:iCs/>
          <w:szCs w:val="22"/>
          <w:lang w:eastAsia="en-US"/>
        </w:rPr>
        <w:t> </w:t>
      </w:r>
      <w:r w:rsidR="000C3A64" w:rsidRPr="000C3A64">
        <w:rPr>
          <w:iCs/>
          <w:szCs w:val="22"/>
          <w:lang w:eastAsia="en-US"/>
        </w:rPr>
        <w:t>% anksčiau taikytas daugiau kaip 1 hormoninis gydymas dėl</w:t>
      </w:r>
      <w:r>
        <w:rPr>
          <w:iCs/>
          <w:szCs w:val="22"/>
          <w:lang w:eastAsia="en-US"/>
        </w:rPr>
        <w:t xml:space="preserve"> </w:t>
      </w:r>
      <w:r w:rsidR="000C3A64" w:rsidRPr="000C3A64">
        <w:rPr>
          <w:iCs/>
          <w:szCs w:val="22"/>
          <w:lang w:eastAsia="en-US"/>
        </w:rPr>
        <w:t>pagrindinės ligos.</w:t>
      </w:r>
    </w:p>
    <w:p w14:paraId="018F4047" w14:textId="77777777" w:rsidR="00F16D2A" w:rsidRDefault="00F16D2A" w:rsidP="000C3A64">
      <w:pPr>
        <w:rPr>
          <w:iCs/>
          <w:szCs w:val="22"/>
          <w:lang w:eastAsia="en-US"/>
        </w:rPr>
      </w:pPr>
    </w:p>
    <w:p w14:paraId="6FA193BF" w14:textId="0191556B" w:rsidR="000C3A64" w:rsidRPr="000C3A64" w:rsidRDefault="000C3A64" w:rsidP="000C3A64">
      <w:pPr>
        <w:rPr>
          <w:iCs/>
          <w:szCs w:val="22"/>
          <w:lang w:eastAsia="en-US"/>
        </w:rPr>
      </w:pPr>
      <w:r w:rsidRPr="000C3A64">
        <w:rPr>
          <w:iCs/>
          <w:szCs w:val="22"/>
          <w:lang w:eastAsia="en-US"/>
        </w:rPr>
        <w:t>Pagrindinė šio tyrimo vertinamoji baigtis buvo tyrėjo nustatytas PFS pagal RECIST 1.1. Papildomos</w:t>
      </w:r>
      <w:r w:rsidR="00F16D2A">
        <w:rPr>
          <w:iCs/>
          <w:szCs w:val="22"/>
          <w:lang w:eastAsia="en-US"/>
        </w:rPr>
        <w:t xml:space="preserve"> </w:t>
      </w:r>
      <w:r w:rsidRPr="000C3A64">
        <w:rPr>
          <w:iCs/>
          <w:szCs w:val="22"/>
          <w:lang w:eastAsia="en-US"/>
        </w:rPr>
        <w:t>PFS analizės atliktos remiantis nepriklausomais centralizuotais radiologiniais vertinimais (</w:t>
      </w:r>
      <w:r w:rsidRPr="00901F66">
        <w:rPr>
          <w:i/>
          <w:iCs/>
          <w:szCs w:val="22"/>
          <w:lang w:eastAsia="en-US"/>
        </w:rPr>
        <w:t>angl.</w:t>
      </w:r>
      <w:r w:rsidR="00F16D2A" w:rsidRPr="00901F66">
        <w:rPr>
          <w:i/>
          <w:iCs/>
          <w:szCs w:val="22"/>
          <w:lang w:eastAsia="en-US"/>
        </w:rPr>
        <w:t xml:space="preserve"> </w:t>
      </w:r>
      <w:r w:rsidRPr="00901F66">
        <w:rPr>
          <w:i/>
          <w:iCs/>
          <w:szCs w:val="22"/>
          <w:lang w:eastAsia="en-US"/>
        </w:rPr>
        <w:t>Independent Central Radiology Review</w:t>
      </w:r>
      <w:r w:rsidRPr="000C3A64">
        <w:rPr>
          <w:iCs/>
          <w:szCs w:val="22"/>
          <w:lang w:eastAsia="en-US"/>
        </w:rPr>
        <w:t>). Antr</w:t>
      </w:r>
      <w:r w:rsidR="00F16D2A">
        <w:rPr>
          <w:iCs/>
          <w:szCs w:val="22"/>
          <w:lang w:eastAsia="en-US"/>
        </w:rPr>
        <w:t>aeilės</w:t>
      </w:r>
      <w:r w:rsidRPr="000C3A64">
        <w:rPr>
          <w:iCs/>
          <w:szCs w:val="22"/>
          <w:lang w:eastAsia="en-US"/>
        </w:rPr>
        <w:t xml:space="preserve"> vertinamosios baigtys buvo OR, CBR, </w:t>
      </w:r>
      <w:r w:rsidR="00C65C78">
        <w:rPr>
          <w:iCs/>
          <w:szCs w:val="22"/>
          <w:lang w:eastAsia="en-US"/>
        </w:rPr>
        <w:t>bendras išgyventas laikotarpis (</w:t>
      </w:r>
      <w:r w:rsidR="00BC02B7" w:rsidRPr="00901F66">
        <w:rPr>
          <w:i/>
          <w:szCs w:val="22"/>
          <w:lang w:eastAsia="en-US"/>
        </w:rPr>
        <w:t>angl. overall survival</w:t>
      </w:r>
      <w:r w:rsidR="00BC02B7" w:rsidRPr="000C3A64">
        <w:rPr>
          <w:iCs/>
          <w:szCs w:val="22"/>
          <w:lang w:eastAsia="en-US"/>
        </w:rPr>
        <w:t xml:space="preserve"> </w:t>
      </w:r>
      <w:r w:rsidRPr="000C3A64">
        <w:rPr>
          <w:iCs/>
          <w:szCs w:val="22"/>
          <w:lang w:eastAsia="en-US"/>
        </w:rPr>
        <w:t>OS</w:t>
      </w:r>
      <w:r w:rsidR="00C65C78">
        <w:rPr>
          <w:iCs/>
          <w:szCs w:val="22"/>
          <w:lang w:eastAsia="en-US"/>
        </w:rPr>
        <w:t>)</w:t>
      </w:r>
      <w:r w:rsidRPr="000C3A64">
        <w:rPr>
          <w:iCs/>
          <w:szCs w:val="22"/>
          <w:lang w:eastAsia="en-US"/>
        </w:rPr>
        <w:t>,</w:t>
      </w:r>
      <w:r w:rsidR="00F16D2A">
        <w:rPr>
          <w:iCs/>
          <w:szCs w:val="22"/>
          <w:lang w:eastAsia="en-US"/>
        </w:rPr>
        <w:t xml:space="preserve"> </w:t>
      </w:r>
      <w:r w:rsidRPr="000C3A64">
        <w:rPr>
          <w:iCs/>
          <w:szCs w:val="22"/>
          <w:lang w:eastAsia="en-US"/>
        </w:rPr>
        <w:t>saugumas ir laikas iki skausmo sustiprėjimo (</w:t>
      </w:r>
      <w:r w:rsidRPr="00901F66">
        <w:rPr>
          <w:i/>
          <w:iCs/>
          <w:szCs w:val="22"/>
          <w:lang w:eastAsia="en-US"/>
        </w:rPr>
        <w:t>angl. time-to-deterioration, TTD</w:t>
      </w:r>
      <w:r w:rsidRPr="000C3A64">
        <w:rPr>
          <w:iCs/>
          <w:szCs w:val="22"/>
          <w:lang w:eastAsia="en-US"/>
        </w:rPr>
        <w:t>).</w:t>
      </w:r>
    </w:p>
    <w:p w14:paraId="24ADE9D2" w14:textId="77777777" w:rsidR="00F16D2A" w:rsidRDefault="00F16D2A" w:rsidP="000C3A64">
      <w:pPr>
        <w:rPr>
          <w:iCs/>
          <w:szCs w:val="22"/>
          <w:lang w:eastAsia="en-US"/>
        </w:rPr>
      </w:pPr>
    </w:p>
    <w:p w14:paraId="3EEFDDCD" w14:textId="0FAE5532" w:rsidR="000C3A64" w:rsidRPr="000C3A64" w:rsidRDefault="000C3A64" w:rsidP="000C3A64">
      <w:pPr>
        <w:rPr>
          <w:iCs/>
          <w:szCs w:val="22"/>
          <w:lang w:eastAsia="en-US"/>
        </w:rPr>
      </w:pPr>
      <w:r w:rsidRPr="000C3A64">
        <w:rPr>
          <w:iCs/>
          <w:szCs w:val="22"/>
          <w:lang w:eastAsia="en-US"/>
        </w:rPr>
        <w:t>Šio tyrimo metu atlikus tarpinę analizę (po 82</w:t>
      </w:r>
      <w:r w:rsidR="00FC03AF">
        <w:rPr>
          <w:iCs/>
          <w:szCs w:val="22"/>
          <w:lang w:eastAsia="en-US"/>
        </w:rPr>
        <w:t> </w:t>
      </w:r>
      <w:r w:rsidRPr="000C3A64">
        <w:rPr>
          <w:iCs/>
          <w:szCs w:val="22"/>
          <w:lang w:eastAsia="en-US"/>
        </w:rPr>
        <w:t>% planuotų PFS atvejų), įrodytas veiksmingumas pagal</w:t>
      </w:r>
      <w:r w:rsidR="00F16D2A">
        <w:rPr>
          <w:iCs/>
          <w:szCs w:val="22"/>
          <w:lang w:eastAsia="en-US"/>
        </w:rPr>
        <w:t xml:space="preserve"> </w:t>
      </w:r>
      <w:r w:rsidRPr="000C3A64">
        <w:rPr>
          <w:iCs/>
          <w:szCs w:val="22"/>
          <w:lang w:eastAsia="en-US"/>
        </w:rPr>
        <w:t>pagrindinę vertinamąją baigtį – tyrėjo nustatytą PFS pailgėjimą. Duomenys peržengė iš anksto</w:t>
      </w:r>
      <w:r w:rsidR="00F16D2A">
        <w:rPr>
          <w:iCs/>
          <w:szCs w:val="22"/>
          <w:lang w:eastAsia="en-US"/>
        </w:rPr>
        <w:t xml:space="preserve"> </w:t>
      </w:r>
      <w:r w:rsidRPr="000C3A64">
        <w:rPr>
          <w:iCs/>
          <w:szCs w:val="22"/>
          <w:lang w:eastAsia="en-US"/>
        </w:rPr>
        <w:t>numatytą Haybittle-Peto veiksmingumo ribą (α=0,00135) – tai rodo statistikai reikšmingai pailgėjusį</w:t>
      </w:r>
      <w:r w:rsidR="00F16D2A">
        <w:rPr>
          <w:iCs/>
          <w:szCs w:val="22"/>
          <w:lang w:eastAsia="en-US"/>
        </w:rPr>
        <w:t xml:space="preserve"> </w:t>
      </w:r>
      <w:r w:rsidRPr="000C3A64">
        <w:rPr>
          <w:iCs/>
          <w:szCs w:val="22"/>
          <w:lang w:eastAsia="en-US"/>
        </w:rPr>
        <w:t>PFS ir kliniškai reikšmingą gydomąjį poveikį. Atnaujinti (labiau subrendę) veiksmingumo duomenys</w:t>
      </w:r>
      <w:r w:rsidR="00F16D2A">
        <w:rPr>
          <w:iCs/>
          <w:szCs w:val="22"/>
          <w:lang w:eastAsia="en-US"/>
        </w:rPr>
        <w:t xml:space="preserve"> </w:t>
      </w:r>
      <w:r w:rsidRPr="000C3A64">
        <w:rPr>
          <w:iCs/>
          <w:szCs w:val="22"/>
          <w:lang w:eastAsia="en-US"/>
        </w:rPr>
        <w:t>pateikiami 5 lentelėje.</w:t>
      </w:r>
    </w:p>
    <w:p w14:paraId="131CEA60" w14:textId="70D39179" w:rsidR="00F16D2A" w:rsidRDefault="00F16D2A" w:rsidP="000C3A64">
      <w:pPr>
        <w:rPr>
          <w:iCs/>
          <w:szCs w:val="22"/>
          <w:lang w:eastAsia="en-US"/>
        </w:rPr>
      </w:pPr>
    </w:p>
    <w:p w14:paraId="0949E388" w14:textId="1945E447" w:rsidR="00A320CC" w:rsidRPr="00A320CC" w:rsidRDefault="00A320CC" w:rsidP="00A320CC">
      <w:pPr>
        <w:rPr>
          <w:iCs/>
          <w:szCs w:val="22"/>
          <w:lang w:eastAsia="en-US"/>
        </w:rPr>
      </w:pPr>
      <w:r w:rsidRPr="00A320CC">
        <w:rPr>
          <w:iCs/>
          <w:szCs w:val="22"/>
          <w:lang w:eastAsia="en-US"/>
        </w:rPr>
        <w:t xml:space="preserve">Po stebėjimo, kurio trukmės mediana buvo 45 mėn., atlikta galutinė OS analizė remiantis 310 </w:t>
      </w:r>
      <w:r w:rsidR="004D4AF7">
        <w:rPr>
          <w:iCs/>
          <w:szCs w:val="22"/>
          <w:lang w:eastAsia="en-US"/>
        </w:rPr>
        <w:t>atvejų</w:t>
      </w:r>
      <w:r>
        <w:rPr>
          <w:iCs/>
          <w:szCs w:val="22"/>
          <w:lang w:eastAsia="en-US"/>
        </w:rPr>
        <w:t xml:space="preserve"> </w:t>
      </w:r>
      <w:r w:rsidRPr="00A320CC">
        <w:rPr>
          <w:iCs/>
          <w:szCs w:val="22"/>
          <w:lang w:eastAsia="en-US"/>
        </w:rPr>
        <w:t>(60 % randomizuotų pacienčių). Palbociklibo ir fulvestranto derinio grupės pacienčių OS mediana</w:t>
      </w:r>
      <w:r w:rsidR="004D4AF7">
        <w:rPr>
          <w:iCs/>
          <w:szCs w:val="22"/>
          <w:lang w:eastAsia="en-US"/>
        </w:rPr>
        <w:t xml:space="preserve"> </w:t>
      </w:r>
      <w:r w:rsidRPr="00A320CC">
        <w:rPr>
          <w:iCs/>
          <w:szCs w:val="22"/>
          <w:lang w:eastAsia="en-US"/>
        </w:rPr>
        <w:t>skyrėsi 6,9 mėn. nuo placebo ir fulvestranto derino grupės, tačiau šis skirtumas nesiekė pasirinkto</w:t>
      </w:r>
      <w:r w:rsidR="004D4AF7">
        <w:rPr>
          <w:iCs/>
          <w:szCs w:val="22"/>
          <w:lang w:eastAsia="en-US"/>
        </w:rPr>
        <w:t xml:space="preserve"> </w:t>
      </w:r>
      <w:r w:rsidRPr="00A320CC">
        <w:rPr>
          <w:iCs/>
          <w:szCs w:val="22"/>
          <w:lang w:eastAsia="en-US"/>
        </w:rPr>
        <w:t>statistinio reikšmingumo lygmens 0,0235 (vienpusio). 15,5</w:t>
      </w:r>
      <w:r w:rsidR="004D4AF7">
        <w:rPr>
          <w:iCs/>
          <w:szCs w:val="22"/>
          <w:lang w:eastAsia="en-US"/>
        </w:rPr>
        <w:t> </w:t>
      </w:r>
      <w:r w:rsidRPr="00A320CC">
        <w:rPr>
          <w:iCs/>
          <w:szCs w:val="22"/>
          <w:lang w:eastAsia="en-US"/>
        </w:rPr>
        <w:t>% į placebo ir fulvestranto derinio grupę</w:t>
      </w:r>
      <w:r w:rsidR="004D4AF7">
        <w:rPr>
          <w:iCs/>
          <w:szCs w:val="22"/>
          <w:lang w:eastAsia="en-US"/>
        </w:rPr>
        <w:t xml:space="preserve"> </w:t>
      </w:r>
      <w:r w:rsidRPr="00A320CC">
        <w:rPr>
          <w:iCs/>
          <w:szCs w:val="22"/>
          <w:lang w:eastAsia="en-US"/>
        </w:rPr>
        <w:t>randomizuotų pacienčių vartojo palbociklib</w:t>
      </w:r>
      <w:r w:rsidR="004D4AF7">
        <w:rPr>
          <w:iCs/>
          <w:szCs w:val="22"/>
          <w:lang w:eastAsia="en-US"/>
        </w:rPr>
        <w:t>o</w:t>
      </w:r>
      <w:r w:rsidRPr="00A320CC">
        <w:rPr>
          <w:iCs/>
          <w:szCs w:val="22"/>
          <w:lang w:eastAsia="en-US"/>
        </w:rPr>
        <w:t xml:space="preserve"> ir kitų CDK inhibitorių vėlesniam gydymui pasireiškus</w:t>
      </w:r>
      <w:r w:rsidR="004D4AF7">
        <w:rPr>
          <w:iCs/>
          <w:szCs w:val="22"/>
          <w:lang w:eastAsia="en-US"/>
        </w:rPr>
        <w:t xml:space="preserve"> </w:t>
      </w:r>
      <w:r w:rsidRPr="00A320CC">
        <w:rPr>
          <w:iCs/>
          <w:szCs w:val="22"/>
          <w:lang w:eastAsia="en-US"/>
        </w:rPr>
        <w:t>ligos progresavimui.</w:t>
      </w:r>
    </w:p>
    <w:p w14:paraId="12F42B46" w14:textId="77777777" w:rsidR="004D4AF7" w:rsidRDefault="004D4AF7" w:rsidP="00A320CC">
      <w:pPr>
        <w:rPr>
          <w:iCs/>
          <w:szCs w:val="22"/>
          <w:lang w:eastAsia="en-US"/>
        </w:rPr>
      </w:pPr>
    </w:p>
    <w:p w14:paraId="7F80CB7C" w14:textId="71945D07" w:rsidR="00A320CC" w:rsidRDefault="00A320CC" w:rsidP="00A320CC">
      <w:pPr>
        <w:rPr>
          <w:iCs/>
          <w:szCs w:val="22"/>
          <w:lang w:eastAsia="en-US"/>
        </w:rPr>
      </w:pPr>
      <w:r w:rsidRPr="00A320CC">
        <w:rPr>
          <w:iCs/>
          <w:szCs w:val="22"/>
          <w:lang w:eastAsia="en-US"/>
        </w:rPr>
        <w:t>PALOMA3 tyrimo PFS (tyrėjo vertinimu) ir galutiniai OS duomenys pateikiami 5 lentelėje.</w:t>
      </w:r>
      <w:r w:rsidR="004D4AF7">
        <w:rPr>
          <w:iCs/>
          <w:szCs w:val="22"/>
          <w:lang w:eastAsia="en-US"/>
        </w:rPr>
        <w:t xml:space="preserve"> </w:t>
      </w:r>
      <w:r w:rsidRPr="00A320CC">
        <w:rPr>
          <w:iCs/>
          <w:szCs w:val="22"/>
          <w:lang w:eastAsia="en-US"/>
        </w:rPr>
        <w:t>Atitinkamos Kaplan-Meier kreivės pateikiamos 2 ir 3 pav.</w:t>
      </w:r>
    </w:p>
    <w:p w14:paraId="0D8CBF64" w14:textId="77777777" w:rsidR="00A320CC" w:rsidRDefault="00A320CC" w:rsidP="000C3A64">
      <w:pPr>
        <w:rPr>
          <w:iCs/>
          <w:szCs w:val="22"/>
          <w:lang w:eastAsia="en-US"/>
        </w:rPr>
      </w:pPr>
    </w:p>
    <w:p w14:paraId="575823BD" w14:textId="77777777" w:rsidR="000C3A64" w:rsidRPr="00901F66" w:rsidRDefault="000C3A64" w:rsidP="00901F66">
      <w:pPr>
        <w:ind w:left="851" w:hanging="851"/>
        <w:rPr>
          <w:b/>
          <w:iCs/>
          <w:szCs w:val="22"/>
          <w:lang w:eastAsia="en-US"/>
        </w:rPr>
      </w:pPr>
      <w:r w:rsidRPr="00901F66">
        <w:rPr>
          <w:b/>
          <w:iCs/>
          <w:szCs w:val="22"/>
          <w:lang w:eastAsia="en-US"/>
        </w:rPr>
        <w:t>5 lentelė. Veiksmingumo duomenys, gauti PALOMA-3 tyrimo metu (tyrėjo vertinimu –</w:t>
      </w:r>
      <w:r w:rsidR="00F16D2A">
        <w:rPr>
          <w:b/>
          <w:iCs/>
          <w:szCs w:val="22"/>
          <w:lang w:eastAsia="en-US"/>
        </w:rPr>
        <w:t xml:space="preserve"> </w:t>
      </w:r>
      <w:r w:rsidRPr="00901F66">
        <w:rPr>
          <w:b/>
          <w:iCs/>
          <w:szCs w:val="22"/>
          <w:lang w:eastAsia="en-US"/>
        </w:rPr>
        <w:t>numatytai gydyti populiacijai)</w:t>
      </w:r>
    </w:p>
    <w:p w14:paraId="6B5FF2B5" w14:textId="77777777" w:rsidR="000C3A64" w:rsidRDefault="000C3A64" w:rsidP="004364B8">
      <w:pPr>
        <w:rPr>
          <w:i/>
          <w:iCs/>
          <w:szCs w:val="22"/>
          <w:lang w:eastAsia="en-US"/>
        </w:rPr>
      </w:pPr>
    </w:p>
    <w:tbl>
      <w:tblPr>
        <w:tblW w:w="9237" w:type="dxa"/>
        <w:tblInd w:w="113" w:type="dxa"/>
        <w:tblLayout w:type="fixed"/>
        <w:tblCellMar>
          <w:left w:w="0" w:type="dxa"/>
          <w:right w:w="0" w:type="dxa"/>
        </w:tblCellMar>
        <w:tblLook w:val="01E0" w:firstRow="1" w:lastRow="1" w:firstColumn="1" w:lastColumn="1" w:noHBand="0" w:noVBand="0"/>
      </w:tblPr>
      <w:tblGrid>
        <w:gridCol w:w="2736"/>
        <w:gridCol w:w="559"/>
        <w:gridCol w:w="2686"/>
        <w:gridCol w:w="3250"/>
        <w:gridCol w:w="6"/>
      </w:tblGrid>
      <w:tr w:rsidR="00F16D2A" w:rsidRPr="00F16D2A" w14:paraId="78CF2621" w14:textId="77777777" w:rsidTr="0077444B">
        <w:trPr>
          <w:trHeight w:hRule="exact" w:val="514"/>
        </w:trPr>
        <w:tc>
          <w:tcPr>
            <w:tcW w:w="3295" w:type="dxa"/>
            <w:gridSpan w:val="2"/>
            <w:vMerge w:val="restart"/>
            <w:tcBorders>
              <w:top w:val="single" w:sz="5" w:space="0" w:color="000000"/>
              <w:left w:val="single" w:sz="5" w:space="0" w:color="000000"/>
              <w:right w:val="single" w:sz="5" w:space="0" w:color="000000"/>
            </w:tcBorders>
          </w:tcPr>
          <w:p w14:paraId="5AEEFCEB" w14:textId="77777777" w:rsidR="00F16D2A" w:rsidRPr="00901F66" w:rsidRDefault="00F16D2A" w:rsidP="00F16D2A">
            <w:pPr>
              <w:rPr>
                <w:sz w:val="24"/>
                <w:lang w:eastAsia="en-US"/>
              </w:rPr>
            </w:pPr>
          </w:p>
        </w:tc>
        <w:tc>
          <w:tcPr>
            <w:tcW w:w="5936" w:type="dxa"/>
            <w:gridSpan w:val="3"/>
            <w:tcBorders>
              <w:top w:val="single" w:sz="5" w:space="0" w:color="000000"/>
              <w:left w:val="single" w:sz="5" w:space="0" w:color="000000"/>
              <w:bottom w:val="single" w:sz="5" w:space="0" w:color="000000"/>
              <w:right w:val="single" w:sz="5" w:space="0" w:color="000000"/>
            </w:tcBorders>
          </w:tcPr>
          <w:p w14:paraId="1D69A441" w14:textId="09BD867A" w:rsidR="00F16D2A" w:rsidRPr="00901F66" w:rsidRDefault="00F16D2A" w:rsidP="00F16D2A">
            <w:pPr>
              <w:widowControl w:val="0"/>
              <w:spacing w:before="1" w:line="252" w:lineRule="exact"/>
              <w:ind w:right="7"/>
              <w:jc w:val="center"/>
              <w:rPr>
                <w:szCs w:val="22"/>
                <w:lang w:eastAsia="en-US"/>
              </w:rPr>
            </w:pPr>
            <w:r w:rsidRPr="00CD78F8">
              <w:rPr>
                <w:rFonts w:eastAsia="Batang"/>
                <w:b/>
                <w:bCs/>
                <w:szCs w:val="22"/>
                <w:lang w:eastAsia="en-US"/>
              </w:rPr>
              <w:t>Atnaujinti analizės duomenys (iki 2015 m. spalio 23 d.)</w:t>
            </w:r>
          </w:p>
        </w:tc>
      </w:tr>
      <w:tr w:rsidR="00F16D2A" w:rsidRPr="00F16D2A" w14:paraId="44D8213E" w14:textId="77777777" w:rsidTr="0077444B">
        <w:trPr>
          <w:trHeight w:hRule="exact" w:val="935"/>
        </w:trPr>
        <w:tc>
          <w:tcPr>
            <w:tcW w:w="3295" w:type="dxa"/>
            <w:gridSpan w:val="2"/>
            <w:vMerge/>
            <w:tcBorders>
              <w:left w:val="single" w:sz="5" w:space="0" w:color="000000"/>
              <w:bottom w:val="single" w:sz="5" w:space="0" w:color="000000"/>
              <w:right w:val="single" w:sz="5" w:space="0" w:color="000000"/>
            </w:tcBorders>
          </w:tcPr>
          <w:p w14:paraId="3DF6BBFF" w14:textId="77777777" w:rsidR="00F16D2A" w:rsidRPr="00901F66" w:rsidRDefault="00F16D2A" w:rsidP="00F16D2A">
            <w:pPr>
              <w:rPr>
                <w:sz w:val="24"/>
                <w:lang w:eastAsia="en-US"/>
              </w:rPr>
            </w:pPr>
          </w:p>
        </w:tc>
        <w:tc>
          <w:tcPr>
            <w:tcW w:w="2686" w:type="dxa"/>
            <w:tcBorders>
              <w:top w:val="single" w:sz="5" w:space="0" w:color="000000"/>
              <w:left w:val="single" w:sz="5" w:space="0" w:color="000000"/>
              <w:bottom w:val="single" w:sz="5" w:space="0" w:color="000000"/>
              <w:right w:val="single" w:sz="5" w:space="0" w:color="000000"/>
            </w:tcBorders>
          </w:tcPr>
          <w:p w14:paraId="3D96F0CA" w14:textId="46DCA48D" w:rsidR="006911B1" w:rsidRPr="0077444B" w:rsidRDefault="00F16D2A" w:rsidP="00901F66">
            <w:pPr>
              <w:widowControl w:val="0"/>
              <w:ind w:left="709" w:hanging="272"/>
              <w:jc w:val="center"/>
              <w:rPr>
                <w:rFonts w:eastAsia="Calibri" w:hAnsi="Calibri"/>
                <w:b/>
                <w:spacing w:val="-1"/>
                <w:kern w:val="28"/>
              </w:rPr>
            </w:pPr>
            <w:r w:rsidRPr="0077444B">
              <w:rPr>
                <w:rFonts w:eastAsia="Calibri" w:hAnsi="Calibri"/>
                <w:b/>
                <w:spacing w:val="-1"/>
              </w:rPr>
              <w:t>Fulvestrant</w:t>
            </w:r>
            <w:r w:rsidR="006911B1" w:rsidRPr="0077444B">
              <w:rPr>
                <w:rFonts w:eastAsia="Calibri" w:hAnsi="Calibri"/>
                <w:b/>
                <w:spacing w:val="-1"/>
              </w:rPr>
              <w:t>o ir</w:t>
            </w:r>
            <w:r w:rsidRPr="0077444B">
              <w:rPr>
                <w:rFonts w:eastAsia="Calibri" w:hAnsi="Calibri"/>
                <w:b/>
                <w:spacing w:val="-3"/>
              </w:rPr>
              <w:t xml:space="preserve"> </w:t>
            </w:r>
            <w:r w:rsidR="006911B1" w:rsidRPr="0077444B">
              <w:rPr>
                <w:rFonts w:eastAsia="Calibri" w:hAnsi="Calibri"/>
                <w:b/>
                <w:spacing w:val="-3"/>
              </w:rPr>
              <w:t>p</w:t>
            </w:r>
            <w:r w:rsidRPr="0077444B">
              <w:rPr>
                <w:rFonts w:eastAsia="Calibri" w:hAnsi="Calibri"/>
                <w:b/>
                <w:spacing w:val="-1"/>
              </w:rPr>
              <w:t>alboci</w:t>
            </w:r>
            <w:r w:rsidR="00D27D42" w:rsidRPr="0077444B">
              <w:rPr>
                <w:rFonts w:eastAsia="Calibri" w:hAnsi="Calibri"/>
                <w:b/>
                <w:spacing w:val="-1"/>
              </w:rPr>
              <w:t>k</w:t>
            </w:r>
            <w:r w:rsidRPr="0077444B">
              <w:rPr>
                <w:rFonts w:eastAsia="Calibri" w:hAnsi="Calibri"/>
                <w:b/>
                <w:spacing w:val="-1"/>
              </w:rPr>
              <w:t>lib</w:t>
            </w:r>
            <w:r w:rsidR="006911B1" w:rsidRPr="0077444B">
              <w:rPr>
                <w:rFonts w:eastAsia="Calibri" w:hAnsi="Calibri"/>
                <w:b/>
                <w:spacing w:val="-1"/>
              </w:rPr>
              <w:t>o</w:t>
            </w:r>
          </w:p>
          <w:p w14:paraId="62A05657" w14:textId="77777777" w:rsidR="00F16D2A" w:rsidRPr="00901F66" w:rsidRDefault="006911B1" w:rsidP="00B77163">
            <w:pPr>
              <w:widowControl w:val="0"/>
              <w:ind w:left="1412" w:hanging="975"/>
              <w:jc w:val="center"/>
              <w:rPr>
                <w:szCs w:val="22"/>
                <w:lang w:eastAsia="en-US"/>
              </w:rPr>
            </w:pPr>
            <w:r w:rsidRPr="0077444B">
              <w:rPr>
                <w:rFonts w:eastAsia="Calibri" w:hAnsi="Calibri"/>
                <w:b/>
                <w:spacing w:val="-1"/>
              </w:rPr>
              <w:t xml:space="preserve">derinys </w:t>
            </w:r>
            <w:r w:rsidR="00F16D2A" w:rsidRPr="0077444B">
              <w:rPr>
                <w:rFonts w:eastAsia="Calibri" w:hAnsi="Calibri"/>
                <w:b/>
                <w:spacing w:val="-1"/>
              </w:rPr>
              <w:t>(N=347)</w:t>
            </w:r>
          </w:p>
        </w:tc>
        <w:tc>
          <w:tcPr>
            <w:tcW w:w="3250" w:type="dxa"/>
            <w:gridSpan w:val="2"/>
            <w:tcBorders>
              <w:top w:val="single" w:sz="5" w:space="0" w:color="000000"/>
              <w:left w:val="single" w:sz="5" w:space="0" w:color="000000"/>
              <w:bottom w:val="single" w:sz="5" w:space="0" w:color="000000"/>
              <w:right w:val="single" w:sz="5" w:space="0" w:color="000000"/>
            </w:tcBorders>
          </w:tcPr>
          <w:p w14:paraId="3C1D2318" w14:textId="666485B2" w:rsidR="00F16D2A" w:rsidRPr="00901F66" w:rsidRDefault="00F16D2A" w:rsidP="00B77163">
            <w:pPr>
              <w:widowControl w:val="0"/>
              <w:ind w:left="1236" w:hanging="646"/>
              <w:rPr>
                <w:szCs w:val="22"/>
                <w:lang w:eastAsia="en-US"/>
              </w:rPr>
            </w:pPr>
            <w:r w:rsidRPr="0077444B">
              <w:rPr>
                <w:rFonts w:eastAsia="Calibri" w:hAnsi="Calibri"/>
                <w:b/>
                <w:spacing w:val="-1"/>
              </w:rPr>
              <w:t>Fulvestrant</w:t>
            </w:r>
            <w:r w:rsidR="006911B1" w:rsidRPr="0077444B">
              <w:rPr>
                <w:rFonts w:eastAsia="Calibri" w:hAnsi="Calibri"/>
                <w:b/>
                <w:spacing w:val="-1"/>
              </w:rPr>
              <w:t xml:space="preserve">o ir placebo derinys </w:t>
            </w:r>
            <w:r w:rsidRPr="0077444B">
              <w:rPr>
                <w:rFonts w:eastAsia="Calibri" w:hAnsi="Calibri"/>
                <w:b/>
                <w:spacing w:val="-1"/>
              </w:rPr>
              <w:t>(N=174)</w:t>
            </w:r>
          </w:p>
        </w:tc>
      </w:tr>
      <w:tr w:rsidR="006911B1" w:rsidRPr="00F16D2A" w14:paraId="15A3FCE4" w14:textId="77777777" w:rsidTr="0077444B">
        <w:trPr>
          <w:trHeight w:val="510"/>
        </w:trPr>
        <w:tc>
          <w:tcPr>
            <w:tcW w:w="3295" w:type="dxa"/>
            <w:gridSpan w:val="2"/>
            <w:tcBorders>
              <w:top w:val="single" w:sz="5" w:space="0" w:color="000000"/>
              <w:left w:val="single" w:sz="5" w:space="0" w:color="000000"/>
              <w:bottom w:val="single" w:sz="5" w:space="0" w:color="000000"/>
              <w:right w:val="single" w:sz="5" w:space="0" w:color="000000"/>
            </w:tcBorders>
          </w:tcPr>
          <w:p w14:paraId="328012FA" w14:textId="1E70002B" w:rsidR="00F16D2A" w:rsidRPr="00901F66" w:rsidRDefault="006911B1">
            <w:pPr>
              <w:widowControl w:val="0"/>
              <w:spacing w:line="248" w:lineRule="exact"/>
              <w:ind w:left="66"/>
              <w:rPr>
                <w:szCs w:val="22"/>
                <w:lang w:eastAsia="en-US"/>
              </w:rPr>
            </w:pPr>
            <w:r w:rsidRPr="0077444B">
              <w:rPr>
                <w:rFonts w:eastAsia="Calibri" w:hAnsi="Calibri"/>
                <w:b/>
                <w:spacing w:val="-1"/>
              </w:rPr>
              <w:t xml:space="preserve">Neprogresuojant ligai </w:t>
            </w:r>
            <w:r w:rsidRPr="00B77163">
              <w:rPr>
                <w:rFonts w:eastAsia="Calibri" w:hAnsi="Calibri"/>
                <w:b/>
                <w:spacing w:val="-1"/>
              </w:rPr>
              <w:t>i</w:t>
            </w:r>
            <w:r w:rsidRPr="00B77163">
              <w:rPr>
                <w:rFonts w:eastAsia="Calibri" w:hAnsi="Calibri"/>
                <w:b/>
                <w:spacing w:val="-1"/>
              </w:rPr>
              <w:t>š</w:t>
            </w:r>
            <w:r w:rsidRPr="00B77163">
              <w:rPr>
                <w:rFonts w:eastAsia="Calibri" w:hAnsi="Calibri"/>
                <w:b/>
                <w:spacing w:val="-1"/>
              </w:rPr>
              <w:t>gyventas</w:t>
            </w:r>
            <w:r w:rsidRPr="0077444B">
              <w:rPr>
                <w:rFonts w:eastAsia="Calibri" w:hAnsi="Calibri"/>
                <w:b/>
                <w:spacing w:val="-1"/>
              </w:rPr>
              <w:t xml:space="preserve"> laikotarpis</w:t>
            </w:r>
          </w:p>
        </w:tc>
        <w:tc>
          <w:tcPr>
            <w:tcW w:w="5936" w:type="dxa"/>
            <w:gridSpan w:val="3"/>
            <w:tcBorders>
              <w:top w:val="single" w:sz="5" w:space="0" w:color="000000"/>
              <w:left w:val="single" w:sz="5" w:space="0" w:color="000000"/>
              <w:bottom w:val="single" w:sz="5" w:space="0" w:color="000000"/>
              <w:right w:val="single" w:sz="5" w:space="0" w:color="000000"/>
            </w:tcBorders>
          </w:tcPr>
          <w:p w14:paraId="7664D749" w14:textId="77777777" w:rsidR="00F16D2A" w:rsidRPr="00901F66" w:rsidRDefault="00F16D2A" w:rsidP="00F16D2A">
            <w:pPr>
              <w:rPr>
                <w:sz w:val="24"/>
                <w:lang w:eastAsia="en-US"/>
              </w:rPr>
            </w:pPr>
          </w:p>
        </w:tc>
      </w:tr>
      <w:tr w:rsidR="006911B1" w:rsidRPr="00F16D2A" w14:paraId="5A7F0CE0" w14:textId="77777777" w:rsidTr="0077444B">
        <w:trPr>
          <w:trHeight w:val="510"/>
        </w:trPr>
        <w:tc>
          <w:tcPr>
            <w:tcW w:w="3295" w:type="dxa"/>
            <w:gridSpan w:val="2"/>
            <w:tcBorders>
              <w:top w:val="single" w:sz="5" w:space="0" w:color="000000"/>
              <w:left w:val="single" w:sz="5" w:space="0" w:color="000000"/>
              <w:bottom w:val="single" w:sz="5" w:space="0" w:color="000000"/>
              <w:right w:val="single" w:sz="5" w:space="0" w:color="000000"/>
            </w:tcBorders>
          </w:tcPr>
          <w:p w14:paraId="4F29638F" w14:textId="2E071843" w:rsidR="00F16D2A" w:rsidRPr="00901F66" w:rsidRDefault="006911B1" w:rsidP="00FC03AF">
            <w:pPr>
              <w:widowControl w:val="0"/>
              <w:spacing w:line="243" w:lineRule="exact"/>
              <w:ind w:left="66"/>
              <w:rPr>
                <w:szCs w:val="22"/>
                <w:lang w:eastAsia="en-US"/>
              </w:rPr>
            </w:pPr>
            <w:r w:rsidRPr="0077444B">
              <w:rPr>
                <w:rFonts w:eastAsia="Calibri" w:hAnsi="Calibri"/>
                <w:spacing w:val="-1"/>
              </w:rPr>
              <w:lastRenderedPageBreak/>
              <w:t>Mediana, m</w:t>
            </w:r>
            <w:r w:rsidRPr="0077444B">
              <w:rPr>
                <w:rFonts w:eastAsia="Calibri" w:hAnsi="Calibri"/>
                <w:spacing w:val="-1"/>
              </w:rPr>
              <w:t>ė</w:t>
            </w:r>
            <w:r w:rsidRPr="0077444B">
              <w:rPr>
                <w:rFonts w:eastAsia="Calibri" w:hAnsi="Calibri"/>
                <w:spacing w:val="-1"/>
              </w:rPr>
              <w:t>n. (95</w:t>
            </w:r>
            <w:r w:rsidR="00FC03AF" w:rsidRPr="0077444B">
              <w:rPr>
                <w:rFonts w:eastAsia="Calibri" w:hAnsi="Calibri"/>
                <w:spacing w:val="-1"/>
              </w:rPr>
              <w:t> </w:t>
            </w:r>
            <w:r w:rsidRPr="0077444B">
              <w:rPr>
                <w:rFonts w:eastAsia="Calibri" w:hAnsi="Calibri"/>
                <w:spacing w:val="-1"/>
              </w:rPr>
              <w:t>% PI)</w:t>
            </w:r>
          </w:p>
        </w:tc>
        <w:tc>
          <w:tcPr>
            <w:tcW w:w="2686" w:type="dxa"/>
            <w:tcBorders>
              <w:top w:val="single" w:sz="5" w:space="0" w:color="000000"/>
              <w:left w:val="single" w:sz="5" w:space="0" w:color="000000"/>
              <w:bottom w:val="single" w:sz="5" w:space="0" w:color="000000"/>
              <w:right w:val="single" w:sz="5" w:space="0" w:color="000000"/>
            </w:tcBorders>
          </w:tcPr>
          <w:p w14:paraId="01DD4FA7" w14:textId="1D224971" w:rsidR="00F16D2A" w:rsidRPr="00901F66" w:rsidRDefault="00F16D2A" w:rsidP="00BF0787">
            <w:pPr>
              <w:widowControl w:val="0"/>
              <w:spacing w:line="243" w:lineRule="exact"/>
              <w:ind w:left="935"/>
              <w:rPr>
                <w:szCs w:val="22"/>
                <w:lang w:eastAsia="en-US"/>
              </w:rPr>
            </w:pPr>
            <w:r w:rsidRPr="0077444B">
              <w:rPr>
                <w:rFonts w:eastAsia="Calibri" w:hAnsi="Calibri"/>
                <w:spacing w:val="-1"/>
              </w:rPr>
              <w:t>11</w:t>
            </w:r>
            <w:r w:rsidR="00BF0787" w:rsidRPr="0077444B">
              <w:rPr>
                <w:rFonts w:eastAsia="Calibri" w:hAnsi="Calibri"/>
                <w:spacing w:val="-1"/>
              </w:rPr>
              <w:t>,</w:t>
            </w:r>
            <w:r w:rsidRPr="0077444B">
              <w:rPr>
                <w:rFonts w:eastAsia="Calibri" w:hAnsi="Calibri"/>
                <w:spacing w:val="-1"/>
              </w:rPr>
              <w:t>2</w:t>
            </w:r>
            <w:r w:rsidRPr="0077444B">
              <w:rPr>
                <w:rFonts w:eastAsia="Calibri" w:hAnsi="Calibri"/>
              </w:rPr>
              <w:t xml:space="preserve"> </w:t>
            </w:r>
            <w:r w:rsidRPr="0077444B">
              <w:rPr>
                <w:rFonts w:eastAsia="Calibri" w:hAnsi="Calibri"/>
                <w:spacing w:val="-1"/>
              </w:rPr>
              <w:t>(9</w:t>
            </w:r>
            <w:r w:rsidR="006911B1" w:rsidRPr="0077444B">
              <w:rPr>
                <w:rFonts w:eastAsia="Calibri" w:hAnsi="Calibri"/>
                <w:spacing w:val="-1"/>
              </w:rPr>
              <w:t>,</w:t>
            </w:r>
            <w:r w:rsidRPr="0077444B">
              <w:rPr>
                <w:rFonts w:eastAsia="Calibri" w:hAnsi="Calibri"/>
                <w:spacing w:val="-1"/>
              </w:rPr>
              <w:t>5</w:t>
            </w:r>
            <w:r w:rsidR="006911B1" w:rsidRPr="0077444B">
              <w:rPr>
                <w:rFonts w:eastAsia="Calibri" w:hAnsi="Calibri"/>
                <w:spacing w:val="-1"/>
              </w:rPr>
              <w:t>;</w:t>
            </w:r>
            <w:r w:rsidRPr="0077444B">
              <w:rPr>
                <w:rFonts w:eastAsia="Calibri" w:hAnsi="Calibri"/>
              </w:rPr>
              <w:t xml:space="preserve"> </w:t>
            </w:r>
            <w:r w:rsidRPr="0077444B">
              <w:rPr>
                <w:rFonts w:eastAsia="Calibri" w:hAnsi="Calibri"/>
                <w:spacing w:val="-1"/>
              </w:rPr>
              <w:t>12</w:t>
            </w:r>
            <w:r w:rsidR="00BF0787" w:rsidRPr="0077444B">
              <w:rPr>
                <w:rFonts w:eastAsia="Calibri" w:hAnsi="Calibri"/>
                <w:spacing w:val="-1"/>
              </w:rPr>
              <w:t>,</w:t>
            </w:r>
            <w:r w:rsidRPr="0077444B">
              <w:rPr>
                <w:rFonts w:eastAsia="Calibri" w:hAnsi="Calibri"/>
                <w:spacing w:val="-1"/>
              </w:rPr>
              <w:t>9)</w:t>
            </w:r>
          </w:p>
        </w:tc>
        <w:tc>
          <w:tcPr>
            <w:tcW w:w="3250" w:type="dxa"/>
            <w:gridSpan w:val="2"/>
            <w:tcBorders>
              <w:top w:val="single" w:sz="5" w:space="0" w:color="000000"/>
              <w:left w:val="single" w:sz="5" w:space="0" w:color="000000"/>
              <w:bottom w:val="single" w:sz="5" w:space="0" w:color="000000"/>
              <w:right w:val="single" w:sz="5" w:space="0" w:color="000000"/>
            </w:tcBorders>
          </w:tcPr>
          <w:p w14:paraId="22455FF5" w14:textId="04399B44" w:rsidR="00F16D2A" w:rsidRPr="00901F66" w:rsidRDefault="00F16D2A" w:rsidP="00BF0787">
            <w:pPr>
              <w:widowControl w:val="0"/>
              <w:spacing w:line="243" w:lineRule="exact"/>
              <w:ind w:left="1045"/>
              <w:rPr>
                <w:szCs w:val="22"/>
                <w:lang w:eastAsia="en-US"/>
              </w:rPr>
            </w:pPr>
            <w:r w:rsidRPr="0077444B">
              <w:rPr>
                <w:rFonts w:eastAsia="Calibri" w:hAnsi="Calibri"/>
                <w:spacing w:val="-1"/>
              </w:rPr>
              <w:t>4</w:t>
            </w:r>
            <w:r w:rsidR="00BF0787" w:rsidRPr="0077444B">
              <w:rPr>
                <w:rFonts w:eastAsia="Calibri" w:hAnsi="Calibri"/>
                <w:spacing w:val="-1"/>
              </w:rPr>
              <w:t>,</w:t>
            </w:r>
            <w:r w:rsidRPr="0077444B">
              <w:rPr>
                <w:rFonts w:eastAsia="Calibri" w:hAnsi="Calibri"/>
                <w:spacing w:val="-1"/>
              </w:rPr>
              <w:t>6</w:t>
            </w:r>
            <w:r w:rsidRPr="0077444B">
              <w:rPr>
                <w:rFonts w:eastAsia="Calibri" w:hAnsi="Calibri"/>
              </w:rPr>
              <w:t xml:space="preserve"> </w:t>
            </w:r>
            <w:r w:rsidRPr="0077444B">
              <w:rPr>
                <w:rFonts w:eastAsia="Calibri" w:hAnsi="Calibri"/>
                <w:spacing w:val="-1"/>
              </w:rPr>
              <w:t>(3</w:t>
            </w:r>
            <w:r w:rsidR="006911B1" w:rsidRPr="0077444B">
              <w:rPr>
                <w:rFonts w:eastAsia="Calibri" w:hAnsi="Calibri"/>
                <w:spacing w:val="-1"/>
              </w:rPr>
              <w:t>,</w:t>
            </w:r>
            <w:r w:rsidRPr="0077444B">
              <w:rPr>
                <w:rFonts w:eastAsia="Calibri" w:hAnsi="Calibri"/>
                <w:spacing w:val="-1"/>
              </w:rPr>
              <w:t>5</w:t>
            </w:r>
            <w:r w:rsidR="006911B1" w:rsidRPr="0077444B">
              <w:rPr>
                <w:rFonts w:eastAsia="Calibri" w:hAnsi="Calibri"/>
                <w:spacing w:val="-1"/>
              </w:rPr>
              <w:t>;</w:t>
            </w:r>
            <w:r w:rsidRPr="0077444B">
              <w:rPr>
                <w:rFonts w:eastAsia="Calibri" w:hAnsi="Calibri"/>
              </w:rPr>
              <w:t xml:space="preserve"> </w:t>
            </w:r>
            <w:r w:rsidRPr="0077444B">
              <w:rPr>
                <w:rFonts w:eastAsia="Calibri" w:hAnsi="Calibri"/>
                <w:spacing w:val="-1"/>
              </w:rPr>
              <w:t>5</w:t>
            </w:r>
            <w:r w:rsidR="00BF0787" w:rsidRPr="0077444B">
              <w:rPr>
                <w:rFonts w:eastAsia="Calibri" w:hAnsi="Calibri"/>
                <w:spacing w:val="-1"/>
              </w:rPr>
              <w:t>,</w:t>
            </w:r>
            <w:r w:rsidRPr="0077444B">
              <w:rPr>
                <w:rFonts w:eastAsia="Calibri" w:hAnsi="Calibri"/>
                <w:spacing w:val="-1"/>
              </w:rPr>
              <w:t>6)</w:t>
            </w:r>
          </w:p>
        </w:tc>
      </w:tr>
      <w:tr w:rsidR="006911B1" w:rsidRPr="00F16D2A" w14:paraId="68E93865" w14:textId="77777777" w:rsidTr="0077444B">
        <w:trPr>
          <w:trHeight w:val="510"/>
        </w:trPr>
        <w:tc>
          <w:tcPr>
            <w:tcW w:w="3295" w:type="dxa"/>
            <w:gridSpan w:val="2"/>
            <w:tcBorders>
              <w:top w:val="single" w:sz="5" w:space="0" w:color="000000"/>
              <w:left w:val="single" w:sz="5" w:space="0" w:color="000000"/>
              <w:bottom w:val="single" w:sz="5" w:space="0" w:color="000000"/>
              <w:right w:val="single" w:sz="5" w:space="0" w:color="000000"/>
            </w:tcBorders>
          </w:tcPr>
          <w:p w14:paraId="571DDA2B" w14:textId="49C320E7" w:rsidR="00F16D2A" w:rsidRPr="00901F66" w:rsidRDefault="006911B1" w:rsidP="00FC03AF">
            <w:pPr>
              <w:widowControl w:val="0"/>
              <w:spacing w:line="241" w:lineRule="auto"/>
              <w:ind w:left="66" w:right="684"/>
              <w:rPr>
                <w:szCs w:val="22"/>
                <w:lang w:eastAsia="en-US"/>
              </w:rPr>
            </w:pPr>
            <w:r w:rsidRPr="00B77163">
              <w:rPr>
                <w:rFonts w:eastAsia="Calibri" w:hAnsi="Calibri"/>
                <w:spacing w:val="-1"/>
              </w:rPr>
              <w:t>Santykin</w:t>
            </w:r>
            <w:r w:rsidRPr="00B77163">
              <w:rPr>
                <w:rFonts w:eastAsia="Calibri" w:hAnsi="Calibri"/>
                <w:spacing w:val="-1"/>
              </w:rPr>
              <w:t>ė</w:t>
            </w:r>
            <w:r w:rsidRPr="00B77163">
              <w:rPr>
                <w:rFonts w:eastAsia="Calibri" w:hAnsi="Calibri"/>
                <w:spacing w:val="-1"/>
              </w:rPr>
              <w:t xml:space="preserve"> rizika (95</w:t>
            </w:r>
            <w:r w:rsidR="00FC03AF" w:rsidRPr="0077444B">
              <w:rPr>
                <w:rFonts w:eastAsia="Calibri" w:hAnsi="Calibri"/>
                <w:spacing w:val="-1"/>
              </w:rPr>
              <w:t> </w:t>
            </w:r>
            <w:r w:rsidRPr="0077444B">
              <w:rPr>
                <w:rFonts w:eastAsia="Calibri" w:hAnsi="Calibri"/>
                <w:spacing w:val="-1"/>
              </w:rPr>
              <w:t>% PI) ir p reik</w:t>
            </w:r>
            <w:r w:rsidRPr="0077444B">
              <w:rPr>
                <w:rFonts w:eastAsia="Calibri" w:hAnsi="Calibri"/>
                <w:spacing w:val="-1"/>
              </w:rPr>
              <w:t>š</w:t>
            </w:r>
            <w:r w:rsidRPr="0077444B">
              <w:rPr>
                <w:rFonts w:eastAsia="Calibri" w:hAnsi="Calibri"/>
                <w:spacing w:val="-1"/>
              </w:rPr>
              <w:t>m</w:t>
            </w:r>
            <w:r w:rsidRPr="0077444B">
              <w:rPr>
                <w:rFonts w:eastAsia="Calibri" w:hAnsi="Calibri"/>
                <w:spacing w:val="-1"/>
              </w:rPr>
              <w:t>ė</w:t>
            </w:r>
          </w:p>
        </w:tc>
        <w:tc>
          <w:tcPr>
            <w:tcW w:w="5936" w:type="dxa"/>
            <w:gridSpan w:val="3"/>
            <w:tcBorders>
              <w:top w:val="single" w:sz="5" w:space="0" w:color="000000"/>
              <w:left w:val="single" w:sz="5" w:space="0" w:color="000000"/>
              <w:bottom w:val="single" w:sz="5" w:space="0" w:color="000000"/>
              <w:right w:val="single" w:sz="5" w:space="0" w:color="000000"/>
            </w:tcBorders>
          </w:tcPr>
          <w:p w14:paraId="2F4799EF" w14:textId="57F165D8" w:rsidR="00F16D2A" w:rsidRPr="00901F66" w:rsidRDefault="00F16D2A" w:rsidP="003549D2">
            <w:pPr>
              <w:widowControl w:val="0"/>
              <w:spacing w:line="243" w:lineRule="exact"/>
              <w:ind w:left="1731"/>
              <w:rPr>
                <w:szCs w:val="22"/>
                <w:lang w:eastAsia="en-US"/>
              </w:rPr>
            </w:pPr>
            <w:r w:rsidRPr="0077444B">
              <w:rPr>
                <w:rFonts w:eastAsia="Calibri" w:hAnsi="Calibri"/>
                <w:spacing w:val="-1"/>
              </w:rPr>
              <w:t>0</w:t>
            </w:r>
            <w:r w:rsidR="006911B1" w:rsidRPr="0077444B">
              <w:rPr>
                <w:rFonts w:eastAsia="Calibri" w:hAnsi="Calibri"/>
                <w:spacing w:val="-1"/>
              </w:rPr>
              <w:t>,</w:t>
            </w:r>
            <w:r w:rsidRPr="0077444B">
              <w:rPr>
                <w:rFonts w:eastAsia="Calibri" w:hAnsi="Calibri"/>
                <w:spacing w:val="-1"/>
              </w:rPr>
              <w:t>497 (0</w:t>
            </w:r>
            <w:r w:rsidR="006911B1" w:rsidRPr="0077444B">
              <w:rPr>
                <w:rFonts w:eastAsia="Calibri" w:hAnsi="Calibri"/>
                <w:spacing w:val="-1"/>
              </w:rPr>
              <w:t>,</w:t>
            </w:r>
            <w:r w:rsidRPr="0077444B">
              <w:rPr>
                <w:rFonts w:eastAsia="Calibri" w:hAnsi="Calibri"/>
                <w:spacing w:val="-1"/>
              </w:rPr>
              <w:t>398</w:t>
            </w:r>
            <w:r w:rsidR="006911B1" w:rsidRPr="0077444B">
              <w:rPr>
                <w:rFonts w:eastAsia="Calibri" w:hAnsi="Calibri"/>
                <w:spacing w:val="-1"/>
              </w:rPr>
              <w:t>;</w:t>
            </w:r>
            <w:r w:rsidRPr="0077444B">
              <w:rPr>
                <w:rFonts w:eastAsia="Calibri" w:hAnsi="Calibri"/>
                <w:spacing w:val="-1"/>
              </w:rPr>
              <w:t xml:space="preserve"> 0</w:t>
            </w:r>
            <w:r w:rsidR="006911B1" w:rsidRPr="0077444B">
              <w:rPr>
                <w:rFonts w:eastAsia="Calibri" w:hAnsi="Calibri"/>
                <w:spacing w:val="-1"/>
              </w:rPr>
              <w:t>,</w:t>
            </w:r>
            <w:r w:rsidRPr="0077444B">
              <w:rPr>
                <w:rFonts w:eastAsia="Calibri" w:hAnsi="Calibri"/>
                <w:spacing w:val="-1"/>
              </w:rPr>
              <w:t xml:space="preserve">620), </w:t>
            </w:r>
            <w:r w:rsidRPr="0077444B">
              <w:rPr>
                <w:rFonts w:eastAsia="Calibri" w:hAnsi="Calibri"/>
              </w:rPr>
              <w:t>p</w:t>
            </w:r>
            <w:r w:rsidR="003549D2" w:rsidRPr="0077444B">
              <w:rPr>
                <w:rFonts w:eastAsia="Calibri" w:hAnsi="Calibri"/>
              </w:rPr>
              <w:t> </w:t>
            </w:r>
            <w:r w:rsidRPr="0077444B">
              <w:rPr>
                <w:rFonts w:eastAsia="Calibri" w:hAnsi="Calibri"/>
                <w:spacing w:val="-1"/>
              </w:rPr>
              <w:t>&lt;</w:t>
            </w:r>
            <w:r w:rsidR="003549D2" w:rsidRPr="0077444B">
              <w:rPr>
                <w:rFonts w:eastAsia="Calibri" w:hAnsi="Calibri"/>
                <w:spacing w:val="-1"/>
              </w:rPr>
              <w:t> </w:t>
            </w:r>
            <w:r w:rsidRPr="0077444B">
              <w:rPr>
                <w:rFonts w:eastAsia="Calibri" w:hAnsi="Calibri"/>
                <w:spacing w:val="-1"/>
              </w:rPr>
              <w:t>0</w:t>
            </w:r>
            <w:r w:rsidR="006911B1" w:rsidRPr="0077444B">
              <w:rPr>
                <w:rFonts w:eastAsia="Calibri" w:hAnsi="Calibri"/>
                <w:spacing w:val="-1"/>
              </w:rPr>
              <w:t>,</w:t>
            </w:r>
            <w:r w:rsidRPr="0077444B">
              <w:rPr>
                <w:rFonts w:eastAsia="Calibri" w:hAnsi="Calibri"/>
                <w:spacing w:val="-1"/>
              </w:rPr>
              <w:t>000001</w:t>
            </w:r>
          </w:p>
        </w:tc>
      </w:tr>
      <w:tr w:rsidR="006911B1" w:rsidRPr="00F16D2A" w14:paraId="721FEBF4" w14:textId="77777777" w:rsidTr="0077444B">
        <w:trPr>
          <w:trHeight w:val="510"/>
        </w:trPr>
        <w:tc>
          <w:tcPr>
            <w:tcW w:w="9231" w:type="dxa"/>
            <w:gridSpan w:val="5"/>
            <w:tcBorders>
              <w:top w:val="single" w:sz="5" w:space="0" w:color="000000"/>
              <w:left w:val="single" w:sz="5" w:space="0" w:color="000000"/>
              <w:bottom w:val="single" w:sz="5" w:space="0" w:color="000000"/>
              <w:right w:val="single" w:sz="5" w:space="0" w:color="000000"/>
            </w:tcBorders>
          </w:tcPr>
          <w:p w14:paraId="56255AF9" w14:textId="42E1F1BC" w:rsidR="00F16D2A" w:rsidRPr="00437B9A" w:rsidRDefault="006911B1">
            <w:pPr>
              <w:widowControl w:val="0"/>
              <w:spacing w:line="248" w:lineRule="exact"/>
              <w:ind w:left="66"/>
              <w:rPr>
                <w:szCs w:val="22"/>
                <w:lang w:eastAsia="en-US"/>
              </w:rPr>
            </w:pPr>
            <w:r w:rsidRPr="00F70008">
              <w:rPr>
                <w:rFonts w:eastAsia="Calibri"/>
                <w:b/>
                <w:spacing w:val="-1"/>
                <w:szCs w:val="22"/>
                <w:lang w:eastAsia="en-US"/>
              </w:rPr>
              <w:t>Ant</w:t>
            </w:r>
            <w:r w:rsidR="00D27D42" w:rsidRPr="00F70008">
              <w:rPr>
                <w:rFonts w:eastAsia="Calibri"/>
                <w:b/>
                <w:spacing w:val="-1"/>
                <w:szCs w:val="22"/>
                <w:lang w:eastAsia="en-US"/>
              </w:rPr>
              <w:t>r</w:t>
            </w:r>
            <w:r w:rsidRPr="00F70008">
              <w:rPr>
                <w:rFonts w:eastAsia="Calibri"/>
                <w:b/>
                <w:spacing w:val="-1"/>
                <w:szCs w:val="22"/>
                <w:lang w:eastAsia="en-US"/>
              </w:rPr>
              <w:t>aeilės</w:t>
            </w:r>
            <w:r w:rsidRPr="00437B9A">
              <w:rPr>
                <w:rFonts w:eastAsia="Calibri"/>
                <w:b/>
                <w:spacing w:val="-1"/>
              </w:rPr>
              <w:t xml:space="preserve"> vertinamosios baigtys</w:t>
            </w:r>
            <w:r w:rsidR="00F16D2A" w:rsidRPr="00437B9A">
              <w:rPr>
                <w:rFonts w:eastAsia="Calibri"/>
                <w:b/>
                <w:spacing w:val="-1"/>
              </w:rPr>
              <w:t>*</w:t>
            </w:r>
          </w:p>
        </w:tc>
      </w:tr>
      <w:tr w:rsidR="006911B1" w:rsidRPr="00F16D2A" w14:paraId="450FFAC1" w14:textId="77777777" w:rsidTr="0077444B">
        <w:trPr>
          <w:trHeight w:val="510"/>
        </w:trPr>
        <w:tc>
          <w:tcPr>
            <w:tcW w:w="2736" w:type="dxa"/>
            <w:tcBorders>
              <w:top w:val="single" w:sz="5" w:space="0" w:color="000000"/>
              <w:left w:val="single" w:sz="5" w:space="0" w:color="000000"/>
              <w:bottom w:val="single" w:sz="5" w:space="0" w:color="000000"/>
              <w:right w:val="single" w:sz="5" w:space="0" w:color="000000"/>
            </w:tcBorders>
          </w:tcPr>
          <w:p w14:paraId="4DABE640" w14:textId="11A335FF" w:rsidR="00F16D2A" w:rsidRPr="00901F66" w:rsidRDefault="00F16D2A">
            <w:pPr>
              <w:widowControl w:val="0"/>
              <w:spacing w:line="243" w:lineRule="exact"/>
              <w:ind w:left="66"/>
              <w:rPr>
                <w:szCs w:val="22"/>
                <w:lang w:eastAsia="en-US"/>
              </w:rPr>
            </w:pPr>
            <w:r w:rsidRPr="0077444B">
              <w:rPr>
                <w:rFonts w:eastAsia="Calibri" w:hAnsi="Calibri"/>
                <w:spacing w:val="-1"/>
              </w:rPr>
              <w:t>OR [% (95</w:t>
            </w:r>
            <w:r w:rsidR="00FC03AF" w:rsidRPr="0077444B">
              <w:rPr>
                <w:rFonts w:eastAsia="Calibri" w:hAnsi="Calibri"/>
                <w:spacing w:val="-1"/>
              </w:rPr>
              <w:t> </w:t>
            </w:r>
            <w:r w:rsidRPr="0077444B">
              <w:rPr>
                <w:rFonts w:eastAsia="Calibri" w:hAnsi="Calibri"/>
                <w:spacing w:val="-1"/>
              </w:rPr>
              <w:t xml:space="preserve">% </w:t>
            </w:r>
            <w:r w:rsidR="006911B1" w:rsidRPr="0077444B">
              <w:rPr>
                <w:rFonts w:eastAsia="Calibri" w:hAnsi="Calibri"/>
                <w:spacing w:val="-1"/>
              </w:rPr>
              <w:t>P</w:t>
            </w:r>
            <w:r w:rsidRPr="0077444B">
              <w:rPr>
                <w:rFonts w:eastAsia="Calibri" w:hAnsi="Calibri"/>
                <w:spacing w:val="-1"/>
              </w:rPr>
              <w:t>I)]</w:t>
            </w:r>
          </w:p>
        </w:tc>
        <w:tc>
          <w:tcPr>
            <w:tcW w:w="3245" w:type="dxa"/>
            <w:gridSpan w:val="2"/>
            <w:tcBorders>
              <w:top w:val="single" w:sz="5" w:space="0" w:color="000000"/>
              <w:left w:val="single" w:sz="5" w:space="0" w:color="000000"/>
              <w:bottom w:val="single" w:sz="5" w:space="0" w:color="000000"/>
              <w:right w:val="single" w:sz="5" w:space="0" w:color="000000"/>
            </w:tcBorders>
          </w:tcPr>
          <w:p w14:paraId="56AD13C5" w14:textId="77777777" w:rsidR="00F16D2A" w:rsidRPr="00901F66" w:rsidRDefault="00F16D2A" w:rsidP="00901F66">
            <w:pPr>
              <w:widowControl w:val="0"/>
              <w:spacing w:line="243" w:lineRule="exact"/>
              <w:ind w:left="882"/>
              <w:rPr>
                <w:szCs w:val="22"/>
                <w:lang w:eastAsia="en-US"/>
              </w:rPr>
            </w:pPr>
            <w:r w:rsidRPr="0077444B">
              <w:rPr>
                <w:rFonts w:eastAsia="Calibri" w:hAnsi="Calibri"/>
                <w:spacing w:val="-1"/>
              </w:rPr>
              <w:t>26</w:t>
            </w:r>
            <w:r w:rsidR="006911B1" w:rsidRPr="0077444B">
              <w:rPr>
                <w:rFonts w:eastAsia="Calibri" w:hAnsi="Calibri"/>
                <w:spacing w:val="-1"/>
              </w:rPr>
              <w:t>,</w:t>
            </w:r>
            <w:r w:rsidRPr="0077444B">
              <w:rPr>
                <w:rFonts w:eastAsia="Calibri" w:hAnsi="Calibri"/>
                <w:spacing w:val="-1"/>
              </w:rPr>
              <w:t>2</w:t>
            </w:r>
            <w:r w:rsidRPr="0077444B">
              <w:rPr>
                <w:rFonts w:eastAsia="Calibri" w:hAnsi="Calibri"/>
              </w:rPr>
              <w:t xml:space="preserve"> </w:t>
            </w:r>
            <w:r w:rsidRPr="0077444B">
              <w:rPr>
                <w:rFonts w:eastAsia="Calibri" w:hAnsi="Calibri"/>
                <w:spacing w:val="-1"/>
              </w:rPr>
              <w:t>(21</w:t>
            </w:r>
            <w:r w:rsidR="006911B1" w:rsidRPr="0077444B">
              <w:rPr>
                <w:rFonts w:eastAsia="Calibri" w:hAnsi="Calibri"/>
                <w:spacing w:val="-1"/>
              </w:rPr>
              <w:t>,</w:t>
            </w:r>
            <w:r w:rsidRPr="0077444B">
              <w:rPr>
                <w:rFonts w:eastAsia="Calibri" w:hAnsi="Calibri"/>
                <w:spacing w:val="-1"/>
              </w:rPr>
              <w:t>7</w:t>
            </w:r>
            <w:r w:rsidR="006911B1" w:rsidRPr="0077444B">
              <w:rPr>
                <w:rFonts w:eastAsia="Calibri" w:hAnsi="Calibri"/>
                <w:spacing w:val="-1"/>
              </w:rPr>
              <w:t>;</w:t>
            </w:r>
            <w:r w:rsidRPr="0077444B">
              <w:rPr>
                <w:rFonts w:eastAsia="Calibri" w:hAnsi="Calibri"/>
              </w:rPr>
              <w:t xml:space="preserve"> </w:t>
            </w:r>
            <w:r w:rsidRPr="0077444B">
              <w:rPr>
                <w:rFonts w:eastAsia="Calibri" w:hAnsi="Calibri"/>
                <w:spacing w:val="-1"/>
              </w:rPr>
              <w:t>31</w:t>
            </w:r>
            <w:r w:rsidR="006911B1" w:rsidRPr="0077444B">
              <w:rPr>
                <w:rFonts w:eastAsia="Calibri" w:hAnsi="Calibri"/>
                <w:spacing w:val="-1"/>
              </w:rPr>
              <w:t>,</w:t>
            </w:r>
            <w:r w:rsidRPr="0077444B">
              <w:rPr>
                <w:rFonts w:eastAsia="Calibri" w:hAnsi="Calibri"/>
                <w:spacing w:val="-1"/>
              </w:rPr>
              <w:t>2)</w:t>
            </w:r>
          </w:p>
        </w:tc>
        <w:tc>
          <w:tcPr>
            <w:tcW w:w="3250" w:type="dxa"/>
            <w:gridSpan w:val="2"/>
            <w:tcBorders>
              <w:top w:val="single" w:sz="5" w:space="0" w:color="000000"/>
              <w:left w:val="single" w:sz="5" w:space="0" w:color="000000"/>
              <w:bottom w:val="single" w:sz="5" w:space="0" w:color="000000"/>
              <w:right w:val="single" w:sz="5" w:space="0" w:color="000000"/>
            </w:tcBorders>
          </w:tcPr>
          <w:p w14:paraId="48DC4355" w14:textId="77777777" w:rsidR="00F16D2A" w:rsidRPr="00901F66" w:rsidRDefault="00F16D2A" w:rsidP="00901F66">
            <w:pPr>
              <w:widowControl w:val="0"/>
              <w:spacing w:line="243" w:lineRule="exact"/>
              <w:ind w:left="935"/>
              <w:rPr>
                <w:szCs w:val="22"/>
                <w:lang w:eastAsia="en-US"/>
              </w:rPr>
            </w:pPr>
            <w:r w:rsidRPr="0077444B">
              <w:rPr>
                <w:rFonts w:eastAsia="Calibri" w:hAnsi="Calibri"/>
                <w:spacing w:val="-1"/>
              </w:rPr>
              <w:t>13</w:t>
            </w:r>
            <w:r w:rsidR="006911B1" w:rsidRPr="0077444B">
              <w:rPr>
                <w:rFonts w:eastAsia="Calibri" w:hAnsi="Calibri"/>
                <w:spacing w:val="-1"/>
              </w:rPr>
              <w:t>,</w:t>
            </w:r>
            <w:r w:rsidRPr="0077444B">
              <w:rPr>
                <w:rFonts w:eastAsia="Calibri" w:hAnsi="Calibri"/>
                <w:spacing w:val="-1"/>
              </w:rPr>
              <w:t>8</w:t>
            </w:r>
            <w:r w:rsidRPr="0077444B">
              <w:rPr>
                <w:rFonts w:eastAsia="Calibri" w:hAnsi="Calibri"/>
              </w:rPr>
              <w:t xml:space="preserve"> </w:t>
            </w:r>
            <w:r w:rsidRPr="0077444B">
              <w:rPr>
                <w:rFonts w:eastAsia="Calibri" w:hAnsi="Calibri"/>
                <w:spacing w:val="-1"/>
              </w:rPr>
              <w:t>(9</w:t>
            </w:r>
            <w:r w:rsidR="006911B1" w:rsidRPr="0077444B">
              <w:rPr>
                <w:rFonts w:eastAsia="Calibri" w:hAnsi="Calibri"/>
                <w:spacing w:val="-1"/>
              </w:rPr>
              <w:t>,</w:t>
            </w:r>
            <w:r w:rsidRPr="0077444B">
              <w:rPr>
                <w:rFonts w:eastAsia="Calibri" w:hAnsi="Calibri"/>
                <w:spacing w:val="-1"/>
              </w:rPr>
              <w:t>0</w:t>
            </w:r>
            <w:r w:rsidR="006911B1" w:rsidRPr="0077444B">
              <w:rPr>
                <w:rFonts w:eastAsia="Calibri" w:hAnsi="Calibri"/>
                <w:spacing w:val="-1"/>
              </w:rPr>
              <w:t>;</w:t>
            </w:r>
            <w:r w:rsidRPr="0077444B">
              <w:rPr>
                <w:rFonts w:eastAsia="Calibri" w:hAnsi="Calibri"/>
              </w:rPr>
              <w:t xml:space="preserve"> </w:t>
            </w:r>
            <w:r w:rsidRPr="0077444B">
              <w:rPr>
                <w:rFonts w:eastAsia="Calibri" w:hAnsi="Calibri"/>
                <w:spacing w:val="-1"/>
              </w:rPr>
              <w:t>19</w:t>
            </w:r>
            <w:r w:rsidR="006911B1" w:rsidRPr="0077444B">
              <w:rPr>
                <w:rFonts w:eastAsia="Calibri" w:hAnsi="Calibri"/>
                <w:spacing w:val="-1"/>
              </w:rPr>
              <w:t>,</w:t>
            </w:r>
            <w:r w:rsidRPr="0077444B">
              <w:rPr>
                <w:rFonts w:eastAsia="Calibri" w:hAnsi="Calibri"/>
                <w:spacing w:val="-1"/>
              </w:rPr>
              <w:t>8)</w:t>
            </w:r>
          </w:p>
        </w:tc>
      </w:tr>
      <w:tr w:rsidR="006911B1" w:rsidRPr="00F16D2A" w14:paraId="003FA226" w14:textId="77777777" w:rsidTr="0077444B">
        <w:trPr>
          <w:trHeight w:val="510"/>
        </w:trPr>
        <w:tc>
          <w:tcPr>
            <w:tcW w:w="2736" w:type="dxa"/>
            <w:tcBorders>
              <w:top w:val="single" w:sz="5" w:space="0" w:color="000000"/>
              <w:left w:val="single" w:sz="5" w:space="0" w:color="000000"/>
              <w:bottom w:val="single" w:sz="5" w:space="0" w:color="000000"/>
              <w:right w:val="single" w:sz="5" w:space="0" w:color="000000"/>
            </w:tcBorders>
          </w:tcPr>
          <w:p w14:paraId="1113A704" w14:textId="71038A71" w:rsidR="006911B1" w:rsidRPr="006911B1" w:rsidRDefault="006911B1" w:rsidP="006911B1">
            <w:pPr>
              <w:widowControl w:val="0"/>
              <w:spacing w:line="241" w:lineRule="auto"/>
              <w:ind w:left="66" w:right="150"/>
              <w:rPr>
                <w:rFonts w:eastAsia="Calibri" w:hAnsi="Calibri"/>
                <w:spacing w:val="-1"/>
                <w:szCs w:val="22"/>
                <w:lang w:eastAsia="en-US"/>
              </w:rPr>
            </w:pPr>
            <w:r w:rsidRPr="0077444B">
              <w:rPr>
                <w:rFonts w:eastAsia="Calibri" w:hAnsi="Calibri"/>
                <w:spacing w:val="-1"/>
              </w:rPr>
              <w:t xml:space="preserve">OR (kai </w:t>
            </w:r>
            <w:r w:rsidRPr="00B77163">
              <w:rPr>
                <w:rFonts w:eastAsia="Calibri" w:hAnsi="Calibri"/>
                <w:spacing w:val="-1"/>
              </w:rPr>
              <w:t>navik</w:t>
            </w:r>
            <w:r w:rsidRPr="00B77163">
              <w:rPr>
                <w:rFonts w:eastAsia="Calibri" w:hAnsi="Calibri"/>
                <w:spacing w:val="-1"/>
              </w:rPr>
              <w:t>ą</w:t>
            </w:r>
            <w:r w:rsidRPr="00B77163">
              <w:rPr>
                <w:rFonts w:eastAsia="Calibri" w:hAnsi="Calibri"/>
                <w:spacing w:val="-1"/>
              </w:rPr>
              <w:t xml:space="preserve"> buvo galima</w:t>
            </w:r>
          </w:p>
          <w:p w14:paraId="39FB0352" w14:textId="409DB7BF" w:rsidR="00F16D2A" w:rsidRPr="0077444B" w:rsidRDefault="006911B1" w:rsidP="00FC03AF">
            <w:pPr>
              <w:widowControl w:val="0"/>
              <w:spacing w:line="241" w:lineRule="auto"/>
              <w:ind w:left="66" w:right="150"/>
            </w:pPr>
            <w:r w:rsidRPr="00B77163">
              <w:rPr>
                <w:rFonts w:eastAsia="Calibri" w:hAnsi="Calibri"/>
                <w:spacing w:val="-1"/>
              </w:rPr>
              <w:t>i</w:t>
            </w:r>
            <w:r w:rsidRPr="00B77163">
              <w:rPr>
                <w:rFonts w:eastAsia="Calibri" w:hAnsi="Calibri"/>
                <w:spacing w:val="-1"/>
              </w:rPr>
              <w:t>š</w:t>
            </w:r>
            <w:r w:rsidRPr="00B77163">
              <w:rPr>
                <w:rFonts w:eastAsia="Calibri" w:hAnsi="Calibri"/>
                <w:spacing w:val="-1"/>
              </w:rPr>
              <w:t xml:space="preserve">matuoti), </w:t>
            </w:r>
            <w:r w:rsidRPr="006911B1">
              <w:rPr>
                <w:rFonts w:eastAsia="Calibri" w:hAnsi="Calibri"/>
                <w:spacing w:val="-1"/>
                <w:szCs w:val="22"/>
                <w:lang w:eastAsia="en-US"/>
              </w:rPr>
              <w:t>%</w:t>
            </w:r>
            <w:r w:rsidRPr="00B77163">
              <w:rPr>
                <w:rFonts w:eastAsia="Calibri" w:hAnsi="Calibri"/>
                <w:spacing w:val="-1"/>
              </w:rPr>
              <w:t xml:space="preserve"> (95</w:t>
            </w:r>
            <w:r w:rsidR="00FC03AF" w:rsidRPr="0077444B">
              <w:rPr>
                <w:rFonts w:eastAsia="Calibri" w:hAnsi="Calibri"/>
                <w:spacing w:val="-1"/>
              </w:rPr>
              <w:t> </w:t>
            </w:r>
            <w:r w:rsidRPr="0077444B">
              <w:rPr>
                <w:rFonts w:eastAsia="Calibri" w:hAnsi="Calibri"/>
                <w:spacing w:val="-1"/>
              </w:rPr>
              <w:t>% PI)</w:t>
            </w:r>
          </w:p>
        </w:tc>
        <w:tc>
          <w:tcPr>
            <w:tcW w:w="3245" w:type="dxa"/>
            <w:gridSpan w:val="2"/>
            <w:tcBorders>
              <w:top w:val="single" w:sz="5" w:space="0" w:color="000000"/>
              <w:left w:val="single" w:sz="5" w:space="0" w:color="000000"/>
              <w:bottom w:val="single" w:sz="5" w:space="0" w:color="000000"/>
              <w:right w:val="single" w:sz="5" w:space="0" w:color="000000"/>
            </w:tcBorders>
          </w:tcPr>
          <w:p w14:paraId="6DBB2379" w14:textId="77777777" w:rsidR="00F16D2A" w:rsidRPr="00901F66" w:rsidRDefault="00F16D2A" w:rsidP="00901F66">
            <w:pPr>
              <w:widowControl w:val="0"/>
              <w:spacing w:line="243" w:lineRule="exact"/>
              <w:ind w:left="882"/>
              <w:rPr>
                <w:szCs w:val="22"/>
                <w:lang w:eastAsia="en-US"/>
              </w:rPr>
            </w:pPr>
            <w:r w:rsidRPr="0077444B">
              <w:rPr>
                <w:rFonts w:eastAsia="Calibri" w:hAnsi="Calibri"/>
                <w:spacing w:val="-1"/>
              </w:rPr>
              <w:t>33</w:t>
            </w:r>
            <w:r w:rsidR="006911B1" w:rsidRPr="0077444B">
              <w:rPr>
                <w:rFonts w:eastAsia="Calibri" w:hAnsi="Calibri"/>
                <w:spacing w:val="-1"/>
              </w:rPr>
              <w:t>,</w:t>
            </w:r>
            <w:r w:rsidRPr="0077444B">
              <w:rPr>
                <w:rFonts w:eastAsia="Calibri" w:hAnsi="Calibri"/>
                <w:spacing w:val="-1"/>
              </w:rPr>
              <w:t>7</w:t>
            </w:r>
            <w:r w:rsidRPr="0077444B">
              <w:rPr>
                <w:rFonts w:eastAsia="Calibri" w:hAnsi="Calibri"/>
              </w:rPr>
              <w:t xml:space="preserve"> </w:t>
            </w:r>
            <w:r w:rsidRPr="0077444B">
              <w:rPr>
                <w:rFonts w:eastAsia="Calibri" w:hAnsi="Calibri"/>
                <w:spacing w:val="-1"/>
              </w:rPr>
              <w:t>(28</w:t>
            </w:r>
            <w:r w:rsidR="006911B1" w:rsidRPr="0077444B">
              <w:rPr>
                <w:rFonts w:eastAsia="Calibri" w:hAnsi="Calibri"/>
                <w:spacing w:val="-1"/>
              </w:rPr>
              <w:t>,</w:t>
            </w:r>
            <w:r w:rsidRPr="0077444B">
              <w:rPr>
                <w:rFonts w:eastAsia="Calibri" w:hAnsi="Calibri"/>
                <w:spacing w:val="-1"/>
              </w:rPr>
              <w:t>1</w:t>
            </w:r>
            <w:r w:rsidR="006911B1" w:rsidRPr="0077444B">
              <w:rPr>
                <w:rFonts w:eastAsia="Calibri" w:hAnsi="Calibri"/>
                <w:spacing w:val="-1"/>
              </w:rPr>
              <w:t>;</w:t>
            </w:r>
            <w:r w:rsidRPr="0077444B">
              <w:rPr>
                <w:rFonts w:eastAsia="Calibri" w:hAnsi="Calibri"/>
              </w:rPr>
              <w:t xml:space="preserve"> </w:t>
            </w:r>
            <w:r w:rsidRPr="0077444B">
              <w:rPr>
                <w:rFonts w:eastAsia="Calibri" w:hAnsi="Calibri"/>
                <w:spacing w:val="-1"/>
              </w:rPr>
              <w:t>39</w:t>
            </w:r>
            <w:r w:rsidR="006911B1" w:rsidRPr="0077444B">
              <w:rPr>
                <w:rFonts w:eastAsia="Calibri" w:hAnsi="Calibri"/>
                <w:spacing w:val="-1"/>
              </w:rPr>
              <w:t>,</w:t>
            </w:r>
            <w:r w:rsidRPr="0077444B">
              <w:rPr>
                <w:rFonts w:eastAsia="Calibri" w:hAnsi="Calibri"/>
                <w:spacing w:val="-1"/>
              </w:rPr>
              <w:t>7)</w:t>
            </w:r>
          </w:p>
        </w:tc>
        <w:tc>
          <w:tcPr>
            <w:tcW w:w="3250" w:type="dxa"/>
            <w:gridSpan w:val="2"/>
            <w:tcBorders>
              <w:top w:val="single" w:sz="5" w:space="0" w:color="000000"/>
              <w:left w:val="single" w:sz="5" w:space="0" w:color="000000"/>
              <w:bottom w:val="single" w:sz="5" w:space="0" w:color="000000"/>
              <w:right w:val="single" w:sz="5" w:space="0" w:color="000000"/>
            </w:tcBorders>
          </w:tcPr>
          <w:p w14:paraId="3F4CCC1F" w14:textId="77777777" w:rsidR="00F16D2A" w:rsidRPr="00901F66" w:rsidRDefault="00F16D2A" w:rsidP="00901F66">
            <w:pPr>
              <w:widowControl w:val="0"/>
              <w:spacing w:line="243" w:lineRule="exact"/>
              <w:ind w:left="882"/>
              <w:rPr>
                <w:szCs w:val="22"/>
                <w:lang w:eastAsia="en-US"/>
              </w:rPr>
            </w:pPr>
            <w:r w:rsidRPr="0077444B">
              <w:rPr>
                <w:rFonts w:eastAsia="Calibri" w:hAnsi="Calibri"/>
                <w:spacing w:val="-1"/>
              </w:rPr>
              <w:t>17</w:t>
            </w:r>
            <w:r w:rsidR="006911B1" w:rsidRPr="0077444B">
              <w:rPr>
                <w:rFonts w:eastAsia="Calibri" w:hAnsi="Calibri"/>
                <w:spacing w:val="-1"/>
              </w:rPr>
              <w:t>,</w:t>
            </w:r>
            <w:r w:rsidRPr="0077444B">
              <w:rPr>
                <w:rFonts w:eastAsia="Calibri" w:hAnsi="Calibri"/>
                <w:spacing w:val="-1"/>
              </w:rPr>
              <w:t>4</w:t>
            </w:r>
            <w:r w:rsidRPr="0077444B">
              <w:rPr>
                <w:rFonts w:eastAsia="Calibri" w:hAnsi="Calibri"/>
              </w:rPr>
              <w:t xml:space="preserve"> </w:t>
            </w:r>
            <w:r w:rsidRPr="0077444B">
              <w:rPr>
                <w:rFonts w:eastAsia="Calibri" w:hAnsi="Calibri"/>
                <w:spacing w:val="-1"/>
              </w:rPr>
              <w:t>(11</w:t>
            </w:r>
            <w:r w:rsidR="006911B1" w:rsidRPr="0077444B">
              <w:rPr>
                <w:rFonts w:eastAsia="Calibri" w:hAnsi="Calibri"/>
                <w:spacing w:val="-1"/>
              </w:rPr>
              <w:t>,</w:t>
            </w:r>
            <w:r w:rsidRPr="0077444B">
              <w:rPr>
                <w:rFonts w:eastAsia="Calibri" w:hAnsi="Calibri"/>
                <w:spacing w:val="-1"/>
              </w:rPr>
              <w:t>5</w:t>
            </w:r>
            <w:r w:rsidR="006911B1" w:rsidRPr="0077444B">
              <w:rPr>
                <w:rFonts w:eastAsia="Calibri" w:hAnsi="Calibri"/>
                <w:spacing w:val="-1"/>
              </w:rPr>
              <w:t>;</w:t>
            </w:r>
            <w:r w:rsidRPr="0077444B">
              <w:rPr>
                <w:rFonts w:eastAsia="Calibri" w:hAnsi="Calibri"/>
              </w:rPr>
              <w:t xml:space="preserve"> </w:t>
            </w:r>
            <w:r w:rsidRPr="0077444B">
              <w:rPr>
                <w:rFonts w:eastAsia="Calibri" w:hAnsi="Calibri"/>
                <w:spacing w:val="-1"/>
              </w:rPr>
              <w:t>24</w:t>
            </w:r>
            <w:r w:rsidR="006911B1" w:rsidRPr="0077444B">
              <w:rPr>
                <w:rFonts w:eastAsia="Calibri" w:hAnsi="Calibri"/>
                <w:spacing w:val="-1"/>
              </w:rPr>
              <w:t>,</w:t>
            </w:r>
            <w:r w:rsidRPr="0077444B">
              <w:rPr>
                <w:rFonts w:eastAsia="Calibri" w:hAnsi="Calibri"/>
                <w:spacing w:val="-1"/>
              </w:rPr>
              <w:t>8)</w:t>
            </w:r>
          </w:p>
        </w:tc>
      </w:tr>
      <w:tr w:rsidR="006911B1" w:rsidRPr="00F16D2A" w14:paraId="11C1CED0" w14:textId="77777777" w:rsidTr="0077444B">
        <w:trPr>
          <w:trHeight w:val="510"/>
        </w:trPr>
        <w:tc>
          <w:tcPr>
            <w:tcW w:w="2736" w:type="dxa"/>
            <w:tcBorders>
              <w:top w:val="single" w:sz="5" w:space="0" w:color="000000"/>
              <w:left w:val="single" w:sz="5" w:space="0" w:color="000000"/>
              <w:bottom w:val="single" w:sz="5" w:space="0" w:color="000000"/>
              <w:right w:val="single" w:sz="5" w:space="0" w:color="000000"/>
            </w:tcBorders>
          </w:tcPr>
          <w:p w14:paraId="1E2DA04A" w14:textId="146153E0" w:rsidR="00F16D2A" w:rsidRPr="00901F66" w:rsidRDefault="00F16D2A">
            <w:pPr>
              <w:widowControl w:val="0"/>
              <w:spacing w:line="243" w:lineRule="exact"/>
              <w:ind w:left="66"/>
              <w:rPr>
                <w:szCs w:val="22"/>
                <w:lang w:eastAsia="en-US"/>
              </w:rPr>
            </w:pPr>
            <w:r w:rsidRPr="0077444B">
              <w:rPr>
                <w:rFonts w:eastAsia="Calibri" w:hAnsi="Calibri"/>
                <w:spacing w:val="-1"/>
              </w:rPr>
              <w:t>CBR [% (95</w:t>
            </w:r>
            <w:r w:rsidR="00FC03AF" w:rsidRPr="0077444B">
              <w:rPr>
                <w:rFonts w:eastAsia="Calibri" w:hAnsi="Calibri"/>
                <w:spacing w:val="-1"/>
              </w:rPr>
              <w:t> </w:t>
            </w:r>
            <w:r w:rsidRPr="0077444B">
              <w:rPr>
                <w:rFonts w:eastAsia="Calibri" w:hAnsi="Calibri"/>
                <w:spacing w:val="-1"/>
              </w:rPr>
              <w:t xml:space="preserve">% </w:t>
            </w:r>
            <w:r w:rsidR="00F43AB1" w:rsidRPr="0077444B">
              <w:rPr>
                <w:rFonts w:eastAsia="Calibri" w:hAnsi="Calibri"/>
                <w:spacing w:val="-1"/>
              </w:rPr>
              <w:t>P</w:t>
            </w:r>
            <w:r w:rsidRPr="0077444B">
              <w:rPr>
                <w:rFonts w:eastAsia="Calibri" w:hAnsi="Calibri"/>
                <w:spacing w:val="-1"/>
              </w:rPr>
              <w:t>I)]</w:t>
            </w:r>
          </w:p>
        </w:tc>
        <w:tc>
          <w:tcPr>
            <w:tcW w:w="3245" w:type="dxa"/>
            <w:gridSpan w:val="2"/>
            <w:tcBorders>
              <w:top w:val="single" w:sz="5" w:space="0" w:color="000000"/>
              <w:left w:val="single" w:sz="5" w:space="0" w:color="000000"/>
              <w:bottom w:val="single" w:sz="5" w:space="0" w:color="000000"/>
              <w:right w:val="single" w:sz="5" w:space="0" w:color="000000"/>
            </w:tcBorders>
          </w:tcPr>
          <w:p w14:paraId="576B033C" w14:textId="77777777" w:rsidR="00F16D2A" w:rsidRPr="00901F66" w:rsidRDefault="00F16D2A" w:rsidP="00901F66">
            <w:pPr>
              <w:widowControl w:val="0"/>
              <w:spacing w:line="243" w:lineRule="exact"/>
              <w:ind w:left="882"/>
              <w:rPr>
                <w:szCs w:val="22"/>
                <w:lang w:eastAsia="en-US"/>
              </w:rPr>
            </w:pPr>
            <w:r w:rsidRPr="0077444B">
              <w:rPr>
                <w:rFonts w:eastAsia="Calibri" w:hAnsi="Calibri"/>
                <w:spacing w:val="-1"/>
              </w:rPr>
              <w:t>68</w:t>
            </w:r>
            <w:r w:rsidR="00F43AB1" w:rsidRPr="0077444B">
              <w:rPr>
                <w:rFonts w:eastAsia="Calibri" w:hAnsi="Calibri"/>
                <w:spacing w:val="-1"/>
              </w:rPr>
              <w:t>,</w:t>
            </w:r>
            <w:r w:rsidRPr="0077444B">
              <w:rPr>
                <w:rFonts w:eastAsia="Calibri" w:hAnsi="Calibri"/>
                <w:spacing w:val="-1"/>
              </w:rPr>
              <w:t>0</w:t>
            </w:r>
            <w:r w:rsidRPr="0077444B">
              <w:rPr>
                <w:rFonts w:eastAsia="Calibri" w:hAnsi="Calibri"/>
              </w:rPr>
              <w:t xml:space="preserve"> </w:t>
            </w:r>
            <w:r w:rsidRPr="0077444B">
              <w:rPr>
                <w:rFonts w:eastAsia="Calibri" w:hAnsi="Calibri"/>
                <w:spacing w:val="-1"/>
              </w:rPr>
              <w:t>(62</w:t>
            </w:r>
            <w:r w:rsidR="00F43AB1" w:rsidRPr="0077444B">
              <w:rPr>
                <w:rFonts w:eastAsia="Calibri" w:hAnsi="Calibri"/>
                <w:spacing w:val="-1"/>
              </w:rPr>
              <w:t>,</w:t>
            </w:r>
            <w:r w:rsidRPr="0077444B">
              <w:rPr>
                <w:rFonts w:eastAsia="Calibri" w:hAnsi="Calibri"/>
                <w:spacing w:val="-1"/>
              </w:rPr>
              <w:t>8</w:t>
            </w:r>
            <w:r w:rsidR="00F43AB1" w:rsidRPr="0077444B">
              <w:rPr>
                <w:rFonts w:eastAsia="Calibri" w:hAnsi="Calibri"/>
                <w:spacing w:val="-1"/>
              </w:rPr>
              <w:t>;</w:t>
            </w:r>
            <w:r w:rsidRPr="0077444B">
              <w:rPr>
                <w:rFonts w:eastAsia="Calibri" w:hAnsi="Calibri"/>
              </w:rPr>
              <w:t xml:space="preserve"> </w:t>
            </w:r>
            <w:r w:rsidRPr="0077444B">
              <w:rPr>
                <w:rFonts w:eastAsia="Calibri" w:hAnsi="Calibri"/>
                <w:spacing w:val="-1"/>
              </w:rPr>
              <w:t>72</w:t>
            </w:r>
            <w:r w:rsidR="00F43AB1" w:rsidRPr="0077444B">
              <w:rPr>
                <w:rFonts w:eastAsia="Calibri" w:hAnsi="Calibri"/>
                <w:spacing w:val="-1"/>
              </w:rPr>
              <w:t>,</w:t>
            </w:r>
            <w:r w:rsidRPr="0077444B">
              <w:rPr>
                <w:rFonts w:eastAsia="Calibri" w:hAnsi="Calibri"/>
                <w:spacing w:val="-1"/>
              </w:rPr>
              <w:t>9)</w:t>
            </w:r>
          </w:p>
        </w:tc>
        <w:tc>
          <w:tcPr>
            <w:tcW w:w="3250" w:type="dxa"/>
            <w:gridSpan w:val="2"/>
            <w:tcBorders>
              <w:top w:val="single" w:sz="5" w:space="0" w:color="000000"/>
              <w:left w:val="single" w:sz="5" w:space="0" w:color="000000"/>
              <w:bottom w:val="single" w:sz="5" w:space="0" w:color="000000"/>
              <w:right w:val="single" w:sz="5" w:space="0" w:color="000000"/>
            </w:tcBorders>
          </w:tcPr>
          <w:p w14:paraId="3F67F228" w14:textId="77777777" w:rsidR="00F16D2A" w:rsidRPr="00901F66" w:rsidRDefault="00F16D2A" w:rsidP="00901F66">
            <w:pPr>
              <w:widowControl w:val="0"/>
              <w:spacing w:line="243" w:lineRule="exact"/>
              <w:ind w:left="882"/>
              <w:rPr>
                <w:szCs w:val="22"/>
                <w:lang w:eastAsia="en-US"/>
              </w:rPr>
            </w:pPr>
            <w:r w:rsidRPr="0077444B">
              <w:rPr>
                <w:rFonts w:eastAsia="Calibri" w:hAnsi="Calibri"/>
                <w:spacing w:val="-1"/>
              </w:rPr>
              <w:t>39</w:t>
            </w:r>
            <w:r w:rsidR="00F43AB1" w:rsidRPr="0077444B">
              <w:rPr>
                <w:rFonts w:eastAsia="Calibri" w:hAnsi="Calibri"/>
                <w:spacing w:val="-1"/>
              </w:rPr>
              <w:t>,</w:t>
            </w:r>
            <w:r w:rsidRPr="0077444B">
              <w:rPr>
                <w:rFonts w:eastAsia="Calibri" w:hAnsi="Calibri"/>
                <w:spacing w:val="-1"/>
              </w:rPr>
              <w:t>7</w:t>
            </w:r>
            <w:r w:rsidRPr="0077444B">
              <w:rPr>
                <w:rFonts w:eastAsia="Calibri" w:hAnsi="Calibri"/>
              </w:rPr>
              <w:t xml:space="preserve"> </w:t>
            </w:r>
            <w:r w:rsidRPr="0077444B">
              <w:rPr>
                <w:rFonts w:eastAsia="Calibri" w:hAnsi="Calibri"/>
                <w:spacing w:val="-1"/>
              </w:rPr>
              <w:t>(32</w:t>
            </w:r>
            <w:r w:rsidR="00F43AB1" w:rsidRPr="0077444B">
              <w:rPr>
                <w:rFonts w:eastAsia="Calibri" w:hAnsi="Calibri"/>
                <w:spacing w:val="-1"/>
              </w:rPr>
              <w:t>,</w:t>
            </w:r>
            <w:r w:rsidRPr="0077444B">
              <w:rPr>
                <w:rFonts w:eastAsia="Calibri" w:hAnsi="Calibri"/>
                <w:spacing w:val="-1"/>
              </w:rPr>
              <w:t>3</w:t>
            </w:r>
            <w:r w:rsidR="00F43AB1" w:rsidRPr="0077444B">
              <w:rPr>
                <w:rFonts w:eastAsia="Calibri" w:hAnsi="Calibri"/>
                <w:spacing w:val="-1"/>
              </w:rPr>
              <w:t>;</w:t>
            </w:r>
            <w:r w:rsidRPr="0077444B">
              <w:rPr>
                <w:rFonts w:eastAsia="Calibri" w:hAnsi="Calibri"/>
              </w:rPr>
              <w:t xml:space="preserve"> </w:t>
            </w:r>
            <w:r w:rsidRPr="0077444B">
              <w:rPr>
                <w:rFonts w:eastAsia="Calibri" w:hAnsi="Calibri"/>
                <w:spacing w:val="-1"/>
              </w:rPr>
              <w:t>47</w:t>
            </w:r>
            <w:r w:rsidR="00F43AB1" w:rsidRPr="0077444B">
              <w:rPr>
                <w:rFonts w:eastAsia="Calibri" w:hAnsi="Calibri"/>
                <w:spacing w:val="-1"/>
              </w:rPr>
              <w:t>,</w:t>
            </w:r>
            <w:r w:rsidRPr="0077444B">
              <w:rPr>
                <w:rFonts w:eastAsia="Calibri" w:hAnsi="Calibri"/>
                <w:spacing w:val="-1"/>
              </w:rPr>
              <w:t>3)</w:t>
            </w:r>
          </w:p>
        </w:tc>
      </w:tr>
      <w:tr w:rsidR="005837D7" w:rsidRPr="00F16D2A" w14:paraId="1FAC93D5" w14:textId="77777777" w:rsidTr="00B77163">
        <w:trPr>
          <w:trHeight w:val="510"/>
        </w:trPr>
        <w:tc>
          <w:tcPr>
            <w:tcW w:w="9237" w:type="dxa"/>
            <w:gridSpan w:val="5"/>
            <w:tcBorders>
              <w:top w:val="single" w:sz="5" w:space="0" w:color="000000"/>
              <w:left w:val="single" w:sz="5" w:space="0" w:color="000000"/>
              <w:bottom w:val="single" w:sz="5" w:space="0" w:color="000000"/>
              <w:right w:val="single" w:sz="5" w:space="0" w:color="000000"/>
            </w:tcBorders>
          </w:tcPr>
          <w:p w14:paraId="3E4A9416" w14:textId="6B0533F2" w:rsidR="000C7099" w:rsidRPr="00F70008" w:rsidRDefault="00954ACE" w:rsidP="00B77163">
            <w:pPr>
              <w:widowControl w:val="0"/>
              <w:spacing w:line="243" w:lineRule="exact"/>
              <w:ind w:left="66"/>
              <w:rPr>
                <w:rFonts w:eastAsia="Calibri"/>
                <w:b/>
                <w:bCs/>
                <w:spacing w:val="-1"/>
              </w:rPr>
            </w:pPr>
            <w:r w:rsidRPr="00F70008">
              <w:rPr>
                <w:rFonts w:eastAsia="Calibri"/>
                <w:b/>
                <w:bCs/>
                <w:spacing w:val="-1"/>
              </w:rPr>
              <w:t xml:space="preserve">Galutiniai bendrojo išgyvenimo (OS) duomenys </w:t>
            </w:r>
          </w:p>
          <w:p w14:paraId="571DD2D9" w14:textId="546B597E" w:rsidR="005837D7" w:rsidRPr="00B77163" w:rsidRDefault="00954ACE" w:rsidP="00B77163">
            <w:pPr>
              <w:widowControl w:val="0"/>
              <w:spacing w:line="243" w:lineRule="exact"/>
              <w:ind w:left="66"/>
              <w:rPr>
                <w:rFonts w:eastAsia="Calibri" w:hAnsi="Calibri"/>
                <w:spacing w:val="-1"/>
              </w:rPr>
            </w:pPr>
            <w:r w:rsidRPr="00F70008">
              <w:rPr>
                <w:rFonts w:eastAsia="Calibri"/>
                <w:b/>
                <w:bCs/>
                <w:spacing w:val="-1"/>
              </w:rPr>
              <w:t>(</w:t>
            </w:r>
            <w:r w:rsidR="00C41803" w:rsidRPr="00B77163">
              <w:rPr>
                <w:b/>
              </w:rPr>
              <w:t xml:space="preserve">duomenys </w:t>
            </w:r>
            <w:r w:rsidR="00C41803" w:rsidRPr="001D5BFE">
              <w:rPr>
                <w:b/>
                <w:bCs/>
              </w:rPr>
              <w:t>kaupti</w:t>
            </w:r>
            <w:r w:rsidR="00C41803" w:rsidRPr="00B77163">
              <w:t xml:space="preserve"> </w:t>
            </w:r>
            <w:r w:rsidR="002D2AB9">
              <w:rPr>
                <w:rFonts w:eastAsia="Calibri"/>
                <w:b/>
                <w:bCs/>
                <w:spacing w:val="-1"/>
              </w:rPr>
              <w:t>iki</w:t>
            </w:r>
            <w:r w:rsidR="00C27BD3">
              <w:rPr>
                <w:rFonts w:eastAsia="Calibri"/>
                <w:b/>
                <w:bCs/>
                <w:spacing w:val="-1"/>
              </w:rPr>
              <w:t xml:space="preserve"> </w:t>
            </w:r>
            <w:r w:rsidRPr="00F70008">
              <w:rPr>
                <w:rFonts w:eastAsia="Calibri"/>
                <w:b/>
                <w:bCs/>
                <w:spacing w:val="-1"/>
              </w:rPr>
              <w:t>2018 m. balandžio 13 d.)</w:t>
            </w:r>
          </w:p>
        </w:tc>
      </w:tr>
      <w:tr w:rsidR="005837D7" w:rsidRPr="00F16D2A" w14:paraId="58F9EBD7" w14:textId="77777777" w:rsidTr="00B77163">
        <w:trPr>
          <w:gridAfter w:val="1"/>
          <w:wAfter w:w="6" w:type="dxa"/>
          <w:trHeight w:val="510"/>
        </w:trPr>
        <w:tc>
          <w:tcPr>
            <w:tcW w:w="2736" w:type="dxa"/>
            <w:tcBorders>
              <w:top w:val="single" w:sz="5" w:space="0" w:color="000000"/>
              <w:left w:val="single" w:sz="5" w:space="0" w:color="000000"/>
              <w:bottom w:val="single" w:sz="5" w:space="0" w:color="000000"/>
              <w:right w:val="single" w:sz="5" w:space="0" w:color="000000"/>
            </w:tcBorders>
          </w:tcPr>
          <w:p w14:paraId="5CC8CC79" w14:textId="2DD052AF" w:rsidR="005837D7" w:rsidRPr="00B77163" w:rsidRDefault="008247E7">
            <w:pPr>
              <w:widowControl w:val="0"/>
              <w:spacing w:line="243" w:lineRule="exact"/>
              <w:ind w:left="66"/>
              <w:rPr>
                <w:rFonts w:eastAsia="Calibri" w:hAnsi="Calibri"/>
                <w:spacing w:val="-1"/>
              </w:rPr>
            </w:pPr>
            <w:r w:rsidRPr="00B77163">
              <w:t>Atvejų skaičius (%)</w:t>
            </w:r>
          </w:p>
        </w:tc>
        <w:tc>
          <w:tcPr>
            <w:tcW w:w="3245" w:type="dxa"/>
            <w:gridSpan w:val="2"/>
            <w:tcBorders>
              <w:top w:val="single" w:sz="5" w:space="0" w:color="000000"/>
              <w:left w:val="single" w:sz="5" w:space="0" w:color="000000"/>
              <w:bottom w:val="single" w:sz="5" w:space="0" w:color="000000"/>
              <w:right w:val="single" w:sz="5" w:space="0" w:color="000000"/>
            </w:tcBorders>
          </w:tcPr>
          <w:p w14:paraId="1E5913D4" w14:textId="4232D023" w:rsidR="005837D7" w:rsidRPr="00B77163" w:rsidRDefault="00947160" w:rsidP="00901F66">
            <w:pPr>
              <w:widowControl w:val="0"/>
              <w:spacing w:line="243" w:lineRule="exact"/>
              <w:ind w:left="882"/>
              <w:rPr>
                <w:rFonts w:eastAsia="Calibri" w:hAnsi="Calibri"/>
                <w:spacing w:val="-1"/>
              </w:rPr>
            </w:pPr>
            <w:r w:rsidRPr="00B77163">
              <w:rPr>
                <w:rFonts w:eastAsia="Calibri" w:hAnsi="Calibri"/>
                <w:spacing w:val="-1"/>
              </w:rPr>
              <w:t>201 (57,9)</w:t>
            </w:r>
          </w:p>
        </w:tc>
        <w:tc>
          <w:tcPr>
            <w:tcW w:w="3250" w:type="dxa"/>
            <w:tcBorders>
              <w:top w:val="single" w:sz="5" w:space="0" w:color="000000"/>
              <w:left w:val="single" w:sz="5" w:space="0" w:color="000000"/>
              <w:bottom w:val="single" w:sz="5" w:space="0" w:color="000000"/>
              <w:right w:val="single" w:sz="5" w:space="0" w:color="000000"/>
            </w:tcBorders>
          </w:tcPr>
          <w:p w14:paraId="5A5A65A2" w14:textId="109E4EB6" w:rsidR="005837D7" w:rsidRPr="00B77163" w:rsidRDefault="00947160" w:rsidP="00901F66">
            <w:pPr>
              <w:widowControl w:val="0"/>
              <w:spacing w:line="243" w:lineRule="exact"/>
              <w:ind w:left="882"/>
              <w:rPr>
                <w:rFonts w:eastAsia="Calibri" w:hAnsi="Calibri"/>
                <w:spacing w:val="-1"/>
              </w:rPr>
            </w:pPr>
            <w:r w:rsidRPr="00B77163">
              <w:rPr>
                <w:rFonts w:eastAsia="Calibri" w:hAnsi="Calibri"/>
                <w:spacing w:val="-1"/>
              </w:rPr>
              <w:t>109 (62,6)</w:t>
            </w:r>
          </w:p>
        </w:tc>
      </w:tr>
      <w:tr w:rsidR="005837D7" w:rsidRPr="00F16D2A" w14:paraId="44059DF6" w14:textId="77777777" w:rsidTr="00B77163">
        <w:trPr>
          <w:gridAfter w:val="1"/>
          <w:wAfter w:w="6" w:type="dxa"/>
          <w:trHeight w:val="510"/>
        </w:trPr>
        <w:tc>
          <w:tcPr>
            <w:tcW w:w="2736" w:type="dxa"/>
            <w:tcBorders>
              <w:top w:val="single" w:sz="5" w:space="0" w:color="000000"/>
              <w:left w:val="single" w:sz="5" w:space="0" w:color="000000"/>
              <w:bottom w:val="single" w:sz="5" w:space="0" w:color="000000"/>
              <w:right w:val="single" w:sz="5" w:space="0" w:color="000000"/>
            </w:tcBorders>
          </w:tcPr>
          <w:p w14:paraId="778C52FA" w14:textId="1FAB1179" w:rsidR="005837D7" w:rsidRPr="00F70008" w:rsidRDefault="00437B9A">
            <w:pPr>
              <w:widowControl w:val="0"/>
              <w:spacing w:line="243" w:lineRule="exact"/>
              <w:ind w:left="66"/>
              <w:rPr>
                <w:rFonts w:eastAsia="Calibri"/>
                <w:spacing w:val="-1"/>
              </w:rPr>
            </w:pPr>
            <w:r w:rsidRPr="00F70008">
              <w:rPr>
                <w:rFonts w:eastAsia="Calibri"/>
                <w:spacing w:val="-1"/>
              </w:rPr>
              <w:t>Mediana, mėn. (95</w:t>
            </w:r>
            <w:r w:rsidR="00BB1F21">
              <w:rPr>
                <w:rFonts w:eastAsia="Calibri"/>
              </w:rPr>
              <w:t> </w:t>
            </w:r>
            <w:r w:rsidRPr="00F70008">
              <w:rPr>
                <w:rFonts w:eastAsia="Calibri"/>
                <w:spacing w:val="-1"/>
              </w:rPr>
              <w:t>% PI)</w:t>
            </w:r>
          </w:p>
        </w:tc>
        <w:tc>
          <w:tcPr>
            <w:tcW w:w="3245" w:type="dxa"/>
            <w:gridSpan w:val="2"/>
            <w:tcBorders>
              <w:top w:val="single" w:sz="5" w:space="0" w:color="000000"/>
              <w:left w:val="single" w:sz="5" w:space="0" w:color="000000"/>
              <w:bottom w:val="single" w:sz="5" w:space="0" w:color="000000"/>
              <w:right w:val="single" w:sz="5" w:space="0" w:color="000000"/>
            </w:tcBorders>
          </w:tcPr>
          <w:p w14:paraId="5D584837" w14:textId="60DD6D38" w:rsidR="005837D7" w:rsidRPr="00B77163" w:rsidRDefault="00772174" w:rsidP="00901F66">
            <w:pPr>
              <w:widowControl w:val="0"/>
              <w:spacing w:line="243" w:lineRule="exact"/>
              <w:ind w:left="882"/>
              <w:rPr>
                <w:rFonts w:eastAsia="Calibri" w:hAnsi="Calibri"/>
                <w:spacing w:val="-1"/>
              </w:rPr>
            </w:pPr>
            <w:r w:rsidRPr="00B77163">
              <w:rPr>
                <w:rFonts w:eastAsia="Calibri" w:hAnsi="Calibri"/>
                <w:spacing w:val="-1"/>
              </w:rPr>
              <w:t>34</w:t>
            </w:r>
            <w:r w:rsidRPr="00772174">
              <w:rPr>
                <w:rFonts w:eastAsia="Calibri" w:hAnsi="Calibri"/>
                <w:spacing w:val="-1"/>
              </w:rPr>
              <w:t>.</w:t>
            </w:r>
            <w:r w:rsidRPr="00B77163">
              <w:rPr>
                <w:rFonts w:eastAsia="Calibri" w:hAnsi="Calibri"/>
                <w:spacing w:val="-1"/>
              </w:rPr>
              <w:t>9 (28</w:t>
            </w:r>
            <w:r w:rsidR="00BB6C07" w:rsidRPr="00B77163">
              <w:rPr>
                <w:rFonts w:eastAsia="Calibri" w:hAnsi="Calibri"/>
                <w:spacing w:val="-1"/>
              </w:rPr>
              <w:t>,</w:t>
            </w:r>
            <w:r w:rsidRPr="00B77163">
              <w:rPr>
                <w:rFonts w:eastAsia="Calibri" w:hAnsi="Calibri"/>
                <w:spacing w:val="-1"/>
              </w:rPr>
              <w:t>8</w:t>
            </w:r>
            <w:r>
              <w:rPr>
                <w:rFonts w:eastAsia="Calibri" w:hAnsi="Calibri"/>
                <w:spacing w:val="-1"/>
              </w:rPr>
              <w:t>;</w:t>
            </w:r>
            <w:r w:rsidRPr="00B77163">
              <w:rPr>
                <w:rFonts w:eastAsia="Calibri" w:hAnsi="Calibri"/>
                <w:spacing w:val="-1"/>
              </w:rPr>
              <w:t xml:space="preserve"> 40</w:t>
            </w:r>
            <w:r w:rsidR="00BB6C07" w:rsidRPr="00B77163">
              <w:rPr>
                <w:rFonts w:eastAsia="Calibri" w:hAnsi="Calibri"/>
                <w:spacing w:val="-1"/>
              </w:rPr>
              <w:t>,</w:t>
            </w:r>
            <w:r w:rsidRPr="00B77163">
              <w:rPr>
                <w:rFonts w:eastAsia="Calibri" w:hAnsi="Calibri"/>
                <w:spacing w:val="-1"/>
              </w:rPr>
              <w:t>0)</w:t>
            </w:r>
          </w:p>
        </w:tc>
        <w:tc>
          <w:tcPr>
            <w:tcW w:w="3250" w:type="dxa"/>
            <w:tcBorders>
              <w:top w:val="single" w:sz="5" w:space="0" w:color="000000"/>
              <w:left w:val="single" w:sz="5" w:space="0" w:color="000000"/>
              <w:bottom w:val="single" w:sz="5" w:space="0" w:color="000000"/>
              <w:right w:val="single" w:sz="5" w:space="0" w:color="000000"/>
            </w:tcBorders>
          </w:tcPr>
          <w:p w14:paraId="1ED74883" w14:textId="29B3E45F" w:rsidR="005837D7" w:rsidRPr="00B77163" w:rsidRDefault="00E44E06" w:rsidP="00901F66">
            <w:pPr>
              <w:widowControl w:val="0"/>
              <w:spacing w:line="243" w:lineRule="exact"/>
              <w:ind w:left="882"/>
              <w:rPr>
                <w:rFonts w:eastAsia="Calibri" w:hAnsi="Calibri"/>
                <w:spacing w:val="-1"/>
              </w:rPr>
            </w:pPr>
            <w:r w:rsidRPr="00B77163">
              <w:rPr>
                <w:rFonts w:eastAsia="Calibri" w:hAnsi="Calibri"/>
                <w:spacing w:val="-1"/>
              </w:rPr>
              <w:t>28,0 (23,6</w:t>
            </w:r>
            <w:r>
              <w:rPr>
                <w:rFonts w:eastAsia="Calibri" w:hAnsi="Calibri"/>
                <w:spacing w:val="-1"/>
              </w:rPr>
              <w:t>;</w:t>
            </w:r>
            <w:r w:rsidRPr="00B77163">
              <w:rPr>
                <w:rFonts w:eastAsia="Calibri" w:hAnsi="Calibri"/>
                <w:spacing w:val="-1"/>
              </w:rPr>
              <w:t xml:space="preserve"> 34,6)</w:t>
            </w:r>
          </w:p>
        </w:tc>
      </w:tr>
      <w:tr w:rsidR="00E44E06" w:rsidRPr="00F16D2A" w14:paraId="75ECEBB1" w14:textId="77777777" w:rsidTr="00B77163">
        <w:trPr>
          <w:trHeight w:val="510"/>
        </w:trPr>
        <w:tc>
          <w:tcPr>
            <w:tcW w:w="2736" w:type="dxa"/>
            <w:tcBorders>
              <w:top w:val="single" w:sz="5" w:space="0" w:color="000000"/>
              <w:left w:val="single" w:sz="5" w:space="0" w:color="000000"/>
              <w:bottom w:val="single" w:sz="5" w:space="0" w:color="000000"/>
              <w:right w:val="single" w:sz="5" w:space="0" w:color="000000"/>
            </w:tcBorders>
          </w:tcPr>
          <w:p w14:paraId="120AA15A" w14:textId="631694A0" w:rsidR="00E44E06" w:rsidRPr="00F70008" w:rsidRDefault="00E44E06" w:rsidP="008247E7">
            <w:pPr>
              <w:widowControl w:val="0"/>
              <w:spacing w:line="243" w:lineRule="exact"/>
              <w:ind w:left="66"/>
              <w:rPr>
                <w:rFonts w:eastAsia="Calibri"/>
                <w:spacing w:val="-1"/>
              </w:rPr>
            </w:pPr>
            <w:r w:rsidRPr="00F70008">
              <w:rPr>
                <w:rFonts w:eastAsia="Calibri"/>
                <w:spacing w:val="-1"/>
              </w:rPr>
              <w:t>Rizikos santykis (95 % PI) ir</w:t>
            </w:r>
          </w:p>
          <w:p w14:paraId="7E929390" w14:textId="5FFC9613" w:rsidR="00E44E06" w:rsidRPr="00B77163" w:rsidRDefault="00E44E06" w:rsidP="008247E7">
            <w:pPr>
              <w:widowControl w:val="0"/>
              <w:spacing w:line="243" w:lineRule="exact"/>
              <w:ind w:left="66"/>
              <w:rPr>
                <w:rFonts w:eastAsia="Calibri" w:hAnsi="Calibri"/>
                <w:spacing w:val="-1"/>
              </w:rPr>
            </w:pPr>
            <w:r w:rsidRPr="00F70008">
              <w:rPr>
                <w:rFonts w:eastAsia="Calibri"/>
                <w:spacing w:val="-1"/>
              </w:rPr>
              <w:t xml:space="preserve">p reikšmė </w:t>
            </w:r>
            <w:r w:rsidRPr="00B77163">
              <w:rPr>
                <w:rFonts w:eastAsia="Calibri"/>
                <w:spacing w:val="-1"/>
              </w:rPr>
              <w:t>†</w:t>
            </w:r>
          </w:p>
        </w:tc>
        <w:tc>
          <w:tcPr>
            <w:tcW w:w="6501" w:type="dxa"/>
            <w:gridSpan w:val="4"/>
            <w:tcBorders>
              <w:top w:val="single" w:sz="5" w:space="0" w:color="000000"/>
              <w:left w:val="single" w:sz="5" w:space="0" w:color="000000"/>
              <w:bottom w:val="single" w:sz="5" w:space="0" w:color="000000"/>
              <w:right w:val="single" w:sz="5" w:space="0" w:color="000000"/>
            </w:tcBorders>
          </w:tcPr>
          <w:p w14:paraId="3AF18350" w14:textId="54CE3A49" w:rsidR="007C7AE1" w:rsidRDefault="007C7AE1" w:rsidP="007C7AE1">
            <w:pPr>
              <w:widowControl w:val="0"/>
              <w:spacing w:line="243" w:lineRule="exact"/>
              <w:ind w:left="882"/>
              <w:jc w:val="center"/>
              <w:rPr>
                <w:rFonts w:eastAsia="Calibri"/>
                <w:spacing w:val="-1"/>
              </w:rPr>
            </w:pPr>
            <w:r w:rsidRPr="00F70008">
              <w:rPr>
                <w:rFonts w:eastAsia="Calibri"/>
                <w:spacing w:val="-1"/>
              </w:rPr>
              <w:t>0.814 (0</w:t>
            </w:r>
            <w:r>
              <w:rPr>
                <w:rFonts w:eastAsia="Calibri"/>
                <w:spacing w:val="-1"/>
              </w:rPr>
              <w:t>,</w:t>
            </w:r>
            <w:r w:rsidRPr="00F70008">
              <w:rPr>
                <w:rFonts w:eastAsia="Calibri"/>
                <w:spacing w:val="-1"/>
              </w:rPr>
              <w:t>644</w:t>
            </w:r>
            <w:r>
              <w:rPr>
                <w:rFonts w:eastAsia="Calibri"/>
                <w:spacing w:val="-1"/>
              </w:rPr>
              <w:t>;</w:t>
            </w:r>
            <w:r w:rsidRPr="00F70008">
              <w:rPr>
                <w:rFonts w:eastAsia="Calibri"/>
                <w:spacing w:val="-1"/>
              </w:rPr>
              <w:t xml:space="preserve"> 1</w:t>
            </w:r>
            <w:r>
              <w:rPr>
                <w:rFonts w:eastAsia="Calibri"/>
                <w:spacing w:val="-1"/>
              </w:rPr>
              <w:t>,</w:t>
            </w:r>
            <w:r w:rsidRPr="00F70008">
              <w:rPr>
                <w:rFonts w:eastAsia="Calibri"/>
                <w:spacing w:val="-1"/>
              </w:rPr>
              <w:t xml:space="preserve">029) </w:t>
            </w:r>
          </w:p>
          <w:p w14:paraId="5833F5D2" w14:textId="015B0658" w:rsidR="00E44E06" w:rsidRPr="00F70008" w:rsidRDefault="007C7AE1" w:rsidP="00F70008">
            <w:pPr>
              <w:widowControl w:val="0"/>
              <w:spacing w:line="243" w:lineRule="exact"/>
              <w:ind w:left="882"/>
              <w:jc w:val="center"/>
              <w:rPr>
                <w:rFonts w:eastAsia="Calibri"/>
                <w:spacing w:val="-1"/>
              </w:rPr>
            </w:pPr>
            <w:r w:rsidRPr="00B77163">
              <w:rPr>
                <w:rFonts w:eastAsia="Calibri"/>
                <w:spacing w:val="-1"/>
              </w:rPr>
              <w:t>p</w:t>
            </w:r>
            <w:r>
              <w:rPr>
                <w:rFonts w:eastAsia="Calibri"/>
                <w:spacing w:val="-1"/>
              </w:rPr>
              <w:t xml:space="preserve"> </w:t>
            </w:r>
            <w:r w:rsidRPr="00F70008">
              <w:rPr>
                <w:rFonts w:eastAsia="Calibri"/>
                <w:spacing w:val="-1"/>
              </w:rPr>
              <w:t>=</w:t>
            </w:r>
            <w:r>
              <w:rPr>
                <w:rFonts w:eastAsia="Calibri"/>
                <w:spacing w:val="-1"/>
              </w:rPr>
              <w:t xml:space="preserve"> </w:t>
            </w:r>
            <w:r w:rsidRPr="00F70008">
              <w:rPr>
                <w:rFonts w:eastAsia="Calibri"/>
                <w:spacing w:val="-1"/>
              </w:rPr>
              <w:t>0</w:t>
            </w:r>
            <w:r>
              <w:rPr>
                <w:rFonts w:eastAsia="Calibri"/>
                <w:spacing w:val="-1"/>
              </w:rPr>
              <w:t>,</w:t>
            </w:r>
            <w:r w:rsidRPr="00F70008">
              <w:rPr>
                <w:rFonts w:eastAsia="Calibri"/>
                <w:spacing w:val="-1"/>
              </w:rPr>
              <w:t>0429†*</w:t>
            </w:r>
          </w:p>
        </w:tc>
      </w:tr>
    </w:tbl>
    <w:p w14:paraId="479ED388" w14:textId="77777777" w:rsidR="00D1634D" w:rsidRPr="00B77163" w:rsidRDefault="00D1634D" w:rsidP="00F43AB1">
      <w:pPr>
        <w:autoSpaceDE w:val="0"/>
        <w:autoSpaceDN w:val="0"/>
        <w:adjustRightInd w:val="0"/>
        <w:rPr>
          <w:rFonts w:eastAsia="Batang"/>
          <w:sz w:val="18"/>
        </w:rPr>
      </w:pPr>
    </w:p>
    <w:p w14:paraId="4F280A0D" w14:textId="5737B4F8" w:rsidR="00BB1F21" w:rsidRPr="0077444B" w:rsidRDefault="00050209" w:rsidP="00901F66">
      <w:pPr>
        <w:autoSpaceDE w:val="0"/>
        <w:autoSpaceDN w:val="0"/>
        <w:adjustRightInd w:val="0"/>
        <w:rPr>
          <w:sz w:val="18"/>
        </w:rPr>
      </w:pPr>
      <w:r w:rsidRPr="0077444B">
        <w:rPr>
          <w:sz w:val="18"/>
        </w:rPr>
        <w:t xml:space="preserve">CBR (angl. </w:t>
      </w:r>
      <w:r w:rsidRPr="0077444B">
        <w:rPr>
          <w:i/>
          <w:sz w:val="18"/>
        </w:rPr>
        <w:t>clinical benefit response</w:t>
      </w:r>
      <w:r w:rsidRPr="0077444B">
        <w:rPr>
          <w:sz w:val="18"/>
        </w:rPr>
        <w:t xml:space="preserve">) – klinikinę naudą rodantis atsakas, </w:t>
      </w:r>
      <w:r w:rsidRPr="00F70008">
        <w:rPr>
          <w:sz w:val="18"/>
          <w:szCs w:val="18"/>
        </w:rPr>
        <w:t>PI – pasikliautin</w:t>
      </w:r>
      <w:r w:rsidR="00D1634D">
        <w:rPr>
          <w:sz w:val="18"/>
          <w:szCs w:val="18"/>
        </w:rPr>
        <w:t>asis</w:t>
      </w:r>
      <w:r w:rsidRPr="00F70008">
        <w:rPr>
          <w:sz w:val="18"/>
          <w:szCs w:val="18"/>
        </w:rPr>
        <w:t xml:space="preserve"> intervalas, N – pacienčių skaičius, OR</w:t>
      </w:r>
      <w:r w:rsidRPr="0077444B">
        <w:rPr>
          <w:sz w:val="18"/>
        </w:rPr>
        <w:t xml:space="preserve"> (angl. </w:t>
      </w:r>
      <w:r w:rsidRPr="00F70008">
        <w:rPr>
          <w:i/>
          <w:iCs/>
          <w:sz w:val="18"/>
          <w:szCs w:val="18"/>
        </w:rPr>
        <w:t>objective</w:t>
      </w:r>
      <w:r w:rsidRPr="0077444B">
        <w:rPr>
          <w:i/>
          <w:sz w:val="18"/>
        </w:rPr>
        <w:t xml:space="preserve"> response</w:t>
      </w:r>
      <w:r w:rsidRPr="0077444B">
        <w:rPr>
          <w:sz w:val="18"/>
        </w:rPr>
        <w:t xml:space="preserve">) – </w:t>
      </w:r>
      <w:r w:rsidRPr="00F70008">
        <w:rPr>
          <w:sz w:val="18"/>
          <w:szCs w:val="18"/>
        </w:rPr>
        <w:t xml:space="preserve">objektyvus atsakas. </w:t>
      </w:r>
    </w:p>
    <w:p w14:paraId="5998B966" w14:textId="15AD3A80" w:rsidR="000C7099" w:rsidRDefault="00050209" w:rsidP="00901F66">
      <w:pPr>
        <w:autoSpaceDE w:val="0"/>
        <w:autoSpaceDN w:val="0"/>
        <w:adjustRightInd w:val="0"/>
        <w:rPr>
          <w:sz w:val="18"/>
          <w:szCs w:val="18"/>
        </w:rPr>
      </w:pPr>
      <w:r w:rsidRPr="00F70008">
        <w:rPr>
          <w:sz w:val="18"/>
          <w:szCs w:val="18"/>
        </w:rPr>
        <w:t>Antr</w:t>
      </w:r>
      <w:r>
        <w:rPr>
          <w:sz w:val="18"/>
          <w:szCs w:val="18"/>
        </w:rPr>
        <w:t>aeilių</w:t>
      </w:r>
      <w:r w:rsidRPr="00F70008">
        <w:rPr>
          <w:sz w:val="18"/>
          <w:szCs w:val="18"/>
        </w:rPr>
        <w:t xml:space="preserve"> vertinamųjų baigčių duomenys pagrįsti pat</w:t>
      </w:r>
      <w:r w:rsidR="000C7099">
        <w:rPr>
          <w:sz w:val="18"/>
          <w:szCs w:val="18"/>
        </w:rPr>
        <w:t>v</w:t>
      </w:r>
      <w:r w:rsidRPr="00F70008">
        <w:rPr>
          <w:sz w:val="18"/>
          <w:szCs w:val="18"/>
        </w:rPr>
        <w:t>irtintais ir nepatvirtintais atsakais pagal RECIST 1.1 kriterijus.</w:t>
      </w:r>
    </w:p>
    <w:p w14:paraId="5A612429" w14:textId="5CA4BD8E" w:rsidR="000C7099" w:rsidRDefault="00050209" w:rsidP="00901F66">
      <w:pPr>
        <w:autoSpaceDE w:val="0"/>
        <w:autoSpaceDN w:val="0"/>
        <w:adjustRightInd w:val="0"/>
        <w:rPr>
          <w:sz w:val="18"/>
          <w:szCs w:val="18"/>
        </w:rPr>
      </w:pPr>
      <w:r w:rsidRPr="00F70008">
        <w:rPr>
          <w:sz w:val="18"/>
          <w:szCs w:val="18"/>
        </w:rPr>
        <w:t>*</w:t>
      </w:r>
      <w:r w:rsidR="00BB1F21">
        <w:rPr>
          <w:sz w:val="18"/>
          <w:szCs w:val="18"/>
        </w:rPr>
        <w:t xml:space="preserve"> </w:t>
      </w:r>
      <w:r w:rsidRPr="00F70008">
        <w:rPr>
          <w:sz w:val="18"/>
          <w:szCs w:val="18"/>
        </w:rPr>
        <w:t xml:space="preserve">Statistiškai nereikšminga. </w:t>
      </w:r>
    </w:p>
    <w:p w14:paraId="34FFF651" w14:textId="1317BCC4" w:rsidR="000C3A64" w:rsidRPr="00F70008" w:rsidRDefault="00050209" w:rsidP="00F70008">
      <w:pPr>
        <w:autoSpaceDE w:val="0"/>
        <w:autoSpaceDN w:val="0"/>
        <w:adjustRightInd w:val="0"/>
        <w:ind w:left="142" w:hanging="142"/>
        <w:rPr>
          <w:iCs/>
          <w:sz w:val="18"/>
          <w:szCs w:val="18"/>
          <w:lang w:eastAsia="en-US"/>
        </w:rPr>
      </w:pPr>
      <w:r w:rsidRPr="00B77163">
        <w:rPr>
          <w:sz w:val="18"/>
        </w:rPr>
        <w:t>†</w:t>
      </w:r>
      <w:r w:rsidRPr="00F70008">
        <w:rPr>
          <w:sz w:val="18"/>
          <w:szCs w:val="18"/>
        </w:rPr>
        <w:t xml:space="preserve"> Vienpusė p reikšmė, gauta logaritminio rango testo būdu, stratifikuota pagal visceralinių metastazių buvimą ir jautrumą anksčiau taikytam endokrininiam gydymui (randomizacijos metu gauti duomenys).</w:t>
      </w:r>
    </w:p>
    <w:p w14:paraId="5A99411D" w14:textId="77777777" w:rsidR="000C3A64" w:rsidRDefault="000C3A64" w:rsidP="004364B8">
      <w:pPr>
        <w:rPr>
          <w:i/>
          <w:iCs/>
          <w:szCs w:val="22"/>
          <w:lang w:eastAsia="en-US"/>
        </w:rPr>
      </w:pPr>
    </w:p>
    <w:p w14:paraId="4463DE82" w14:textId="5F85F50D" w:rsidR="00F43AB1" w:rsidRPr="00901F66" w:rsidRDefault="00F43AB1" w:rsidP="00901F66">
      <w:pPr>
        <w:ind w:left="567" w:hanging="567"/>
        <w:rPr>
          <w:b/>
          <w:iCs/>
          <w:szCs w:val="22"/>
          <w:lang w:eastAsia="en-US"/>
        </w:rPr>
      </w:pPr>
      <w:r w:rsidRPr="00901F66">
        <w:rPr>
          <w:b/>
          <w:iCs/>
          <w:szCs w:val="22"/>
          <w:lang w:eastAsia="en-US"/>
        </w:rPr>
        <w:t>2 pav. Išgyvenimo neprogresuojant ligai Kaplan-Meier kreivės (tyrėjo vertinimu, numatytai gydyti populiacijai) PALOMA-3 tyrimo duomenimis</w:t>
      </w:r>
      <w:r w:rsidR="00111799" w:rsidRPr="00B77163">
        <w:t xml:space="preserve"> (</w:t>
      </w:r>
      <w:r w:rsidR="00F75C93" w:rsidRPr="001D5BFE">
        <w:rPr>
          <w:b/>
          <w:bCs/>
        </w:rPr>
        <w:t>duomenys kaupti</w:t>
      </w:r>
      <w:r w:rsidR="00F75C93" w:rsidRPr="00B77163">
        <w:t xml:space="preserve"> </w:t>
      </w:r>
      <w:r w:rsidR="00111799" w:rsidRPr="00111799">
        <w:rPr>
          <w:b/>
          <w:iCs/>
          <w:szCs w:val="22"/>
          <w:lang w:eastAsia="en-US"/>
        </w:rPr>
        <w:t>iki 201</w:t>
      </w:r>
      <w:r w:rsidR="002D2AB9">
        <w:rPr>
          <w:b/>
          <w:iCs/>
          <w:szCs w:val="22"/>
          <w:lang w:eastAsia="en-US"/>
        </w:rPr>
        <w:t>5</w:t>
      </w:r>
      <w:r w:rsidR="00111799" w:rsidRPr="00111799">
        <w:rPr>
          <w:b/>
          <w:iCs/>
          <w:szCs w:val="22"/>
          <w:lang w:eastAsia="en-US"/>
        </w:rPr>
        <w:t xml:space="preserve"> m. </w:t>
      </w:r>
      <w:r w:rsidR="002D2AB9">
        <w:rPr>
          <w:b/>
          <w:iCs/>
          <w:szCs w:val="22"/>
          <w:lang w:eastAsia="en-US"/>
        </w:rPr>
        <w:t>spalio</w:t>
      </w:r>
      <w:r w:rsidR="00111799" w:rsidRPr="00111799">
        <w:rPr>
          <w:b/>
          <w:iCs/>
          <w:szCs w:val="22"/>
          <w:lang w:eastAsia="en-US"/>
        </w:rPr>
        <w:t xml:space="preserve"> </w:t>
      </w:r>
      <w:r w:rsidR="00853D2A">
        <w:rPr>
          <w:b/>
          <w:iCs/>
          <w:szCs w:val="22"/>
          <w:lang w:eastAsia="en-US"/>
        </w:rPr>
        <w:t>2</w:t>
      </w:r>
      <w:r w:rsidR="00111799" w:rsidRPr="00111799">
        <w:rPr>
          <w:b/>
          <w:iCs/>
          <w:szCs w:val="22"/>
          <w:lang w:eastAsia="en-US"/>
        </w:rPr>
        <w:t>3 d.)</w:t>
      </w:r>
    </w:p>
    <w:p w14:paraId="465C0D6C" w14:textId="77777777" w:rsidR="00F43AB1" w:rsidRDefault="00F43AB1" w:rsidP="004364B8">
      <w:pPr>
        <w:rPr>
          <w:i/>
          <w:iCs/>
          <w:szCs w:val="22"/>
          <w:lang w:eastAsia="en-US"/>
        </w:rPr>
      </w:pPr>
    </w:p>
    <w:p w14:paraId="547BCD29" w14:textId="77777777" w:rsidR="000C3A64" w:rsidRPr="00901F66" w:rsidRDefault="00F43AB1" w:rsidP="004364B8">
      <w:pPr>
        <w:rPr>
          <w:iCs/>
          <w:szCs w:val="22"/>
          <w:lang w:eastAsia="en-US"/>
        </w:rPr>
      </w:pPr>
      <w:r w:rsidRPr="00C65C78">
        <w:rPr>
          <w:noProof/>
        </w:rPr>
        <w:lastRenderedPageBreak/>
        <w:drawing>
          <wp:inline distT="0" distB="0" distL="0" distR="0" wp14:anchorId="0452E3EC" wp14:editId="7AFE98D7">
            <wp:extent cx="5731510" cy="4095512"/>
            <wp:effectExtent l="0" t="0" r="2540" b="6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095512"/>
                    </a:xfrm>
                    <a:prstGeom prst="rect">
                      <a:avLst/>
                    </a:prstGeom>
                    <a:noFill/>
                    <a:ln>
                      <a:noFill/>
                    </a:ln>
                  </pic:spPr>
                </pic:pic>
              </a:graphicData>
            </a:graphic>
          </wp:inline>
        </w:drawing>
      </w:r>
    </w:p>
    <w:p w14:paraId="2C7A916F" w14:textId="77777777" w:rsidR="00F43AB1" w:rsidRPr="00901F66" w:rsidRDefault="00F43AB1" w:rsidP="004364B8">
      <w:pPr>
        <w:rPr>
          <w:iCs/>
          <w:szCs w:val="22"/>
          <w:lang w:eastAsia="en-US"/>
        </w:rPr>
      </w:pPr>
      <w:r w:rsidRPr="003F235A">
        <w:rPr>
          <w:spacing w:val="-1"/>
          <w:sz w:val="20"/>
          <w:lang w:eastAsia="en-US"/>
        </w:rPr>
        <w:t>FUL=fulvestrantas;</w:t>
      </w:r>
      <w:r w:rsidRPr="003F235A">
        <w:rPr>
          <w:spacing w:val="-2"/>
          <w:sz w:val="20"/>
          <w:lang w:eastAsia="en-US"/>
        </w:rPr>
        <w:t xml:space="preserve"> </w:t>
      </w:r>
      <w:r w:rsidRPr="003F235A">
        <w:rPr>
          <w:spacing w:val="-1"/>
          <w:sz w:val="20"/>
          <w:lang w:eastAsia="en-US"/>
        </w:rPr>
        <w:t>PAL=palbociklibas;</w:t>
      </w:r>
      <w:r w:rsidRPr="003F235A">
        <w:rPr>
          <w:spacing w:val="-2"/>
          <w:sz w:val="20"/>
          <w:lang w:eastAsia="en-US"/>
        </w:rPr>
        <w:t xml:space="preserve"> </w:t>
      </w:r>
      <w:r w:rsidRPr="003F235A">
        <w:rPr>
          <w:spacing w:val="-1"/>
          <w:sz w:val="20"/>
          <w:lang w:eastAsia="en-US"/>
        </w:rPr>
        <w:t>PCB=placebas.</w:t>
      </w:r>
    </w:p>
    <w:p w14:paraId="752A2C9B" w14:textId="77777777" w:rsidR="00F43AB1" w:rsidRDefault="00F43AB1" w:rsidP="004364B8">
      <w:pPr>
        <w:rPr>
          <w:i/>
          <w:iCs/>
          <w:szCs w:val="22"/>
          <w:lang w:eastAsia="en-US"/>
        </w:rPr>
      </w:pPr>
    </w:p>
    <w:p w14:paraId="6DFE3BFA" w14:textId="0F2674AD" w:rsidR="00F43AB1" w:rsidRDefault="00F43AB1" w:rsidP="00F43AB1">
      <w:pPr>
        <w:rPr>
          <w:iCs/>
          <w:szCs w:val="22"/>
          <w:lang w:eastAsia="en-US"/>
        </w:rPr>
      </w:pPr>
      <w:r w:rsidRPr="00F43AB1">
        <w:rPr>
          <w:iCs/>
          <w:szCs w:val="22"/>
          <w:lang w:eastAsia="en-US"/>
        </w:rPr>
        <w:t xml:space="preserve">Sumažėjusi ligos progresavimo ir mirties rizika nustatyta visų atskirų </w:t>
      </w:r>
      <w:r>
        <w:rPr>
          <w:iCs/>
          <w:szCs w:val="22"/>
          <w:lang w:eastAsia="en-US"/>
        </w:rPr>
        <w:t>fulvestranto ir</w:t>
      </w:r>
      <w:r w:rsidRPr="00F43AB1">
        <w:rPr>
          <w:iCs/>
          <w:szCs w:val="22"/>
          <w:lang w:eastAsia="en-US"/>
        </w:rPr>
        <w:t xml:space="preserve"> palbociklibo</w:t>
      </w:r>
      <w:r>
        <w:rPr>
          <w:iCs/>
          <w:szCs w:val="22"/>
          <w:lang w:eastAsia="en-US"/>
        </w:rPr>
        <w:t xml:space="preserve"> derinio </w:t>
      </w:r>
      <w:r w:rsidRPr="00F43AB1">
        <w:rPr>
          <w:iCs/>
          <w:szCs w:val="22"/>
          <w:lang w:eastAsia="en-US"/>
        </w:rPr>
        <w:t>grupės pogrupių, sudarytų pagal stratifikavimo faktorius ir pradines savybes, pacientėms, t.y. iki</w:t>
      </w:r>
      <w:r>
        <w:rPr>
          <w:iCs/>
          <w:szCs w:val="22"/>
          <w:lang w:eastAsia="en-US"/>
        </w:rPr>
        <w:t xml:space="preserve"> </w:t>
      </w:r>
      <w:r w:rsidRPr="00F43AB1">
        <w:rPr>
          <w:iCs/>
          <w:szCs w:val="22"/>
          <w:lang w:eastAsia="en-US"/>
        </w:rPr>
        <w:t>menopauzės ir perimenopauzės laikotarpiu (</w:t>
      </w:r>
      <w:r>
        <w:rPr>
          <w:iCs/>
          <w:szCs w:val="22"/>
          <w:lang w:eastAsia="en-US"/>
        </w:rPr>
        <w:t>S</w:t>
      </w:r>
      <w:r w:rsidRPr="00F43AB1">
        <w:rPr>
          <w:iCs/>
          <w:szCs w:val="22"/>
          <w:lang w:eastAsia="en-US"/>
        </w:rPr>
        <w:t>R – 0,46, 95</w:t>
      </w:r>
      <w:r w:rsidR="003549D2">
        <w:rPr>
          <w:iCs/>
          <w:szCs w:val="22"/>
          <w:lang w:eastAsia="en-US"/>
        </w:rPr>
        <w:t> </w:t>
      </w:r>
      <w:r w:rsidRPr="00F43AB1">
        <w:rPr>
          <w:iCs/>
          <w:szCs w:val="22"/>
          <w:lang w:eastAsia="en-US"/>
        </w:rPr>
        <w:t>% PI – nuo 0,28 iki 0,75) bei po</w:t>
      </w:r>
      <w:r>
        <w:rPr>
          <w:iCs/>
          <w:szCs w:val="22"/>
          <w:lang w:eastAsia="en-US"/>
        </w:rPr>
        <w:t xml:space="preserve"> </w:t>
      </w:r>
      <w:r w:rsidRPr="00F43AB1">
        <w:rPr>
          <w:iCs/>
          <w:szCs w:val="22"/>
          <w:lang w:eastAsia="en-US"/>
        </w:rPr>
        <w:t>menopauzės (</w:t>
      </w:r>
      <w:r>
        <w:rPr>
          <w:iCs/>
          <w:szCs w:val="22"/>
          <w:lang w:eastAsia="en-US"/>
        </w:rPr>
        <w:t>S</w:t>
      </w:r>
      <w:r w:rsidRPr="00F43AB1">
        <w:rPr>
          <w:iCs/>
          <w:szCs w:val="22"/>
          <w:lang w:eastAsia="en-US"/>
        </w:rPr>
        <w:t>R – 0,52, 95</w:t>
      </w:r>
      <w:r w:rsidR="003549D2">
        <w:rPr>
          <w:iCs/>
          <w:szCs w:val="22"/>
          <w:lang w:eastAsia="en-US"/>
        </w:rPr>
        <w:t> </w:t>
      </w:r>
      <w:r w:rsidRPr="00F43AB1">
        <w:rPr>
          <w:iCs/>
          <w:szCs w:val="22"/>
          <w:lang w:eastAsia="en-US"/>
        </w:rPr>
        <w:t>% PI – nuo 0,40 iki 0,66), esant visceralinių metastazių (</w:t>
      </w:r>
      <w:r>
        <w:rPr>
          <w:iCs/>
          <w:szCs w:val="22"/>
          <w:lang w:eastAsia="en-US"/>
        </w:rPr>
        <w:t>S</w:t>
      </w:r>
      <w:r w:rsidRPr="00F43AB1">
        <w:rPr>
          <w:iCs/>
          <w:szCs w:val="22"/>
          <w:lang w:eastAsia="en-US"/>
        </w:rPr>
        <w:t>R – 0,50, 95</w:t>
      </w:r>
      <w:r w:rsidR="003549D2">
        <w:rPr>
          <w:iCs/>
          <w:szCs w:val="22"/>
          <w:lang w:eastAsia="en-US"/>
        </w:rPr>
        <w:t> </w:t>
      </w:r>
      <w:r w:rsidRPr="00F43AB1">
        <w:rPr>
          <w:iCs/>
          <w:szCs w:val="22"/>
          <w:lang w:eastAsia="en-US"/>
        </w:rPr>
        <w:t>%</w:t>
      </w:r>
      <w:r>
        <w:rPr>
          <w:iCs/>
          <w:szCs w:val="22"/>
          <w:lang w:eastAsia="en-US"/>
        </w:rPr>
        <w:t xml:space="preserve"> </w:t>
      </w:r>
      <w:r w:rsidRPr="00F43AB1">
        <w:rPr>
          <w:iCs/>
          <w:szCs w:val="22"/>
          <w:lang w:eastAsia="en-US"/>
        </w:rPr>
        <w:t>PI – nuo 0,38 iki 0,65) bei esant nevisceralinių metastazių (</w:t>
      </w:r>
      <w:r>
        <w:rPr>
          <w:iCs/>
          <w:szCs w:val="22"/>
          <w:lang w:eastAsia="en-US"/>
        </w:rPr>
        <w:t>S</w:t>
      </w:r>
      <w:r w:rsidRPr="00F43AB1">
        <w:rPr>
          <w:iCs/>
          <w:szCs w:val="22"/>
          <w:lang w:eastAsia="en-US"/>
        </w:rPr>
        <w:t>R – 0,48, 95</w:t>
      </w:r>
      <w:r w:rsidR="003549D2">
        <w:rPr>
          <w:iCs/>
          <w:szCs w:val="22"/>
          <w:lang w:eastAsia="en-US"/>
        </w:rPr>
        <w:t> </w:t>
      </w:r>
      <w:r w:rsidRPr="00F43AB1">
        <w:rPr>
          <w:iCs/>
          <w:szCs w:val="22"/>
          <w:lang w:eastAsia="en-US"/>
        </w:rPr>
        <w:t>% PI – nuo 0,33 iki 0,71).</w:t>
      </w:r>
      <w:r>
        <w:rPr>
          <w:iCs/>
          <w:szCs w:val="22"/>
          <w:lang w:eastAsia="en-US"/>
        </w:rPr>
        <w:t xml:space="preserve"> </w:t>
      </w:r>
      <w:r w:rsidRPr="00F43AB1">
        <w:rPr>
          <w:iCs/>
          <w:szCs w:val="22"/>
          <w:lang w:eastAsia="en-US"/>
        </w:rPr>
        <w:t>Nauda nustatyta nepriklausomai nuo to, kelių eilių metastazavusio vėžio gydymas taikytas anksčiau,</w:t>
      </w:r>
      <w:r>
        <w:rPr>
          <w:iCs/>
          <w:szCs w:val="22"/>
          <w:lang w:eastAsia="en-US"/>
        </w:rPr>
        <w:t xml:space="preserve"> </w:t>
      </w:r>
      <w:r w:rsidRPr="00F43AB1">
        <w:rPr>
          <w:iCs/>
          <w:szCs w:val="22"/>
          <w:lang w:eastAsia="en-US"/>
        </w:rPr>
        <w:t>t.y. jei jų buvo 0 (</w:t>
      </w:r>
      <w:r>
        <w:rPr>
          <w:iCs/>
          <w:szCs w:val="22"/>
          <w:lang w:eastAsia="en-US"/>
        </w:rPr>
        <w:t>S</w:t>
      </w:r>
      <w:r w:rsidRPr="00F43AB1">
        <w:rPr>
          <w:iCs/>
          <w:szCs w:val="22"/>
          <w:lang w:eastAsia="en-US"/>
        </w:rPr>
        <w:t>R – 0,59, 95</w:t>
      </w:r>
      <w:r w:rsidR="003549D2">
        <w:rPr>
          <w:iCs/>
          <w:szCs w:val="22"/>
          <w:lang w:eastAsia="en-US"/>
        </w:rPr>
        <w:t> </w:t>
      </w:r>
      <w:r w:rsidRPr="00F43AB1">
        <w:rPr>
          <w:iCs/>
          <w:szCs w:val="22"/>
          <w:lang w:eastAsia="en-US"/>
        </w:rPr>
        <w:t>% PI – nuo 0,37 iki 0,93), 1 (</w:t>
      </w:r>
      <w:r>
        <w:rPr>
          <w:iCs/>
          <w:szCs w:val="22"/>
          <w:lang w:eastAsia="en-US"/>
        </w:rPr>
        <w:t>S</w:t>
      </w:r>
      <w:r w:rsidRPr="00F43AB1">
        <w:rPr>
          <w:iCs/>
          <w:szCs w:val="22"/>
          <w:lang w:eastAsia="en-US"/>
        </w:rPr>
        <w:t>R – 0,46, 95</w:t>
      </w:r>
      <w:r w:rsidR="003549D2">
        <w:rPr>
          <w:iCs/>
          <w:szCs w:val="22"/>
          <w:lang w:eastAsia="en-US"/>
        </w:rPr>
        <w:t> </w:t>
      </w:r>
      <w:r w:rsidRPr="00F43AB1">
        <w:rPr>
          <w:iCs/>
          <w:szCs w:val="22"/>
          <w:lang w:eastAsia="en-US"/>
        </w:rPr>
        <w:t>% PI – nuo 0,32 iki 0,64),</w:t>
      </w:r>
      <w:r>
        <w:rPr>
          <w:iCs/>
          <w:szCs w:val="22"/>
          <w:lang w:eastAsia="en-US"/>
        </w:rPr>
        <w:t xml:space="preserve"> </w:t>
      </w:r>
      <w:r w:rsidRPr="00F43AB1">
        <w:rPr>
          <w:iCs/>
          <w:szCs w:val="22"/>
          <w:lang w:eastAsia="en-US"/>
        </w:rPr>
        <w:t>2 (</w:t>
      </w:r>
      <w:r>
        <w:rPr>
          <w:iCs/>
          <w:szCs w:val="22"/>
          <w:lang w:eastAsia="en-US"/>
        </w:rPr>
        <w:t>S</w:t>
      </w:r>
      <w:r w:rsidRPr="00F43AB1">
        <w:rPr>
          <w:iCs/>
          <w:szCs w:val="22"/>
          <w:lang w:eastAsia="en-US"/>
        </w:rPr>
        <w:t>R – 0,48, 95</w:t>
      </w:r>
      <w:r w:rsidR="003549D2">
        <w:rPr>
          <w:iCs/>
          <w:szCs w:val="22"/>
          <w:lang w:eastAsia="en-US"/>
        </w:rPr>
        <w:t> </w:t>
      </w:r>
      <w:r w:rsidRPr="00F43AB1">
        <w:rPr>
          <w:iCs/>
          <w:szCs w:val="22"/>
          <w:lang w:eastAsia="en-US"/>
        </w:rPr>
        <w:t xml:space="preserve">% PI – nuo 0,30 iki 0,76) ar </w:t>
      </w:r>
      <w:r>
        <w:rPr>
          <w:iCs/>
          <w:szCs w:val="22"/>
          <w:lang w:eastAsia="en-US"/>
        </w:rPr>
        <w:t>≥</w:t>
      </w:r>
      <w:r w:rsidR="003549D2">
        <w:rPr>
          <w:iCs/>
          <w:szCs w:val="22"/>
          <w:lang w:eastAsia="en-US"/>
        </w:rPr>
        <w:t> </w:t>
      </w:r>
      <w:r w:rsidRPr="00F43AB1">
        <w:rPr>
          <w:iCs/>
          <w:szCs w:val="22"/>
          <w:lang w:eastAsia="en-US"/>
        </w:rPr>
        <w:t>3 (</w:t>
      </w:r>
      <w:r>
        <w:rPr>
          <w:iCs/>
          <w:szCs w:val="22"/>
          <w:lang w:eastAsia="en-US"/>
        </w:rPr>
        <w:t>S</w:t>
      </w:r>
      <w:r w:rsidRPr="00F43AB1">
        <w:rPr>
          <w:iCs/>
          <w:szCs w:val="22"/>
          <w:lang w:eastAsia="en-US"/>
        </w:rPr>
        <w:t>R – 0,59, 95</w:t>
      </w:r>
      <w:r w:rsidR="003549D2">
        <w:rPr>
          <w:iCs/>
          <w:szCs w:val="22"/>
          <w:lang w:eastAsia="en-US"/>
        </w:rPr>
        <w:t> </w:t>
      </w:r>
      <w:r w:rsidRPr="00F43AB1">
        <w:rPr>
          <w:iCs/>
          <w:szCs w:val="22"/>
          <w:lang w:eastAsia="en-US"/>
        </w:rPr>
        <w:t>% PI – nuo 0,28 iki 1,22).</w:t>
      </w:r>
    </w:p>
    <w:p w14:paraId="5EE24D64" w14:textId="5656D6C3" w:rsidR="000154C3" w:rsidRDefault="000154C3" w:rsidP="00B77163">
      <w:pPr>
        <w:rPr>
          <w:iCs/>
          <w:szCs w:val="22"/>
          <w:lang w:eastAsia="en-US"/>
        </w:rPr>
      </w:pPr>
    </w:p>
    <w:p w14:paraId="6BC0A4F3" w14:textId="4A894B38" w:rsidR="00577D18" w:rsidRPr="00901F66" w:rsidRDefault="00DA024D" w:rsidP="00577D18">
      <w:pPr>
        <w:ind w:left="567" w:hanging="567"/>
        <w:rPr>
          <w:b/>
          <w:iCs/>
          <w:szCs w:val="22"/>
          <w:lang w:eastAsia="en-US"/>
        </w:rPr>
      </w:pPr>
      <w:r>
        <w:rPr>
          <w:b/>
          <w:iCs/>
          <w:szCs w:val="22"/>
          <w:lang w:eastAsia="en-US"/>
        </w:rPr>
        <w:t>3</w:t>
      </w:r>
      <w:r w:rsidR="00577D18" w:rsidRPr="00901F66">
        <w:rPr>
          <w:b/>
          <w:iCs/>
          <w:szCs w:val="22"/>
          <w:lang w:eastAsia="en-US"/>
        </w:rPr>
        <w:t xml:space="preserve"> pav. </w:t>
      </w:r>
      <w:r w:rsidR="00F617E0">
        <w:rPr>
          <w:b/>
          <w:iCs/>
          <w:szCs w:val="22"/>
          <w:lang w:eastAsia="en-US"/>
        </w:rPr>
        <w:t>Be</w:t>
      </w:r>
      <w:r w:rsidR="00FA3E8D">
        <w:rPr>
          <w:b/>
          <w:iCs/>
          <w:szCs w:val="22"/>
          <w:lang w:eastAsia="en-US"/>
        </w:rPr>
        <w:t>ndro išgyvenamumo</w:t>
      </w:r>
      <w:r w:rsidR="00577D18" w:rsidRPr="00901F66">
        <w:rPr>
          <w:b/>
          <w:iCs/>
          <w:szCs w:val="22"/>
          <w:lang w:eastAsia="en-US"/>
        </w:rPr>
        <w:t xml:space="preserve"> Kaplan-Meier kreivės numatytai gydyti populiacijai PALOMA-3 tyrimo duomenimis</w:t>
      </w:r>
      <w:r w:rsidR="00577D18" w:rsidRPr="00B77163">
        <w:t xml:space="preserve"> (</w:t>
      </w:r>
      <w:r w:rsidR="00C41803" w:rsidRPr="00F70008">
        <w:rPr>
          <w:b/>
          <w:bCs/>
        </w:rPr>
        <w:t>duomenys kaupti</w:t>
      </w:r>
      <w:r w:rsidR="00C41803" w:rsidRPr="00B77163">
        <w:t xml:space="preserve"> </w:t>
      </w:r>
      <w:r w:rsidR="00577D18" w:rsidRPr="00111799">
        <w:rPr>
          <w:b/>
          <w:iCs/>
          <w:szCs w:val="22"/>
          <w:lang w:eastAsia="en-US"/>
        </w:rPr>
        <w:t>iki 201</w:t>
      </w:r>
      <w:r w:rsidR="00C41803">
        <w:rPr>
          <w:b/>
          <w:iCs/>
          <w:szCs w:val="22"/>
          <w:lang w:eastAsia="en-US"/>
        </w:rPr>
        <w:t>8</w:t>
      </w:r>
      <w:r w:rsidR="00577D18" w:rsidRPr="00111799">
        <w:rPr>
          <w:b/>
          <w:iCs/>
          <w:szCs w:val="22"/>
          <w:lang w:eastAsia="en-US"/>
        </w:rPr>
        <w:t xml:space="preserve"> m. </w:t>
      </w:r>
      <w:r w:rsidR="00F75C93">
        <w:rPr>
          <w:b/>
          <w:iCs/>
          <w:szCs w:val="22"/>
          <w:lang w:eastAsia="en-US"/>
        </w:rPr>
        <w:t>balandžio</w:t>
      </w:r>
      <w:r w:rsidR="00577D18" w:rsidRPr="00111799">
        <w:rPr>
          <w:b/>
          <w:iCs/>
          <w:szCs w:val="22"/>
          <w:lang w:eastAsia="en-US"/>
        </w:rPr>
        <w:t xml:space="preserve"> </w:t>
      </w:r>
      <w:r w:rsidR="008061B9">
        <w:rPr>
          <w:b/>
          <w:iCs/>
          <w:szCs w:val="22"/>
          <w:lang w:eastAsia="en-US"/>
        </w:rPr>
        <w:t>1</w:t>
      </w:r>
      <w:r w:rsidR="00577D18" w:rsidRPr="00111799">
        <w:rPr>
          <w:b/>
          <w:iCs/>
          <w:szCs w:val="22"/>
          <w:lang w:eastAsia="en-US"/>
        </w:rPr>
        <w:t>3 d.)</w:t>
      </w:r>
    </w:p>
    <w:p w14:paraId="5884FC01" w14:textId="77777777" w:rsidR="00577D18" w:rsidRPr="00B77163" w:rsidRDefault="00577D18" w:rsidP="00577D18">
      <w:pPr>
        <w:rPr>
          <w:i/>
        </w:rPr>
      </w:pPr>
    </w:p>
    <w:p w14:paraId="1D362261" w14:textId="40D1A7CC" w:rsidR="000154C3" w:rsidRDefault="000154C3" w:rsidP="00F43AB1">
      <w:pPr>
        <w:rPr>
          <w:iCs/>
          <w:szCs w:val="22"/>
          <w:lang w:eastAsia="en-US"/>
        </w:rPr>
      </w:pPr>
    </w:p>
    <w:p w14:paraId="461F1EAA" w14:textId="6E08EC65" w:rsidR="000154C3" w:rsidRDefault="00166F53" w:rsidP="00F43AB1">
      <w:pPr>
        <w:rPr>
          <w:iCs/>
          <w:szCs w:val="22"/>
          <w:lang w:eastAsia="en-US"/>
        </w:rPr>
      </w:pPr>
      <w:r w:rsidRPr="00166F53">
        <w:rPr>
          <w:iCs/>
          <w:noProof/>
          <w:szCs w:val="22"/>
        </w:rPr>
        <w:lastRenderedPageBreak/>
        <w:drawing>
          <wp:inline distT="0" distB="0" distL="0" distR="0" wp14:anchorId="38003B75" wp14:editId="3724462D">
            <wp:extent cx="5731510" cy="417449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174490"/>
                    </a:xfrm>
                    <a:prstGeom prst="rect">
                      <a:avLst/>
                    </a:prstGeom>
                    <a:noFill/>
                    <a:ln>
                      <a:noFill/>
                    </a:ln>
                  </pic:spPr>
                </pic:pic>
              </a:graphicData>
            </a:graphic>
          </wp:inline>
        </w:drawing>
      </w:r>
    </w:p>
    <w:p w14:paraId="14D09368" w14:textId="4C1D2E41" w:rsidR="000154C3" w:rsidRPr="00F43AB1" w:rsidRDefault="008061B9" w:rsidP="00F43AB1">
      <w:pPr>
        <w:rPr>
          <w:iCs/>
          <w:szCs w:val="22"/>
          <w:lang w:eastAsia="en-US"/>
        </w:rPr>
      </w:pPr>
      <w:r>
        <w:rPr>
          <w:iCs/>
          <w:szCs w:val="22"/>
          <w:lang w:eastAsia="en-US"/>
        </w:rPr>
        <w:t>FUL – fulvestrantas</w:t>
      </w:r>
      <w:r w:rsidR="008D6B7C">
        <w:rPr>
          <w:iCs/>
          <w:szCs w:val="22"/>
          <w:lang w:eastAsia="en-US"/>
        </w:rPr>
        <w:t>, PAL – palbociklibas, PCB – placebas</w:t>
      </w:r>
    </w:p>
    <w:p w14:paraId="4D4FE7D2" w14:textId="6F0A6866" w:rsidR="00F43AB1" w:rsidRDefault="00F43AB1" w:rsidP="00F43AB1">
      <w:pPr>
        <w:rPr>
          <w:iCs/>
          <w:szCs w:val="22"/>
          <w:lang w:eastAsia="en-US"/>
        </w:rPr>
      </w:pPr>
    </w:p>
    <w:p w14:paraId="7D541167" w14:textId="41042B8D" w:rsidR="0036562E" w:rsidRDefault="0036562E" w:rsidP="00F43AB1">
      <w:pPr>
        <w:rPr>
          <w:iCs/>
          <w:szCs w:val="22"/>
          <w:lang w:eastAsia="en-US"/>
        </w:rPr>
      </w:pPr>
      <w:r>
        <w:rPr>
          <w:iCs/>
          <w:szCs w:val="22"/>
          <w:lang w:eastAsia="en-US"/>
        </w:rPr>
        <w:t>Papildomi veiksmingumo rodikliai</w:t>
      </w:r>
      <w:r w:rsidR="00D53B0D">
        <w:rPr>
          <w:iCs/>
          <w:szCs w:val="22"/>
          <w:lang w:eastAsia="en-US"/>
        </w:rPr>
        <w:t xml:space="preserve"> (OR ir TTR)</w:t>
      </w:r>
      <w:r w:rsidR="00D53B0D" w:rsidRPr="00D53B0D">
        <w:t xml:space="preserve"> </w:t>
      </w:r>
      <w:r w:rsidR="00D53B0D">
        <w:rPr>
          <w:iCs/>
          <w:szCs w:val="22"/>
          <w:lang w:eastAsia="en-US"/>
        </w:rPr>
        <w:t>pacien</w:t>
      </w:r>
      <w:r w:rsidR="000318A1">
        <w:rPr>
          <w:iCs/>
          <w:szCs w:val="22"/>
          <w:lang w:eastAsia="en-US"/>
        </w:rPr>
        <w:t>čių</w:t>
      </w:r>
      <w:r w:rsidR="00D53B0D">
        <w:rPr>
          <w:iCs/>
          <w:szCs w:val="22"/>
          <w:lang w:eastAsia="en-US"/>
        </w:rPr>
        <w:t>, kurioms buvo</w:t>
      </w:r>
      <w:r w:rsidR="00D53B0D" w:rsidRPr="00D53B0D">
        <w:rPr>
          <w:iCs/>
          <w:szCs w:val="22"/>
          <w:lang w:eastAsia="en-US"/>
        </w:rPr>
        <w:t xml:space="preserve"> visceralinių metastazių</w:t>
      </w:r>
      <w:r w:rsidR="00D53B0D">
        <w:rPr>
          <w:iCs/>
          <w:szCs w:val="22"/>
          <w:lang w:eastAsia="en-US"/>
        </w:rPr>
        <w:t xml:space="preserve"> ir pacien</w:t>
      </w:r>
      <w:r w:rsidR="009D18EC">
        <w:rPr>
          <w:iCs/>
          <w:szCs w:val="22"/>
          <w:lang w:eastAsia="en-US"/>
        </w:rPr>
        <w:t>čių</w:t>
      </w:r>
      <w:r w:rsidR="000318A1">
        <w:rPr>
          <w:iCs/>
          <w:szCs w:val="22"/>
          <w:lang w:eastAsia="en-US"/>
        </w:rPr>
        <w:t xml:space="preserve">, kurioms visceralinių metastazių nebuvo, </w:t>
      </w:r>
      <w:r w:rsidR="009D18EC">
        <w:rPr>
          <w:iCs/>
          <w:szCs w:val="22"/>
          <w:lang w:eastAsia="en-US"/>
        </w:rPr>
        <w:t>pogrupiuose pateikiami 6 lentelėje</w:t>
      </w:r>
      <w:r w:rsidR="0065125E">
        <w:rPr>
          <w:iCs/>
          <w:szCs w:val="22"/>
          <w:lang w:eastAsia="en-US"/>
        </w:rPr>
        <w:t>.</w:t>
      </w:r>
      <w:r w:rsidR="00D53B0D">
        <w:rPr>
          <w:iCs/>
          <w:szCs w:val="22"/>
          <w:lang w:eastAsia="en-US"/>
        </w:rPr>
        <w:t xml:space="preserve"> </w:t>
      </w:r>
    </w:p>
    <w:p w14:paraId="5461876C" w14:textId="77777777" w:rsidR="0036562E" w:rsidRDefault="0036562E" w:rsidP="00F43AB1">
      <w:pPr>
        <w:rPr>
          <w:iCs/>
          <w:szCs w:val="22"/>
          <w:lang w:eastAsia="en-US"/>
        </w:rPr>
      </w:pPr>
    </w:p>
    <w:p w14:paraId="0D7D42D3" w14:textId="77777777" w:rsidR="00F43AB1" w:rsidRPr="00901F66" w:rsidRDefault="00F43AB1" w:rsidP="00901F66">
      <w:pPr>
        <w:ind w:left="851" w:hanging="851"/>
        <w:rPr>
          <w:b/>
          <w:iCs/>
          <w:szCs w:val="22"/>
          <w:lang w:eastAsia="en-US"/>
        </w:rPr>
      </w:pPr>
      <w:r w:rsidRPr="00901F66">
        <w:rPr>
          <w:b/>
          <w:iCs/>
          <w:szCs w:val="22"/>
          <w:lang w:eastAsia="en-US"/>
        </w:rPr>
        <w:t xml:space="preserve">6 lentelė. Veiksmingumo duomenys </w:t>
      </w:r>
      <w:bookmarkStart w:id="0" w:name="_Hlk81308130"/>
      <w:r w:rsidRPr="00901F66">
        <w:rPr>
          <w:b/>
          <w:iCs/>
          <w:szCs w:val="22"/>
          <w:lang w:eastAsia="en-US"/>
        </w:rPr>
        <w:t>esant visceralinių ir ne visceralinių metastazių</w:t>
      </w:r>
      <w:bookmarkEnd w:id="0"/>
      <w:r w:rsidRPr="00901F66">
        <w:rPr>
          <w:b/>
          <w:iCs/>
          <w:szCs w:val="22"/>
          <w:lang w:eastAsia="en-US"/>
        </w:rPr>
        <w:t>, gauti PALOMA-3 tyrimo metu (numatytai gydyti populiacijai)</w:t>
      </w:r>
    </w:p>
    <w:p w14:paraId="197962D6" w14:textId="77777777" w:rsidR="00F43AB1" w:rsidRDefault="00F43AB1" w:rsidP="00F43AB1">
      <w:pPr>
        <w:rPr>
          <w:iCs/>
          <w:szCs w:val="22"/>
          <w:lang w:eastAsia="en-US"/>
        </w:rPr>
      </w:pPr>
    </w:p>
    <w:tbl>
      <w:tblPr>
        <w:tblW w:w="9230" w:type="dxa"/>
        <w:tblInd w:w="113" w:type="dxa"/>
        <w:tblLayout w:type="fixed"/>
        <w:tblCellMar>
          <w:left w:w="0" w:type="dxa"/>
          <w:right w:w="0" w:type="dxa"/>
        </w:tblCellMar>
        <w:tblLook w:val="01E0" w:firstRow="1" w:lastRow="1" w:firstColumn="1" w:lastColumn="1" w:noHBand="0" w:noVBand="0"/>
      </w:tblPr>
      <w:tblGrid>
        <w:gridCol w:w="1843"/>
        <w:gridCol w:w="1848"/>
        <w:gridCol w:w="1848"/>
        <w:gridCol w:w="1843"/>
        <w:gridCol w:w="1848"/>
      </w:tblGrid>
      <w:tr w:rsidR="0061760E" w:rsidRPr="0061760E" w14:paraId="3EFBA572" w14:textId="77777777" w:rsidTr="00901F66">
        <w:trPr>
          <w:trHeight w:hRule="exact" w:val="510"/>
        </w:trPr>
        <w:tc>
          <w:tcPr>
            <w:tcW w:w="1843" w:type="dxa"/>
            <w:tcBorders>
              <w:top w:val="single" w:sz="5" w:space="0" w:color="000000"/>
              <w:left w:val="single" w:sz="5" w:space="0" w:color="000000"/>
              <w:bottom w:val="single" w:sz="5" w:space="0" w:color="000000"/>
              <w:right w:val="single" w:sz="5" w:space="0" w:color="000000"/>
            </w:tcBorders>
          </w:tcPr>
          <w:p w14:paraId="60D15879" w14:textId="77777777" w:rsidR="0061760E" w:rsidRPr="00901F66" w:rsidRDefault="0061760E" w:rsidP="0061760E">
            <w:pPr>
              <w:rPr>
                <w:sz w:val="24"/>
                <w:lang w:eastAsia="en-US"/>
              </w:rPr>
            </w:pPr>
          </w:p>
        </w:tc>
        <w:tc>
          <w:tcPr>
            <w:tcW w:w="3696" w:type="dxa"/>
            <w:gridSpan w:val="2"/>
            <w:tcBorders>
              <w:top w:val="single" w:sz="5" w:space="0" w:color="000000"/>
              <w:left w:val="single" w:sz="5" w:space="0" w:color="000000"/>
              <w:bottom w:val="single" w:sz="5" w:space="0" w:color="000000"/>
              <w:right w:val="single" w:sz="5" w:space="0" w:color="000000"/>
            </w:tcBorders>
          </w:tcPr>
          <w:p w14:paraId="5A3C04A7" w14:textId="0840A47A" w:rsidR="0061760E" w:rsidRPr="00901F66" w:rsidRDefault="00C65C78" w:rsidP="0061760E">
            <w:pPr>
              <w:widowControl w:val="0"/>
              <w:spacing w:line="248" w:lineRule="exact"/>
              <w:ind w:left="1079"/>
              <w:rPr>
                <w:szCs w:val="22"/>
                <w:lang w:eastAsia="en-US"/>
              </w:rPr>
            </w:pPr>
            <w:r>
              <w:rPr>
                <w:rFonts w:eastAsia="Calibri"/>
                <w:b/>
                <w:spacing w:val="-1"/>
                <w:szCs w:val="22"/>
                <w:lang w:eastAsia="en-US"/>
              </w:rPr>
              <w:t>Su visceralinėmis</w:t>
            </w:r>
            <w:r w:rsidR="0077444B">
              <w:rPr>
                <w:rFonts w:eastAsia="Calibri"/>
                <w:b/>
                <w:spacing w:val="-1"/>
                <w:szCs w:val="22"/>
                <w:lang w:eastAsia="en-US"/>
              </w:rPr>
              <w:t xml:space="preserve"> metastazėmis</w:t>
            </w:r>
          </w:p>
        </w:tc>
        <w:tc>
          <w:tcPr>
            <w:tcW w:w="3691" w:type="dxa"/>
            <w:gridSpan w:val="2"/>
            <w:tcBorders>
              <w:top w:val="single" w:sz="5" w:space="0" w:color="000000"/>
              <w:left w:val="single" w:sz="5" w:space="0" w:color="000000"/>
              <w:bottom w:val="single" w:sz="5" w:space="0" w:color="000000"/>
              <w:right w:val="single" w:sz="5" w:space="0" w:color="000000"/>
            </w:tcBorders>
          </w:tcPr>
          <w:p w14:paraId="4B8B6DAF" w14:textId="2259341D" w:rsidR="0061760E" w:rsidRPr="00901F66" w:rsidRDefault="0061760E" w:rsidP="0061760E">
            <w:pPr>
              <w:widowControl w:val="0"/>
              <w:spacing w:line="248" w:lineRule="exact"/>
              <w:ind w:left="872"/>
              <w:rPr>
                <w:szCs w:val="22"/>
                <w:lang w:eastAsia="en-US"/>
              </w:rPr>
            </w:pPr>
            <w:r w:rsidRPr="0077444B">
              <w:rPr>
                <w:rFonts w:eastAsia="Calibri" w:hAnsi="Calibri"/>
                <w:b/>
                <w:spacing w:val="-2"/>
              </w:rPr>
              <w:t xml:space="preserve">Su ne </w:t>
            </w:r>
            <w:r w:rsidRPr="0061760E">
              <w:rPr>
                <w:rFonts w:eastAsia="Calibri" w:hAnsi="Calibri"/>
                <w:b/>
                <w:spacing w:val="-2"/>
                <w:szCs w:val="22"/>
                <w:lang w:eastAsia="en-US"/>
              </w:rPr>
              <w:t>visceralin</w:t>
            </w:r>
            <w:r w:rsidRPr="0061760E">
              <w:rPr>
                <w:rFonts w:eastAsia="Calibri" w:hAnsi="Calibri"/>
                <w:b/>
                <w:spacing w:val="-2"/>
                <w:szCs w:val="22"/>
                <w:lang w:eastAsia="en-US"/>
              </w:rPr>
              <w:t>ė</w:t>
            </w:r>
            <w:r w:rsidRPr="0061760E">
              <w:rPr>
                <w:rFonts w:eastAsia="Calibri" w:hAnsi="Calibri"/>
                <w:b/>
                <w:spacing w:val="-2"/>
                <w:szCs w:val="22"/>
                <w:lang w:eastAsia="en-US"/>
              </w:rPr>
              <w:t>mis metastaz</w:t>
            </w:r>
            <w:r w:rsidRPr="0061760E">
              <w:rPr>
                <w:rFonts w:eastAsia="Calibri" w:hAnsi="Calibri"/>
                <w:b/>
                <w:spacing w:val="-2"/>
                <w:szCs w:val="22"/>
                <w:lang w:eastAsia="en-US"/>
              </w:rPr>
              <w:t>ė</w:t>
            </w:r>
            <w:r w:rsidRPr="0061760E">
              <w:rPr>
                <w:rFonts w:eastAsia="Calibri" w:hAnsi="Calibri"/>
                <w:b/>
                <w:spacing w:val="-2"/>
                <w:szCs w:val="22"/>
                <w:lang w:eastAsia="en-US"/>
              </w:rPr>
              <w:t>mis</w:t>
            </w:r>
          </w:p>
        </w:tc>
      </w:tr>
      <w:tr w:rsidR="0061760E" w:rsidRPr="0061760E" w14:paraId="2305303C" w14:textId="77777777" w:rsidTr="00901F66">
        <w:trPr>
          <w:trHeight w:hRule="exact" w:val="1077"/>
        </w:trPr>
        <w:tc>
          <w:tcPr>
            <w:tcW w:w="1843" w:type="dxa"/>
            <w:tcBorders>
              <w:top w:val="single" w:sz="5" w:space="0" w:color="000000"/>
              <w:left w:val="single" w:sz="5" w:space="0" w:color="000000"/>
              <w:bottom w:val="single" w:sz="5" w:space="0" w:color="000000"/>
              <w:right w:val="single" w:sz="5" w:space="0" w:color="000000"/>
            </w:tcBorders>
          </w:tcPr>
          <w:p w14:paraId="5706DC35" w14:textId="77777777" w:rsidR="0061760E" w:rsidRPr="00901F66" w:rsidRDefault="0061760E" w:rsidP="0061760E">
            <w:pPr>
              <w:rPr>
                <w:sz w:val="24"/>
                <w:lang w:eastAsia="en-US"/>
              </w:rPr>
            </w:pPr>
          </w:p>
        </w:tc>
        <w:tc>
          <w:tcPr>
            <w:tcW w:w="1848" w:type="dxa"/>
            <w:tcBorders>
              <w:top w:val="single" w:sz="5" w:space="0" w:color="000000"/>
              <w:left w:val="single" w:sz="5" w:space="0" w:color="000000"/>
              <w:bottom w:val="single" w:sz="5" w:space="0" w:color="000000"/>
              <w:right w:val="single" w:sz="5" w:space="0" w:color="000000"/>
            </w:tcBorders>
          </w:tcPr>
          <w:p w14:paraId="3D3AB645" w14:textId="77777777" w:rsidR="0061760E" w:rsidRPr="00901F66" w:rsidRDefault="0061760E" w:rsidP="00901F66">
            <w:pPr>
              <w:widowControl w:val="0"/>
              <w:spacing w:line="239" w:lineRule="auto"/>
              <w:ind w:left="282" w:right="280"/>
              <w:jc w:val="center"/>
              <w:rPr>
                <w:szCs w:val="22"/>
                <w:lang w:eastAsia="en-US"/>
              </w:rPr>
            </w:pPr>
            <w:r w:rsidRPr="0077444B">
              <w:rPr>
                <w:rFonts w:eastAsia="Calibri" w:hAnsi="Calibri"/>
                <w:b/>
                <w:spacing w:val="-1"/>
              </w:rPr>
              <w:t>F</w:t>
            </w:r>
            <w:r w:rsidR="00D27D42" w:rsidRPr="0077444B">
              <w:rPr>
                <w:rFonts w:eastAsia="Calibri" w:hAnsi="Calibri"/>
                <w:b/>
                <w:spacing w:val="-1"/>
              </w:rPr>
              <w:t>ulvestranto</w:t>
            </w:r>
            <w:r w:rsidRPr="0077444B">
              <w:rPr>
                <w:rFonts w:eastAsia="Calibri" w:hAnsi="Calibri"/>
                <w:b/>
                <w:spacing w:val="-1"/>
              </w:rPr>
              <w:t xml:space="preserve"> ir palbociklibo derinys (N=206)</w:t>
            </w:r>
          </w:p>
        </w:tc>
        <w:tc>
          <w:tcPr>
            <w:tcW w:w="1848" w:type="dxa"/>
            <w:tcBorders>
              <w:top w:val="single" w:sz="5" w:space="0" w:color="000000"/>
              <w:left w:val="single" w:sz="5" w:space="0" w:color="000000"/>
              <w:bottom w:val="single" w:sz="5" w:space="0" w:color="000000"/>
              <w:right w:val="single" w:sz="5" w:space="0" w:color="000000"/>
            </w:tcBorders>
          </w:tcPr>
          <w:p w14:paraId="106F46D1" w14:textId="196E5E01" w:rsidR="0061760E" w:rsidRPr="00901F66" w:rsidRDefault="0061760E" w:rsidP="00901F66">
            <w:pPr>
              <w:widowControl w:val="0"/>
              <w:spacing w:line="239" w:lineRule="auto"/>
              <w:ind w:left="171" w:right="280"/>
              <w:jc w:val="center"/>
              <w:rPr>
                <w:szCs w:val="22"/>
                <w:lang w:eastAsia="en-US"/>
              </w:rPr>
            </w:pPr>
            <w:r w:rsidRPr="0077444B">
              <w:rPr>
                <w:rFonts w:eastAsia="Calibri" w:hAnsi="Calibri"/>
                <w:b/>
                <w:spacing w:val="-1"/>
              </w:rPr>
              <w:t>F</w:t>
            </w:r>
            <w:r w:rsidR="00D27D42" w:rsidRPr="0077444B">
              <w:rPr>
                <w:rFonts w:eastAsia="Calibri" w:hAnsi="Calibri"/>
                <w:b/>
                <w:spacing w:val="-1"/>
              </w:rPr>
              <w:t xml:space="preserve">ulvestranto </w:t>
            </w:r>
            <w:r w:rsidRPr="0077444B">
              <w:rPr>
                <w:rFonts w:eastAsia="Calibri" w:hAnsi="Calibri"/>
                <w:b/>
                <w:spacing w:val="-1"/>
              </w:rPr>
              <w:t xml:space="preserve">ir </w:t>
            </w:r>
            <w:r w:rsidR="003B45CF">
              <w:rPr>
                <w:rFonts w:eastAsia="Calibri" w:hAnsi="Calibri"/>
                <w:b/>
                <w:spacing w:val="-1"/>
              </w:rPr>
              <w:t>placebo</w:t>
            </w:r>
            <w:r w:rsidR="003B45CF" w:rsidRPr="0077444B">
              <w:rPr>
                <w:rFonts w:eastAsia="Calibri" w:hAnsi="Calibri"/>
                <w:b/>
                <w:spacing w:val="-1"/>
              </w:rPr>
              <w:t xml:space="preserve"> </w:t>
            </w:r>
            <w:r w:rsidRPr="0077444B">
              <w:rPr>
                <w:rFonts w:eastAsia="Calibri" w:hAnsi="Calibri"/>
                <w:b/>
                <w:spacing w:val="-1"/>
              </w:rPr>
              <w:t xml:space="preserve">derinys </w:t>
            </w:r>
          </w:p>
        </w:tc>
        <w:tc>
          <w:tcPr>
            <w:tcW w:w="1843" w:type="dxa"/>
            <w:tcBorders>
              <w:top w:val="single" w:sz="5" w:space="0" w:color="000000"/>
              <w:left w:val="single" w:sz="5" w:space="0" w:color="000000"/>
              <w:bottom w:val="single" w:sz="5" w:space="0" w:color="000000"/>
              <w:right w:val="single" w:sz="5" w:space="0" w:color="000000"/>
            </w:tcBorders>
          </w:tcPr>
          <w:p w14:paraId="17FC79EC" w14:textId="77777777" w:rsidR="0061760E" w:rsidRPr="00901F66" w:rsidRDefault="00D27D42" w:rsidP="00901F66">
            <w:pPr>
              <w:widowControl w:val="0"/>
              <w:spacing w:line="239" w:lineRule="auto"/>
              <w:ind w:left="282" w:right="275"/>
              <w:jc w:val="center"/>
              <w:rPr>
                <w:b/>
                <w:szCs w:val="22"/>
                <w:lang w:eastAsia="en-US"/>
              </w:rPr>
            </w:pPr>
            <w:r w:rsidRPr="00D27D42">
              <w:rPr>
                <w:b/>
              </w:rPr>
              <w:t>Fulvestranto</w:t>
            </w:r>
            <w:r w:rsidR="0061760E" w:rsidRPr="00901F66">
              <w:rPr>
                <w:b/>
              </w:rPr>
              <w:t xml:space="preserve"> ir palbociklibo derinys (N=</w:t>
            </w:r>
            <w:r w:rsidR="0061760E">
              <w:rPr>
                <w:b/>
              </w:rPr>
              <w:t>141</w:t>
            </w:r>
            <w:r w:rsidR="0061760E" w:rsidRPr="00901F66">
              <w:rPr>
                <w:b/>
              </w:rPr>
              <w:t>)</w:t>
            </w:r>
          </w:p>
        </w:tc>
        <w:tc>
          <w:tcPr>
            <w:tcW w:w="1848" w:type="dxa"/>
            <w:tcBorders>
              <w:top w:val="single" w:sz="5" w:space="0" w:color="000000"/>
              <w:left w:val="single" w:sz="5" w:space="0" w:color="000000"/>
              <w:bottom w:val="single" w:sz="5" w:space="0" w:color="000000"/>
              <w:right w:val="single" w:sz="5" w:space="0" w:color="000000"/>
            </w:tcBorders>
          </w:tcPr>
          <w:p w14:paraId="4BDE1CD7" w14:textId="3A1902FD" w:rsidR="0061760E" w:rsidRPr="00901F66" w:rsidRDefault="00D27D42">
            <w:pPr>
              <w:widowControl w:val="0"/>
              <w:spacing w:line="239" w:lineRule="auto"/>
              <w:ind w:left="282" w:right="280"/>
              <w:jc w:val="center"/>
              <w:rPr>
                <w:b/>
                <w:szCs w:val="22"/>
                <w:lang w:eastAsia="en-US"/>
              </w:rPr>
            </w:pPr>
            <w:r w:rsidRPr="00D27D42">
              <w:rPr>
                <w:b/>
              </w:rPr>
              <w:t>Fulvestranto</w:t>
            </w:r>
            <w:r w:rsidR="0061760E" w:rsidRPr="00901F66">
              <w:rPr>
                <w:b/>
              </w:rPr>
              <w:t xml:space="preserve"> ir </w:t>
            </w:r>
            <w:r w:rsidR="003B45CF">
              <w:rPr>
                <w:b/>
              </w:rPr>
              <w:t>placebo</w:t>
            </w:r>
            <w:r w:rsidR="004425B2">
              <w:rPr>
                <w:b/>
              </w:rPr>
              <w:t xml:space="preserve"> </w:t>
            </w:r>
            <w:r w:rsidR="0061760E" w:rsidRPr="00901F66">
              <w:rPr>
                <w:b/>
              </w:rPr>
              <w:t>derinys (N=</w:t>
            </w:r>
            <w:r w:rsidR="0061760E">
              <w:rPr>
                <w:b/>
              </w:rPr>
              <w:t>69</w:t>
            </w:r>
            <w:r w:rsidR="0061760E" w:rsidRPr="00901F66">
              <w:rPr>
                <w:b/>
              </w:rPr>
              <w:t>)</w:t>
            </w:r>
          </w:p>
        </w:tc>
      </w:tr>
      <w:tr w:rsidR="0061760E" w:rsidRPr="0061760E" w14:paraId="648F58B0" w14:textId="77777777" w:rsidTr="0061760E">
        <w:trPr>
          <w:trHeight w:hRule="exact" w:val="264"/>
        </w:trPr>
        <w:tc>
          <w:tcPr>
            <w:tcW w:w="1843" w:type="dxa"/>
            <w:vMerge w:val="restart"/>
            <w:tcBorders>
              <w:top w:val="single" w:sz="5" w:space="0" w:color="000000"/>
              <w:left w:val="single" w:sz="5" w:space="0" w:color="000000"/>
              <w:right w:val="single" w:sz="5" w:space="0" w:color="000000"/>
            </w:tcBorders>
          </w:tcPr>
          <w:p w14:paraId="19183641" w14:textId="65C67A3F" w:rsidR="0061760E" w:rsidRPr="00901F66" w:rsidRDefault="0061760E">
            <w:pPr>
              <w:widowControl w:val="0"/>
              <w:spacing w:line="248" w:lineRule="exact"/>
              <w:ind w:left="66"/>
              <w:rPr>
                <w:szCs w:val="22"/>
                <w:lang w:eastAsia="en-US"/>
              </w:rPr>
            </w:pPr>
            <w:r w:rsidRPr="0077444B">
              <w:rPr>
                <w:rFonts w:eastAsia="Calibri" w:hAnsi="Calibri"/>
                <w:b/>
                <w:spacing w:val="-1"/>
              </w:rPr>
              <w:t>OR [% (95</w:t>
            </w:r>
            <w:r w:rsidR="003549D2" w:rsidRPr="0077444B">
              <w:rPr>
                <w:rFonts w:eastAsia="Calibri" w:hAnsi="Calibri"/>
                <w:b/>
                <w:spacing w:val="-1"/>
              </w:rPr>
              <w:t> </w:t>
            </w:r>
            <w:r w:rsidRPr="0077444B">
              <w:rPr>
                <w:rFonts w:eastAsia="Calibri" w:hAnsi="Calibri"/>
                <w:b/>
                <w:spacing w:val="-1"/>
              </w:rPr>
              <w:t>% PI)]</w:t>
            </w:r>
          </w:p>
        </w:tc>
        <w:tc>
          <w:tcPr>
            <w:tcW w:w="1848" w:type="dxa"/>
            <w:tcBorders>
              <w:top w:val="single" w:sz="5" w:space="0" w:color="000000"/>
              <w:left w:val="single" w:sz="5" w:space="0" w:color="000000"/>
              <w:bottom w:val="nil"/>
              <w:right w:val="single" w:sz="5" w:space="0" w:color="000000"/>
            </w:tcBorders>
          </w:tcPr>
          <w:p w14:paraId="50E627E4" w14:textId="77777777" w:rsidR="0061760E" w:rsidRPr="00901F66" w:rsidRDefault="0061760E" w:rsidP="00901F66">
            <w:pPr>
              <w:widowControl w:val="0"/>
              <w:spacing w:line="243" w:lineRule="exact"/>
              <w:jc w:val="center"/>
              <w:rPr>
                <w:szCs w:val="22"/>
                <w:lang w:eastAsia="en-US"/>
              </w:rPr>
            </w:pPr>
            <w:r w:rsidRPr="0077444B">
              <w:rPr>
                <w:rFonts w:eastAsia="Calibri" w:hAnsi="Calibri"/>
              </w:rPr>
              <w:t>35,0</w:t>
            </w:r>
          </w:p>
        </w:tc>
        <w:tc>
          <w:tcPr>
            <w:tcW w:w="1848" w:type="dxa"/>
            <w:tcBorders>
              <w:top w:val="single" w:sz="5" w:space="0" w:color="000000"/>
              <w:left w:val="single" w:sz="5" w:space="0" w:color="000000"/>
              <w:bottom w:val="nil"/>
              <w:right w:val="single" w:sz="5" w:space="0" w:color="000000"/>
            </w:tcBorders>
          </w:tcPr>
          <w:p w14:paraId="28952C39" w14:textId="77777777" w:rsidR="0061760E" w:rsidRPr="00901F66" w:rsidRDefault="0061760E" w:rsidP="00901F66">
            <w:pPr>
              <w:widowControl w:val="0"/>
              <w:spacing w:line="243" w:lineRule="exact"/>
              <w:jc w:val="center"/>
              <w:rPr>
                <w:szCs w:val="22"/>
                <w:lang w:eastAsia="en-US"/>
              </w:rPr>
            </w:pPr>
            <w:r w:rsidRPr="0077444B">
              <w:rPr>
                <w:rFonts w:eastAsia="Calibri" w:hAnsi="Calibri"/>
              </w:rPr>
              <w:t>13,3</w:t>
            </w:r>
          </w:p>
        </w:tc>
        <w:tc>
          <w:tcPr>
            <w:tcW w:w="1843" w:type="dxa"/>
            <w:tcBorders>
              <w:top w:val="single" w:sz="5" w:space="0" w:color="000000"/>
              <w:left w:val="single" w:sz="5" w:space="0" w:color="000000"/>
              <w:bottom w:val="nil"/>
              <w:right w:val="single" w:sz="5" w:space="0" w:color="000000"/>
            </w:tcBorders>
          </w:tcPr>
          <w:p w14:paraId="7DCE4ABD" w14:textId="77777777" w:rsidR="0061760E" w:rsidRPr="00901F66" w:rsidRDefault="0061760E" w:rsidP="00901F66">
            <w:pPr>
              <w:widowControl w:val="0"/>
              <w:spacing w:line="243" w:lineRule="exact"/>
              <w:ind w:left="5"/>
              <w:jc w:val="center"/>
              <w:rPr>
                <w:szCs w:val="22"/>
                <w:lang w:eastAsia="en-US"/>
              </w:rPr>
            </w:pPr>
            <w:r w:rsidRPr="0077444B">
              <w:rPr>
                <w:rFonts w:eastAsia="Calibri" w:hAnsi="Calibri"/>
              </w:rPr>
              <w:t>13,5</w:t>
            </w:r>
          </w:p>
        </w:tc>
        <w:tc>
          <w:tcPr>
            <w:tcW w:w="1848" w:type="dxa"/>
            <w:tcBorders>
              <w:top w:val="single" w:sz="5" w:space="0" w:color="000000"/>
              <w:left w:val="single" w:sz="5" w:space="0" w:color="000000"/>
              <w:bottom w:val="nil"/>
              <w:right w:val="single" w:sz="5" w:space="0" w:color="000000"/>
            </w:tcBorders>
          </w:tcPr>
          <w:p w14:paraId="6E16322A" w14:textId="77777777" w:rsidR="0061760E" w:rsidRPr="00901F66" w:rsidRDefault="0061760E" w:rsidP="00901F66">
            <w:pPr>
              <w:widowControl w:val="0"/>
              <w:spacing w:line="243" w:lineRule="exact"/>
              <w:jc w:val="center"/>
              <w:rPr>
                <w:szCs w:val="22"/>
                <w:lang w:eastAsia="en-US"/>
              </w:rPr>
            </w:pPr>
            <w:r w:rsidRPr="0077444B">
              <w:rPr>
                <w:rFonts w:eastAsia="Calibri" w:hAnsi="Calibri"/>
              </w:rPr>
              <w:t>14,5</w:t>
            </w:r>
          </w:p>
        </w:tc>
      </w:tr>
      <w:tr w:rsidR="0061760E" w:rsidRPr="0061760E" w14:paraId="44D96870" w14:textId="77777777" w:rsidTr="0061760E">
        <w:trPr>
          <w:trHeight w:hRule="exact" w:val="250"/>
        </w:trPr>
        <w:tc>
          <w:tcPr>
            <w:tcW w:w="1843" w:type="dxa"/>
            <w:vMerge/>
            <w:tcBorders>
              <w:left w:val="single" w:sz="5" w:space="0" w:color="000000"/>
              <w:bottom w:val="single" w:sz="5" w:space="0" w:color="000000"/>
              <w:right w:val="single" w:sz="5" w:space="0" w:color="000000"/>
            </w:tcBorders>
          </w:tcPr>
          <w:p w14:paraId="6A4A3346" w14:textId="77777777" w:rsidR="0061760E" w:rsidRPr="00901F66" w:rsidRDefault="0061760E" w:rsidP="0061760E">
            <w:pPr>
              <w:rPr>
                <w:sz w:val="24"/>
                <w:lang w:eastAsia="en-US"/>
              </w:rPr>
            </w:pPr>
          </w:p>
        </w:tc>
        <w:tc>
          <w:tcPr>
            <w:tcW w:w="1848" w:type="dxa"/>
            <w:tcBorders>
              <w:top w:val="nil"/>
              <w:left w:val="single" w:sz="5" w:space="0" w:color="000000"/>
              <w:bottom w:val="single" w:sz="5" w:space="0" w:color="000000"/>
              <w:right w:val="single" w:sz="5" w:space="0" w:color="000000"/>
            </w:tcBorders>
          </w:tcPr>
          <w:p w14:paraId="3B9DEE61" w14:textId="77777777" w:rsidR="0061760E" w:rsidRPr="00901F66" w:rsidRDefault="0061760E" w:rsidP="00901F66">
            <w:pPr>
              <w:widowControl w:val="0"/>
              <w:spacing w:line="240" w:lineRule="exact"/>
              <w:ind w:left="402"/>
              <w:rPr>
                <w:szCs w:val="22"/>
                <w:lang w:eastAsia="en-US"/>
              </w:rPr>
            </w:pPr>
            <w:r w:rsidRPr="0077444B">
              <w:rPr>
                <w:rFonts w:eastAsia="Calibri" w:hAnsi="Calibri"/>
              </w:rPr>
              <w:t>(28,5; 41,9)</w:t>
            </w:r>
          </w:p>
        </w:tc>
        <w:tc>
          <w:tcPr>
            <w:tcW w:w="1848" w:type="dxa"/>
            <w:tcBorders>
              <w:top w:val="nil"/>
              <w:left w:val="single" w:sz="5" w:space="0" w:color="000000"/>
              <w:bottom w:val="single" w:sz="5" w:space="0" w:color="000000"/>
              <w:right w:val="single" w:sz="5" w:space="0" w:color="000000"/>
            </w:tcBorders>
          </w:tcPr>
          <w:p w14:paraId="34CED2EF" w14:textId="77777777" w:rsidR="0061760E" w:rsidRPr="00901F66" w:rsidRDefault="0061760E" w:rsidP="00901F66">
            <w:pPr>
              <w:widowControl w:val="0"/>
              <w:spacing w:line="240" w:lineRule="exact"/>
              <w:ind w:left="459"/>
              <w:rPr>
                <w:szCs w:val="22"/>
                <w:lang w:eastAsia="en-US"/>
              </w:rPr>
            </w:pPr>
            <w:r w:rsidRPr="0077444B">
              <w:rPr>
                <w:rFonts w:eastAsia="Calibri" w:hAnsi="Calibri"/>
              </w:rPr>
              <w:t>(7,5; 21,4)</w:t>
            </w:r>
          </w:p>
        </w:tc>
        <w:tc>
          <w:tcPr>
            <w:tcW w:w="1843" w:type="dxa"/>
            <w:tcBorders>
              <w:top w:val="nil"/>
              <w:left w:val="single" w:sz="5" w:space="0" w:color="000000"/>
              <w:bottom w:val="single" w:sz="5" w:space="0" w:color="000000"/>
              <w:right w:val="single" w:sz="5" w:space="0" w:color="000000"/>
            </w:tcBorders>
          </w:tcPr>
          <w:p w14:paraId="7D7EF08A" w14:textId="77777777" w:rsidR="0061760E" w:rsidRPr="00901F66" w:rsidRDefault="0061760E" w:rsidP="00901F66">
            <w:pPr>
              <w:widowControl w:val="0"/>
              <w:spacing w:line="240" w:lineRule="exact"/>
              <w:ind w:left="459"/>
              <w:rPr>
                <w:szCs w:val="22"/>
                <w:lang w:eastAsia="en-US"/>
              </w:rPr>
            </w:pPr>
            <w:r w:rsidRPr="0077444B">
              <w:rPr>
                <w:rFonts w:eastAsia="Calibri" w:hAnsi="Calibri"/>
              </w:rPr>
              <w:t>(8,3; 20,2)</w:t>
            </w:r>
          </w:p>
        </w:tc>
        <w:tc>
          <w:tcPr>
            <w:tcW w:w="1848" w:type="dxa"/>
            <w:tcBorders>
              <w:top w:val="nil"/>
              <w:left w:val="single" w:sz="5" w:space="0" w:color="000000"/>
              <w:bottom w:val="single" w:sz="5" w:space="0" w:color="000000"/>
              <w:right w:val="single" w:sz="5" w:space="0" w:color="000000"/>
            </w:tcBorders>
          </w:tcPr>
          <w:p w14:paraId="09DED68C" w14:textId="77777777" w:rsidR="0061760E" w:rsidRPr="00901F66" w:rsidRDefault="0061760E" w:rsidP="00901F66">
            <w:pPr>
              <w:widowControl w:val="0"/>
              <w:spacing w:line="240" w:lineRule="exact"/>
              <w:ind w:left="459"/>
              <w:rPr>
                <w:szCs w:val="22"/>
                <w:lang w:eastAsia="en-US"/>
              </w:rPr>
            </w:pPr>
            <w:r w:rsidRPr="0077444B">
              <w:rPr>
                <w:rFonts w:eastAsia="Calibri" w:hAnsi="Calibri"/>
              </w:rPr>
              <w:t>(7,2; 25,0)</w:t>
            </w:r>
          </w:p>
        </w:tc>
      </w:tr>
      <w:tr w:rsidR="0061760E" w:rsidRPr="0061760E" w14:paraId="5D8B749C" w14:textId="77777777" w:rsidTr="0061760E">
        <w:trPr>
          <w:trHeight w:hRule="exact" w:val="281"/>
        </w:trPr>
        <w:tc>
          <w:tcPr>
            <w:tcW w:w="1843" w:type="dxa"/>
            <w:tcBorders>
              <w:top w:val="single" w:sz="5" w:space="0" w:color="000000"/>
              <w:left w:val="single" w:sz="5" w:space="0" w:color="000000"/>
              <w:bottom w:val="nil"/>
              <w:right w:val="single" w:sz="5" w:space="0" w:color="000000"/>
            </w:tcBorders>
          </w:tcPr>
          <w:p w14:paraId="638877A3" w14:textId="77777777" w:rsidR="0061760E" w:rsidRPr="00901F66" w:rsidRDefault="0061760E" w:rsidP="00901F66">
            <w:pPr>
              <w:widowControl w:val="0"/>
              <w:spacing w:line="248" w:lineRule="exact"/>
              <w:ind w:left="66"/>
              <w:rPr>
                <w:szCs w:val="22"/>
                <w:lang w:eastAsia="en-US"/>
              </w:rPr>
            </w:pPr>
            <w:r w:rsidRPr="0077444B">
              <w:rPr>
                <w:rFonts w:eastAsia="Calibri" w:hAnsi="Calibri"/>
                <w:b/>
                <w:spacing w:val="-1"/>
              </w:rPr>
              <w:t>TTR*,</w:t>
            </w:r>
            <w:r w:rsidRPr="0077444B">
              <w:rPr>
                <w:rFonts w:eastAsia="Calibri" w:hAnsi="Calibri"/>
                <w:b/>
                <w:spacing w:val="-3"/>
              </w:rPr>
              <w:t xml:space="preserve"> </w:t>
            </w:r>
            <w:r w:rsidRPr="0077444B">
              <w:rPr>
                <w:rFonts w:eastAsia="Calibri" w:hAnsi="Calibri"/>
                <w:b/>
                <w:spacing w:val="-2"/>
              </w:rPr>
              <w:t>mediana</w:t>
            </w:r>
          </w:p>
        </w:tc>
        <w:tc>
          <w:tcPr>
            <w:tcW w:w="1848" w:type="dxa"/>
            <w:tcBorders>
              <w:top w:val="single" w:sz="5" w:space="0" w:color="000000"/>
              <w:left w:val="single" w:sz="5" w:space="0" w:color="000000"/>
              <w:bottom w:val="nil"/>
              <w:right w:val="single" w:sz="5" w:space="0" w:color="000000"/>
            </w:tcBorders>
          </w:tcPr>
          <w:p w14:paraId="05629816" w14:textId="77777777" w:rsidR="0061760E" w:rsidRPr="00901F66" w:rsidRDefault="0061760E" w:rsidP="00901F66">
            <w:pPr>
              <w:widowControl w:val="0"/>
              <w:spacing w:before="24" w:line="251" w:lineRule="exact"/>
              <w:ind w:left="6"/>
              <w:jc w:val="center"/>
              <w:rPr>
                <w:szCs w:val="22"/>
                <w:lang w:eastAsia="en-US"/>
              </w:rPr>
            </w:pPr>
            <w:r w:rsidRPr="0077444B">
              <w:rPr>
                <w:rFonts w:eastAsia="Calibri" w:hAnsi="Calibri"/>
                <w:spacing w:val="1"/>
              </w:rPr>
              <w:t>3,8</w:t>
            </w:r>
          </w:p>
        </w:tc>
        <w:tc>
          <w:tcPr>
            <w:tcW w:w="1848" w:type="dxa"/>
            <w:tcBorders>
              <w:top w:val="single" w:sz="5" w:space="0" w:color="000000"/>
              <w:left w:val="single" w:sz="5" w:space="0" w:color="000000"/>
              <w:bottom w:val="nil"/>
              <w:right w:val="single" w:sz="5" w:space="0" w:color="000000"/>
            </w:tcBorders>
          </w:tcPr>
          <w:p w14:paraId="32713EBD" w14:textId="77777777" w:rsidR="0061760E" w:rsidRPr="00901F66" w:rsidRDefault="0061760E" w:rsidP="00901F66">
            <w:pPr>
              <w:widowControl w:val="0"/>
              <w:spacing w:before="24" w:line="251" w:lineRule="exact"/>
              <w:ind w:left="6"/>
              <w:jc w:val="center"/>
              <w:rPr>
                <w:szCs w:val="22"/>
                <w:lang w:eastAsia="en-US"/>
              </w:rPr>
            </w:pPr>
            <w:r w:rsidRPr="0077444B">
              <w:rPr>
                <w:rFonts w:eastAsia="Calibri" w:hAnsi="Calibri"/>
                <w:spacing w:val="1"/>
              </w:rPr>
              <w:t>5,4</w:t>
            </w:r>
          </w:p>
        </w:tc>
        <w:tc>
          <w:tcPr>
            <w:tcW w:w="1843" w:type="dxa"/>
            <w:tcBorders>
              <w:top w:val="single" w:sz="5" w:space="0" w:color="000000"/>
              <w:left w:val="single" w:sz="5" w:space="0" w:color="000000"/>
              <w:bottom w:val="nil"/>
              <w:right w:val="single" w:sz="5" w:space="0" w:color="000000"/>
            </w:tcBorders>
          </w:tcPr>
          <w:p w14:paraId="3D809BB9" w14:textId="77777777" w:rsidR="0061760E" w:rsidRPr="00901F66" w:rsidRDefault="0061760E" w:rsidP="00901F66">
            <w:pPr>
              <w:widowControl w:val="0"/>
              <w:spacing w:before="24" w:line="251" w:lineRule="exact"/>
              <w:ind w:left="10"/>
              <w:jc w:val="center"/>
              <w:rPr>
                <w:szCs w:val="22"/>
                <w:lang w:eastAsia="en-US"/>
              </w:rPr>
            </w:pPr>
            <w:r w:rsidRPr="0077444B">
              <w:rPr>
                <w:rFonts w:eastAsia="Calibri" w:hAnsi="Calibri"/>
                <w:spacing w:val="1"/>
              </w:rPr>
              <w:t>3,7</w:t>
            </w:r>
          </w:p>
        </w:tc>
        <w:tc>
          <w:tcPr>
            <w:tcW w:w="1848" w:type="dxa"/>
            <w:tcBorders>
              <w:top w:val="single" w:sz="5" w:space="0" w:color="000000"/>
              <w:left w:val="single" w:sz="5" w:space="0" w:color="000000"/>
              <w:bottom w:val="nil"/>
              <w:right w:val="single" w:sz="5" w:space="0" w:color="000000"/>
            </w:tcBorders>
          </w:tcPr>
          <w:p w14:paraId="09E2D17E" w14:textId="77777777" w:rsidR="0061760E" w:rsidRPr="00901F66" w:rsidRDefault="0061760E" w:rsidP="00901F66">
            <w:pPr>
              <w:widowControl w:val="0"/>
              <w:spacing w:before="24" w:line="251" w:lineRule="exact"/>
              <w:ind w:left="6"/>
              <w:jc w:val="center"/>
              <w:rPr>
                <w:szCs w:val="22"/>
                <w:lang w:eastAsia="en-US"/>
              </w:rPr>
            </w:pPr>
            <w:r w:rsidRPr="0077444B">
              <w:rPr>
                <w:rFonts w:eastAsia="Calibri" w:hAnsi="Calibri"/>
                <w:spacing w:val="1"/>
              </w:rPr>
              <w:t>3,6</w:t>
            </w:r>
          </w:p>
        </w:tc>
      </w:tr>
      <w:tr w:rsidR="0061760E" w:rsidRPr="0061760E" w14:paraId="52C62462" w14:textId="77777777" w:rsidTr="00901F66">
        <w:trPr>
          <w:trHeight w:hRule="exact" w:val="510"/>
        </w:trPr>
        <w:tc>
          <w:tcPr>
            <w:tcW w:w="1843" w:type="dxa"/>
            <w:tcBorders>
              <w:top w:val="nil"/>
              <w:left w:val="single" w:sz="5" w:space="0" w:color="000000"/>
              <w:bottom w:val="single" w:sz="5" w:space="0" w:color="000000"/>
              <w:right w:val="single" w:sz="5" w:space="0" w:color="000000"/>
            </w:tcBorders>
          </w:tcPr>
          <w:p w14:paraId="4A057A75" w14:textId="77777777" w:rsidR="0061760E" w:rsidRPr="00901F66" w:rsidRDefault="0061760E" w:rsidP="00901F66">
            <w:pPr>
              <w:widowControl w:val="0"/>
              <w:spacing w:line="228" w:lineRule="exact"/>
              <w:ind w:left="66"/>
              <w:rPr>
                <w:szCs w:val="22"/>
                <w:lang w:eastAsia="en-US"/>
              </w:rPr>
            </w:pPr>
            <w:r w:rsidRPr="0077444B">
              <w:rPr>
                <w:rFonts w:eastAsia="Calibri" w:hAnsi="Calibri"/>
                <w:b/>
                <w:spacing w:val="-2"/>
              </w:rPr>
              <w:t>[m</w:t>
            </w:r>
            <w:r w:rsidRPr="0077444B">
              <w:rPr>
                <w:rFonts w:eastAsia="Calibri" w:hAnsi="Calibri"/>
                <w:b/>
                <w:spacing w:val="-2"/>
              </w:rPr>
              <w:t>ė</w:t>
            </w:r>
            <w:r w:rsidRPr="0077444B">
              <w:rPr>
                <w:rFonts w:eastAsia="Calibri" w:hAnsi="Calibri"/>
                <w:b/>
                <w:spacing w:val="-2"/>
              </w:rPr>
              <w:t>nesiai</w:t>
            </w:r>
            <w:r w:rsidRPr="0077444B">
              <w:rPr>
                <w:rFonts w:eastAsia="Calibri" w:hAnsi="Calibri"/>
                <w:b/>
              </w:rPr>
              <w:t xml:space="preserve"> (diapazonas)]</w:t>
            </w:r>
          </w:p>
        </w:tc>
        <w:tc>
          <w:tcPr>
            <w:tcW w:w="1848" w:type="dxa"/>
            <w:tcBorders>
              <w:top w:val="nil"/>
              <w:left w:val="single" w:sz="5" w:space="0" w:color="000000"/>
              <w:bottom w:val="single" w:sz="5" w:space="0" w:color="000000"/>
              <w:right w:val="single" w:sz="5" w:space="0" w:color="000000"/>
            </w:tcBorders>
          </w:tcPr>
          <w:p w14:paraId="4F37C906" w14:textId="77777777" w:rsidR="0061760E" w:rsidRPr="00901F66" w:rsidRDefault="0061760E" w:rsidP="00901F66">
            <w:pPr>
              <w:widowControl w:val="0"/>
              <w:spacing w:before="18"/>
              <w:ind w:left="459"/>
              <w:rPr>
                <w:szCs w:val="22"/>
                <w:lang w:eastAsia="en-US"/>
              </w:rPr>
            </w:pPr>
            <w:r w:rsidRPr="0077444B">
              <w:rPr>
                <w:rFonts w:eastAsia="Calibri" w:hAnsi="Calibri"/>
              </w:rPr>
              <w:t>(3,5; 16,7)</w:t>
            </w:r>
          </w:p>
        </w:tc>
        <w:tc>
          <w:tcPr>
            <w:tcW w:w="1848" w:type="dxa"/>
            <w:tcBorders>
              <w:top w:val="nil"/>
              <w:left w:val="single" w:sz="5" w:space="0" w:color="000000"/>
              <w:bottom w:val="single" w:sz="5" w:space="0" w:color="000000"/>
              <w:right w:val="single" w:sz="5" w:space="0" w:color="000000"/>
            </w:tcBorders>
          </w:tcPr>
          <w:p w14:paraId="2A27C1F3" w14:textId="77777777" w:rsidR="0061760E" w:rsidRPr="00901F66" w:rsidRDefault="0061760E" w:rsidP="00901F66">
            <w:pPr>
              <w:widowControl w:val="0"/>
              <w:spacing w:before="18"/>
              <w:ind w:left="459"/>
              <w:rPr>
                <w:szCs w:val="22"/>
                <w:lang w:eastAsia="en-US"/>
              </w:rPr>
            </w:pPr>
            <w:r w:rsidRPr="0077444B">
              <w:rPr>
                <w:rFonts w:eastAsia="Calibri" w:hAnsi="Calibri"/>
              </w:rPr>
              <w:t>(3,5; 16,7)</w:t>
            </w:r>
          </w:p>
        </w:tc>
        <w:tc>
          <w:tcPr>
            <w:tcW w:w="1843" w:type="dxa"/>
            <w:tcBorders>
              <w:top w:val="nil"/>
              <w:left w:val="single" w:sz="5" w:space="0" w:color="000000"/>
              <w:bottom w:val="single" w:sz="5" w:space="0" w:color="000000"/>
              <w:right w:val="single" w:sz="5" w:space="0" w:color="000000"/>
            </w:tcBorders>
          </w:tcPr>
          <w:p w14:paraId="524847CA" w14:textId="77777777" w:rsidR="0061760E" w:rsidRPr="00901F66" w:rsidRDefault="0061760E" w:rsidP="00901F66">
            <w:pPr>
              <w:widowControl w:val="0"/>
              <w:spacing w:before="18"/>
              <w:ind w:left="459"/>
              <w:rPr>
                <w:szCs w:val="22"/>
                <w:lang w:eastAsia="en-US"/>
              </w:rPr>
            </w:pPr>
            <w:r w:rsidRPr="0077444B">
              <w:rPr>
                <w:rFonts w:eastAsia="Calibri" w:hAnsi="Calibri"/>
              </w:rPr>
              <w:t>(1,9; 13,7)</w:t>
            </w:r>
          </w:p>
        </w:tc>
        <w:tc>
          <w:tcPr>
            <w:tcW w:w="1848" w:type="dxa"/>
            <w:tcBorders>
              <w:top w:val="nil"/>
              <w:left w:val="single" w:sz="5" w:space="0" w:color="000000"/>
              <w:bottom w:val="single" w:sz="5" w:space="0" w:color="000000"/>
              <w:right w:val="single" w:sz="5" w:space="0" w:color="000000"/>
            </w:tcBorders>
          </w:tcPr>
          <w:p w14:paraId="39F6F948" w14:textId="77777777" w:rsidR="0061760E" w:rsidRPr="00901F66" w:rsidRDefault="0061760E" w:rsidP="00901F66">
            <w:pPr>
              <w:widowControl w:val="0"/>
              <w:spacing w:before="18"/>
              <w:ind w:left="512"/>
              <w:rPr>
                <w:szCs w:val="22"/>
                <w:lang w:eastAsia="en-US"/>
              </w:rPr>
            </w:pPr>
            <w:r w:rsidRPr="0077444B">
              <w:rPr>
                <w:rFonts w:eastAsia="Calibri" w:hAnsi="Calibri"/>
              </w:rPr>
              <w:t>(3,4; 3,7)</w:t>
            </w:r>
          </w:p>
        </w:tc>
      </w:tr>
    </w:tbl>
    <w:p w14:paraId="166EACA7" w14:textId="77777777" w:rsidR="0061760E" w:rsidRPr="00901F66" w:rsidRDefault="0061760E" w:rsidP="0061760E">
      <w:pPr>
        <w:autoSpaceDE w:val="0"/>
        <w:autoSpaceDN w:val="0"/>
        <w:adjustRightInd w:val="0"/>
        <w:rPr>
          <w:rFonts w:eastAsia="Batang"/>
          <w:sz w:val="20"/>
          <w:lang w:eastAsia="en-US"/>
        </w:rPr>
      </w:pPr>
      <w:r w:rsidRPr="00901F66">
        <w:rPr>
          <w:rFonts w:eastAsia="Batang"/>
          <w:sz w:val="20"/>
          <w:lang w:eastAsia="en-US"/>
        </w:rPr>
        <w:t xml:space="preserve">* </w:t>
      </w:r>
      <w:r w:rsidRPr="00901F66">
        <w:rPr>
          <w:rFonts w:eastAsia="Batang" w:hint="eastAsia"/>
          <w:sz w:val="20"/>
          <w:lang w:eastAsia="en-US"/>
        </w:rPr>
        <w:t>Patvirtintų</w:t>
      </w:r>
      <w:r w:rsidRPr="00901F66">
        <w:rPr>
          <w:rFonts w:eastAsia="Batang"/>
          <w:sz w:val="20"/>
          <w:lang w:eastAsia="en-US"/>
        </w:rPr>
        <w:t xml:space="preserve"> ir </w:t>
      </w:r>
      <w:r w:rsidRPr="00901F66">
        <w:rPr>
          <w:rFonts w:eastAsia="Batang" w:hint="eastAsia"/>
          <w:sz w:val="20"/>
          <w:lang w:eastAsia="en-US"/>
        </w:rPr>
        <w:t>nepatvirtintų</w:t>
      </w:r>
      <w:r w:rsidRPr="00901F66">
        <w:rPr>
          <w:rFonts w:eastAsia="Batang"/>
          <w:sz w:val="20"/>
          <w:lang w:eastAsia="en-US"/>
        </w:rPr>
        <w:t xml:space="preserve"> </w:t>
      </w:r>
      <w:r w:rsidRPr="00901F66">
        <w:rPr>
          <w:rFonts w:eastAsia="Batang" w:hint="eastAsia"/>
          <w:sz w:val="20"/>
          <w:lang w:eastAsia="en-US"/>
        </w:rPr>
        <w:t>atsakų</w:t>
      </w:r>
      <w:r w:rsidRPr="00901F66">
        <w:rPr>
          <w:rFonts w:eastAsia="Batang"/>
          <w:sz w:val="20"/>
          <w:lang w:eastAsia="en-US"/>
        </w:rPr>
        <w:t xml:space="preserve"> duomenys</w:t>
      </w:r>
    </w:p>
    <w:p w14:paraId="2EE24F79" w14:textId="77777777" w:rsidR="00F43AB1" w:rsidRDefault="0061760E" w:rsidP="00901F66">
      <w:pPr>
        <w:autoSpaceDE w:val="0"/>
        <w:autoSpaceDN w:val="0"/>
        <w:adjustRightInd w:val="0"/>
        <w:rPr>
          <w:rFonts w:eastAsia="Batang"/>
          <w:sz w:val="20"/>
          <w:lang w:eastAsia="en-US"/>
        </w:rPr>
      </w:pPr>
      <w:r w:rsidRPr="00901F66">
        <w:rPr>
          <w:rFonts w:eastAsia="Batang"/>
          <w:sz w:val="20"/>
          <w:lang w:eastAsia="en-US"/>
        </w:rPr>
        <w:t xml:space="preserve">N </w:t>
      </w:r>
      <w:r w:rsidRPr="00901F66">
        <w:rPr>
          <w:rFonts w:eastAsia="Batang" w:hint="eastAsia"/>
          <w:sz w:val="20"/>
          <w:lang w:eastAsia="en-US"/>
        </w:rPr>
        <w:t>–</w:t>
      </w:r>
      <w:r w:rsidRPr="00901F66">
        <w:rPr>
          <w:rFonts w:eastAsia="Batang"/>
          <w:sz w:val="20"/>
          <w:lang w:eastAsia="en-US"/>
        </w:rPr>
        <w:t xml:space="preserve"> </w:t>
      </w:r>
      <w:r w:rsidRPr="00901F66">
        <w:rPr>
          <w:rFonts w:eastAsia="Batang" w:hint="eastAsia"/>
          <w:sz w:val="20"/>
          <w:lang w:eastAsia="en-US"/>
        </w:rPr>
        <w:t>pacienčių</w:t>
      </w:r>
      <w:r w:rsidRPr="00901F66">
        <w:rPr>
          <w:rFonts w:eastAsia="Batang"/>
          <w:sz w:val="20"/>
          <w:lang w:eastAsia="en-US"/>
        </w:rPr>
        <w:t xml:space="preserve"> </w:t>
      </w:r>
      <w:r w:rsidRPr="00901F66">
        <w:rPr>
          <w:rFonts w:eastAsia="Batang" w:hint="eastAsia"/>
          <w:sz w:val="20"/>
          <w:lang w:eastAsia="en-US"/>
        </w:rPr>
        <w:t>skaičius,</w:t>
      </w:r>
      <w:r w:rsidRPr="00901F66">
        <w:rPr>
          <w:rFonts w:eastAsia="Batang"/>
          <w:sz w:val="20"/>
          <w:lang w:eastAsia="en-US"/>
        </w:rPr>
        <w:t xml:space="preserve"> PI </w:t>
      </w:r>
      <w:r w:rsidRPr="00901F66">
        <w:rPr>
          <w:rFonts w:eastAsia="Batang" w:hint="eastAsia"/>
          <w:sz w:val="20"/>
          <w:lang w:eastAsia="en-US"/>
        </w:rPr>
        <w:t>–</w:t>
      </w:r>
      <w:r w:rsidRPr="00901F66">
        <w:rPr>
          <w:rFonts w:eastAsia="Batang"/>
          <w:sz w:val="20"/>
          <w:lang w:eastAsia="en-US"/>
        </w:rPr>
        <w:t xml:space="preserve"> pasikliautinasis intervalas, OR (</w:t>
      </w:r>
      <w:r w:rsidRPr="00901F66">
        <w:rPr>
          <w:rFonts w:eastAsia="Batang"/>
          <w:i/>
          <w:sz w:val="20"/>
          <w:lang w:eastAsia="en-US"/>
        </w:rPr>
        <w:t>angl.</w:t>
      </w:r>
      <w:r w:rsidRPr="00901F66">
        <w:rPr>
          <w:rFonts w:eastAsia="Batang"/>
          <w:sz w:val="20"/>
          <w:lang w:eastAsia="en-US"/>
        </w:rPr>
        <w:t xml:space="preserve"> </w:t>
      </w:r>
      <w:r w:rsidRPr="00901F66">
        <w:rPr>
          <w:rFonts w:eastAsia="Batang"/>
          <w:i/>
          <w:iCs/>
          <w:sz w:val="20"/>
          <w:lang w:eastAsia="en-US"/>
        </w:rPr>
        <w:t>objective response</w:t>
      </w:r>
      <w:r w:rsidRPr="00901F66">
        <w:rPr>
          <w:rFonts w:eastAsia="Batang"/>
          <w:sz w:val="20"/>
          <w:lang w:eastAsia="en-US"/>
        </w:rPr>
        <w:t xml:space="preserve">) </w:t>
      </w:r>
      <w:r w:rsidRPr="00901F66">
        <w:rPr>
          <w:rFonts w:eastAsia="Batang" w:hint="eastAsia"/>
          <w:sz w:val="20"/>
          <w:lang w:eastAsia="en-US"/>
        </w:rPr>
        <w:t>–</w:t>
      </w:r>
      <w:r w:rsidRPr="00901F66">
        <w:rPr>
          <w:rFonts w:eastAsia="Batang"/>
          <w:sz w:val="20"/>
          <w:lang w:eastAsia="en-US"/>
        </w:rPr>
        <w:t xml:space="preserve"> objektyvus atsakas, TTR</w:t>
      </w:r>
      <w:r>
        <w:rPr>
          <w:rFonts w:eastAsia="Batang"/>
          <w:sz w:val="20"/>
          <w:lang w:eastAsia="en-US"/>
        </w:rPr>
        <w:t xml:space="preserve"> </w:t>
      </w:r>
      <w:r w:rsidRPr="00901F66">
        <w:rPr>
          <w:rFonts w:eastAsia="Batang"/>
          <w:sz w:val="20"/>
          <w:lang w:eastAsia="en-US"/>
        </w:rPr>
        <w:t>(</w:t>
      </w:r>
      <w:r w:rsidRPr="00901F66">
        <w:rPr>
          <w:rFonts w:eastAsia="Batang"/>
          <w:i/>
          <w:sz w:val="20"/>
          <w:lang w:eastAsia="en-US"/>
        </w:rPr>
        <w:t>angl.</w:t>
      </w:r>
      <w:r w:rsidRPr="00901F66">
        <w:rPr>
          <w:rFonts w:eastAsia="Batang"/>
          <w:sz w:val="20"/>
          <w:lang w:eastAsia="en-US"/>
        </w:rPr>
        <w:t xml:space="preserve"> </w:t>
      </w:r>
      <w:r w:rsidRPr="00901F66">
        <w:rPr>
          <w:rFonts w:eastAsia="Batang"/>
          <w:i/>
          <w:iCs/>
          <w:sz w:val="20"/>
          <w:lang w:eastAsia="en-US"/>
        </w:rPr>
        <w:t>time to first tumor response</w:t>
      </w:r>
      <w:r w:rsidRPr="00901F66">
        <w:rPr>
          <w:rFonts w:eastAsia="Batang"/>
          <w:sz w:val="20"/>
          <w:lang w:eastAsia="en-US"/>
        </w:rPr>
        <w:t xml:space="preserve">) </w:t>
      </w:r>
      <w:r w:rsidRPr="00901F66">
        <w:rPr>
          <w:rFonts w:eastAsia="Batang" w:hint="eastAsia"/>
          <w:sz w:val="20"/>
          <w:lang w:eastAsia="en-US"/>
        </w:rPr>
        <w:t>–</w:t>
      </w:r>
      <w:r w:rsidRPr="00901F66">
        <w:rPr>
          <w:rFonts w:eastAsia="Batang"/>
          <w:sz w:val="20"/>
          <w:lang w:eastAsia="en-US"/>
        </w:rPr>
        <w:t xml:space="preserve"> laikas iki naviko pirmojo atsako</w:t>
      </w:r>
      <w:r>
        <w:rPr>
          <w:rFonts w:eastAsia="Batang"/>
          <w:sz w:val="20"/>
          <w:lang w:eastAsia="en-US"/>
        </w:rPr>
        <w:t>.</w:t>
      </w:r>
    </w:p>
    <w:p w14:paraId="3B0F8F67" w14:textId="77777777" w:rsidR="0061760E" w:rsidRDefault="0061760E" w:rsidP="00901F66">
      <w:pPr>
        <w:autoSpaceDE w:val="0"/>
        <w:autoSpaceDN w:val="0"/>
        <w:adjustRightInd w:val="0"/>
        <w:rPr>
          <w:iCs/>
          <w:szCs w:val="22"/>
          <w:lang w:eastAsia="en-US"/>
        </w:rPr>
      </w:pPr>
    </w:p>
    <w:p w14:paraId="5EFD2FF8" w14:textId="0C745A48" w:rsidR="0061760E" w:rsidRPr="0061760E" w:rsidRDefault="0061760E" w:rsidP="0061760E">
      <w:pPr>
        <w:autoSpaceDE w:val="0"/>
        <w:autoSpaceDN w:val="0"/>
        <w:adjustRightInd w:val="0"/>
        <w:rPr>
          <w:iCs/>
          <w:szCs w:val="22"/>
          <w:lang w:eastAsia="en-US"/>
        </w:rPr>
      </w:pPr>
      <w:r w:rsidRPr="0061760E">
        <w:rPr>
          <w:iCs/>
          <w:szCs w:val="22"/>
          <w:lang w:eastAsia="en-US"/>
        </w:rPr>
        <w:t>Pacien</w:t>
      </w:r>
      <w:r>
        <w:rPr>
          <w:iCs/>
          <w:szCs w:val="22"/>
          <w:lang w:eastAsia="en-US"/>
        </w:rPr>
        <w:t>tėms nustatyti</w:t>
      </w:r>
      <w:r w:rsidRPr="0061760E">
        <w:rPr>
          <w:iCs/>
          <w:szCs w:val="22"/>
          <w:lang w:eastAsia="en-US"/>
        </w:rPr>
        <w:t xml:space="preserve"> simptomai buvo vertinami pagal Europos vėžio tyrimo ir gydymo organizacijos</w:t>
      </w:r>
      <w:r>
        <w:rPr>
          <w:iCs/>
          <w:szCs w:val="22"/>
          <w:lang w:eastAsia="en-US"/>
        </w:rPr>
        <w:t xml:space="preserve"> </w:t>
      </w:r>
      <w:r w:rsidRPr="0061760E">
        <w:rPr>
          <w:iCs/>
          <w:szCs w:val="22"/>
          <w:lang w:eastAsia="en-US"/>
        </w:rPr>
        <w:t xml:space="preserve">(angl. </w:t>
      </w:r>
      <w:r w:rsidRPr="00901F66">
        <w:rPr>
          <w:i/>
          <w:iCs/>
          <w:szCs w:val="22"/>
          <w:lang w:eastAsia="en-US"/>
        </w:rPr>
        <w:t>European Organization for Research ir Treatment of Cancer, EORTC</w:t>
      </w:r>
      <w:r w:rsidRPr="0061760E">
        <w:rPr>
          <w:iCs/>
          <w:szCs w:val="22"/>
          <w:lang w:eastAsia="en-US"/>
        </w:rPr>
        <w:t>) gyvenimo kokybės</w:t>
      </w:r>
      <w:r>
        <w:rPr>
          <w:iCs/>
          <w:szCs w:val="22"/>
          <w:lang w:eastAsia="en-US"/>
        </w:rPr>
        <w:t xml:space="preserve"> </w:t>
      </w:r>
      <w:r w:rsidRPr="0061760E">
        <w:rPr>
          <w:iCs/>
          <w:szCs w:val="22"/>
          <w:lang w:eastAsia="en-US"/>
        </w:rPr>
        <w:t xml:space="preserve">klausimyną (angl. </w:t>
      </w:r>
      <w:r w:rsidRPr="00901F66">
        <w:rPr>
          <w:i/>
          <w:iCs/>
          <w:szCs w:val="22"/>
          <w:lang w:eastAsia="en-US"/>
        </w:rPr>
        <w:t xml:space="preserve">quality of life questionnaire, </w:t>
      </w:r>
      <w:r w:rsidRPr="004B0F84">
        <w:rPr>
          <w:iCs/>
          <w:szCs w:val="22"/>
          <w:lang w:eastAsia="en-US"/>
        </w:rPr>
        <w:t>QLQ-C30</w:t>
      </w:r>
      <w:r w:rsidR="004B0F84">
        <w:rPr>
          <w:iCs/>
          <w:szCs w:val="22"/>
          <w:lang w:eastAsia="en-US"/>
        </w:rPr>
        <w:t>)</w:t>
      </w:r>
      <w:r w:rsidRPr="0061760E">
        <w:rPr>
          <w:iCs/>
          <w:szCs w:val="22"/>
          <w:lang w:eastAsia="en-US"/>
        </w:rPr>
        <w:t xml:space="preserve"> ir jo krūties vėžio modulį (EORTC QLQ14</w:t>
      </w:r>
      <w:r w:rsidR="004B0F84">
        <w:rPr>
          <w:iCs/>
          <w:szCs w:val="22"/>
          <w:lang w:eastAsia="en-US"/>
        </w:rPr>
        <w:t xml:space="preserve"> </w:t>
      </w:r>
      <w:r w:rsidRPr="0061760E">
        <w:rPr>
          <w:iCs/>
          <w:szCs w:val="22"/>
          <w:lang w:eastAsia="en-US"/>
        </w:rPr>
        <w:t xml:space="preserve">BR23). Pradinio ir bent vieno vėlesnio vizito metu klausimyną užpildė 335 </w:t>
      </w:r>
      <w:r w:rsidR="004B0F84">
        <w:rPr>
          <w:iCs/>
          <w:szCs w:val="22"/>
          <w:lang w:eastAsia="en-US"/>
        </w:rPr>
        <w:t>fu</w:t>
      </w:r>
      <w:r w:rsidR="00223821">
        <w:rPr>
          <w:iCs/>
          <w:szCs w:val="22"/>
          <w:lang w:eastAsia="en-US"/>
        </w:rPr>
        <w:t>l</w:t>
      </w:r>
      <w:r w:rsidR="004B0F84">
        <w:rPr>
          <w:iCs/>
          <w:szCs w:val="22"/>
          <w:lang w:eastAsia="en-US"/>
        </w:rPr>
        <w:t xml:space="preserve">vestranto derinio su </w:t>
      </w:r>
      <w:r w:rsidRPr="0061760E">
        <w:rPr>
          <w:iCs/>
          <w:szCs w:val="22"/>
          <w:lang w:eastAsia="en-US"/>
        </w:rPr>
        <w:t>palbociklib</w:t>
      </w:r>
      <w:r w:rsidR="004B0F84">
        <w:rPr>
          <w:iCs/>
          <w:szCs w:val="22"/>
          <w:lang w:eastAsia="en-US"/>
        </w:rPr>
        <w:t>u</w:t>
      </w:r>
      <w:r w:rsidRPr="0061760E">
        <w:rPr>
          <w:iCs/>
          <w:szCs w:val="22"/>
          <w:lang w:eastAsia="en-US"/>
        </w:rPr>
        <w:t xml:space="preserve"> ir 166 </w:t>
      </w:r>
      <w:r w:rsidR="004B0F84">
        <w:rPr>
          <w:iCs/>
          <w:szCs w:val="22"/>
          <w:lang w:eastAsia="en-US"/>
        </w:rPr>
        <w:t>fu</w:t>
      </w:r>
      <w:r w:rsidR="00223821">
        <w:rPr>
          <w:iCs/>
          <w:szCs w:val="22"/>
          <w:lang w:eastAsia="en-US"/>
        </w:rPr>
        <w:t>l</w:t>
      </w:r>
      <w:r w:rsidR="004B0F84">
        <w:rPr>
          <w:iCs/>
          <w:szCs w:val="22"/>
          <w:lang w:eastAsia="en-US"/>
        </w:rPr>
        <w:t>vestranto derinio su</w:t>
      </w:r>
      <w:r w:rsidR="00D27D42">
        <w:rPr>
          <w:iCs/>
          <w:szCs w:val="22"/>
          <w:lang w:eastAsia="en-US"/>
        </w:rPr>
        <w:t xml:space="preserve"> </w:t>
      </w:r>
      <w:r w:rsidRPr="0061760E">
        <w:rPr>
          <w:iCs/>
          <w:szCs w:val="22"/>
          <w:lang w:eastAsia="en-US"/>
        </w:rPr>
        <w:t>placeb</w:t>
      </w:r>
      <w:r w:rsidR="004B0F84">
        <w:rPr>
          <w:iCs/>
          <w:szCs w:val="22"/>
          <w:lang w:eastAsia="en-US"/>
        </w:rPr>
        <w:t>u</w:t>
      </w:r>
      <w:r w:rsidRPr="0061760E">
        <w:rPr>
          <w:iCs/>
          <w:szCs w:val="22"/>
          <w:lang w:eastAsia="en-US"/>
        </w:rPr>
        <w:t xml:space="preserve"> grupės pacientės.</w:t>
      </w:r>
    </w:p>
    <w:p w14:paraId="322616DC" w14:textId="00622582" w:rsidR="0061760E" w:rsidRPr="0061760E" w:rsidRDefault="0061760E" w:rsidP="0061760E">
      <w:pPr>
        <w:autoSpaceDE w:val="0"/>
        <w:autoSpaceDN w:val="0"/>
        <w:adjustRightInd w:val="0"/>
        <w:rPr>
          <w:iCs/>
          <w:szCs w:val="22"/>
          <w:lang w:eastAsia="en-US"/>
        </w:rPr>
      </w:pPr>
      <w:r w:rsidRPr="0061760E">
        <w:rPr>
          <w:iCs/>
          <w:szCs w:val="22"/>
          <w:lang w:eastAsia="en-US"/>
        </w:rPr>
        <w:lastRenderedPageBreak/>
        <w:t>Iš anksto buvo numatyta, kad laikas iki skausmo sustiprėjimo skaičiuojamas nuo įtraukimo į tyrimą iki</w:t>
      </w:r>
      <w:r w:rsidR="004B0F84">
        <w:rPr>
          <w:iCs/>
          <w:szCs w:val="22"/>
          <w:lang w:eastAsia="en-US"/>
        </w:rPr>
        <w:t xml:space="preserve"> </w:t>
      </w:r>
      <w:r w:rsidRPr="0061760E">
        <w:rPr>
          <w:iCs/>
          <w:szCs w:val="22"/>
          <w:lang w:eastAsia="en-US"/>
        </w:rPr>
        <w:t>pirmojo 10</w:t>
      </w:r>
      <w:r w:rsidR="003549D2">
        <w:rPr>
          <w:iCs/>
          <w:szCs w:val="22"/>
          <w:lang w:eastAsia="en-US"/>
        </w:rPr>
        <w:t> </w:t>
      </w:r>
      <w:r w:rsidRPr="0061760E">
        <w:rPr>
          <w:iCs/>
          <w:szCs w:val="22"/>
          <w:lang w:eastAsia="en-US"/>
        </w:rPr>
        <w:t xml:space="preserve">balų ar daugiau sustiprėjusio skausmo rodiklio </w:t>
      </w:r>
      <w:r w:rsidR="004B0F84">
        <w:rPr>
          <w:iCs/>
          <w:szCs w:val="22"/>
          <w:lang w:eastAsia="en-US"/>
        </w:rPr>
        <w:t>nustatymo</w:t>
      </w:r>
      <w:r w:rsidRPr="0061760E">
        <w:rPr>
          <w:iCs/>
          <w:szCs w:val="22"/>
          <w:lang w:eastAsia="en-US"/>
        </w:rPr>
        <w:t xml:space="preserve"> atvejo. Kartu su </w:t>
      </w:r>
      <w:r w:rsidR="004B0F84">
        <w:rPr>
          <w:iCs/>
          <w:szCs w:val="22"/>
          <w:lang w:eastAsia="en-US"/>
        </w:rPr>
        <w:t xml:space="preserve">fulvestrantu </w:t>
      </w:r>
      <w:r w:rsidRPr="0061760E">
        <w:rPr>
          <w:iCs/>
          <w:szCs w:val="22"/>
          <w:lang w:eastAsia="en-US"/>
        </w:rPr>
        <w:t>vartojant palbociklib</w:t>
      </w:r>
      <w:r w:rsidR="004B0F84">
        <w:rPr>
          <w:iCs/>
          <w:szCs w:val="22"/>
          <w:lang w:eastAsia="en-US"/>
        </w:rPr>
        <w:t>o</w:t>
      </w:r>
      <w:r w:rsidRPr="0061760E">
        <w:rPr>
          <w:iCs/>
          <w:szCs w:val="22"/>
          <w:lang w:eastAsia="en-US"/>
        </w:rPr>
        <w:t>, nustatytas simptominis pagerėjimas, t.y. reikšmingai ilgesnis laik</w:t>
      </w:r>
      <w:r w:rsidR="004B0F84">
        <w:rPr>
          <w:iCs/>
          <w:szCs w:val="22"/>
          <w:lang w:eastAsia="en-US"/>
        </w:rPr>
        <w:t>as</w:t>
      </w:r>
      <w:r w:rsidRPr="0061760E">
        <w:rPr>
          <w:iCs/>
          <w:szCs w:val="22"/>
          <w:lang w:eastAsia="en-US"/>
        </w:rPr>
        <w:t xml:space="preserve"> iki</w:t>
      </w:r>
      <w:r w:rsidR="004B0F84">
        <w:rPr>
          <w:iCs/>
          <w:szCs w:val="22"/>
          <w:lang w:eastAsia="en-US"/>
        </w:rPr>
        <w:t xml:space="preserve"> </w:t>
      </w:r>
      <w:r w:rsidRPr="0061760E">
        <w:rPr>
          <w:iCs/>
          <w:szCs w:val="22"/>
          <w:lang w:eastAsia="en-US"/>
        </w:rPr>
        <w:t xml:space="preserve">skausmo sustiprėjimo negu vartojant </w:t>
      </w:r>
      <w:r w:rsidR="004B0F84">
        <w:rPr>
          <w:iCs/>
          <w:szCs w:val="22"/>
          <w:lang w:eastAsia="en-US"/>
        </w:rPr>
        <w:t xml:space="preserve">fulvestranto derinį su </w:t>
      </w:r>
      <w:r w:rsidRPr="0061760E">
        <w:rPr>
          <w:iCs/>
          <w:szCs w:val="22"/>
          <w:lang w:eastAsia="en-US"/>
        </w:rPr>
        <w:t>placeb</w:t>
      </w:r>
      <w:r w:rsidR="004B0F84">
        <w:rPr>
          <w:iCs/>
          <w:szCs w:val="22"/>
          <w:lang w:eastAsia="en-US"/>
        </w:rPr>
        <w:t>u</w:t>
      </w:r>
      <w:r w:rsidRPr="0061760E">
        <w:rPr>
          <w:iCs/>
          <w:szCs w:val="22"/>
          <w:lang w:eastAsia="en-US"/>
        </w:rPr>
        <w:t xml:space="preserve"> (jo mediana buvo atitinkamai 8,0</w:t>
      </w:r>
      <w:r w:rsidR="003549D2">
        <w:rPr>
          <w:iCs/>
          <w:szCs w:val="22"/>
          <w:lang w:eastAsia="en-US"/>
        </w:rPr>
        <w:t> </w:t>
      </w:r>
      <w:r w:rsidRPr="0061760E">
        <w:rPr>
          <w:iCs/>
          <w:szCs w:val="22"/>
          <w:lang w:eastAsia="en-US"/>
        </w:rPr>
        <w:t>mėn. ir</w:t>
      </w:r>
      <w:r w:rsidR="004B0F84">
        <w:rPr>
          <w:iCs/>
          <w:szCs w:val="22"/>
          <w:lang w:eastAsia="en-US"/>
        </w:rPr>
        <w:t xml:space="preserve"> </w:t>
      </w:r>
      <w:r w:rsidRPr="0061760E">
        <w:rPr>
          <w:iCs/>
          <w:szCs w:val="22"/>
          <w:lang w:eastAsia="en-US"/>
        </w:rPr>
        <w:t>2,8</w:t>
      </w:r>
      <w:r w:rsidR="003549D2">
        <w:rPr>
          <w:iCs/>
          <w:szCs w:val="22"/>
          <w:lang w:eastAsia="en-US"/>
        </w:rPr>
        <w:t> </w:t>
      </w:r>
      <w:r w:rsidRPr="0061760E">
        <w:rPr>
          <w:iCs/>
          <w:szCs w:val="22"/>
          <w:lang w:eastAsia="en-US"/>
        </w:rPr>
        <w:t xml:space="preserve">mėn., </w:t>
      </w:r>
      <w:r w:rsidR="004B0F84">
        <w:rPr>
          <w:iCs/>
          <w:szCs w:val="22"/>
          <w:lang w:eastAsia="en-US"/>
        </w:rPr>
        <w:t>S</w:t>
      </w:r>
      <w:r w:rsidRPr="0061760E">
        <w:rPr>
          <w:iCs/>
          <w:szCs w:val="22"/>
          <w:lang w:eastAsia="en-US"/>
        </w:rPr>
        <w:t>R – 0,64, 95</w:t>
      </w:r>
      <w:r w:rsidR="003549D2">
        <w:rPr>
          <w:iCs/>
          <w:szCs w:val="22"/>
          <w:lang w:eastAsia="en-US"/>
        </w:rPr>
        <w:t> </w:t>
      </w:r>
      <w:r w:rsidRPr="0061760E">
        <w:rPr>
          <w:iCs/>
          <w:szCs w:val="22"/>
          <w:lang w:eastAsia="en-US"/>
        </w:rPr>
        <w:t>% PI – 0,49, 0,85, p</w:t>
      </w:r>
      <w:r w:rsidR="003549D2">
        <w:rPr>
          <w:iCs/>
          <w:szCs w:val="22"/>
          <w:lang w:eastAsia="en-US"/>
        </w:rPr>
        <w:t> </w:t>
      </w:r>
      <w:r w:rsidRPr="0061760E">
        <w:rPr>
          <w:iCs/>
          <w:szCs w:val="22"/>
          <w:lang w:eastAsia="en-US"/>
        </w:rPr>
        <w:t>&lt;</w:t>
      </w:r>
      <w:r w:rsidR="003549D2">
        <w:rPr>
          <w:iCs/>
          <w:szCs w:val="22"/>
          <w:lang w:eastAsia="en-US"/>
        </w:rPr>
        <w:t> </w:t>
      </w:r>
      <w:r w:rsidRPr="0061760E">
        <w:rPr>
          <w:iCs/>
          <w:szCs w:val="22"/>
          <w:lang w:eastAsia="en-US"/>
        </w:rPr>
        <w:t>0,001).</w:t>
      </w:r>
    </w:p>
    <w:p w14:paraId="7A47C09F" w14:textId="77777777" w:rsidR="0061760E" w:rsidRPr="00901F66" w:rsidRDefault="0061760E" w:rsidP="00901F66">
      <w:pPr>
        <w:autoSpaceDE w:val="0"/>
        <w:autoSpaceDN w:val="0"/>
        <w:adjustRightInd w:val="0"/>
        <w:rPr>
          <w:iCs/>
          <w:szCs w:val="22"/>
          <w:lang w:eastAsia="en-US"/>
        </w:rPr>
      </w:pPr>
    </w:p>
    <w:p w14:paraId="2DB597A3" w14:textId="77777777" w:rsidR="004364B8" w:rsidRDefault="004364B8" w:rsidP="004364B8">
      <w:pPr>
        <w:rPr>
          <w:szCs w:val="22"/>
          <w:lang w:eastAsia="en-US"/>
        </w:rPr>
      </w:pPr>
      <w:r>
        <w:rPr>
          <w:i/>
          <w:iCs/>
          <w:szCs w:val="22"/>
          <w:lang w:eastAsia="en-US"/>
        </w:rPr>
        <w:t>Poveikis gimdos gleivinei po menopauzės</w:t>
      </w:r>
    </w:p>
    <w:p w14:paraId="2A871611" w14:textId="77777777" w:rsidR="004364B8" w:rsidRDefault="004364B8" w:rsidP="004364B8">
      <w:pPr>
        <w:rPr>
          <w:szCs w:val="22"/>
          <w:lang w:eastAsia="en-US"/>
        </w:rPr>
      </w:pPr>
      <w:r>
        <w:rPr>
          <w:szCs w:val="22"/>
          <w:lang w:eastAsia="en-US"/>
        </w:rPr>
        <w:t>Ikiklinikinių tyrimų duomenys nerodo fulvestranto stimuliuojančio poveikio gimdos gleivinei po menopauzės (žr. 5.3 skyrių). Su sveikomis savanorėmis po menopauzės atlikto 2</w:t>
      </w:r>
      <w:r w:rsidR="00153369">
        <w:rPr>
          <w:szCs w:val="22"/>
          <w:lang w:eastAsia="en-US"/>
        </w:rPr>
        <w:t> </w:t>
      </w:r>
      <w:r>
        <w:rPr>
          <w:szCs w:val="22"/>
          <w:lang w:eastAsia="en-US"/>
        </w:rPr>
        <w:t>savaičių trukmės tyrimo metu 250</w:t>
      </w:r>
      <w:r w:rsidR="00153369">
        <w:rPr>
          <w:szCs w:val="22"/>
          <w:lang w:eastAsia="en-US"/>
        </w:rPr>
        <w:t> </w:t>
      </w:r>
      <w:r>
        <w:rPr>
          <w:szCs w:val="22"/>
          <w:lang w:eastAsia="en-US"/>
        </w:rPr>
        <w:t>mg fulvestranto, vartoto prieš etinilestradiolį (20</w:t>
      </w:r>
      <w:r w:rsidR="00153369">
        <w:rPr>
          <w:szCs w:val="22"/>
          <w:lang w:eastAsia="en-US"/>
        </w:rPr>
        <w:t> </w:t>
      </w:r>
      <w:r>
        <w:rPr>
          <w:szCs w:val="22"/>
          <w:lang w:eastAsia="en-US"/>
        </w:rPr>
        <w:t>mikrogramų per parą), reikšmingai labiau negu prieš jį vartotas placebas sumažino gimdos gleivinės po menopauzės stimuliaciją, kuri įvertinta ultragarsu matuojant gimdos gleivinės storį.</w:t>
      </w:r>
    </w:p>
    <w:p w14:paraId="1B665974" w14:textId="77777777" w:rsidR="004364B8" w:rsidRDefault="004364B8" w:rsidP="004364B8">
      <w:pPr>
        <w:rPr>
          <w:szCs w:val="22"/>
          <w:lang w:eastAsia="en-US"/>
        </w:rPr>
      </w:pPr>
      <w:r>
        <w:rPr>
          <w:szCs w:val="22"/>
          <w:lang w:eastAsia="en-US"/>
        </w:rPr>
        <w:t>Krūties vėžiu sergančių pacienčių neoadjuvantinis gydymas 500</w:t>
      </w:r>
      <w:r w:rsidR="00153369">
        <w:rPr>
          <w:szCs w:val="22"/>
          <w:lang w:eastAsia="en-US"/>
        </w:rPr>
        <w:t> </w:t>
      </w:r>
      <w:r>
        <w:rPr>
          <w:szCs w:val="22"/>
          <w:lang w:eastAsia="en-US"/>
        </w:rPr>
        <w:t>mg arba 250</w:t>
      </w:r>
      <w:r w:rsidR="00153369">
        <w:rPr>
          <w:szCs w:val="22"/>
          <w:lang w:eastAsia="en-US"/>
        </w:rPr>
        <w:t> </w:t>
      </w:r>
      <w:r>
        <w:rPr>
          <w:szCs w:val="22"/>
          <w:lang w:eastAsia="en-US"/>
        </w:rPr>
        <w:t>mg fulvestranto doze, kuris truko iki 16</w:t>
      </w:r>
      <w:r w:rsidR="00153369">
        <w:rPr>
          <w:szCs w:val="22"/>
          <w:lang w:eastAsia="en-US"/>
        </w:rPr>
        <w:t> </w:t>
      </w:r>
      <w:r>
        <w:rPr>
          <w:szCs w:val="22"/>
          <w:lang w:eastAsia="en-US"/>
        </w:rPr>
        <w:t>savaičių, kliniškai reikšmingų gimdos gleivinės storio pokyčių nesukėlė (tai rodo agonistinio poveikio jai nebuvimą). Nepageidaujamą poveikį tirtų pacienčių, sirgusių krūties vėžiu, gimdos gleivinei rodančių duomenų negauta. Taip pat nėra duomenų apie gimdos gleivinės morfologijos pokyčius.</w:t>
      </w:r>
    </w:p>
    <w:p w14:paraId="4082715C" w14:textId="77777777" w:rsidR="004364B8" w:rsidRDefault="004364B8" w:rsidP="004364B8">
      <w:pPr>
        <w:rPr>
          <w:szCs w:val="22"/>
          <w:lang w:eastAsia="en-US"/>
        </w:rPr>
      </w:pPr>
      <w:r>
        <w:rPr>
          <w:szCs w:val="22"/>
          <w:lang w:eastAsia="en-US"/>
        </w:rPr>
        <w:t>Du trumpalaikiai (1 ir 12</w:t>
      </w:r>
      <w:r w:rsidR="00153369">
        <w:rPr>
          <w:szCs w:val="22"/>
          <w:lang w:eastAsia="en-US"/>
        </w:rPr>
        <w:t> </w:t>
      </w:r>
      <w:r>
        <w:rPr>
          <w:szCs w:val="22"/>
          <w:lang w:eastAsia="en-US"/>
        </w:rPr>
        <w:t>savaičių) tyrimai, kuriuose dalyvavo gerybinėmis ginekologinėmis ligomis sergančios pacientės iki menopauzės, ultragarsu išmatuoto gimdos gleivinės storio skirtumo tarp fulvestranto ir placebo grupių nepastebėta.</w:t>
      </w:r>
    </w:p>
    <w:p w14:paraId="6743B56E" w14:textId="77777777" w:rsidR="004364B8" w:rsidRDefault="004364B8" w:rsidP="004364B8">
      <w:pPr>
        <w:rPr>
          <w:i/>
          <w:iCs/>
          <w:szCs w:val="22"/>
          <w:lang w:eastAsia="en-US"/>
        </w:rPr>
      </w:pPr>
    </w:p>
    <w:p w14:paraId="2B942317" w14:textId="77777777" w:rsidR="004364B8" w:rsidRDefault="004364B8" w:rsidP="004364B8">
      <w:pPr>
        <w:rPr>
          <w:i/>
          <w:iCs/>
          <w:szCs w:val="22"/>
          <w:lang w:eastAsia="en-US"/>
        </w:rPr>
      </w:pPr>
      <w:r>
        <w:rPr>
          <w:i/>
          <w:iCs/>
          <w:szCs w:val="22"/>
          <w:lang w:eastAsia="en-US"/>
        </w:rPr>
        <w:t>Poveikis kaulams</w:t>
      </w:r>
    </w:p>
    <w:p w14:paraId="6D12F2EF" w14:textId="77777777" w:rsidR="004364B8" w:rsidRDefault="004364B8" w:rsidP="004364B8">
      <w:pPr>
        <w:rPr>
          <w:szCs w:val="22"/>
          <w:lang w:eastAsia="en-US"/>
        </w:rPr>
      </w:pPr>
      <w:r>
        <w:rPr>
          <w:szCs w:val="22"/>
          <w:lang w:eastAsia="en-US"/>
        </w:rPr>
        <w:t>Fulvestranto poveikio kaulams ilgalaikio stebėjimo duomenų nėra. Iki 16</w:t>
      </w:r>
      <w:r w:rsidR="00153369">
        <w:rPr>
          <w:szCs w:val="22"/>
          <w:lang w:eastAsia="en-US"/>
        </w:rPr>
        <w:t> </w:t>
      </w:r>
      <w:r>
        <w:rPr>
          <w:szCs w:val="22"/>
          <w:lang w:eastAsia="en-US"/>
        </w:rPr>
        <w:t>savaičių trukmės neoadjuvantinis krūties vėžio gydymas 250</w:t>
      </w:r>
      <w:r w:rsidR="00153369">
        <w:rPr>
          <w:szCs w:val="22"/>
          <w:lang w:eastAsia="en-US"/>
        </w:rPr>
        <w:t> </w:t>
      </w:r>
      <w:r>
        <w:rPr>
          <w:szCs w:val="22"/>
          <w:lang w:eastAsia="en-US"/>
        </w:rPr>
        <w:t>mg ar 500</w:t>
      </w:r>
      <w:r w:rsidR="00153369">
        <w:rPr>
          <w:szCs w:val="22"/>
          <w:lang w:eastAsia="en-US"/>
        </w:rPr>
        <w:t> </w:t>
      </w:r>
      <w:r>
        <w:rPr>
          <w:szCs w:val="22"/>
          <w:lang w:eastAsia="en-US"/>
        </w:rPr>
        <w:t>mg fulvestranto doze kliniškai reikšmingų kaulų apykaitos žymenų serume pokyčių nesukėlė.</w:t>
      </w:r>
    </w:p>
    <w:p w14:paraId="0AFEA2E7" w14:textId="77777777" w:rsidR="004364B8" w:rsidRDefault="004364B8" w:rsidP="004364B8">
      <w:pPr>
        <w:rPr>
          <w:szCs w:val="22"/>
          <w:lang w:eastAsia="en-US"/>
        </w:rPr>
      </w:pPr>
    </w:p>
    <w:p w14:paraId="65BC36EE" w14:textId="77777777" w:rsidR="004364B8" w:rsidRDefault="004364B8" w:rsidP="004364B8">
      <w:pPr>
        <w:rPr>
          <w:szCs w:val="22"/>
          <w:u w:val="single"/>
          <w:lang w:eastAsia="en-US"/>
        </w:rPr>
      </w:pPr>
      <w:r>
        <w:rPr>
          <w:szCs w:val="22"/>
          <w:u w:val="single"/>
          <w:lang w:eastAsia="en-US"/>
        </w:rPr>
        <w:t>Vaikų populiacija</w:t>
      </w:r>
    </w:p>
    <w:p w14:paraId="00943F74" w14:textId="123873CA" w:rsidR="00193A04" w:rsidRPr="00901F66" w:rsidRDefault="00193A04" w:rsidP="009B558C">
      <w:pPr>
        <w:autoSpaceDE w:val="0"/>
        <w:autoSpaceDN w:val="0"/>
        <w:adjustRightInd w:val="0"/>
        <w:rPr>
          <w:szCs w:val="22"/>
          <w:lang w:eastAsia="en-US"/>
        </w:rPr>
      </w:pPr>
      <w:r w:rsidRPr="00901F66">
        <w:rPr>
          <w:szCs w:val="22"/>
          <w:lang w:eastAsia="en-US"/>
        </w:rPr>
        <w:t>Fulvestrant</w:t>
      </w:r>
      <w:r w:rsidR="004B0F84">
        <w:rPr>
          <w:szCs w:val="22"/>
          <w:lang w:eastAsia="en-US"/>
        </w:rPr>
        <w:t>o</w:t>
      </w:r>
      <w:r w:rsidRPr="00901F66">
        <w:rPr>
          <w:szCs w:val="22"/>
          <w:lang w:eastAsia="en-US"/>
        </w:rPr>
        <w:t xml:space="preserve"> vaikams neskiriama.</w:t>
      </w:r>
      <w:r w:rsidR="004B0F84">
        <w:rPr>
          <w:szCs w:val="22"/>
          <w:lang w:eastAsia="en-US"/>
        </w:rPr>
        <w:t xml:space="preserve"> </w:t>
      </w:r>
      <w:r w:rsidR="004B0F84" w:rsidRPr="004B0F84">
        <w:rPr>
          <w:szCs w:val="22"/>
          <w:lang w:eastAsia="en-US"/>
        </w:rPr>
        <w:t>Europos vaistų agentūra nereikalauja įsipareigoti pateikti rezultatų</w:t>
      </w:r>
      <w:r w:rsidR="004B0F84">
        <w:rPr>
          <w:szCs w:val="22"/>
          <w:lang w:eastAsia="en-US"/>
        </w:rPr>
        <w:t xml:space="preserve"> </w:t>
      </w:r>
      <w:r w:rsidR="004B0F84" w:rsidRPr="004B0F84">
        <w:rPr>
          <w:szCs w:val="22"/>
          <w:lang w:eastAsia="en-US"/>
        </w:rPr>
        <w:t xml:space="preserve">tyrimų, atliktų su </w:t>
      </w:r>
      <w:r w:rsidR="004B0F84">
        <w:rPr>
          <w:szCs w:val="22"/>
          <w:lang w:eastAsia="en-US"/>
        </w:rPr>
        <w:t>fulvestrantu</w:t>
      </w:r>
      <w:r w:rsidR="004B0F84" w:rsidRPr="004B0F84">
        <w:rPr>
          <w:szCs w:val="22"/>
          <w:lang w:eastAsia="en-US"/>
        </w:rPr>
        <w:t xml:space="preserve"> visuose vaikų pogrupiuose krūties vėžio indikacijai (žr. 4.2 skyriuje</w:t>
      </w:r>
      <w:r w:rsidR="004B0F84">
        <w:rPr>
          <w:szCs w:val="22"/>
          <w:lang w:eastAsia="en-US"/>
        </w:rPr>
        <w:t xml:space="preserve"> </w:t>
      </w:r>
      <w:r w:rsidR="004B0F84" w:rsidRPr="004B0F84">
        <w:rPr>
          <w:szCs w:val="22"/>
          <w:lang w:eastAsia="en-US"/>
        </w:rPr>
        <w:t>informaciją apie vartojimą vaikams)</w:t>
      </w:r>
      <w:r w:rsidR="001A0BF0" w:rsidRPr="001A0BF0">
        <w:rPr>
          <w:rFonts w:hint="eastAsia"/>
          <w:szCs w:val="22"/>
          <w:lang w:eastAsia="en-US"/>
        </w:rPr>
        <w:t>.</w:t>
      </w:r>
    </w:p>
    <w:p w14:paraId="5252E356" w14:textId="144D8718" w:rsidR="004364B8" w:rsidRDefault="004364B8" w:rsidP="004364B8">
      <w:pPr>
        <w:rPr>
          <w:szCs w:val="22"/>
          <w:lang w:eastAsia="en-US"/>
        </w:rPr>
      </w:pPr>
      <w:r>
        <w:rPr>
          <w:szCs w:val="22"/>
          <w:lang w:eastAsia="en-US"/>
        </w:rPr>
        <w:t>Atviro II fazės tyrimo, kuriame dalyvavusioms 30 mergaičių nuo 1 iki 8</w:t>
      </w:r>
      <w:r w:rsidR="00153369">
        <w:rPr>
          <w:szCs w:val="22"/>
          <w:lang w:eastAsia="en-US"/>
        </w:rPr>
        <w:t> </w:t>
      </w:r>
      <w:r>
        <w:rPr>
          <w:szCs w:val="22"/>
          <w:lang w:eastAsia="en-US"/>
        </w:rPr>
        <w:t xml:space="preserve">metų amžiaus buvo nustatytas progresuojantis priešlaikinis brendimas, susijęs su </w:t>
      </w:r>
      <w:r>
        <w:rPr>
          <w:i/>
          <w:szCs w:val="22"/>
          <w:lang w:eastAsia="en-US"/>
        </w:rPr>
        <w:t>McCune Albright</w:t>
      </w:r>
      <w:r>
        <w:rPr>
          <w:szCs w:val="22"/>
          <w:lang w:eastAsia="en-US"/>
        </w:rPr>
        <w:t xml:space="preserve"> sindromu, metu tirtas fulvestranto saugumas, veiksmingumas ir farmakokinetika. Joms kas mėnesį buvo leidžiama po 4 mg/kg kūno svorio fulvestranto į raumenis. Šio 12</w:t>
      </w:r>
      <w:r w:rsidR="00153369">
        <w:rPr>
          <w:szCs w:val="22"/>
          <w:lang w:eastAsia="en-US"/>
        </w:rPr>
        <w:t> </w:t>
      </w:r>
      <w:r>
        <w:rPr>
          <w:szCs w:val="22"/>
          <w:lang w:eastAsia="en-US"/>
        </w:rPr>
        <w:t xml:space="preserve">mėn. trukmės tyrimo metu ištyrus įvairias </w:t>
      </w:r>
      <w:r>
        <w:rPr>
          <w:i/>
          <w:szCs w:val="22"/>
          <w:lang w:eastAsia="en-US"/>
        </w:rPr>
        <w:t>McCune Albright</w:t>
      </w:r>
      <w:r>
        <w:rPr>
          <w:szCs w:val="22"/>
          <w:lang w:eastAsia="en-US"/>
        </w:rPr>
        <w:t xml:space="preserve"> sindromo vertinamąsias baigtis, nustatytas retesnis kraujavimas iš makšties ir lėtesnis kaulų amžiaus didėjimas. Minimalios pusiausvyrinės fulvestranto koncentracijos vaikų plazmoje šio tyrimo metu atitiko nustatytas suaugusiesiems (žr. 5.2 skyrių). Naujų abejonių dėl preparato saugumo šis nedidelės apimties tyrimas nesukėlė, tačiau 5 metų stebėjimo duomenų dar nėra.</w:t>
      </w:r>
    </w:p>
    <w:p w14:paraId="50E83BCD" w14:textId="77777777" w:rsidR="004364B8" w:rsidRDefault="004364B8" w:rsidP="004364B8">
      <w:pPr>
        <w:rPr>
          <w:rFonts w:eastAsia="Calibri"/>
          <w:szCs w:val="22"/>
        </w:rPr>
      </w:pPr>
    </w:p>
    <w:p w14:paraId="784AF971" w14:textId="77777777" w:rsidR="004364B8" w:rsidRDefault="004364B8" w:rsidP="004364B8">
      <w:pPr>
        <w:ind w:left="540" w:hanging="540"/>
        <w:rPr>
          <w:b/>
          <w:szCs w:val="22"/>
          <w:lang w:eastAsia="en-US"/>
        </w:rPr>
      </w:pPr>
      <w:r>
        <w:rPr>
          <w:b/>
          <w:szCs w:val="22"/>
          <w:lang w:eastAsia="en-US"/>
        </w:rPr>
        <w:t>5.2</w:t>
      </w:r>
      <w:r>
        <w:rPr>
          <w:b/>
          <w:szCs w:val="22"/>
          <w:lang w:eastAsia="en-US"/>
        </w:rPr>
        <w:tab/>
        <w:t>Farmakokinetinės savybės</w:t>
      </w:r>
    </w:p>
    <w:p w14:paraId="6F505950" w14:textId="77777777" w:rsidR="004364B8" w:rsidRDefault="004364B8" w:rsidP="004364B8">
      <w:pPr>
        <w:ind w:left="540" w:hanging="540"/>
        <w:rPr>
          <w:szCs w:val="22"/>
          <w:lang w:eastAsia="en-US"/>
        </w:rPr>
      </w:pPr>
    </w:p>
    <w:p w14:paraId="787F363D" w14:textId="77777777" w:rsidR="004364B8" w:rsidRDefault="004364B8" w:rsidP="004364B8">
      <w:pPr>
        <w:rPr>
          <w:szCs w:val="22"/>
          <w:u w:val="single"/>
        </w:rPr>
      </w:pPr>
      <w:r>
        <w:rPr>
          <w:szCs w:val="22"/>
          <w:u w:val="single"/>
        </w:rPr>
        <w:t>Absorbcija</w:t>
      </w:r>
    </w:p>
    <w:p w14:paraId="4350BCD1" w14:textId="251D9237" w:rsidR="004364B8" w:rsidRDefault="004364B8" w:rsidP="004364B8">
      <w:pPr>
        <w:rPr>
          <w:szCs w:val="22"/>
        </w:rPr>
      </w:pPr>
      <w:r>
        <w:rPr>
          <w:szCs w:val="22"/>
        </w:rPr>
        <w:t>Su</w:t>
      </w:r>
      <w:r w:rsidR="00DF6BF8">
        <w:rPr>
          <w:szCs w:val="22"/>
        </w:rPr>
        <w:t>leidus</w:t>
      </w:r>
      <w:r>
        <w:rPr>
          <w:szCs w:val="22"/>
        </w:rPr>
        <w:t xml:space="preserve"> ilgai veikiančio fulvestranto į raumenis, fulvestrantas absorbuojamas lėtai, didžiausia koncentracija plazmoje (C</w:t>
      </w:r>
      <w:r>
        <w:rPr>
          <w:szCs w:val="22"/>
          <w:vertAlign w:val="subscript"/>
        </w:rPr>
        <w:t>max</w:t>
      </w:r>
      <w:r>
        <w:rPr>
          <w:szCs w:val="22"/>
        </w:rPr>
        <w:t>) nusistovi po maždaug 5</w:t>
      </w:r>
      <w:r w:rsidR="00153369">
        <w:rPr>
          <w:szCs w:val="22"/>
        </w:rPr>
        <w:t> </w:t>
      </w:r>
      <w:r>
        <w:rPr>
          <w:szCs w:val="22"/>
        </w:rPr>
        <w:t>parų. Vartojant 500</w:t>
      </w:r>
      <w:r w:rsidR="00153369">
        <w:rPr>
          <w:szCs w:val="22"/>
        </w:rPr>
        <w:t> </w:t>
      </w:r>
      <w:r>
        <w:rPr>
          <w:szCs w:val="22"/>
        </w:rPr>
        <w:t>mg fulvestranto dozėmis, pusiausvyrinė ar jai artima ekspozicija nusistovi per pirmąjį mėnesį (vidutinis AUC 475</w:t>
      </w:r>
      <w:r w:rsidR="00153369">
        <w:rPr>
          <w:szCs w:val="22"/>
        </w:rPr>
        <w:t> </w:t>
      </w:r>
      <w:r>
        <w:rPr>
          <w:szCs w:val="22"/>
        </w:rPr>
        <w:t>ng×paros/ml [variacijos koeficientas – 33,4</w:t>
      </w:r>
      <w:r w:rsidR="000F2959">
        <w:rPr>
          <w:szCs w:val="22"/>
        </w:rPr>
        <w:t> </w:t>
      </w:r>
      <w:r>
        <w:rPr>
          <w:szCs w:val="22"/>
        </w:rPr>
        <w:t>%], vidutinė C</w:t>
      </w:r>
      <w:r>
        <w:rPr>
          <w:szCs w:val="22"/>
          <w:vertAlign w:val="subscript"/>
        </w:rPr>
        <w:t>max</w:t>
      </w:r>
      <w:r>
        <w:rPr>
          <w:szCs w:val="22"/>
        </w:rPr>
        <w:t xml:space="preserve"> – 25,1</w:t>
      </w:r>
      <w:r w:rsidR="00153369">
        <w:rPr>
          <w:szCs w:val="22"/>
        </w:rPr>
        <w:t> </w:t>
      </w:r>
      <w:r>
        <w:rPr>
          <w:szCs w:val="22"/>
        </w:rPr>
        <w:t>ng/ml [variacijos koeficientas – 35,3</w:t>
      </w:r>
      <w:r w:rsidR="000F2959">
        <w:rPr>
          <w:szCs w:val="22"/>
        </w:rPr>
        <w:t> </w:t>
      </w:r>
      <w:r>
        <w:rPr>
          <w:szCs w:val="22"/>
        </w:rPr>
        <w:t>%], vidutinė C</w:t>
      </w:r>
      <w:r>
        <w:rPr>
          <w:szCs w:val="22"/>
          <w:vertAlign w:val="subscript"/>
        </w:rPr>
        <w:t>min</w:t>
      </w:r>
      <w:r>
        <w:rPr>
          <w:szCs w:val="22"/>
        </w:rPr>
        <w:t xml:space="preserve"> – 16,3</w:t>
      </w:r>
      <w:r w:rsidR="00153369">
        <w:rPr>
          <w:szCs w:val="22"/>
        </w:rPr>
        <w:t> </w:t>
      </w:r>
      <w:r>
        <w:rPr>
          <w:szCs w:val="22"/>
        </w:rPr>
        <w:t>ng/ml [variacijos koeficientas – 25,9</w:t>
      </w:r>
      <w:r w:rsidR="000F2959">
        <w:rPr>
          <w:szCs w:val="22"/>
        </w:rPr>
        <w:t> </w:t>
      </w:r>
      <w:r>
        <w:rPr>
          <w:szCs w:val="22"/>
        </w:rPr>
        <w:t>%]). Pusiausvyrinė fulvestranto koncentracija plazmoje kinta palyginti siaurose ribose (didžiausia ir mažiausia skiriasi iki 3</w:t>
      </w:r>
      <w:r w:rsidR="00153369">
        <w:rPr>
          <w:szCs w:val="22"/>
        </w:rPr>
        <w:t> </w:t>
      </w:r>
      <w:r>
        <w:rPr>
          <w:szCs w:val="22"/>
        </w:rPr>
        <w:t>kartų). Į raumenis su</w:t>
      </w:r>
      <w:r w:rsidR="00DF6BF8">
        <w:rPr>
          <w:szCs w:val="22"/>
        </w:rPr>
        <w:t>leisto</w:t>
      </w:r>
      <w:r>
        <w:rPr>
          <w:szCs w:val="22"/>
        </w:rPr>
        <w:t xml:space="preserve"> fulvestranto ekspozicija 50</w:t>
      </w:r>
      <w:r w:rsidR="00153369">
        <w:rPr>
          <w:szCs w:val="22"/>
        </w:rPr>
        <w:noBreakHyphen/>
      </w:r>
      <w:r>
        <w:rPr>
          <w:szCs w:val="22"/>
        </w:rPr>
        <w:t>500</w:t>
      </w:r>
      <w:r w:rsidR="00153369">
        <w:rPr>
          <w:szCs w:val="22"/>
        </w:rPr>
        <w:t> </w:t>
      </w:r>
      <w:r>
        <w:rPr>
          <w:szCs w:val="22"/>
        </w:rPr>
        <w:t>mg dozių diapazone būna maždaug proporcinga dozei.</w:t>
      </w:r>
    </w:p>
    <w:p w14:paraId="0B68851B" w14:textId="77777777" w:rsidR="004364B8" w:rsidRDefault="004364B8" w:rsidP="004364B8">
      <w:pPr>
        <w:rPr>
          <w:szCs w:val="22"/>
        </w:rPr>
      </w:pPr>
    </w:p>
    <w:p w14:paraId="43C714DB" w14:textId="77777777" w:rsidR="004364B8" w:rsidRDefault="004364B8" w:rsidP="004364B8">
      <w:pPr>
        <w:rPr>
          <w:szCs w:val="22"/>
          <w:u w:val="single"/>
        </w:rPr>
      </w:pPr>
      <w:r>
        <w:rPr>
          <w:szCs w:val="22"/>
          <w:u w:val="single"/>
        </w:rPr>
        <w:t>Pasiskirstymas</w:t>
      </w:r>
    </w:p>
    <w:p w14:paraId="4777EA4D" w14:textId="7A7EFE4D" w:rsidR="004364B8" w:rsidRDefault="004364B8" w:rsidP="004364B8">
      <w:pPr>
        <w:rPr>
          <w:szCs w:val="22"/>
        </w:rPr>
      </w:pPr>
      <w:r>
        <w:rPr>
          <w:szCs w:val="22"/>
        </w:rPr>
        <w:t>Fulvestrantas pasiskirsto ekstensyviai ir greitai. Didelis šios medžiagos tariamasis pasiskirstymo tūris nusistovėjus pusiausvyrinei apykaitai (Vd</w:t>
      </w:r>
      <w:r>
        <w:rPr>
          <w:szCs w:val="22"/>
          <w:vertAlign w:val="subscript"/>
        </w:rPr>
        <w:t>ss</w:t>
      </w:r>
      <w:r>
        <w:rPr>
          <w:szCs w:val="22"/>
        </w:rPr>
        <w:t xml:space="preserve"> maždaug 3</w:t>
      </w:r>
      <w:r w:rsidR="00153369">
        <w:rPr>
          <w:szCs w:val="22"/>
        </w:rPr>
        <w:noBreakHyphen/>
      </w:r>
      <w:r>
        <w:rPr>
          <w:szCs w:val="22"/>
        </w:rPr>
        <w:t>5</w:t>
      </w:r>
      <w:r w:rsidR="00153369">
        <w:rPr>
          <w:szCs w:val="22"/>
        </w:rPr>
        <w:t> </w:t>
      </w:r>
      <w:r>
        <w:rPr>
          <w:szCs w:val="22"/>
        </w:rPr>
        <w:t>l/kg) rodo didelės jo dalies pasiskirstymą už kraujagyslių ribų. Daug (99</w:t>
      </w:r>
      <w:r w:rsidR="000F2959">
        <w:rPr>
          <w:szCs w:val="22"/>
        </w:rPr>
        <w:t> </w:t>
      </w:r>
      <w:r>
        <w:rPr>
          <w:szCs w:val="22"/>
        </w:rPr>
        <w:t xml:space="preserve">%) fulvestranto būna prisijungusio prie plazmos baltymų, daugiausiai – </w:t>
      </w:r>
      <w:r>
        <w:rPr>
          <w:szCs w:val="22"/>
        </w:rPr>
        <w:lastRenderedPageBreak/>
        <w:t>prie labai mažo tankio lipoproteino (LMTL), mažo tankio lipoproteino (MTL) ir didelio tankio lipoproteino (DTL) frakcijų. Su konkurenciniu prisijungimu prie baltymų susijusios sąveikos su kitais vaistiniais preparatais tyrimų neatlikta. Lytinius hormonus prijungiančio globulino (ang</w:t>
      </w:r>
      <w:r w:rsidR="007E74A4">
        <w:rPr>
          <w:szCs w:val="22"/>
        </w:rPr>
        <w:t>l</w:t>
      </w:r>
      <w:r>
        <w:rPr>
          <w:szCs w:val="22"/>
        </w:rPr>
        <w:t xml:space="preserve">. </w:t>
      </w:r>
      <w:r>
        <w:rPr>
          <w:i/>
          <w:szCs w:val="22"/>
        </w:rPr>
        <w:t>Sex hormone binding globuline</w:t>
      </w:r>
      <w:r>
        <w:rPr>
          <w:szCs w:val="22"/>
        </w:rPr>
        <w:t>, SHBG) vaidmuo nenustatytas.</w:t>
      </w:r>
    </w:p>
    <w:p w14:paraId="5E647685" w14:textId="77777777" w:rsidR="004364B8" w:rsidRDefault="004364B8" w:rsidP="004364B8">
      <w:pPr>
        <w:rPr>
          <w:szCs w:val="22"/>
        </w:rPr>
      </w:pPr>
    </w:p>
    <w:p w14:paraId="4F23B165" w14:textId="77777777" w:rsidR="004364B8" w:rsidRDefault="004364B8" w:rsidP="004364B8">
      <w:pPr>
        <w:rPr>
          <w:szCs w:val="22"/>
          <w:u w:val="single"/>
        </w:rPr>
      </w:pPr>
      <w:r>
        <w:rPr>
          <w:szCs w:val="22"/>
          <w:u w:val="single"/>
        </w:rPr>
        <w:t>Biotransformacija</w:t>
      </w:r>
    </w:p>
    <w:p w14:paraId="27594ACE" w14:textId="77777777" w:rsidR="004364B8" w:rsidRDefault="004364B8" w:rsidP="004364B8">
      <w:pPr>
        <w:rPr>
          <w:szCs w:val="22"/>
        </w:rPr>
      </w:pPr>
      <w:r>
        <w:rPr>
          <w:szCs w:val="22"/>
        </w:rPr>
        <w:t xml:space="preserve">Fulvestranto metabolizmas iki galo neištirtas, tačiau nustatyta, kad jam būdingas įvairių galimų biotransformacijos būdų, tokių pačių kaip endogeninių steroidų, derinys. Modeliais antiestrogenų poveikiui tirti nustatyta, kad identifikuotų metabolitų (17-ketono, sulfono, 3-sulfato, 3- ir 17-glukuronido) aktyvumas yra panašus į nepakitusio fulvestranto arba mažesnis. Su žmogaus kepenų preparatais ir rekombinaciniais žmogaus fermentais atlikti tyrimai rodo, kad fulvestranto oksidacijoje dalyvauja tik vienas P450 sistemos izofermentas – CYP3A4, tačiau metabolizme </w:t>
      </w:r>
      <w:r>
        <w:rPr>
          <w:i/>
          <w:iCs/>
          <w:szCs w:val="22"/>
        </w:rPr>
        <w:t xml:space="preserve">in vivo </w:t>
      </w:r>
      <w:r>
        <w:rPr>
          <w:iCs/>
          <w:szCs w:val="22"/>
        </w:rPr>
        <w:t xml:space="preserve">labiau </w:t>
      </w:r>
      <w:r>
        <w:rPr>
          <w:szCs w:val="22"/>
        </w:rPr>
        <w:t xml:space="preserve">dominuoja su P450 nesusiję būdai. Tyrimų </w:t>
      </w:r>
      <w:r>
        <w:rPr>
          <w:i/>
          <w:iCs/>
          <w:szCs w:val="22"/>
        </w:rPr>
        <w:t xml:space="preserve">in vitro </w:t>
      </w:r>
      <w:r>
        <w:rPr>
          <w:szCs w:val="22"/>
        </w:rPr>
        <w:t>duomenimis, citochromo CYP450 izofermentų fulvestrantas neslopina.</w:t>
      </w:r>
    </w:p>
    <w:p w14:paraId="279795E2" w14:textId="77777777" w:rsidR="004364B8" w:rsidRDefault="004364B8" w:rsidP="004364B8">
      <w:pPr>
        <w:rPr>
          <w:szCs w:val="22"/>
        </w:rPr>
      </w:pPr>
    </w:p>
    <w:p w14:paraId="7D5DB8CB" w14:textId="77777777" w:rsidR="004364B8" w:rsidRDefault="004364B8" w:rsidP="004364B8">
      <w:pPr>
        <w:rPr>
          <w:szCs w:val="22"/>
          <w:u w:val="single"/>
        </w:rPr>
      </w:pPr>
      <w:r>
        <w:rPr>
          <w:szCs w:val="22"/>
          <w:u w:val="single"/>
        </w:rPr>
        <w:t>Eliminacija</w:t>
      </w:r>
    </w:p>
    <w:p w14:paraId="0F873EB5" w14:textId="77777777" w:rsidR="004364B8" w:rsidRDefault="004364B8" w:rsidP="004364B8">
      <w:pPr>
        <w:rPr>
          <w:szCs w:val="22"/>
        </w:rPr>
      </w:pPr>
      <w:r>
        <w:rPr>
          <w:szCs w:val="22"/>
        </w:rPr>
        <w:t>Fulvestrantas yra šalinamas daugiausia metabolizuota forma. Pagrindinis fulvestranto išskyrimo būdas yra šalinimas su išmatomis, mažiau kaip 1</w:t>
      </w:r>
      <w:r w:rsidR="000F2959">
        <w:rPr>
          <w:szCs w:val="22"/>
        </w:rPr>
        <w:t> </w:t>
      </w:r>
      <w:r>
        <w:rPr>
          <w:szCs w:val="22"/>
        </w:rPr>
        <w:t>% vaistinio preparato išskiriama su šlapimu. Didelis fulvestranto klirensas (11±1,7</w:t>
      </w:r>
      <w:r w:rsidR="00153369">
        <w:rPr>
          <w:szCs w:val="22"/>
        </w:rPr>
        <w:t> </w:t>
      </w:r>
      <w:r>
        <w:rPr>
          <w:szCs w:val="22"/>
        </w:rPr>
        <w:t>ml/min./kg) rodo didelę kepeninės ekstrakcijos proporciją. Galutinį pusinio gyvavimo laiką (</w:t>
      </w:r>
      <w:r w:rsidRPr="00BA1D9E">
        <w:t>t</w:t>
      </w:r>
      <w:r>
        <w:rPr>
          <w:szCs w:val="22"/>
          <w:vertAlign w:val="subscript"/>
        </w:rPr>
        <w:t>1/2</w:t>
      </w:r>
      <w:r>
        <w:rPr>
          <w:szCs w:val="22"/>
        </w:rPr>
        <w:t>) po injekcijos į raumenis apsprendžia absorbcijos greitis (apskaičiavimo duomenimis jis lygus 50</w:t>
      </w:r>
      <w:r w:rsidR="00884A16">
        <w:rPr>
          <w:szCs w:val="22"/>
        </w:rPr>
        <w:t> </w:t>
      </w:r>
      <w:r>
        <w:rPr>
          <w:szCs w:val="22"/>
        </w:rPr>
        <w:t>dienų).</w:t>
      </w:r>
    </w:p>
    <w:p w14:paraId="527D5C13" w14:textId="77777777" w:rsidR="004364B8" w:rsidRDefault="004364B8" w:rsidP="004364B8">
      <w:pPr>
        <w:rPr>
          <w:szCs w:val="22"/>
        </w:rPr>
      </w:pPr>
    </w:p>
    <w:p w14:paraId="2E423931" w14:textId="77777777" w:rsidR="004364B8" w:rsidRDefault="004364B8" w:rsidP="004364B8">
      <w:pPr>
        <w:rPr>
          <w:szCs w:val="22"/>
          <w:u w:val="single"/>
        </w:rPr>
      </w:pPr>
      <w:r>
        <w:rPr>
          <w:szCs w:val="22"/>
          <w:u w:val="single"/>
        </w:rPr>
        <w:t>Ypatingos populiacijos</w:t>
      </w:r>
    </w:p>
    <w:p w14:paraId="3D98E30B" w14:textId="77777777" w:rsidR="004364B8" w:rsidRDefault="004364B8" w:rsidP="004364B8">
      <w:pPr>
        <w:rPr>
          <w:szCs w:val="22"/>
        </w:rPr>
      </w:pPr>
      <w:r>
        <w:rPr>
          <w:szCs w:val="22"/>
        </w:rPr>
        <w:t>III fazės tyrimų metu gautų farmakokinetikos duomenų populiacinė analizė su amžiumi (33</w:t>
      </w:r>
      <w:r w:rsidR="00884A16">
        <w:rPr>
          <w:szCs w:val="22"/>
        </w:rPr>
        <w:noBreakHyphen/>
      </w:r>
      <w:r>
        <w:rPr>
          <w:szCs w:val="22"/>
        </w:rPr>
        <w:t>89</w:t>
      </w:r>
      <w:r w:rsidR="00884A16">
        <w:rPr>
          <w:szCs w:val="22"/>
        </w:rPr>
        <w:t> </w:t>
      </w:r>
      <w:r>
        <w:rPr>
          <w:szCs w:val="22"/>
        </w:rPr>
        <w:t>metų), svoriu (40</w:t>
      </w:r>
      <w:r w:rsidR="00884A16">
        <w:rPr>
          <w:szCs w:val="22"/>
        </w:rPr>
        <w:noBreakHyphen/>
      </w:r>
      <w:r>
        <w:rPr>
          <w:szCs w:val="22"/>
        </w:rPr>
        <w:t>127</w:t>
      </w:r>
      <w:r w:rsidR="00884A16">
        <w:rPr>
          <w:szCs w:val="22"/>
        </w:rPr>
        <w:t> </w:t>
      </w:r>
      <w:r>
        <w:rPr>
          <w:szCs w:val="22"/>
        </w:rPr>
        <w:t>kg) ar rase susijusių fulvestranto farmakokinetikos charakteristikos skirtumų neparodė.</w:t>
      </w:r>
    </w:p>
    <w:p w14:paraId="2D4AF976" w14:textId="77777777" w:rsidR="004364B8" w:rsidRDefault="004364B8" w:rsidP="004364B8">
      <w:pPr>
        <w:rPr>
          <w:szCs w:val="22"/>
        </w:rPr>
      </w:pPr>
    </w:p>
    <w:p w14:paraId="3050DCE4" w14:textId="77777777" w:rsidR="004364B8" w:rsidRPr="0077444B" w:rsidRDefault="004364B8" w:rsidP="004364B8">
      <w:pPr>
        <w:rPr>
          <w:i/>
        </w:rPr>
      </w:pPr>
      <w:r w:rsidRPr="0077444B">
        <w:rPr>
          <w:i/>
        </w:rPr>
        <w:t>Sutrikusi inkstų funkcija</w:t>
      </w:r>
    </w:p>
    <w:p w14:paraId="2936D312" w14:textId="77777777" w:rsidR="004364B8" w:rsidRDefault="004364B8" w:rsidP="004364B8">
      <w:pPr>
        <w:rPr>
          <w:szCs w:val="22"/>
        </w:rPr>
      </w:pPr>
      <w:r>
        <w:rPr>
          <w:szCs w:val="22"/>
        </w:rPr>
        <w:t>Lengvas ar vidutinio sunkumo inkstų funkcijos sutrikimas jokiu kliniškai reikšmingu laipsniu įtakos fulvestranto farmakokinetikai nedarė.</w:t>
      </w:r>
    </w:p>
    <w:p w14:paraId="374C34E1" w14:textId="77777777" w:rsidR="004364B8" w:rsidRDefault="004364B8" w:rsidP="004364B8">
      <w:pPr>
        <w:rPr>
          <w:iCs/>
          <w:szCs w:val="22"/>
          <w:u w:val="single"/>
        </w:rPr>
      </w:pPr>
    </w:p>
    <w:p w14:paraId="01955F54" w14:textId="77777777" w:rsidR="004364B8" w:rsidRPr="0077444B" w:rsidRDefault="004364B8" w:rsidP="004364B8">
      <w:pPr>
        <w:rPr>
          <w:i/>
        </w:rPr>
      </w:pPr>
      <w:r w:rsidRPr="0077444B">
        <w:rPr>
          <w:i/>
        </w:rPr>
        <w:t>Sutrikusi kepenų funkcija</w:t>
      </w:r>
    </w:p>
    <w:p w14:paraId="5A76C6D9" w14:textId="76B27CBE" w:rsidR="004364B8" w:rsidRDefault="004364B8" w:rsidP="004364B8">
      <w:pPr>
        <w:rPr>
          <w:szCs w:val="22"/>
        </w:rPr>
      </w:pPr>
      <w:r>
        <w:rPr>
          <w:szCs w:val="22"/>
        </w:rPr>
        <w:t>Klinikinio tyrimo, kuriame dalyvavusi</w:t>
      </w:r>
      <w:r w:rsidR="004B0F84">
        <w:rPr>
          <w:szCs w:val="22"/>
        </w:rPr>
        <w:t>oms moterims</w:t>
      </w:r>
      <w:r>
        <w:rPr>
          <w:szCs w:val="22"/>
        </w:rPr>
        <w:t xml:space="preserve"> buvo lengvas ar vidutinio sunkumo kepenų funkcijos sutrikimas (A ir B klasės pagal Child-Pugh) metu įvertinta vienos fulvestranto dozės farmakokinetika. Vartota didelė trumpesnio veikimo farmacinės formos, </w:t>
      </w:r>
      <w:r w:rsidR="00DF6BF8">
        <w:rPr>
          <w:szCs w:val="22"/>
        </w:rPr>
        <w:t xml:space="preserve">leidžiamos </w:t>
      </w:r>
      <w:r>
        <w:rPr>
          <w:szCs w:val="22"/>
        </w:rPr>
        <w:t xml:space="preserve">į raumenis, dozė. </w:t>
      </w:r>
      <w:r w:rsidR="004B0F84">
        <w:rPr>
          <w:szCs w:val="22"/>
        </w:rPr>
        <w:t>Moterų</w:t>
      </w:r>
      <w:r>
        <w:rPr>
          <w:szCs w:val="22"/>
        </w:rPr>
        <w:t xml:space="preserve">, </w:t>
      </w:r>
      <w:r w:rsidR="004B0F84">
        <w:rPr>
          <w:szCs w:val="22"/>
        </w:rPr>
        <w:t xml:space="preserve">kurioms </w:t>
      </w:r>
      <w:r>
        <w:rPr>
          <w:szCs w:val="22"/>
        </w:rPr>
        <w:t>yra kepenų funkcijos sutrikimas, AUC buvo maždaug iki 2,5</w:t>
      </w:r>
      <w:r w:rsidR="00884A16">
        <w:rPr>
          <w:szCs w:val="22"/>
        </w:rPr>
        <w:t> </w:t>
      </w:r>
      <w:r>
        <w:rPr>
          <w:szCs w:val="22"/>
        </w:rPr>
        <w:t xml:space="preserve">karto didesnis, palyginti su </w:t>
      </w:r>
      <w:r w:rsidR="004B0F84">
        <w:rPr>
          <w:szCs w:val="22"/>
        </w:rPr>
        <w:t>sveikomis moterimis</w:t>
      </w:r>
      <w:r>
        <w:rPr>
          <w:szCs w:val="22"/>
        </w:rPr>
        <w:t xml:space="preserve">. Tikėtina, kad fulvestranto </w:t>
      </w:r>
      <w:r w:rsidR="004B0F84">
        <w:rPr>
          <w:szCs w:val="22"/>
        </w:rPr>
        <w:t>vartoja</w:t>
      </w:r>
      <w:r w:rsidR="00D27D42">
        <w:rPr>
          <w:szCs w:val="22"/>
        </w:rPr>
        <w:t>n</w:t>
      </w:r>
      <w:r w:rsidR="004B0F84">
        <w:rPr>
          <w:szCs w:val="22"/>
        </w:rPr>
        <w:t xml:space="preserve">čios pacientės </w:t>
      </w:r>
      <w:r>
        <w:rPr>
          <w:szCs w:val="22"/>
        </w:rPr>
        <w:t xml:space="preserve">tokio dydžio ekspozicijos padidėjimą turėtų toleruoti gerai. Tyrimų su </w:t>
      </w:r>
      <w:r w:rsidR="004B0F84">
        <w:rPr>
          <w:szCs w:val="22"/>
        </w:rPr>
        <w:t>moterimis</w:t>
      </w:r>
      <w:r>
        <w:rPr>
          <w:szCs w:val="22"/>
        </w:rPr>
        <w:t>, kuri</w:t>
      </w:r>
      <w:r w:rsidR="004B0F84">
        <w:rPr>
          <w:szCs w:val="22"/>
        </w:rPr>
        <w:t>oms</w:t>
      </w:r>
      <w:r>
        <w:rPr>
          <w:szCs w:val="22"/>
        </w:rPr>
        <w:t xml:space="preserve"> yra sunkus kepenų funkcijos sutrikimas (C klasės pagal Child-Pugh) neatlikta.</w:t>
      </w:r>
    </w:p>
    <w:p w14:paraId="19B7488E" w14:textId="77777777" w:rsidR="004364B8" w:rsidRDefault="004364B8" w:rsidP="004364B8">
      <w:pPr>
        <w:rPr>
          <w:szCs w:val="22"/>
        </w:rPr>
      </w:pPr>
    </w:p>
    <w:p w14:paraId="276726BC" w14:textId="77777777" w:rsidR="004364B8" w:rsidRDefault="004364B8" w:rsidP="004364B8">
      <w:pPr>
        <w:rPr>
          <w:i/>
          <w:szCs w:val="22"/>
        </w:rPr>
      </w:pPr>
      <w:r>
        <w:rPr>
          <w:i/>
          <w:szCs w:val="22"/>
        </w:rPr>
        <w:t>Vaikų populiacija</w:t>
      </w:r>
    </w:p>
    <w:p w14:paraId="3B45C826" w14:textId="77777777" w:rsidR="004364B8" w:rsidRDefault="004364B8" w:rsidP="004364B8">
      <w:pPr>
        <w:rPr>
          <w:szCs w:val="22"/>
        </w:rPr>
      </w:pPr>
      <w:r>
        <w:rPr>
          <w:szCs w:val="22"/>
        </w:rPr>
        <w:t xml:space="preserve">Fulvestranto farmakokinetika buvo įvertinta klinikinio tyrimo, kuriame dalyvavusioms 30 mergaičių buvo nustatytas progresuojantis priešlaikinis brendimas, susijęs su </w:t>
      </w:r>
      <w:r>
        <w:rPr>
          <w:i/>
          <w:szCs w:val="22"/>
        </w:rPr>
        <w:t>McCune Albright</w:t>
      </w:r>
      <w:r>
        <w:rPr>
          <w:szCs w:val="22"/>
        </w:rPr>
        <w:t xml:space="preserve"> sindromu, metu (žr. 5.1 skyrių). Pediatrinio amžiaus (nuo 1 iki 8 metų) pacientėms kas mėnesį buvo leidžiama po 4</w:t>
      </w:r>
      <w:r w:rsidR="00884A16">
        <w:rPr>
          <w:szCs w:val="22"/>
        </w:rPr>
        <w:t> </w:t>
      </w:r>
      <w:r>
        <w:rPr>
          <w:szCs w:val="22"/>
        </w:rPr>
        <w:t>mg/kg fulvestranto į raumenis. Minimalios koncentracijos esant pusiausvyrinei apykaitai (C</w:t>
      </w:r>
      <w:r>
        <w:rPr>
          <w:szCs w:val="22"/>
          <w:vertAlign w:val="subscript"/>
        </w:rPr>
        <w:t>min,ss</w:t>
      </w:r>
      <w:r>
        <w:rPr>
          <w:szCs w:val="22"/>
        </w:rPr>
        <w:t>) geometrinis vidurkis (standartinis nuokrypis) buvo 4,2 (0,9) ng/ml ir AUC</w:t>
      </w:r>
      <w:r>
        <w:rPr>
          <w:szCs w:val="22"/>
          <w:vertAlign w:val="subscript"/>
        </w:rPr>
        <w:t>ss</w:t>
      </w:r>
      <w:r>
        <w:rPr>
          <w:szCs w:val="22"/>
        </w:rPr>
        <w:t xml:space="preserve"> – 3680 (1020) ng*val./ml. Nors duomenų gauta nedaug, tačiau jie rodo, kad fulvestranto minimalios koncentracijos esant pusiausvyrinei apykaitai vaikams atitinka nustatytas suaugusiesiems</w:t>
      </w:r>
    </w:p>
    <w:p w14:paraId="7F1C2913" w14:textId="77777777" w:rsidR="004364B8" w:rsidRDefault="004364B8" w:rsidP="004364B8">
      <w:pPr>
        <w:rPr>
          <w:b/>
          <w:bCs/>
          <w:szCs w:val="22"/>
        </w:rPr>
      </w:pPr>
    </w:p>
    <w:p w14:paraId="7660C4D8" w14:textId="77777777" w:rsidR="004364B8" w:rsidRDefault="004364B8" w:rsidP="00BA1D9E">
      <w:pPr>
        <w:tabs>
          <w:tab w:val="left" w:pos="567"/>
        </w:tabs>
        <w:rPr>
          <w:b/>
          <w:bCs/>
          <w:szCs w:val="22"/>
        </w:rPr>
      </w:pPr>
      <w:r>
        <w:rPr>
          <w:b/>
          <w:bCs/>
          <w:szCs w:val="22"/>
        </w:rPr>
        <w:t>5.3</w:t>
      </w:r>
      <w:r>
        <w:rPr>
          <w:b/>
          <w:bCs/>
          <w:szCs w:val="22"/>
        </w:rPr>
        <w:tab/>
        <w:t>Ikiklinikinių saugumo tyrimų duomenys</w:t>
      </w:r>
    </w:p>
    <w:p w14:paraId="796C97EA" w14:textId="77777777" w:rsidR="004364B8" w:rsidRDefault="004364B8" w:rsidP="004364B8">
      <w:pPr>
        <w:rPr>
          <w:szCs w:val="22"/>
        </w:rPr>
      </w:pPr>
    </w:p>
    <w:p w14:paraId="560CD92D" w14:textId="77777777" w:rsidR="004364B8" w:rsidRDefault="004364B8" w:rsidP="004364B8">
      <w:pPr>
        <w:rPr>
          <w:szCs w:val="22"/>
        </w:rPr>
      </w:pPr>
      <w:r>
        <w:rPr>
          <w:szCs w:val="22"/>
        </w:rPr>
        <w:t>Fulvestranto ūminis toksinis poveikis yra mažas.</w:t>
      </w:r>
    </w:p>
    <w:p w14:paraId="45F48636" w14:textId="38686B74" w:rsidR="004364B8" w:rsidRDefault="004364B8" w:rsidP="004364B8">
      <w:pPr>
        <w:rPr>
          <w:szCs w:val="22"/>
        </w:rPr>
      </w:pPr>
      <w:r>
        <w:rPr>
          <w:szCs w:val="22"/>
        </w:rPr>
        <w:t xml:space="preserve">Gyvūnai gerai toleravo fulvestranto ir kitų farmacinių fulvestranto formų daugkartines dozes. Lokalios reakcijos (miozitas ir granulomos injekcijos vietoje) buvo susijusios su pagalbinėmis medžiagomis, tačiau triušiams fulvestrantas sukėlė sunkesnį miozitą, negu kontrolinis natrio chlorido tirpalas. Tiriant daug kartų į raumenis </w:t>
      </w:r>
      <w:r w:rsidR="00DF6BF8">
        <w:rPr>
          <w:szCs w:val="22"/>
        </w:rPr>
        <w:t xml:space="preserve">leidžiamo </w:t>
      </w:r>
      <w:r>
        <w:rPr>
          <w:szCs w:val="22"/>
        </w:rPr>
        <w:t xml:space="preserve">fulvestranto toksiškumą žiurkėms ir šunims, </w:t>
      </w:r>
      <w:r>
        <w:rPr>
          <w:szCs w:val="22"/>
        </w:rPr>
        <w:lastRenderedPageBreak/>
        <w:t>daugumą pastebėtų pokyčių (labiausiai – patelių lytinei sistemai, bet taip pat kitiems hormonams jautriems abiejų lyčių organams) pasireiškė dėl fulvestranto antiestrogeninio aktyvumo. Ilgai (12</w:t>
      </w:r>
      <w:r w:rsidR="00884A16">
        <w:rPr>
          <w:szCs w:val="22"/>
        </w:rPr>
        <w:t> </w:t>
      </w:r>
      <w:r>
        <w:rPr>
          <w:szCs w:val="22"/>
        </w:rPr>
        <w:t>mėn.) davus šio vaistinio preparato kai kuriems šunims  įvairiuose audiniuose pastebėtas arteritas.</w:t>
      </w:r>
    </w:p>
    <w:p w14:paraId="50CDB0EA" w14:textId="77777777" w:rsidR="004364B8" w:rsidRDefault="004364B8" w:rsidP="004364B8">
      <w:pPr>
        <w:rPr>
          <w:szCs w:val="22"/>
        </w:rPr>
      </w:pPr>
      <w:r>
        <w:rPr>
          <w:szCs w:val="22"/>
        </w:rPr>
        <w:t xml:space="preserve">Tyrimų metu skiriant fulvestranto </w:t>
      </w:r>
      <w:r>
        <w:rPr>
          <w:iCs/>
          <w:szCs w:val="22"/>
        </w:rPr>
        <w:t>per virškinimo traktą</w:t>
      </w:r>
      <w:r>
        <w:rPr>
          <w:szCs w:val="22"/>
        </w:rPr>
        <w:t xml:space="preserve"> ir į veną, pastebėta poveikių šunų širdies ir kraujagyslių sistemai: nežymus ST segmento EKG pakilimas (</w:t>
      </w:r>
      <w:r>
        <w:rPr>
          <w:iCs/>
          <w:szCs w:val="22"/>
        </w:rPr>
        <w:t>per virškinimo traktą</w:t>
      </w:r>
      <w:r>
        <w:rPr>
          <w:szCs w:val="22"/>
        </w:rPr>
        <w:t>) bei (vienam šuniui) sinusinio mazgo veiklos sustojimas (į veną). Šių sutrikimų gyvūnams pasireiškė tada, kai fulvestranto ekspozicija buvo didesnė negu pacientėms (C</w:t>
      </w:r>
      <w:r>
        <w:rPr>
          <w:szCs w:val="22"/>
          <w:vertAlign w:val="subscript"/>
        </w:rPr>
        <w:t>max</w:t>
      </w:r>
      <w:r>
        <w:rPr>
          <w:szCs w:val="22"/>
        </w:rPr>
        <w:t xml:space="preserve"> – daugiau kaip 15</w:t>
      </w:r>
      <w:r w:rsidR="00884A16">
        <w:rPr>
          <w:szCs w:val="22"/>
        </w:rPr>
        <w:t> </w:t>
      </w:r>
      <w:r>
        <w:rPr>
          <w:szCs w:val="22"/>
        </w:rPr>
        <w:t>kartų) ir tikriausiai jų reikšmingumas klinikinę dozę vartojančio žmogaus saugumui yra ribotas.</w:t>
      </w:r>
    </w:p>
    <w:p w14:paraId="7E08DF0A" w14:textId="77777777" w:rsidR="004364B8" w:rsidRDefault="004364B8" w:rsidP="004364B8">
      <w:pPr>
        <w:rPr>
          <w:szCs w:val="22"/>
        </w:rPr>
      </w:pPr>
      <w:r>
        <w:rPr>
          <w:szCs w:val="22"/>
        </w:rPr>
        <w:t>Fulvestrantas neparodė genotoksinio potencialo.</w:t>
      </w:r>
    </w:p>
    <w:p w14:paraId="35618143" w14:textId="77777777" w:rsidR="004364B8" w:rsidRDefault="004364B8" w:rsidP="004364B8">
      <w:pPr>
        <w:rPr>
          <w:szCs w:val="22"/>
        </w:rPr>
      </w:pPr>
      <w:r>
        <w:rPr>
          <w:szCs w:val="22"/>
        </w:rPr>
        <w:t xml:space="preserve">Panašiomis į gydomąją dozėmis duotas fulvestrantas veikė reprodukciją ir embriono (vaisiaus) vystymąsi taip, kaip ir reikėtų tikėtis žinant apie jo antiestrogeninį aktyvumą. Žiurkėms pastebėtas laikinas patelių vaisingumo sumažėjimas, embrionų išgyvenamumo sumažėjimas, distocija, vaisiaus apsigimimų, įskaitant čiurnos linkį, padažnėjimas. Duodant fulvestranto triušių patelėms, nutrūkdavo vaikingumas. Padidėjo placentų svoris, padažnėjo embrionų žuvimas po implantacijos. Triušių vaisiams padaugėjo anatominių variacijų (dubens lanko ir 27 presakralinio slankstelio pasislinkimas atgal). </w:t>
      </w:r>
    </w:p>
    <w:p w14:paraId="78A8C047" w14:textId="18EF004F" w:rsidR="004364B8" w:rsidRDefault="004364B8" w:rsidP="004364B8">
      <w:pPr>
        <w:rPr>
          <w:szCs w:val="22"/>
        </w:rPr>
      </w:pPr>
      <w:r>
        <w:rPr>
          <w:szCs w:val="22"/>
        </w:rPr>
        <w:t>2</w:t>
      </w:r>
      <w:r w:rsidR="00884A16">
        <w:rPr>
          <w:szCs w:val="22"/>
        </w:rPr>
        <w:t> </w:t>
      </w:r>
      <w:r>
        <w:rPr>
          <w:szCs w:val="22"/>
        </w:rPr>
        <w:t xml:space="preserve">metų trukmės onkogeninio poveikio žiurkėms tyrimas, kurio metu fulvestranto </w:t>
      </w:r>
      <w:r w:rsidR="006E6402">
        <w:rPr>
          <w:szCs w:val="22"/>
        </w:rPr>
        <w:t xml:space="preserve">leista </w:t>
      </w:r>
      <w:r>
        <w:rPr>
          <w:szCs w:val="22"/>
        </w:rPr>
        <w:t>į raumenis, parodė kiaušidžių granulozinių ląstelių gerybinių navikų padažnėjimą didelės dozės (10</w:t>
      </w:r>
      <w:r w:rsidR="00884A16">
        <w:rPr>
          <w:szCs w:val="22"/>
        </w:rPr>
        <w:t> </w:t>
      </w:r>
      <w:r>
        <w:rPr>
          <w:szCs w:val="22"/>
        </w:rPr>
        <w:t>mg kas 15</w:t>
      </w:r>
      <w:r w:rsidR="00884A16">
        <w:rPr>
          <w:szCs w:val="22"/>
        </w:rPr>
        <w:t> </w:t>
      </w:r>
      <w:r>
        <w:rPr>
          <w:szCs w:val="22"/>
        </w:rPr>
        <w:t>dienų) grupės patelėms ir sėklidžių Leidigo ląstelių navikų padažnėjimą patinams. 2</w:t>
      </w:r>
      <w:r w:rsidR="00884A16">
        <w:rPr>
          <w:szCs w:val="22"/>
        </w:rPr>
        <w:t> </w:t>
      </w:r>
      <w:r>
        <w:rPr>
          <w:szCs w:val="22"/>
        </w:rPr>
        <w:t>metų onkogeninio poveikio tyrimo metu kasdien duodant šio vaistinio preparato pelėms per burną, 150</w:t>
      </w:r>
      <w:r w:rsidR="00884A16">
        <w:rPr>
          <w:szCs w:val="22"/>
        </w:rPr>
        <w:t> </w:t>
      </w:r>
      <w:r>
        <w:rPr>
          <w:szCs w:val="22"/>
        </w:rPr>
        <w:t>mg/kg ir 500</w:t>
      </w:r>
      <w:r w:rsidR="00884A16">
        <w:rPr>
          <w:szCs w:val="22"/>
        </w:rPr>
        <w:t> </w:t>
      </w:r>
      <w:r>
        <w:rPr>
          <w:szCs w:val="22"/>
        </w:rPr>
        <w:t>mg/kg paros dozių grupėse padažnėjo kiaušidžių stromos gerybinių ir piktybinių navikų. Esant poveikio (šių navikų padažnėjimo) nesukeliančioms koncentracijoms, sisteminė ekspozicija (AUC) žiurkėms atitiko maždaug 1,5 tikėtinos ekspozicijos moterims ir maždaug 0,8 tikėtinos ekspozicijos vyrams, o pelėms – maždaug 0,8 tikėtinos ekspozicijos žmonėms (vyrams ir moterims). Šių navikų padažnėjimas atitinka antiestrogenų sukeliamus farmakologinius endokrininio grįžtamojo ryšio pokyčius, gyvūnams pasireiškiančius pakitusiomis gonadotropinų koncentracijomis ciklo metu. Dėl to manoma, kad fulvestranto vartojimui progresavusiu krūties vėžiu sergančioms moterims po menopauzės šie duomenys yra nereikšmingi.</w:t>
      </w:r>
    </w:p>
    <w:p w14:paraId="7CE554EE" w14:textId="77777777" w:rsidR="004364B8" w:rsidRDefault="004364B8" w:rsidP="004364B8">
      <w:pPr>
        <w:rPr>
          <w:rFonts w:eastAsia="Calibri"/>
          <w:szCs w:val="22"/>
        </w:rPr>
      </w:pPr>
    </w:p>
    <w:p w14:paraId="04F83975" w14:textId="77777777" w:rsidR="004B0F84" w:rsidRPr="00901F66" w:rsidRDefault="004B0F84" w:rsidP="004B0F84">
      <w:pPr>
        <w:autoSpaceDE w:val="0"/>
        <w:autoSpaceDN w:val="0"/>
        <w:adjustRightInd w:val="0"/>
        <w:rPr>
          <w:rFonts w:eastAsia="Batang"/>
          <w:szCs w:val="22"/>
          <w:lang w:eastAsia="en-US"/>
        </w:rPr>
      </w:pPr>
      <w:r w:rsidRPr="00901F66">
        <w:rPr>
          <w:rFonts w:eastAsia="Batang"/>
          <w:szCs w:val="22"/>
          <w:lang w:eastAsia="en-US"/>
        </w:rPr>
        <w:t>Pavojaus aplinkai vertinimas (PAV)</w:t>
      </w:r>
    </w:p>
    <w:p w14:paraId="41C0EEE2" w14:textId="77777777" w:rsidR="004364B8" w:rsidRDefault="004B0F84" w:rsidP="00901F66">
      <w:pPr>
        <w:autoSpaceDE w:val="0"/>
        <w:autoSpaceDN w:val="0"/>
        <w:adjustRightInd w:val="0"/>
        <w:rPr>
          <w:rFonts w:eastAsia="Batang"/>
          <w:szCs w:val="22"/>
          <w:lang w:eastAsia="en-US"/>
        </w:rPr>
      </w:pPr>
      <w:r w:rsidRPr="00901F66">
        <w:rPr>
          <w:rFonts w:eastAsia="Batang"/>
          <w:szCs w:val="22"/>
          <w:lang w:eastAsia="en-US"/>
        </w:rPr>
        <w:t xml:space="preserve">Pavojaus aplinkai vertinimo tyrimai </w:t>
      </w:r>
      <w:r w:rsidRPr="00901F66">
        <w:rPr>
          <w:rFonts w:eastAsia="Batang" w:hint="eastAsia"/>
          <w:szCs w:val="22"/>
          <w:lang w:eastAsia="en-US"/>
        </w:rPr>
        <w:t>parodė,</w:t>
      </w:r>
      <w:r w:rsidRPr="00901F66">
        <w:rPr>
          <w:rFonts w:eastAsia="Batang"/>
          <w:szCs w:val="22"/>
          <w:lang w:eastAsia="en-US"/>
        </w:rPr>
        <w:t xml:space="preserve"> kad fulvestrantas gal</w:t>
      </w:r>
      <w:r w:rsidR="0010116D">
        <w:rPr>
          <w:rFonts w:eastAsia="Batang"/>
          <w:szCs w:val="22"/>
          <w:lang w:eastAsia="en-US"/>
        </w:rPr>
        <w:t>i būti p</w:t>
      </w:r>
      <w:r w:rsidR="00D27D42">
        <w:rPr>
          <w:rFonts w:eastAsia="Batang"/>
          <w:szCs w:val="22"/>
          <w:lang w:eastAsia="en-US"/>
        </w:rPr>
        <w:t>o</w:t>
      </w:r>
      <w:r w:rsidR="0010116D">
        <w:rPr>
          <w:rFonts w:eastAsia="Batang"/>
          <w:szCs w:val="22"/>
          <w:lang w:eastAsia="en-US"/>
        </w:rPr>
        <w:t>tencialus</w:t>
      </w:r>
      <w:r w:rsidRPr="00901F66">
        <w:rPr>
          <w:rFonts w:eastAsia="Batang"/>
          <w:szCs w:val="22"/>
          <w:lang w:eastAsia="en-US"/>
        </w:rPr>
        <w:t xml:space="preserve"> nepageidaujam</w:t>
      </w:r>
      <w:r w:rsidR="0010116D">
        <w:rPr>
          <w:rFonts w:eastAsia="Batang"/>
          <w:szCs w:val="22"/>
          <w:lang w:eastAsia="en-US"/>
        </w:rPr>
        <w:t>o</w:t>
      </w:r>
      <w:r w:rsidRPr="00901F66">
        <w:rPr>
          <w:rFonts w:eastAsia="Batang"/>
          <w:szCs w:val="22"/>
          <w:lang w:eastAsia="en-US"/>
        </w:rPr>
        <w:t xml:space="preserve"> poveik</w:t>
      </w:r>
      <w:r w:rsidR="0010116D">
        <w:rPr>
          <w:rFonts w:eastAsia="Batang"/>
          <w:szCs w:val="22"/>
          <w:lang w:eastAsia="en-US"/>
        </w:rPr>
        <w:t>io</w:t>
      </w:r>
      <w:r>
        <w:rPr>
          <w:rFonts w:eastAsia="Batang"/>
          <w:szCs w:val="22"/>
          <w:lang w:eastAsia="en-US"/>
        </w:rPr>
        <w:t xml:space="preserve"> </w:t>
      </w:r>
      <w:r w:rsidR="0010116D">
        <w:rPr>
          <w:rFonts w:eastAsia="Batang"/>
          <w:szCs w:val="22"/>
          <w:lang w:eastAsia="en-US"/>
        </w:rPr>
        <w:t>vandeninei terpei</w:t>
      </w:r>
      <w:r w:rsidRPr="00901F66">
        <w:rPr>
          <w:rFonts w:eastAsia="Batang"/>
          <w:szCs w:val="22"/>
          <w:lang w:eastAsia="en-US"/>
        </w:rPr>
        <w:t xml:space="preserve"> </w:t>
      </w:r>
      <w:r w:rsidR="0010116D">
        <w:rPr>
          <w:rFonts w:eastAsia="Batang"/>
          <w:szCs w:val="22"/>
          <w:lang w:eastAsia="en-US"/>
        </w:rPr>
        <w:t>sukėlėjas</w:t>
      </w:r>
      <w:r w:rsidRPr="00901F66">
        <w:rPr>
          <w:rFonts w:eastAsia="Batang" w:hint="eastAsia"/>
          <w:szCs w:val="22"/>
          <w:lang w:eastAsia="en-US"/>
        </w:rPr>
        <w:t xml:space="preserve"> (žr. 6.6 skyrių).</w:t>
      </w:r>
    </w:p>
    <w:p w14:paraId="2199227B" w14:textId="77777777" w:rsidR="004B0F84" w:rsidRDefault="004B0F84" w:rsidP="00901F66">
      <w:pPr>
        <w:autoSpaceDE w:val="0"/>
        <w:autoSpaceDN w:val="0"/>
        <w:adjustRightInd w:val="0"/>
        <w:rPr>
          <w:szCs w:val="22"/>
          <w:lang w:eastAsia="en-US"/>
        </w:rPr>
      </w:pPr>
    </w:p>
    <w:p w14:paraId="0ACC7C03" w14:textId="77777777" w:rsidR="0010116D" w:rsidRPr="004B0F84" w:rsidRDefault="0010116D" w:rsidP="009B558C">
      <w:pPr>
        <w:autoSpaceDE w:val="0"/>
        <w:autoSpaceDN w:val="0"/>
        <w:adjustRightInd w:val="0"/>
        <w:rPr>
          <w:szCs w:val="22"/>
          <w:lang w:eastAsia="en-US"/>
        </w:rPr>
      </w:pPr>
    </w:p>
    <w:p w14:paraId="61BE42D3" w14:textId="77777777" w:rsidR="004364B8" w:rsidRDefault="004364B8" w:rsidP="004364B8">
      <w:pPr>
        <w:ind w:left="540" w:hanging="540"/>
        <w:rPr>
          <w:b/>
          <w:szCs w:val="22"/>
          <w:lang w:eastAsia="en-US"/>
        </w:rPr>
      </w:pPr>
      <w:r>
        <w:rPr>
          <w:b/>
          <w:szCs w:val="22"/>
          <w:lang w:eastAsia="en-US"/>
        </w:rPr>
        <w:t>6.</w:t>
      </w:r>
      <w:r>
        <w:rPr>
          <w:b/>
          <w:szCs w:val="22"/>
          <w:lang w:eastAsia="en-US"/>
        </w:rPr>
        <w:tab/>
        <w:t>FARMACINĖ INFORMACIJA</w:t>
      </w:r>
    </w:p>
    <w:p w14:paraId="5B167A48" w14:textId="77777777" w:rsidR="004364B8" w:rsidRDefault="004364B8" w:rsidP="004364B8">
      <w:pPr>
        <w:rPr>
          <w:b/>
          <w:szCs w:val="22"/>
          <w:lang w:eastAsia="en-US"/>
        </w:rPr>
      </w:pPr>
    </w:p>
    <w:p w14:paraId="085E1000" w14:textId="77777777" w:rsidR="004364B8" w:rsidRDefault="004364B8" w:rsidP="004364B8">
      <w:pPr>
        <w:ind w:left="540" w:hanging="540"/>
        <w:rPr>
          <w:b/>
          <w:szCs w:val="22"/>
          <w:lang w:eastAsia="en-US"/>
        </w:rPr>
      </w:pPr>
      <w:r>
        <w:rPr>
          <w:b/>
          <w:szCs w:val="22"/>
          <w:lang w:eastAsia="en-US"/>
        </w:rPr>
        <w:t>6.1</w:t>
      </w:r>
      <w:r>
        <w:rPr>
          <w:b/>
          <w:szCs w:val="22"/>
          <w:lang w:eastAsia="en-US"/>
        </w:rPr>
        <w:tab/>
        <w:t>Pagalbinių medžiagų sąrašas</w:t>
      </w:r>
    </w:p>
    <w:p w14:paraId="1B987C6F" w14:textId="77777777" w:rsidR="004364B8" w:rsidRDefault="004364B8" w:rsidP="004364B8">
      <w:pPr>
        <w:rPr>
          <w:b/>
          <w:szCs w:val="22"/>
          <w:lang w:eastAsia="en-US"/>
        </w:rPr>
      </w:pPr>
    </w:p>
    <w:p w14:paraId="43EA7D26" w14:textId="77777777" w:rsidR="004364B8" w:rsidRDefault="004364B8" w:rsidP="004364B8">
      <w:pPr>
        <w:rPr>
          <w:szCs w:val="22"/>
          <w:lang w:eastAsia="en-US"/>
        </w:rPr>
      </w:pPr>
      <w:r>
        <w:rPr>
          <w:szCs w:val="22"/>
          <w:lang w:eastAsia="en-US"/>
        </w:rPr>
        <w:t>Etanolis (96 %)</w:t>
      </w:r>
    </w:p>
    <w:p w14:paraId="15CFF7F2" w14:textId="77777777" w:rsidR="004364B8" w:rsidRDefault="004364B8" w:rsidP="004364B8">
      <w:pPr>
        <w:rPr>
          <w:szCs w:val="22"/>
          <w:lang w:eastAsia="en-US"/>
        </w:rPr>
      </w:pPr>
      <w:r>
        <w:rPr>
          <w:szCs w:val="22"/>
          <w:lang w:eastAsia="en-US"/>
        </w:rPr>
        <w:t>Benzilo alkoholis</w:t>
      </w:r>
    </w:p>
    <w:p w14:paraId="6667A9EC" w14:textId="77777777" w:rsidR="004364B8" w:rsidRDefault="004364B8" w:rsidP="004364B8">
      <w:pPr>
        <w:rPr>
          <w:szCs w:val="22"/>
          <w:lang w:eastAsia="en-US"/>
        </w:rPr>
      </w:pPr>
      <w:r>
        <w:rPr>
          <w:szCs w:val="22"/>
          <w:lang w:eastAsia="en-US"/>
        </w:rPr>
        <w:t>Benzilbenzoatas</w:t>
      </w:r>
    </w:p>
    <w:p w14:paraId="31EEA69D" w14:textId="77777777" w:rsidR="004364B8" w:rsidRDefault="004364B8" w:rsidP="004364B8">
      <w:pPr>
        <w:rPr>
          <w:szCs w:val="22"/>
          <w:lang w:eastAsia="en-US"/>
        </w:rPr>
      </w:pPr>
      <w:r>
        <w:rPr>
          <w:szCs w:val="22"/>
          <w:lang w:eastAsia="en-US"/>
        </w:rPr>
        <w:t xml:space="preserve">Ricinos aliejus </w:t>
      </w:r>
    </w:p>
    <w:p w14:paraId="2B7AB3BF" w14:textId="77777777" w:rsidR="004364B8" w:rsidRDefault="004364B8" w:rsidP="004364B8">
      <w:pPr>
        <w:ind w:left="540" w:hanging="540"/>
        <w:rPr>
          <w:b/>
          <w:szCs w:val="22"/>
          <w:lang w:eastAsia="en-US"/>
        </w:rPr>
      </w:pPr>
    </w:p>
    <w:p w14:paraId="1D4E70A5" w14:textId="77777777" w:rsidR="004364B8" w:rsidRDefault="004364B8" w:rsidP="004364B8">
      <w:pPr>
        <w:ind w:left="540" w:hanging="540"/>
        <w:rPr>
          <w:b/>
          <w:szCs w:val="22"/>
          <w:lang w:eastAsia="en-US"/>
        </w:rPr>
      </w:pPr>
      <w:r>
        <w:rPr>
          <w:b/>
          <w:szCs w:val="22"/>
          <w:lang w:eastAsia="en-US"/>
        </w:rPr>
        <w:t>6.2</w:t>
      </w:r>
      <w:r>
        <w:rPr>
          <w:b/>
          <w:szCs w:val="22"/>
          <w:lang w:eastAsia="en-US"/>
        </w:rPr>
        <w:tab/>
        <w:t>Nesuderinamumas</w:t>
      </w:r>
    </w:p>
    <w:p w14:paraId="65441DA4" w14:textId="77777777" w:rsidR="004364B8" w:rsidRDefault="004364B8" w:rsidP="004364B8">
      <w:pPr>
        <w:rPr>
          <w:szCs w:val="22"/>
          <w:lang w:eastAsia="en-US"/>
        </w:rPr>
      </w:pPr>
    </w:p>
    <w:p w14:paraId="01320329" w14:textId="4272E398" w:rsidR="004364B8" w:rsidRDefault="004364B8" w:rsidP="004364B8">
      <w:pPr>
        <w:rPr>
          <w:szCs w:val="22"/>
          <w:lang w:eastAsia="en-US"/>
        </w:rPr>
      </w:pPr>
      <w:r>
        <w:rPr>
          <w:szCs w:val="22"/>
          <w:lang w:eastAsia="en-US"/>
        </w:rPr>
        <w:t xml:space="preserve">Suderinamumo tyrimų neatlikta, todėl </w:t>
      </w:r>
      <w:r>
        <w:rPr>
          <w:noProof/>
          <w:szCs w:val="24"/>
        </w:rPr>
        <w:t>šio vaistinio preparato maišyti su kitais negalima</w:t>
      </w:r>
      <w:r>
        <w:rPr>
          <w:szCs w:val="22"/>
          <w:lang w:eastAsia="en-US"/>
        </w:rPr>
        <w:t>.</w:t>
      </w:r>
    </w:p>
    <w:p w14:paraId="76AFE28E" w14:textId="77777777" w:rsidR="004364B8" w:rsidRDefault="004364B8" w:rsidP="004364B8">
      <w:pPr>
        <w:rPr>
          <w:szCs w:val="22"/>
          <w:lang w:eastAsia="en-US"/>
        </w:rPr>
      </w:pPr>
    </w:p>
    <w:p w14:paraId="5493574C" w14:textId="77777777" w:rsidR="004364B8" w:rsidRDefault="004364B8" w:rsidP="004364B8">
      <w:pPr>
        <w:ind w:left="540" w:hanging="540"/>
        <w:rPr>
          <w:b/>
          <w:szCs w:val="22"/>
          <w:lang w:eastAsia="en-US"/>
        </w:rPr>
      </w:pPr>
      <w:r>
        <w:rPr>
          <w:b/>
          <w:szCs w:val="22"/>
          <w:lang w:eastAsia="en-US"/>
        </w:rPr>
        <w:t>6.3</w:t>
      </w:r>
      <w:r>
        <w:rPr>
          <w:b/>
          <w:szCs w:val="22"/>
          <w:lang w:eastAsia="en-US"/>
        </w:rPr>
        <w:tab/>
        <w:t>Tinkamumo laikas</w:t>
      </w:r>
    </w:p>
    <w:p w14:paraId="3388F1C6" w14:textId="77777777" w:rsidR="004364B8" w:rsidRDefault="004364B8" w:rsidP="004364B8">
      <w:pPr>
        <w:rPr>
          <w:b/>
          <w:szCs w:val="22"/>
          <w:lang w:eastAsia="en-US"/>
        </w:rPr>
      </w:pPr>
    </w:p>
    <w:p w14:paraId="27B019BD" w14:textId="77777777" w:rsidR="004364B8" w:rsidRDefault="004364B8" w:rsidP="004364B8">
      <w:pPr>
        <w:rPr>
          <w:szCs w:val="22"/>
          <w:lang w:eastAsia="en-US"/>
        </w:rPr>
      </w:pPr>
      <w:r>
        <w:rPr>
          <w:szCs w:val="22"/>
          <w:lang w:eastAsia="en-US"/>
        </w:rPr>
        <w:t>2 metai.</w:t>
      </w:r>
    </w:p>
    <w:p w14:paraId="29D83536" w14:textId="77777777" w:rsidR="004364B8" w:rsidRDefault="004364B8" w:rsidP="004364B8">
      <w:pPr>
        <w:rPr>
          <w:szCs w:val="22"/>
          <w:lang w:eastAsia="en-US"/>
        </w:rPr>
      </w:pPr>
    </w:p>
    <w:p w14:paraId="667E3261" w14:textId="77777777" w:rsidR="004364B8" w:rsidRDefault="004364B8" w:rsidP="004364B8">
      <w:pPr>
        <w:ind w:left="540" w:hanging="540"/>
        <w:rPr>
          <w:b/>
          <w:szCs w:val="22"/>
          <w:lang w:eastAsia="en-US"/>
        </w:rPr>
      </w:pPr>
      <w:r>
        <w:rPr>
          <w:b/>
          <w:szCs w:val="22"/>
          <w:lang w:eastAsia="en-US"/>
        </w:rPr>
        <w:t>6.4</w:t>
      </w:r>
      <w:r>
        <w:rPr>
          <w:b/>
          <w:szCs w:val="22"/>
          <w:lang w:eastAsia="en-US"/>
        </w:rPr>
        <w:tab/>
        <w:t>Specialiosios laikymo sąlygos</w:t>
      </w:r>
    </w:p>
    <w:p w14:paraId="125FA44F" w14:textId="77777777" w:rsidR="004364B8" w:rsidRDefault="004364B8" w:rsidP="004364B8">
      <w:pPr>
        <w:autoSpaceDE w:val="0"/>
        <w:autoSpaceDN w:val="0"/>
        <w:adjustRightInd w:val="0"/>
        <w:rPr>
          <w:rFonts w:eastAsia="TimesNewRoman"/>
          <w:szCs w:val="22"/>
        </w:rPr>
      </w:pPr>
    </w:p>
    <w:p w14:paraId="3E8D03A2" w14:textId="19FAB9F6" w:rsidR="00EE7278" w:rsidRDefault="00EE7278" w:rsidP="00EE7278">
      <w:r w:rsidRPr="00153901">
        <w:t>Šiam vaistiniam preparatui specialių laikymo sąlygų nereikia</w:t>
      </w:r>
      <w:r w:rsidR="003D35D9">
        <w:t>.</w:t>
      </w:r>
    </w:p>
    <w:p w14:paraId="42D12482" w14:textId="77777777" w:rsidR="00EE7278" w:rsidRPr="00254259" w:rsidRDefault="00EE7278" w:rsidP="00B77163">
      <w:pPr>
        <w:autoSpaceDE w:val="0"/>
        <w:autoSpaceDN w:val="0"/>
        <w:adjustRightInd w:val="0"/>
        <w:rPr>
          <w:rFonts w:eastAsia="TimesNewRoman"/>
          <w:szCs w:val="22"/>
        </w:rPr>
      </w:pPr>
    </w:p>
    <w:p w14:paraId="501C2F7E" w14:textId="77777777" w:rsidR="00BD54D2" w:rsidRPr="0077444B" w:rsidRDefault="00BD54D2" w:rsidP="0077444B"/>
    <w:p w14:paraId="2561345D" w14:textId="77777777" w:rsidR="004364B8" w:rsidRDefault="004364B8" w:rsidP="004364B8">
      <w:pPr>
        <w:ind w:left="540" w:hanging="540"/>
        <w:rPr>
          <w:b/>
          <w:szCs w:val="22"/>
          <w:lang w:eastAsia="en-US"/>
        </w:rPr>
      </w:pPr>
      <w:r>
        <w:rPr>
          <w:b/>
          <w:szCs w:val="22"/>
          <w:lang w:eastAsia="en-US"/>
        </w:rPr>
        <w:t>6.5</w:t>
      </w:r>
      <w:r>
        <w:rPr>
          <w:b/>
          <w:szCs w:val="22"/>
          <w:lang w:eastAsia="en-US"/>
        </w:rPr>
        <w:tab/>
        <w:t>Talpyklės pobūdis ir jos turinys</w:t>
      </w:r>
    </w:p>
    <w:p w14:paraId="1D228F48" w14:textId="77777777" w:rsidR="004364B8" w:rsidRDefault="004364B8" w:rsidP="004364B8">
      <w:pPr>
        <w:rPr>
          <w:b/>
          <w:szCs w:val="22"/>
          <w:lang w:eastAsia="en-US"/>
        </w:rPr>
      </w:pPr>
    </w:p>
    <w:p w14:paraId="2D93FE51" w14:textId="6DED38AE" w:rsidR="004364B8" w:rsidRDefault="004364B8" w:rsidP="004364B8">
      <w:pPr>
        <w:rPr>
          <w:szCs w:val="22"/>
          <w:lang w:eastAsia="en-US"/>
        </w:rPr>
      </w:pPr>
      <w:r>
        <w:rPr>
          <w:szCs w:val="22"/>
          <w:lang w:eastAsia="en-US"/>
        </w:rPr>
        <w:t>Fulvestrant Sandoz yra tiekiamas viename ar dviejuose vienkartiniuose užpildytuose švirkštuose, susidedančiuose iš silikonizuoto I tipo stiklo korpuso, kuriame įmontuota:</w:t>
      </w:r>
      <w:r w:rsidR="00592C2B">
        <w:rPr>
          <w:szCs w:val="22"/>
          <w:lang w:eastAsia="en-US"/>
        </w:rPr>
        <w:t xml:space="preserve"> </w:t>
      </w:r>
      <w:r>
        <w:rPr>
          <w:szCs w:val="22"/>
          <w:lang w:eastAsia="en-US"/>
        </w:rPr>
        <w:t>uždarymo jungtis su pirmojo atidarymo kontrole,</w:t>
      </w:r>
      <w:r w:rsidR="00592C2B">
        <w:rPr>
          <w:szCs w:val="22"/>
          <w:lang w:eastAsia="en-US"/>
        </w:rPr>
        <w:t xml:space="preserve"> </w:t>
      </w:r>
      <w:r>
        <w:rPr>
          <w:szCs w:val="22"/>
          <w:lang w:eastAsia="en-US"/>
        </w:rPr>
        <w:t>silikonizuotos brombutilo gumos stūmoklis,</w:t>
      </w:r>
      <w:r w:rsidR="00592C2B">
        <w:rPr>
          <w:szCs w:val="22"/>
          <w:lang w:eastAsia="en-US"/>
        </w:rPr>
        <w:t xml:space="preserve"> </w:t>
      </w:r>
      <w:r>
        <w:rPr>
          <w:szCs w:val="22"/>
          <w:lang w:eastAsia="en-US"/>
        </w:rPr>
        <w:t>brombutilo/ sintetinės izopreno gumos antgalio dangtelis,</w:t>
      </w:r>
      <w:r w:rsidR="00592C2B">
        <w:rPr>
          <w:szCs w:val="22"/>
          <w:lang w:eastAsia="en-US"/>
        </w:rPr>
        <w:t xml:space="preserve"> </w:t>
      </w:r>
      <w:r>
        <w:rPr>
          <w:szCs w:val="22"/>
          <w:lang w:eastAsia="en-US"/>
        </w:rPr>
        <w:t>polistireninis stūmoklio kotas,</w:t>
      </w:r>
      <w:r w:rsidR="00592C2B">
        <w:rPr>
          <w:szCs w:val="22"/>
          <w:lang w:eastAsia="en-US"/>
        </w:rPr>
        <w:t xml:space="preserve"> </w:t>
      </w:r>
      <w:r>
        <w:rPr>
          <w:szCs w:val="22"/>
          <w:lang w:eastAsia="en-US"/>
        </w:rPr>
        <w:t>polipropileninis atbulinės eigos ribotuvas.</w:t>
      </w:r>
    </w:p>
    <w:p w14:paraId="219039AD" w14:textId="77777777" w:rsidR="004364B8" w:rsidRDefault="004364B8" w:rsidP="004364B8">
      <w:pPr>
        <w:rPr>
          <w:szCs w:val="22"/>
          <w:lang w:eastAsia="en-US"/>
        </w:rPr>
      </w:pPr>
      <w:r>
        <w:rPr>
          <w:szCs w:val="22"/>
          <w:lang w:eastAsia="en-US"/>
        </w:rPr>
        <w:t>Papildomai kiekvienas švirkštas yra tiekiamas su sterilia adata.</w:t>
      </w:r>
    </w:p>
    <w:p w14:paraId="350169EE" w14:textId="77777777" w:rsidR="004364B8" w:rsidRDefault="004364B8" w:rsidP="004364B8">
      <w:pPr>
        <w:rPr>
          <w:rFonts w:eastAsia="Calibri"/>
          <w:szCs w:val="22"/>
        </w:rPr>
      </w:pPr>
    </w:p>
    <w:p w14:paraId="12499F43" w14:textId="77777777" w:rsidR="004364B8" w:rsidRDefault="004364B8" w:rsidP="004364B8">
      <w:pPr>
        <w:rPr>
          <w:rFonts w:eastAsia="Calibri"/>
          <w:szCs w:val="22"/>
        </w:rPr>
      </w:pPr>
      <w:r>
        <w:rPr>
          <w:rFonts w:eastAsia="Calibri"/>
          <w:szCs w:val="22"/>
        </w:rPr>
        <w:t>Gali būti tiekiamos ne visų dydžių pakuotės.</w:t>
      </w:r>
    </w:p>
    <w:p w14:paraId="2D6F91FA" w14:textId="77777777" w:rsidR="004364B8" w:rsidRDefault="004364B8" w:rsidP="004364B8">
      <w:pPr>
        <w:rPr>
          <w:szCs w:val="22"/>
          <w:lang w:eastAsia="en-US"/>
        </w:rPr>
      </w:pPr>
    </w:p>
    <w:p w14:paraId="2C3FE5FC" w14:textId="77777777" w:rsidR="004364B8" w:rsidRDefault="004364B8" w:rsidP="004364B8">
      <w:pPr>
        <w:ind w:left="540" w:hanging="540"/>
        <w:rPr>
          <w:b/>
          <w:szCs w:val="22"/>
          <w:lang w:eastAsia="en-US"/>
        </w:rPr>
      </w:pPr>
      <w:r>
        <w:rPr>
          <w:b/>
          <w:szCs w:val="22"/>
          <w:lang w:eastAsia="en-US"/>
        </w:rPr>
        <w:t>6.6</w:t>
      </w:r>
      <w:r>
        <w:rPr>
          <w:b/>
          <w:szCs w:val="22"/>
          <w:lang w:eastAsia="en-US"/>
        </w:rPr>
        <w:tab/>
        <w:t>Specialūs reikalavimai atliekoms tvarkyti ir vaistiniam preparatui ruošti</w:t>
      </w:r>
    </w:p>
    <w:p w14:paraId="2A66B6EF" w14:textId="77777777" w:rsidR="004364B8" w:rsidRDefault="004364B8" w:rsidP="004364B8">
      <w:pPr>
        <w:rPr>
          <w:szCs w:val="22"/>
          <w:lang w:eastAsia="en-US"/>
        </w:rPr>
      </w:pPr>
    </w:p>
    <w:p w14:paraId="4184C61E" w14:textId="77777777" w:rsidR="004364B8" w:rsidRDefault="004364B8" w:rsidP="004364B8">
      <w:pPr>
        <w:rPr>
          <w:szCs w:val="22"/>
          <w:u w:val="single"/>
          <w:lang w:eastAsia="en-US"/>
        </w:rPr>
      </w:pPr>
      <w:r>
        <w:rPr>
          <w:szCs w:val="22"/>
          <w:u w:val="single"/>
          <w:lang w:eastAsia="en-US"/>
        </w:rPr>
        <w:t>Vartojimo instrukcijos</w:t>
      </w:r>
    </w:p>
    <w:p w14:paraId="1DB137D4" w14:textId="77777777" w:rsidR="0010116D" w:rsidRPr="00901F66" w:rsidRDefault="0010116D" w:rsidP="004364B8">
      <w:pPr>
        <w:rPr>
          <w:szCs w:val="22"/>
          <w:lang w:eastAsia="en-US"/>
        </w:rPr>
      </w:pPr>
      <w:r>
        <w:rPr>
          <w:szCs w:val="22"/>
          <w:lang w:eastAsia="en-US"/>
        </w:rPr>
        <w:t>Injekciją atlikite taip, kaip</w:t>
      </w:r>
      <w:r w:rsidRPr="0010116D">
        <w:rPr>
          <w:szCs w:val="22"/>
          <w:lang w:eastAsia="en-US"/>
        </w:rPr>
        <w:t xml:space="preserve"> rekomenduoja vietinės didelių tūrių injekcijų į raumenis metodikos.</w:t>
      </w:r>
    </w:p>
    <w:p w14:paraId="32B78C12" w14:textId="77777777" w:rsidR="0010116D" w:rsidRDefault="0010116D" w:rsidP="004364B8">
      <w:pPr>
        <w:rPr>
          <w:i/>
          <w:szCs w:val="22"/>
          <w:lang w:eastAsia="en-US"/>
        </w:rPr>
      </w:pPr>
    </w:p>
    <w:p w14:paraId="46855007" w14:textId="4C921728" w:rsidR="0010116D" w:rsidRDefault="0010116D" w:rsidP="0010116D">
      <w:pPr>
        <w:rPr>
          <w:szCs w:val="22"/>
          <w:lang w:eastAsia="en-US"/>
        </w:rPr>
      </w:pPr>
      <w:r w:rsidRPr="0010116D">
        <w:rPr>
          <w:szCs w:val="22"/>
          <w:lang w:eastAsia="en-US"/>
        </w:rPr>
        <w:t xml:space="preserve">PASTABA: </w:t>
      </w:r>
      <w:r w:rsidR="00592C2B">
        <w:rPr>
          <w:szCs w:val="22"/>
          <w:lang w:eastAsia="en-US"/>
        </w:rPr>
        <w:t>leisti</w:t>
      </w:r>
      <w:r w:rsidRPr="0010116D">
        <w:rPr>
          <w:szCs w:val="22"/>
          <w:lang w:eastAsia="en-US"/>
        </w:rPr>
        <w:t xml:space="preserve"> F</w:t>
      </w:r>
      <w:r>
        <w:rPr>
          <w:szCs w:val="22"/>
          <w:lang w:eastAsia="en-US"/>
        </w:rPr>
        <w:t>ulvestrant Sandoz</w:t>
      </w:r>
      <w:r w:rsidRPr="0010116D">
        <w:rPr>
          <w:szCs w:val="22"/>
          <w:lang w:eastAsia="en-US"/>
        </w:rPr>
        <w:t xml:space="preserve"> į nugarinę sėdmens dalį reikia atsargiai, kadangi arti yra sėd</w:t>
      </w:r>
      <w:r>
        <w:rPr>
          <w:szCs w:val="22"/>
          <w:lang w:eastAsia="en-US"/>
        </w:rPr>
        <w:t xml:space="preserve">mens </w:t>
      </w:r>
      <w:r w:rsidRPr="0010116D">
        <w:rPr>
          <w:szCs w:val="22"/>
          <w:lang w:eastAsia="en-US"/>
        </w:rPr>
        <w:t>nervas (žr. 4.4 skyrių)</w:t>
      </w:r>
      <w:r>
        <w:rPr>
          <w:szCs w:val="22"/>
          <w:lang w:eastAsia="en-US"/>
        </w:rPr>
        <w:t>.</w:t>
      </w:r>
    </w:p>
    <w:p w14:paraId="035BECF2" w14:textId="77777777" w:rsidR="0010116D" w:rsidRPr="00901F66" w:rsidRDefault="0010116D" w:rsidP="0010116D">
      <w:pPr>
        <w:rPr>
          <w:szCs w:val="22"/>
          <w:lang w:eastAsia="en-US"/>
        </w:rPr>
      </w:pPr>
    </w:p>
    <w:p w14:paraId="789DAF91" w14:textId="77777777" w:rsidR="004364B8" w:rsidRDefault="004364B8" w:rsidP="004364B8">
      <w:pPr>
        <w:rPr>
          <w:szCs w:val="22"/>
          <w:lang w:eastAsia="en-US"/>
        </w:rPr>
      </w:pPr>
      <w:r>
        <w:rPr>
          <w:i/>
          <w:szCs w:val="22"/>
          <w:lang w:eastAsia="en-US"/>
        </w:rPr>
        <w:t>Įspėjimas</w:t>
      </w:r>
      <w:r>
        <w:rPr>
          <w:szCs w:val="22"/>
          <w:lang w:eastAsia="en-US"/>
        </w:rPr>
        <w:t>. Neautoklavuokite saugiosios adatos prieš naudojimą. Naudojant ir išmetant adatą, rankos visada turi būti už jos.</w:t>
      </w:r>
    </w:p>
    <w:p w14:paraId="54653B98" w14:textId="77777777" w:rsidR="004364B8" w:rsidRDefault="004364B8" w:rsidP="004364B8">
      <w:pPr>
        <w:rPr>
          <w:szCs w:val="22"/>
          <w:lang w:eastAsia="en-US"/>
        </w:rPr>
      </w:pPr>
    </w:p>
    <w:p w14:paraId="4AAC220A" w14:textId="77777777" w:rsidR="004364B8" w:rsidRDefault="004364B8" w:rsidP="004364B8">
      <w:pPr>
        <w:rPr>
          <w:szCs w:val="22"/>
          <w:lang w:eastAsia="en-US"/>
        </w:rPr>
      </w:pPr>
      <w:r>
        <w:rPr>
          <w:szCs w:val="22"/>
          <w:lang w:eastAsia="en-US"/>
        </w:rPr>
        <w:t xml:space="preserve">Švirkštai yra tiekiami su saugiąja adata </w:t>
      </w:r>
      <w:r>
        <w:rPr>
          <w:i/>
          <w:szCs w:val="22"/>
          <w:u w:val="single"/>
          <w:lang w:eastAsia="en-US"/>
        </w:rPr>
        <w:t>BD SafetyGlide</w:t>
      </w:r>
      <w:r>
        <w:rPr>
          <w:szCs w:val="22"/>
          <w:u w:val="single"/>
          <w:vertAlign w:val="superscript"/>
          <w:lang w:eastAsia="en-US"/>
        </w:rPr>
        <w:t>®</w:t>
      </w:r>
      <w:r>
        <w:rPr>
          <w:szCs w:val="22"/>
          <w:u w:val="single"/>
          <w:lang w:eastAsia="en-US"/>
        </w:rPr>
        <w:t xml:space="preserve"> ar </w:t>
      </w:r>
      <w:r>
        <w:rPr>
          <w:i/>
          <w:szCs w:val="22"/>
          <w:u w:val="single"/>
          <w:lang w:eastAsia="en-US"/>
        </w:rPr>
        <w:t>Terumo SurGuard</w:t>
      </w:r>
      <w:r>
        <w:rPr>
          <w:szCs w:val="22"/>
          <w:u w:val="single"/>
          <w:vertAlign w:val="superscript"/>
          <w:lang w:eastAsia="en-US"/>
        </w:rPr>
        <w:t>®</w:t>
      </w:r>
      <w:r>
        <w:rPr>
          <w:szCs w:val="22"/>
          <w:lang w:eastAsia="en-US"/>
        </w:rPr>
        <w:t>.</w:t>
      </w:r>
    </w:p>
    <w:p w14:paraId="48A2C215" w14:textId="77777777" w:rsidR="004364B8" w:rsidRDefault="004364B8" w:rsidP="004364B8">
      <w:pPr>
        <w:rPr>
          <w:szCs w:val="22"/>
          <w:lang w:eastAsia="en-US"/>
        </w:rPr>
      </w:pPr>
    </w:p>
    <w:p w14:paraId="26FC816A" w14:textId="77777777" w:rsidR="004364B8" w:rsidRDefault="004364B8" w:rsidP="004364B8">
      <w:pPr>
        <w:rPr>
          <w:szCs w:val="22"/>
          <w:u w:val="single"/>
          <w:vertAlign w:val="superscript"/>
          <w:lang w:eastAsia="en-US"/>
        </w:rPr>
      </w:pPr>
      <w:r>
        <w:rPr>
          <w:szCs w:val="22"/>
          <w:u w:val="single"/>
          <w:lang w:eastAsia="en-US"/>
        </w:rPr>
        <w:t xml:space="preserve">Instrukcijos saugiajai adatai </w:t>
      </w:r>
      <w:r>
        <w:rPr>
          <w:i/>
          <w:szCs w:val="22"/>
          <w:u w:val="single"/>
          <w:lang w:eastAsia="en-US"/>
        </w:rPr>
        <w:t>BD SafetyGlide</w:t>
      </w:r>
      <w:r>
        <w:rPr>
          <w:i/>
          <w:szCs w:val="22"/>
          <w:u w:val="single"/>
          <w:vertAlign w:val="superscript"/>
          <w:lang w:eastAsia="en-US"/>
        </w:rPr>
        <w:t>®</w:t>
      </w:r>
    </w:p>
    <w:p w14:paraId="3FFD748F" w14:textId="77777777" w:rsidR="004364B8" w:rsidRDefault="004364B8" w:rsidP="004364B8">
      <w:pPr>
        <w:rPr>
          <w:szCs w:val="22"/>
          <w:lang w:eastAsia="en-US"/>
        </w:rPr>
      </w:pPr>
      <w:r>
        <w:rPr>
          <w:szCs w:val="22"/>
          <w:lang w:eastAsia="en-US"/>
        </w:rPr>
        <w:t>Kiekvienam iš dviejų švirkštų:</w:t>
      </w:r>
    </w:p>
    <w:tbl>
      <w:tblPr>
        <w:tblW w:w="0" w:type="auto"/>
        <w:tblLook w:val="04A0" w:firstRow="1" w:lastRow="0" w:firstColumn="1" w:lastColumn="0" w:noHBand="0" w:noVBand="1"/>
      </w:tblPr>
      <w:tblGrid>
        <w:gridCol w:w="4606"/>
        <w:gridCol w:w="4299"/>
      </w:tblGrid>
      <w:tr w:rsidR="004364B8" w14:paraId="7382906F" w14:textId="77777777" w:rsidTr="009B558C">
        <w:tc>
          <w:tcPr>
            <w:tcW w:w="7338" w:type="dxa"/>
            <w:gridSpan w:val="2"/>
            <w:shd w:val="clear" w:color="auto" w:fill="auto"/>
          </w:tcPr>
          <w:p w14:paraId="796D5C80" w14:textId="77777777" w:rsidR="004364B8" w:rsidRDefault="004364B8" w:rsidP="00BA1D9E">
            <w:pPr>
              <w:spacing w:line="256" w:lineRule="auto"/>
              <w:rPr>
                <w:szCs w:val="22"/>
                <w:lang w:eastAsia="en-US"/>
              </w:rPr>
            </w:pPr>
          </w:p>
        </w:tc>
      </w:tr>
      <w:tr w:rsidR="004364B8" w14:paraId="7381B043" w14:textId="77777777" w:rsidTr="009B558C">
        <w:tc>
          <w:tcPr>
            <w:tcW w:w="4606" w:type="dxa"/>
            <w:shd w:val="clear" w:color="auto" w:fill="auto"/>
          </w:tcPr>
          <w:p w14:paraId="72EBEEED" w14:textId="77777777" w:rsidR="004364B8" w:rsidRDefault="004364B8" w:rsidP="00BA1D9E">
            <w:pPr>
              <w:numPr>
                <w:ilvl w:val="0"/>
                <w:numId w:val="3"/>
              </w:numPr>
              <w:spacing w:line="256" w:lineRule="auto"/>
              <w:ind w:left="567" w:hanging="207"/>
              <w:rPr>
                <w:szCs w:val="22"/>
                <w:lang w:eastAsia="de-AT"/>
              </w:rPr>
            </w:pPr>
            <w:r>
              <w:rPr>
                <w:szCs w:val="22"/>
                <w:lang w:eastAsia="en-US"/>
              </w:rPr>
              <w:t>Atsargiai išimkite adatą ir švirkštą iš pakuotės</w:t>
            </w:r>
            <w:r>
              <w:rPr>
                <w:szCs w:val="22"/>
                <w:lang w:eastAsia="de-AT"/>
              </w:rPr>
              <w:t>.</w:t>
            </w:r>
          </w:p>
          <w:p w14:paraId="6039FCFF" w14:textId="77777777" w:rsidR="004364B8" w:rsidRDefault="004364B8" w:rsidP="00BA1D9E">
            <w:pPr>
              <w:spacing w:line="256" w:lineRule="auto"/>
              <w:rPr>
                <w:szCs w:val="22"/>
                <w:lang w:eastAsia="en-US"/>
              </w:rPr>
            </w:pPr>
          </w:p>
        </w:tc>
        <w:tc>
          <w:tcPr>
            <w:tcW w:w="2732" w:type="dxa"/>
            <w:shd w:val="clear" w:color="auto" w:fill="auto"/>
          </w:tcPr>
          <w:p w14:paraId="2BABA911" w14:textId="77777777" w:rsidR="004364B8" w:rsidRDefault="004364B8" w:rsidP="00BA1D9E">
            <w:pPr>
              <w:spacing w:line="256" w:lineRule="auto"/>
              <w:rPr>
                <w:szCs w:val="22"/>
                <w:lang w:eastAsia="en-US"/>
              </w:rPr>
            </w:pPr>
          </w:p>
        </w:tc>
      </w:tr>
      <w:tr w:rsidR="004364B8" w14:paraId="69345A29" w14:textId="77777777" w:rsidTr="009B558C">
        <w:tc>
          <w:tcPr>
            <w:tcW w:w="4606" w:type="dxa"/>
            <w:shd w:val="clear" w:color="auto" w:fill="auto"/>
            <w:hideMark/>
          </w:tcPr>
          <w:p w14:paraId="5153F84B" w14:textId="77777777" w:rsidR="004364B8" w:rsidRDefault="004364B8" w:rsidP="00BA1D9E">
            <w:pPr>
              <w:numPr>
                <w:ilvl w:val="0"/>
                <w:numId w:val="3"/>
              </w:numPr>
              <w:spacing w:line="256" w:lineRule="auto"/>
              <w:ind w:left="567" w:hanging="207"/>
              <w:rPr>
                <w:szCs w:val="22"/>
                <w:lang w:eastAsia="en-US"/>
              </w:rPr>
            </w:pPr>
            <w:r>
              <w:rPr>
                <w:szCs w:val="22"/>
                <w:lang w:eastAsia="en-US"/>
              </w:rPr>
              <w:t>Nuimkite apsauginį dangtelį nuo švirkšto korpuso viršūnės.</w:t>
            </w:r>
            <w:r>
              <w:rPr>
                <w:szCs w:val="22"/>
                <w:lang w:eastAsia="de-AT"/>
              </w:rPr>
              <w:t xml:space="preserve"> </w:t>
            </w:r>
          </w:p>
        </w:tc>
        <w:tc>
          <w:tcPr>
            <w:tcW w:w="2732" w:type="dxa"/>
            <w:shd w:val="clear" w:color="auto" w:fill="auto"/>
          </w:tcPr>
          <w:p w14:paraId="1D693C20" w14:textId="77777777" w:rsidR="004364B8" w:rsidRDefault="004364B8" w:rsidP="00BA1D9E">
            <w:pPr>
              <w:spacing w:line="256" w:lineRule="auto"/>
              <w:rPr>
                <w:szCs w:val="22"/>
                <w:lang w:eastAsia="en-US"/>
              </w:rPr>
            </w:pPr>
          </w:p>
        </w:tc>
      </w:tr>
      <w:tr w:rsidR="004364B8" w14:paraId="22C62E18" w14:textId="77777777" w:rsidTr="009B558C">
        <w:tc>
          <w:tcPr>
            <w:tcW w:w="4606" w:type="dxa"/>
            <w:shd w:val="clear" w:color="auto" w:fill="auto"/>
          </w:tcPr>
          <w:p w14:paraId="1873BC20" w14:textId="589CA975" w:rsidR="004364B8" w:rsidRDefault="004364B8" w:rsidP="00BA1D9E">
            <w:pPr>
              <w:numPr>
                <w:ilvl w:val="0"/>
                <w:numId w:val="3"/>
              </w:numPr>
              <w:spacing w:line="256" w:lineRule="auto"/>
              <w:ind w:left="567" w:hanging="207"/>
              <w:rPr>
                <w:szCs w:val="22"/>
                <w:lang w:val="en-US" w:eastAsia="de-AT"/>
              </w:rPr>
            </w:pPr>
            <w:r>
              <w:rPr>
                <w:szCs w:val="22"/>
                <w:lang w:eastAsia="en-US"/>
              </w:rPr>
              <w:t>Nulupant atidarykite saugiosios adatos (</w:t>
            </w:r>
            <w:r>
              <w:rPr>
                <w:i/>
                <w:szCs w:val="22"/>
                <w:lang w:eastAsia="en-US"/>
              </w:rPr>
              <w:t>BD SafetyGlide</w:t>
            </w:r>
            <w:r>
              <w:rPr>
                <w:szCs w:val="22"/>
                <w:lang w:eastAsia="en-US"/>
              </w:rPr>
              <w:t>) išorinę pakuotę.</w:t>
            </w:r>
            <w:r>
              <w:rPr>
                <w:szCs w:val="22"/>
                <w:lang w:eastAsia="de-AT"/>
              </w:rPr>
              <w:t xml:space="preserve"> </w:t>
            </w:r>
            <w:r>
              <w:rPr>
                <w:szCs w:val="22"/>
                <w:lang w:eastAsia="en-US"/>
              </w:rPr>
              <w:t xml:space="preserve">Prijunkite saugiąją adatą prie </w:t>
            </w:r>
            <w:r>
              <w:rPr>
                <w:i/>
                <w:szCs w:val="22"/>
                <w:lang w:eastAsia="en-US"/>
              </w:rPr>
              <w:t>Luer-Lok</w:t>
            </w:r>
            <w:r>
              <w:rPr>
                <w:szCs w:val="22"/>
                <w:lang w:eastAsia="en-US"/>
              </w:rPr>
              <w:t>.</w:t>
            </w:r>
          </w:p>
          <w:p w14:paraId="2B04DA50" w14:textId="77777777" w:rsidR="004364B8" w:rsidRDefault="004364B8" w:rsidP="00BA1D9E">
            <w:pPr>
              <w:spacing w:line="256" w:lineRule="auto"/>
              <w:rPr>
                <w:szCs w:val="22"/>
                <w:lang w:val="en-US" w:eastAsia="en-US"/>
              </w:rPr>
            </w:pPr>
          </w:p>
        </w:tc>
        <w:tc>
          <w:tcPr>
            <w:tcW w:w="2732" w:type="dxa"/>
            <w:shd w:val="clear" w:color="auto" w:fill="auto"/>
          </w:tcPr>
          <w:p w14:paraId="7437FBDC" w14:textId="77777777" w:rsidR="004364B8" w:rsidRDefault="004364B8" w:rsidP="00BA1D9E">
            <w:pPr>
              <w:spacing w:line="256" w:lineRule="auto"/>
              <w:rPr>
                <w:szCs w:val="22"/>
                <w:lang w:val="en-US" w:eastAsia="en-US"/>
              </w:rPr>
            </w:pPr>
          </w:p>
        </w:tc>
      </w:tr>
      <w:tr w:rsidR="004364B8" w14:paraId="1A465D24" w14:textId="77777777" w:rsidTr="009B558C">
        <w:tc>
          <w:tcPr>
            <w:tcW w:w="4606" w:type="dxa"/>
            <w:shd w:val="clear" w:color="auto" w:fill="auto"/>
          </w:tcPr>
          <w:p w14:paraId="27E31C45" w14:textId="77777777" w:rsidR="004364B8" w:rsidRDefault="004364B8" w:rsidP="00BA1D9E">
            <w:pPr>
              <w:numPr>
                <w:ilvl w:val="0"/>
                <w:numId w:val="3"/>
              </w:numPr>
              <w:spacing w:line="256" w:lineRule="auto"/>
              <w:ind w:left="567" w:hanging="207"/>
              <w:rPr>
                <w:lang w:eastAsia="en-US"/>
              </w:rPr>
            </w:pPr>
            <w:r>
              <w:rPr>
                <w:szCs w:val="22"/>
                <w:lang w:eastAsia="en-US"/>
              </w:rPr>
              <w:t xml:space="preserve">Pasukant sujunkite adatą su </w:t>
            </w:r>
            <w:r>
              <w:rPr>
                <w:i/>
                <w:szCs w:val="22"/>
                <w:lang w:eastAsia="en-US"/>
              </w:rPr>
              <w:t>Luer</w:t>
            </w:r>
            <w:r>
              <w:rPr>
                <w:szCs w:val="22"/>
                <w:lang w:eastAsia="en-US"/>
              </w:rPr>
              <w:t xml:space="preserve"> jungtimi. Sukite, kol tvirtai įsistatys</w:t>
            </w:r>
            <w:r>
              <w:rPr>
                <w:lang w:eastAsia="en-US"/>
              </w:rPr>
              <w:t>.</w:t>
            </w:r>
          </w:p>
          <w:p w14:paraId="4EC05CD4" w14:textId="77777777" w:rsidR="004364B8" w:rsidRDefault="004364B8" w:rsidP="00BA1D9E">
            <w:pPr>
              <w:spacing w:line="256" w:lineRule="auto"/>
              <w:rPr>
                <w:lang w:eastAsia="en-US"/>
              </w:rPr>
            </w:pPr>
          </w:p>
        </w:tc>
        <w:tc>
          <w:tcPr>
            <w:tcW w:w="2732" w:type="dxa"/>
            <w:shd w:val="clear" w:color="auto" w:fill="auto"/>
          </w:tcPr>
          <w:p w14:paraId="44B62215" w14:textId="77777777" w:rsidR="004364B8" w:rsidRDefault="004364B8" w:rsidP="00BA1D9E">
            <w:pPr>
              <w:spacing w:line="256" w:lineRule="auto"/>
              <w:rPr>
                <w:lang w:eastAsia="en-US"/>
              </w:rPr>
            </w:pPr>
          </w:p>
        </w:tc>
      </w:tr>
      <w:tr w:rsidR="004364B8" w14:paraId="0FB40C89" w14:textId="77777777" w:rsidTr="009B558C">
        <w:tc>
          <w:tcPr>
            <w:tcW w:w="4606" w:type="dxa"/>
            <w:shd w:val="clear" w:color="auto" w:fill="auto"/>
            <w:hideMark/>
          </w:tcPr>
          <w:p w14:paraId="186FFBEE" w14:textId="77777777" w:rsidR="004364B8" w:rsidRDefault="004364B8" w:rsidP="00BA1D9E">
            <w:pPr>
              <w:numPr>
                <w:ilvl w:val="0"/>
                <w:numId w:val="3"/>
              </w:numPr>
              <w:spacing w:line="256" w:lineRule="auto"/>
              <w:ind w:left="567" w:hanging="207"/>
              <w:rPr>
                <w:lang w:eastAsia="en-US"/>
              </w:rPr>
            </w:pPr>
            <w:r>
              <w:rPr>
                <w:szCs w:val="22"/>
                <w:lang w:eastAsia="en-US"/>
              </w:rPr>
              <w:t>Numaukite apsauginį adatos gaubtelį, traukdami jį tiesiai, kad nepažeistumėte adatos smaigalio</w:t>
            </w:r>
            <w:r>
              <w:rPr>
                <w:lang w:eastAsia="en-US"/>
              </w:rPr>
              <w:t>.</w:t>
            </w:r>
          </w:p>
        </w:tc>
        <w:tc>
          <w:tcPr>
            <w:tcW w:w="2732" w:type="dxa"/>
            <w:shd w:val="clear" w:color="auto" w:fill="auto"/>
          </w:tcPr>
          <w:p w14:paraId="1B20A8BD" w14:textId="77777777" w:rsidR="004364B8" w:rsidRDefault="004364B8" w:rsidP="00BA1D9E">
            <w:pPr>
              <w:spacing w:line="256" w:lineRule="auto"/>
              <w:rPr>
                <w:color w:val="000000"/>
                <w:lang w:eastAsia="en-US"/>
              </w:rPr>
            </w:pPr>
          </w:p>
          <w:p w14:paraId="4EF614E1" w14:textId="77777777" w:rsidR="004364B8" w:rsidRDefault="004364B8">
            <w:pPr>
              <w:autoSpaceDE w:val="0"/>
              <w:autoSpaceDN w:val="0"/>
              <w:adjustRightInd w:val="0"/>
              <w:spacing w:before="22" w:line="256" w:lineRule="auto"/>
              <w:ind w:left="4083" w:right="-20"/>
              <w:rPr>
                <w:sz w:val="20"/>
                <w:lang w:eastAsia="en-US"/>
              </w:rPr>
            </w:pPr>
            <w:r w:rsidRPr="00C65C78">
              <w:rPr>
                <w:noProof/>
              </w:rPr>
              <w:drawing>
                <wp:anchor distT="0" distB="0" distL="114300" distR="114300" simplePos="0" relativeHeight="251659264" behindDoc="0" locked="0" layoutInCell="1" allowOverlap="1" wp14:anchorId="143A7495" wp14:editId="21973100">
                  <wp:simplePos x="0" y="0"/>
                  <wp:positionH relativeFrom="margin">
                    <wp:align>left</wp:align>
                  </wp:positionH>
                  <wp:positionV relativeFrom="margin">
                    <wp:align>top</wp:align>
                  </wp:positionV>
                  <wp:extent cx="988695" cy="1042035"/>
                  <wp:effectExtent l="0" t="0" r="1905"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8695" cy="1042035"/>
                          </a:xfrm>
                          <a:prstGeom prst="rect">
                            <a:avLst/>
                          </a:prstGeom>
                          <a:noFill/>
                        </pic:spPr>
                      </pic:pic>
                    </a:graphicData>
                  </a:graphic>
                  <wp14:sizeRelH relativeFrom="page">
                    <wp14:pctWidth>0</wp14:pctWidth>
                  </wp14:sizeRelH>
                  <wp14:sizeRelV relativeFrom="page">
                    <wp14:pctHeight>0</wp14:pctHeight>
                  </wp14:sizeRelV>
                </wp:anchor>
              </w:drawing>
            </w:r>
          </w:p>
          <w:p w14:paraId="518BDABF" w14:textId="77777777" w:rsidR="004364B8" w:rsidRDefault="004364B8">
            <w:pPr>
              <w:spacing w:line="256" w:lineRule="auto"/>
              <w:rPr>
                <w:color w:val="000000"/>
                <w:lang w:eastAsia="en-US"/>
              </w:rPr>
            </w:pPr>
          </w:p>
          <w:p w14:paraId="7D53B783" w14:textId="77777777" w:rsidR="004364B8" w:rsidRDefault="004364B8" w:rsidP="00BA1D9E">
            <w:pPr>
              <w:spacing w:line="256" w:lineRule="auto"/>
              <w:rPr>
                <w:lang w:eastAsia="en-US"/>
              </w:rPr>
            </w:pPr>
          </w:p>
        </w:tc>
      </w:tr>
      <w:tr w:rsidR="004364B8" w14:paraId="2B5E3B59" w14:textId="77777777" w:rsidTr="009B558C">
        <w:tc>
          <w:tcPr>
            <w:tcW w:w="4606" w:type="dxa"/>
            <w:shd w:val="clear" w:color="auto" w:fill="auto"/>
            <w:hideMark/>
          </w:tcPr>
          <w:p w14:paraId="0951A5A3" w14:textId="77777777" w:rsidR="004364B8" w:rsidRDefault="004364B8" w:rsidP="00BA1D9E">
            <w:pPr>
              <w:numPr>
                <w:ilvl w:val="0"/>
                <w:numId w:val="3"/>
              </w:numPr>
              <w:spacing w:line="256" w:lineRule="auto"/>
              <w:ind w:left="567" w:hanging="207"/>
              <w:rPr>
                <w:szCs w:val="22"/>
                <w:lang w:val="en-US" w:eastAsia="en-US"/>
              </w:rPr>
            </w:pPr>
            <w:r>
              <w:rPr>
                <w:szCs w:val="22"/>
                <w:lang w:eastAsia="en-US"/>
              </w:rPr>
              <w:t>Nuimkite adatos dėklą</w:t>
            </w:r>
            <w:r>
              <w:rPr>
                <w:szCs w:val="22"/>
                <w:lang w:val="en-US" w:eastAsia="de-AT"/>
              </w:rPr>
              <w:t>.</w:t>
            </w:r>
          </w:p>
        </w:tc>
        <w:tc>
          <w:tcPr>
            <w:tcW w:w="2732" w:type="dxa"/>
            <w:shd w:val="clear" w:color="auto" w:fill="auto"/>
          </w:tcPr>
          <w:p w14:paraId="1C4C04BB" w14:textId="77777777" w:rsidR="004364B8" w:rsidRDefault="004364B8" w:rsidP="00BA1D9E">
            <w:pPr>
              <w:spacing w:line="256" w:lineRule="auto"/>
              <w:rPr>
                <w:szCs w:val="22"/>
                <w:lang w:val="en-US" w:eastAsia="en-US"/>
              </w:rPr>
            </w:pPr>
          </w:p>
        </w:tc>
      </w:tr>
      <w:tr w:rsidR="004364B8" w14:paraId="017B6C5F" w14:textId="77777777" w:rsidTr="009B558C">
        <w:tc>
          <w:tcPr>
            <w:tcW w:w="4606" w:type="dxa"/>
            <w:shd w:val="clear" w:color="auto" w:fill="auto"/>
            <w:hideMark/>
          </w:tcPr>
          <w:p w14:paraId="59178EC3" w14:textId="77777777" w:rsidR="004364B8" w:rsidRDefault="004364B8" w:rsidP="00BA1D9E">
            <w:pPr>
              <w:numPr>
                <w:ilvl w:val="0"/>
                <w:numId w:val="3"/>
              </w:numPr>
              <w:spacing w:before="100" w:beforeAutospacing="1" w:after="75" w:line="256" w:lineRule="auto"/>
              <w:ind w:left="567" w:hanging="207"/>
              <w:rPr>
                <w:szCs w:val="22"/>
                <w:lang w:val="en-US" w:eastAsia="en-US"/>
              </w:rPr>
            </w:pPr>
            <w:r>
              <w:rPr>
                <w:szCs w:val="22"/>
                <w:lang w:eastAsia="en-US"/>
              </w:rPr>
              <w:t>Laikant švirkštą su nukreipta į viršų adata švelniai spauskite stūmoklį kol vaistinis preparatas pakils iki švirkšto viršaus. Korpuso viduje turi nebūti oro.</w:t>
            </w:r>
          </w:p>
        </w:tc>
        <w:tc>
          <w:tcPr>
            <w:tcW w:w="2732" w:type="dxa"/>
            <w:shd w:val="clear" w:color="auto" w:fill="auto"/>
          </w:tcPr>
          <w:p w14:paraId="77CCA8FA" w14:textId="77777777" w:rsidR="004364B8" w:rsidRDefault="004364B8" w:rsidP="00BA1D9E">
            <w:pPr>
              <w:spacing w:line="256" w:lineRule="auto"/>
              <w:rPr>
                <w:szCs w:val="22"/>
                <w:lang w:val="en-US" w:eastAsia="en-US"/>
              </w:rPr>
            </w:pPr>
          </w:p>
        </w:tc>
      </w:tr>
      <w:tr w:rsidR="004364B8" w14:paraId="43C0EE27" w14:textId="77777777" w:rsidTr="009B558C">
        <w:tc>
          <w:tcPr>
            <w:tcW w:w="4606" w:type="dxa"/>
            <w:shd w:val="clear" w:color="auto" w:fill="auto"/>
            <w:hideMark/>
          </w:tcPr>
          <w:p w14:paraId="76F91B33" w14:textId="77777777" w:rsidR="004364B8" w:rsidRDefault="004364B8" w:rsidP="00BA1D9E">
            <w:pPr>
              <w:numPr>
                <w:ilvl w:val="0"/>
                <w:numId w:val="3"/>
              </w:numPr>
              <w:spacing w:line="256" w:lineRule="auto"/>
              <w:ind w:left="567" w:hanging="207"/>
              <w:rPr>
                <w:szCs w:val="22"/>
                <w:lang w:eastAsia="de-AT"/>
              </w:rPr>
            </w:pPr>
            <w:r>
              <w:rPr>
                <w:szCs w:val="22"/>
                <w:lang w:eastAsia="en-US"/>
              </w:rPr>
              <w:lastRenderedPageBreak/>
              <w:t>Suleiskite lėtai (per 1</w:t>
            </w:r>
            <w:r w:rsidR="00884A16">
              <w:rPr>
                <w:szCs w:val="22"/>
                <w:lang w:eastAsia="en-US"/>
              </w:rPr>
              <w:noBreakHyphen/>
            </w:r>
            <w:r>
              <w:rPr>
                <w:szCs w:val="22"/>
                <w:lang w:eastAsia="en-US"/>
              </w:rPr>
              <w:t>2</w:t>
            </w:r>
            <w:r w:rsidR="00884A16">
              <w:rPr>
                <w:szCs w:val="22"/>
                <w:lang w:eastAsia="en-US"/>
              </w:rPr>
              <w:t> </w:t>
            </w:r>
            <w:r>
              <w:rPr>
                <w:szCs w:val="22"/>
                <w:lang w:eastAsia="en-US"/>
              </w:rPr>
              <w:t>min.) į sėdmens raumenį. Vartotojo patogumui, adatos smaigalio nuožulnumas yra orientuotas į svirtelės rankeną</w:t>
            </w:r>
            <w:r>
              <w:rPr>
                <w:color w:val="000000"/>
                <w:szCs w:val="22"/>
                <w:lang w:eastAsia="en-US"/>
              </w:rPr>
              <w:t>.</w:t>
            </w:r>
          </w:p>
        </w:tc>
        <w:tc>
          <w:tcPr>
            <w:tcW w:w="2732" w:type="dxa"/>
            <w:shd w:val="clear" w:color="auto" w:fill="auto"/>
          </w:tcPr>
          <w:p w14:paraId="4D95778D" w14:textId="77777777" w:rsidR="004364B8" w:rsidRDefault="004364B8">
            <w:pPr>
              <w:autoSpaceDE w:val="0"/>
              <w:autoSpaceDN w:val="0"/>
              <w:adjustRightInd w:val="0"/>
              <w:spacing w:before="10" w:line="260" w:lineRule="exact"/>
              <w:rPr>
                <w:sz w:val="26"/>
                <w:szCs w:val="26"/>
                <w:lang w:eastAsia="en-US"/>
              </w:rPr>
            </w:pPr>
            <w:r w:rsidRPr="00C65C78">
              <w:rPr>
                <w:noProof/>
              </w:rPr>
              <w:drawing>
                <wp:anchor distT="0" distB="0" distL="114300" distR="114300" simplePos="0" relativeHeight="251660288" behindDoc="0" locked="0" layoutInCell="1" allowOverlap="1" wp14:anchorId="403FA1AB" wp14:editId="642A00B3">
                  <wp:simplePos x="0" y="0"/>
                  <wp:positionH relativeFrom="margin">
                    <wp:align>left</wp:align>
                  </wp:positionH>
                  <wp:positionV relativeFrom="margin">
                    <wp:align>top</wp:align>
                  </wp:positionV>
                  <wp:extent cx="1555750" cy="531495"/>
                  <wp:effectExtent l="0" t="0" r="6350" b="190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0" cy="531495"/>
                          </a:xfrm>
                          <a:prstGeom prst="rect">
                            <a:avLst/>
                          </a:prstGeom>
                          <a:noFill/>
                        </pic:spPr>
                      </pic:pic>
                    </a:graphicData>
                  </a:graphic>
                  <wp14:sizeRelH relativeFrom="page">
                    <wp14:pctWidth>0</wp14:pctWidth>
                  </wp14:sizeRelH>
                  <wp14:sizeRelV relativeFrom="page">
                    <wp14:pctHeight>0</wp14:pctHeight>
                  </wp14:sizeRelV>
                </wp:anchor>
              </w:drawing>
            </w:r>
          </w:p>
          <w:p w14:paraId="7A18438C" w14:textId="77777777" w:rsidR="004364B8" w:rsidRDefault="004364B8" w:rsidP="00BA1D9E">
            <w:pPr>
              <w:autoSpaceDE w:val="0"/>
              <w:autoSpaceDN w:val="0"/>
              <w:adjustRightInd w:val="0"/>
              <w:spacing w:line="256" w:lineRule="auto"/>
              <w:ind w:left="2968" w:right="-20"/>
              <w:rPr>
                <w:sz w:val="20"/>
                <w:lang w:eastAsia="en-US"/>
              </w:rPr>
            </w:pPr>
          </w:p>
          <w:p w14:paraId="0FE43E35" w14:textId="77777777" w:rsidR="004364B8" w:rsidRDefault="004364B8" w:rsidP="00BA1D9E">
            <w:pPr>
              <w:spacing w:line="256" w:lineRule="auto"/>
              <w:rPr>
                <w:szCs w:val="22"/>
                <w:lang w:eastAsia="en-US"/>
              </w:rPr>
            </w:pPr>
          </w:p>
          <w:p w14:paraId="423343E8" w14:textId="77777777" w:rsidR="004364B8" w:rsidRDefault="004364B8" w:rsidP="00BA1D9E">
            <w:pPr>
              <w:spacing w:line="256" w:lineRule="auto"/>
              <w:rPr>
                <w:szCs w:val="22"/>
                <w:lang w:eastAsia="en-US"/>
              </w:rPr>
            </w:pPr>
          </w:p>
        </w:tc>
      </w:tr>
      <w:tr w:rsidR="004364B8" w14:paraId="466DA8C4" w14:textId="77777777" w:rsidTr="009B558C">
        <w:tc>
          <w:tcPr>
            <w:tcW w:w="4606" w:type="dxa"/>
            <w:shd w:val="clear" w:color="auto" w:fill="auto"/>
            <w:hideMark/>
          </w:tcPr>
          <w:p w14:paraId="5B7D23F6" w14:textId="40A463C5" w:rsidR="004364B8" w:rsidRDefault="004364B8" w:rsidP="00DF6BF8">
            <w:pPr>
              <w:numPr>
                <w:ilvl w:val="0"/>
                <w:numId w:val="4"/>
              </w:numPr>
              <w:spacing w:before="100" w:beforeAutospacing="1" w:after="75" w:line="256" w:lineRule="auto"/>
              <w:ind w:left="567" w:hanging="207"/>
              <w:rPr>
                <w:szCs w:val="22"/>
                <w:lang w:eastAsia="en-US"/>
              </w:rPr>
            </w:pPr>
            <w:r>
              <w:rPr>
                <w:szCs w:val="22"/>
                <w:lang w:eastAsia="en-US"/>
              </w:rPr>
              <w:t>Po injekcijos nedels</w:t>
            </w:r>
            <w:r w:rsidR="00DF6BF8">
              <w:rPr>
                <w:szCs w:val="22"/>
                <w:lang w:eastAsia="en-US"/>
              </w:rPr>
              <w:t>dami</w:t>
            </w:r>
            <w:r>
              <w:rPr>
                <w:szCs w:val="22"/>
                <w:lang w:eastAsia="en-US"/>
              </w:rPr>
              <w:t xml:space="preserve"> aktyvuokite adatos apsaugos mechanizmą – vienu pirštu stumtelėkite pagalbinės aktyvavimo svirtelės rankeną.</w:t>
            </w:r>
          </w:p>
        </w:tc>
        <w:tc>
          <w:tcPr>
            <w:tcW w:w="2732" w:type="dxa"/>
            <w:shd w:val="clear" w:color="auto" w:fill="auto"/>
          </w:tcPr>
          <w:p w14:paraId="6AD96D61" w14:textId="77777777" w:rsidR="004364B8" w:rsidRDefault="004364B8">
            <w:pPr>
              <w:autoSpaceDE w:val="0"/>
              <w:autoSpaceDN w:val="0"/>
              <w:adjustRightInd w:val="0"/>
              <w:spacing w:before="81" w:line="256" w:lineRule="auto"/>
              <w:ind w:left="115" w:right="-20"/>
              <w:rPr>
                <w:sz w:val="20"/>
                <w:lang w:val="en-US" w:eastAsia="en-US"/>
              </w:rPr>
            </w:pPr>
            <w:r w:rsidRPr="00C65C78">
              <w:rPr>
                <w:noProof/>
                <w:sz w:val="24"/>
              </w:rPr>
              <w:drawing>
                <wp:inline distT="0" distB="0" distL="0" distR="0" wp14:anchorId="3A69BC3A" wp14:editId="0566D7D0">
                  <wp:extent cx="1162050" cy="1323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1323975"/>
                          </a:xfrm>
                          <a:prstGeom prst="rect">
                            <a:avLst/>
                          </a:prstGeom>
                          <a:noFill/>
                          <a:ln>
                            <a:noFill/>
                          </a:ln>
                        </pic:spPr>
                      </pic:pic>
                    </a:graphicData>
                  </a:graphic>
                </wp:inline>
              </w:drawing>
            </w:r>
          </w:p>
          <w:p w14:paraId="32461A59" w14:textId="77777777" w:rsidR="004364B8" w:rsidRDefault="004364B8" w:rsidP="00BA1D9E">
            <w:pPr>
              <w:spacing w:line="256" w:lineRule="auto"/>
              <w:rPr>
                <w:szCs w:val="22"/>
                <w:lang w:val="en-US" w:eastAsia="en-US"/>
              </w:rPr>
            </w:pPr>
          </w:p>
        </w:tc>
      </w:tr>
      <w:tr w:rsidR="004364B8" w14:paraId="55ABC3CC" w14:textId="77777777" w:rsidTr="009B558C">
        <w:tc>
          <w:tcPr>
            <w:tcW w:w="7338" w:type="dxa"/>
            <w:gridSpan w:val="2"/>
            <w:shd w:val="clear" w:color="auto" w:fill="auto"/>
            <w:hideMark/>
          </w:tcPr>
          <w:p w14:paraId="77F03846" w14:textId="77777777" w:rsidR="004364B8" w:rsidRDefault="004364B8" w:rsidP="00BA1D9E">
            <w:pPr>
              <w:spacing w:line="256" w:lineRule="auto"/>
              <w:rPr>
                <w:szCs w:val="22"/>
                <w:lang w:eastAsia="en-US"/>
              </w:rPr>
            </w:pPr>
            <w:r>
              <w:rPr>
                <w:b/>
                <w:szCs w:val="22"/>
                <w:lang w:eastAsia="en-US"/>
              </w:rPr>
              <w:t>PASTABA: aktyvuokite atitraukę nuo savęs ir kitų žmonių. Išgirskite spragtelėjimą ir vizualiai patikrinkite, kad adatos viršūnė būtų visiškai uždengta.</w:t>
            </w:r>
          </w:p>
        </w:tc>
      </w:tr>
    </w:tbl>
    <w:p w14:paraId="39835861" w14:textId="77777777" w:rsidR="004364B8" w:rsidRDefault="004364B8" w:rsidP="004364B8">
      <w:pPr>
        <w:rPr>
          <w:szCs w:val="22"/>
          <w:lang w:eastAsia="en-US"/>
        </w:rPr>
      </w:pPr>
    </w:p>
    <w:p w14:paraId="7EE250F5" w14:textId="77777777" w:rsidR="004364B8" w:rsidRDefault="004364B8" w:rsidP="004364B8">
      <w:pPr>
        <w:rPr>
          <w:szCs w:val="22"/>
          <w:lang w:eastAsia="en-US"/>
        </w:rPr>
      </w:pPr>
    </w:p>
    <w:p w14:paraId="4B48D165" w14:textId="77777777" w:rsidR="004364B8" w:rsidRDefault="004364B8" w:rsidP="004364B8">
      <w:pPr>
        <w:rPr>
          <w:szCs w:val="22"/>
          <w:u w:val="single"/>
          <w:vertAlign w:val="superscript"/>
          <w:lang w:eastAsia="en-US"/>
        </w:rPr>
      </w:pPr>
      <w:r>
        <w:rPr>
          <w:szCs w:val="22"/>
          <w:u w:val="single"/>
          <w:lang w:eastAsia="en-US"/>
        </w:rPr>
        <w:t xml:space="preserve">Instrukcijos saugiajai adatai </w:t>
      </w:r>
      <w:r>
        <w:rPr>
          <w:i/>
          <w:szCs w:val="22"/>
          <w:u w:val="single"/>
          <w:lang w:eastAsia="en-US"/>
        </w:rPr>
        <w:t>Terumo SurGuard</w:t>
      </w:r>
      <w:r>
        <w:rPr>
          <w:i/>
          <w:szCs w:val="22"/>
          <w:u w:val="single"/>
          <w:vertAlign w:val="superscript"/>
          <w:lang w:eastAsia="en-US"/>
        </w:rPr>
        <w:t>®</w:t>
      </w:r>
    </w:p>
    <w:p w14:paraId="4395FC6A" w14:textId="77777777" w:rsidR="004364B8" w:rsidRDefault="004364B8" w:rsidP="004364B8">
      <w:pPr>
        <w:rPr>
          <w:szCs w:val="22"/>
          <w:lang w:eastAsia="en-US"/>
        </w:rPr>
      </w:pPr>
    </w:p>
    <w:tbl>
      <w:tblPr>
        <w:tblW w:w="0" w:type="auto"/>
        <w:tblLook w:val="04A0" w:firstRow="1" w:lastRow="0" w:firstColumn="1" w:lastColumn="0" w:noHBand="0" w:noVBand="1"/>
      </w:tblPr>
      <w:tblGrid>
        <w:gridCol w:w="3943"/>
        <w:gridCol w:w="5083"/>
      </w:tblGrid>
      <w:tr w:rsidR="004364B8" w14:paraId="05BA8D1B" w14:textId="77777777" w:rsidTr="009B558C">
        <w:tc>
          <w:tcPr>
            <w:tcW w:w="9276" w:type="dxa"/>
            <w:gridSpan w:val="2"/>
            <w:shd w:val="clear" w:color="auto" w:fill="auto"/>
            <w:hideMark/>
          </w:tcPr>
          <w:p w14:paraId="6C01377C" w14:textId="77777777" w:rsidR="004364B8" w:rsidRDefault="004364B8" w:rsidP="00BA1D9E">
            <w:pPr>
              <w:spacing w:line="256" w:lineRule="auto"/>
              <w:rPr>
                <w:szCs w:val="22"/>
                <w:lang w:val="en-US" w:eastAsia="en-US"/>
              </w:rPr>
            </w:pPr>
            <w:r>
              <w:rPr>
                <w:szCs w:val="22"/>
                <w:lang w:eastAsia="en-US"/>
              </w:rPr>
              <w:t>Kiekvienam iš dviejų švirkštų:</w:t>
            </w:r>
          </w:p>
        </w:tc>
      </w:tr>
      <w:tr w:rsidR="004364B8" w14:paraId="7C054E39" w14:textId="77777777" w:rsidTr="009B558C">
        <w:tc>
          <w:tcPr>
            <w:tcW w:w="4214" w:type="dxa"/>
            <w:shd w:val="clear" w:color="auto" w:fill="auto"/>
            <w:hideMark/>
          </w:tcPr>
          <w:p w14:paraId="60C3FE6D" w14:textId="77777777" w:rsidR="004364B8" w:rsidRDefault="004364B8" w:rsidP="00BA1D9E">
            <w:pPr>
              <w:numPr>
                <w:ilvl w:val="0"/>
                <w:numId w:val="3"/>
              </w:numPr>
              <w:spacing w:line="256" w:lineRule="auto"/>
              <w:ind w:left="567" w:hanging="207"/>
              <w:rPr>
                <w:lang w:eastAsia="en-US"/>
              </w:rPr>
            </w:pPr>
            <w:r>
              <w:rPr>
                <w:szCs w:val="22"/>
                <w:lang w:eastAsia="en-US"/>
              </w:rPr>
              <w:t>Atsargiai išimkite adatą ir švirkštą iš pakuotės.</w:t>
            </w:r>
            <w:r>
              <w:rPr>
                <w:lang w:eastAsia="en-US"/>
              </w:rPr>
              <w:t xml:space="preserve"> </w:t>
            </w:r>
          </w:p>
        </w:tc>
        <w:tc>
          <w:tcPr>
            <w:tcW w:w="5062" w:type="dxa"/>
            <w:shd w:val="clear" w:color="auto" w:fill="auto"/>
          </w:tcPr>
          <w:p w14:paraId="5A048F96" w14:textId="77777777" w:rsidR="004364B8" w:rsidRDefault="004364B8" w:rsidP="00BA1D9E">
            <w:pPr>
              <w:spacing w:line="256" w:lineRule="auto"/>
              <w:rPr>
                <w:lang w:eastAsia="en-US"/>
              </w:rPr>
            </w:pPr>
          </w:p>
        </w:tc>
      </w:tr>
      <w:tr w:rsidR="004364B8" w14:paraId="58839ABB" w14:textId="77777777" w:rsidTr="009B558C">
        <w:tc>
          <w:tcPr>
            <w:tcW w:w="4214" w:type="dxa"/>
            <w:shd w:val="clear" w:color="auto" w:fill="auto"/>
            <w:hideMark/>
          </w:tcPr>
          <w:p w14:paraId="7296CDA6" w14:textId="77777777" w:rsidR="004364B8" w:rsidRDefault="004364B8" w:rsidP="00BA1D9E">
            <w:pPr>
              <w:numPr>
                <w:ilvl w:val="0"/>
                <w:numId w:val="3"/>
              </w:numPr>
              <w:spacing w:line="256" w:lineRule="auto"/>
              <w:ind w:left="567" w:hanging="207"/>
              <w:rPr>
                <w:lang w:eastAsia="en-US"/>
              </w:rPr>
            </w:pPr>
            <w:r>
              <w:rPr>
                <w:szCs w:val="22"/>
                <w:lang w:eastAsia="en-US"/>
              </w:rPr>
              <w:t>Nuimkite apsauginį dangtelį nuo švirkšto korpuso viršūnės.</w:t>
            </w:r>
          </w:p>
        </w:tc>
        <w:tc>
          <w:tcPr>
            <w:tcW w:w="5062" w:type="dxa"/>
            <w:shd w:val="clear" w:color="auto" w:fill="auto"/>
          </w:tcPr>
          <w:p w14:paraId="1E5C5DB5" w14:textId="77777777" w:rsidR="004364B8" w:rsidRDefault="004364B8" w:rsidP="00BA1D9E">
            <w:pPr>
              <w:spacing w:line="256" w:lineRule="auto"/>
              <w:rPr>
                <w:lang w:eastAsia="en-US"/>
              </w:rPr>
            </w:pPr>
          </w:p>
        </w:tc>
      </w:tr>
      <w:tr w:rsidR="004364B8" w14:paraId="50A53711" w14:textId="77777777" w:rsidTr="009B558C">
        <w:tc>
          <w:tcPr>
            <w:tcW w:w="4214" w:type="dxa"/>
            <w:shd w:val="clear" w:color="auto" w:fill="auto"/>
          </w:tcPr>
          <w:p w14:paraId="4BD3D7B1" w14:textId="77777777" w:rsidR="004364B8" w:rsidRDefault="004364B8" w:rsidP="00BA1D9E">
            <w:pPr>
              <w:numPr>
                <w:ilvl w:val="0"/>
                <w:numId w:val="3"/>
              </w:numPr>
              <w:spacing w:line="256" w:lineRule="auto"/>
              <w:ind w:left="567" w:hanging="207"/>
              <w:rPr>
                <w:lang w:eastAsia="en-US"/>
              </w:rPr>
            </w:pPr>
            <w:r>
              <w:rPr>
                <w:szCs w:val="22"/>
                <w:lang w:eastAsia="en-US"/>
              </w:rPr>
              <w:t>Priveržkite švirkštą prie adatos taikant aseptinę metodiką.</w:t>
            </w:r>
            <w:r w:rsidR="00AD0D95">
              <w:rPr>
                <w:szCs w:val="22"/>
                <w:lang w:eastAsia="en-US"/>
              </w:rPr>
              <w:t xml:space="preserve"> </w:t>
            </w:r>
            <w:r>
              <w:rPr>
                <w:szCs w:val="22"/>
                <w:lang w:eastAsia="en-US"/>
              </w:rPr>
              <w:t>Tvirtai suspauskite adatos, bet ne dėklo, pagrindą ir sukite švirkštą pagal laikrodžio rodyklę</w:t>
            </w:r>
            <w:r>
              <w:rPr>
                <w:lang w:eastAsia="en-US"/>
              </w:rPr>
              <w:t>.</w:t>
            </w:r>
          </w:p>
          <w:p w14:paraId="19068063" w14:textId="77777777" w:rsidR="004364B8" w:rsidRDefault="004364B8" w:rsidP="00BA1D9E">
            <w:pPr>
              <w:spacing w:line="256" w:lineRule="auto"/>
              <w:ind w:left="720"/>
              <w:rPr>
                <w:lang w:eastAsia="en-US"/>
              </w:rPr>
            </w:pPr>
          </w:p>
        </w:tc>
        <w:tc>
          <w:tcPr>
            <w:tcW w:w="5062" w:type="dxa"/>
            <w:shd w:val="clear" w:color="auto" w:fill="auto"/>
          </w:tcPr>
          <w:p w14:paraId="29781CB3" w14:textId="77777777" w:rsidR="004364B8" w:rsidRDefault="004364B8">
            <w:pPr>
              <w:autoSpaceDE w:val="0"/>
              <w:autoSpaceDN w:val="0"/>
              <w:adjustRightInd w:val="0"/>
              <w:spacing w:line="256" w:lineRule="auto"/>
              <w:rPr>
                <w:sz w:val="20"/>
                <w:lang w:val="en-US" w:eastAsia="en-US"/>
              </w:rPr>
            </w:pPr>
            <w:r w:rsidRPr="00C65C78">
              <w:rPr>
                <w:noProof/>
                <w:sz w:val="20"/>
              </w:rPr>
              <w:drawing>
                <wp:inline distT="0" distB="0" distL="0" distR="0" wp14:anchorId="5571F8C3" wp14:editId="10614582">
                  <wp:extent cx="1457325" cy="590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7325" cy="590550"/>
                          </a:xfrm>
                          <a:prstGeom prst="rect">
                            <a:avLst/>
                          </a:prstGeom>
                          <a:noFill/>
                          <a:ln>
                            <a:noFill/>
                          </a:ln>
                        </pic:spPr>
                      </pic:pic>
                    </a:graphicData>
                  </a:graphic>
                </wp:inline>
              </w:drawing>
            </w:r>
          </w:p>
          <w:p w14:paraId="7FF1C47B" w14:textId="77777777" w:rsidR="004364B8" w:rsidRDefault="004364B8">
            <w:pPr>
              <w:autoSpaceDE w:val="0"/>
              <w:autoSpaceDN w:val="0"/>
              <w:adjustRightInd w:val="0"/>
              <w:spacing w:line="200" w:lineRule="exact"/>
              <w:rPr>
                <w:sz w:val="20"/>
                <w:lang w:val="en-US" w:eastAsia="en-US"/>
              </w:rPr>
            </w:pPr>
          </w:p>
          <w:p w14:paraId="790BB17E" w14:textId="77777777" w:rsidR="004364B8" w:rsidRDefault="004364B8" w:rsidP="00BA1D9E">
            <w:pPr>
              <w:autoSpaceDE w:val="0"/>
              <w:autoSpaceDN w:val="0"/>
              <w:adjustRightInd w:val="0"/>
              <w:spacing w:before="48" w:line="256" w:lineRule="auto"/>
              <w:ind w:left="362" w:right="-20"/>
              <w:rPr>
                <w:szCs w:val="22"/>
                <w:lang w:val="en-US" w:eastAsia="en-US"/>
              </w:rPr>
            </w:pPr>
          </w:p>
        </w:tc>
      </w:tr>
      <w:tr w:rsidR="004364B8" w14:paraId="2B05EF7F" w14:textId="77777777" w:rsidTr="009B558C">
        <w:tc>
          <w:tcPr>
            <w:tcW w:w="4214" w:type="dxa"/>
            <w:shd w:val="clear" w:color="auto" w:fill="auto"/>
            <w:hideMark/>
          </w:tcPr>
          <w:p w14:paraId="6D3E7099" w14:textId="77777777" w:rsidR="004364B8" w:rsidRDefault="004364B8" w:rsidP="00BA1D9E">
            <w:pPr>
              <w:numPr>
                <w:ilvl w:val="0"/>
                <w:numId w:val="3"/>
              </w:numPr>
              <w:spacing w:before="100" w:beforeAutospacing="1" w:after="75" w:line="256" w:lineRule="auto"/>
              <w:ind w:left="567" w:hanging="207"/>
              <w:rPr>
                <w:szCs w:val="22"/>
                <w:lang w:val="en-US" w:eastAsia="en-US"/>
              </w:rPr>
            </w:pPr>
            <w:r>
              <w:rPr>
                <w:szCs w:val="22"/>
                <w:lang w:eastAsia="en-US"/>
              </w:rPr>
              <w:t>Atstumkite atgal apsauginį antdėklą nuo adatos link švirkšto korpuso parodytu kampu. Po to pašalinkite adatos dangtelį</w:t>
            </w:r>
            <w:r>
              <w:rPr>
                <w:color w:val="000000"/>
                <w:szCs w:val="22"/>
                <w:lang w:val="en-US" w:eastAsia="en-US"/>
              </w:rPr>
              <w:t>.</w:t>
            </w:r>
          </w:p>
        </w:tc>
        <w:tc>
          <w:tcPr>
            <w:tcW w:w="5062" w:type="dxa"/>
            <w:shd w:val="clear" w:color="auto" w:fill="auto"/>
          </w:tcPr>
          <w:p w14:paraId="0F728D3A" w14:textId="77777777" w:rsidR="004364B8" w:rsidRDefault="004364B8">
            <w:pPr>
              <w:spacing w:line="256" w:lineRule="auto"/>
              <w:rPr>
                <w:szCs w:val="22"/>
                <w:lang w:val="de-AT" w:eastAsia="en-US"/>
              </w:rPr>
            </w:pPr>
            <w:r w:rsidRPr="00C65C78">
              <w:rPr>
                <w:noProof/>
              </w:rPr>
              <w:drawing>
                <wp:anchor distT="0" distB="0" distL="114300" distR="114300" simplePos="0" relativeHeight="251661312" behindDoc="0" locked="0" layoutInCell="1" allowOverlap="1" wp14:anchorId="7EB43895" wp14:editId="62EB9A59">
                  <wp:simplePos x="0" y="0"/>
                  <wp:positionH relativeFrom="margin">
                    <wp:align>left</wp:align>
                  </wp:positionH>
                  <wp:positionV relativeFrom="margin">
                    <wp:align>top</wp:align>
                  </wp:positionV>
                  <wp:extent cx="1506220" cy="664210"/>
                  <wp:effectExtent l="0" t="0" r="0" b="25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6220" cy="664210"/>
                          </a:xfrm>
                          <a:prstGeom prst="rect">
                            <a:avLst/>
                          </a:prstGeom>
                          <a:noFill/>
                        </pic:spPr>
                      </pic:pic>
                    </a:graphicData>
                  </a:graphic>
                  <wp14:sizeRelH relativeFrom="page">
                    <wp14:pctWidth>0</wp14:pctWidth>
                  </wp14:sizeRelH>
                  <wp14:sizeRelV relativeFrom="page">
                    <wp14:pctHeight>0</wp14:pctHeight>
                  </wp14:sizeRelV>
                </wp:anchor>
              </w:drawing>
            </w:r>
          </w:p>
          <w:p w14:paraId="38A0B66C" w14:textId="77777777" w:rsidR="004364B8" w:rsidRDefault="004364B8">
            <w:pPr>
              <w:autoSpaceDE w:val="0"/>
              <w:autoSpaceDN w:val="0"/>
              <w:adjustRightInd w:val="0"/>
              <w:spacing w:before="58" w:line="256" w:lineRule="auto"/>
              <w:ind w:left="4866" w:right="-20"/>
              <w:rPr>
                <w:sz w:val="20"/>
                <w:lang w:val="en-US" w:eastAsia="en-US"/>
              </w:rPr>
            </w:pPr>
          </w:p>
          <w:p w14:paraId="08832A99" w14:textId="77777777" w:rsidR="004364B8" w:rsidRDefault="004364B8" w:rsidP="00BA1D9E">
            <w:pPr>
              <w:spacing w:line="256" w:lineRule="auto"/>
              <w:rPr>
                <w:szCs w:val="22"/>
                <w:lang w:val="en-US" w:eastAsia="en-US"/>
              </w:rPr>
            </w:pPr>
          </w:p>
        </w:tc>
      </w:tr>
      <w:tr w:rsidR="004364B8" w14:paraId="4387648D" w14:textId="77777777" w:rsidTr="009B558C">
        <w:tc>
          <w:tcPr>
            <w:tcW w:w="4214" w:type="dxa"/>
            <w:shd w:val="clear" w:color="auto" w:fill="auto"/>
            <w:hideMark/>
          </w:tcPr>
          <w:p w14:paraId="1DC1B2A8" w14:textId="77777777" w:rsidR="004364B8" w:rsidRDefault="004364B8" w:rsidP="00BA1D9E">
            <w:pPr>
              <w:numPr>
                <w:ilvl w:val="0"/>
                <w:numId w:val="3"/>
              </w:numPr>
              <w:spacing w:before="100" w:beforeAutospacing="1" w:after="75" w:line="256" w:lineRule="auto"/>
              <w:ind w:left="567" w:hanging="207"/>
              <w:rPr>
                <w:szCs w:val="22"/>
                <w:lang w:val="en-US" w:eastAsia="en-US"/>
              </w:rPr>
            </w:pPr>
            <w:r>
              <w:rPr>
                <w:szCs w:val="22"/>
                <w:lang w:eastAsia="en-US"/>
              </w:rPr>
              <w:t>Laikant švirkštą su nukreipta į viršų adata švelniai spauskite stūmoklį kol vaistinis preparatas pakils iki švirkšto viršaus. Korpuso viduje turi nebūti oro.</w:t>
            </w:r>
          </w:p>
        </w:tc>
        <w:tc>
          <w:tcPr>
            <w:tcW w:w="5062" w:type="dxa"/>
            <w:shd w:val="clear" w:color="auto" w:fill="auto"/>
          </w:tcPr>
          <w:p w14:paraId="2AEF9081" w14:textId="77777777" w:rsidR="004364B8" w:rsidRDefault="004364B8" w:rsidP="00BA1D9E">
            <w:pPr>
              <w:spacing w:line="256" w:lineRule="auto"/>
              <w:rPr>
                <w:szCs w:val="22"/>
                <w:lang w:val="en-US" w:eastAsia="en-US"/>
              </w:rPr>
            </w:pPr>
          </w:p>
        </w:tc>
      </w:tr>
      <w:tr w:rsidR="004364B8" w14:paraId="6221FE59" w14:textId="77777777" w:rsidTr="009B558C">
        <w:tc>
          <w:tcPr>
            <w:tcW w:w="4214" w:type="dxa"/>
            <w:shd w:val="clear" w:color="auto" w:fill="auto"/>
            <w:hideMark/>
          </w:tcPr>
          <w:p w14:paraId="3C295E33" w14:textId="77777777" w:rsidR="004364B8" w:rsidRDefault="004364B8" w:rsidP="00BA1D9E">
            <w:pPr>
              <w:numPr>
                <w:ilvl w:val="0"/>
                <w:numId w:val="3"/>
              </w:numPr>
              <w:spacing w:before="100" w:beforeAutospacing="1" w:after="75" w:line="256" w:lineRule="auto"/>
              <w:ind w:left="567" w:hanging="207"/>
              <w:rPr>
                <w:lang w:eastAsia="en-US"/>
              </w:rPr>
            </w:pPr>
            <w:r>
              <w:rPr>
                <w:szCs w:val="22"/>
                <w:lang w:eastAsia="en-US"/>
              </w:rPr>
              <w:t>Suleiskite lėtai (per 1</w:t>
            </w:r>
            <w:r w:rsidR="00884A16">
              <w:rPr>
                <w:szCs w:val="22"/>
                <w:lang w:eastAsia="en-US"/>
              </w:rPr>
              <w:noBreakHyphen/>
            </w:r>
            <w:r>
              <w:rPr>
                <w:szCs w:val="22"/>
                <w:lang w:eastAsia="en-US"/>
              </w:rPr>
              <w:t>2</w:t>
            </w:r>
            <w:r w:rsidR="00884A16">
              <w:rPr>
                <w:szCs w:val="22"/>
                <w:lang w:eastAsia="en-US"/>
              </w:rPr>
              <w:t> </w:t>
            </w:r>
            <w:r>
              <w:rPr>
                <w:szCs w:val="22"/>
                <w:lang w:eastAsia="en-US"/>
              </w:rPr>
              <w:t>min.) į sėdmens raumenį.</w:t>
            </w:r>
          </w:p>
        </w:tc>
        <w:tc>
          <w:tcPr>
            <w:tcW w:w="5062" w:type="dxa"/>
            <w:shd w:val="clear" w:color="auto" w:fill="auto"/>
          </w:tcPr>
          <w:p w14:paraId="1A0F905D" w14:textId="77777777" w:rsidR="004364B8" w:rsidRDefault="004364B8" w:rsidP="00BA1D9E">
            <w:pPr>
              <w:spacing w:line="256" w:lineRule="auto"/>
              <w:rPr>
                <w:lang w:eastAsia="en-US"/>
              </w:rPr>
            </w:pPr>
          </w:p>
        </w:tc>
      </w:tr>
      <w:tr w:rsidR="004364B8" w14:paraId="533AB1EB" w14:textId="77777777" w:rsidTr="009B558C">
        <w:tc>
          <w:tcPr>
            <w:tcW w:w="4214" w:type="dxa"/>
            <w:shd w:val="clear" w:color="auto" w:fill="auto"/>
            <w:hideMark/>
          </w:tcPr>
          <w:p w14:paraId="4D278FDF" w14:textId="77777777" w:rsidR="004364B8" w:rsidRDefault="004364B8" w:rsidP="00BA1D9E">
            <w:pPr>
              <w:numPr>
                <w:ilvl w:val="0"/>
                <w:numId w:val="3"/>
              </w:numPr>
              <w:spacing w:before="100" w:beforeAutospacing="1" w:after="75" w:line="256" w:lineRule="auto"/>
              <w:ind w:left="567" w:hanging="207"/>
              <w:rPr>
                <w:color w:val="000000"/>
                <w:lang w:eastAsia="en-US"/>
              </w:rPr>
            </w:pPr>
            <w:r>
              <w:rPr>
                <w:szCs w:val="22"/>
                <w:lang w:eastAsia="en-US"/>
              </w:rPr>
              <w:t>Baigus injekciją ištraukite adatą iš odos ir pritaikykite vienarankę saugumo mechanizmo aktyvavimo metodiką pasinaudojant vienu iš trijų būdų:</w:t>
            </w:r>
          </w:p>
        </w:tc>
        <w:tc>
          <w:tcPr>
            <w:tcW w:w="5062" w:type="dxa"/>
            <w:shd w:val="clear" w:color="auto" w:fill="auto"/>
          </w:tcPr>
          <w:p w14:paraId="01C73B4D" w14:textId="77777777" w:rsidR="004364B8" w:rsidRDefault="004364B8" w:rsidP="00BA1D9E">
            <w:pPr>
              <w:spacing w:line="256" w:lineRule="auto"/>
              <w:rPr>
                <w:lang w:eastAsia="en-US"/>
              </w:rPr>
            </w:pPr>
          </w:p>
        </w:tc>
      </w:tr>
      <w:tr w:rsidR="004364B8" w14:paraId="27925B81" w14:textId="77777777" w:rsidTr="009B558C">
        <w:tc>
          <w:tcPr>
            <w:tcW w:w="4214" w:type="dxa"/>
            <w:shd w:val="clear" w:color="auto" w:fill="auto"/>
          </w:tcPr>
          <w:p w14:paraId="0DC86004" w14:textId="77777777" w:rsidR="004364B8" w:rsidRDefault="004364B8" w:rsidP="00BA1D9E">
            <w:pPr>
              <w:numPr>
                <w:ilvl w:val="1"/>
                <w:numId w:val="3"/>
              </w:numPr>
              <w:spacing w:before="100" w:beforeAutospacing="1" w:after="75" w:line="256" w:lineRule="auto"/>
              <w:rPr>
                <w:color w:val="000000"/>
                <w:szCs w:val="22"/>
                <w:lang w:val="en-US" w:eastAsia="en-US"/>
              </w:rPr>
            </w:pPr>
            <w:r>
              <w:rPr>
                <w:szCs w:val="22"/>
                <w:lang w:eastAsia="en-US"/>
              </w:rPr>
              <w:t>aktyvavimas pirštu;</w:t>
            </w:r>
          </w:p>
          <w:p w14:paraId="5B182330" w14:textId="77777777" w:rsidR="004364B8" w:rsidRDefault="004364B8" w:rsidP="00BA1D9E">
            <w:pPr>
              <w:spacing w:before="100" w:beforeAutospacing="1" w:after="75" w:line="256" w:lineRule="auto"/>
              <w:ind w:left="1440"/>
              <w:rPr>
                <w:color w:val="000000"/>
                <w:szCs w:val="22"/>
                <w:lang w:val="en-US" w:eastAsia="en-US"/>
              </w:rPr>
            </w:pPr>
          </w:p>
        </w:tc>
        <w:tc>
          <w:tcPr>
            <w:tcW w:w="5062" w:type="dxa"/>
            <w:vMerge w:val="restart"/>
            <w:shd w:val="clear" w:color="auto" w:fill="auto"/>
          </w:tcPr>
          <w:p w14:paraId="480AC8F2" w14:textId="77777777" w:rsidR="004364B8" w:rsidRDefault="004364B8">
            <w:pPr>
              <w:autoSpaceDE w:val="0"/>
              <w:autoSpaceDN w:val="0"/>
              <w:adjustRightInd w:val="0"/>
              <w:spacing w:line="256" w:lineRule="auto"/>
              <w:rPr>
                <w:sz w:val="20"/>
                <w:lang w:val="en-US" w:eastAsia="en-US"/>
              </w:rPr>
            </w:pPr>
            <w:r w:rsidRPr="00C65C78">
              <w:rPr>
                <w:noProof/>
                <w:sz w:val="20"/>
              </w:rPr>
              <w:drawing>
                <wp:inline distT="0" distB="0" distL="0" distR="0" wp14:anchorId="038D29AB" wp14:editId="598436B9">
                  <wp:extent cx="1352550" cy="1781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0" cy="1781175"/>
                          </a:xfrm>
                          <a:prstGeom prst="rect">
                            <a:avLst/>
                          </a:prstGeom>
                          <a:noFill/>
                          <a:ln>
                            <a:noFill/>
                          </a:ln>
                        </pic:spPr>
                      </pic:pic>
                    </a:graphicData>
                  </a:graphic>
                </wp:inline>
              </w:drawing>
            </w:r>
          </w:p>
          <w:p w14:paraId="60CBC3F4" w14:textId="77777777" w:rsidR="004364B8" w:rsidRDefault="004364B8">
            <w:pPr>
              <w:autoSpaceDE w:val="0"/>
              <w:autoSpaceDN w:val="0"/>
              <w:adjustRightInd w:val="0"/>
              <w:spacing w:before="6" w:line="100" w:lineRule="exact"/>
              <w:rPr>
                <w:sz w:val="10"/>
                <w:szCs w:val="10"/>
                <w:lang w:val="en-US" w:eastAsia="en-US"/>
              </w:rPr>
            </w:pPr>
          </w:p>
          <w:p w14:paraId="042951E5" w14:textId="77777777" w:rsidR="004364B8" w:rsidRPr="0077444B" w:rsidRDefault="004364B8" w:rsidP="00BA1D9E">
            <w:pPr>
              <w:autoSpaceDE w:val="0"/>
              <w:autoSpaceDN w:val="0"/>
              <w:adjustRightInd w:val="0"/>
              <w:spacing w:before="49" w:line="256" w:lineRule="auto"/>
              <w:ind w:left="440" w:right="-20"/>
              <w:rPr>
                <w:rFonts w:ascii="Arial" w:hAnsi="Arial"/>
                <w:color w:val="000000"/>
                <w:sz w:val="10"/>
                <w:lang w:val="en-US"/>
              </w:rPr>
            </w:pPr>
            <w:r w:rsidRPr="0077444B">
              <w:rPr>
                <w:rFonts w:ascii="Arial" w:hAnsi="Arial"/>
                <w:b/>
                <w:color w:val="FFFFFF"/>
                <w:w w:val="64"/>
                <w:sz w:val="10"/>
                <w:lang w:val="en-US"/>
              </w:rPr>
              <w:t>O</w:t>
            </w:r>
          </w:p>
          <w:p w14:paraId="40376109" w14:textId="77777777" w:rsidR="004364B8" w:rsidRDefault="004364B8" w:rsidP="00BA1D9E">
            <w:pPr>
              <w:spacing w:line="256" w:lineRule="auto"/>
              <w:rPr>
                <w:szCs w:val="22"/>
                <w:lang w:val="en-US" w:eastAsia="en-US"/>
              </w:rPr>
            </w:pPr>
          </w:p>
        </w:tc>
      </w:tr>
      <w:tr w:rsidR="004364B8" w14:paraId="6CB5BF15" w14:textId="77777777" w:rsidTr="009B558C">
        <w:tc>
          <w:tcPr>
            <w:tcW w:w="4214" w:type="dxa"/>
            <w:shd w:val="clear" w:color="auto" w:fill="auto"/>
          </w:tcPr>
          <w:p w14:paraId="34CD3769" w14:textId="77777777" w:rsidR="004364B8" w:rsidRDefault="004364B8" w:rsidP="00BA1D9E">
            <w:pPr>
              <w:numPr>
                <w:ilvl w:val="1"/>
                <w:numId w:val="3"/>
              </w:numPr>
              <w:spacing w:before="100" w:beforeAutospacing="1" w:after="75" w:line="256" w:lineRule="auto"/>
              <w:rPr>
                <w:color w:val="000000"/>
                <w:szCs w:val="22"/>
                <w:lang w:val="en-US" w:eastAsia="en-US"/>
              </w:rPr>
            </w:pPr>
            <w:r>
              <w:rPr>
                <w:szCs w:val="22"/>
                <w:lang w:eastAsia="en-US"/>
              </w:rPr>
              <w:lastRenderedPageBreak/>
              <w:t>aktyvavimas nykščiu;</w:t>
            </w:r>
          </w:p>
          <w:p w14:paraId="3FD37EED" w14:textId="77777777" w:rsidR="004364B8" w:rsidRDefault="004364B8" w:rsidP="00BA1D9E">
            <w:pPr>
              <w:spacing w:before="100" w:beforeAutospacing="1" w:after="75" w:line="256" w:lineRule="auto"/>
              <w:ind w:left="1440"/>
              <w:rPr>
                <w:color w:val="000000"/>
                <w:szCs w:val="22"/>
                <w:lang w:val="en-US" w:eastAsia="en-US"/>
              </w:rPr>
            </w:pPr>
          </w:p>
        </w:tc>
        <w:tc>
          <w:tcPr>
            <w:tcW w:w="0" w:type="auto"/>
            <w:vMerge/>
            <w:shd w:val="clear" w:color="auto" w:fill="auto"/>
            <w:vAlign w:val="center"/>
            <w:hideMark/>
          </w:tcPr>
          <w:p w14:paraId="2FB92463" w14:textId="77777777" w:rsidR="004364B8" w:rsidRDefault="004364B8" w:rsidP="00BA1D9E">
            <w:pPr>
              <w:spacing w:line="256" w:lineRule="auto"/>
              <w:rPr>
                <w:szCs w:val="22"/>
                <w:lang w:val="en-US" w:eastAsia="en-US"/>
              </w:rPr>
            </w:pPr>
          </w:p>
        </w:tc>
      </w:tr>
      <w:tr w:rsidR="004364B8" w14:paraId="31B821B9" w14:textId="77777777" w:rsidTr="009B558C">
        <w:tc>
          <w:tcPr>
            <w:tcW w:w="4214" w:type="dxa"/>
            <w:shd w:val="clear" w:color="auto" w:fill="auto"/>
            <w:hideMark/>
          </w:tcPr>
          <w:p w14:paraId="13706FA9" w14:textId="77777777" w:rsidR="004364B8" w:rsidRDefault="004364B8" w:rsidP="00BA1D9E">
            <w:pPr>
              <w:numPr>
                <w:ilvl w:val="1"/>
                <w:numId w:val="3"/>
              </w:numPr>
              <w:spacing w:before="100" w:beforeAutospacing="1" w:after="75" w:line="256" w:lineRule="auto"/>
              <w:rPr>
                <w:color w:val="000000"/>
                <w:szCs w:val="22"/>
                <w:lang w:val="en-US" w:eastAsia="en-US"/>
              </w:rPr>
            </w:pPr>
            <w:r>
              <w:rPr>
                <w:szCs w:val="22"/>
                <w:lang w:eastAsia="en-US"/>
              </w:rPr>
              <w:t>aktyvavimas paviršiumi.</w:t>
            </w:r>
          </w:p>
        </w:tc>
        <w:tc>
          <w:tcPr>
            <w:tcW w:w="0" w:type="auto"/>
            <w:vMerge/>
            <w:shd w:val="clear" w:color="auto" w:fill="auto"/>
            <w:vAlign w:val="center"/>
            <w:hideMark/>
          </w:tcPr>
          <w:p w14:paraId="5B785094" w14:textId="77777777" w:rsidR="004364B8" w:rsidRDefault="004364B8" w:rsidP="00BA1D9E">
            <w:pPr>
              <w:spacing w:line="256" w:lineRule="auto"/>
              <w:rPr>
                <w:szCs w:val="22"/>
                <w:lang w:val="en-US" w:eastAsia="en-US"/>
              </w:rPr>
            </w:pPr>
          </w:p>
        </w:tc>
      </w:tr>
    </w:tbl>
    <w:p w14:paraId="7FF27585" w14:textId="77777777" w:rsidR="004364B8" w:rsidRDefault="004364B8" w:rsidP="004364B8">
      <w:pPr>
        <w:rPr>
          <w:b/>
          <w:szCs w:val="22"/>
          <w:lang w:eastAsia="en-US"/>
        </w:rPr>
      </w:pPr>
      <w:r>
        <w:rPr>
          <w:szCs w:val="22"/>
          <w:lang w:eastAsia="en-US"/>
        </w:rPr>
        <w:t>A</w:t>
      </w:r>
      <w:r>
        <w:rPr>
          <w:b/>
          <w:szCs w:val="22"/>
          <w:lang w:eastAsia="en-US"/>
        </w:rPr>
        <w:t>ktyvavimas yra patvirtinamas girdimu ir</w:t>
      </w:r>
      <w:r w:rsidR="000F2959">
        <w:rPr>
          <w:b/>
          <w:szCs w:val="22"/>
          <w:lang w:eastAsia="en-US"/>
        </w:rPr>
        <w:t xml:space="preserve"> (</w:t>
      </w:r>
      <w:r>
        <w:rPr>
          <w:b/>
          <w:szCs w:val="22"/>
          <w:lang w:eastAsia="en-US"/>
        </w:rPr>
        <w:t>ar</w:t>
      </w:r>
      <w:r w:rsidR="000F2959">
        <w:rPr>
          <w:b/>
          <w:szCs w:val="22"/>
          <w:lang w:eastAsia="en-US"/>
        </w:rPr>
        <w:t>ba)</w:t>
      </w:r>
      <w:r>
        <w:rPr>
          <w:b/>
          <w:szCs w:val="22"/>
          <w:lang w:eastAsia="en-US"/>
        </w:rPr>
        <w:t xml:space="preserve"> juntamu spragtelėjimu ir gali būti patikrintas vizualiai.</w:t>
      </w:r>
    </w:p>
    <w:p w14:paraId="13935BD1" w14:textId="77777777" w:rsidR="004364B8" w:rsidRDefault="004364B8" w:rsidP="004364B8">
      <w:pPr>
        <w:rPr>
          <w:b/>
          <w:szCs w:val="22"/>
          <w:lang w:eastAsia="en-US"/>
        </w:rPr>
      </w:pPr>
      <w:r>
        <w:rPr>
          <w:b/>
          <w:szCs w:val="22"/>
          <w:lang w:eastAsia="en-US"/>
        </w:rPr>
        <w:t>Jeigu abejojate, kad apsauginis antdėklas yra visiškai įjungtas, pakartokite šį žingsnį.</w:t>
      </w:r>
    </w:p>
    <w:p w14:paraId="17361501" w14:textId="77777777" w:rsidR="004364B8" w:rsidRDefault="004364B8" w:rsidP="004364B8">
      <w:pPr>
        <w:rPr>
          <w:szCs w:val="24"/>
        </w:rPr>
      </w:pPr>
    </w:p>
    <w:p w14:paraId="10D0840F" w14:textId="77777777" w:rsidR="004364B8" w:rsidRDefault="004364B8" w:rsidP="004364B8">
      <w:pPr>
        <w:rPr>
          <w:szCs w:val="24"/>
          <w:u w:val="single"/>
        </w:rPr>
      </w:pPr>
      <w:r>
        <w:rPr>
          <w:szCs w:val="24"/>
          <w:u w:val="single"/>
        </w:rPr>
        <w:t>Atliekų tvarkymas</w:t>
      </w:r>
    </w:p>
    <w:p w14:paraId="2A66EBDF" w14:textId="77777777" w:rsidR="004364B8" w:rsidRDefault="004364B8" w:rsidP="004364B8">
      <w:pPr>
        <w:rPr>
          <w:szCs w:val="22"/>
          <w:u w:val="single"/>
          <w:lang w:eastAsia="en-US"/>
        </w:rPr>
      </w:pPr>
    </w:p>
    <w:p w14:paraId="49739B3C" w14:textId="77777777" w:rsidR="004364B8" w:rsidRDefault="004364B8" w:rsidP="004364B8">
      <w:pPr>
        <w:rPr>
          <w:szCs w:val="24"/>
        </w:rPr>
      </w:pPr>
      <w:r>
        <w:rPr>
          <w:szCs w:val="24"/>
        </w:rPr>
        <w:t xml:space="preserve">Užpildyti švirkštai yra skirti </w:t>
      </w:r>
      <w:r>
        <w:rPr>
          <w:b/>
          <w:szCs w:val="24"/>
        </w:rPr>
        <w:t>tik</w:t>
      </w:r>
      <w:r>
        <w:rPr>
          <w:szCs w:val="24"/>
        </w:rPr>
        <w:t xml:space="preserve"> vienkartiniam vartojimui.</w:t>
      </w:r>
    </w:p>
    <w:p w14:paraId="731722BD" w14:textId="77777777" w:rsidR="004364B8" w:rsidRDefault="004364B8" w:rsidP="004364B8">
      <w:pPr>
        <w:rPr>
          <w:szCs w:val="24"/>
        </w:rPr>
      </w:pPr>
      <w:r>
        <w:rPr>
          <w:szCs w:val="24"/>
        </w:rPr>
        <w:t>Nesuvartotą vaistinį preparatą ar atliekas reikia tvarkyti laikantis vietinių reikalavimų.</w:t>
      </w:r>
    </w:p>
    <w:p w14:paraId="599C939C" w14:textId="77777777" w:rsidR="004364B8" w:rsidRDefault="004364B8" w:rsidP="004364B8">
      <w:pPr>
        <w:rPr>
          <w:szCs w:val="22"/>
          <w:lang w:eastAsia="en-US"/>
        </w:rPr>
      </w:pPr>
    </w:p>
    <w:p w14:paraId="66D7B7B0" w14:textId="77777777" w:rsidR="004364B8" w:rsidRDefault="004364B8" w:rsidP="004364B8">
      <w:pPr>
        <w:rPr>
          <w:szCs w:val="22"/>
          <w:lang w:eastAsia="en-US"/>
        </w:rPr>
      </w:pPr>
    </w:p>
    <w:p w14:paraId="7CAEC9FA" w14:textId="77777777" w:rsidR="004364B8" w:rsidRDefault="004364B8" w:rsidP="004364B8">
      <w:pPr>
        <w:ind w:left="540" w:hanging="540"/>
        <w:rPr>
          <w:b/>
          <w:szCs w:val="22"/>
          <w:lang w:eastAsia="en-US"/>
        </w:rPr>
      </w:pPr>
      <w:r>
        <w:rPr>
          <w:b/>
          <w:szCs w:val="22"/>
          <w:lang w:eastAsia="en-US"/>
        </w:rPr>
        <w:t>7.</w:t>
      </w:r>
      <w:r>
        <w:rPr>
          <w:b/>
          <w:szCs w:val="22"/>
          <w:lang w:eastAsia="en-US"/>
        </w:rPr>
        <w:tab/>
        <w:t>REGISTRUOTOJAS</w:t>
      </w:r>
    </w:p>
    <w:p w14:paraId="5887835D" w14:textId="77777777" w:rsidR="004364B8" w:rsidRDefault="004364B8" w:rsidP="004364B8">
      <w:pPr>
        <w:rPr>
          <w:szCs w:val="22"/>
          <w:lang w:eastAsia="en-US"/>
        </w:rPr>
      </w:pPr>
    </w:p>
    <w:p w14:paraId="61C77740" w14:textId="77777777" w:rsidR="004364B8" w:rsidRDefault="004364B8" w:rsidP="004364B8">
      <w:r>
        <w:t>Sandoz d.d.</w:t>
      </w:r>
    </w:p>
    <w:p w14:paraId="3C36C4BE" w14:textId="77777777" w:rsidR="004364B8" w:rsidRDefault="004364B8" w:rsidP="004364B8">
      <w:r>
        <w:t>Verovškova 57</w:t>
      </w:r>
    </w:p>
    <w:p w14:paraId="1C26757B" w14:textId="77777777" w:rsidR="004364B8" w:rsidRDefault="004364B8" w:rsidP="004364B8">
      <w:r>
        <w:t>SI-1000 Ljubljana</w:t>
      </w:r>
    </w:p>
    <w:p w14:paraId="0A75BBF7" w14:textId="77777777" w:rsidR="004364B8" w:rsidRDefault="004364B8" w:rsidP="004364B8">
      <w:r>
        <w:t>Slovėnija</w:t>
      </w:r>
    </w:p>
    <w:p w14:paraId="61B8A2C2" w14:textId="77777777" w:rsidR="004364B8" w:rsidRDefault="004364B8" w:rsidP="004364B8">
      <w:pPr>
        <w:rPr>
          <w:szCs w:val="22"/>
          <w:lang w:eastAsia="en-US"/>
        </w:rPr>
      </w:pPr>
    </w:p>
    <w:p w14:paraId="0348D6E1" w14:textId="77777777" w:rsidR="004364B8" w:rsidRDefault="004364B8" w:rsidP="004364B8">
      <w:pPr>
        <w:rPr>
          <w:szCs w:val="22"/>
          <w:lang w:eastAsia="en-US"/>
        </w:rPr>
      </w:pPr>
    </w:p>
    <w:p w14:paraId="1C682685" w14:textId="77777777" w:rsidR="004364B8" w:rsidRDefault="004364B8" w:rsidP="004364B8">
      <w:pPr>
        <w:ind w:left="540" w:hanging="540"/>
        <w:rPr>
          <w:b/>
          <w:szCs w:val="22"/>
          <w:lang w:eastAsia="en-US"/>
        </w:rPr>
      </w:pPr>
      <w:r>
        <w:rPr>
          <w:b/>
          <w:szCs w:val="22"/>
          <w:lang w:eastAsia="en-US"/>
        </w:rPr>
        <w:t>8.</w:t>
      </w:r>
      <w:r>
        <w:rPr>
          <w:b/>
          <w:szCs w:val="22"/>
          <w:lang w:eastAsia="en-US"/>
        </w:rPr>
        <w:tab/>
        <w:t>REGISTRACIJOS PAŽYMĖJIMO NUMERIS (-IAI)</w:t>
      </w:r>
    </w:p>
    <w:p w14:paraId="629A794F" w14:textId="77777777" w:rsidR="004364B8" w:rsidRDefault="004364B8" w:rsidP="004364B8">
      <w:pPr>
        <w:rPr>
          <w:snapToGrid w:val="0"/>
          <w:szCs w:val="24"/>
          <w:lang w:eastAsia="en-US"/>
        </w:rPr>
      </w:pPr>
    </w:p>
    <w:p w14:paraId="5B2CB6FF" w14:textId="0D1DE385" w:rsidR="004364B8" w:rsidRDefault="004364B8" w:rsidP="004364B8">
      <w:pPr>
        <w:rPr>
          <w:snapToGrid w:val="0"/>
          <w:szCs w:val="24"/>
          <w:lang w:eastAsia="en-US"/>
        </w:rPr>
      </w:pPr>
      <w:r>
        <w:rPr>
          <w:snapToGrid w:val="0"/>
          <w:szCs w:val="24"/>
          <w:lang w:eastAsia="en-US"/>
        </w:rPr>
        <w:t>N1 – LT/1/15/3828/001</w:t>
      </w:r>
    </w:p>
    <w:p w14:paraId="5D7532AC" w14:textId="4EAE1C03" w:rsidR="004364B8" w:rsidRDefault="004364B8" w:rsidP="004364B8">
      <w:pPr>
        <w:rPr>
          <w:snapToGrid w:val="0"/>
          <w:szCs w:val="24"/>
          <w:lang w:eastAsia="en-US"/>
        </w:rPr>
      </w:pPr>
      <w:r>
        <w:rPr>
          <w:snapToGrid w:val="0"/>
          <w:szCs w:val="24"/>
          <w:lang w:eastAsia="en-US"/>
        </w:rPr>
        <w:t>N2 – LT/1/15/3828/002</w:t>
      </w:r>
    </w:p>
    <w:p w14:paraId="7425C8BF" w14:textId="77777777" w:rsidR="004364B8" w:rsidRDefault="004364B8" w:rsidP="004364B8">
      <w:pPr>
        <w:rPr>
          <w:snapToGrid w:val="0"/>
          <w:szCs w:val="24"/>
          <w:lang w:eastAsia="en-US"/>
        </w:rPr>
      </w:pPr>
    </w:p>
    <w:p w14:paraId="6893468A" w14:textId="77777777" w:rsidR="004364B8" w:rsidRDefault="004364B8" w:rsidP="004364B8">
      <w:pPr>
        <w:rPr>
          <w:snapToGrid w:val="0"/>
          <w:szCs w:val="24"/>
          <w:lang w:eastAsia="en-US"/>
        </w:rPr>
      </w:pPr>
    </w:p>
    <w:p w14:paraId="7505FF69" w14:textId="77777777" w:rsidR="004364B8" w:rsidRDefault="004364B8" w:rsidP="004364B8">
      <w:pPr>
        <w:keepNext/>
        <w:keepLines/>
        <w:tabs>
          <w:tab w:val="left" w:pos="567"/>
        </w:tabs>
        <w:outlineLvl w:val="2"/>
        <w:rPr>
          <w:b/>
          <w:bCs/>
          <w:snapToGrid w:val="0"/>
          <w:szCs w:val="26"/>
        </w:rPr>
      </w:pPr>
      <w:r>
        <w:rPr>
          <w:b/>
          <w:bCs/>
          <w:snapToGrid w:val="0"/>
          <w:szCs w:val="26"/>
        </w:rPr>
        <w:t>9.</w:t>
      </w:r>
      <w:r>
        <w:rPr>
          <w:b/>
          <w:bCs/>
          <w:snapToGrid w:val="0"/>
          <w:szCs w:val="26"/>
        </w:rPr>
        <w:tab/>
        <w:t>REGISTRAVIMO / PERREGISTRAVIMO DATA</w:t>
      </w:r>
    </w:p>
    <w:p w14:paraId="022452D7" w14:textId="77777777" w:rsidR="004364B8" w:rsidRDefault="004364B8" w:rsidP="004364B8">
      <w:pPr>
        <w:rPr>
          <w:snapToGrid w:val="0"/>
          <w:szCs w:val="24"/>
          <w:lang w:eastAsia="en-US"/>
        </w:rPr>
      </w:pPr>
    </w:p>
    <w:p w14:paraId="468AA09A" w14:textId="77777777" w:rsidR="004364B8" w:rsidRDefault="004364B8" w:rsidP="004364B8">
      <w:pPr>
        <w:rPr>
          <w:snapToGrid w:val="0"/>
          <w:szCs w:val="24"/>
          <w:lang w:eastAsia="en-US"/>
        </w:rPr>
      </w:pPr>
      <w:r>
        <w:rPr>
          <w:snapToGrid w:val="0"/>
          <w:szCs w:val="24"/>
          <w:lang w:eastAsia="en-US"/>
        </w:rPr>
        <w:t>Registravimo data 2015</w:t>
      </w:r>
      <w:r w:rsidR="00884A16">
        <w:rPr>
          <w:snapToGrid w:val="0"/>
          <w:szCs w:val="24"/>
          <w:lang w:eastAsia="en-US"/>
        </w:rPr>
        <w:t> </w:t>
      </w:r>
      <w:r>
        <w:rPr>
          <w:snapToGrid w:val="0"/>
          <w:szCs w:val="24"/>
          <w:lang w:eastAsia="en-US"/>
        </w:rPr>
        <w:t>m. lapkričio 3</w:t>
      </w:r>
      <w:r w:rsidR="00884A16">
        <w:rPr>
          <w:snapToGrid w:val="0"/>
          <w:szCs w:val="24"/>
          <w:lang w:eastAsia="en-US"/>
        </w:rPr>
        <w:t> </w:t>
      </w:r>
      <w:r>
        <w:rPr>
          <w:snapToGrid w:val="0"/>
          <w:szCs w:val="24"/>
          <w:lang w:eastAsia="en-US"/>
        </w:rPr>
        <w:t>d.</w:t>
      </w:r>
    </w:p>
    <w:p w14:paraId="4F400B04" w14:textId="77777777" w:rsidR="004364B8" w:rsidRDefault="004364B8" w:rsidP="004364B8">
      <w:pPr>
        <w:rPr>
          <w:snapToGrid w:val="0"/>
          <w:szCs w:val="24"/>
          <w:lang w:eastAsia="en-US"/>
        </w:rPr>
      </w:pPr>
    </w:p>
    <w:p w14:paraId="66F3657A" w14:textId="77777777" w:rsidR="004364B8" w:rsidRDefault="004364B8" w:rsidP="004364B8">
      <w:pPr>
        <w:rPr>
          <w:snapToGrid w:val="0"/>
          <w:szCs w:val="24"/>
          <w:lang w:eastAsia="en-US"/>
        </w:rPr>
      </w:pPr>
    </w:p>
    <w:p w14:paraId="2288EF09" w14:textId="48873BCE" w:rsidR="004364B8" w:rsidRDefault="004364B8" w:rsidP="004364B8">
      <w:pPr>
        <w:keepNext/>
        <w:keepLines/>
        <w:tabs>
          <w:tab w:val="left" w:pos="567"/>
        </w:tabs>
        <w:outlineLvl w:val="2"/>
        <w:rPr>
          <w:b/>
          <w:bCs/>
          <w:snapToGrid w:val="0"/>
          <w:szCs w:val="26"/>
        </w:rPr>
      </w:pPr>
      <w:r>
        <w:rPr>
          <w:b/>
          <w:bCs/>
          <w:snapToGrid w:val="0"/>
          <w:szCs w:val="26"/>
        </w:rPr>
        <w:t>10.</w:t>
      </w:r>
      <w:r>
        <w:rPr>
          <w:b/>
          <w:bCs/>
          <w:snapToGrid w:val="0"/>
          <w:szCs w:val="26"/>
        </w:rPr>
        <w:tab/>
        <w:t>TEKSTO PERŽIŪROS DATA</w:t>
      </w:r>
    </w:p>
    <w:p w14:paraId="070E26A1" w14:textId="77777777" w:rsidR="00B86858" w:rsidRDefault="00B86858" w:rsidP="004364B8">
      <w:pPr>
        <w:keepNext/>
        <w:keepLines/>
        <w:tabs>
          <w:tab w:val="left" w:pos="567"/>
        </w:tabs>
        <w:outlineLvl w:val="2"/>
        <w:rPr>
          <w:b/>
          <w:bCs/>
          <w:snapToGrid w:val="0"/>
          <w:szCs w:val="26"/>
        </w:rPr>
      </w:pPr>
    </w:p>
    <w:p w14:paraId="7A46ED74" w14:textId="19A13D67" w:rsidR="004364B8" w:rsidRDefault="00AA4CFF" w:rsidP="004364B8">
      <w:pPr>
        <w:rPr>
          <w:snapToGrid w:val="0"/>
          <w:szCs w:val="24"/>
          <w:lang w:eastAsia="en-US"/>
        </w:rPr>
      </w:pPr>
      <w:r>
        <w:rPr>
          <w:noProof/>
          <w:szCs w:val="24"/>
        </w:rPr>
        <w:t>2022 m. sausio 10 d.</w:t>
      </w:r>
    </w:p>
    <w:p w14:paraId="708CC190" w14:textId="6CDDCF02" w:rsidR="00185541" w:rsidRDefault="00185541" w:rsidP="004364B8">
      <w:pPr>
        <w:rPr>
          <w:snapToGrid w:val="0"/>
          <w:szCs w:val="24"/>
          <w:lang w:eastAsia="en-US"/>
        </w:rPr>
      </w:pPr>
    </w:p>
    <w:p w14:paraId="2980EEE8" w14:textId="77777777" w:rsidR="004364B8" w:rsidRDefault="004364B8" w:rsidP="004364B8">
      <w:pPr>
        <w:tabs>
          <w:tab w:val="left" w:pos="5954"/>
          <w:tab w:val="left" w:pos="6237"/>
          <w:tab w:val="left" w:pos="6663"/>
          <w:tab w:val="left" w:pos="6946"/>
        </w:tabs>
        <w:rPr>
          <w:rFonts w:eastAsia="SimSun"/>
          <w:szCs w:val="22"/>
          <w:lang w:eastAsia="en-US"/>
        </w:rPr>
      </w:pPr>
      <w:r>
        <w:rPr>
          <w:rFonts w:eastAsia="SimSun"/>
          <w:szCs w:val="22"/>
          <w:lang w:eastAsia="en-US"/>
        </w:rPr>
        <w:t>Išsami informacija apie šį vaistinį preparatą pateikiama Valstybinės vaistų kontrolės tarnybos prie Lietuvos Respublikos sveikatos apsaugos ministerijos tinklalapyje</w:t>
      </w:r>
      <w:r>
        <w:rPr>
          <w:rFonts w:eastAsia="SimSun"/>
          <w:i/>
          <w:szCs w:val="22"/>
          <w:lang w:eastAsia="en-US"/>
        </w:rPr>
        <w:t xml:space="preserve"> </w:t>
      </w:r>
      <w:hyperlink r:id="rId20" w:history="1">
        <w:r w:rsidRPr="00BA1D9E">
          <w:rPr>
            <w:rStyle w:val="Hipersaitas"/>
            <w:rFonts w:eastAsia="SimSun"/>
          </w:rPr>
          <w:t>http://www.vvkt.lt</w:t>
        </w:r>
      </w:hyperlink>
    </w:p>
    <w:p w14:paraId="525A074F" w14:textId="77777777" w:rsidR="004364B8" w:rsidRDefault="004364B8" w:rsidP="004364B8">
      <w:pPr>
        <w:rPr>
          <w:spacing w:val="-3"/>
          <w:szCs w:val="22"/>
          <w:lang w:eastAsia="en-US"/>
        </w:rPr>
      </w:pPr>
    </w:p>
    <w:p w14:paraId="62D7310C" w14:textId="77777777" w:rsidR="004364B8" w:rsidRDefault="004364B8" w:rsidP="004364B8">
      <w:pPr>
        <w:rPr>
          <w:spacing w:val="-3"/>
          <w:szCs w:val="22"/>
          <w:lang w:eastAsia="en-US"/>
        </w:rPr>
      </w:pPr>
      <w:r>
        <w:rPr>
          <w:spacing w:val="-3"/>
          <w:szCs w:val="22"/>
          <w:lang w:eastAsia="en-US"/>
        </w:rPr>
        <w:br w:type="page"/>
      </w:r>
    </w:p>
    <w:p w14:paraId="748180E8" w14:textId="77777777" w:rsidR="004364B8" w:rsidRDefault="004364B8" w:rsidP="004364B8"/>
    <w:p w14:paraId="273B4589" w14:textId="77777777" w:rsidR="004364B8" w:rsidRDefault="004364B8" w:rsidP="004364B8"/>
    <w:p w14:paraId="27E758FC" w14:textId="77777777" w:rsidR="004364B8" w:rsidRDefault="004364B8" w:rsidP="004364B8"/>
    <w:p w14:paraId="714D8892" w14:textId="77777777" w:rsidR="004364B8" w:rsidRDefault="004364B8" w:rsidP="004364B8"/>
    <w:p w14:paraId="467D3EC0" w14:textId="77777777" w:rsidR="004364B8" w:rsidRDefault="004364B8" w:rsidP="004364B8"/>
    <w:p w14:paraId="4DDD3360" w14:textId="77777777" w:rsidR="004364B8" w:rsidRDefault="004364B8" w:rsidP="004364B8"/>
    <w:p w14:paraId="3A08CBBB" w14:textId="77777777" w:rsidR="004364B8" w:rsidRDefault="004364B8" w:rsidP="004364B8"/>
    <w:p w14:paraId="7E7CA750" w14:textId="77777777" w:rsidR="004364B8" w:rsidRDefault="004364B8" w:rsidP="004364B8"/>
    <w:p w14:paraId="0F2B94DD" w14:textId="77777777" w:rsidR="004364B8" w:rsidRDefault="004364B8" w:rsidP="004364B8"/>
    <w:p w14:paraId="15FA8BE0" w14:textId="77777777" w:rsidR="004364B8" w:rsidRDefault="004364B8" w:rsidP="004364B8"/>
    <w:p w14:paraId="47D4BC95" w14:textId="77777777" w:rsidR="004364B8" w:rsidRDefault="004364B8" w:rsidP="004364B8"/>
    <w:p w14:paraId="47538069" w14:textId="77777777" w:rsidR="004364B8" w:rsidRDefault="004364B8" w:rsidP="004364B8"/>
    <w:p w14:paraId="697225A4" w14:textId="77777777" w:rsidR="004364B8" w:rsidRDefault="004364B8" w:rsidP="004364B8"/>
    <w:p w14:paraId="5B1AFB30" w14:textId="77777777" w:rsidR="004364B8" w:rsidRDefault="004364B8" w:rsidP="004364B8"/>
    <w:p w14:paraId="35234EE2" w14:textId="77777777" w:rsidR="004364B8" w:rsidRDefault="004364B8" w:rsidP="004364B8"/>
    <w:p w14:paraId="269603E7" w14:textId="77777777" w:rsidR="004364B8" w:rsidRDefault="004364B8" w:rsidP="004364B8"/>
    <w:p w14:paraId="6420798D" w14:textId="77777777" w:rsidR="004364B8" w:rsidRDefault="004364B8" w:rsidP="004364B8"/>
    <w:p w14:paraId="4CE3FEBF" w14:textId="77777777" w:rsidR="004364B8" w:rsidRDefault="004364B8" w:rsidP="004364B8"/>
    <w:p w14:paraId="61B0CE22" w14:textId="77777777" w:rsidR="004364B8" w:rsidRDefault="004364B8" w:rsidP="004364B8"/>
    <w:p w14:paraId="56E0EC01" w14:textId="77777777" w:rsidR="004364B8" w:rsidRDefault="004364B8" w:rsidP="004364B8"/>
    <w:p w14:paraId="0DCAD3A9" w14:textId="77777777" w:rsidR="004364B8" w:rsidRDefault="004364B8" w:rsidP="004364B8"/>
    <w:p w14:paraId="3926A016" w14:textId="77777777" w:rsidR="004364B8" w:rsidRDefault="004364B8" w:rsidP="004364B8">
      <w:pPr>
        <w:jc w:val="center"/>
        <w:outlineLvl w:val="0"/>
        <w:rPr>
          <w:b/>
          <w:kern w:val="28"/>
          <w:szCs w:val="22"/>
        </w:rPr>
      </w:pPr>
    </w:p>
    <w:p w14:paraId="19D82D7B" w14:textId="77777777" w:rsidR="004364B8" w:rsidRDefault="004364B8" w:rsidP="004364B8">
      <w:pPr>
        <w:jc w:val="center"/>
        <w:outlineLvl w:val="0"/>
        <w:rPr>
          <w:b/>
          <w:kern w:val="28"/>
          <w:szCs w:val="22"/>
        </w:rPr>
      </w:pPr>
    </w:p>
    <w:p w14:paraId="15559816" w14:textId="77777777" w:rsidR="004364B8" w:rsidRDefault="004364B8" w:rsidP="004364B8">
      <w:pPr>
        <w:jc w:val="center"/>
        <w:outlineLvl w:val="0"/>
        <w:rPr>
          <w:b/>
          <w:kern w:val="28"/>
          <w:szCs w:val="22"/>
        </w:rPr>
      </w:pPr>
      <w:r>
        <w:rPr>
          <w:b/>
          <w:kern w:val="28"/>
          <w:szCs w:val="22"/>
        </w:rPr>
        <w:t>II PRIEDAS</w:t>
      </w:r>
    </w:p>
    <w:p w14:paraId="0FB833A6" w14:textId="77777777" w:rsidR="004364B8" w:rsidRDefault="004364B8" w:rsidP="004364B8">
      <w:pPr>
        <w:jc w:val="center"/>
      </w:pPr>
    </w:p>
    <w:p w14:paraId="28A22EDD" w14:textId="77777777" w:rsidR="004364B8" w:rsidRDefault="004364B8" w:rsidP="004364B8">
      <w:pPr>
        <w:jc w:val="center"/>
        <w:rPr>
          <w:b/>
          <w:i/>
        </w:rPr>
      </w:pPr>
      <w:r>
        <w:rPr>
          <w:b/>
        </w:rPr>
        <w:t>REGISTRACIJOS SĄLYGOS</w:t>
      </w:r>
    </w:p>
    <w:p w14:paraId="70EC99AB" w14:textId="77777777" w:rsidR="004364B8" w:rsidRDefault="004364B8" w:rsidP="004364B8">
      <w:pPr>
        <w:jc w:val="center"/>
      </w:pPr>
    </w:p>
    <w:p w14:paraId="3FD0169A" w14:textId="77777777" w:rsidR="004364B8" w:rsidRPr="001209DE" w:rsidRDefault="004364B8" w:rsidP="00BA1D9E">
      <w:pPr>
        <w:tabs>
          <w:tab w:val="left" w:pos="1701"/>
        </w:tabs>
        <w:spacing w:line="260" w:lineRule="exact"/>
        <w:ind w:left="1701" w:right="567" w:hanging="567"/>
        <w:rPr>
          <w:b/>
          <w:noProof/>
          <w:snapToGrid w:val="0"/>
          <w:szCs w:val="24"/>
          <w:lang w:eastAsia="en-US"/>
        </w:rPr>
      </w:pPr>
      <w:r w:rsidRPr="001209DE">
        <w:rPr>
          <w:b/>
          <w:noProof/>
          <w:snapToGrid w:val="0"/>
          <w:szCs w:val="24"/>
          <w:lang w:eastAsia="en-US"/>
        </w:rPr>
        <w:t>A.</w:t>
      </w:r>
      <w:r w:rsidRPr="001209DE">
        <w:rPr>
          <w:b/>
          <w:noProof/>
          <w:snapToGrid w:val="0"/>
          <w:szCs w:val="24"/>
          <w:lang w:eastAsia="en-US"/>
        </w:rPr>
        <w:tab/>
        <w:t>GAMINTOJAS (-AI), ATSAKINGAS (-I) UŽ SERIJŲ IŠLEIDIMĄ</w:t>
      </w:r>
    </w:p>
    <w:p w14:paraId="2CFFF7ED" w14:textId="77777777" w:rsidR="004364B8" w:rsidRDefault="004364B8" w:rsidP="004364B8">
      <w:pPr>
        <w:jc w:val="center"/>
      </w:pPr>
    </w:p>
    <w:p w14:paraId="72D6FABD" w14:textId="77777777" w:rsidR="004364B8" w:rsidRDefault="004364B8" w:rsidP="00BA1D9E">
      <w:pPr>
        <w:tabs>
          <w:tab w:val="left" w:pos="1701"/>
        </w:tabs>
        <w:spacing w:line="260" w:lineRule="exact"/>
        <w:ind w:left="1701" w:right="567" w:hanging="567"/>
        <w:rPr>
          <w:b/>
        </w:rPr>
      </w:pPr>
      <w:r w:rsidRPr="001209DE">
        <w:rPr>
          <w:b/>
          <w:snapToGrid w:val="0"/>
          <w:lang w:eastAsia="en-US"/>
        </w:rPr>
        <w:t>B.</w:t>
      </w:r>
      <w:r w:rsidRPr="001209DE">
        <w:rPr>
          <w:b/>
          <w:snapToGrid w:val="0"/>
          <w:lang w:eastAsia="en-US"/>
        </w:rPr>
        <w:tab/>
        <w:t>TIEKIMO IR VARTOJIMO SĄLYGOS AR APRIBOJIMAI</w:t>
      </w:r>
    </w:p>
    <w:p w14:paraId="3C5E14FA" w14:textId="77777777" w:rsidR="004364B8" w:rsidRDefault="004364B8" w:rsidP="004364B8">
      <w:pPr>
        <w:jc w:val="center"/>
      </w:pPr>
    </w:p>
    <w:p w14:paraId="00579F74" w14:textId="77777777" w:rsidR="004364B8" w:rsidRDefault="004364B8" w:rsidP="00BA1D9E">
      <w:pPr>
        <w:tabs>
          <w:tab w:val="left" w:pos="567"/>
        </w:tabs>
        <w:rPr>
          <w:b/>
        </w:rPr>
      </w:pPr>
      <w:r>
        <w:br w:type="page"/>
      </w:r>
      <w:r>
        <w:rPr>
          <w:b/>
        </w:rPr>
        <w:lastRenderedPageBreak/>
        <w:t>A.</w:t>
      </w:r>
      <w:r>
        <w:rPr>
          <w:b/>
        </w:rPr>
        <w:tab/>
        <w:t>GAMINTOJAS (-AI), ATSAKINGAS (-I) UŽ SERIJŲ IŠLEIDIMĄ</w:t>
      </w:r>
    </w:p>
    <w:p w14:paraId="3C8CD672" w14:textId="77777777" w:rsidR="004364B8" w:rsidRDefault="004364B8" w:rsidP="004364B8"/>
    <w:p w14:paraId="020B9AD4" w14:textId="77777777" w:rsidR="004364B8" w:rsidRDefault="004364B8" w:rsidP="004364B8">
      <w:pPr>
        <w:tabs>
          <w:tab w:val="left" w:pos="567"/>
        </w:tabs>
        <w:jc w:val="both"/>
        <w:rPr>
          <w:snapToGrid w:val="0"/>
          <w:szCs w:val="24"/>
          <w:lang w:eastAsia="en-US"/>
        </w:rPr>
      </w:pPr>
      <w:r>
        <w:rPr>
          <w:noProof/>
          <w:snapToGrid w:val="0"/>
          <w:szCs w:val="24"/>
          <w:u w:val="single"/>
          <w:lang w:eastAsia="en-US"/>
        </w:rPr>
        <w:t>Gamintojo (-ų), atsakingo (-ų) už serijų išleidimą, pavadinimas (-ai) ir adresas (-ai)</w:t>
      </w:r>
    </w:p>
    <w:p w14:paraId="123F567D" w14:textId="77777777" w:rsidR="004364B8" w:rsidRDefault="004364B8" w:rsidP="004364B8"/>
    <w:p w14:paraId="22E5B7FB" w14:textId="77777777" w:rsidR="004364B8" w:rsidRDefault="004364B8" w:rsidP="004364B8">
      <w:r>
        <w:t>Lek Pharmaceuticals d.d.</w:t>
      </w:r>
    </w:p>
    <w:p w14:paraId="61CFD5FF" w14:textId="77777777" w:rsidR="004364B8" w:rsidRDefault="004364B8" w:rsidP="004364B8">
      <w:r>
        <w:t>Verovškova 57</w:t>
      </w:r>
    </w:p>
    <w:p w14:paraId="7D519237" w14:textId="77777777" w:rsidR="004364B8" w:rsidRDefault="004364B8" w:rsidP="004364B8">
      <w:r>
        <w:t>1526 Ljubljana</w:t>
      </w:r>
    </w:p>
    <w:p w14:paraId="3D634E7A" w14:textId="77777777" w:rsidR="004364B8" w:rsidRDefault="004364B8" w:rsidP="004364B8">
      <w:r>
        <w:t>Slovėnija</w:t>
      </w:r>
    </w:p>
    <w:p w14:paraId="25C679F6" w14:textId="77777777" w:rsidR="004364B8" w:rsidRDefault="004364B8" w:rsidP="004364B8"/>
    <w:p w14:paraId="4A418B76" w14:textId="77777777" w:rsidR="004364B8" w:rsidRDefault="004364B8" w:rsidP="004364B8">
      <w:r>
        <w:t>arba</w:t>
      </w:r>
    </w:p>
    <w:p w14:paraId="4F901771" w14:textId="77777777" w:rsidR="004364B8" w:rsidRDefault="004364B8" w:rsidP="004364B8"/>
    <w:p w14:paraId="65E02144" w14:textId="77777777" w:rsidR="004364B8" w:rsidRDefault="004364B8" w:rsidP="004364B8">
      <w:r>
        <w:t>EBEWE Pharma Ges.m.b. Nfg.KG</w:t>
      </w:r>
    </w:p>
    <w:p w14:paraId="62691806" w14:textId="77777777" w:rsidR="004364B8" w:rsidRDefault="004364B8" w:rsidP="004364B8">
      <w:r>
        <w:t>Mondseestrasse 11</w:t>
      </w:r>
    </w:p>
    <w:p w14:paraId="74CB94B7" w14:textId="77777777" w:rsidR="004364B8" w:rsidRDefault="004364B8" w:rsidP="004364B8">
      <w:r>
        <w:t>4866 Unterach am Attersee</w:t>
      </w:r>
    </w:p>
    <w:p w14:paraId="52C3CCAA" w14:textId="77777777" w:rsidR="004364B8" w:rsidRPr="00254259" w:rsidRDefault="004364B8" w:rsidP="004364B8">
      <w:r w:rsidRPr="00254259">
        <w:t>Austrija</w:t>
      </w:r>
    </w:p>
    <w:p w14:paraId="3C8F6ACD" w14:textId="77777777" w:rsidR="004364B8" w:rsidRDefault="004364B8" w:rsidP="004364B8"/>
    <w:p w14:paraId="65011A87" w14:textId="77777777" w:rsidR="008D586C" w:rsidRDefault="008D586C" w:rsidP="008D586C">
      <w:r>
        <w:t>arba</w:t>
      </w:r>
    </w:p>
    <w:p w14:paraId="7663A7FF" w14:textId="77777777" w:rsidR="008D586C" w:rsidRDefault="008D586C" w:rsidP="008D586C"/>
    <w:p w14:paraId="6830E49C" w14:textId="77777777" w:rsidR="008D586C" w:rsidRDefault="008D586C" w:rsidP="008D586C">
      <w:r>
        <w:t>Fareva Unterach GmbH</w:t>
      </w:r>
    </w:p>
    <w:p w14:paraId="36BF21FE" w14:textId="77777777" w:rsidR="008D586C" w:rsidRDefault="008D586C" w:rsidP="008D586C">
      <w:r>
        <w:t>Mondseestrasse 11</w:t>
      </w:r>
    </w:p>
    <w:p w14:paraId="5D87E7A3" w14:textId="77777777" w:rsidR="008D586C" w:rsidRDefault="008D586C" w:rsidP="008D586C">
      <w:r>
        <w:t>A-4866 Unterach</w:t>
      </w:r>
    </w:p>
    <w:p w14:paraId="411517F5" w14:textId="77777777" w:rsidR="004364B8" w:rsidRDefault="004364B8" w:rsidP="004364B8">
      <w:r>
        <w:t>Austrija</w:t>
      </w:r>
    </w:p>
    <w:p w14:paraId="6144E5FF" w14:textId="77777777" w:rsidR="004364B8" w:rsidRDefault="004364B8" w:rsidP="004364B8"/>
    <w:p w14:paraId="2B38593B" w14:textId="77777777" w:rsidR="004364B8" w:rsidRDefault="004364B8" w:rsidP="004364B8">
      <w:r>
        <w:t>Su pakuote pateikiamame lapelyje nurodomas gamintojo, atsakingo už konkrečios serijos išleidimą, pavadinimas ir adresas.</w:t>
      </w:r>
    </w:p>
    <w:p w14:paraId="2BC3EDFF" w14:textId="77777777" w:rsidR="004364B8" w:rsidRDefault="004364B8" w:rsidP="004364B8"/>
    <w:p w14:paraId="168E2702" w14:textId="77777777" w:rsidR="004364B8" w:rsidRDefault="004364B8" w:rsidP="004364B8"/>
    <w:p w14:paraId="667B2342" w14:textId="77777777" w:rsidR="004364B8" w:rsidRDefault="004364B8" w:rsidP="00BA1D9E">
      <w:pPr>
        <w:tabs>
          <w:tab w:val="left" w:pos="567"/>
        </w:tabs>
        <w:rPr>
          <w:b/>
        </w:rPr>
      </w:pPr>
      <w:r>
        <w:rPr>
          <w:b/>
        </w:rPr>
        <w:t>B.</w:t>
      </w:r>
      <w:r>
        <w:rPr>
          <w:b/>
        </w:rPr>
        <w:tab/>
        <w:t>TIEKIMO IR VARTOJIMO SĄLYGOS AR APRIBOJIMAI</w:t>
      </w:r>
    </w:p>
    <w:p w14:paraId="1D048946" w14:textId="77777777" w:rsidR="004364B8" w:rsidRDefault="004364B8" w:rsidP="004364B8"/>
    <w:p w14:paraId="5213044A" w14:textId="77777777" w:rsidR="004364B8" w:rsidRDefault="004364B8" w:rsidP="004364B8">
      <w:r>
        <w:t>Receptinis vaistinis preparatas.</w:t>
      </w:r>
    </w:p>
    <w:p w14:paraId="3E987E1F" w14:textId="77777777" w:rsidR="004364B8" w:rsidRDefault="004364B8" w:rsidP="004364B8">
      <w:r>
        <w:br w:type="page"/>
      </w:r>
    </w:p>
    <w:p w14:paraId="7B2B5309" w14:textId="77777777" w:rsidR="004364B8" w:rsidRDefault="004364B8" w:rsidP="004364B8"/>
    <w:p w14:paraId="481D7010" w14:textId="77777777" w:rsidR="004364B8" w:rsidRDefault="004364B8" w:rsidP="004364B8"/>
    <w:p w14:paraId="2C60EFF4" w14:textId="77777777" w:rsidR="004364B8" w:rsidRDefault="004364B8" w:rsidP="004364B8"/>
    <w:p w14:paraId="1DE22AD3" w14:textId="77777777" w:rsidR="004364B8" w:rsidRDefault="004364B8" w:rsidP="004364B8"/>
    <w:p w14:paraId="0891A990" w14:textId="77777777" w:rsidR="004364B8" w:rsidRDefault="004364B8" w:rsidP="004364B8"/>
    <w:p w14:paraId="5722A2AC" w14:textId="77777777" w:rsidR="004364B8" w:rsidRDefault="004364B8" w:rsidP="004364B8"/>
    <w:p w14:paraId="66C78483" w14:textId="77777777" w:rsidR="004364B8" w:rsidRDefault="004364B8" w:rsidP="004364B8"/>
    <w:p w14:paraId="0F33823D" w14:textId="77777777" w:rsidR="004364B8" w:rsidRDefault="004364B8" w:rsidP="004364B8"/>
    <w:p w14:paraId="4618202C" w14:textId="77777777" w:rsidR="004364B8" w:rsidRDefault="004364B8" w:rsidP="004364B8"/>
    <w:p w14:paraId="269712CD" w14:textId="77777777" w:rsidR="004364B8" w:rsidRDefault="004364B8" w:rsidP="004364B8"/>
    <w:p w14:paraId="0CB8FBA5" w14:textId="77777777" w:rsidR="004364B8" w:rsidRDefault="004364B8" w:rsidP="004364B8"/>
    <w:p w14:paraId="2F9AB31F" w14:textId="77777777" w:rsidR="004364B8" w:rsidRDefault="004364B8" w:rsidP="004364B8"/>
    <w:p w14:paraId="5CD67F5B" w14:textId="77777777" w:rsidR="004364B8" w:rsidRDefault="004364B8" w:rsidP="004364B8"/>
    <w:p w14:paraId="2BE0B0C2" w14:textId="77777777" w:rsidR="004364B8" w:rsidRDefault="004364B8" w:rsidP="004364B8"/>
    <w:p w14:paraId="65E9CF20" w14:textId="77777777" w:rsidR="004364B8" w:rsidRDefault="004364B8" w:rsidP="004364B8"/>
    <w:p w14:paraId="55BBF7DC" w14:textId="77777777" w:rsidR="004364B8" w:rsidRDefault="004364B8" w:rsidP="004364B8"/>
    <w:p w14:paraId="272088B7" w14:textId="77777777" w:rsidR="004364B8" w:rsidRDefault="004364B8" w:rsidP="004364B8"/>
    <w:p w14:paraId="2629AD7F" w14:textId="77777777" w:rsidR="004364B8" w:rsidRDefault="004364B8" w:rsidP="004364B8"/>
    <w:p w14:paraId="27F1B2E3" w14:textId="77777777" w:rsidR="004364B8" w:rsidRDefault="004364B8" w:rsidP="004364B8"/>
    <w:p w14:paraId="7E686875" w14:textId="77777777" w:rsidR="004364B8" w:rsidRDefault="004364B8" w:rsidP="004364B8"/>
    <w:p w14:paraId="067C40FA" w14:textId="77777777" w:rsidR="004364B8" w:rsidRDefault="004364B8" w:rsidP="004364B8">
      <w:pPr>
        <w:jc w:val="center"/>
      </w:pPr>
    </w:p>
    <w:p w14:paraId="67D55CA8" w14:textId="77777777" w:rsidR="004364B8" w:rsidRDefault="004364B8" w:rsidP="004364B8">
      <w:pPr>
        <w:jc w:val="center"/>
      </w:pPr>
    </w:p>
    <w:p w14:paraId="7F508ED1" w14:textId="77777777" w:rsidR="004364B8" w:rsidRDefault="004364B8" w:rsidP="004364B8">
      <w:pPr>
        <w:jc w:val="center"/>
      </w:pPr>
    </w:p>
    <w:p w14:paraId="5083D672" w14:textId="77777777" w:rsidR="004364B8" w:rsidRDefault="004364B8" w:rsidP="004364B8">
      <w:pPr>
        <w:jc w:val="center"/>
        <w:outlineLvl w:val="0"/>
        <w:rPr>
          <w:b/>
          <w:kern w:val="28"/>
          <w:szCs w:val="22"/>
        </w:rPr>
      </w:pPr>
      <w:r>
        <w:rPr>
          <w:b/>
          <w:kern w:val="28"/>
          <w:szCs w:val="22"/>
        </w:rPr>
        <w:t>III PRIEDAS</w:t>
      </w:r>
    </w:p>
    <w:p w14:paraId="6CC6AA41" w14:textId="77777777" w:rsidR="004364B8" w:rsidRDefault="004364B8" w:rsidP="004364B8">
      <w:pPr>
        <w:rPr>
          <w:i/>
        </w:rPr>
      </w:pPr>
    </w:p>
    <w:p w14:paraId="1C7E6D76" w14:textId="77777777" w:rsidR="004364B8" w:rsidRDefault="004364B8" w:rsidP="004364B8">
      <w:pPr>
        <w:jc w:val="center"/>
        <w:rPr>
          <w:b/>
        </w:rPr>
      </w:pPr>
      <w:r>
        <w:rPr>
          <w:b/>
        </w:rPr>
        <w:t>ŽENKLINIMAS IR PAKUOTĖS LAPELIS</w:t>
      </w:r>
    </w:p>
    <w:p w14:paraId="393A066F" w14:textId="77777777" w:rsidR="004364B8" w:rsidRDefault="004364B8" w:rsidP="004364B8">
      <w:r>
        <w:br w:type="page"/>
      </w:r>
    </w:p>
    <w:p w14:paraId="02159D81" w14:textId="77777777" w:rsidR="004364B8" w:rsidRDefault="004364B8" w:rsidP="004364B8"/>
    <w:p w14:paraId="124814CA" w14:textId="77777777" w:rsidR="004364B8" w:rsidRDefault="004364B8" w:rsidP="004364B8"/>
    <w:p w14:paraId="72524254" w14:textId="77777777" w:rsidR="004364B8" w:rsidRDefault="004364B8" w:rsidP="004364B8"/>
    <w:p w14:paraId="58C78328" w14:textId="77777777" w:rsidR="004364B8" w:rsidRDefault="004364B8" w:rsidP="004364B8"/>
    <w:p w14:paraId="78FF6C12" w14:textId="77777777" w:rsidR="004364B8" w:rsidRDefault="004364B8" w:rsidP="004364B8"/>
    <w:p w14:paraId="79E1E6DF" w14:textId="77777777" w:rsidR="004364B8" w:rsidRDefault="004364B8" w:rsidP="004364B8"/>
    <w:p w14:paraId="6A62EE6C" w14:textId="77777777" w:rsidR="004364B8" w:rsidRDefault="004364B8" w:rsidP="004364B8"/>
    <w:p w14:paraId="70619759" w14:textId="77777777" w:rsidR="004364B8" w:rsidRDefault="004364B8" w:rsidP="004364B8"/>
    <w:p w14:paraId="6AF823AC" w14:textId="77777777" w:rsidR="004364B8" w:rsidRDefault="004364B8" w:rsidP="004364B8"/>
    <w:p w14:paraId="4C7D5E84" w14:textId="77777777" w:rsidR="004364B8" w:rsidRDefault="004364B8" w:rsidP="004364B8"/>
    <w:p w14:paraId="009FD07D" w14:textId="77777777" w:rsidR="004364B8" w:rsidRDefault="004364B8" w:rsidP="004364B8"/>
    <w:p w14:paraId="0E0DF96B" w14:textId="77777777" w:rsidR="004364B8" w:rsidRDefault="004364B8" w:rsidP="004364B8"/>
    <w:p w14:paraId="49264594" w14:textId="77777777" w:rsidR="004364B8" w:rsidRDefault="004364B8" w:rsidP="004364B8"/>
    <w:p w14:paraId="5C481D96" w14:textId="77777777" w:rsidR="004364B8" w:rsidRDefault="004364B8" w:rsidP="004364B8"/>
    <w:p w14:paraId="55A3EB58" w14:textId="77777777" w:rsidR="004364B8" w:rsidRDefault="004364B8" w:rsidP="004364B8"/>
    <w:p w14:paraId="0C885F5F" w14:textId="77777777" w:rsidR="004364B8" w:rsidRDefault="004364B8" w:rsidP="004364B8"/>
    <w:p w14:paraId="66BF6F2A" w14:textId="77777777" w:rsidR="004364B8" w:rsidRDefault="004364B8" w:rsidP="004364B8"/>
    <w:p w14:paraId="59188C2D" w14:textId="77777777" w:rsidR="004364B8" w:rsidRDefault="004364B8" w:rsidP="004364B8"/>
    <w:p w14:paraId="1DC68619" w14:textId="77777777" w:rsidR="004364B8" w:rsidRDefault="004364B8" w:rsidP="004364B8"/>
    <w:p w14:paraId="64132833" w14:textId="77777777" w:rsidR="004364B8" w:rsidRDefault="004364B8" w:rsidP="004364B8"/>
    <w:p w14:paraId="4DFA126E" w14:textId="77777777" w:rsidR="004364B8" w:rsidRDefault="004364B8" w:rsidP="004364B8"/>
    <w:p w14:paraId="0DA1E101" w14:textId="77777777" w:rsidR="004364B8" w:rsidRDefault="004364B8" w:rsidP="004364B8"/>
    <w:p w14:paraId="16418B14" w14:textId="77777777" w:rsidR="004364B8" w:rsidRDefault="004364B8" w:rsidP="004364B8"/>
    <w:p w14:paraId="6B813C14" w14:textId="77777777" w:rsidR="004364B8" w:rsidRDefault="004364B8" w:rsidP="004364B8">
      <w:pPr>
        <w:jc w:val="center"/>
        <w:outlineLvl w:val="0"/>
        <w:rPr>
          <w:b/>
          <w:kern w:val="28"/>
          <w:szCs w:val="22"/>
        </w:rPr>
      </w:pPr>
      <w:r>
        <w:rPr>
          <w:b/>
          <w:kern w:val="28"/>
          <w:szCs w:val="22"/>
        </w:rPr>
        <w:t>A. ŽENKLINIMAS</w:t>
      </w:r>
    </w:p>
    <w:p w14:paraId="57EAC5D9" w14:textId="77777777" w:rsidR="004364B8" w:rsidRDefault="004364B8" w:rsidP="004364B8">
      <w:pPr>
        <w:keepNext/>
        <w:pBdr>
          <w:top w:val="single" w:sz="4" w:space="1" w:color="auto"/>
          <w:left w:val="single" w:sz="4" w:space="4" w:color="auto"/>
          <w:bottom w:val="single" w:sz="4" w:space="1" w:color="auto"/>
          <w:right w:val="single" w:sz="4" w:space="4" w:color="auto"/>
        </w:pBdr>
        <w:outlineLvl w:val="1"/>
        <w:rPr>
          <w:b/>
        </w:rPr>
      </w:pPr>
      <w:r>
        <w:rPr>
          <w:b/>
        </w:rPr>
        <w:br w:type="page"/>
      </w:r>
      <w:r>
        <w:rPr>
          <w:b/>
        </w:rPr>
        <w:lastRenderedPageBreak/>
        <w:t xml:space="preserve">INFORMACIJA ANT IŠORINĖS PAKUOTĖS </w:t>
      </w:r>
    </w:p>
    <w:p w14:paraId="64B4F5F7" w14:textId="77777777" w:rsidR="004364B8" w:rsidRDefault="004364B8" w:rsidP="004364B8">
      <w:pPr>
        <w:pBdr>
          <w:top w:val="single" w:sz="4" w:space="1" w:color="auto"/>
          <w:left w:val="single" w:sz="4" w:space="4" w:color="auto"/>
          <w:bottom w:val="single" w:sz="4" w:space="1" w:color="auto"/>
          <w:right w:val="single" w:sz="4" w:space="4" w:color="auto"/>
        </w:pBdr>
        <w:rPr>
          <w:b/>
        </w:rPr>
      </w:pPr>
    </w:p>
    <w:p w14:paraId="0D4CE04C" w14:textId="1BCDDB25" w:rsidR="004364B8" w:rsidRDefault="004364B8" w:rsidP="004364B8">
      <w:pPr>
        <w:pBdr>
          <w:top w:val="single" w:sz="4" w:space="1" w:color="auto"/>
          <w:left w:val="single" w:sz="4" w:space="4" w:color="auto"/>
          <w:bottom w:val="single" w:sz="4" w:space="1" w:color="auto"/>
          <w:right w:val="single" w:sz="4" w:space="4" w:color="auto"/>
        </w:pBdr>
      </w:pPr>
      <w:r>
        <w:rPr>
          <w:b/>
        </w:rPr>
        <w:t>K</w:t>
      </w:r>
      <w:r w:rsidR="005F79A5">
        <w:rPr>
          <w:b/>
        </w:rPr>
        <w:t xml:space="preserve">artono </w:t>
      </w:r>
      <w:r w:rsidR="004D5F7D">
        <w:rPr>
          <w:b/>
        </w:rPr>
        <w:t>dėžutė užpildytam švirkštui</w:t>
      </w:r>
    </w:p>
    <w:p w14:paraId="594575BC" w14:textId="77777777" w:rsidR="004364B8" w:rsidRDefault="004364B8" w:rsidP="004364B8"/>
    <w:p w14:paraId="58C29AFE" w14:textId="77777777" w:rsidR="004364B8" w:rsidRDefault="004364B8" w:rsidP="004364B8"/>
    <w:p w14:paraId="3CC0D91E"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w:t>
      </w:r>
      <w:r>
        <w:rPr>
          <w:b/>
        </w:rPr>
        <w:tab/>
        <w:t>VAISTINIO PREPARATO PAVADINIMAS</w:t>
      </w:r>
    </w:p>
    <w:p w14:paraId="4D561B61" w14:textId="77777777" w:rsidR="004364B8" w:rsidRDefault="004364B8" w:rsidP="004364B8"/>
    <w:p w14:paraId="7B653D03" w14:textId="77777777" w:rsidR="004364B8" w:rsidRDefault="004364B8" w:rsidP="004364B8">
      <w:r>
        <w:rPr>
          <w:rFonts w:eastAsia="Calibri"/>
          <w:szCs w:val="22"/>
        </w:rPr>
        <w:t>Fulvestrant Sandoz 250 mg injekcinis tirpalas užpildytame švirkšte</w:t>
      </w:r>
    </w:p>
    <w:p w14:paraId="3B92C0FA" w14:textId="77777777" w:rsidR="004364B8" w:rsidRPr="00254259" w:rsidRDefault="00497ED9" w:rsidP="004364B8">
      <w:r>
        <w:t>f</w:t>
      </w:r>
      <w:r w:rsidR="004364B8" w:rsidRPr="00254259">
        <w:t>ulvestrantum</w:t>
      </w:r>
    </w:p>
    <w:p w14:paraId="75E2A80E" w14:textId="1332E873" w:rsidR="004364B8" w:rsidRDefault="004364B8" w:rsidP="004364B8"/>
    <w:p w14:paraId="1356069E" w14:textId="77777777" w:rsidR="004364B8" w:rsidRDefault="004364B8" w:rsidP="004364B8"/>
    <w:p w14:paraId="664893AB" w14:textId="77777777" w:rsidR="004364B8" w:rsidRDefault="004364B8" w:rsidP="004364B8"/>
    <w:p w14:paraId="0955F0C6"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2.</w:t>
      </w:r>
      <w:r>
        <w:rPr>
          <w:b/>
        </w:rPr>
        <w:tab/>
      </w:r>
      <w:r>
        <w:rPr>
          <w:b/>
          <w:noProof/>
          <w:szCs w:val="24"/>
        </w:rPr>
        <w:t>VEIKLIOJI (-IOS) MEDŽIAGA (-OS) IR JOS (-Ų) KIEKIS (-IAI)</w:t>
      </w:r>
    </w:p>
    <w:p w14:paraId="410293C0" w14:textId="77777777" w:rsidR="004364B8" w:rsidRDefault="004364B8" w:rsidP="004364B8"/>
    <w:p w14:paraId="1AEB12F4" w14:textId="27995FD0" w:rsidR="004364B8" w:rsidRDefault="002135B2" w:rsidP="004364B8">
      <w:r w:rsidRPr="00254259">
        <w:t>Kiekviename</w:t>
      </w:r>
      <w:r w:rsidR="004364B8">
        <w:t xml:space="preserve"> užpildytame švirkšte yra 250 mg fulvestranto 5 ml tirpalo (50 mg/ml).</w:t>
      </w:r>
    </w:p>
    <w:p w14:paraId="4742EB30" w14:textId="77777777" w:rsidR="004364B8" w:rsidRDefault="004364B8" w:rsidP="004364B8"/>
    <w:p w14:paraId="6D457464" w14:textId="77777777" w:rsidR="004364B8" w:rsidRDefault="004364B8" w:rsidP="004364B8"/>
    <w:p w14:paraId="1C8F0602"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3.</w:t>
      </w:r>
      <w:r>
        <w:rPr>
          <w:b/>
        </w:rPr>
        <w:tab/>
        <w:t>PAGALBINIŲ MEDŽIAGŲ SĄRAŠAS</w:t>
      </w:r>
    </w:p>
    <w:p w14:paraId="35E640EF" w14:textId="77777777" w:rsidR="004364B8" w:rsidRDefault="004364B8" w:rsidP="004364B8"/>
    <w:p w14:paraId="5D55F23B" w14:textId="4EBC1A5D" w:rsidR="004364B8" w:rsidRDefault="004364B8" w:rsidP="004364B8">
      <w:pPr>
        <w:rPr>
          <w:i/>
          <w:szCs w:val="22"/>
        </w:rPr>
      </w:pPr>
      <w:r>
        <w:rPr>
          <w:szCs w:val="22"/>
        </w:rPr>
        <w:t>Ethanolum (96 %), Alcohol benzylicus, Benzylis benzoas, Ricini oleum</w:t>
      </w:r>
      <w:r>
        <w:rPr>
          <w:i/>
          <w:szCs w:val="22"/>
        </w:rPr>
        <w:t>.</w:t>
      </w:r>
    </w:p>
    <w:p w14:paraId="453AA05E" w14:textId="77777777" w:rsidR="004364B8" w:rsidRDefault="004364B8" w:rsidP="004364B8">
      <w:pPr>
        <w:rPr>
          <w:szCs w:val="22"/>
        </w:rPr>
      </w:pPr>
      <w:r>
        <w:rPr>
          <w:highlight w:val="lightGray"/>
        </w:rPr>
        <w:t>Daugiau informacijos pateikta pakuotės lapelyje.</w:t>
      </w:r>
    </w:p>
    <w:p w14:paraId="7527154E" w14:textId="77777777" w:rsidR="004364B8" w:rsidRDefault="004364B8" w:rsidP="004364B8">
      <w:pPr>
        <w:rPr>
          <w:szCs w:val="22"/>
        </w:rPr>
      </w:pPr>
    </w:p>
    <w:p w14:paraId="77694566" w14:textId="77777777" w:rsidR="004364B8" w:rsidRDefault="004364B8" w:rsidP="004364B8"/>
    <w:p w14:paraId="1C9841D5"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4.</w:t>
      </w:r>
      <w:r>
        <w:rPr>
          <w:b/>
        </w:rPr>
        <w:tab/>
        <w:t>FARMACINĖ FORMA IR KIEKIS PAKUOTĖJE</w:t>
      </w:r>
    </w:p>
    <w:p w14:paraId="182251E3" w14:textId="77777777" w:rsidR="004364B8" w:rsidRDefault="004364B8" w:rsidP="004364B8"/>
    <w:p w14:paraId="77AC2C35" w14:textId="77777777" w:rsidR="004364B8" w:rsidRDefault="004364B8" w:rsidP="004364B8">
      <w:r>
        <w:rPr>
          <w:highlight w:val="lightGray"/>
        </w:rPr>
        <w:t>Injekcinis tirpalas užpildytame švirkšte</w:t>
      </w:r>
    </w:p>
    <w:p w14:paraId="2328D6AE" w14:textId="77777777" w:rsidR="004364B8" w:rsidRDefault="004364B8" w:rsidP="004364B8">
      <w:pPr>
        <w:rPr>
          <w:szCs w:val="22"/>
          <w:lang w:eastAsia="en-US"/>
        </w:rPr>
      </w:pPr>
    </w:p>
    <w:p w14:paraId="70C09A90" w14:textId="77777777" w:rsidR="004364B8" w:rsidRDefault="004364B8" w:rsidP="004364B8">
      <w:pPr>
        <w:rPr>
          <w:szCs w:val="22"/>
          <w:lang w:eastAsia="en-US"/>
        </w:rPr>
      </w:pPr>
      <w:r>
        <w:rPr>
          <w:szCs w:val="22"/>
          <w:lang w:eastAsia="en-US"/>
        </w:rPr>
        <w:t>1 užpildytas švirkštas (5 ml)</w:t>
      </w:r>
    </w:p>
    <w:p w14:paraId="27F67FD9" w14:textId="77777777" w:rsidR="004364B8" w:rsidRDefault="004364B8" w:rsidP="004364B8">
      <w:pPr>
        <w:rPr>
          <w:szCs w:val="22"/>
          <w:lang w:eastAsia="en-US"/>
        </w:rPr>
      </w:pPr>
      <w:r>
        <w:rPr>
          <w:szCs w:val="22"/>
          <w:lang w:eastAsia="en-US"/>
        </w:rPr>
        <w:t>1 saugioji adata</w:t>
      </w:r>
    </w:p>
    <w:p w14:paraId="36937349" w14:textId="77777777" w:rsidR="004364B8" w:rsidRDefault="004364B8" w:rsidP="004364B8">
      <w:pPr>
        <w:rPr>
          <w:szCs w:val="22"/>
          <w:highlight w:val="lightGray"/>
          <w:lang w:eastAsia="en-US"/>
        </w:rPr>
      </w:pPr>
      <w:r>
        <w:rPr>
          <w:szCs w:val="22"/>
          <w:highlight w:val="lightGray"/>
          <w:lang w:eastAsia="en-US"/>
        </w:rPr>
        <w:t>2 užpildyti švirkštai (kiekviename po 5 ml)</w:t>
      </w:r>
    </w:p>
    <w:p w14:paraId="51BA8DFC" w14:textId="77777777" w:rsidR="004364B8" w:rsidRDefault="004364B8" w:rsidP="004364B8">
      <w:pPr>
        <w:rPr>
          <w:szCs w:val="22"/>
          <w:highlight w:val="lightGray"/>
          <w:lang w:eastAsia="en-US"/>
        </w:rPr>
      </w:pPr>
      <w:r>
        <w:rPr>
          <w:szCs w:val="22"/>
          <w:highlight w:val="lightGray"/>
          <w:lang w:eastAsia="en-US"/>
        </w:rPr>
        <w:t>2 saugiosios adatos</w:t>
      </w:r>
    </w:p>
    <w:p w14:paraId="7CE5EDE9" w14:textId="77777777" w:rsidR="004364B8" w:rsidRDefault="004364B8" w:rsidP="004364B8">
      <w:pPr>
        <w:rPr>
          <w:b/>
          <w:szCs w:val="22"/>
          <w:highlight w:val="lightGray"/>
          <w:lang w:eastAsia="en-US"/>
        </w:rPr>
      </w:pPr>
    </w:p>
    <w:p w14:paraId="1BE4FD08" w14:textId="77777777" w:rsidR="004364B8" w:rsidRDefault="004364B8" w:rsidP="004364B8"/>
    <w:p w14:paraId="3ACBD946"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5.</w:t>
      </w:r>
      <w:r>
        <w:rPr>
          <w:b/>
        </w:rPr>
        <w:tab/>
        <w:t>VARTOJIMO METODAS IR BŪDAS (-AI)</w:t>
      </w:r>
    </w:p>
    <w:p w14:paraId="395B2334" w14:textId="77777777" w:rsidR="004364B8" w:rsidRDefault="004364B8" w:rsidP="004364B8"/>
    <w:p w14:paraId="05672041" w14:textId="09A621A6" w:rsidR="0094140F" w:rsidRDefault="0094140F" w:rsidP="004364B8">
      <w:r>
        <w:t xml:space="preserve">Tik vienkartiniam vartojimui </w:t>
      </w:r>
    </w:p>
    <w:p w14:paraId="6CEB3CA6" w14:textId="77777777" w:rsidR="0094140F" w:rsidRDefault="0094140F" w:rsidP="004364B8"/>
    <w:p w14:paraId="34D45C10" w14:textId="616FE2C3" w:rsidR="0094140F" w:rsidRDefault="0094140F" w:rsidP="0094140F">
      <w:r>
        <w:rPr>
          <w:highlight w:val="lightGray"/>
        </w:rPr>
        <w:t xml:space="preserve">Dėl Fulvestrant Sandoz vartojimo </w:t>
      </w:r>
      <w:r w:rsidR="00206C86">
        <w:rPr>
          <w:highlight w:val="lightGray"/>
        </w:rPr>
        <w:t xml:space="preserve">visų </w:t>
      </w:r>
      <w:r>
        <w:rPr>
          <w:highlight w:val="lightGray"/>
        </w:rPr>
        <w:t>instrukcijų ir saugiosios adatos naudojimo žr. pridėtas vartojimo instrukcijas.</w:t>
      </w:r>
    </w:p>
    <w:p w14:paraId="6D6DF8DC" w14:textId="77777777" w:rsidR="0094140F" w:rsidRDefault="0094140F" w:rsidP="0094140F">
      <w:r>
        <w:t>Rekomenduojama mėnesinė 500 mg dozė gaunama suleidus du švirkštus.</w:t>
      </w:r>
    </w:p>
    <w:p w14:paraId="7CB38DDB" w14:textId="77777777" w:rsidR="0094140F" w:rsidRDefault="0094140F" w:rsidP="0094140F"/>
    <w:p w14:paraId="78625462" w14:textId="51DC9B2B" w:rsidR="004364B8" w:rsidRDefault="004364B8" w:rsidP="004364B8">
      <w:r>
        <w:t>Prieš vartojimą perskaitykite pakuotės lapelį.</w:t>
      </w:r>
    </w:p>
    <w:p w14:paraId="6F4C3347" w14:textId="77777777" w:rsidR="004364B8" w:rsidRDefault="004364B8" w:rsidP="004364B8">
      <w:r>
        <w:t>Leisti į raumenis.</w:t>
      </w:r>
    </w:p>
    <w:p w14:paraId="59581869" w14:textId="29136A90" w:rsidR="004364B8" w:rsidRDefault="004364B8" w:rsidP="004364B8">
      <w:r>
        <w:t>.</w:t>
      </w:r>
    </w:p>
    <w:p w14:paraId="17030230" w14:textId="77777777" w:rsidR="004364B8" w:rsidRDefault="004364B8" w:rsidP="004364B8"/>
    <w:p w14:paraId="6977AE92" w14:textId="77777777" w:rsidR="004364B8" w:rsidRDefault="004364B8" w:rsidP="004364B8"/>
    <w:p w14:paraId="2F710DA7" w14:textId="77777777" w:rsidR="004364B8" w:rsidRDefault="004364B8" w:rsidP="004364B8">
      <w:pPr>
        <w:keepNext/>
        <w:pBdr>
          <w:top w:val="single" w:sz="4" w:space="1" w:color="auto"/>
          <w:left w:val="single" w:sz="4" w:space="4" w:color="auto"/>
          <w:bottom w:val="single" w:sz="4" w:space="1" w:color="auto"/>
          <w:right w:val="single" w:sz="4" w:space="4" w:color="auto"/>
        </w:pBdr>
        <w:ind w:left="567" w:hanging="567"/>
        <w:outlineLvl w:val="2"/>
        <w:rPr>
          <w:b/>
        </w:rPr>
      </w:pPr>
      <w:r>
        <w:rPr>
          <w:b/>
        </w:rPr>
        <w:t>6.</w:t>
      </w:r>
      <w:r>
        <w:rPr>
          <w:b/>
        </w:rPr>
        <w:tab/>
        <w:t>SPECIALUS ĮSPĖJIMAS, KAD VAISTINĮ PREPARATĄ BŪTINA LAIKYTI VAIKAMS NEPASTEBIMOJE IR NEPASIEKIAMOJE VIETOJE</w:t>
      </w:r>
    </w:p>
    <w:p w14:paraId="1F2587C0" w14:textId="77777777" w:rsidR="004364B8" w:rsidRDefault="004364B8" w:rsidP="004364B8"/>
    <w:p w14:paraId="7DD5A08C" w14:textId="77777777" w:rsidR="004364B8" w:rsidRDefault="004364B8" w:rsidP="004364B8">
      <w:r>
        <w:t>Laikyti vaikams nepastebimoje ir nepasiekiamoje vietoje.</w:t>
      </w:r>
    </w:p>
    <w:p w14:paraId="077D05DC" w14:textId="77777777" w:rsidR="004364B8" w:rsidRDefault="004364B8" w:rsidP="004364B8"/>
    <w:p w14:paraId="62568B15" w14:textId="77777777" w:rsidR="004364B8" w:rsidRDefault="004364B8" w:rsidP="004364B8"/>
    <w:p w14:paraId="2D228D61"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lastRenderedPageBreak/>
        <w:t>7.</w:t>
      </w:r>
      <w:r>
        <w:rPr>
          <w:b/>
        </w:rPr>
        <w:tab/>
        <w:t>KITAS (-I) SPECIALUS (-ŪS) ĮSPĖJIMAS (-AI) (JEI REIKIA)</w:t>
      </w:r>
    </w:p>
    <w:p w14:paraId="21969988" w14:textId="77777777" w:rsidR="004364B8" w:rsidRDefault="004364B8" w:rsidP="004364B8"/>
    <w:p w14:paraId="298CC156" w14:textId="77777777" w:rsidR="004364B8" w:rsidRDefault="004364B8" w:rsidP="004364B8"/>
    <w:p w14:paraId="17E1CC4C"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8.</w:t>
      </w:r>
      <w:r>
        <w:rPr>
          <w:b/>
        </w:rPr>
        <w:tab/>
        <w:t>TINKAMUMO LAIKAS</w:t>
      </w:r>
    </w:p>
    <w:p w14:paraId="4C674119" w14:textId="77777777" w:rsidR="004364B8" w:rsidRDefault="004364B8" w:rsidP="004364B8"/>
    <w:p w14:paraId="30392C7B" w14:textId="1F86643A" w:rsidR="004364B8" w:rsidRDefault="004B64BD" w:rsidP="004364B8">
      <w:r>
        <w:t>EXP</w:t>
      </w:r>
      <w:r w:rsidR="00F531BA">
        <w:t xml:space="preserve"> </w:t>
      </w:r>
      <w:r w:rsidR="004364B8">
        <w:t>{ mm MMMM}</w:t>
      </w:r>
    </w:p>
    <w:p w14:paraId="1C6C40B4" w14:textId="77777777" w:rsidR="004364B8" w:rsidRDefault="004364B8" w:rsidP="004364B8"/>
    <w:p w14:paraId="7FFB00F2" w14:textId="77777777" w:rsidR="004364B8" w:rsidRDefault="004364B8" w:rsidP="004364B8"/>
    <w:p w14:paraId="5B602FA9"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9.</w:t>
      </w:r>
      <w:r>
        <w:rPr>
          <w:b/>
        </w:rPr>
        <w:tab/>
        <w:t>SPECIALIOS LAIKYMO SĄLYGOS</w:t>
      </w:r>
    </w:p>
    <w:p w14:paraId="14114807" w14:textId="77777777" w:rsidR="004364B8" w:rsidRDefault="004364B8" w:rsidP="004364B8"/>
    <w:p w14:paraId="6A1C41ED" w14:textId="77777777" w:rsidR="004364B8" w:rsidRDefault="004364B8" w:rsidP="004364B8"/>
    <w:p w14:paraId="591A14B6" w14:textId="77777777" w:rsidR="004364B8" w:rsidRDefault="004364B8" w:rsidP="004364B8">
      <w:pPr>
        <w:keepNext/>
        <w:pBdr>
          <w:top w:val="single" w:sz="4" w:space="1" w:color="auto"/>
          <w:left w:val="single" w:sz="4" w:space="4" w:color="auto"/>
          <w:bottom w:val="single" w:sz="4" w:space="1" w:color="auto"/>
          <w:right w:val="single" w:sz="4" w:space="4" w:color="auto"/>
        </w:pBdr>
        <w:ind w:left="567" w:hanging="567"/>
        <w:outlineLvl w:val="2"/>
        <w:rPr>
          <w:b/>
        </w:rPr>
      </w:pPr>
      <w:r>
        <w:rPr>
          <w:b/>
        </w:rPr>
        <w:t>10.</w:t>
      </w:r>
      <w:r>
        <w:rPr>
          <w:b/>
        </w:rPr>
        <w:tab/>
        <w:t>SPECIALIOS ATSARGUMO PRIEMONĖS DĖL NESUVARTOTO VAISTINIO PREPARATO AR JO ATLIEKŲ TVARKYMO (JEI REIKIA)</w:t>
      </w:r>
    </w:p>
    <w:p w14:paraId="58996E5F" w14:textId="77777777" w:rsidR="004364B8" w:rsidRDefault="004364B8" w:rsidP="004364B8"/>
    <w:p w14:paraId="112C0DB4" w14:textId="77777777" w:rsidR="004364B8" w:rsidRDefault="004364B8" w:rsidP="004364B8"/>
    <w:p w14:paraId="6216680A"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11.</w:t>
      </w:r>
      <w:r>
        <w:rPr>
          <w:b/>
        </w:rPr>
        <w:tab/>
      </w:r>
      <w:r>
        <w:rPr>
          <w:b/>
          <w:caps/>
        </w:rPr>
        <w:t>rEGISTRUOTOJO</w:t>
      </w:r>
      <w:r>
        <w:rPr>
          <w:b/>
        </w:rPr>
        <w:t xml:space="preserve"> PAVADINIMAS IR ADRESAS</w:t>
      </w:r>
    </w:p>
    <w:p w14:paraId="10A22393" w14:textId="77777777" w:rsidR="004364B8" w:rsidRDefault="004364B8" w:rsidP="004364B8"/>
    <w:p w14:paraId="373B6D02" w14:textId="77777777" w:rsidR="004364B8" w:rsidRDefault="004364B8" w:rsidP="004364B8">
      <w:r>
        <w:t>Sandoz d.d.</w:t>
      </w:r>
    </w:p>
    <w:p w14:paraId="7DD1BED0" w14:textId="77777777" w:rsidR="004364B8" w:rsidRDefault="004364B8" w:rsidP="004364B8">
      <w:r>
        <w:t>Verovškova 57</w:t>
      </w:r>
    </w:p>
    <w:p w14:paraId="729230A3" w14:textId="77777777" w:rsidR="004364B8" w:rsidRDefault="004364B8" w:rsidP="004364B8">
      <w:r>
        <w:t>SI-1000 Ljubljana</w:t>
      </w:r>
    </w:p>
    <w:p w14:paraId="6D60DFD0" w14:textId="77777777" w:rsidR="004364B8" w:rsidRDefault="004364B8" w:rsidP="004364B8">
      <w:r>
        <w:t>Slovėnija</w:t>
      </w:r>
    </w:p>
    <w:p w14:paraId="38771F7B" w14:textId="77777777" w:rsidR="004364B8" w:rsidRDefault="004364B8" w:rsidP="004364B8"/>
    <w:p w14:paraId="4CFF8155" w14:textId="77777777" w:rsidR="004364B8" w:rsidRDefault="004364B8" w:rsidP="004364B8"/>
    <w:p w14:paraId="011176F2"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12.</w:t>
      </w:r>
      <w:r>
        <w:rPr>
          <w:b/>
        </w:rPr>
        <w:tab/>
      </w:r>
      <w:r>
        <w:rPr>
          <w:b/>
          <w:caps/>
        </w:rPr>
        <w:t xml:space="preserve">rEGISTRACIJOS PAŽYMĖJIMO </w:t>
      </w:r>
      <w:r>
        <w:rPr>
          <w:b/>
        </w:rPr>
        <w:t>NUMERIS (-IAI)</w:t>
      </w:r>
    </w:p>
    <w:p w14:paraId="160CC5F5" w14:textId="77777777" w:rsidR="004364B8" w:rsidRDefault="004364B8" w:rsidP="004364B8"/>
    <w:p w14:paraId="031309A5" w14:textId="4098B26C" w:rsidR="004364B8" w:rsidRPr="0077444B" w:rsidRDefault="004364B8" w:rsidP="004364B8">
      <w:r>
        <w:rPr>
          <w:snapToGrid w:val="0"/>
          <w:szCs w:val="24"/>
          <w:lang w:eastAsia="en-US"/>
        </w:rPr>
        <w:t>N1 – LT/1/15/3828/001</w:t>
      </w:r>
    </w:p>
    <w:p w14:paraId="0C65C26B" w14:textId="3D01BA31" w:rsidR="004364B8" w:rsidRPr="0077444B" w:rsidRDefault="004364B8" w:rsidP="004364B8">
      <w:r>
        <w:rPr>
          <w:snapToGrid w:val="0"/>
          <w:szCs w:val="24"/>
          <w:lang w:eastAsia="en-US"/>
        </w:rPr>
        <w:t xml:space="preserve">N2 – </w:t>
      </w:r>
      <w:r w:rsidRPr="0077444B">
        <w:t>LT/1/15/3828/002</w:t>
      </w:r>
    </w:p>
    <w:p w14:paraId="36E038EF" w14:textId="77777777" w:rsidR="004364B8" w:rsidRDefault="004364B8" w:rsidP="004364B8"/>
    <w:p w14:paraId="52F50889" w14:textId="77777777" w:rsidR="004364B8" w:rsidRDefault="004364B8" w:rsidP="004364B8"/>
    <w:p w14:paraId="1D554F4E"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13.</w:t>
      </w:r>
      <w:r>
        <w:rPr>
          <w:b/>
        </w:rPr>
        <w:tab/>
        <w:t>SERIJOS NUMERIS</w:t>
      </w:r>
    </w:p>
    <w:p w14:paraId="6CD02D83" w14:textId="77777777" w:rsidR="004364B8" w:rsidRDefault="004364B8" w:rsidP="004364B8"/>
    <w:p w14:paraId="096EF40D" w14:textId="77777777" w:rsidR="004364B8" w:rsidRDefault="00683617" w:rsidP="004364B8">
      <w:r w:rsidRPr="004B64BD">
        <w:t>Lot</w:t>
      </w:r>
    </w:p>
    <w:p w14:paraId="00955B23" w14:textId="77777777" w:rsidR="004364B8" w:rsidRDefault="004364B8" w:rsidP="004364B8"/>
    <w:p w14:paraId="7CD5FAF8" w14:textId="77777777" w:rsidR="004364B8" w:rsidRDefault="004364B8" w:rsidP="004364B8"/>
    <w:p w14:paraId="3809F135"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14.</w:t>
      </w:r>
      <w:r>
        <w:rPr>
          <w:b/>
        </w:rPr>
        <w:tab/>
        <w:t>PARDAVIMO (IŠDAVIMO) TVARKA</w:t>
      </w:r>
    </w:p>
    <w:p w14:paraId="70776008" w14:textId="77777777" w:rsidR="004364B8" w:rsidRDefault="004364B8" w:rsidP="004364B8"/>
    <w:p w14:paraId="2EAC14AF" w14:textId="77777777" w:rsidR="004364B8" w:rsidRDefault="004364B8" w:rsidP="004364B8">
      <w:r>
        <w:t>Receptinis vaist</w:t>
      </w:r>
      <w:r w:rsidR="00AD0D95">
        <w:t>as</w:t>
      </w:r>
      <w:r>
        <w:t>.</w:t>
      </w:r>
    </w:p>
    <w:p w14:paraId="1AA24821" w14:textId="77777777" w:rsidR="004364B8" w:rsidRDefault="004364B8" w:rsidP="004364B8"/>
    <w:p w14:paraId="5EB5E990" w14:textId="77777777" w:rsidR="004364B8" w:rsidRDefault="004364B8" w:rsidP="004364B8"/>
    <w:p w14:paraId="03CE0F69" w14:textId="77777777" w:rsidR="004364B8" w:rsidRDefault="004364B8" w:rsidP="00BA1D9E">
      <w:pPr>
        <w:keepNext/>
        <w:pBdr>
          <w:top w:val="single" w:sz="4" w:space="1" w:color="auto"/>
          <w:left w:val="single" w:sz="4" w:space="4" w:color="auto"/>
          <w:bottom w:val="single" w:sz="4" w:space="1" w:color="auto"/>
          <w:right w:val="single" w:sz="4" w:space="4" w:color="auto"/>
        </w:pBdr>
        <w:tabs>
          <w:tab w:val="left" w:pos="567"/>
        </w:tabs>
        <w:outlineLvl w:val="2"/>
        <w:rPr>
          <w:b/>
        </w:rPr>
      </w:pPr>
      <w:r>
        <w:rPr>
          <w:b/>
        </w:rPr>
        <w:t>15.</w:t>
      </w:r>
      <w:r>
        <w:rPr>
          <w:b/>
        </w:rPr>
        <w:tab/>
        <w:t>VARTOJIMO INSTRUKCIJA</w:t>
      </w:r>
    </w:p>
    <w:p w14:paraId="1331D74F" w14:textId="77777777" w:rsidR="004364B8" w:rsidRDefault="004364B8" w:rsidP="004364B8"/>
    <w:p w14:paraId="7A1DB2F5" w14:textId="77777777" w:rsidR="004364B8" w:rsidRDefault="004364B8" w:rsidP="004364B8"/>
    <w:p w14:paraId="60676939" w14:textId="77777777" w:rsidR="004364B8" w:rsidRDefault="004364B8" w:rsidP="00BA1D9E">
      <w:pPr>
        <w:pBdr>
          <w:top w:val="single" w:sz="4" w:space="1" w:color="auto"/>
          <w:left w:val="single" w:sz="4" w:space="4" w:color="auto"/>
          <w:bottom w:val="single" w:sz="4" w:space="1" w:color="auto"/>
          <w:right w:val="single" w:sz="4" w:space="4" w:color="auto"/>
        </w:pBdr>
        <w:tabs>
          <w:tab w:val="left" w:pos="567"/>
        </w:tabs>
        <w:rPr>
          <w:b/>
        </w:rPr>
      </w:pPr>
      <w:r>
        <w:rPr>
          <w:b/>
        </w:rPr>
        <w:t>16.</w:t>
      </w:r>
      <w:r>
        <w:rPr>
          <w:b/>
        </w:rPr>
        <w:tab/>
        <w:t>INFORMACIJA BRAILIO RAŠTU</w:t>
      </w:r>
    </w:p>
    <w:p w14:paraId="7A3C923C" w14:textId="77777777" w:rsidR="004364B8" w:rsidRDefault="004364B8" w:rsidP="004364B8">
      <w:pPr>
        <w:rPr>
          <w:b/>
        </w:rPr>
      </w:pPr>
    </w:p>
    <w:p w14:paraId="00C30289" w14:textId="77777777" w:rsidR="004364B8" w:rsidRDefault="004364B8" w:rsidP="004364B8">
      <w:pPr>
        <w:rPr>
          <w:highlight w:val="lightGray"/>
        </w:rPr>
      </w:pPr>
      <w:r>
        <w:rPr>
          <w:highlight w:val="lightGray"/>
        </w:rPr>
        <w:t>Priimtas pagrindimas informacijos Brailio raštu nepateikti.</w:t>
      </w:r>
    </w:p>
    <w:p w14:paraId="5444E343" w14:textId="77777777" w:rsidR="00AD0D95" w:rsidRPr="00BA1D9E" w:rsidRDefault="00AD0D95" w:rsidP="004364B8">
      <w:pPr>
        <w:rPr>
          <w:highlight w:val="lightGray"/>
        </w:rPr>
      </w:pPr>
    </w:p>
    <w:p w14:paraId="71CF6298" w14:textId="77777777" w:rsidR="00AD0D95" w:rsidRDefault="00AD0D95" w:rsidP="004364B8">
      <w:pPr>
        <w:rPr>
          <w:highlight w:val="lightGray"/>
        </w:rPr>
      </w:pPr>
    </w:p>
    <w:p w14:paraId="3C06640B" w14:textId="77777777" w:rsidR="00AD0D95" w:rsidRDefault="00AD0D95" w:rsidP="00AD0D9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Pr>
          <w:b/>
          <w:lang w:bidi="lt-LT"/>
        </w:rPr>
        <w:t>17.</w:t>
      </w:r>
      <w:r>
        <w:rPr>
          <w:b/>
          <w:lang w:bidi="lt-LT"/>
        </w:rPr>
        <w:tab/>
        <w:t>UNIKALUS IDENTIFIKATORIUS – 2D BRŪKŠNINIS KODAS</w:t>
      </w:r>
    </w:p>
    <w:p w14:paraId="5C38D987" w14:textId="77777777" w:rsidR="00AD0D95" w:rsidRDefault="00AD0D95" w:rsidP="00AD0D95">
      <w:pPr>
        <w:rPr>
          <w:lang w:bidi="lt-LT"/>
        </w:rPr>
      </w:pPr>
    </w:p>
    <w:p w14:paraId="0BFE0097" w14:textId="77777777" w:rsidR="00AD0D95" w:rsidRDefault="00AD0D95" w:rsidP="00AD0D95">
      <w:pPr>
        <w:tabs>
          <w:tab w:val="left" w:pos="567"/>
        </w:tabs>
        <w:rPr>
          <w:szCs w:val="22"/>
          <w:shd w:val="clear" w:color="auto" w:fill="CCCCCC"/>
          <w:lang w:bidi="lt-LT"/>
        </w:rPr>
      </w:pPr>
      <w:r>
        <w:rPr>
          <w:highlight w:val="lightGray"/>
          <w:lang w:bidi="lt-LT"/>
        </w:rPr>
        <w:t>2D brūkšninis kodas su nurodytu unikaliu identifikatoriumi.</w:t>
      </w:r>
    </w:p>
    <w:p w14:paraId="2A694D97" w14:textId="77777777" w:rsidR="00AD0D95" w:rsidRDefault="00AD0D95" w:rsidP="00AD0D95">
      <w:pPr>
        <w:tabs>
          <w:tab w:val="left" w:pos="567"/>
        </w:tabs>
        <w:rPr>
          <w:szCs w:val="22"/>
          <w:shd w:val="clear" w:color="auto" w:fill="CCCCCC"/>
          <w:lang w:bidi="lt-LT"/>
        </w:rPr>
      </w:pPr>
    </w:p>
    <w:p w14:paraId="24D25E31" w14:textId="77777777" w:rsidR="00AD0D95" w:rsidRDefault="00AD0D95" w:rsidP="00AD0D95">
      <w:pPr>
        <w:rPr>
          <w:lang w:bidi="lt-LT"/>
        </w:rPr>
      </w:pPr>
    </w:p>
    <w:p w14:paraId="35744A74" w14:textId="77777777" w:rsidR="00AD0D95" w:rsidRDefault="00AD0D95" w:rsidP="00AD0D95">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Pr>
          <w:b/>
          <w:lang w:bidi="lt-LT"/>
        </w:rPr>
        <w:lastRenderedPageBreak/>
        <w:t>18.</w:t>
      </w:r>
      <w:r>
        <w:rPr>
          <w:b/>
          <w:lang w:bidi="lt-LT"/>
        </w:rPr>
        <w:tab/>
        <w:t>UNIKALUS IDENTIFIKATORIUS – ŽMONĖMS SUPRANTAMI DUOMENYS</w:t>
      </w:r>
    </w:p>
    <w:p w14:paraId="49591703" w14:textId="77777777" w:rsidR="00AD0D95" w:rsidRDefault="00AD0D95" w:rsidP="00AD0D95">
      <w:pPr>
        <w:rPr>
          <w:lang w:bidi="lt-LT"/>
        </w:rPr>
      </w:pPr>
    </w:p>
    <w:p w14:paraId="79D4A3E1" w14:textId="77777777" w:rsidR="00AD0D95" w:rsidRDefault="00AD0D95" w:rsidP="00AD0D95">
      <w:pPr>
        <w:tabs>
          <w:tab w:val="left" w:pos="567"/>
        </w:tabs>
        <w:spacing w:line="260" w:lineRule="exact"/>
        <w:rPr>
          <w:color w:val="008000"/>
          <w:szCs w:val="22"/>
          <w:lang w:bidi="lt-LT"/>
        </w:rPr>
      </w:pPr>
      <w:r>
        <w:rPr>
          <w:lang w:bidi="lt-LT"/>
        </w:rPr>
        <w:t>PC: {numeris}</w:t>
      </w:r>
    </w:p>
    <w:p w14:paraId="6D9FEE1D" w14:textId="77777777" w:rsidR="00AD0D95" w:rsidRDefault="00AD0D95" w:rsidP="00AD0D95">
      <w:pPr>
        <w:tabs>
          <w:tab w:val="left" w:pos="567"/>
        </w:tabs>
        <w:spacing w:line="260" w:lineRule="exact"/>
        <w:rPr>
          <w:szCs w:val="22"/>
          <w:lang w:bidi="lt-LT"/>
        </w:rPr>
      </w:pPr>
      <w:r>
        <w:rPr>
          <w:lang w:bidi="lt-LT"/>
        </w:rPr>
        <w:t>SN: {numeris}</w:t>
      </w:r>
    </w:p>
    <w:p w14:paraId="2B7EC6A6" w14:textId="77777777" w:rsidR="00AD0D95" w:rsidRDefault="00AD0D95" w:rsidP="00AD0D95">
      <w:pPr>
        <w:tabs>
          <w:tab w:val="left" w:pos="567"/>
        </w:tabs>
        <w:spacing w:line="260" w:lineRule="exact"/>
        <w:rPr>
          <w:lang w:bidi="lt-LT"/>
        </w:rPr>
      </w:pPr>
      <w:r w:rsidRPr="001209DE">
        <w:rPr>
          <w:highlight w:val="lightGray"/>
          <w:lang w:bidi="lt-LT"/>
        </w:rPr>
        <w:t>NN: {numeris}</w:t>
      </w:r>
    </w:p>
    <w:p w14:paraId="39978860" w14:textId="77777777" w:rsidR="004364B8" w:rsidRDefault="004364B8" w:rsidP="004364B8">
      <w:pPr>
        <w:rPr>
          <w:rFonts w:eastAsia="Calibri"/>
          <w:szCs w:val="22"/>
        </w:rPr>
      </w:pPr>
    </w:p>
    <w:p w14:paraId="05579BF4" w14:textId="77777777" w:rsidR="004364B8" w:rsidRDefault="004364B8" w:rsidP="004364B8">
      <w:pPr>
        <w:pBdr>
          <w:top w:val="single" w:sz="4" w:space="1" w:color="auto"/>
          <w:left w:val="single" w:sz="4" w:space="4" w:color="auto"/>
          <w:bottom w:val="single" w:sz="4" w:space="1" w:color="auto"/>
          <w:right w:val="single" w:sz="4" w:space="4" w:color="auto"/>
        </w:pBdr>
        <w:rPr>
          <w:b/>
          <w:snapToGrid w:val="0"/>
          <w:szCs w:val="24"/>
          <w:lang w:eastAsia="en-US"/>
        </w:rPr>
      </w:pPr>
      <w:r>
        <w:rPr>
          <w:b/>
        </w:rPr>
        <w:br w:type="page"/>
      </w:r>
      <w:r>
        <w:rPr>
          <w:b/>
          <w:noProof/>
          <w:snapToGrid w:val="0"/>
          <w:szCs w:val="24"/>
          <w:lang w:eastAsia="en-US"/>
        </w:rPr>
        <w:lastRenderedPageBreak/>
        <w:t>MINIMALI INFORMACIJA ANT MAŽŲ VIDINIŲ PAKUOČIŲ</w:t>
      </w:r>
    </w:p>
    <w:p w14:paraId="0D068149" w14:textId="77777777" w:rsidR="004364B8" w:rsidRDefault="004364B8" w:rsidP="004364B8">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p>
    <w:p w14:paraId="4D9A9659" w14:textId="6B503992" w:rsidR="004364B8" w:rsidRDefault="004364B8" w:rsidP="004364B8">
      <w:pPr>
        <w:pBdr>
          <w:top w:val="single" w:sz="4" w:space="1" w:color="auto"/>
          <w:left w:val="single" w:sz="4" w:space="4" w:color="auto"/>
          <w:bottom w:val="single" w:sz="4" w:space="1" w:color="auto"/>
          <w:right w:val="single" w:sz="4" w:space="4" w:color="auto"/>
        </w:pBdr>
        <w:tabs>
          <w:tab w:val="left" w:pos="567"/>
        </w:tabs>
        <w:rPr>
          <w:snapToGrid w:val="0"/>
          <w:szCs w:val="24"/>
          <w:lang w:eastAsia="en-US"/>
        </w:rPr>
      </w:pPr>
      <w:r>
        <w:rPr>
          <w:b/>
          <w:noProof/>
          <w:snapToGrid w:val="0"/>
          <w:szCs w:val="24"/>
          <w:lang w:eastAsia="en-US"/>
        </w:rPr>
        <w:t>S</w:t>
      </w:r>
      <w:r w:rsidR="003D1D81">
        <w:rPr>
          <w:b/>
          <w:noProof/>
          <w:snapToGrid w:val="0"/>
          <w:szCs w:val="24"/>
          <w:lang w:eastAsia="en-US"/>
        </w:rPr>
        <w:t>tiklinis užpildytas švirkštas</w:t>
      </w:r>
    </w:p>
    <w:p w14:paraId="3E86C373" w14:textId="77777777" w:rsidR="004364B8" w:rsidRDefault="004364B8" w:rsidP="004364B8">
      <w:pPr>
        <w:tabs>
          <w:tab w:val="left" w:pos="567"/>
        </w:tabs>
        <w:spacing w:line="260" w:lineRule="exact"/>
        <w:rPr>
          <w:snapToGrid w:val="0"/>
          <w:szCs w:val="24"/>
          <w:lang w:eastAsia="en-US"/>
        </w:rPr>
      </w:pPr>
    </w:p>
    <w:p w14:paraId="5304FAED" w14:textId="77777777" w:rsidR="004364B8" w:rsidRDefault="004364B8" w:rsidP="004364B8">
      <w:pPr>
        <w:tabs>
          <w:tab w:val="left" w:pos="567"/>
        </w:tabs>
        <w:spacing w:line="260" w:lineRule="exact"/>
        <w:rPr>
          <w:snapToGrid w:val="0"/>
          <w:szCs w:val="24"/>
          <w:lang w:eastAsia="en-US"/>
        </w:rPr>
      </w:pPr>
    </w:p>
    <w:p w14:paraId="011B4260" w14:textId="77777777" w:rsidR="004364B8" w:rsidRDefault="004364B8" w:rsidP="004364B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Pr>
          <w:b/>
          <w:snapToGrid w:val="0"/>
          <w:szCs w:val="24"/>
          <w:lang w:eastAsia="en-US"/>
        </w:rPr>
        <w:t>1.</w:t>
      </w:r>
      <w:r>
        <w:rPr>
          <w:b/>
          <w:snapToGrid w:val="0"/>
          <w:szCs w:val="24"/>
          <w:lang w:eastAsia="en-US"/>
        </w:rPr>
        <w:tab/>
      </w:r>
      <w:r>
        <w:rPr>
          <w:b/>
          <w:caps/>
          <w:noProof/>
          <w:snapToGrid w:val="0"/>
          <w:szCs w:val="24"/>
          <w:lang w:eastAsia="en-US"/>
        </w:rPr>
        <w:t>Vaistinio preparato pavadinimas ir vartojimo būdas (-ai)</w:t>
      </w:r>
    </w:p>
    <w:p w14:paraId="0DCDFC0C" w14:textId="77777777" w:rsidR="004364B8" w:rsidRDefault="004364B8" w:rsidP="004364B8">
      <w:pPr>
        <w:tabs>
          <w:tab w:val="left" w:pos="567"/>
        </w:tabs>
        <w:spacing w:line="260" w:lineRule="exact"/>
        <w:rPr>
          <w:snapToGrid w:val="0"/>
          <w:szCs w:val="24"/>
          <w:lang w:eastAsia="en-US"/>
        </w:rPr>
      </w:pPr>
    </w:p>
    <w:p w14:paraId="324B216B" w14:textId="77777777" w:rsidR="004364B8" w:rsidRDefault="004364B8" w:rsidP="004364B8">
      <w:pPr>
        <w:tabs>
          <w:tab w:val="left" w:pos="567"/>
        </w:tabs>
        <w:spacing w:line="260" w:lineRule="exact"/>
        <w:rPr>
          <w:noProof/>
          <w:snapToGrid w:val="0"/>
          <w:szCs w:val="24"/>
          <w:lang w:eastAsia="en-US"/>
        </w:rPr>
      </w:pPr>
      <w:r>
        <w:rPr>
          <w:noProof/>
          <w:snapToGrid w:val="0"/>
          <w:szCs w:val="24"/>
          <w:lang w:eastAsia="en-US"/>
        </w:rPr>
        <w:t xml:space="preserve">Fulvestrant Sandoz 250 mg injekcinis tirpalas </w:t>
      </w:r>
      <w:r w:rsidRPr="00BA1D9E">
        <w:rPr>
          <w:highlight w:val="lightGray"/>
        </w:rPr>
        <w:t>užpildytame švirkšte</w:t>
      </w:r>
    </w:p>
    <w:p w14:paraId="584C486A" w14:textId="77777777" w:rsidR="004364B8" w:rsidRPr="00254259" w:rsidRDefault="00066F84" w:rsidP="004364B8">
      <w:pPr>
        <w:tabs>
          <w:tab w:val="left" w:pos="567"/>
        </w:tabs>
        <w:spacing w:line="260" w:lineRule="exact"/>
        <w:rPr>
          <w:noProof/>
          <w:snapToGrid w:val="0"/>
          <w:szCs w:val="24"/>
          <w:lang w:eastAsia="en-US"/>
        </w:rPr>
      </w:pPr>
      <w:r>
        <w:rPr>
          <w:noProof/>
          <w:snapToGrid w:val="0"/>
          <w:szCs w:val="24"/>
          <w:lang w:eastAsia="en-US"/>
        </w:rPr>
        <w:t>f</w:t>
      </w:r>
      <w:r w:rsidR="004364B8" w:rsidRPr="00254259">
        <w:rPr>
          <w:noProof/>
          <w:snapToGrid w:val="0"/>
          <w:szCs w:val="24"/>
          <w:lang w:eastAsia="en-US"/>
        </w:rPr>
        <w:t>ulvestrantum</w:t>
      </w:r>
    </w:p>
    <w:p w14:paraId="4E18328E" w14:textId="77777777" w:rsidR="004364B8" w:rsidRDefault="004364B8" w:rsidP="004364B8">
      <w:pPr>
        <w:tabs>
          <w:tab w:val="left" w:pos="567"/>
        </w:tabs>
        <w:spacing w:line="260" w:lineRule="exact"/>
        <w:rPr>
          <w:noProof/>
          <w:snapToGrid w:val="0"/>
          <w:szCs w:val="24"/>
          <w:lang w:eastAsia="en-US"/>
        </w:rPr>
      </w:pPr>
      <w:r>
        <w:rPr>
          <w:noProof/>
          <w:snapToGrid w:val="0"/>
          <w:szCs w:val="24"/>
          <w:lang w:eastAsia="en-US"/>
        </w:rPr>
        <w:t>i.m.</w:t>
      </w:r>
    </w:p>
    <w:p w14:paraId="11585F66" w14:textId="77777777" w:rsidR="004364B8" w:rsidRDefault="004364B8" w:rsidP="004364B8">
      <w:pPr>
        <w:tabs>
          <w:tab w:val="left" w:pos="567"/>
        </w:tabs>
        <w:spacing w:line="260" w:lineRule="exact"/>
        <w:rPr>
          <w:snapToGrid w:val="0"/>
          <w:szCs w:val="24"/>
          <w:lang w:eastAsia="en-US"/>
        </w:rPr>
      </w:pPr>
    </w:p>
    <w:p w14:paraId="065073C5" w14:textId="77777777" w:rsidR="004364B8" w:rsidRDefault="004364B8" w:rsidP="004364B8">
      <w:pPr>
        <w:tabs>
          <w:tab w:val="left" w:pos="567"/>
        </w:tabs>
        <w:spacing w:line="260" w:lineRule="exact"/>
        <w:rPr>
          <w:snapToGrid w:val="0"/>
          <w:szCs w:val="24"/>
          <w:lang w:eastAsia="en-US"/>
        </w:rPr>
      </w:pPr>
    </w:p>
    <w:p w14:paraId="57760A62" w14:textId="77777777" w:rsidR="004364B8" w:rsidRDefault="004364B8" w:rsidP="004364B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Pr>
          <w:b/>
          <w:snapToGrid w:val="0"/>
          <w:szCs w:val="24"/>
          <w:lang w:eastAsia="en-US"/>
        </w:rPr>
        <w:t>2.</w:t>
      </w:r>
      <w:r>
        <w:rPr>
          <w:b/>
          <w:snapToGrid w:val="0"/>
          <w:szCs w:val="24"/>
          <w:lang w:eastAsia="en-US"/>
        </w:rPr>
        <w:tab/>
      </w:r>
      <w:r>
        <w:rPr>
          <w:b/>
          <w:noProof/>
          <w:snapToGrid w:val="0"/>
          <w:szCs w:val="24"/>
          <w:lang w:eastAsia="en-US"/>
        </w:rPr>
        <w:t>VARTOJIMO METODAS</w:t>
      </w:r>
    </w:p>
    <w:p w14:paraId="667925D2" w14:textId="77777777" w:rsidR="004364B8" w:rsidRDefault="004364B8" w:rsidP="004364B8">
      <w:pPr>
        <w:tabs>
          <w:tab w:val="left" w:pos="567"/>
        </w:tabs>
        <w:spacing w:line="260" w:lineRule="exact"/>
        <w:rPr>
          <w:snapToGrid w:val="0"/>
          <w:szCs w:val="24"/>
          <w:lang w:eastAsia="en-US"/>
        </w:rPr>
      </w:pPr>
    </w:p>
    <w:p w14:paraId="50ACC96C" w14:textId="77777777" w:rsidR="004364B8" w:rsidRDefault="004364B8" w:rsidP="004364B8">
      <w:pPr>
        <w:tabs>
          <w:tab w:val="left" w:pos="567"/>
        </w:tabs>
        <w:spacing w:line="260" w:lineRule="exact"/>
        <w:rPr>
          <w:snapToGrid w:val="0"/>
          <w:szCs w:val="24"/>
          <w:lang w:eastAsia="en-US"/>
        </w:rPr>
      </w:pPr>
    </w:p>
    <w:p w14:paraId="0FB80FCD" w14:textId="77777777" w:rsidR="004364B8" w:rsidRDefault="004364B8" w:rsidP="004364B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Pr>
          <w:b/>
          <w:snapToGrid w:val="0"/>
          <w:szCs w:val="24"/>
          <w:lang w:eastAsia="en-US"/>
        </w:rPr>
        <w:t>3.</w:t>
      </w:r>
      <w:r>
        <w:rPr>
          <w:b/>
          <w:snapToGrid w:val="0"/>
          <w:szCs w:val="24"/>
          <w:lang w:eastAsia="en-US"/>
        </w:rPr>
        <w:tab/>
      </w:r>
      <w:r>
        <w:rPr>
          <w:b/>
          <w:noProof/>
          <w:snapToGrid w:val="0"/>
          <w:szCs w:val="24"/>
          <w:lang w:eastAsia="en-US"/>
        </w:rPr>
        <w:t>TINKAMUMO LAIKAS</w:t>
      </w:r>
    </w:p>
    <w:p w14:paraId="2342DD9A" w14:textId="77777777" w:rsidR="004364B8" w:rsidRDefault="004364B8" w:rsidP="004364B8">
      <w:pPr>
        <w:tabs>
          <w:tab w:val="left" w:pos="567"/>
        </w:tabs>
        <w:spacing w:line="260" w:lineRule="exact"/>
        <w:rPr>
          <w:snapToGrid w:val="0"/>
          <w:szCs w:val="24"/>
          <w:lang w:eastAsia="en-US"/>
        </w:rPr>
      </w:pPr>
    </w:p>
    <w:p w14:paraId="573C2447" w14:textId="36CF19BA" w:rsidR="004364B8" w:rsidRDefault="004364B8" w:rsidP="004364B8">
      <w:pPr>
        <w:tabs>
          <w:tab w:val="left" w:pos="567"/>
        </w:tabs>
        <w:spacing w:line="260" w:lineRule="exact"/>
        <w:rPr>
          <w:snapToGrid w:val="0"/>
          <w:lang w:eastAsia="en-US"/>
        </w:rPr>
      </w:pPr>
      <w:r>
        <w:rPr>
          <w:snapToGrid w:val="0"/>
          <w:highlight w:val="lightGray"/>
          <w:lang w:eastAsia="en-US"/>
        </w:rPr>
        <w:t>EXP</w:t>
      </w:r>
      <w:r>
        <w:rPr>
          <w:snapToGrid w:val="0"/>
          <w:lang w:eastAsia="en-US"/>
        </w:rPr>
        <w:t xml:space="preserve"> {mm MMMM}</w:t>
      </w:r>
    </w:p>
    <w:p w14:paraId="39488EA3" w14:textId="77777777" w:rsidR="004364B8" w:rsidRDefault="004364B8" w:rsidP="004364B8">
      <w:pPr>
        <w:tabs>
          <w:tab w:val="left" w:pos="567"/>
        </w:tabs>
        <w:spacing w:line="260" w:lineRule="exact"/>
        <w:rPr>
          <w:snapToGrid w:val="0"/>
          <w:lang w:eastAsia="en-US"/>
        </w:rPr>
      </w:pPr>
    </w:p>
    <w:p w14:paraId="2F94CAB3" w14:textId="77777777" w:rsidR="004364B8" w:rsidRDefault="004364B8" w:rsidP="004364B8">
      <w:pPr>
        <w:tabs>
          <w:tab w:val="left" w:pos="567"/>
        </w:tabs>
        <w:spacing w:line="260" w:lineRule="exact"/>
        <w:rPr>
          <w:snapToGrid w:val="0"/>
          <w:szCs w:val="24"/>
          <w:lang w:eastAsia="en-US"/>
        </w:rPr>
      </w:pPr>
    </w:p>
    <w:p w14:paraId="7A30F370" w14:textId="77777777" w:rsidR="004364B8" w:rsidRDefault="004364B8" w:rsidP="004364B8">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lang w:eastAsia="en-US"/>
        </w:rPr>
      </w:pPr>
      <w:r>
        <w:rPr>
          <w:b/>
          <w:snapToGrid w:val="0"/>
          <w:szCs w:val="24"/>
          <w:lang w:eastAsia="en-US"/>
        </w:rPr>
        <w:t>4.</w:t>
      </w:r>
      <w:r>
        <w:rPr>
          <w:b/>
          <w:snapToGrid w:val="0"/>
          <w:szCs w:val="24"/>
          <w:lang w:eastAsia="en-US"/>
        </w:rPr>
        <w:tab/>
      </w:r>
      <w:r>
        <w:rPr>
          <w:b/>
          <w:noProof/>
          <w:snapToGrid w:val="0"/>
          <w:szCs w:val="24"/>
          <w:lang w:eastAsia="en-US"/>
        </w:rPr>
        <w:t xml:space="preserve">SERIJOS NUMERIS </w:t>
      </w:r>
    </w:p>
    <w:p w14:paraId="42F81BA7" w14:textId="77777777" w:rsidR="004364B8" w:rsidRDefault="004364B8" w:rsidP="004364B8">
      <w:pPr>
        <w:tabs>
          <w:tab w:val="left" w:pos="567"/>
        </w:tabs>
        <w:spacing w:line="260" w:lineRule="exact"/>
        <w:rPr>
          <w:snapToGrid w:val="0"/>
          <w:lang w:eastAsia="en-US"/>
        </w:rPr>
      </w:pPr>
    </w:p>
    <w:p w14:paraId="4349BB32" w14:textId="421AB89C" w:rsidR="004364B8" w:rsidRDefault="004364B8" w:rsidP="004364B8">
      <w:pPr>
        <w:tabs>
          <w:tab w:val="left" w:pos="567"/>
        </w:tabs>
        <w:spacing w:line="260" w:lineRule="exact"/>
        <w:rPr>
          <w:snapToGrid w:val="0"/>
          <w:lang w:eastAsia="en-US"/>
        </w:rPr>
      </w:pPr>
      <w:r>
        <w:rPr>
          <w:snapToGrid w:val="0"/>
          <w:highlight w:val="lightGray"/>
          <w:lang w:eastAsia="en-US"/>
        </w:rPr>
        <w:t>Lot</w:t>
      </w:r>
      <w:r>
        <w:rPr>
          <w:snapToGrid w:val="0"/>
          <w:lang w:eastAsia="en-US"/>
        </w:rPr>
        <w:t xml:space="preserve"> {</w:t>
      </w:r>
      <w:r w:rsidR="00F531BA">
        <w:rPr>
          <w:snapToGrid w:val="0"/>
          <w:lang w:eastAsia="en-US"/>
        </w:rPr>
        <w:t>n</w:t>
      </w:r>
      <w:r>
        <w:rPr>
          <w:snapToGrid w:val="0"/>
          <w:lang w:eastAsia="en-US"/>
        </w:rPr>
        <w:t>umer</w:t>
      </w:r>
      <w:r w:rsidR="00F531BA">
        <w:rPr>
          <w:snapToGrid w:val="0"/>
          <w:lang w:eastAsia="en-US"/>
        </w:rPr>
        <w:t>is</w:t>
      </w:r>
      <w:r>
        <w:rPr>
          <w:snapToGrid w:val="0"/>
          <w:lang w:eastAsia="en-US"/>
        </w:rPr>
        <w:t>}</w:t>
      </w:r>
    </w:p>
    <w:p w14:paraId="7E9F4BB8" w14:textId="77777777" w:rsidR="004364B8" w:rsidRDefault="004364B8" w:rsidP="004364B8">
      <w:pPr>
        <w:tabs>
          <w:tab w:val="left" w:pos="567"/>
        </w:tabs>
        <w:spacing w:line="260" w:lineRule="exact"/>
        <w:rPr>
          <w:snapToGrid w:val="0"/>
          <w:szCs w:val="24"/>
          <w:lang w:eastAsia="en-US"/>
        </w:rPr>
      </w:pPr>
    </w:p>
    <w:p w14:paraId="4028DAE3" w14:textId="77777777" w:rsidR="004364B8" w:rsidRDefault="004364B8" w:rsidP="004364B8">
      <w:pPr>
        <w:tabs>
          <w:tab w:val="left" w:pos="567"/>
        </w:tabs>
        <w:spacing w:line="260" w:lineRule="exact"/>
        <w:rPr>
          <w:snapToGrid w:val="0"/>
          <w:szCs w:val="24"/>
          <w:lang w:eastAsia="en-US"/>
        </w:rPr>
      </w:pPr>
    </w:p>
    <w:p w14:paraId="7A6218D8" w14:textId="77777777" w:rsidR="004364B8" w:rsidRDefault="004364B8" w:rsidP="004364B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Pr>
          <w:b/>
          <w:snapToGrid w:val="0"/>
          <w:szCs w:val="24"/>
          <w:lang w:eastAsia="en-US"/>
        </w:rPr>
        <w:t>5.</w:t>
      </w:r>
      <w:r>
        <w:rPr>
          <w:b/>
          <w:snapToGrid w:val="0"/>
          <w:szCs w:val="24"/>
          <w:lang w:eastAsia="en-US"/>
        </w:rPr>
        <w:tab/>
      </w:r>
      <w:r>
        <w:rPr>
          <w:b/>
          <w:snapToGrid w:val="0"/>
          <w:lang w:eastAsia="en-US"/>
        </w:rPr>
        <w:t>KIEKIS (MASĖ, TŪRIS ARBA VIENETAI)</w:t>
      </w:r>
    </w:p>
    <w:p w14:paraId="20600344" w14:textId="77777777" w:rsidR="004364B8" w:rsidRDefault="004364B8" w:rsidP="004364B8">
      <w:pPr>
        <w:tabs>
          <w:tab w:val="left" w:pos="567"/>
        </w:tabs>
        <w:spacing w:line="260" w:lineRule="exact"/>
        <w:rPr>
          <w:snapToGrid w:val="0"/>
          <w:szCs w:val="24"/>
          <w:lang w:eastAsia="en-US"/>
        </w:rPr>
      </w:pPr>
    </w:p>
    <w:p w14:paraId="1E6A17A7" w14:textId="77777777" w:rsidR="004364B8" w:rsidRDefault="004364B8" w:rsidP="004364B8">
      <w:pPr>
        <w:tabs>
          <w:tab w:val="left" w:pos="567"/>
        </w:tabs>
        <w:spacing w:line="260" w:lineRule="exact"/>
        <w:rPr>
          <w:snapToGrid w:val="0"/>
          <w:szCs w:val="24"/>
          <w:lang w:eastAsia="en-US"/>
        </w:rPr>
      </w:pPr>
      <w:r>
        <w:rPr>
          <w:snapToGrid w:val="0"/>
          <w:szCs w:val="24"/>
          <w:lang w:eastAsia="en-US"/>
        </w:rPr>
        <w:t>5 ml</w:t>
      </w:r>
    </w:p>
    <w:p w14:paraId="671A343D" w14:textId="77777777" w:rsidR="004364B8" w:rsidRDefault="004364B8" w:rsidP="004364B8">
      <w:pPr>
        <w:tabs>
          <w:tab w:val="left" w:pos="567"/>
        </w:tabs>
        <w:spacing w:line="260" w:lineRule="exact"/>
        <w:rPr>
          <w:snapToGrid w:val="0"/>
          <w:szCs w:val="24"/>
          <w:lang w:eastAsia="en-US"/>
        </w:rPr>
      </w:pPr>
    </w:p>
    <w:p w14:paraId="7352E871" w14:textId="77777777" w:rsidR="004364B8" w:rsidRDefault="004364B8" w:rsidP="004364B8">
      <w:pPr>
        <w:tabs>
          <w:tab w:val="left" w:pos="567"/>
        </w:tabs>
        <w:spacing w:line="260" w:lineRule="exact"/>
        <w:rPr>
          <w:snapToGrid w:val="0"/>
          <w:szCs w:val="24"/>
          <w:lang w:eastAsia="en-US"/>
        </w:rPr>
      </w:pPr>
    </w:p>
    <w:p w14:paraId="4EAC208D" w14:textId="77777777" w:rsidR="004364B8" w:rsidRDefault="004364B8" w:rsidP="004364B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Pr>
          <w:b/>
          <w:snapToGrid w:val="0"/>
          <w:szCs w:val="24"/>
          <w:lang w:eastAsia="en-US"/>
        </w:rPr>
        <w:t>6.</w:t>
      </w:r>
      <w:r>
        <w:rPr>
          <w:b/>
          <w:snapToGrid w:val="0"/>
          <w:szCs w:val="24"/>
          <w:lang w:eastAsia="en-US"/>
        </w:rPr>
        <w:tab/>
      </w:r>
      <w:r>
        <w:rPr>
          <w:b/>
          <w:snapToGrid w:val="0"/>
          <w:lang w:eastAsia="en-US"/>
        </w:rPr>
        <w:t>KITA</w:t>
      </w:r>
    </w:p>
    <w:p w14:paraId="3C699179" w14:textId="77777777" w:rsidR="004364B8" w:rsidRDefault="004364B8" w:rsidP="004364B8">
      <w:pPr>
        <w:tabs>
          <w:tab w:val="left" w:pos="567"/>
        </w:tabs>
        <w:spacing w:line="260" w:lineRule="exact"/>
        <w:rPr>
          <w:snapToGrid w:val="0"/>
          <w:szCs w:val="24"/>
          <w:lang w:eastAsia="en-US"/>
        </w:rPr>
      </w:pPr>
    </w:p>
    <w:p w14:paraId="38FE970A" w14:textId="63AD7967" w:rsidR="004364B8" w:rsidRDefault="004364B8" w:rsidP="004364B8">
      <w:pPr>
        <w:keepNext/>
        <w:outlineLvl w:val="1"/>
        <w:rPr>
          <w:snapToGrid w:val="0"/>
          <w:szCs w:val="22"/>
          <w:lang w:eastAsia="en-US"/>
        </w:rPr>
      </w:pPr>
    </w:p>
    <w:p w14:paraId="19F52A6F" w14:textId="77777777" w:rsidR="004364B8" w:rsidRDefault="004364B8" w:rsidP="004364B8">
      <w:r>
        <w:br w:type="page"/>
      </w:r>
    </w:p>
    <w:p w14:paraId="6D69A8F5" w14:textId="77777777" w:rsidR="004364B8" w:rsidRDefault="004364B8" w:rsidP="004364B8"/>
    <w:p w14:paraId="0983A788" w14:textId="77777777" w:rsidR="004364B8" w:rsidRDefault="004364B8" w:rsidP="004364B8"/>
    <w:p w14:paraId="1ABECEDF" w14:textId="77777777" w:rsidR="004364B8" w:rsidRDefault="004364B8" w:rsidP="004364B8"/>
    <w:p w14:paraId="2512F8E9" w14:textId="77777777" w:rsidR="004364B8" w:rsidRDefault="004364B8" w:rsidP="004364B8"/>
    <w:p w14:paraId="63E3C973" w14:textId="77777777" w:rsidR="004364B8" w:rsidRDefault="004364B8" w:rsidP="004364B8"/>
    <w:p w14:paraId="34B43392" w14:textId="77777777" w:rsidR="004364B8" w:rsidRDefault="004364B8" w:rsidP="004364B8"/>
    <w:p w14:paraId="002B2602" w14:textId="77777777" w:rsidR="004364B8" w:rsidRDefault="004364B8" w:rsidP="004364B8"/>
    <w:p w14:paraId="125DD686" w14:textId="77777777" w:rsidR="004364B8" w:rsidRDefault="004364B8" w:rsidP="004364B8"/>
    <w:p w14:paraId="34FB8436" w14:textId="77777777" w:rsidR="004364B8" w:rsidRDefault="004364B8" w:rsidP="004364B8"/>
    <w:p w14:paraId="300BCFEF" w14:textId="77777777" w:rsidR="004364B8" w:rsidRDefault="004364B8" w:rsidP="004364B8"/>
    <w:p w14:paraId="5034D858" w14:textId="77777777" w:rsidR="004364B8" w:rsidRDefault="004364B8" w:rsidP="004364B8"/>
    <w:p w14:paraId="165C7D9D" w14:textId="77777777" w:rsidR="004364B8" w:rsidRDefault="004364B8" w:rsidP="004364B8"/>
    <w:p w14:paraId="754BBB1C" w14:textId="77777777" w:rsidR="004364B8" w:rsidRDefault="004364B8" w:rsidP="004364B8"/>
    <w:p w14:paraId="75562185" w14:textId="77777777" w:rsidR="004364B8" w:rsidRDefault="004364B8" w:rsidP="004364B8"/>
    <w:p w14:paraId="0450F15E" w14:textId="77777777" w:rsidR="004364B8" w:rsidRDefault="004364B8" w:rsidP="004364B8"/>
    <w:p w14:paraId="304854FA" w14:textId="77777777" w:rsidR="004364B8" w:rsidRDefault="004364B8" w:rsidP="004364B8"/>
    <w:p w14:paraId="61F0CCA4" w14:textId="77777777" w:rsidR="004364B8" w:rsidRDefault="004364B8" w:rsidP="004364B8"/>
    <w:p w14:paraId="6DE796E7" w14:textId="77777777" w:rsidR="004364B8" w:rsidRDefault="004364B8" w:rsidP="004364B8"/>
    <w:p w14:paraId="68950843" w14:textId="77777777" w:rsidR="004364B8" w:rsidRDefault="004364B8" w:rsidP="004364B8"/>
    <w:p w14:paraId="386AE55B" w14:textId="77777777" w:rsidR="004364B8" w:rsidRDefault="004364B8" w:rsidP="004364B8"/>
    <w:p w14:paraId="77EDA6ED" w14:textId="77777777" w:rsidR="004364B8" w:rsidRDefault="004364B8" w:rsidP="004364B8"/>
    <w:p w14:paraId="7329CE40" w14:textId="77777777" w:rsidR="004364B8" w:rsidRDefault="004364B8" w:rsidP="004364B8"/>
    <w:p w14:paraId="25DA6CB4" w14:textId="77777777" w:rsidR="004364B8" w:rsidRDefault="004364B8" w:rsidP="004364B8"/>
    <w:p w14:paraId="47890E2E" w14:textId="77777777" w:rsidR="004364B8" w:rsidRDefault="004364B8" w:rsidP="004364B8">
      <w:pPr>
        <w:jc w:val="center"/>
        <w:outlineLvl w:val="0"/>
        <w:rPr>
          <w:b/>
          <w:kern w:val="28"/>
          <w:szCs w:val="22"/>
        </w:rPr>
      </w:pPr>
      <w:r>
        <w:rPr>
          <w:b/>
          <w:kern w:val="28"/>
          <w:szCs w:val="22"/>
        </w:rPr>
        <w:t>B. PAKUOTĖS LAPELIS</w:t>
      </w:r>
    </w:p>
    <w:p w14:paraId="6FF1DDEA" w14:textId="77777777" w:rsidR="004364B8" w:rsidRDefault="004364B8" w:rsidP="004364B8">
      <w:pPr>
        <w:tabs>
          <w:tab w:val="left" w:pos="567"/>
        </w:tabs>
        <w:jc w:val="center"/>
        <w:rPr>
          <w:b/>
          <w:iCs/>
          <w:szCs w:val="22"/>
        </w:rPr>
      </w:pPr>
      <w:r>
        <w:rPr>
          <w:szCs w:val="22"/>
        </w:rPr>
        <w:br w:type="page"/>
      </w:r>
      <w:r>
        <w:rPr>
          <w:b/>
          <w:iCs/>
          <w:szCs w:val="22"/>
        </w:rPr>
        <w:lastRenderedPageBreak/>
        <w:t>Pakuotės lapelis: informacija</w:t>
      </w:r>
      <w:r w:rsidR="004D1227">
        <w:rPr>
          <w:b/>
          <w:iCs/>
          <w:szCs w:val="22"/>
        </w:rPr>
        <w:t xml:space="preserve"> vartotojui </w:t>
      </w:r>
    </w:p>
    <w:p w14:paraId="2CDB46BB" w14:textId="77777777" w:rsidR="004364B8" w:rsidRDefault="004364B8" w:rsidP="004364B8">
      <w:pPr>
        <w:tabs>
          <w:tab w:val="left" w:pos="567"/>
        </w:tabs>
        <w:jc w:val="center"/>
        <w:rPr>
          <w:iCs/>
          <w:szCs w:val="22"/>
        </w:rPr>
      </w:pPr>
    </w:p>
    <w:p w14:paraId="73353CFC" w14:textId="77777777" w:rsidR="004364B8" w:rsidRDefault="004364B8" w:rsidP="004364B8">
      <w:pPr>
        <w:tabs>
          <w:tab w:val="left" w:pos="567"/>
        </w:tabs>
        <w:jc w:val="center"/>
        <w:rPr>
          <w:rFonts w:eastAsia="Calibri"/>
          <w:b/>
          <w:szCs w:val="22"/>
        </w:rPr>
      </w:pPr>
      <w:r>
        <w:rPr>
          <w:rFonts w:eastAsia="Calibri"/>
          <w:b/>
          <w:szCs w:val="22"/>
        </w:rPr>
        <w:t>Fulvestrant Sandoz 250 mg injekcinis tirpalas užpildytame švirkšte</w:t>
      </w:r>
    </w:p>
    <w:p w14:paraId="5C719392" w14:textId="3C2713D6" w:rsidR="004364B8" w:rsidRDefault="00033761" w:rsidP="004364B8">
      <w:pPr>
        <w:tabs>
          <w:tab w:val="left" w:pos="567"/>
        </w:tabs>
        <w:jc w:val="center"/>
        <w:rPr>
          <w:b/>
          <w:szCs w:val="22"/>
        </w:rPr>
      </w:pPr>
      <w:r>
        <w:rPr>
          <w:szCs w:val="22"/>
        </w:rPr>
        <w:t>f</w:t>
      </w:r>
      <w:r w:rsidR="004364B8">
        <w:rPr>
          <w:szCs w:val="22"/>
        </w:rPr>
        <w:t>ulvestrantas</w:t>
      </w:r>
    </w:p>
    <w:p w14:paraId="0C3723FB" w14:textId="77777777" w:rsidR="004364B8" w:rsidRDefault="004364B8" w:rsidP="004364B8">
      <w:pPr>
        <w:numPr>
          <w:ilvl w:val="12"/>
          <w:numId w:val="0"/>
        </w:numPr>
        <w:shd w:val="clear" w:color="auto" w:fill="FFFFFF"/>
        <w:jc w:val="center"/>
        <w:rPr>
          <w:szCs w:val="22"/>
        </w:rPr>
      </w:pPr>
    </w:p>
    <w:p w14:paraId="3A6C02CA" w14:textId="77777777" w:rsidR="004364B8" w:rsidRDefault="004364B8" w:rsidP="004364B8">
      <w:pPr>
        <w:suppressAutoHyphens/>
        <w:ind w:left="142" w:hanging="142"/>
        <w:rPr>
          <w:szCs w:val="24"/>
        </w:rPr>
      </w:pPr>
      <w:r>
        <w:rPr>
          <w:b/>
          <w:noProof/>
          <w:szCs w:val="24"/>
        </w:rPr>
        <w:t>Atidžiai perskaitykite visą šį lapelį, prieš pradėdami vartoti vaistą, nes jame pateikiama Jums svarbi informacija.</w:t>
      </w:r>
    </w:p>
    <w:p w14:paraId="5CB3D879" w14:textId="77777777" w:rsidR="004364B8" w:rsidRDefault="004364B8" w:rsidP="004364B8">
      <w:pPr>
        <w:numPr>
          <w:ilvl w:val="0"/>
          <w:numId w:val="5"/>
        </w:numPr>
        <w:ind w:left="567" w:right="-2" w:hanging="567"/>
        <w:rPr>
          <w:szCs w:val="24"/>
        </w:rPr>
      </w:pPr>
      <w:r>
        <w:rPr>
          <w:noProof/>
          <w:szCs w:val="24"/>
        </w:rPr>
        <w:t>Neišmeskite šio lapelio, nes vėl gali prireikti jį perskaityti.</w:t>
      </w:r>
      <w:r>
        <w:rPr>
          <w:szCs w:val="24"/>
        </w:rPr>
        <w:t xml:space="preserve"> </w:t>
      </w:r>
    </w:p>
    <w:p w14:paraId="7A8472AB" w14:textId="77777777" w:rsidR="004364B8" w:rsidRDefault="004364B8" w:rsidP="004364B8">
      <w:pPr>
        <w:numPr>
          <w:ilvl w:val="0"/>
          <w:numId w:val="5"/>
        </w:numPr>
        <w:ind w:left="567" w:right="-2" w:hanging="567"/>
        <w:rPr>
          <w:szCs w:val="24"/>
        </w:rPr>
      </w:pPr>
      <w:r>
        <w:rPr>
          <w:noProof/>
          <w:szCs w:val="24"/>
        </w:rPr>
        <w:t>Jeigu kiltų daugiau klausimų, kreipkitės į gydytoją, vaistininką arba slaugytoją.</w:t>
      </w:r>
    </w:p>
    <w:p w14:paraId="46300CB9" w14:textId="77777777" w:rsidR="004364B8" w:rsidRDefault="004364B8" w:rsidP="004364B8">
      <w:pPr>
        <w:numPr>
          <w:ilvl w:val="0"/>
          <w:numId w:val="5"/>
        </w:numPr>
        <w:ind w:left="567" w:right="-2" w:hanging="567"/>
        <w:rPr>
          <w:szCs w:val="24"/>
        </w:rPr>
      </w:pPr>
      <w:r>
        <w:rPr>
          <w:noProof/>
          <w:szCs w:val="24"/>
        </w:rPr>
        <w:t>Šis vaistas skirtas tik Jums, todėl kitiems žmonėms jo duoti negalima.</w:t>
      </w:r>
      <w:r>
        <w:rPr>
          <w:szCs w:val="24"/>
        </w:rPr>
        <w:t xml:space="preserve"> </w:t>
      </w:r>
      <w:r>
        <w:rPr>
          <w:noProof/>
          <w:szCs w:val="24"/>
        </w:rPr>
        <w:t>Vaistas gali jiems pakenkti (net tiems, kurių ligos požymiai yra tokie patys kaip Jūsų).</w:t>
      </w:r>
      <w:r>
        <w:rPr>
          <w:color w:val="008000"/>
          <w:szCs w:val="24"/>
        </w:rPr>
        <w:t xml:space="preserve"> </w:t>
      </w:r>
    </w:p>
    <w:p w14:paraId="3C64DFC3" w14:textId="77777777" w:rsidR="004364B8" w:rsidRDefault="004364B8" w:rsidP="004364B8">
      <w:pPr>
        <w:numPr>
          <w:ilvl w:val="0"/>
          <w:numId w:val="5"/>
        </w:numPr>
        <w:tabs>
          <w:tab w:val="left" w:pos="567"/>
        </w:tabs>
        <w:ind w:left="567" w:hanging="567"/>
        <w:rPr>
          <w:szCs w:val="24"/>
        </w:rPr>
      </w:pPr>
      <w:r>
        <w:rPr>
          <w:noProof/>
          <w:szCs w:val="24"/>
        </w:rPr>
        <w:t>Jeigu pasireiškė šalutinis poveikis (net jeigu jis šiame lapelyje nenurodytas), kreipkitės į gydytoją, vaistininką arba slaugytoją. Žr. 4 skyrių.</w:t>
      </w:r>
    </w:p>
    <w:p w14:paraId="04E90B6B" w14:textId="77777777" w:rsidR="004364B8" w:rsidRDefault="004364B8" w:rsidP="004364B8">
      <w:pPr>
        <w:tabs>
          <w:tab w:val="left" w:pos="567"/>
        </w:tabs>
        <w:rPr>
          <w:szCs w:val="22"/>
        </w:rPr>
      </w:pPr>
    </w:p>
    <w:p w14:paraId="7B67B799" w14:textId="77777777" w:rsidR="004364B8" w:rsidRDefault="004364B8" w:rsidP="004364B8">
      <w:pPr>
        <w:tabs>
          <w:tab w:val="left" w:pos="567"/>
        </w:tabs>
        <w:rPr>
          <w:szCs w:val="22"/>
        </w:rPr>
      </w:pPr>
    </w:p>
    <w:p w14:paraId="54FB5D78" w14:textId="77777777" w:rsidR="004364B8" w:rsidRDefault="004364B8" w:rsidP="004364B8">
      <w:pPr>
        <w:keepNext/>
        <w:outlineLvl w:val="3"/>
        <w:rPr>
          <w:b/>
          <w:bCs/>
          <w:szCs w:val="22"/>
        </w:rPr>
      </w:pPr>
      <w:r>
        <w:rPr>
          <w:b/>
          <w:bCs/>
          <w:szCs w:val="22"/>
        </w:rPr>
        <w:t>Apie ką rašoma šiame lapelyje?</w:t>
      </w:r>
    </w:p>
    <w:p w14:paraId="4A3DAC38" w14:textId="77777777" w:rsidR="004364B8" w:rsidRDefault="004364B8" w:rsidP="004364B8">
      <w:pPr>
        <w:rPr>
          <w:szCs w:val="22"/>
        </w:rPr>
      </w:pPr>
    </w:p>
    <w:p w14:paraId="3B04C233" w14:textId="77777777" w:rsidR="004364B8" w:rsidRDefault="004364B8" w:rsidP="004364B8">
      <w:pPr>
        <w:tabs>
          <w:tab w:val="left" w:pos="567"/>
        </w:tabs>
        <w:rPr>
          <w:szCs w:val="22"/>
        </w:rPr>
      </w:pPr>
      <w:r>
        <w:rPr>
          <w:szCs w:val="22"/>
        </w:rPr>
        <w:t>1.</w:t>
      </w:r>
      <w:r>
        <w:rPr>
          <w:b/>
          <w:szCs w:val="22"/>
        </w:rPr>
        <w:tab/>
      </w:r>
      <w:r>
        <w:rPr>
          <w:szCs w:val="22"/>
        </w:rPr>
        <w:t>Kas yra Fulvestrant Sandoz ir kam jis vartojamas</w:t>
      </w:r>
    </w:p>
    <w:p w14:paraId="409B00E9" w14:textId="77777777" w:rsidR="004364B8" w:rsidRDefault="004364B8" w:rsidP="004364B8">
      <w:pPr>
        <w:tabs>
          <w:tab w:val="left" w:pos="567"/>
        </w:tabs>
        <w:rPr>
          <w:szCs w:val="22"/>
        </w:rPr>
      </w:pPr>
      <w:r>
        <w:rPr>
          <w:szCs w:val="22"/>
        </w:rPr>
        <w:t>2.</w:t>
      </w:r>
      <w:r>
        <w:rPr>
          <w:b/>
          <w:szCs w:val="22"/>
        </w:rPr>
        <w:tab/>
      </w:r>
      <w:r>
        <w:rPr>
          <w:szCs w:val="22"/>
        </w:rPr>
        <w:t>Kas žinotina prieš vartojant Fulvestrant Sandoz</w:t>
      </w:r>
    </w:p>
    <w:p w14:paraId="157EB114" w14:textId="77777777" w:rsidR="004364B8" w:rsidRDefault="004364B8" w:rsidP="004364B8">
      <w:pPr>
        <w:tabs>
          <w:tab w:val="left" w:pos="567"/>
        </w:tabs>
        <w:rPr>
          <w:szCs w:val="22"/>
        </w:rPr>
      </w:pPr>
      <w:r>
        <w:rPr>
          <w:szCs w:val="22"/>
        </w:rPr>
        <w:t>3.</w:t>
      </w:r>
      <w:r>
        <w:rPr>
          <w:szCs w:val="22"/>
        </w:rPr>
        <w:tab/>
        <w:t>Kaip vartoti Fulvestrant Sandoz</w:t>
      </w:r>
    </w:p>
    <w:p w14:paraId="385C1C37" w14:textId="77777777" w:rsidR="004364B8" w:rsidRDefault="004364B8" w:rsidP="004364B8">
      <w:pPr>
        <w:tabs>
          <w:tab w:val="left" w:pos="567"/>
        </w:tabs>
        <w:rPr>
          <w:szCs w:val="22"/>
        </w:rPr>
      </w:pPr>
      <w:r>
        <w:rPr>
          <w:szCs w:val="22"/>
        </w:rPr>
        <w:t>4.</w:t>
      </w:r>
      <w:r>
        <w:rPr>
          <w:szCs w:val="22"/>
        </w:rPr>
        <w:tab/>
        <w:t>Galimas šalutinis poveikis</w:t>
      </w:r>
    </w:p>
    <w:p w14:paraId="40B33C8D" w14:textId="77777777" w:rsidR="004364B8" w:rsidRDefault="004364B8" w:rsidP="004364B8">
      <w:pPr>
        <w:tabs>
          <w:tab w:val="left" w:pos="567"/>
        </w:tabs>
        <w:rPr>
          <w:szCs w:val="22"/>
        </w:rPr>
      </w:pPr>
      <w:r>
        <w:rPr>
          <w:szCs w:val="22"/>
        </w:rPr>
        <w:t>5.</w:t>
      </w:r>
      <w:r>
        <w:rPr>
          <w:szCs w:val="22"/>
        </w:rPr>
        <w:tab/>
        <w:t>Kaip laikyti Fulvestrant Sandoz</w:t>
      </w:r>
    </w:p>
    <w:p w14:paraId="3726CD82" w14:textId="77777777" w:rsidR="004364B8" w:rsidRDefault="004364B8" w:rsidP="004364B8">
      <w:pPr>
        <w:tabs>
          <w:tab w:val="left" w:pos="567"/>
        </w:tabs>
        <w:rPr>
          <w:szCs w:val="22"/>
        </w:rPr>
      </w:pPr>
      <w:r>
        <w:rPr>
          <w:szCs w:val="22"/>
        </w:rPr>
        <w:t>6.</w:t>
      </w:r>
      <w:r>
        <w:rPr>
          <w:szCs w:val="22"/>
        </w:rPr>
        <w:tab/>
        <w:t>Pakuotės turinys ir kita informacija</w:t>
      </w:r>
    </w:p>
    <w:p w14:paraId="66A6B75C" w14:textId="77777777" w:rsidR="004364B8" w:rsidRDefault="004364B8" w:rsidP="004364B8">
      <w:pPr>
        <w:tabs>
          <w:tab w:val="left" w:pos="567"/>
        </w:tabs>
        <w:rPr>
          <w:szCs w:val="22"/>
        </w:rPr>
      </w:pPr>
    </w:p>
    <w:p w14:paraId="24D53B09" w14:textId="77777777" w:rsidR="004364B8" w:rsidRDefault="004364B8" w:rsidP="004364B8">
      <w:pPr>
        <w:tabs>
          <w:tab w:val="left" w:pos="567"/>
        </w:tabs>
        <w:rPr>
          <w:szCs w:val="22"/>
        </w:rPr>
      </w:pPr>
    </w:p>
    <w:p w14:paraId="2346905A" w14:textId="77777777" w:rsidR="004364B8" w:rsidRDefault="004364B8" w:rsidP="00BA1D9E">
      <w:pPr>
        <w:keepNext/>
        <w:tabs>
          <w:tab w:val="left" w:pos="567"/>
        </w:tabs>
        <w:outlineLvl w:val="3"/>
        <w:rPr>
          <w:b/>
          <w:bCs/>
          <w:szCs w:val="22"/>
        </w:rPr>
      </w:pPr>
      <w:r>
        <w:rPr>
          <w:b/>
          <w:bCs/>
          <w:szCs w:val="22"/>
        </w:rPr>
        <w:t>1.</w:t>
      </w:r>
      <w:r>
        <w:rPr>
          <w:b/>
          <w:bCs/>
          <w:szCs w:val="22"/>
        </w:rPr>
        <w:tab/>
        <w:t>Kas yra Fulvestrant Sandoz ir kam jis vartojamas</w:t>
      </w:r>
    </w:p>
    <w:p w14:paraId="651C9C7E" w14:textId="77777777" w:rsidR="004364B8" w:rsidRDefault="004364B8" w:rsidP="004364B8">
      <w:pPr>
        <w:tabs>
          <w:tab w:val="left" w:pos="567"/>
        </w:tabs>
        <w:ind w:left="567" w:hanging="567"/>
        <w:rPr>
          <w:szCs w:val="22"/>
        </w:rPr>
      </w:pPr>
    </w:p>
    <w:p w14:paraId="15AC78C6" w14:textId="77777777" w:rsidR="004364B8" w:rsidRDefault="004364B8" w:rsidP="004364B8">
      <w:pPr>
        <w:tabs>
          <w:tab w:val="left" w:pos="0"/>
        </w:tabs>
        <w:rPr>
          <w:szCs w:val="22"/>
        </w:rPr>
      </w:pPr>
      <w:r>
        <w:rPr>
          <w:szCs w:val="22"/>
        </w:rPr>
        <w:t xml:space="preserve">Fulvestrant Sandoz sudėtyje yra veikliosios medžiagos fulvestranto, kuri priklauso estrogenų receptorius blokuojančių vaistų grupei. </w:t>
      </w:r>
    </w:p>
    <w:p w14:paraId="14A20618" w14:textId="77777777" w:rsidR="004364B8" w:rsidRDefault="004364B8" w:rsidP="004364B8">
      <w:pPr>
        <w:tabs>
          <w:tab w:val="left" w:pos="0"/>
        </w:tabs>
        <w:rPr>
          <w:szCs w:val="22"/>
        </w:rPr>
      </w:pPr>
      <w:r>
        <w:rPr>
          <w:szCs w:val="22"/>
        </w:rPr>
        <w:t>Estrogenai, moteriškų lytinių hormonų grupė, kurie kai kuriais atvejais gali būti susiję su krūties vėžio augimu.</w:t>
      </w:r>
    </w:p>
    <w:p w14:paraId="26D0891B" w14:textId="77777777" w:rsidR="008A3652" w:rsidRDefault="008A3652" w:rsidP="004364B8">
      <w:pPr>
        <w:tabs>
          <w:tab w:val="left" w:pos="0"/>
        </w:tabs>
        <w:rPr>
          <w:szCs w:val="22"/>
        </w:rPr>
      </w:pPr>
    </w:p>
    <w:p w14:paraId="2928A81A" w14:textId="16290075" w:rsidR="008A3652" w:rsidRDefault="004364B8" w:rsidP="004364B8">
      <w:pPr>
        <w:tabs>
          <w:tab w:val="left" w:pos="0"/>
        </w:tabs>
        <w:rPr>
          <w:szCs w:val="22"/>
        </w:rPr>
      </w:pPr>
      <w:r>
        <w:rPr>
          <w:szCs w:val="22"/>
        </w:rPr>
        <w:t xml:space="preserve">Fulvestrant Sandoz vartojamas </w:t>
      </w:r>
      <w:r w:rsidR="008A3652">
        <w:rPr>
          <w:szCs w:val="22"/>
        </w:rPr>
        <w:t>arba:</w:t>
      </w:r>
    </w:p>
    <w:p w14:paraId="17C5B860" w14:textId="3E033C6E" w:rsidR="008A3652" w:rsidRPr="002D5E6D" w:rsidRDefault="008A3652" w:rsidP="00901F66">
      <w:pPr>
        <w:pStyle w:val="Sraopastraipa"/>
        <w:numPr>
          <w:ilvl w:val="0"/>
          <w:numId w:val="41"/>
        </w:numPr>
        <w:tabs>
          <w:tab w:val="left" w:pos="0"/>
        </w:tabs>
        <w:rPr>
          <w:szCs w:val="22"/>
        </w:rPr>
      </w:pPr>
      <w:r w:rsidRPr="002D5E6D">
        <w:rPr>
          <w:szCs w:val="22"/>
        </w:rPr>
        <w:t>vienas: gydyti moterims po menopauzės, sergančioms tam tikru (estrogenų receptoriams</w:t>
      </w:r>
      <w:r w:rsidRPr="008A3652">
        <w:rPr>
          <w:szCs w:val="22"/>
        </w:rPr>
        <w:t xml:space="preserve"> </w:t>
      </w:r>
      <w:r w:rsidRPr="002D5E6D">
        <w:rPr>
          <w:szCs w:val="22"/>
        </w:rPr>
        <w:t>teigiamu) krūties vėžiu, kuris yra lokaliai progresavęs ar išplitęs į kitas organizmo vietas</w:t>
      </w:r>
      <w:r>
        <w:rPr>
          <w:szCs w:val="22"/>
        </w:rPr>
        <w:t xml:space="preserve"> </w:t>
      </w:r>
      <w:r w:rsidRPr="002D5E6D">
        <w:rPr>
          <w:szCs w:val="22"/>
        </w:rPr>
        <w:t>(metastazavęs)</w:t>
      </w:r>
      <w:r>
        <w:rPr>
          <w:szCs w:val="22"/>
        </w:rPr>
        <w:t>,</w:t>
      </w:r>
      <w:r w:rsidRPr="002D5E6D">
        <w:rPr>
          <w:szCs w:val="22"/>
        </w:rPr>
        <w:t xml:space="preserve"> arba</w:t>
      </w:r>
    </w:p>
    <w:p w14:paraId="173F06EE" w14:textId="77777777" w:rsidR="008A3652" w:rsidRPr="008A3652" w:rsidRDefault="008A3652" w:rsidP="00901F66">
      <w:pPr>
        <w:pStyle w:val="Sraopastraipa"/>
        <w:numPr>
          <w:ilvl w:val="0"/>
          <w:numId w:val="41"/>
        </w:numPr>
        <w:tabs>
          <w:tab w:val="left" w:pos="0"/>
        </w:tabs>
        <w:rPr>
          <w:szCs w:val="22"/>
        </w:rPr>
      </w:pPr>
      <w:r w:rsidRPr="002D5E6D">
        <w:rPr>
          <w:szCs w:val="22"/>
        </w:rPr>
        <w:t>kartu su palbociklibu: gydyt</w:t>
      </w:r>
      <w:r w:rsidRPr="004B64BD">
        <w:rPr>
          <w:szCs w:val="22"/>
        </w:rPr>
        <w:t>i moterims, sergančioms tam tikru (hormonų receptoriams teigiamu,</w:t>
      </w:r>
      <w:r w:rsidRPr="008A3652">
        <w:rPr>
          <w:szCs w:val="22"/>
        </w:rPr>
        <w:t xml:space="preserve"> </w:t>
      </w:r>
      <w:r w:rsidRPr="002D5E6D">
        <w:rPr>
          <w:szCs w:val="22"/>
        </w:rPr>
        <w:t>žmogaus epidermio augimo faktoriaus receptoriams Nr. 2 neigiamu) krūties vėžiu, kuris yra</w:t>
      </w:r>
      <w:r w:rsidRPr="008A3652">
        <w:rPr>
          <w:szCs w:val="22"/>
        </w:rPr>
        <w:t xml:space="preserve"> lokaliai progresavęs arba išplitęs į kitas organizmo vietas (metastazavęs). Moterims, kurioms dar</w:t>
      </w:r>
      <w:r w:rsidRPr="002D5E6D">
        <w:rPr>
          <w:szCs w:val="22"/>
        </w:rPr>
        <w:t xml:space="preserve"> </w:t>
      </w:r>
      <w:r w:rsidRPr="008A3652">
        <w:rPr>
          <w:szCs w:val="22"/>
        </w:rPr>
        <w:t>nėra menopauzės, kartu skiriama vaisto, vadinamo liuteinizuojantį hormoną atpalaiduojančio hormono (LHAH) agonistu.</w:t>
      </w:r>
    </w:p>
    <w:p w14:paraId="67F999F2" w14:textId="77777777" w:rsidR="008A3652" w:rsidRDefault="008A3652" w:rsidP="004364B8">
      <w:pPr>
        <w:tabs>
          <w:tab w:val="left" w:pos="0"/>
        </w:tabs>
        <w:rPr>
          <w:szCs w:val="22"/>
        </w:rPr>
      </w:pPr>
    </w:p>
    <w:p w14:paraId="6D93CFAC" w14:textId="7D8460BC" w:rsidR="004364B8" w:rsidRDefault="008A3652" w:rsidP="008A3652">
      <w:pPr>
        <w:tabs>
          <w:tab w:val="left" w:pos="0"/>
        </w:tabs>
        <w:rPr>
          <w:szCs w:val="22"/>
        </w:rPr>
      </w:pPr>
      <w:r w:rsidRPr="008A3652">
        <w:rPr>
          <w:szCs w:val="22"/>
        </w:rPr>
        <w:t xml:space="preserve">Vartojant Fulvestrant Sandoz </w:t>
      </w:r>
      <w:r>
        <w:rPr>
          <w:szCs w:val="22"/>
        </w:rPr>
        <w:t>derinyje su</w:t>
      </w:r>
      <w:r w:rsidRPr="008A3652">
        <w:rPr>
          <w:szCs w:val="22"/>
        </w:rPr>
        <w:t xml:space="preserve"> palbociklibu, svarbu taip pat perskaityti palbociklibo pakuotės lapelį. Jei</w:t>
      </w:r>
      <w:r>
        <w:rPr>
          <w:szCs w:val="22"/>
        </w:rPr>
        <w:t xml:space="preserve">gu </w:t>
      </w:r>
      <w:r w:rsidRPr="008A3652">
        <w:rPr>
          <w:szCs w:val="22"/>
        </w:rPr>
        <w:t xml:space="preserve">kiltų </w:t>
      </w:r>
      <w:r>
        <w:rPr>
          <w:szCs w:val="22"/>
        </w:rPr>
        <w:t>bet kokių</w:t>
      </w:r>
      <w:r w:rsidR="00D27D42">
        <w:rPr>
          <w:szCs w:val="22"/>
        </w:rPr>
        <w:t xml:space="preserve"> </w:t>
      </w:r>
      <w:r w:rsidRPr="008A3652">
        <w:rPr>
          <w:szCs w:val="22"/>
        </w:rPr>
        <w:t xml:space="preserve">klausimų dėl palbociklibo, </w:t>
      </w:r>
      <w:r>
        <w:rPr>
          <w:szCs w:val="22"/>
        </w:rPr>
        <w:t>prašom</w:t>
      </w:r>
      <w:r w:rsidR="00F531BA">
        <w:rPr>
          <w:szCs w:val="22"/>
        </w:rPr>
        <w:t>e</w:t>
      </w:r>
      <w:r>
        <w:rPr>
          <w:szCs w:val="22"/>
        </w:rPr>
        <w:t xml:space="preserve"> </w:t>
      </w:r>
      <w:r w:rsidRPr="008A3652">
        <w:rPr>
          <w:szCs w:val="22"/>
        </w:rPr>
        <w:t>klaus</w:t>
      </w:r>
      <w:r>
        <w:rPr>
          <w:szCs w:val="22"/>
        </w:rPr>
        <w:t>ti</w:t>
      </w:r>
      <w:r w:rsidR="00D27D42">
        <w:rPr>
          <w:szCs w:val="22"/>
        </w:rPr>
        <w:t xml:space="preserve"> </w:t>
      </w:r>
      <w:r>
        <w:rPr>
          <w:szCs w:val="22"/>
        </w:rPr>
        <w:t xml:space="preserve">savo </w:t>
      </w:r>
      <w:r w:rsidRPr="008A3652">
        <w:rPr>
          <w:szCs w:val="22"/>
        </w:rPr>
        <w:t>gydytojo.</w:t>
      </w:r>
    </w:p>
    <w:p w14:paraId="5A92F5DD" w14:textId="77777777" w:rsidR="004364B8" w:rsidRDefault="004364B8" w:rsidP="004364B8">
      <w:pPr>
        <w:tabs>
          <w:tab w:val="left" w:pos="567"/>
        </w:tabs>
        <w:rPr>
          <w:szCs w:val="22"/>
        </w:rPr>
      </w:pPr>
    </w:p>
    <w:p w14:paraId="52EF0D34" w14:textId="77777777" w:rsidR="004364B8" w:rsidRDefault="004364B8" w:rsidP="004364B8">
      <w:pPr>
        <w:tabs>
          <w:tab w:val="left" w:pos="567"/>
        </w:tabs>
        <w:rPr>
          <w:szCs w:val="22"/>
        </w:rPr>
      </w:pPr>
    </w:p>
    <w:p w14:paraId="37DA6FA3" w14:textId="77777777" w:rsidR="004364B8" w:rsidRDefault="004364B8" w:rsidP="00BA1D9E">
      <w:pPr>
        <w:keepNext/>
        <w:tabs>
          <w:tab w:val="left" w:pos="567"/>
        </w:tabs>
        <w:outlineLvl w:val="3"/>
        <w:rPr>
          <w:b/>
          <w:bCs/>
          <w:szCs w:val="22"/>
        </w:rPr>
      </w:pPr>
      <w:r>
        <w:rPr>
          <w:b/>
          <w:bCs/>
          <w:szCs w:val="22"/>
        </w:rPr>
        <w:t>2.</w:t>
      </w:r>
      <w:r>
        <w:rPr>
          <w:b/>
          <w:bCs/>
          <w:szCs w:val="22"/>
        </w:rPr>
        <w:tab/>
        <w:t>Kas žinotina prieš vartojant Fulvestrant Sandoz</w:t>
      </w:r>
    </w:p>
    <w:p w14:paraId="51F9A1B2" w14:textId="77777777" w:rsidR="004364B8" w:rsidRDefault="004364B8" w:rsidP="004364B8">
      <w:pPr>
        <w:tabs>
          <w:tab w:val="left" w:pos="567"/>
        </w:tabs>
        <w:ind w:left="567" w:hanging="567"/>
        <w:rPr>
          <w:b/>
          <w:szCs w:val="22"/>
        </w:rPr>
      </w:pPr>
    </w:p>
    <w:p w14:paraId="70BD0F90" w14:textId="03D77C08" w:rsidR="004364B8" w:rsidRDefault="004364B8" w:rsidP="004364B8">
      <w:pPr>
        <w:keepNext/>
        <w:outlineLvl w:val="3"/>
        <w:rPr>
          <w:b/>
          <w:bCs/>
          <w:szCs w:val="22"/>
        </w:rPr>
      </w:pPr>
      <w:r>
        <w:rPr>
          <w:b/>
          <w:bCs/>
          <w:szCs w:val="22"/>
        </w:rPr>
        <w:t xml:space="preserve">Fulvestrant Sandoz vartoti </w:t>
      </w:r>
      <w:r w:rsidR="00B86858">
        <w:rPr>
          <w:b/>
          <w:bCs/>
          <w:szCs w:val="22"/>
        </w:rPr>
        <w:t>draudžiama</w:t>
      </w:r>
      <w:r>
        <w:rPr>
          <w:b/>
          <w:bCs/>
          <w:szCs w:val="22"/>
        </w:rPr>
        <w:t>:</w:t>
      </w:r>
    </w:p>
    <w:p w14:paraId="200B08B7" w14:textId="77777777" w:rsidR="004364B8" w:rsidRDefault="004364B8" w:rsidP="004364B8">
      <w:pPr>
        <w:tabs>
          <w:tab w:val="left" w:pos="567"/>
        </w:tabs>
        <w:ind w:left="567" w:hanging="567"/>
        <w:rPr>
          <w:szCs w:val="22"/>
        </w:rPr>
      </w:pPr>
      <w:r>
        <w:rPr>
          <w:szCs w:val="22"/>
        </w:rPr>
        <w:sym w:font="Symbol" w:char="F0B7"/>
      </w:r>
      <w:r>
        <w:rPr>
          <w:szCs w:val="22"/>
        </w:rPr>
        <w:tab/>
        <w:t>jeigu yra alergija veikliajai medžiagai arba bet kuriai pagalbinei šio vaisto medžiagai (jos išvardytos 6 skyriuje);</w:t>
      </w:r>
    </w:p>
    <w:p w14:paraId="625A22A1" w14:textId="77777777" w:rsidR="004364B8" w:rsidRDefault="004364B8" w:rsidP="004364B8">
      <w:pPr>
        <w:tabs>
          <w:tab w:val="left" w:pos="567"/>
        </w:tabs>
        <w:ind w:left="567" w:hanging="567"/>
        <w:rPr>
          <w:szCs w:val="22"/>
        </w:rPr>
      </w:pPr>
      <w:r>
        <w:rPr>
          <w:szCs w:val="22"/>
        </w:rPr>
        <w:sym w:font="Symbol" w:char="F0B7"/>
      </w:r>
      <w:r>
        <w:rPr>
          <w:szCs w:val="22"/>
        </w:rPr>
        <w:tab/>
        <w:t>jeigu esate nėščia arba žindyvė;</w:t>
      </w:r>
    </w:p>
    <w:p w14:paraId="36EF65A3" w14:textId="77777777" w:rsidR="004364B8" w:rsidRDefault="004364B8" w:rsidP="004364B8">
      <w:pPr>
        <w:numPr>
          <w:ilvl w:val="0"/>
          <w:numId w:val="6"/>
        </w:numPr>
        <w:tabs>
          <w:tab w:val="left" w:pos="567"/>
        </w:tabs>
        <w:ind w:left="567" w:hanging="567"/>
        <w:rPr>
          <w:szCs w:val="22"/>
        </w:rPr>
      </w:pPr>
      <w:r>
        <w:rPr>
          <w:szCs w:val="22"/>
        </w:rPr>
        <w:t>jeigu labai sutrikusi Jūsų kepenų veikla.</w:t>
      </w:r>
    </w:p>
    <w:p w14:paraId="191AEE51" w14:textId="77777777" w:rsidR="004364B8" w:rsidRDefault="004364B8" w:rsidP="004364B8">
      <w:pPr>
        <w:tabs>
          <w:tab w:val="left" w:pos="567"/>
        </w:tabs>
        <w:rPr>
          <w:szCs w:val="22"/>
        </w:rPr>
      </w:pPr>
    </w:p>
    <w:p w14:paraId="39355392" w14:textId="77777777" w:rsidR="004364B8" w:rsidRDefault="004364B8" w:rsidP="004364B8">
      <w:pPr>
        <w:keepNext/>
        <w:outlineLvl w:val="3"/>
        <w:rPr>
          <w:b/>
          <w:bCs/>
          <w:szCs w:val="22"/>
        </w:rPr>
      </w:pPr>
      <w:r>
        <w:rPr>
          <w:b/>
          <w:bCs/>
          <w:szCs w:val="22"/>
        </w:rPr>
        <w:lastRenderedPageBreak/>
        <w:t xml:space="preserve">Įspėjimai ir atsargumo priemonės </w:t>
      </w:r>
    </w:p>
    <w:p w14:paraId="4DD3E014" w14:textId="586661D0" w:rsidR="004364B8" w:rsidRDefault="004364B8" w:rsidP="004364B8">
      <w:pPr>
        <w:numPr>
          <w:ilvl w:val="12"/>
          <w:numId w:val="0"/>
        </w:numPr>
        <w:tabs>
          <w:tab w:val="left" w:pos="0"/>
        </w:tabs>
        <w:ind w:right="-2"/>
        <w:rPr>
          <w:bCs/>
          <w:szCs w:val="22"/>
        </w:rPr>
      </w:pPr>
      <w:r>
        <w:rPr>
          <w:szCs w:val="24"/>
        </w:rPr>
        <w:t>Pasitarkite su gydytoju</w:t>
      </w:r>
      <w:r w:rsidR="008A3652">
        <w:rPr>
          <w:szCs w:val="24"/>
        </w:rPr>
        <w:t>,</w:t>
      </w:r>
      <w:r>
        <w:rPr>
          <w:szCs w:val="24"/>
        </w:rPr>
        <w:t xml:space="preserve"> vaistininku</w:t>
      </w:r>
      <w:r w:rsidR="008A3652">
        <w:rPr>
          <w:szCs w:val="24"/>
        </w:rPr>
        <w:t xml:space="preserve"> arba slaugytoja</w:t>
      </w:r>
      <w:r>
        <w:rPr>
          <w:szCs w:val="24"/>
        </w:rPr>
        <w:t xml:space="preserve">, prieš pradėdami vartoti </w:t>
      </w:r>
      <w:r>
        <w:rPr>
          <w:bCs/>
          <w:szCs w:val="22"/>
        </w:rPr>
        <w:t>Fulvestrant Sandoz</w:t>
      </w:r>
      <w:r w:rsidR="008A3652">
        <w:rPr>
          <w:bCs/>
          <w:szCs w:val="22"/>
        </w:rPr>
        <w:t>,</w:t>
      </w:r>
      <w:r>
        <w:rPr>
          <w:bCs/>
          <w:szCs w:val="22"/>
        </w:rPr>
        <w:t xml:space="preserve"> jeigu Jums tinka bet kuri iš šių situacijų:</w:t>
      </w:r>
    </w:p>
    <w:p w14:paraId="54484983" w14:textId="77777777" w:rsidR="004364B8" w:rsidRDefault="004364B8" w:rsidP="004364B8">
      <w:pPr>
        <w:numPr>
          <w:ilvl w:val="0"/>
          <w:numId w:val="7"/>
        </w:numPr>
        <w:tabs>
          <w:tab w:val="left" w:pos="0"/>
        </w:tabs>
        <w:ind w:left="567" w:right="-2" w:hanging="513"/>
        <w:rPr>
          <w:bCs/>
          <w:szCs w:val="22"/>
        </w:rPr>
      </w:pPr>
      <w:r>
        <w:rPr>
          <w:bCs/>
          <w:szCs w:val="22"/>
        </w:rPr>
        <w:t>inkstų arba kepenų problemos;</w:t>
      </w:r>
    </w:p>
    <w:p w14:paraId="74391628" w14:textId="77777777" w:rsidR="004364B8" w:rsidRDefault="004364B8" w:rsidP="004364B8">
      <w:pPr>
        <w:numPr>
          <w:ilvl w:val="0"/>
          <w:numId w:val="7"/>
        </w:numPr>
        <w:tabs>
          <w:tab w:val="left" w:pos="0"/>
        </w:tabs>
        <w:ind w:left="567" w:right="-2" w:hanging="513"/>
        <w:rPr>
          <w:bCs/>
          <w:szCs w:val="22"/>
        </w:rPr>
      </w:pPr>
      <w:r>
        <w:rPr>
          <w:bCs/>
          <w:szCs w:val="22"/>
        </w:rPr>
        <w:t>kraujyje mažai trombocitų (kurie padeda kraujui krešėti) ar kraujavimo sutrikimai;</w:t>
      </w:r>
    </w:p>
    <w:p w14:paraId="4D13E821" w14:textId="77777777" w:rsidR="004364B8" w:rsidRDefault="004364B8" w:rsidP="004364B8">
      <w:pPr>
        <w:numPr>
          <w:ilvl w:val="0"/>
          <w:numId w:val="7"/>
        </w:numPr>
        <w:tabs>
          <w:tab w:val="left" w:pos="0"/>
        </w:tabs>
        <w:ind w:left="567" w:right="-2" w:hanging="513"/>
        <w:rPr>
          <w:bCs/>
          <w:szCs w:val="22"/>
        </w:rPr>
      </w:pPr>
      <w:r>
        <w:rPr>
          <w:bCs/>
          <w:szCs w:val="22"/>
        </w:rPr>
        <w:t>buv</w:t>
      </w:r>
      <w:r w:rsidR="0087235E">
        <w:rPr>
          <w:bCs/>
          <w:szCs w:val="22"/>
        </w:rPr>
        <w:t>usios</w:t>
      </w:r>
      <w:r>
        <w:rPr>
          <w:bCs/>
          <w:szCs w:val="22"/>
        </w:rPr>
        <w:t xml:space="preserve"> problemos dėl kraujo krešulių;</w:t>
      </w:r>
    </w:p>
    <w:p w14:paraId="0FBD0D89" w14:textId="77777777" w:rsidR="004364B8" w:rsidRDefault="004364B8" w:rsidP="004364B8">
      <w:pPr>
        <w:numPr>
          <w:ilvl w:val="0"/>
          <w:numId w:val="7"/>
        </w:numPr>
        <w:tabs>
          <w:tab w:val="left" w:pos="0"/>
        </w:tabs>
        <w:ind w:left="567" w:right="-2" w:hanging="513"/>
        <w:rPr>
          <w:bCs/>
          <w:szCs w:val="22"/>
        </w:rPr>
      </w:pPr>
      <w:r>
        <w:rPr>
          <w:bCs/>
          <w:szCs w:val="22"/>
        </w:rPr>
        <w:t>osteoporozė (kaulų tankio netekimas);</w:t>
      </w:r>
    </w:p>
    <w:p w14:paraId="62BD088D" w14:textId="77777777" w:rsidR="004364B8" w:rsidRDefault="004364B8" w:rsidP="004364B8">
      <w:pPr>
        <w:numPr>
          <w:ilvl w:val="0"/>
          <w:numId w:val="7"/>
        </w:numPr>
        <w:tabs>
          <w:tab w:val="left" w:pos="0"/>
        </w:tabs>
        <w:ind w:left="567" w:right="-2" w:hanging="513"/>
        <w:rPr>
          <w:bCs/>
          <w:szCs w:val="22"/>
        </w:rPr>
      </w:pPr>
      <w:r>
        <w:rPr>
          <w:bCs/>
          <w:szCs w:val="22"/>
        </w:rPr>
        <w:t>alkoholizmas.</w:t>
      </w:r>
    </w:p>
    <w:p w14:paraId="08FDE384" w14:textId="77777777" w:rsidR="004364B8" w:rsidRDefault="004364B8" w:rsidP="00BA1D9E">
      <w:pPr>
        <w:tabs>
          <w:tab w:val="left" w:pos="0"/>
        </w:tabs>
        <w:ind w:right="-2"/>
        <w:rPr>
          <w:b/>
          <w:bCs/>
          <w:szCs w:val="22"/>
        </w:rPr>
      </w:pPr>
    </w:p>
    <w:p w14:paraId="0F0DEDB6" w14:textId="77777777" w:rsidR="004364B8" w:rsidRDefault="004364B8" w:rsidP="004364B8">
      <w:pPr>
        <w:numPr>
          <w:ilvl w:val="12"/>
          <w:numId w:val="0"/>
        </w:numPr>
        <w:tabs>
          <w:tab w:val="left" w:pos="0"/>
        </w:tabs>
        <w:ind w:right="-2"/>
        <w:rPr>
          <w:b/>
          <w:bCs/>
          <w:szCs w:val="22"/>
        </w:rPr>
      </w:pPr>
      <w:r>
        <w:rPr>
          <w:b/>
          <w:bCs/>
          <w:szCs w:val="22"/>
        </w:rPr>
        <w:t>Vaikams ir paaugliams</w:t>
      </w:r>
    </w:p>
    <w:p w14:paraId="24651FC8" w14:textId="77777777" w:rsidR="004364B8" w:rsidRDefault="004364B8" w:rsidP="004364B8">
      <w:pPr>
        <w:numPr>
          <w:ilvl w:val="12"/>
          <w:numId w:val="0"/>
        </w:numPr>
        <w:tabs>
          <w:tab w:val="left" w:pos="0"/>
        </w:tabs>
        <w:ind w:right="-2"/>
        <w:rPr>
          <w:bCs/>
          <w:szCs w:val="22"/>
        </w:rPr>
      </w:pPr>
      <w:r>
        <w:rPr>
          <w:bCs/>
          <w:szCs w:val="22"/>
        </w:rPr>
        <w:t>Fulvestrant Sandoz yra nerekomenduojamas vaikams ir jaunesniems kaip 18</w:t>
      </w:r>
      <w:r w:rsidR="00884A16">
        <w:rPr>
          <w:bCs/>
          <w:szCs w:val="22"/>
        </w:rPr>
        <w:t> </w:t>
      </w:r>
      <w:r>
        <w:rPr>
          <w:bCs/>
          <w:szCs w:val="22"/>
        </w:rPr>
        <w:t>metų amžiaus paaugliams.</w:t>
      </w:r>
    </w:p>
    <w:p w14:paraId="56810C21" w14:textId="77777777" w:rsidR="004364B8" w:rsidRDefault="004364B8" w:rsidP="004364B8">
      <w:pPr>
        <w:tabs>
          <w:tab w:val="left" w:pos="567"/>
        </w:tabs>
        <w:ind w:left="567" w:hanging="567"/>
        <w:rPr>
          <w:szCs w:val="22"/>
        </w:rPr>
      </w:pPr>
    </w:p>
    <w:p w14:paraId="2FBB2AFA" w14:textId="77777777" w:rsidR="004364B8" w:rsidRDefault="004364B8" w:rsidP="004364B8">
      <w:pPr>
        <w:keepNext/>
        <w:outlineLvl w:val="3"/>
        <w:rPr>
          <w:b/>
          <w:bCs/>
          <w:szCs w:val="22"/>
        </w:rPr>
      </w:pPr>
      <w:r>
        <w:rPr>
          <w:b/>
          <w:bCs/>
          <w:szCs w:val="22"/>
        </w:rPr>
        <w:t>Kiti vaistai ir Fulvestrant Sandoz</w:t>
      </w:r>
    </w:p>
    <w:p w14:paraId="3A6C7C42" w14:textId="77777777" w:rsidR="004364B8" w:rsidRDefault="004364B8" w:rsidP="004364B8">
      <w:pPr>
        <w:tabs>
          <w:tab w:val="left" w:pos="567"/>
        </w:tabs>
        <w:rPr>
          <w:szCs w:val="22"/>
        </w:rPr>
      </w:pPr>
      <w:r>
        <w:rPr>
          <w:szCs w:val="22"/>
        </w:rPr>
        <w:t>Jeigu vartojate ar neseniai vartojote kitų vaistų arba dėl to nesate tikri, apie tai pasakykite gydytojui arba vaistininkui.</w:t>
      </w:r>
    </w:p>
    <w:p w14:paraId="6EE7B5BB" w14:textId="77777777" w:rsidR="004364B8" w:rsidRDefault="004364B8" w:rsidP="004364B8">
      <w:pPr>
        <w:tabs>
          <w:tab w:val="left" w:pos="567"/>
        </w:tabs>
        <w:rPr>
          <w:szCs w:val="22"/>
        </w:rPr>
      </w:pPr>
      <w:r>
        <w:rPr>
          <w:szCs w:val="22"/>
        </w:rPr>
        <w:t>Ypač svarbu pasakyti savo gydytojui, jeigu vartojate antikoaguliantų (vaistų, neleidžiančių atsirasti kraujo krešuliams).</w:t>
      </w:r>
    </w:p>
    <w:p w14:paraId="4A33CB42" w14:textId="77777777" w:rsidR="004364B8" w:rsidRDefault="004364B8" w:rsidP="004364B8">
      <w:pPr>
        <w:rPr>
          <w:szCs w:val="22"/>
        </w:rPr>
      </w:pPr>
    </w:p>
    <w:p w14:paraId="4009746D" w14:textId="77777777" w:rsidR="004364B8" w:rsidRDefault="004364B8" w:rsidP="004364B8">
      <w:pPr>
        <w:keepNext/>
        <w:outlineLvl w:val="3"/>
        <w:rPr>
          <w:b/>
          <w:bCs/>
          <w:szCs w:val="22"/>
        </w:rPr>
      </w:pPr>
      <w:r>
        <w:rPr>
          <w:b/>
          <w:bCs/>
          <w:szCs w:val="22"/>
        </w:rPr>
        <w:t>Nėštumas ir žindymo laikotarpis</w:t>
      </w:r>
    </w:p>
    <w:p w14:paraId="45C43E15" w14:textId="6AC354AF" w:rsidR="004364B8" w:rsidRDefault="004364B8" w:rsidP="004364B8">
      <w:pPr>
        <w:rPr>
          <w:szCs w:val="22"/>
        </w:rPr>
      </w:pPr>
      <w:r>
        <w:rPr>
          <w:szCs w:val="22"/>
        </w:rPr>
        <w:t xml:space="preserve">Jeigu esate nėščia, žindote kūdikį, manote, kad galbūt esate nėščia, arba planuojate pastoti, tai prieš vartodama šį vaistą, pasitarkite su </w:t>
      </w:r>
      <w:r w:rsidR="00881106">
        <w:rPr>
          <w:szCs w:val="22"/>
        </w:rPr>
        <w:t xml:space="preserve">savo </w:t>
      </w:r>
      <w:r>
        <w:rPr>
          <w:szCs w:val="22"/>
        </w:rPr>
        <w:t>gydytoju.</w:t>
      </w:r>
    </w:p>
    <w:p w14:paraId="148E8638" w14:textId="1D13DAD5" w:rsidR="004364B8" w:rsidRDefault="004364B8" w:rsidP="004364B8">
      <w:pPr>
        <w:rPr>
          <w:szCs w:val="22"/>
        </w:rPr>
      </w:pPr>
      <w:r>
        <w:rPr>
          <w:bCs/>
          <w:szCs w:val="22"/>
        </w:rPr>
        <w:t>Fulvestrant Sandoz</w:t>
      </w:r>
      <w:r>
        <w:rPr>
          <w:szCs w:val="22"/>
        </w:rPr>
        <w:t xml:space="preserve"> privalote nevartoti, jeigu esate nėščia. Jeigu galite pastoti, gydymo </w:t>
      </w:r>
      <w:r>
        <w:rPr>
          <w:bCs/>
          <w:szCs w:val="22"/>
        </w:rPr>
        <w:t>Fulvestrant Sandoz</w:t>
      </w:r>
      <w:r>
        <w:rPr>
          <w:szCs w:val="22"/>
        </w:rPr>
        <w:t xml:space="preserve"> laikotarpiu </w:t>
      </w:r>
      <w:r w:rsidR="00E6531F">
        <w:rPr>
          <w:szCs w:val="22"/>
        </w:rPr>
        <w:t xml:space="preserve">ir </w:t>
      </w:r>
      <w:r w:rsidR="00E6531F" w:rsidRPr="00EE0F68">
        <w:rPr>
          <w:szCs w:val="22"/>
        </w:rPr>
        <w:t>2</w:t>
      </w:r>
      <w:r w:rsidR="00E6531F">
        <w:rPr>
          <w:szCs w:val="22"/>
        </w:rPr>
        <w:t xml:space="preserve"> metus po savo paskutinės dozės suvartojimo </w:t>
      </w:r>
      <w:r>
        <w:rPr>
          <w:szCs w:val="22"/>
        </w:rPr>
        <w:t>turite taikyti veiksmingą kontracepcijos metodą.</w:t>
      </w:r>
    </w:p>
    <w:p w14:paraId="3ABFDCF9" w14:textId="77777777" w:rsidR="004364B8" w:rsidRDefault="004364B8" w:rsidP="004364B8">
      <w:pPr>
        <w:rPr>
          <w:szCs w:val="22"/>
        </w:rPr>
      </w:pPr>
    </w:p>
    <w:p w14:paraId="6D8D12FF" w14:textId="77777777" w:rsidR="004364B8" w:rsidRDefault="004364B8" w:rsidP="004364B8">
      <w:pPr>
        <w:rPr>
          <w:szCs w:val="22"/>
        </w:rPr>
      </w:pPr>
      <w:r>
        <w:rPr>
          <w:szCs w:val="22"/>
        </w:rPr>
        <w:t xml:space="preserve">Privalote nežindyti, kol taikomas gydymas </w:t>
      </w:r>
      <w:r>
        <w:rPr>
          <w:bCs/>
          <w:szCs w:val="22"/>
        </w:rPr>
        <w:t>Fulvestrant Sandoz</w:t>
      </w:r>
      <w:r>
        <w:rPr>
          <w:szCs w:val="22"/>
        </w:rPr>
        <w:t>.</w:t>
      </w:r>
    </w:p>
    <w:p w14:paraId="581EB8F8" w14:textId="77777777" w:rsidR="004364B8" w:rsidRDefault="004364B8" w:rsidP="004364B8">
      <w:pPr>
        <w:rPr>
          <w:szCs w:val="22"/>
        </w:rPr>
      </w:pPr>
    </w:p>
    <w:p w14:paraId="2DAAF782" w14:textId="77777777" w:rsidR="004364B8" w:rsidRDefault="004364B8" w:rsidP="004364B8">
      <w:pPr>
        <w:rPr>
          <w:b/>
          <w:bCs/>
          <w:szCs w:val="22"/>
        </w:rPr>
      </w:pPr>
      <w:r>
        <w:rPr>
          <w:b/>
          <w:bCs/>
          <w:szCs w:val="22"/>
        </w:rPr>
        <w:t>Vairavimas ir mechanizmų valdymas</w:t>
      </w:r>
    </w:p>
    <w:p w14:paraId="12E601E8" w14:textId="77777777" w:rsidR="004364B8" w:rsidRDefault="004364B8" w:rsidP="004364B8">
      <w:pPr>
        <w:rPr>
          <w:szCs w:val="22"/>
        </w:rPr>
      </w:pPr>
      <w:r>
        <w:rPr>
          <w:szCs w:val="22"/>
        </w:rPr>
        <w:t xml:space="preserve">Jūsų gebėjimo vairuoti ir valdyti mechanizmus </w:t>
      </w:r>
      <w:r>
        <w:rPr>
          <w:bCs/>
          <w:szCs w:val="22"/>
        </w:rPr>
        <w:t>Fulvestrant Sandoz</w:t>
      </w:r>
      <w:r>
        <w:rPr>
          <w:szCs w:val="22"/>
        </w:rPr>
        <w:t xml:space="preserve"> neturėtų paveikti. Vis dėlto, jeigu po gydymo jaučiate nuovargį, atsisakykite vairuoti ar valdyti mechanizmus.</w:t>
      </w:r>
    </w:p>
    <w:p w14:paraId="1CE3E64B" w14:textId="77777777" w:rsidR="004364B8" w:rsidRDefault="004364B8" w:rsidP="004364B8">
      <w:pPr>
        <w:rPr>
          <w:b/>
          <w:bCs/>
          <w:szCs w:val="22"/>
        </w:rPr>
      </w:pPr>
    </w:p>
    <w:p w14:paraId="50F2963C" w14:textId="47541244" w:rsidR="003F40E1" w:rsidRDefault="004364B8" w:rsidP="004364B8">
      <w:pPr>
        <w:rPr>
          <w:szCs w:val="22"/>
        </w:rPr>
      </w:pPr>
      <w:r>
        <w:rPr>
          <w:b/>
          <w:bCs/>
          <w:szCs w:val="22"/>
        </w:rPr>
        <w:t>Fulvestrant Sandoz sudėtyje yra</w:t>
      </w:r>
      <w:r w:rsidR="003F40E1">
        <w:rPr>
          <w:b/>
          <w:bCs/>
          <w:szCs w:val="22"/>
        </w:rPr>
        <w:t xml:space="preserve"> etanolio</w:t>
      </w:r>
      <w:r w:rsidR="002177B0">
        <w:rPr>
          <w:b/>
          <w:bCs/>
          <w:szCs w:val="22"/>
        </w:rPr>
        <w:t xml:space="preserve">, </w:t>
      </w:r>
      <w:r w:rsidR="00736F55">
        <w:rPr>
          <w:b/>
          <w:bCs/>
          <w:szCs w:val="22"/>
        </w:rPr>
        <w:t>benzilo alkoholio ir benzilbenzoato</w:t>
      </w:r>
      <w:r w:rsidRPr="009B558C">
        <w:rPr>
          <w:b/>
        </w:rPr>
        <w:t xml:space="preserve"> </w:t>
      </w:r>
    </w:p>
    <w:p w14:paraId="1E9EE475" w14:textId="2C575EFE" w:rsidR="002451B6" w:rsidRDefault="002451B6" w:rsidP="002451B6">
      <w:pPr>
        <w:rPr>
          <w:szCs w:val="22"/>
          <w:lang w:eastAsia="en-US"/>
        </w:rPr>
      </w:pPr>
      <w:r>
        <w:rPr>
          <w:szCs w:val="22"/>
          <w:lang w:eastAsia="en-US"/>
        </w:rPr>
        <w:t xml:space="preserve">Šio vaisto </w:t>
      </w:r>
      <w:r w:rsidR="00DA0162">
        <w:rPr>
          <w:szCs w:val="22"/>
          <w:lang w:eastAsia="en-US"/>
        </w:rPr>
        <w:t xml:space="preserve">paskirtoje </w:t>
      </w:r>
      <w:r>
        <w:rPr>
          <w:szCs w:val="22"/>
          <w:lang w:eastAsia="en-US"/>
        </w:rPr>
        <w:t xml:space="preserve">dozėje yra 1000 mg alkoholio (96 % etanolio), tai atitinka 100 mg/ml (10 % </w:t>
      </w:r>
      <w:r w:rsidR="00DA0162">
        <w:rPr>
          <w:szCs w:val="22"/>
          <w:lang w:eastAsia="en-US"/>
        </w:rPr>
        <w:t>masės/</w:t>
      </w:r>
      <w:r>
        <w:rPr>
          <w:szCs w:val="22"/>
          <w:lang w:eastAsia="en-US"/>
        </w:rPr>
        <w:t xml:space="preserve">tūryje). </w:t>
      </w:r>
    </w:p>
    <w:p w14:paraId="50AF2B07" w14:textId="2EE3FE6E" w:rsidR="002451B6" w:rsidRPr="0077444B" w:rsidRDefault="002451B6" w:rsidP="0077444B">
      <w:r>
        <w:rPr>
          <w:szCs w:val="22"/>
          <w:lang w:eastAsia="en-US"/>
        </w:rPr>
        <w:t xml:space="preserve">Toks </w:t>
      </w:r>
      <w:r w:rsidR="00DA0162">
        <w:rPr>
          <w:szCs w:val="22"/>
          <w:lang w:eastAsia="en-US"/>
        </w:rPr>
        <w:t xml:space="preserve">paskirtoje </w:t>
      </w:r>
      <w:r>
        <w:rPr>
          <w:szCs w:val="22"/>
          <w:lang w:eastAsia="en-US"/>
        </w:rPr>
        <w:t xml:space="preserve">dozėje esantis kiekis </w:t>
      </w:r>
      <w:r w:rsidRPr="001D5BFE">
        <w:rPr>
          <w:szCs w:val="22"/>
          <w:lang w:eastAsia="en-US"/>
        </w:rPr>
        <w:t xml:space="preserve">atitinka mažiau </w:t>
      </w:r>
      <w:r>
        <w:rPr>
          <w:szCs w:val="22"/>
          <w:lang w:eastAsia="en-US"/>
        </w:rPr>
        <w:t>kaip</w:t>
      </w:r>
      <w:r w:rsidRPr="001D5BFE">
        <w:rPr>
          <w:szCs w:val="22"/>
          <w:lang w:eastAsia="en-US"/>
        </w:rPr>
        <w:t xml:space="preserve"> 24</w:t>
      </w:r>
      <w:r>
        <w:rPr>
          <w:szCs w:val="22"/>
          <w:lang w:eastAsia="en-US"/>
        </w:rPr>
        <w:t> </w:t>
      </w:r>
      <w:r w:rsidRPr="001D5BFE">
        <w:rPr>
          <w:szCs w:val="22"/>
          <w:lang w:eastAsia="en-US"/>
        </w:rPr>
        <w:t>ml alaus ar 10</w:t>
      </w:r>
      <w:r>
        <w:rPr>
          <w:szCs w:val="22"/>
          <w:lang w:eastAsia="en-US"/>
        </w:rPr>
        <w:t> </w:t>
      </w:r>
      <w:r w:rsidRPr="001D5BFE">
        <w:rPr>
          <w:szCs w:val="22"/>
          <w:lang w:eastAsia="en-US"/>
        </w:rPr>
        <w:t xml:space="preserve">ml vyno. </w:t>
      </w:r>
    </w:p>
    <w:p w14:paraId="1936CB4D" w14:textId="1FE9193D" w:rsidR="004364B8" w:rsidRDefault="002451B6" w:rsidP="004364B8">
      <w:pPr>
        <w:rPr>
          <w:szCs w:val="22"/>
        </w:rPr>
      </w:pPr>
      <w:r w:rsidRPr="009504F2">
        <w:rPr>
          <w:szCs w:val="22"/>
          <w:lang w:eastAsia="en-US"/>
        </w:rPr>
        <w:t>Mažas</w:t>
      </w:r>
      <w:r w:rsidRPr="0077444B">
        <w:t xml:space="preserve"> alkoholio</w:t>
      </w:r>
      <w:r w:rsidRPr="009504F2">
        <w:rPr>
          <w:szCs w:val="22"/>
          <w:lang w:eastAsia="en-US"/>
        </w:rPr>
        <w:t xml:space="preserve"> kiekis, esantis šio vaist</w:t>
      </w:r>
      <w:r>
        <w:rPr>
          <w:szCs w:val="22"/>
          <w:lang w:eastAsia="en-US"/>
        </w:rPr>
        <w:t>o</w:t>
      </w:r>
      <w:r w:rsidRPr="009504F2">
        <w:rPr>
          <w:szCs w:val="22"/>
          <w:lang w:eastAsia="en-US"/>
        </w:rPr>
        <w:t xml:space="preserve"> sudėtyje,</w:t>
      </w:r>
      <w:r>
        <w:rPr>
          <w:szCs w:val="22"/>
          <w:lang w:eastAsia="en-US"/>
        </w:rPr>
        <w:t xml:space="preserve"> </w:t>
      </w:r>
      <w:r w:rsidRPr="009504F2">
        <w:rPr>
          <w:szCs w:val="22"/>
          <w:lang w:eastAsia="en-US"/>
        </w:rPr>
        <w:t>nesukelia pastebimo poveikio</w:t>
      </w:r>
      <w:r w:rsidR="00462382">
        <w:rPr>
          <w:szCs w:val="22"/>
          <w:lang w:eastAsia="en-US"/>
        </w:rPr>
        <w:t>.</w:t>
      </w:r>
    </w:p>
    <w:p w14:paraId="2C9A1BB2" w14:textId="77777777" w:rsidR="00302CC2" w:rsidRPr="00B77163" w:rsidRDefault="00302CC2" w:rsidP="004364B8">
      <w:pPr>
        <w:rPr>
          <w:b/>
        </w:rPr>
      </w:pPr>
    </w:p>
    <w:p w14:paraId="3FFE6389" w14:textId="4C79F746" w:rsidR="00881106" w:rsidRDefault="00FB0CC7" w:rsidP="004364B8">
      <w:pPr>
        <w:rPr>
          <w:szCs w:val="22"/>
        </w:rPr>
      </w:pPr>
      <w:r>
        <w:rPr>
          <w:bCs/>
          <w:szCs w:val="22"/>
        </w:rPr>
        <w:t>Š</w:t>
      </w:r>
      <w:r w:rsidR="00881106">
        <w:rPr>
          <w:szCs w:val="22"/>
        </w:rPr>
        <w:t>io vaist</w:t>
      </w:r>
      <w:r w:rsidR="003F40E1">
        <w:rPr>
          <w:szCs w:val="22"/>
        </w:rPr>
        <w:t>o</w:t>
      </w:r>
      <w:r w:rsidR="00881106">
        <w:rPr>
          <w:szCs w:val="22"/>
        </w:rPr>
        <w:t xml:space="preserve"> </w:t>
      </w:r>
      <w:r w:rsidR="00DA0162">
        <w:rPr>
          <w:szCs w:val="22"/>
        </w:rPr>
        <w:t xml:space="preserve">paskirtoje </w:t>
      </w:r>
      <w:r>
        <w:rPr>
          <w:szCs w:val="22"/>
        </w:rPr>
        <w:t xml:space="preserve">dozėje </w:t>
      </w:r>
      <w:r w:rsidR="004364B8">
        <w:rPr>
          <w:szCs w:val="22"/>
        </w:rPr>
        <w:t>yra 100</w:t>
      </w:r>
      <w:r>
        <w:rPr>
          <w:szCs w:val="22"/>
        </w:rPr>
        <w:t>0</w:t>
      </w:r>
      <w:r w:rsidR="00884A16">
        <w:rPr>
          <w:szCs w:val="22"/>
        </w:rPr>
        <w:t> </w:t>
      </w:r>
      <w:r w:rsidR="004364B8">
        <w:rPr>
          <w:szCs w:val="22"/>
        </w:rPr>
        <w:t>mg benzilo alkoholio</w:t>
      </w:r>
      <w:r>
        <w:rPr>
          <w:szCs w:val="22"/>
        </w:rPr>
        <w:t>,</w:t>
      </w:r>
      <w:r w:rsidRPr="00FB0CC7">
        <w:rPr>
          <w:szCs w:val="22"/>
          <w:lang w:eastAsia="en-US"/>
        </w:rPr>
        <w:t xml:space="preserve"> </w:t>
      </w:r>
      <w:r>
        <w:rPr>
          <w:szCs w:val="22"/>
          <w:lang w:eastAsia="en-US"/>
        </w:rPr>
        <w:t>tai atitinka 100 mg/ml</w:t>
      </w:r>
      <w:r w:rsidR="004364B8">
        <w:rPr>
          <w:szCs w:val="22"/>
        </w:rPr>
        <w:t xml:space="preserve">. </w:t>
      </w:r>
    </w:p>
    <w:p w14:paraId="57999208" w14:textId="23245CDB" w:rsidR="00881106" w:rsidRDefault="00881106" w:rsidP="004364B8">
      <w:pPr>
        <w:rPr>
          <w:szCs w:val="22"/>
        </w:rPr>
      </w:pPr>
      <w:r>
        <w:rPr>
          <w:szCs w:val="22"/>
        </w:rPr>
        <w:t>Benzilo alkoholis gali sukelti alergin</w:t>
      </w:r>
      <w:r w:rsidR="003F40E1">
        <w:rPr>
          <w:szCs w:val="22"/>
        </w:rPr>
        <w:t>ių</w:t>
      </w:r>
      <w:r>
        <w:rPr>
          <w:szCs w:val="22"/>
        </w:rPr>
        <w:t xml:space="preserve"> reakcij</w:t>
      </w:r>
      <w:r w:rsidR="003F40E1">
        <w:rPr>
          <w:szCs w:val="22"/>
        </w:rPr>
        <w:t>ų</w:t>
      </w:r>
      <w:r>
        <w:rPr>
          <w:szCs w:val="22"/>
        </w:rPr>
        <w:t>.</w:t>
      </w:r>
    </w:p>
    <w:p w14:paraId="1A38BCC5" w14:textId="28053586" w:rsidR="00881106" w:rsidRDefault="003F40E1" w:rsidP="004364B8">
      <w:pPr>
        <w:rPr>
          <w:szCs w:val="22"/>
        </w:rPr>
      </w:pPr>
      <w:r>
        <w:rPr>
          <w:szCs w:val="22"/>
        </w:rPr>
        <w:t xml:space="preserve">Mažiems vaikams benzilo alkoholis siejamas su sunkaus šalutinio poveikio, įskaitant kvėpavimo sutrikimą </w:t>
      </w:r>
      <w:r w:rsidR="00881106">
        <w:rPr>
          <w:szCs w:val="22"/>
        </w:rPr>
        <w:t>(vadinamąjį žiobčiojimo sindromą)</w:t>
      </w:r>
      <w:r>
        <w:rPr>
          <w:szCs w:val="22"/>
        </w:rPr>
        <w:t>, rizik</w:t>
      </w:r>
      <w:r w:rsidR="00FB0CC7">
        <w:rPr>
          <w:szCs w:val="22"/>
        </w:rPr>
        <w:t>a</w:t>
      </w:r>
      <w:r w:rsidR="00881106">
        <w:rPr>
          <w:szCs w:val="22"/>
        </w:rPr>
        <w:t>.</w:t>
      </w:r>
    </w:p>
    <w:p w14:paraId="7D5AAFD5" w14:textId="5B85F87C" w:rsidR="00881106" w:rsidRDefault="00881106" w:rsidP="004364B8">
      <w:pPr>
        <w:rPr>
          <w:szCs w:val="22"/>
        </w:rPr>
      </w:pPr>
      <w:r>
        <w:rPr>
          <w:szCs w:val="22"/>
        </w:rPr>
        <w:t>Neduokite savo naujagimiui (</w:t>
      </w:r>
      <w:r w:rsidR="003F40E1">
        <w:rPr>
          <w:szCs w:val="22"/>
        </w:rPr>
        <w:t>iki</w:t>
      </w:r>
      <w:r>
        <w:rPr>
          <w:szCs w:val="22"/>
        </w:rPr>
        <w:t xml:space="preserve"> 4 savaičių), nebent </w:t>
      </w:r>
      <w:r w:rsidR="003F40E1">
        <w:rPr>
          <w:szCs w:val="22"/>
        </w:rPr>
        <w:t>tai patarė</w:t>
      </w:r>
      <w:r>
        <w:rPr>
          <w:szCs w:val="22"/>
        </w:rPr>
        <w:t xml:space="preserve"> gydytojas.</w:t>
      </w:r>
    </w:p>
    <w:p w14:paraId="1B188C85" w14:textId="77777777" w:rsidR="00881106" w:rsidRDefault="00881106" w:rsidP="004364B8">
      <w:pPr>
        <w:rPr>
          <w:szCs w:val="22"/>
        </w:rPr>
      </w:pPr>
    </w:p>
    <w:p w14:paraId="17D393D3" w14:textId="50605158" w:rsidR="00881106" w:rsidRDefault="00881106" w:rsidP="004364B8">
      <w:pPr>
        <w:rPr>
          <w:szCs w:val="22"/>
        </w:rPr>
      </w:pPr>
      <w:r>
        <w:rPr>
          <w:szCs w:val="22"/>
        </w:rPr>
        <w:t xml:space="preserve">Nevartokite ilgiau </w:t>
      </w:r>
      <w:r w:rsidR="003F40E1">
        <w:rPr>
          <w:szCs w:val="22"/>
        </w:rPr>
        <w:t>nei</w:t>
      </w:r>
      <w:r>
        <w:rPr>
          <w:szCs w:val="22"/>
        </w:rPr>
        <w:t xml:space="preserve"> savaitę mažiems vaikams (jaunesniems </w:t>
      </w:r>
      <w:r w:rsidR="003F40E1">
        <w:rPr>
          <w:szCs w:val="22"/>
        </w:rPr>
        <w:t>kaip</w:t>
      </w:r>
      <w:r>
        <w:rPr>
          <w:szCs w:val="22"/>
        </w:rPr>
        <w:t xml:space="preserve"> 3 metų), nebent </w:t>
      </w:r>
      <w:r w:rsidR="003F40E1">
        <w:rPr>
          <w:szCs w:val="22"/>
        </w:rPr>
        <w:t>tai patarė</w:t>
      </w:r>
      <w:r>
        <w:rPr>
          <w:szCs w:val="22"/>
        </w:rPr>
        <w:t xml:space="preserve"> gydytojas arba vaistininkas.</w:t>
      </w:r>
    </w:p>
    <w:p w14:paraId="46BCEDB9" w14:textId="4AAA4701" w:rsidR="0094140F" w:rsidRDefault="0094140F" w:rsidP="0094140F">
      <w:pPr>
        <w:rPr>
          <w:szCs w:val="22"/>
        </w:rPr>
      </w:pPr>
      <w:r>
        <w:rPr>
          <w:szCs w:val="22"/>
        </w:rPr>
        <w:t>Pasitarkite su</w:t>
      </w:r>
      <w:r w:rsidRPr="009C2EEF">
        <w:rPr>
          <w:szCs w:val="22"/>
        </w:rPr>
        <w:t xml:space="preserve"> gydytoj</w:t>
      </w:r>
      <w:r>
        <w:rPr>
          <w:szCs w:val="22"/>
        </w:rPr>
        <w:t>u</w:t>
      </w:r>
      <w:r w:rsidRPr="009C2EEF">
        <w:rPr>
          <w:szCs w:val="22"/>
        </w:rPr>
        <w:t xml:space="preserve"> arba vaistinink</w:t>
      </w:r>
      <w:r>
        <w:rPr>
          <w:szCs w:val="22"/>
        </w:rPr>
        <w:t>u</w:t>
      </w:r>
      <w:r w:rsidRPr="009C2EEF">
        <w:rPr>
          <w:szCs w:val="22"/>
        </w:rPr>
        <w:t xml:space="preserve">, jeigu </w:t>
      </w:r>
      <w:r>
        <w:rPr>
          <w:szCs w:val="22"/>
        </w:rPr>
        <w:t xml:space="preserve">sergate kepenų arba inkstų ligomis, kadangi </w:t>
      </w:r>
      <w:r w:rsidRPr="009C2EEF">
        <w:rPr>
          <w:szCs w:val="22"/>
        </w:rPr>
        <w:t xml:space="preserve">didelis benzilo alkoholio </w:t>
      </w:r>
      <w:r>
        <w:rPr>
          <w:szCs w:val="22"/>
        </w:rPr>
        <w:t xml:space="preserve">kiekis </w:t>
      </w:r>
      <w:r w:rsidRPr="009C2EEF">
        <w:rPr>
          <w:szCs w:val="22"/>
        </w:rPr>
        <w:t>gali kauptis Jūsų organizme ir sukelti šalutinį poveikį (vadinamą</w:t>
      </w:r>
      <w:r>
        <w:rPr>
          <w:szCs w:val="22"/>
        </w:rPr>
        <w:t>ją</w:t>
      </w:r>
      <w:r w:rsidRPr="009C2EEF">
        <w:rPr>
          <w:szCs w:val="22"/>
        </w:rPr>
        <w:t xml:space="preserve"> metabolinę acidozę).</w:t>
      </w:r>
    </w:p>
    <w:p w14:paraId="6CF3546E" w14:textId="77777777" w:rsidR="004364B8" w:rsidRDefault="004364B8" w:rsidP="004364B8">
      <w:pPr>
        <w:rPr>
          <w:szCs w:val="22"/>
        </w:rPr>
      </w:pPr>
    </w:p>
    <w:p w14:paraId="4DFAEE7B" w14:textId="1A1D8A5E" w:rsidR="009C2EEF" w:rsidRDefault="004364B8" w:rsidP="004364B8">
      <w:pPr>
        <w:rPr>
          <w:b/>
          <w:bCs/>
          <w:szCs w:val="22"/>
        </w:rPr>
      </w:pPr>
      <w:r>
        <w:rPr>
          <w:b/>
          <w:bCs/>
          <w:szCs w:val="22"/>
        </w:rPr>
        <w:t xml:space="preserve">Fulvestrant Sandoz </w:t>
      </w:r>
      <w:r w:rsidR="009C2EEF">
        <w:rPr>
          <w:b/>
          <w:bCs/>
          <w:szCs w:val="22"/>
        </w:rPr>
        <w:t>sudėtyje yra benzilbezoato</w:t>
      </w:r>
    </w:p>
    <w:p w14:paraId="2E9BBB87" w14:textId="3841BA25" w:rsidR="009C2EEF" w:rsidRDefault="00C42CE8" w:rsidP="004364B8">
      <w:pPr>
        <w:rPr>
          <w:szCs w:val="22"/>
        </w:rPr>
      </w:pPr>
      <w:r>
        <w:rPr>
          <w:bCs/>
          <w:szCs w:val="22"/>
        </w:rPr>
        <w:t>Š</w:t>
      </w:r>
      <w:r>
        <w:rPr>
          <w:szCs w:val="22"/>
        </w:rPr>
        <w:t xml:space="preserve">io vaisto </w:t>
      </w:r>
      <w:r w:rsidR="00DA0162">
        <w:rPr>
          <w:szCs w:val="22"/>
        </w:rPr>
        <w:t xml:space="preserve">paskirtoje </w:t>
      </w:r>
      <w:r>
        <w:rPr>
          <w:szCs w:val="22"/>
        </w:rPr>
        <w:t>dozėje yra 1500 mg benzilbenzoato,</w:t>
      </w:r>
      <w:r w:rsidRPr="00FB0CC7">
        <w:rPr>
          <w:szCs w:val="22"/>
          <w:lang w:eastAsia="en-US"/>
        </w:rPr>
        <w:t xml:space="preserve"> </w:t>
      </w:r>
      <w:r>
        <w:rPr>
          <w:szCs w:val="22"/>
          <w:lang w:eastAsia="en-US"/>
        </w:rPr>
        <w:t xml:space="preserve">tai atitinka </w:t>
      </w:r>
      <w:r w:rsidR="004364B8">
        <w:rPr>
          <w:szCs w:val="22"/>
        </w:rPr>
        <w:t>150</w:t>
      </w:r>
      <w:r w:rsidR="00884A16">
        <w:rPr>
          <w:szCs w:val="22"/>
        </w:rPr>
        <w:t> </w:t>
      </w:r>
      <w:r w:rsidR="004364B8">
        <w:rPr>
          <w:szCs w:val="22"/>
        </w:rPr>
        <w:t>mg</w:t>
      </w:r>
      <w:r>
        <w:rPr>
          <w:szCs w:val="22"/>
        </w:rPr>
        <w:t>/ml</w:t>
      </w:r>
      <w:r w:rsidR="004364B8">
        <w:rPr>
          <w:szCs w:val="22"/>
        </w:rPr>
        <w:t xml:space="preserve">. </w:t>
      </w:r>
    </w:p>
    <w:p w14:paraId="2775F187" w14:textId="498E64CC" w:rsidR="004364B8" w:rsidRDefault="009C2EEF" w:rsidP="004364B8">
      <w:pPr>
        <w:rPr>
          <w:szCs w:val="22"/>
        </w:rPr>
      </w:pPr>
      <w:r>
        <w:rPr>
          <w:szCs w:val="22"/>
        </w:rPr>
        <w:t xml:space="preserve">Benzilbenzoatas </w:t>
      </w:r>
      <w:r w:rsidRPr="009C2EEF">
        <w:rPr>
          <w:szCs w:val="22"/>
        </w:rPr>
        <w:t>naujagimi</w:t>
      </w:r>
      <w:r w:rsidR="00DF6BF8">
        <w:rPr>
          <w:szCs w:val="22"/>
        </w:rPr>
        <w:t>ams</w:t>
      </w:r>
      <w:r w:rsidRPr="009C2EEF">
        <w:rPr>
          <w:szCs w:val="22"/>
        </w:rPr>
        <w:t xml:space="preserve"> (</w:t>
      </w:r>
      <w:r w:rsidR="00DF6BF8">
        <w:rPr>
          <w:szCs w:val="22"/>
        </w:rPr>
        <w:t>iki</w:t>
      </w:r>
      <w:r w:rsidRPr="009C2EEF">
        <w:rPr>
          <w:szCs w:val="22"/>
        </w:rPr>
        <w:t xml:space="preserve"> 4 savaičių)</w:t>
      </w:r>
      <w:r>
        <w:rPr>
          <w:szCs w:val="22"/>
        </w:rPr>
        <w:t xml:space="preserve"> gali </w:t>
      </w:r>
      <w:r w:rsidR="00DF6BF8">
        <w:rPr>
          <w:szCs w:val="22"/>
        </w:rPr>
        <w:t>sunkinti</w:t>
      </w:r>
      <w:r>
        <w:rPr>
          <w:szCs w:val="22"/>
        </w:rPr>
        <w:t xml:space="preserve"> geltą (odos ir akių pageltimą)</w:t>
      </w:r>
      <w:r w:rsidR="004364B8">
        <w:rPr>
          <w:szCs w:val="22"/>
        </w:rPr>
        <w:t>.</w:t>
      </w:r>
    </w:p>
    <w:p w14:paraId="72BF8675" w14:textId="77777777" w:rsidR="004364B8" w:rsidRDefault="004364B8" w:rsidP="004364B8">
      <w:pPr>
        <w:rPr>
          <w:rFonts w:eastAsia="Calibri"/>
          <w:szCs w:val="22"/>
          <w:highlight w:val="lightGray"/>
        </w:rPr>
      </w:pPr>
    </w:p>
    <w:p w14:paraId="38961C1C" w14:textId="77777777" w:rsidR="004364B8" w:rsidRDefault="004364B8" w:rsidP="004364B8">
      <w:pPr>
        <w:rPr>
          <w:szCs w:val="22"/>
        </w:rPr>
      </w:pPr>
    </w:p>
    <w:p w14:paraId="71C11D55" w14:textId="77777777" w:rsidR="004364B8" w:rsidRDefault="004364B8" w:rsidP="00BA1D9E">
      <w:pPr>
        <w:keepNext/>
        <w:tabs>
          <w:tab w:val="left" w:pos="567"/>
        </w:tabs>
        <w:outlineLvl w:val="2"/>
        <w:rPr>
          <w:b/>
        </w:rPr>
      </w:pPr>
      <w:r>
        <w:rPr>
          <w:b/>
        </w:rPr>
        <w:t>3.</w:t>
      </w:r>
      <w:r>
        <w:rPr>
          <w:b/>
        </w:rPr>
        <w:tab/>
        <w:t xml:space="preserve">Kaip vartoti </w:t>
      </w:r>
      <w:r>
        <w:rPr>
          <w:b/>
          <w:bCs/>
        </w:rPr>
        <w:t>Fulvestrant Sandoz</w:t>
      </w:r>
    </w:p>
    <w:p w14:paraId="188F4ACE" w14:textId="77777777" w:rsidR="004364B8" w:rsidRDefault="004364B8" w:rsidP="004364B8">
      <w:pPr>
        <w:tabs>
          <w:tab w:val="left" w:pos="567"/>
        </w:tabs>
        <w:ind w:left="567" w:hanging="567"/>
        <w:rPr>
          <w:szCs w:val="22"/>
        </w:rPr>
      </w:pPr>
    </w:p>
    <w:p w14:paraId="4C357D4D" w14:textId="34E89DDE" w:rsidR="004364B8" w:rsidRDefault="004364B8" w:rsidP="004364B8">
      <w:pPr>
        <w:tabs>
          <w:tab w:val="left" w:pos="0"/>
        </w:tabs>
        <w:rPr>
          <w:szCs w:val="22"/>
        </w:rPr>
      </w:pPr>
      <w:r>
        <w:rPr>
          <w:szCs w:val="22"/>
        </w:rPr>
        <w:t>Visada vartokite šį vaistą tiksliai kaip nurodė gydytojas arba vaistininkas. Jeigu abejojate, kreipkitės į gydytoją arba vaistininką.</w:t>
      </w:r>
    </w:p>
    <w:p w14:paraId="3B14E337" w14:textId="77777777" w:rsidR="004364B8" w:rsidRDefault="004364B8" w:rsidP="004364B8">
      <w:pPr>
        <w:tabs>
          <w:tab w:val="left" w:pos="0"/>
        </w:tabs>
        <w:rPr>
          <w:szCs w:val="22"/>
        </w:rPr>
      </w:pPr>
    </w:p>
    <w:p w14:paraId="2B5D9291" w14:textId="77777777" w:rsidR="004364B8" w:rsidRDefault="004364B8" w:rsidP="004364B8">
      <w:pPr>
        <w:tabs>
          <w:tab w:val="left" w:pos="0"/>
        </w:tabs>
        <w:rPr>
          <w:szCs w:val="22"/>
        </w:rPr>
      </w:pPr>
      <w:r>
        <w:rPr>
          <w:szCs w:val="22"/>
        </w:rPr>
        <w:t>Dozavimas yra individualiai parinktas Jums Jūsų gydytojo.</w:t>
      </w:r>
    </w:p>
    <w:p w14:paraId="3FCC997F" w14:textId="77777777" w:rsidR="004364B8" w:rsidRDefault="004364B8" w:rsidP="004364B8">
      <w:pPr>
        <w:tabs>
          <w:tab w:val="left" w:pos="0"/>
        </w:tabs>
        <w:rPr>
          <w:szCs w:val="22"/>
        </w:rPr>
      </w:pPr>
    </w:p>
    <w:p w14:paraId="2729684B" w14:textId="77777777" w:rsidR="004364B8" w:rsidRDefault="004364B8" w:rsidP="004364B8">
      <w:pPr>
        <w:tabs>
          <w:tab w:val="left" w:pos="0"/>
        </w:tabs>
        <w:rPr>
          <w:szCs w:val="22"/>
        </w:rPr>
      </w:pPr>
      <w:r>
        <w:rPr>
          <w:szCs w:val="22"/>
        </w:rPr>
        <w:t>Rekomenduojama dozė yra 500</w:t>
      </w:r>
      <w:r w:rsidR="00884A16">
        <w:rPr>
          <w:szCs w:val="22"/>
        </w:rPr>
        <w:t> </w:t>
      </w:r>
      <w:r>
        <w:rPr>
          <w:szCs w:val="22"/>
        </w:rPr>
        <w:t>mg fulvestranto (dvi injekcijos po 250</w:t>
      </w:r>
      <w:r w:rsidR="00884A16">
        <w:rPr>
          <w:szCs w:val="22"/>
        </w:rPr>
        <w:t> </w:t>
      </w:r>
      <w:r>
        <w:rPr>
          <w:szCs w:val="22"/>
        </w:rPr>
        <w:t>mg), skiriamo 1</w:t>
      </w:r>
      <w:r w:rsidR="00884A16">
        <w:rPr>
          <w:szCs w:val="22"/>
        </w:rPr>
        <w:t> </w:t>
      </w:r>
      <w:r>
        <w:rPr>
          <w:szCs w:val="22"/>
        </w:rPr>
        <w:t>kartą per mėnesį kartu su papildoma 500</w:t>
      </w:r>
      <w:r w:rsidR="00884A16">
        <w:rPr>
          <w:szCs w:val="22"/>
        </w:rPr>
        <w:t> </w:t>
      </w:r>
      <w:r>
        <w:rPr>
          <w:szCs w:val="22"/>
        </w:rPr>
        <w:t>mg doze, skiriama praėjus 2</w:t>
      </w:r>
      <w:r w:rsidR="00884A16">
        <w:rPr>
          <w:szCs w:val="22"/>
        </w:rPr>
        <w:t> </w:t>
      </w:r>
      <w:r>
        <w:rPr>
          <w:szCs w:val="22"/>
        </w:rPr>
        <w:t>savaitėms po pradinės dozės.</w:t>
      </w:r>
    </w:p>
    <w:p w14:paraId="7A92BFD6" w14:textId="77777777" w:rsidR="004364B8" w:rsidRDefault="004364B8" w:rsidP="004364B8">
      <w:pPr>
        <w:tabs>
          <w:tab w:val="left" w:pos="0"/>
        </w:tabs>
        <w:rPr>
          <w:szCs w:val="22"/>
        </w:rPr>
      </w:pPr>
    </w:p>
    <w:p w14:paraId="6AD67697" w14:textId="5AFD0AB7" w:rsidR="004364B8" w:rsidRDefault="004364B8" w:rsidP="004364B8">
      <w:pPr>
        <w:tabs>
          <w:tab w:val="left" w:pos="0"/>
        </w:tabs>
        <w:rPr>
          <w:szCs w:val="22"/>
        </w:rPr>
      </w:pPr>
      <w:r>
        <w:rPr>
          <w:szCs w:val="22"/>
        </w:rPr>
        <w:t xml:space="preserve">Jūsų gydytojas arba slaugytojas lėtai </w:t>
      </w:r>
      <w:r w:rsidR="002C08DA">
        <w:rPr>
          <w:szCs w:val="22"/>
        </w:rPr>
        <w:t xml:space="preserve">suleis </w:t>
      </w:r>
      <w:r>
        <w:rPr>
          <w:szCs w:val="22"/>
        </w:rPr>
        <w:t xml:space="preserve">vieną </w:t>
      </w:r>
      <w:r>
        <w:rPr>
          <w:bCs/>
          <w:szCs w:val="22"/>
        </w:rPr>
        <w:t>Fulvestrant</w:t>
      </w:r>
      <w:r>
        <w:rPr>
          <w:b/>
          <w:bCs/>
          <w:szCs w:val="22"/>
        </w:rPr>
        <w:t xml:space="preserve"> </w:t>
      </w:r>
      <w:r>
        <w:rPr>
          <w:bCs/>
          <w:szCs w:val="22"/>
        </w:rPr>
        <w:t>Sandoz</w:t>
      </w:r>
      <w:r>
        <w:rPr>
          <w:szCs w:val="22"/>
        </w:rPr>
        <w:t xml:space="preserve"> injekciją į kiekvieną Jūsų sėdmenį.</w:t>
      </w:r>
    </w:p>
    <w:p w14:paraId="409076D1" w14:textId="77777777" w:rsidR="00E24F77" w:rsidRDefault="00E24F77" w:rsidP="00E24F77">
      <w:pPr>
        <w:tabs>
          <w:tab w:val="left" w:pos="0"/>
        </w:tabs>
        <w:rPr>
          <w:szCs w:val="22"/>
        </w:rPr>
      </w:pPr>
    </w:p>
    <w:p w14:paraId="6A08C28C" w14:textId="6A39C900" w:rsidR="004364B8" w:rsidRDefault="00E24F77" w:rsidP="00E24F77">
      <w:pPr>
        <w:tabs>
          <w:tab w:val="left" w:pos="0"/>
        </w:tabs>
        <w:rPr>
          <w:szCs w:val="22"/>
        </w:rPr>
      </w:pPr>
      <w:r w:rsidRPr="00E24F77">
        <w:rPr>
          <w:szCs w:val="22"/>
        </w:rPr>
        <w:t>Jeigu kiltų daugiau klausimų dėl šio vaisto vartojimo, kreipkitės į gydytoją, vaistininką arba</w:t>
      </w:r>
      <w:r w:rsidR="009F0B17">
        <w:rPr>
          <w:szCs w:val="22"/>
        </w:rPr>
        <w:t xml:space="preserve"> </w:t>
      </w:r>
      <w:r w:rsidRPr="00E24F77">
        <w:rPr>
          <w:szCs w:val="22"/>
        </w:rPr>
        <w:t>slaugytoją.</w:t>
      </w:r>
    </w:p>
    <w:p w14:paraId="6D1C627A" w14:textId="77777777" w:rsidR="004364B8" w:rsidRDefault="004364B8" w:rsidP="004364B8">
      <w:pPr>
        <w:tabs>
          <w:tab w:val="left" w:pos="567"/>
        </w:tabs>
        <w:rPr>
          <w:szCs w:val="22"/>
        </w:rPr>
      </w:pPr>
    </w:p>
    <w:p w14:paraId="74FAE405" w14:textId="77777777" w:rsidR="00FE6474" w:rsidRDefault="00FE6474" w:rsidP="004364B8">
      <w:pPr>
        <w:tabs>
          <w:tab w:val="left" w:pos="567"/>
        </w:tabs>
        <w:rPr>
          <w:szCs w:val="22"/>
        </w:rPr>
      </w:pPr>
    </w:p>
    <w:p w14:paraId="580A7DD7" w14:textId="77777777" w:rsidR="004364B8" w:rsidRDefault="004364B8" w:rsidP="00BA1D9E">
      <w:pPr>
        <w:keepNext/>
        <w:tabs>
          <w:tab w:val="left" w:pos="567"/>
        </w:tabs>
        <w:outlineLvl w:val="2"/>
        <w:rPr>
          <w:b/>
        </w:rPr>
      </w:pPr>
      <w:r>
        <w:rPr>
          <w:b/>
        </w:rPr>
        <w:t>4.</w:t>
      </w:r>
      <w:r>
        <w:rPr>
          <w:b/>
        </w:rPr>
        <w:tab/>
        <w:t>Galimas šalutinis poveikis</w:t>
      </w:r>
    </w:p>
    <w:p w14:paraId="258A7BD8" w14:textId="77777777" w:rsidR="004364B8" w:rsidRDefault="004364B8" w:rsidP="004364B8">
      <w:pPr>
        <w:tabs>
          <w:tab w:val="left" w:pos="567"/>
        </w:tabs>
        <w:rPr>
          <w:szCs w:val="22"/>
        </w:rPr>
      </w:pPr>
    </w:p>
    <w:p w14:paraId="4CBDE609" w14:textId="77777777" w:rsidR="004364B8" w:rsidRDefault="004364B8" w:rsidP="004364B8">
      <w:pPr>
        <w:tabs>
          <w:tab w:val="left" w:pos="567"/>
        </w:tabs>
        <w:rPr>
          <w:szCs w:val="22"/>
        </w:rPr>
      </w:pPr>
      <w:r>
        <w:rPr>
          <w:szCs w:val="22"/>
        </w:rPr>
        <w:t>Šis vaistas, kaip ir visi kiti, gali sukelti šalutinį poveikį, nors jis pasireiškia ne visiems žmonėms.</w:t>
      </w:r>
    </w:p>
    <w:p w14:paraId="2C2EB592" w14:textId="77777777" w:rsidR="004364B8" w:rsidRDefault="004364B8" w:rsidP="004364B8">
      <w:pPr>
        <w:tabs>
          <w:tab w:val="left" w:pos="567"/>
        </w:tabs>
        <w:rPr>
          <w:szCs w:val="22"/>
        </w:rPr>
      </w:pPr>
    </w:p>
    <w:p w14:paraId="16F874C3" w14:textId="77777777" w:rsidR="004364B8" w:rsidRDefault="004364B8" w:rsidP="004364B8">
      <w:pPr>
        <w:tabs>
          <w:tab w:val="left" w:pos="567"/>
        </w:tabs>
        <w:rPr>
          <w:b/>
          <w:bCs/>
          <w:szCs w:val="22"/>
        </w:rPr>
      </w:pPr>
      <w:r>
        <w:rPr>
          <w:b/>
          <w:bCs/>
          <w:szCs w:val="22"/>
        </w:rPr>
        <w:t>Jums gali prireikti skubaus medicininio gydymo, jeigu Jums pasireiškia kuris nors toliau išvardytas šalutinis poveikis:</w:t>
      </w:r>
    </w:p>
    <w:p w14:paraId="54A424B2" w14:textId="3890E9BE" w:rsidR="004364B8" w:rsidRPr="00CA3E65" w:rsidRDefault="004364B8" w:rsidP="009B558C">
      <w:pPr>
        <w:pStyle w:val="Sraopastraipa"/>
        <w:numPr>
          <w:ilvl w:val="0"/>
          <w:numId w:val="42"/>
        </w:numPr>
        <w:tabs>
          <w:tab w:val="left" w:pos="567"/>
        </w:tabs>
        <w:ind w:left="567" w:hanging="567"/>
        <w:rPr>
          <w:szCs w:val="22"/>
        </w:rPr>
      </w:pPr>
      <w:r w:rsidRPr="002C08DA">
        <w:rPr>
          <w:szCs w:val="22"/>
        </w:rPr>
        <w:t>alerginė (padidėjusio jautrumo) reakcija: veido, lūpų, liežuvio ir (arba) gerklės patinimas</w:t>
      </w:r>
      <w:r w:rsidR="00A05B25" w:rsidRPr="002C08DA">
        <w:rPr>
          <w:szCs w:val="22"/>
        </w:rPr>
        <w:t xml:space="preserve"> -</w:t>
      </w:r>
      <w:r w:rsidR="009C2EEF" w:rsidRPr="002C08DA">
        <w:rPr>
          <w:szCs w:val="22"/>
        </w:rPr>
        <w:t xml:space="preserve"> </w:t>
      </w:r>
      <w:r w:rsidR="00A05B25" w:rsidRPr="003F40E1">
        <w:rPr>
          <w:szCs w:val="22"/>
        </w:rPr>
        <w:t>tai gali būti anafilaksinės reakcijos požymiai</w:t>
      </w:r>
      <w:r w:rsidR="009C2EEF" w:rsidRPr="00CA3E65">
        <w:rPr>
          <w:szCs w:val="22"/>
        </w:rPr>
        <w:t>;</w:t>
      </w:r>
    </w:p>
    <w:p w14:paraId="3820A1EC" w14:textId="77777777" w:rsidR="004364B8" w:rsidRDefault="004364B8" w:rsidP="004364B8">
      <w:pPr>
        <w:numPr>
          <w:ilvl w:val="0"/>
          <w:numId w:val="8"/>
        </w:numPr>
        <w:tabs>
          <w:tab w:val="left" w:pos="567"/>
        </w:tabs>
        <w:ind w:left="567" w:hanging="567"/>
        <w:rPr>
          <w:szCs w:val="22"/>
        </w:rPr>
      </w:pPr>
      <w:r>
        <w:rPr>
          <w:szCs w:val="22"/>
        </w:rPr>
        <w:t>tromboembolija (padidėjusi kraujo krešulių rizika)*;</w:t>
      </w:r>
    </w:p>
    <w:p w14:paraId="56F0ABBB" w14:textId="77777777" w:rsidR="004364B8" w:rsidRDefault="004364B8" w:rsidP="004364B8">
      <w:pPr>
        <w:numPr>
          <w:ilvl w:val="0"/>
          <w:numId w:val="8"/>
        </w:numPr>
        <w:tabs>
          <w:tab w:val="left" w:pos="567"/>
        </w:tabs>
        <w:ind w:left="567" w:hanging="567"/>
        <w:rPr>
          <w:szCs w:val="22"/>
        </w:rPr>
      </w:pPr>
      <w:r>
        <w:rPr>
          <w:szCs w:val="22"/>
        </w:rPr>
        <w:t>kepenų uždegimas (hepatitas);</w:t>
      </w:r>
    </w:p>
    <w:p w14:paraId="69F90C55" w14:textId="77777777" w:rsidR="004364B8" w:rsidRDefault="004364B8" w:rsidP="004364B8">
      <w:pPr>
        <w:numPr>
          <w:ilvl w:val="0"/>
          <w:numId w:val="8"/>
        </w:numPr>
        <w:tabs>
          <w:tab w:val="left" w:pos="567"/>
        </w:tabs>
        <w:ind w:left="567" w:hanging="567"/>
        <w:rPr>
          <w:szCs w:val="22"/>
        </w:rPr>
      </w:pPr>
      <w:r>
        <w:rPr>
          <w:szCs w:val="22"/>
        </w:rPr>
        <w:t>kepenų nepakankamumas.</w:t>
      </w:r>
    </w:p>
    <w:p w14:paraId="125B0C32" w14:textId="77777777" w:rsidR="004364B8" w:rsidRDefault="004364B8" w:rsidP="004364B8">
      <w:pPr>
        <w:tabs>
          <w:tab w:val="left" w:pos="567"/>
        </w:tabs>
        <w:rPr>
          <w:b/>
          <w:bCs/>
          <w:szCs w:val="22"/>
        </w:rPr>
      </w:pPr>
    </w:p>
    <w:p w14:paraId="49EFA28B" w14:textId="77777777" w:rsidR="004364B8" w:rsidRDefault="004364B8" w:rsidP="004364B8">
      <w:pPr>
        <w:tabs>
          <w:tab w:val="left" w:pos="567"/>
        </w:tabs>
        <w:rPr>
          <w:b/>
          <w:bCs/>
          <w:szCs w:val="22"/>
        </w:rPr>
      </w:pPr>
      <w:r>
        <w:rPr>
          <w:b/>
          <w:bCs/>
          <w:szCs w:val="22"/>
        </w:rPr>
        <w:t>Pasakykite savo gydytojui, vaistininkui arba slaugytojui, jeigu pastebite kurį nors iš šių šalutinio poveikio atvejų:</w:t>
      </w:r>
    </w:p>
    <w:p w14:paraId="093B9A2C" w14:textId="77777777" w:rsidR="004364B8" w:rsidRDefault="004364B8" w:rsidP="004364B8">
      <w:pPr>
        <w:tabs>
          <w:tab w:val="left" w:pos="567"/>
        </w:tabs>
        <w:rPr>
          <w:b/>
          <w:bCs/>
          <w:szCs w:val="22"/>
        </w:rPr>
      </w:pPr>
    </w:p>
    <w:p w14:paraId="01542593" w14:textId="77777777" w:rsidR="00BC02B7" w:rsidRDefault="00BC02B7" w:rsidP="00BC02B7">
      <w:pPr>
        <w:tabs>
          <w:tab w:val="left" w:pos="567"/>
        </w:tabs>
        <w:ind w:right="-29"/>
      </w:pPr>
    </w:p>
    <w:p w14:paraId="143224FD" w14:textId="0EFE3099" w:rsidR="00BC02B7" w:rsidRPr="00081439" w:rsidRDefault="00BC02B7" w:rsidP="00BC02B7">
      <w:pPr>
        <w:tabs>
          <w:tab w:val="left" w:pos="567"/>
        </w:tabs>
        <w:ind w:right="-29"/>
        <w:rPr>
          <w:b/>
          <w:bCs/>
          <w:szCs w:val="22"/>
        </w:rPr>
      </w:pPr>
      <w:r w:rsidRPr="00BC02B7">
        <w:rPr>
          <w:b/>
          <w:bCs/>
          <w:szCs w:val="22"/>
        </w:rPr>
        <w:t xml:space="preserve">Labai dažni šalutinio poveikio reiškiniai (gali pasireikšti </w:t>
      </w:r>
      <w:r w:rsidRPr="00081439">
        <w:rPr>
          <w:b/>
          <w:bCs/>
          <w:szCs w:val="22"/>
        </w:rPr>
        <w:t>ne rečiau kaip 1 iš 10 asmenų):</w:t>
      </w:r>
    </w:p>
    <w:p w14:paraId="4E963E22" w14:textId="158FF421" w:rsidR="004364B8" w:rsidRDefault="004364B8" w:rsidP="004364B8">
      <w:pPr>
        <w:tabs>
          <w:tab w:val="left" w:pos="567"/>
        </w:tabs>
        <w:rPr>
          <w:b/>
          <w:bCs/>
          <w:szCs w:val="22"/>
        </w:rPr>
      </w:pPr>
    </w:p>
    <w:p w14:paraId="74DA885F" w14:textId="77777777" w:rsidR="004364B8" w:rsidRDefault="004364B8" w:rsidP="004364B8">
      <w:pPr>
        <w:numPr>
          <w:ilvl w:val="0"/>
          <w:numId w:val="8"/>
        </w:numPr>
        <w:tabs>
          <w:tab w:val="left" w:pos="567"/>
        </w:tabs>
        <w:ind w:left="567" w:hanging="567"/>
        <w:rPr>
          <w:szCs w:val="22"/>
        </w:rPr>
      </w:pPr>
      <w:r>
        <w:rPr>
          <w:szCs w:val="22"/>
        </w:rPr>
        <w:t>reakcijos injekcijos vietoje, pvz., skausmas ir (arba) uždegimas;</w:t>
      </w:r>
    </w:p>
    <w:p w14:paraId="7EAEA589" w14:textId="77777777" w:rsidR="004364B8" w:rsidRDefault="004364B8" w:rsidP="004364B8">
      <w:pPr>
        <w:numPr>
          <w:ilvl w:val="0"/>
          <w:numId w:val="8"/>
        </w:numPr>
        <w:tabs>
          <w:tab w:val="left" w:pos="567"/>
        </w:tabs>
        <w:ind w:left="567" w:hanging="567"/>
        <w:rPr>
          <w:szCs w:val="22"/>
        </w:rPr>
      </w:pPr>
      <w:r>
        <w:rPr>
          <w:szCs w:val="22"/>
        </w:rPr>
        <w:t>nenormalus kepenų fermentų aktyvumas (nustatomas tiriant kraują)*;</w:t>
      </w:r>
    </w:p>
    <w:p w14:paraId="0D1170E2" w14:textId="77777777" w:rsidR="004364B8" w:rsidRDefault="004364B8" w:rsidP="004364B8">
      <w:pPr>
        <w:numPr>
          <w:ilvl w:val="0"/>
          <w:numId w:val="8"/>
        </w:numPr>
        <w:tabs>
          <w:tab w:val="left" w:pos="567"/>
        </w:tabs>
        <w:ind w:left="567" w:hanging="567"/>
        <w:rPr>
          <w:szCs w:val="22"/>
        </w:rPr>
      </w:pPr>
      <w:r>
        <w:rPr>
          <w:szCs w:val="22"/>
        </w:rPr>
        <w:t>pykinimas (šleikštulys);</w:t>
      </w:r>
    </w:p>
    <w:p w14:paraId="7124482B" w14:textId="2A640101" w:rsidR="009C2EEF" w:rsidRDefault="004364B8" w:rsidP="004364B8">
      <w:pPr>
        <w:numPr>
          <w:ilvl w:val="0"/>
          <w:numId w:val="8"/>
        </w:numPr>
        <w:tabs>
          <w:tab w:val="left" w:pos="567"/>
        </w:tabs>
        <w:ind w:left="567" w:hanging="567"/>
        <w:rPr>
          <w:szCs w:val="22"/>
        </w:rPr>
      </w:pPr>
      <w:r>
        <w:rPr>
          <w:szCs w:val="22"/>
        </w:rPr>
        <w:t>silpnumas, nuovargis*</w:t>
      </w:r>
      <w:r w:rsidR="009C2EEF">
        <w:rPr>
          <w:szCs w:val="22"/>
        </w:rPr>
        <w:t>;</w:t>
      </w:r>
    </w:p>
    <w:p w14:paraId="17F1910F" w14:textId="77777777" w:rsidR="009C2EEF" w:rsidRDefault="009C2EEF" w:rsidP="004364B8">
      <w:pPr>
        <w:numPr>
          <w:ilvl w:val="0"/>
          <w:numId w:val="8"/>
        </w:numPr>
        <w:tabs>
          <w:tab w:val="left" w:pos="567"/>
        </w:tabs>
        <w:ind w:left="567" w:hanging="567"/>
        <w:rPr>
          <w:szCs w:val="22"/>
        </w:rPr>
      </w:pPr>
      <w:r>
        <w:rPr>
          <w:szCs w:val="22"/>
        </w:rPr>
        <w:t>sąnarių ir griaučių raumenų skausmas;</w:t>
      </w:r>
    </w:p>
    <w:p w14:paraId="2956B49B" w14:textId="77777777" w:rsidR="009C2EEF" w:rsidRDefault="009C2EEF" w:rsidP="009C2EEF">
      <w:pPr>
        <w:numPr>
          <w:ilvl w:val="0"/>
          <w:numId w:val="8"/>
        </w:numPr>
        <w:tabs>
          <w:tab w:val="left" w:pos="567"/>
        </w:tabs>
        <w:ind w:left="567" w:hanging="567"/>
        <w:rPr>
          <w:szCs w:val="22"/>
        </w:rPr>
      </w:pPr>
      <w:r>
        <w:rPr>
          <w:szCs w:val="22"/>
        </w:rPr>
        <w:t>karščio pylimas;</w:t>
      </w:r>
    </w:p>
    <w:p w14:paraId="7E5B7512" w14:textId="77777777" w:rsidR="004364B8" w:rsidRDefault="009C2EEF" w:rsidP="004364B8">
      <w:pPr>
        <w:numPr>
          <w:ilvl w:val="0"/>
          <w:numId w:val="8"/>
        </w:numPr>
        <w:tabs>
          <w:tab w:val="left" w:pos="567"/>
        </w:tabs>
        <w:ind w:left="567" w:hanging="567"/>
        <w:rPr>
          <w:szCs w:val="22"/>
        </w:rPr>
      </w:pPr>
      <w:r>
        <w:rPr>
          <w:szCs w:val="22"/>
        </w:rPr>
        <w:t>odos išbėrimas;</w:t>
      </w:r>
    </w:p>
    <w:p w14:paraId="15A740C8" w14:textId="77777777" w:rsidR="00950020" w:rsidRDefault="00950020" w:rsidP="004364B8">
      <w:pPr>
        <w:numPr>
          <w:ilvl w:val="0"/>
          <w:numId w:val="8"/>
        </w:numPr>
        <w:tabs>
          <w:tab w:val="left" w:pos="567"/>
        </w:tabs>
        <w:ind w:left="567" w:hanging="567"/>
        <w:rPr>
          <w:szCs w:val="22"/>
        </w:rPr>
      </w:pPr>
      <w:r>
        <w:rPr>
          <w:szCs w:val="22"/>
        </w:rPr>
        <w:t>alerginės (padidėjusio jautrumo) reakcijos, įskaitant veido, lūpų, liežuvio ir (arba) gerklės patinimą.</w:t>
      </w:r>
    </w:p>
    <w:p w14:paraId="4C6CFB44" w14:textId="77777777" w:rsidR="00E24F77" w:rsidRPr="009B558C" w:rsidRDefault="00E24F77" w:rsidP="004364B8">
      <w:pPr>
        <w:tabs>
          <w:tab w:val="left" w:pos="567"/>
        </w:tabs>
        <w:rPr>
          <w:rFonts w:eastAsiaTheme="minorHAnsi"/>
          <w:b/>
        </w:rPr>
      </w:pPr>
    </w:p>
    <w:p w14:paraId="0BF04BE7" w14:textId="77777777" w:rsidR="004364B8" w:rsidRPr="00CD78F8" w:rsidRDefault="00E24F77" w:rsidP="004364B8">
      <w:pPr>
        <w:tabs>
          <w:tab w:val="left" w:pos="567"/>
        </w:tabs>
        <w:rPr>
          <w:b/>
          <w:bCs/>
          <w:szCs w:val="22"/>
        </w:rPr>
      </w:pPr>
      <w:r w:rsidRPr="00CD78F8">
        <w:rPr>
          <w:rFonts w:eastAsiaTheme="minorHAnsi"/>
          <w:b/>
          <w:bCs/>
          <w:szCs w:val="22"/>
          <w:lang w:eastAsia="en-US"/>
        </w:rPr>
        <w:t>Visi kiti šalutiniai poveikiai:</w:t>
      </w:r>
    </w:p>
    <w:p w14:paraId="1C9C9B7C" w14:textId="77777777" w:rsidR="00E24F77" w:rsidRPr="00BC02B7" w:rsidRDefault="00E24F77" w:rsidP="004364B8">
      <w:pPr>
        <w:tabs>
          <w:tab w:val="left" w:pos="567"/>
        </w:tabs>
        <w:rPr>
          <w:b/>
          <w:bCs/>
          <w:szCs w:val="22"/>
        </w:rPr>
      </w:pPr>
    </w:p>
    <w:p w14:paraId="3F05B139" w14:textId="6889A63E" w:rsidR="004364B8" w:rsidRDefault="00BC02B7" w:rsidP="004364B8">
      <w:pPr>
        <w:tabs>
          <w:tab w:val="left" w:pos="567"/>
        </w:tabs>
        <w:rPr>
          <w:b/>
          <w:bCs/>
          <w:szCs w:val="22"/>
        </w:rPr>
      </w:pPr>
      <w:r w:rsidRPr="00081439">
        <w:rPr>
          <w:b/>
          <w:bCs/>
          <w:szCs w:val="22"/>
        </w:rPr>
        <w:t>Dažni šalutinio poveikio reiškiniai (gali pasireikšti rečiau kaip 1 iš 10 asmenų)</w:t>
      </w:r>
      <w:r w:rsidR="004364B8">
        <w:rPr>
          <w:szCs w:val="22"/>
        </w:rPr>
        <w:t>:</w:t>
      </w:r>
    </w:p>
    <w:p w14:paraId="586CB4FE" w14:textId="77777777" w:rsidR="004364B8" w:rsidRDefault="004364B8" w:rsidP="004364B8">
      <w:pPr>
        <w:numPr>
          <w:ilvl w:val="0"/>
          <w:numId w:val="8"/>
        </w:numPr>
        <w:tabs>
          <w:tab w:val="left" w:pos="567"/>
        </w:tabs>
        <w:ind w:left="567" w:hanging="567"/>
        <w:rPr>
          <w:szCs w:val="22"/>
        </w:rPr>
      </w:pPr>
      <w:r>
        <w:rPr>
          <w:szCs w:val="22"/>
        </w:rPr>
        <w:t>galvos skausmas;</w:t>
      </w:r>
    </w:p>
    <w:p w14:paraId="5D685395" w14:textId="77777777" w:rsidR="004364B8" w:rsidRDefault="004364B8" w:rsidP="004364B8">
      <w:pPr>
        <w:numPr>
          <w:ilvl w:val="0"/>
          <w:numId w:val="8"/>
        </w:numPr>
        <w:tabs>
          <w:tab w:val="left" w:pos="567"/>
        </w:tabs>
        <w:ind w:left="567" w:hanging="567"/>
        <w:rPr>
          <w:szCs w:val="22"/>
        </w:rPr>
      </w:pPr>
      <w:r>
        <w:rPr>
          <w:szCs w:val="22"/>
        </w:rPr>
        <w:t>vėmimas, viduriavimas, apetito stoka*;</w:t>
      </w:r>
    </w:p>
    <w:p w14:paraId="065B56C5" w14:textId="77777777" w:rsidR="004364B8" w:rsidRDefault="004364B8" w:rsidP="004364B8">
      <w:pPr>
        <w:numPr>
          <w:ilvl w:val="0"/>
          <w:numId w:val="8"/>
        </w:numPr>
        <w:tabs>
          <w:tab w:val="left" w:pos="567"/>
        </w:tabs>
        <w:ind w:left="567" w:hanging="567"/>
        <w:rPr>
          <w:szCs w:val="22"/>
        </w:rPr>
      </w:pPr>
      <w:r>
        <w:rPr>
          <w:szCs w:val="22"/>
        </w:rPr>
        <w:t>šlapimo takų infekcijos;</w:t>
      </w:r>
    </w:p>
    <w:p w14:paraId="791C7CA9" w14:textId="77777777" w:rsidR="004364B8" w:rsidRDefault="004364B8" w:rsidP="004364B8">
      <w:pPr>
        <w:numPr>
          <w:ilvl w:val="0"/>
          <w:numId w:val="8"/>
        </w:numPr>
        <w:tabs>
          <w:tab w:val="left" w:pos="567"/>
        </w:tabs>
        <w:ind w:left="567" w:hanging="567"/>
        <w:rPr>
          <w:szCs w:val="22"/>
        </w:rPr>
      </w:pPr>
      <w:r>
        <w:rPr>
          <w:szCs w:val="22"/>
        </w:rPr>
        <w:t>nugaros skausmas*;</w:t>
      </w:r>
    </w:p>
    <w:p w14:paraId="54E748F8" w14:textId="77777777" w:rsidR="004364B8" w:rsidRDefault="004364B8" w:rsidP="004364B8">
      <w:pPr>
        <w:numPr>
          <w:ilvl w:val="0"/>
          <w:numId w:val="8"/>
        </w:numPr>
        <w:tabs>
          <w:tab w:val="left" w:pos="567"/>
        </w:tabs>
        <w:ind w:left="567" w:hanging="567"/>
        <w:rPr>
          <w:szCs w:val="22"/>
        </w:rPr>
      </w:pPr>
      <w:r>
        <w:rPr>
          <w:szCs w:val="22"/>
        </w:rPr>
        <w:t>padidėjęs bilirubino (kepenų gaminamo tulžies pigmento) kiekis;</w:t>
      </w:r>
    </w:p>
    <w:p w14:paraId="47E72963" w14:textId="77777777" w:rsidR="004364B8" w:rsidRDefault="004364B8" w:rsidP="004364B8">
      <w:pPr>
        <w:numPr>
          <w:ilvl w:val="0"/>
          <w:numId w:val="8"/>
        </w:numPr>
        <w:tabs>
          <w:tab w:val="left" w:pos="567"/>
        </w:tabs>
        <w:ind w:left="567" w:hanging="567"/>
        <w:rPr>
          <w:szCs w:val="22"/>
        </w:rPr>
      </w:pPr>
      <w:r>
        <w:rPr>
          <w:szCs w:val="22"/>
        </w:rPr>
        <w:lastRenderedPageBreak/>
        <w:t>tromboembolija (padidėjusi kraujo krešulių rizika)*;</w:t>
      </w:r>
    </w:p>
    <w:p w14:paraId="0A2B85E6" w14:textId="77777777" w:rsidR="00950020" w:rsidRDefault="00950020" w:rsidP="00950020">
      <w:pPr>
        <w:numPr>
          <w:ilvl w:val="0"/>
          <w:numId w:val="8"/>
        </w:numPr>
        <w:tabs>
          <w:tab w:val="left" w:pos="567"/>
        </w:tabs>
        <w:ind w:left="567" w:hanging="567"/>
        <w:rPr>
          <w:szCs w:val="22"/>
        </w:rPr>
      </w:pPr>
      <w:r>
        <w:rPr>
          <w:szCs w:val="22"/>
        </w:rPr>
        <w:t>sumažėjęs kraujo plokštelių kiekis (trombocitopenija);</w:t>
      </w:r>
    </w:p>
    <w:p w14:paraId="42BC6E3E" w14:textId="77777777" w:rsidR="00950020" w:rsidRDefault="00950020" w:rsidP="004364B8">
      <w:pPr>
        <w:numPr>
          <w:ilvl w:val="0"/>
          <w:numId w:val="8"/>
        </w:numPr>
        <w:tabs>
          <w:tab w:val="left" w:pos="567"/>
        </w:tabs>
        <w:ind w:left="567" w:hanging="567"/>
        <w:rPr>
          <w:szCs w:val="22"/>
        </w:rPr>
      </w:pPr>
      <w:r>
        <w:rPr>
          <w:szCs w:val="22"/>
        </w:rPr>
        <w:t>kraujavimas iš makšties;</w:t>
      </w:r>
    </w:p>
    <w:p w14:paraId="51DE2860" w14:textId="77777777" w:rsidR="00950020" w:rsidRDefault="00950020" w:rsidP="00950020">
      <w:pPr>
        <w:numPr>
          <w:ilvl w:val="0"/>
          <w:numId w:val="8"/>
        </w:numPr>
        <w:tabs>
          <w:tab w:val="left" w:pos="567"/>
        </w:tabs>
        <w:ind w:left="567" w:hanging="567"/>
        <w:rPr>
          <w:szCs w:val="22"/>
        </w:rPr>
      </w:pPr>
      <w:r>
        <w:rPr>
          <w:szCs w:val="22"/>
        </w:rPr>
        <w:t>apatinės nugaros dalies skausmas, plintantis</w:t>
      </w:r>
      <w:r w:rsidRPr="00E24F77">
        <w:rPr>
          <w:szCs w:val="22"/>
        </w:rPr>
        <w:t xml:space="preserve"> į koj</w:t>
      </w:r>
      <w:r>
        <w:rPr>
          <w:szCs w:val="22"/>
        </w:rPr>
        <w:t>ą</w:t>
      </w:r>
      <w:r w:rsidRPr="00E24F77">
        <w:rPr>
          <w:szCs w:val="22"/>
        </w:rPr>
        <w:t xml:space="preserve"> </w:t>
      </w:r>
      <w:r>
        <w:rPr>
          <w:szCs w:val="22"/>
        </w:rPr>
        <w:t>vienoje pusėje</w:t>
      </w:r>
      <w:r w:rsidRPr="00E24F77">
        <w:rPr>
          <w:szCs w:val="22"/>
        </w:rPr>
        <w:t xml:space="preserve"> (išialgija)</w:t>
      </w:r>
      <w:r>
        <w:rPr>
          <w:szCs w:val="22"/>
        </w:rPr>
        <w:t>;</w:t>
      </w:r>
    </w:p>
    <w:p w14:paraId="52BFBB46" w14:textId="77777777" w:rsidR="00950020" w:rsidRDefault="00950020" w:rsidP="004364B8">
      <w:pPr>
        <w:numPr>
          <w:ilvl w:val="0"/>
          <w:numId w:val="8"/>
        </w:numPr>
        <w:tabs>
          <w:tab w:val="left" w:pos="567"/>
        </w:tabs>
        <w:ind w:left="567" w:hanging="567"/>
        <w:rPr>
          <w:szCs w:val="22"/>
        </w:rPr>
      </w:pPr>
      <w:r>
        <w:rPr>
          <w:szCs w:val="22"/>
        </w:rPr>
        <w:t>s</w:t>
      </w:r>
      <w:r w:rsidRPr="00E24F77">
        <w:rPr>
          <w:szCs w:val="22"/>
        </w:rPr>
        <w:t>taig</w:t>
      </w:r>
      <w:r>
        <w:rPr>
          <w:szCs w:val="22"/>
        </w:rPr>
        <w:t>us</w:t>
      </w:r>
      <w:r w:rsidRPr="00E24F77">
        <w:rPr>
          <w:szCs w:val="22"/>
        </w:rPr>
        <w:t xml:space="preserve"> silpnumas, tirpimas, dilgčiojimas arba </w:t>
      </w:r>
      <w:r>
        <w:rPr>
          <w:szCs w:val="22"/>
        </w:rPr>
        <w:t>kojų judėjimo pr</w:t>
      </w:r>
      <w:r w:rsidRPr="00E24F77">
        <w:rPr>
          <w:szCs w:val="22"/>
        </w:rPr>
        <w:t>aradimas</w:t>
      </w:r>
      <w:r>
        <w:rPr>
          <w:szCs w:val="22"/>
        </w:rPr>
        <w:t>,</w:t>
      </w:r>
      <w:r w:rsidRPr="00E24F77">
        <w:rPr>
          <w:szCs w:val="22"/>
        </w:rPr>
        <w:t xml:space="preserve"> ypač tik vieno</w:t>
      </w:r>
      <w:r>
        <w:rPr>
          <w:szCs w:val="22"/>
        </w:rPr>
        <w:t xml:space="preserve">je kūno pusėje, netikėtas sunkumas </w:t>
      </w:r>
      <w:r w:rsidRPr="00E24F77">
        <w:rPr>
          <w:szCs w:val="22"/>
        </w:rPr>
        <w:t xml:space="preserve">vaikščioti ar </w:t>
      </w:r>
      <w:r>
        <w:rPr>
          <w:szCs w:val="22"/>
        </w:rPr>
        <w:t>palaikyti pusiausvyrą</w:t>
      </w:r>
      <w:r w:rsidRPr="00E24F77">
        <w:rPr>
          <w:szCs w:val="22"/>
        </w:rPr>
        <w:t xml:space="preserve"> (periferinė neuropatija</w:t>
      </w:r>
      <w:r>
        <w:rPr>
          <w:szCs w:val="22"/>
        </w:rPr>
        <w:t>).</w:t>
      </w:r>
    </w:p>
    <w:p w14:paraId="20804273" w14:textId="77777777" w:rsidR="004364B8" w:rsidRDefault="004364B8" w:rsidP="004364B8">
      <w:pPr>
        <w:tabs>
          <w:tab w:val="left" w:pos="567"/>
        </w:tabs>
        <w:rPr>
          <w:szCs w:val="22"/>
        </w:rPr>
      </w:pPr>
    </w:p>
    <w:p w14:paraId="7381FD55" w14:textId="5BC36524" w:rsidR="004364B8" w:rsidRDefault="00081439" w:rsidP="004364B8">
      <w:pPr>
        <w:tabs>
          <w:tab w:val="left" w:pos="567"/>
        </w:tabs>
        <w:rPr>
          <w:b/>
          <w:bCs/>
          <w:szCs w:val="22"/>
        </w:rPr>
      </w:pPr>
      <w:r>
        <w:rPr>
          <w:b/>
          <w:bCs/>
          <w:szCs w:val="22"/>
        </w:rPr>
        <w:t xml:space="preserve">Nedažni šalutinio poveikio reiškiniai (gali pasireikšti rečiau kaip 1 iš 100 asmenų): </w:t>
      </w:r>
    </w:p>
    <w:p w14:paraId="5CE091A0" w14:textId="7A42AB1C" w:rsidR="004364B8" w:rsidRDefault="004364B8" w:rsidP="004364B8">
      <w:pPr>
        <w:numPr>
          <w:ilvl w:val="0"/>
          <w:numId w:val="8"/>
        </w:numPr>
        <w:tabs>
          <w:tab w:val="left" w:pos="567"/>
        </w:tabs>
        <w:ind w:left="567" w:hanging="567"/>
        <w:rPr>
          <w:szCs w:val="22"/>
        </w:rPr>
      </w:pPr>
      <w:r>
        <w:rPr>
          <w:szCs w:val="22"/>
        </w:rPr>
        <w:t xml:space="preserve">tirštos balkšvos išskyros </w:t>
      </w:r>
      <w:r w:rsidR="00950020">
        <w:rPr>
          <w:szCs w:val="22"/>
        </w:rPr>
        <w:t xml:space="preserve">iš makšties </w:t>
      </w:r>
      <w:r>
        <w:rPr>
          <w:szCs w:val="22"/>
        </w:rPr>
        <w:t>ir kandidozė (infekcija);</w:t>
      </w:r>
    </w:p>
    <w:p w14:paraId="2E3F88C2" w14:textId="77777777" w:rsidR="004364B8" w:rsidRDefault="004364B8" w:rsidP="004364B8">
      <w:pPr>
        <w:numPr>
          <w:ilvl w:val="0"/>
          <w:numId w:val="8"/>
        </w:numPr>
        <w:tabs>
          <w:tab w:val="left" w:pos="567"/>
        </w:tabs>
        <w:ind w:left="567" w:hanging="567"/>
        <w:rPr>
          <w:szCs w:val="22"/>
        </w:rPr>
      </w:pPr>
      <w:r>
        <w:rPr>
          <w:szCs w:val="22"/>
        </w:rPr>
        <w:t>kraujosruvos ir kraujavimas injekcijos vietoje;</w:t>
      </w:r>
    </w:p>
    <w:p w14:paraId="566E47F4" w14:textId="77777777" w:rsidR="004364B8" w:rsidRDefault="004364B8" w:rsidP="004364B8">
      <w:pPr>
        <w:numPr>
          <w:ilvl w:val="0"/>
          <w:numId w:val="8"/>
        </w:numPr>
        <w:tabs>
          <w:tab w:val="left" w:pos="567"/>
        </w:tabs>
        <w:ind w:left="567" w:hanging="567"/>
        <w:rPr>
          <w:szCs w:val="22"/>
        </w:rPr>
      </w:pPr>
      <w:r>
        <w:rPr>
          <w:szCs w:val="22"/>
        </w:rPr>
        <w:t>padidėjęs gama-GT (kepenų fermento) aktyvumas (nustatomas tiriant kraują);</w:t>
      </w:r>
    </w:p>
    <w:p w14:paraId="5FCB2E6F" w14:textId="77777777" w:rsidR="004364B8" w:rsidRDefault="004364B8" w:rsidP="004364B8">
      <w:pPr>
        <w:numPr>
          <w:ilvl w:val="0"/>
          <w:numId w:val="8"/>
        </w:numPr>
        <w:tabs>
          <w:tab w:val="left" w:pos="567"/>
        </w:tabs>
        <w:ind w:left="567" w:hanging="567"/>
        <w:rPr>
          <w:szCs w:val="22"/>
        </w:rPr>
      </w:pPr>
      <w:r>
        <w:rPr>
          <w:szCs w:val="22"/>
        </w:rPr>
        <w:t>kepenų uždegimas (hepatitas);</w:t>
      </w:r>
    </w:p>
    <w:p w14:paraId="10C14D84" w14:textId="77777777" w:rsidR="00E24F77" w:rsidRDefault="004364B8" w:rsidP="004364B8">
      <w:pPr>
        <w:numPr>
          <w:ilvl w:val="0"/>
          <w:numId w:val="8"/>
        </w:numPr>
        <w:tabs>
          <w:tab w:val="left" w:pos="567"/>
        </w:tabs>
        <w:ind w:left="567" w:hanging="567"/>
        <w:rPr>
          <w:szCs w:val="22"/>
        </w:rPr>
      </w:pPr>
      <w:r>
        <w:rPr>
          <w:szCs w:val="22"/>
        </w:rPr>
        <w:t>kepenų nepakankamumas</w:t>
      </w:r>
      <w:r w:rsidR="00E24F77">
        <w:rPr>
          <w:szCs w:val="22"/>
        </w:rPr>
        <w:t>;</w:t>
      </w:r>
    </w:p>
    <w:p w14:paraId="62C777B9" w14:textId="77777777" w:rsidR="00E24F77" w:rsidRDefault="00E24F77" w:rsidP="001209DE">
      <w:pPr>
        <w:numPr>
          <w:ilvl w:val="0"/>
          <w:numId w:val="8"/>
        </w:numPr>
        <w:tabs>
          <w:tab w:val="left" w:pos="567"/>
        </w:tabs>
        <w:ind w:left="567" w:hanging="567"/>
        <w:rPr>
          <w:szCs w:val="22"/>
        </w:rPr>
      </w:pPr>
      <w:r>
        <w:rPr>
          <w:szCs w:val="22"/>
        </w:rPr>
        <w:t>t</w:t>
      </w:r>
      <w:r w:rsidRPr="00E24F77">
        <w:rPr>
          <w:szCs w:val="22"/>
        </w:rPr>
        <w:t>irpimas, dilgčiojimas, skausmas</w:t>
      </w:r>
      <w:r>
        <w:rPr>
          <w:szCs w:val="22"/>
        </w:rPr>
        <w:t>;</w:t>
      </w:r>
    </w:p>
    <w:p w14:paraId="1948EBF2" w14:textId="77777777" w:rsidR="00950020" w:rsidRDefault="00950020" w:rsidP="001209DE">
      <w:pPr>
        <w:numPr>
          <w:ilvl w:val="0"/>
          <w:numId w:val="8"/>
        </w:numPr>
        <w:tabs>
          <w:tab w:val="left" w:pos="567"/>
        </w:tabs>
        <w:ind w:left="567" w:hanging="567"/>
        <w:rPr>
          <w:szCs w:val="22"/>
        </w:rPr>
      </w:pPr>
      <w:r>
        <w:rPr>
          <w:szCs w:val="22"/>
        </w:rPr>
        <w:t>anafilaksinė reakcija.</w:t>
      </w:r>
    </w:p>
    <w:p w14:paraId="1D90606F" w14:textId="77777777" w:rsidR="004364B8" w:rsidRDefault="004364B8" w:rsidP="004364B8">
      <w:pPr>
        <w:tabs>
          <w:tab w:val="left" w:pos="567"/>
        </w:tabs>
        <w:rPr>
          <w:szCs w:val="22"/>
        </w:rPr>
      </w:pPr>
    </w:p>
    <w:p w14:paraId="46D03AAC" w14:textId="77777777" w:rsidR="004364B8" w:rsidRDefault="004364B8" w:rsidP="004364B8">
      <w:pPr>
        <w:tabs>
          <w:tab w:val="left" w:pos="567"/>
        </w:tabs>
        <w:rPr>
          <w:szCs w:val="22"/>
        </w:rPr>
      </w:pPr>
      <w:r>
        <w:rPr>
          <w:szCs w:val="22"/>
        </w:rPr>
        <w:t xml:space="preserve">* Įskaitant šalutinio poveikio atvejus, kurių pasireiškimui </w:t>
      </w:r>
      <w:r>
        <w:rPr>
          <w:bCs/>
          <w:szCs w:val="22"/>
        </w:rPr>
        <w:t>Fulvestrant Sandoz</w:t>
      </w:r>
      <w:r>
        <w:rPr>
          <w:szCs w:val="22"/>
        </w:rPr>
        <w:t xml:space="preserve"> vaidmuo tiksliai negali būti įvertintas dėl pagrindinės ligos.</w:t>
      </w:r>
    </w:p>
    <w:p w14:paraId="3D67A2BD" w14:textId="77777777" w:rsidR="004364B8" w:rsidRDefault="004364B8" w:rsidP="004364B8">
      <w:pPr>
        <w:tabs>
          <w:tab w:val="left" w:pos="567"/>
        </w:tabs>
        <w:rPr>
          <w:szCs w:val="22"/>
        </w:rPr>
      </w:pPr>
    </w:p>
    <w:p w14:paraId="4BDB06B9" w14:textId="77777777" w:rsidR="004364B8" w:rsidRDefault="004364B8" w:rsidP="004364B8">
      <w:pPr>
        <w:tabs>
          <w:tab w:val="left" w:pos="567"/>
        </w:tabs>
        <w:rPr>
          <w:b/>
          <w:szCs w:val="22"/>
        </w:rPr>
      </w:pPr>
      <w:r>
        <w:rPr>
          <w:b/>
          <w:szCs w:val="22"/>
        </w:rPr>
        <w:t>Pranešimas apie šalutinį poveikį</w:t>
      </w:r>
    </w:p>
    <w:p w14:paraId="284A011F" w14:textId="77777777" w:rsidR="00081439" w:rsidRDefault="004364B8" w:rsidP="00081439">
      <w:pPr>
        <w:tabs>
          <w:tab w:val="left" w:pos="567"/>
        </w:tabs>
        <w:spacing w:line="260" w:lineRule="exact"/>
        <w:ind w:right="-1"/>
      </w:pPr>
      <w:r>
        <w:rPr>
          <w:szCs w:val="22"/>
        </w:rPr>
        <w:t xml:space="preserve">Jeigu pasireiškė šalutinis poveikis, įskaitant šiame lapelyje nenurodytą, pasakykite gydytojui arba vaistininkui. </w:t>
      </w:r>
      <w:r w:rsidR="00081439">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081439">
        <w:rPr>
          <w:color w:val="0000FF"/>
          <w:u w:val="single"/>
        </w:rPr>
        <w:t>https://vapris.vvkt.lt/vvkt-web/public/nrv</w:t>
      </w:r>
      <w:r w:rsidR="00081439">
        <w:t xml:space="preserve"> arba užpildant Paciento pranešimo apie įtariamą nepageidaujamą reakciją (ĮNR) formą, kuri skelbiama </w:t>
      </w:r>
      <w:r w:rsidR="00081439">
        <w:rPr>
          <w:color w:val="0000FF"/>
          <w:u w:val="single"/>
        </w:rPr>
        <w:t>https://www.vvkt.lt/index.php?4004286486</w:t>
      </w:r>
      <w:r w:rsidR="00081439">
        <w:t xml:space="preserve">, ir atsiunčiant elektroniniu paštu (adresu </w:t>
      </w:r>
      <w:r w:rsidR="00081439">
        <w:rPr>
          <w:color w:val="0000FF"/>
          <w:u w:val="single"/>
        </w:rPr>
        <w:t>NepageidaujamaR@vvkt.lt</w:t>
      </w:r>
      <w:r w:rsidR="00081439">
        <w:t>) arba nemokamu telefonu 8 800 73 568. Pranešdami apie šalutinį poveikį galite mums padėti gauti daugiau informacijos apie šio vaisto saugumą.</w:t>
      </w:r>
    </w:p>
    <w:p w14:paraId="3CEC650C" w14:textId="16EE251F" w:rsidR="004364B8" w:rsidRDefault="004364B8" w:rsidP="004364B8">
      <w:pPr>
        <w:tabs>
          <w:tab w:val="left" w:pos="567"/>
        </w:tabs>
        <w:rPr>
          <w:szCs w:val="22"/>
        </w:rPr>
      </w:pPr>
      <w:r>
        <w:rPr>
          <w:szCs w:val="22"/>
        </w:rPr>
        <w:t xml:space="preserve">interneto svetainę (adresu http://www.vvkt.lt). </w:t>
      </w:r>
    </w:p>
    <w:p w14:paraId="3C7612AA" w14:textId="77777777" w:rsidR="00634A4D" w:rsidRDefault="00634A4D" w:rsidP="00BA1D9E">
      <w:pPr>
        <w:keepNext/>
        <w:tabs>
          <w:tab w:val="left" w:pos="567"/>
        </w:tabs>
        <w:outlineLvl w:val="2"/>
        <w:rPr>
          <w:b/>
        </w:rPr>
      </w:pPr>
    </w:p>
    <w:p w14:paraId="3A23AAF8" w14:textId="77777777" w:rsidR="00634A4D" w:rsidRDefault="00634A4D" w:rsidP="00BA1D9E">
      <w:pPr>
        <w:keepNext/>
        <w:tabs>
          <w:tab w:val="left" w:pos="567"/>
        </w:tabs>
        <w:outlineLvl w:val="2"/>
        <w:rPr>
          <w:b/>
        </w:rPr>
      </w:pPr>
    </w:p>
    <w:p w14:paraId="53ED4CB5" w14:textId="18B6DC07" w:rsidR="004364B8" w:rsidRDefault="004364B8" w:rsidP="00BA1D9E">
      <w:pPr>
        <w:keepNext/>
        <w:tabs>
          <w:tab w:val="left" w:pos="567"/>
        </w:tabs>
        <w:outlineLvl w:val="2"/>
        <w:rPr>
          <w:b/>
        </w:rPr>
      </w:pPr>
      <w:r>
        <w:rPr>
          <w:b/>
        </w:rPr>
        <w:t>5.</w:t>
      </w:r>
      <w:r>
        <w:rPr>
          <w:b/>
        </w:rPr>
        <w:tab/>
        <w:t xml:space="preserve">Kaip laikyti </w:t>
      </w:r>
      <w:r>
        <w:rPr>
          <w:b/>
          <w:bCs/>
        </w:rPr>
        <w:t>Fulvestrant Sandoz</w:t>
      </w:r>
    </w:p>
    <w:p w14:paraId="51A4A34E" w14:textId="77777777" w:rsidR="004364B8" w:rsidRDefault="004364B8" w:rsidP="004364B8">
      <w:pPr>
        <w:tabs>
          <w:tab w:val="left" w:pos="567"/>
        </w:tabs>
        <w:ind w:left="567" w:hanging="567"/>
        <w:rPr>
          <w:szCs w:val="22"/>
        </w:rPr>
      </w:pPr>
    </w:p>
    <w:p w14:paraId="3419C23A" w14:textId="77777777" w:rsidR="004364B8" w:rsidRDefault="004364B8" w:rsidP="004364B8">
      <w:pPr>
        <w:tabs>
          <w:tab w:val="left" w:pos="567"/>
        </w:tabs>
        <w:rPr>
          <w:szCs w:val="22"/>
        </w:rPr>
      </w:pPr>
      <w:r>
        <w:rPr>
          <w:szCs w:val="22"/>
        </w:rPr>
        <w:t>Šį vaistą laikykite vaikams nepastebimoje ir nepasiekiamoje vietoje.</w:t>
      </w:r>
    </w:p>
    <w:p w14:paraId="5B3CEB35" w14:textId="24E8B814" w:rsidR="004364B8" w:rsidRDefault="004364B8" w:rsidP="004364B8">
      <w:pPr>
        <w:tabs>
          <w:tab w:val="left" w:pos="567"/>
        </w:tabs>
        <w:rPr>
          <w:szCs w:val="22"/>
        </w:rPr>
      </w:pPr>
    </w:p>
    <w:p w14:paraId="604AFCE3" w14:textId="01782D53" w:rsidR="00721BAD" w:rsidRDefault="00721BAD" w:rsidP="00721BAD">
      <w:pPr>
        <w:tabs>
          <w:tab w:val="left" w:pos="567"/>
        </w:tabs>
        <w:rPr>
          <w:szCs w:val="22"/>
        </w:rPr>
      </w:pPr>
      <w:r>
        <w:rPr>
          <w:szCs w:val="22"/>
        </w:rPr>
        <w:t xml:space="preserve">Ant dėžutės ar švirkšto etiketės po „EXP“ nurodytam tinkamumo laikui pasibaigus, šio vaisto vartoti negalima. Vaistas tinkamas vartoti iki paskutinės nurodyto mėnesio dienos </w:t>
      </w:r>
    </w:p>
    <w:p w14:paraId="03940330" w14:textId="77777777" w:rsidR="00721BAD" w:rsidRDefault="00721BAD" w:rsidP="004364B8">
      <w:pPr>
        <w:tabs>
          <w:tab w:val="left" w:pos="567"/>
        </w:tabs>
        <w:rPr>
          <w:szCs w:val="22"/>
        </w:rPr>
      </w:pPr>
    </w:p>
    <w:p w14:paraId="003CF243" w14:textId="7B75884D" w:rsidR="00011004" w:rsidRDefault="00011004" w:rsidP="004364B8">
      <w:pPr>
        <w:tabs>
          <w:tab w:val="left" w:pos="567"/>
        </w:tabs>
        <w:rPr>
          <w:szCs w:val="22"/>
        </w:rPr>
      </w:pPr>
      <w:r w:rsidRPr="00011004">
        <w:rPr>
          <w:szCs w:val="22"/>
        </w:rPr>
        <w:t>Šiam vaistui specialių laikymo sąlygų nereikia</w:t>
      </w:r>
      <w:r>
        <w:rPr>
          <w:szCs w:val="22"/>
        </w:rPr>
        <w:t>.</w:t>
      </w:r>
    </w:p>
    <w:p w14:paraId="0ED0A4EE" w14:textId="7553F95B" w:rsidR="003A14DE" w:rsidRDefault="003A14DE" w:rsidP="004364B8">
      <w:pPr>
        <w:tabs>
          <w:tab w:val="left" w:pos="567"/>
        </w:tabs>
      </w:pPr>
    </w:p>
    <w:p w14:paraId="3192000F" w14:textId="4C999015" w:rsidR="003A14DE" w:rsidRDefault="003A14DE" w:rsidP="004364B8">
      <w:pPr>
        <w:tabs>
          <w:tab w:val="left" w:pos="567"/>
        </w:tabs>
      </w:pPr>
      <w:r w:rsidRPr="003A14DE">
        <w:t>Jūsų sveikatos priežiūros specialistas bus atsakingas už tinkamą Fulvestrant saugojimą, naudojimą bei atliekų tvarkymą.</w:t>
      </w:r>
    </w:p>
    <w:p w14:paraId="674BC7E9" w14:textId="77777777" w:rsidR="004364B8" w:rsidRDefault="004364B8" w:rsidP="004364B8">
      <w:pPr>
        <w:tabs>
          <w:tab w:val="left" w:pos="567"/>
        </w:tabs>
        <w:rPr>
          <w:szCs w:val="22"/>
        </w:rPr>
      </w:pPr>
    </w:p>
    <w:p w14:paraId="61411B19" w14:textId="77777777" w:rsidR="004364B8" w:rsidRDefault="004364B8" w:rsidP="004364B8">
      <w:pPr>
        <w:tabs>
          <w:tab w:val="left" w:pos="567"/>
        </w:tabs>
        <w:rPr>
          <w:szCs w:val="22"/>
        </w:rPr>
      </w:pPr>
      <w:r>
        <w:rPr>
          <w:szCs w:val="22"/>
        </w:rPr>
        <w:t>Pastebėjus, kad prietaisas ar jo turinys kokiu nors būdu sugadinti, pvz., apgadintas švirkštas, drumstas tirpalas, yra plaukiojančių dalelių ar pakitusi tirpalo spalva, šio vaisto vartoti negalima.</w:t>
      </w:r>
    </w:p>
    <w:p w14:paraId="19B965AD" w14:textId="77777777" w:rsidR="004364B8" w:rsidRDefault="004364B8" w:rsidP="004364B8">
      <w:pPr>
        <w:tabs>
          <w:tab w:val="left" w:pos="567"/>
        </w:tabs>
        <w:rPr>
          <w:szCs w:val="22"/>
        </w:rPr>
      </w:pPr>
    </w:p>
    <w:p w14:paraId="787E5E48" w14:textId="77777777" w:rsidR="004364B8" w:rsidRDefault="004364B8" w:rsidP="004364B8">
      <w:pPr>
        <w:tabs>
          <w:tab w:val="left" w:pos="567"/>
        </w:tabs>
        <w:rPr>
          <w:szCs w:val="22"/>
        </w:rPr>
      </w:pPr>
      <w:r>
        <w:rPr>
          <w:szCs w:val="22"/>
        </w:rPr>
        <w:t>Vaistų negalima išmesti į kanalizaciją arba su buitinėmis atliekomis. Kaip išmesti nereikalingus vaistus, klauskite vaistininko. Šios priemonės padės apsaugoti aplinką.</w:t>
      </w:r>
    </w:p>
    <w:p w14:paraId="22F3F874" w14:textId="77777777" w:rsidR="004364B8" w:rsidRDefault="004364B8" w:rsidP="004364B8">
      <w:pPr>
        <w:tabs>
          <w:tab w:val="left" w:pos="567"/>
        </w:tabs>
        <w:rPr>
          <w:szCs w:val="22"/>
        </w:rPr>
      </w:pPr>
    </w:p>
    <w:p w14:paraId="048F3D35" w14:textId="77777777" w:rsidR="004364B8" w:rsidRDefault="004364B8" w:rsidP="004364B8">
      <w:pPr>
        <w:tabs>
          <w:tab w:val="left" w:pos="567"/>
        </w:tabs>
        <w:rPr>
          <w:szCs w:val="22"/>
        </w:rPr>
      </w:pPr>
    </w:p>
    <w:p w14:paraId="062BBD2D" w14:textId="77777777" w:rsidR="004364B8" w:rsidRDefault="004364B8" w:rsidP="00BA1D9E">
      <w:pPr>
        <w:keepNext/>
        <w:tabs>
          <w:tab w:val="left" w:pos="567"/>
        </w:tabs>
        <w:outlineLvl w:val="2"/>
        <w:rPr>
          <w:b/>
        </w:rPr>
      </w:pPr>
      <w:r>
        <w:rPr>
          <w:b/>
        </w:rPr>
        <w:t>6.</w:t>
      </w:r>
      <w:r>
        <w:tab/>
      </w:r>
      <w:r>
        <w:rPr>
          <w:b/>
        </w:rPr>
        <w:t>Pakuotės turinys ir kita informacija</w:t>
      </w:r>
    </w:p>
    <w:p w14:paraId="57050D2F" w14:textId="77777777" w:rsidR="004364B8" w:rsidRDefault="004364B8" w:rsidP="004364B8">
      <w:pPr>
        <w:tabs>
          <w:tab w:val="left" w:pos="567"/>
        </w:tabs>
        <w:rPr>
          <w:szCs w:val="22"/>
        </w:rPr>
      </w:pPr>
    </w:p>
    <w:p w14:paraId="77D7B9DC" w14:textId="77777777" w:rsidR="004364B8" w:rsidRDefault="004364B8" w:rsidP="004364B8">
      <w:pPr>
        <w:keepNext/>
        <w:outlineLvl w:val="3"/>
        <w:rPr>
          <w:b/>
          <w:bCs/>
          <w:szCs w:val="22"/>
        </w:rPr>
      </w:pPr>
      <w:r>
        <w:rPr>
          <w:b/>
          <w:bCs/>
          <w:szCs w:val="22"/>
        </w:rPr>
        <w:lastRenderedPageBreak/>
        <w:t>Fulvestrant Sandoz sudėtis</w:t>
      </w:r>
    </w:p>
    <w:p w14:paraId="2A021B71" w14:textId="77777777" w:rsidR="009B0850" w:rsidRDefault="009B0850" w:rsidP="004364B8">
      <w:pPr>
        <w:keepNext/>
        <w:outlineLvl w:val="3"/>
        <w:rPr>
          <w:b/>
          <w:bCs/>
          <w:szCs w:val="22"/>
        </w:rPr>
      </w:pPr>
    </w:p>
    <w:p w14:paraId="2DE394E5" w14:textId="77777777" w:rsidR="004364B8" w:rsidRDefault="004364B8" w:rsidP="004364B8">
      <w:pPr>
        <w:ind w:left="567" w:hanging="567"/>
        <w:rPr>
          <w:rFonts w:eastAsia="Calibri"/>
          <w:szCs w:val="22"/>
        </w:rPr>
      </w:pPr>
      <w:r>
        <w:rPr>
          <w:szCs w:val="22"/>
        </w:rPr>
        <w:t>-</w:t>
      </w:r>
      <w:r>
        <w:rPr>
          <w:szCs w:val="22"/>
        </w:rPr>
        <w:tab/>
        <w:t>Veiklioji medžiaga yra fulvestrantas</w:t>
      </w:r>
      <w:r>
        <w:rPr>
          <w:rFonts w:eastAsia="Calibri"/>
          <w:szCs w:val="22"/>
        </w:rPr>
        <w:t>.</w:t>
      </w:r>
      <w:r>
        <w:rPr>
          <w:rFonts w:eastAsia="Calibri"/>
          <w:szCs w:val="22"/>
        </w:rPr>
        <w:br/>
        <w:t>Kiekviename užpildytame švirkšte yra 250 mg fulvestranto 5 ml tirpalo (50 mg/ml).</w:t>
      </w:r>
    </w:p>
    <w:p w14:paraId="0ED3DCAD" w14:textId="77777777" w:rsidR="004364B8" w:rsidRDefault="004364B8" w:rsidP="004364B8">
      <w:pPr>
        <w:ind w:left="567" w:hanging="567"/>
        <w:rPr>
          <w:szCs w:val="22"/>
        </w:rPr>
      </w:pPr>
      <w:r>
        <w:rPr>
          <w:szCs w:val="22"/>
        </w:rPr>
        <w:t>-</w:t>
      </w:r>
      <w:r>
        <w:rPr>
          <w:szCs w:val="22"/>
        </w:rPr>
        <w:tab/>
        <w:t>Pagalbinės medžiagos yra etanolis (96 %), benzilo alkoholis, benzilbenzoatas ir ricinos aliejus.</w:t>
      </w:r>
    </w:p>
    <w:p w14:paraId="70C59743" w14:textId="77777777" w:rsidR="004364B8" w:rsidRDefault="004364B8" w:rsidP="004364B8">
      <w:pPr>
        <w:numPr>
          <w:ilvl w:val="12"/>
          <w:numId w:val="0"/>
        </w:numPr>
        <w:ind w:right="-2"/>
        <w:rPr>
          <w:szCs w:val="22"/>
        </w:rPr>
      </w:pPr>
    </w:p>
    <w:p w14:paraId="6748CAF1" w14:textId="77777777" w:rsidR="004364B8" w:rsidRDefault="004364B8" w:rsidP="004364B8">
      <w:pPr>
        <w:keepNext/>
        <w:outlineLvl w:val="3"/>
        <w:rPr>
          <w:b/>
          <w:bCs/>
          <w:szCs w:val="22"/>
        </w:rPr>
      </w:pPr>
      <w:r>
        <w:rPr>
          <w:b/>
          <w:bCs/>
          <w:szCs w:val="22"/>
        </w:rPr>
        <w:t>Fulvestrant Sandoz išvaizda ir kiekis pakuotėje</w:t>
      </w:r>
    </w:p>
    <w:p w14:paraId="6E9E6513" w14:textId="77777777" w:rsidR="009B0850" w:rsidRDefault="009B0850" w:rsidP="004364B8">
      <w:pPr>
        <w:keepNext/>
        <w:outlineLvl w:val="3"/>
        <w:rPr>
          <w:b/>
          <w:bCs/>
          <w:szCs w:val="22"/>
        </w:rPr>
      </w:pPr>
    </w:p>
    <w:p w14:paraId="4D988ED3" w14:textId="7A6F7342" w:rsidR="004364B8" w:rsidRDefault="004364B8" w:rsidP="004364B8">
      <w:pPr>
        <w:jc w:val="both"/>
        <w:rPr>
          <w:szCs w:val="22"/>
        </w:rPr>
      </w:pPr>
      <w:r>
        <w:rPr>
          <w:bCs/>
          <w:szCs w:val="22"/>
        </w:rPr>
        <w:t>Fulvestrant Sandoz</w:t>
      </w:r>
      <w:r>
        <w:rPr>
          <w:b/>
          <w:bCs/>
          <w:szCs w:val="22"/>
        </w:rPr>
        <w:t xml:space="preserve"> </w:t>
      </w:r>
      <w:r>
        <w:rPr>
          <w:szCs w:val="22"/>
        </w:rPr>
        <w:t xml:space="preserve">yra skaidrus, nuo bespalvio iki geltonos spalvos, klampus injekcinis tirpalas užpildytame švirkšte. </w:t>
      </w:r>
    </w:p>
    <w:p w14:paraId="70AC177B" w14:textId="77777777" w:rsidR="004364B8" w:rsidRDefault="004364B8" w:rsidP="004364B8">
      <w:pPr>
        <w:jc w:val="both"/>
        <w:rPr>
          <w:szCs w:val="22"/>
        </w:rPr>
      </w:pPr>
    </w:p>
    <w:p w14:paraId="150DB9EE" w14:textId="77777777" w:rsidR="004364B8" w:rsidRDefault="004364B8" w:rsidP="004364B8">
      <w:pPr>
        <w:rPr>
          <w:szCs w:val="22"/>
        </w:rPr>
      </w:pPr>
      <w:r>
        <w:rPr>
          <w:szCs w:val="22"/>
        </w:rPr>
        <w:t>Fulvestrant Sandoz yra tiekiamas viename ar dviejuose vienkartiniuose užpildytuose švirkštuose. Papildomai kiekvienas švirkštas yra tiekiamas kartu su sterilia adata.</w:t>
      </w:r>
    </w:p>
    <w:p w14:paraId="4AA296D5" w14:textId="77777777" w:rsidR="004364B8" w:rsidRDefault="004364B8" w:rsidP="004364B8">
      <w:pPr>
        <w:rPr>
          <w:szCs w:val="22"/>
        </w:rPr>
      </w:pPr>
    </w:p>
    <w:p w14:paraId="5A814C22" w14:textId="77777777" w:rsidR="004364B8" w:rsidRDefault="004364B8" w:rsidP="004364B8">
      <w:pPr>
        <w:rPr>
          <w:szCs w:val="22"/>
        </w:rPr>
      </w:pPr>
      <w:r>
        <w:rPr>
          <w:szCs w:val="22"/>
        </w:rPr>
        <w:t>Gali būti tiekiamos ne visų dydžių pakuotės.</w:t>
      </w:r>
    </w:p>
    <w:p w14:paraId="2D529DA1" w14:textId="77777777" w:rsidR="004364B8" w:rsidRDefault="004364B8" w:rsidP="004364B8">
      <w:pPr>
        <w:rPr>
          <w:szCs w:val="22"/>
          <w:lang w:eastAsia="en-US"/>
        </w:rPr>
      </w:pPr>
    </w:p>
    <w:p w14:paraId="5575E4D5" w14:textId="77777777" w:rsidR="004364B8" w:rsidRDefault="004364B8" w:rsidP="004364B8">
      <w:pPr>
        <w:keepNext/>
        <w:outlineLvl w:val="3"/>
        <w:rPr>
          <w:b/>
          <w:bCs/>
          <w:szCs w:val="22"/>
        </w:rPr>
      </w:pPr>
      <w:r>
        <w:rPr>
          <w:b/>
          <w:bCs/>
          <w:szCs w:val="22"/>
        </w:rPr>
        <w:t>Registruotojas ir gamintojas</w:t>
      </w:r>
    </w:p>
    <w:p w14:paraId="26D893D3" w14:textId="77777777" w:rsidR="004364B8" w:rsidRDefault="004364B8" w:rsidP="004364B8">
      <w:pPr>
        <w:rPr>
          <w:szCs w:val="22"/>
          <w:u w:val="single"/>
        </w:rPr>
      </w:pPr>
    </w:p>
    <w:p w14:paraId="5DABD453" w14:textId="77777777" w:rsidR="004364B8" w:rsidRDefault="004364B8" w:rsidP="004364B8">
      <w:pPr>
        <w:rPr>
          <w:szCs w:val="22"/>
          <w:u w:val="single"/>
        </w:rPr>
      </w:pPr>
      <w:r>
        <w:rPr>
          <w:szCs w:val="22"/>
          <w:u w:val="single"/>
        </w:rPr>
        <w:t>Registruotojas</w:t>
      </w:r>
    </w:p>
    <w:p w14:paraId="23FD69B8" w14:textId="77777777" w:rsidR="004364B8" w:rsidRDefault="004364B8" w:rsidP="004364B8">
      <w:r>
        <w:t>Sandoz d.d.</w:t>
      </w:r>
    </w:p>
    <w:p w14:paraId="4BCD6B18" w14:textId="77777777" w:rsidR="004364B8" w:rsidRDefault="004364B8" w:rsidP="004364B8">
      <w:r>
        <w:t>Verovškova 57</w:t>
      </w:r>
    </w:p>
    <w:p w14:paraId="22925ADA" w14:textId="77777777" w:rsidR="004364B8" w:rsidRDefault="004364B8" w:rsidP="004364B8">
      <w:r>
        <w:t>SI-1000 Ljubljana</w:t>
      </w:r>
    </w:p>
    <w:p w14:paraId="63B41C95" w14:textId="77777777" w:rsidR="004364B8" w:rsidRDefault="004364B8" w:rsidP="004364B8">
      <w:r>
        <w:t>Slovėnija</w:t>
      </w:r>
    </w:p>
    <w:p w14:paraId="0FB97399" w14:textId="77777777" w:rsidR="004364B8" w:rsidRDefault="004364B8" w:rsidP="004364B8">
      <w:pPr>
        <w:rPr>
          <w:szCs w:val="22"/>
        </w:rPr>
      </w:pPr>
    </w:p>
    <w:p w14:paraId="58946489" w14:textId="77777777" w:rsidR="004364B8" w:rsidRDefault="004364B8" w:rsidP="004364B8">
      <w:pPr>
        <w:rPr>
          <w:szCs w:val="22"/>
          <w:u w:val="single"/>
        </w:rPr>
      </w:pPr>
      <w:r>
        <w:rPr>
          <w:szCs w:val="22"/>
          <w:u w:val="single"/>
        </w:rPr>
        <w:t>Gamintoja</w:t>
      </w:r>
      <w:r w:rsidR="00964FC3">
        <w:rPr>
          <w:szCs w:val="22"/>
          <w:u w:val="single"/>
        </w:rPr>
        <w:t>s</w:t>
      </w:r>
    </w:p>
    <w:p w14:paraId="4FE1BF33" w14:textId="77777777" w:rsidR="004364B8" w:rsidRDefault="004364B8" w:rsidP="004364B8">
      <w:r>
        <w:t>Lek Pharmaceuticals d.d.</w:t>
      </w:r>
    </w:p>
    <w:p w14:paraId="2270E2CB" w14:textId="77777777" w:rsidR="004364B8" w:rsidRDefault="004364B8" w:rsidP="004364B8">
      <w:r>
        <w:t>Verovškova 57</w:t>
      </w:r>
    </w:p>
    <w:p w14:paraId="5FB9425D" w14:textId="77777777" w:rsidR="004364B8" w:rsidRDefault="004364B8" w:rsidP="004364B8">
      <w:r>
        <w:t>1526 Ljubljana</w:t>
      </w:r>
    </w:p>
    <w:p w14:paraId="6133C199" w14:textId="77777777" w:rsidR="004364B8" w:rsidRDefault="004364B8" w:rsidP="004364B8">
      <w:r>
        <w:t>Slovėnija</w:t>
      </w:r>
    </w:p>
    <w:p w14:paraId="1997064B" w14:textId="77777777" w:rsidR="004364B8" w:rsidRDefault="004364B8" w:rsidP="004364B8"/>
    <w:p w14:paraId="51D91A73" w14:textId="77777777" w:rsidR="004364B8" w:rsidRDefault="004364B8" w:rsidP="004364B8">
      <w:r>
        <w:t>arba</w:t>
      </w:r>
    </w:p>
    <w:p w14:paraId="10D89841" w14:textId="77777777" w:rsidR="004364B8" w:rsidRDefault="004364B8" w:rsidP="004364B8"/>
    <w:p w14:paraId="6055AD5C" w14:textId="77777777" w:rsidR="004364B8" w:rsidRDefault="004364B8" w:rsidP="004364B8">
      <w:r>
        <w:t>EBEWE Pharma Ges.m.b. Nfg.KG</w:t>
      </w:r>
    </w:p>
    <w:p w14:paraId="51E881A8" w14:textId="77777777" w:rsidR="004364B8" w:rsidRDefault="004364B8" w:rsidP="004364B8">
      <w:r>
        <w:t>Mondseestrasse 11</w:t>
      </w:r>
    </w:p>
    <w:p w14:paraId="5FC2DEB3" w14:textId="77777777" w:rsidR="004364B8" w:rsidRDefault="004364B8" w:rsidP="004364B8">
      <w:r>
        <w:t>4866 Unterach am Attersee</w:t>
      </w:r>
    </w:p>
    <w:p w14:paraId="3D8792C8" w14:textId="77777777" w:rsidR="004364B8" w:rsidRPr="00254259" w:rsidRDefault="004364B8" w:rsidP="004364B8">
      <w:r w:rsidRPr="00254259">
        <w:t>Austrija</w:t>
      </w:r>
    </w:p>
    <w:p w14:paraId="1516CA5E" w14:textId="77777777" w:rsidR="004364B8" w:rsidRDefault="004364B8" w:rsidP="004364B8"/>
    <w:p w14:paraId="265E251B" w14:textId="77777777" w:rsidR="008D586C" w:rsidRDefault="008D586C" w:rsidP="008D586C">
      <w:r>
        <w:t>arba</w:t>
      </w:r>
    </w:p>
    <w:p w14:paraId="04C2560D" w14:textId="77777777" w:rsidR="008D586C" w:rsidRDefault="008D586C" w:rsidP="008D586C"/>
    <w:p w14:paraId="2E6BF103" w14:textId="77777777" w:rsidR="008D586C" w:rsidRDefault="008D586C" w:rsidP="008D586C">
      <w:r>
        <w:t>Fareva Unterach GmbH</w:t>
      </w:r>
    </w:p>
    <w:p w14:paraId="7E09D415" w14:textId="77777777" w:rsidR="008D586C" w:rsidRDefault="008D586C" w:rsidP="008D586C">
      <w:r>
        <w:t>Mondseestrasse 11</w:t>
      </w:r>
    </w:p>
    <w:p w14:paraId="5A1A1B38" w14:textId="77777777" w:rsidR="008D586C" w:rsidRDefault="008D586C" w:rsidP="008D586C">
      <w:r>
        <w:t>A-4866 Unterach</w:t>
      </w:r>
    </w:p>
    <w:p w14:paraId="51E65C9B" w14:textId="77777777" w:rsidR="004364B8" w:rsidRDefault="004364B8" w:rsidP="004364B8">
      <w:r>
        <w:t>Austrija</w:t>
      </w:r>
    </w:p>
    <w:p w14:paraId="0D7B8F83" w14:textId="77777777" w:rsidR="004364B8" w:rsidRDefault="004364B8" w:rsidP="004364B8"/>
    <w:p w14:paraId="583D48F7" w14:textId="77777777" w:rsidR="004364B8" w:rsidRDefault="004364B8" w:rsidP="004364B8">
      <w:r>
        <w:t>Jeigu apie šį vaistą norite sužinoti daugiau, kreipkitės į vietinį registruotojo atstovą</w:t>
      </w:r>
      <w:r w:rsidR="00964FC3">
        <w:t>.</w:t>
      </w:r>
    </w:p>
    <w:p w14:paraId="4225044C" w14:textId="77777777" w:rsidR="004364B8" w:rsidRDefault="004364B8" w:rsidP="004364B8">
      <w:pPr>
        <w:spacing w:before="120"/>
        <w:rPr>
          <w:szCs w:val="22"/>
        </w:rPr>
      </w:pPr>
      <w:r>
        <w:rPr>
          <w:szCs w:val="22"/>
        </w:rPr>
        <w:t>Sandoz Pharmaceuticals d.d. filialas</w:t>
      </w:r>
    </w:p>
    <w:p w14:paraId="2122A5E9" w14:textId="77777777" w:rsidR="004364B8" w:rsidRDefault="004364B8" w:rsidP="004364B8">
      <w:pPr>
        <w:rPr>
          <w:szCs w:val="22"/>
        </w:rPr>
      </w:pPr>
      <w:r>
        <w:rPr>
          <w:szCs w:val="22"/>
        </w:rPr>
        <w:t>Šeimyniškių g. 3A</w:t>
      </w:r>
    </w:p>
    <w:p w14:paraId="4943AE5D" w14:textId="77777777" w:rsidR="004364B8" w:rsidRDefault="004364B8" w:rsidP="004364B8">
      <w:pPr>
        <w:rPr>
          <w:szCs w:val="22"/>
        </w:rPr>
      </w:pPr>
      <w:r>
        <w:rPr>
          <w:szCs w:val="22"/>
        </w:rPr>
        <w:t xml:space="preserve">Vilnius, LT-09312 </w:t>
      </w:r>
    </w:p>
    <w:p w14:paraId="44851401" w14:textId="7DE5D55A" w:rsidR="004364B8" w:rsidRDefault="004364B8" w:rsidP="004364B8">
      <w:pPr>
        <w:rPr>
          <w:szCs w:val="22"/>
        </w:rPr>
      </w:pPr>
      <w:r>
        <w:rPr>
          <w:szCs w:val="22"/>
        </w:rPr>
        <w:t>Tel.: +370 5 263 60 37</w:t>
      </w:r>
    </w:p>
    <w:p w14:paraId="467070E1" w14:textId="0EF319A6" w:rsidR="004364B8" w:rsidRDefault="004364B8" w:rsidP="004364B8">
      <w:pPr>
        <w:tabs>
          <w:tab w:val="left" w:pos="567"/>
        </w:tabs>
      </w:pPr>
      <w:r>
        <w:t>El.</w:t>
      </w:r>
      <w:r w:rsidR="002C08DA">
        <w:t xml:space="preserve"> </w:t>
      </w:r>
      <w:r>
        <w:t xml:space="preserve">paštas: </w:t>
      </w:r>
      <w:hyperlink r:id="rId21" w:history="1">
        <w:r>
          <w:rPr>
            <w:rStyle w:val="Hipersaitas"/>
          </w:rPr>
          <w:t>info.lithuania@sandoz.com</w:t>
        </w:r>
      </w:hyperlink>
    </w:p>
    <w:p w14:paraId="62A734B0" w14:textId="77777777" w:rsidR="004364B8" w:rsidRDefault="004364B8" w:rsidP="004364B8">
      <w:pPr>
        <w:rPr>
          <w:szCs w:val="22"/>
        </w:rPr>
      </w:pPr>
    </w:p>
    <w:p w14:paraId="439D32AE" w14:textId="5F418213" w:rsidR="004364B8" w:rsidRDefault="004364B8" w:rsidP="004364B8">
      <w:pPr>
        <w:numPr>
          <w:ilvl w:val="12"/>
          <w:numId w:val="0"/>
        </w:numPr>
        <w:ind w:right="-2"/>
        <w:rPr>
          <w:b/>
          <w:szCs w:val="22"/>
        </w:rPr>
      </w:pPr>
      <w:r>
        <w:rPr>
          <w:b/>
          <w:szCs w:val="22"/>
        </w:rPr>
        <w:t>Šis vaistas E</w:t>
      </w:r>
      <w:r w:rsidR="00B86858">
        <w:rPr>
          <w:b/>
          <w:szCs w:val="22"/>
        </w:rPr>
        <w:t>uropos ekonominės erdvės</w:t>
      </w:r>
      <w:r>
        <w:rPr>
          <w:b/>
          <w:szCs w:val="22"/>
        </w:rPr>
        <w:t xml:space="preserve"> valstybėse narėse registruotas tokiais pavadinimais:</w:t>
      </w:r>
    </w:p>
    <w:p w14:paraId="17603F2B" w14:textId="62640A31" w:rsidR="000F5410" w:rsidRDefault="000F5410" w:rsidP="004364B8">
      <w:pPr>
        <w:numPr>
          <w:ilvl w:val="12"/>
          <w:numId w:val="0"/>
        </w:numPr>
        <w:ind w:right="-2"/>
        <w:rPr>
          <w:b/>
          <w:szCs w:val="22"/>
        </w:rPr>
      </w:pPr>
    </w:p>
    <w:tbl>
      <w:tblPr>
        <w:tblStyle w:val="Lentelstinklelis"/>
        <w:tblW w:w="0" w:type="auto"/>
        <w:tblLook w:val="04A0" w:firstRow="1" w:lastRow="0" w:firstColumn="1" w:lastColumn="0" w:noHBand="0" w:noVBand="1"/>
      </w:tblPr>
      <w:tblGrid>
        <w:gridCol w:w="4508"/>
        <w:gridCol w:w="4508"/>
      </w:tblGrid>
      <w:tr w:rsidR="000F5410" w14:paraId="37B3FD6E" w14:textId="77777777" w:rsidTr="0077444B">
        <w:tc>
          <w:tcPr>
            <w:tcW w:w="4508" w:type="dxa"/>
          </w:tcPr>
          <w:p w14:paraId="526756E8" w14:textId="01F86E17" w:rsidR="000F5410" w:rsidRPr="0077444B" w:rsidRDefault="000F5410" w:rsidP="0077444B">
            <w:pPr>
              <w:numPr>
                <w:ilvl w:val="12"/>
                <w:numId w:val="0"/>
              </w:numPr>
              <w:ind w:right="-2"/>
              <w:rPr>
                <w:b/>
              </w:rPr>
            </w:pPr>
            <w:r w:rsidRPr="0077444B">
              <w:rPr>
                <w:b/>
              </w:rPr>
              <w:t>Valstybės narės pavadinimas</w:t>
            </w:r>
          </w:p>
        </w:tc>
        <w:tc>
          <w:tcPr>
            <w:tcW w:w="4508" w:type="dxa"/>
          </w:tcPr>
          <w:p w14:paraId="617DF1D9" w14:textId="32FD2923" w:rsidR="000F5410" w:rsidRPr="0077444B" w:rsidRDefault="000F5410" w:rsidP="0077444B">
            <w:pPr>
              <w:numPr>
                <w:ilvl w:val="12"/>
                <w:numId w:val="0"/>
              </w:numPr>
              <w:ind w:right="-2"/>
              <w:rPr>
                <w:b/>
              </w:rPr>
            </w:pPr>
            <w:r w:rsidRPr="0077444B">
              <w:rPr>
                <w:b/>
              </w:rPr>
              <w:t>Vaisto pavadinimas</w:t>
            </w:r>
          </w:p>
        </w:tc>
      </w:tr>
      <w:tr w:rsidR="000F5410" w14:paraId="59397604" w14:textId="77777777" w:rsidTr="000F5410">
        <w:tc>
          <w:tcPr>
            <w:tcW w:w="4508" w:type="dxa"/>
          </w:tcPr>
          <w:p w14:paraId="0F0E3882" w14:textId="6976030A" w:rsidR="000F5410" w:rsidRPr="0077444B" w:rsidRDefault="008421B5" w:rsidP="004364B8">
            <w:pPr>
              <w:numPr>
                <w:ilvl w:val="12"/>
                <w:numId w:val="0"/>
              </w:numPr>
              <w:ind w:right="-2"/>
              <w:rPr>
                <w:b/>
              </w:rPr>
            </w:pPr>
            <w:r>
              <w:rPr>
                <w:szCs w:val="22"/>
                <w:lang w:eastAsia="en-US"/>
              </w:rPr>
              <w:lastRenderedPageBreak/>
              <w:t>Portugalija</w:t>
            </w:r>
            <w:r w:rsidR="000F5410">
              <w:rPr>
                <w:szCs w:val="22"/>
                <w:lang w:eastAsia="en-US"/>
              </w:rPr>
              <w:t xml:space="preserve">, Austrija, Belgija, Bulgarija, Čekija, Danija, Estija, Suomija, Prancūzija, Kroatija, Vengrija, Islandija, Italija, Lietuva, Liuksemburgas, Nyderlandai, Norvegija, Lenkija, Rumunija, Švedija, </w:t>
            </w:r>
            <w:r w:rsidR="000F5410" w:rsidRPr="000F5410">
              <w:rPr>
                <w:szCs w:val="22"/>
                <w:lang w:eastAsia="en-US"/>
              </w:rPr>
              <w:t>Slovakija</w:t>
            </w:r>
          </w:p>
        </w:tc>
        <w:tc>
          <w:tcPr>
            <w:tcW w:w="4508" w:type="dxa"/>
          </w:tcPr>
          <w:p w14:paraId="2F9A9B02" w14:textId="0694CC59" w:rsidR="000F5410" w:rsidRPr="0077444B" w:rsidRDefault="000F5410" w:rsidP="004364B8">
            <w:pPr>
              <w:numPr>
                <w:ilvl w:val="12"/>
                <w:numId w:val="0"/>
              </w:numPr>
              <w:ind w:right="-2"/>
              <w:rPr>
                <w:b/>
              </w:rPr>
            </w:pPr>
            <w:r>
              <w:rPr>
                <w:szCs w:val="22"/>
                <w:lang w:eastAsia="en-US"/>
              </w:rPr>
              <w:t>Fulvestrant Sandoz</w:t>
            </w:r>
          </w:p>
        </w:tc>
      </w:tr>
      <w:tr w:rsidR="000F5410" w14:paraId="3E72B0A6" w14:textId="77777777" w:rsidTr="000F5410">
        <w:tc>
          <w:tcPr>
            <w:tcW w:w="4508" w:type="dxa"/>
          </w:tcPr>
          <w:p w14:paraId="0C714C93" w14:textId="1F6DF7C1" w:rsidR="000F5410" w:rsidRPr="0077444B" w:rsidRDefault="000F5410" w:rsidP="004364B8">
            <w:pPr>
              <w:numPr>
                <w:ilvl w:val="12"/>
                <w:numId w:val="0"/>
              </w:numPr>
              <w:ind w:right="-2"/>
              <w:rPr>
                <w:b/>
              </w:rPr>
            </w:pPr>
            <w:r>
              <w:rPr>
                <w:szCs w:val="22"/>
                <w:lang w:eastAsia="en-US"/>
              </w:rPr>
              <w:t>Vokietija</w:t>
            </w:r>
          </w:p>
        </w:tc>
        <w:tc>
          <w:tcPr>
            <w:tcW w:w="4508" w:type="dxa"/>
          </w:tcPr>
          <w:p w14:paraId="71936410" w14:textId="4A1CABC1" w:rsidR="000F5410" w:rsidRPr="0077444B" w:rsidRDefault="000F5410" w:rsidP="004364B8">
            <w:pPr>
              <w:numPr>
                <w:ilvl w:val="12"/>
                <w:numId w:val="0"/>
              </w:numPr>
              <w:ind w:right="-2"/>
              <w:rPr>
                <w:b/>
              </w:rPr>
            </w:pPr>
            <w:r>
              <w:rPr>
                <w:szCs w:val="22"/>
                <w:lang w:eastAsia="en-US"/>
              </w:rPr>
              <w:t>Fulvestrant – 1 A Pharma</w:t>
            </w:r>
          </w:p>
        </w:tc>
      </w:tr>
      <w:tr w:rsidR="000F5410" w14:paraId="272281E7" w14:textId="77777777" w:rsidTr="000F5410">
        <w:tc>
          <w:tcPr>
            <w:tcW w:w="4508" w:type="dxa"/>
          </w:tcPr>
          <w:p w14:paraId="746470FE" w14:textId="3CD88F00" w:rsidR="000F5410" w:rsidRPr="0077444B" w:rsidRDefault="000F5410" w:rsidP="004364B8">
            <w:pPr>
              <w:numPr>
                <w:ilvl w:val="12"/>
                <w:numId w:val="0"/>
              </w:numPr>
              <w:ind w:right="-2"/>
            </w:pPr>
            <w:r>
              <w:rPr>
                <w:szCs w:val="22"/>
                <w:lang w:eastAsia="en-US"/>
              </w:rPr>
              <w:t>Ispanija</w:t>
            </w:r>
          </w:p>
        </w:tc>
        <w:tc>
          <w:tcPr>
            <w:tcW w:w="4508" w:type="dxa"/>
          </w:tcPr>
          <w:p w14:paraId="4C4FA966" w14:textId="6F5F95B5" w:rsidR="000F5410" w:rsidRPr="0077444B" w:rsidRDefault="000F5410" w:rsidP="004364B8">
            <w:pPr>
              <w:numPr>
                <w:ilvl w:val="12"/>
                <w:numId w:val="0"/>
              </w:numPr>
              <w:ind w:right="-2"/>
            </w:pPr>
            <w:r>
              <w:rPr>
                <w:szCs w:val="22"/>
                <w:lang w:eastAsia="en-US"/>
              </w:rPr>
              <w:t>Afultrant</w:t>
            </w:r>
          </w:p>
        </w:tc>
      </w:tr>
      <w:tr w:rsidR="000F5410" w14:paraId="3E71EA3E" w14:textId="77777777" w:rsidTr="000F5410">
        <w:tc>
          <w:tcPr>
            <w:tcW w:w="4508" w:type="dxa"/>
          </w:tcPr>
          <w:p w14:paraId="5A0036EB" w14:textId="5BA28F70" w:rsidR="000F5410" w:rsidRDefault="000F5410" w:rsidP="004364B8">
            <w:pPr>
              <w:numPr>
                <w:ilvl w:val="12"/>
                <w:numId w:val="0"/>
              </w:numPr>
              <w:ind w:right="-2"/>
              <w:rPr>
                <w:szCs w:val="22"/>
                <w:lang w:eastAsia="en-US"/>
              </w:rPr>
            </w:pPr>
            <w:r>
              <w:rPr>
                <w:szCs w:val="22"/>
                <w:lang w:eastAsia="en-US"/>
              </w:rPr>
              <w:t>Airija</w:t>
            </w:r>
          </w:p>
        </w:tc>
        <w:tc>
          <w:tcPr>
            <w:tcW w:w="4508" w:type="dxa"/>
          </w:tcPr>
          <w:p w14:paraId="5547CC35" w14:textId="0490F177" w:rsidR="000F5410" w:rsidRDefault="000F5410" w:rsidP="004364B8">
            <w:pPr>
              <w:numPr>
                <w:ilvl w:val="12"/>
                <w:numId w:val="0"/>
              </w:numPr>
              <w:ind w:right="-2"/>
              <w:rPr>
                <w:szCs w:val="22"/>
                <w:lang w:eastAsia="en-US"/>
              </w:rPr>
            </w:pPr>
            <w:r>
              <w:rPr>
                <w:szCs w:val="22"/>
                <w:lang w:eastAsia="en-US"/>
              </w:rPr>
              <w:t>Fulvestrant Rowex</w:t>
            </w:r>
          </w:p>
        </w:tc>
      </w:tr>
      <w:tr w:rsidR="000F5410" w14:paraId="64CCFB1E" w14:textId="77777777" w:rsidTr="000F5410">
        <w:tc>
          <w:tcPr>
            <w:tcW w:w="4508" w:type="dxa"/>
          </w:tcPr>
          <w:p w14:paraId="1A1086F2" w14:textId="5C345BFD" w:rsidR="000F5410" w:rsidRPr="0077444B" w:rsidRDefault="000F5410" w:rsidP="004364B8">
            <w:pPr>
              <w:numPr>
                <w:ilvl w:val="12"/>
                <w:numId w:val="0"/>
              </w:numPr>
              <w:ind w:right="-2"/>
            </w:pPr>
            <w:r w:rsidRPr="000F5410">
              <w:rPr>
                <w:szCs w:val="22"/>
                <w:lang w:eastAsia="en-US"/>
              </w:rPr>
              <w:t>Slovėnija</w:t>
            </w:r>
          </w:p>
        </w:tc>
        <w:tc>
          <w:tcPr>
            <w:tcW w:w="4508" w:type="dxa"/>
          </w:tcPr>
          <w:p w14:paraId="0715A7A4" w14:textId="04363B42" w:rsidR="000F5410" w:rsidRPr="0077444B" w:rsidRDefault="000F5410" w:rsidP="004364B8">
            <w:pPr>
              <w:numPr>
                <w:ilvl w:val="12"/>
                <w:numId w:val="0"/>
              </w:numPr>
              <w:ind w:right="-2"/>
            </w:pPr>
            <w:r w:rsidRPr="000F5410">
              <w:rPr>
                <w:szCs w:val="22"/>
                <w:lang w:eastAsia="en-US"/>
              </w:rPr>
              <w:t>Fulvestrant Lek</w:t>
            </w:r>
          </w:p>
        </w:tc>
      </w:tr>
      <w:tr w:rsidR="000F5410" w14:paraId="746F8510" w14:textId="77777777" w:rsidTr="000F5410">
        <w:tc>
          <w:tcPr>
            <w:tcW w:w="4508" w:type="dxa"/>
          </w:tcPr>
          <w:p w14:paraId="4C93FF15" w14:textId="40FF435B" w:rsidR="000F5410" w:rsidRPr="0077444B" w:rsidRDefault="000F5410" w:rsidP="004364B8">
            <w:pPr>
              <w:numPr>
                <w:ilvl w:val="12"/>
                <w:numId w:val="0"/>
              </w:numPr>
              <w:ind w:right="-2"/>
            </w:pPr>
            <w:r w:rsidRPr="000F5410">
              <w:rPr>
                <w:szCs w:val="22"/>
                <w:lang w:eastAsia="en-US"/>
              </w:rPr>
              <w:t>Jungtinė Karalystė</w:t>
            </w:r>
          </w:p>
        </w:tc>
        <w:tc>
          <w:tcPr>
            <w:tcW w:w="4508" w:type="dxa"/>
          </w:tcPr>
          <w:p w14:paraId="64ADA3BD" w14:textId="17AE152F" w:rsidR="000F5410" w:rsidRPr="0077444B" w:rsidRDefault="000F5410" w:rsidP="004364B8">
            <w:pPr>
              <w:numPr>
                <w:ilvl w:val="12"/>
                <w:numId w:val="0"/>
              </w:numPr>
              <w:ind w:right="-2"/>
            </w:pPr>
            <w:r w:rsidRPr="000F5410">
              <w:rPr>
                <w:szCs w:val="22"/>
                <w:lang w:eastAsia="en-US"/>
              </w:rPr>
              <w:t>Fulvestrant</w:t>
            </w:r>
          </w:p>
        </w:tc>
      </w:tr>
    </w:tbl>
    <w:p w14:paraId="32E7F522" w14:textId="77777777" w:rsidR="000F5410" w:rsidRDefault="000F5410" w:rsidP="004364B8">
      <w:pPr>
        <w:numPr>
          <w:ilvl w:val="12"/>
          <w:numId w:val="0"/>
        </w:numPr>
        <w:ind w:right="-2"/>
        <w:rPr>
          <w:b/>
          <w:szCs w:val="22"/>
        </w:rPr>
      </w:pPr>
    </w:p>
    <w:p w14:paraId="02C17DBF" w14:textId="1BC7C49D" w:rsidR="004364B8" w:rsidRDefault="004364B8" w:rsidP="004364B8">
      <w:pPr>
        <w:tabs>
          <w:tab w:val="left" w:pos="567"/>
        </w:tabs>
        <w:rPr>
          <w:b/>
          <w:szCs w:val="22"/>
        </w:rPr>
      </w:pPr>
      <w:r>
        <w:rPr>
          <w:b/>
          <w:szCs w:val="22"/>
        </w:rPr>
        <w:t xml:space="preserve">Šis pakuotės lapelis paskutinį kartą peržiūrėtas </w:t>
      </w:r>
      <w:r w:rsidR="00AA4CFF">
        <w:rPr>
          <w:b/>
          <w:szCs w:val="22"/>
        </w:rPr>
        <w:t>2022-01-10.</w:t>
      </w:r>
    </w:p>
    <w:p w14:paraId="5401AF93" w14:textId="77777777" w:rsidR="004364B8" w:rsidRDefault="004364B8" w:rsidP="004364B8">
      <w:pPr>
        <w:tabs>
          <w:tab w:val="left" w:pos="567"/>
        </w:tabs>
        <w:rPr>
          <w:szCs w:val="22"/>
        </w:rPr>
      </w:pPr>
    </w:p>
    <w:p w14:paraId="68AA7753" w14:textId="77777777" w:rsidR="004364B8" w:rsidRDefault="004364B8" w:rsidP="004364B8">
      <w:pPr>
        <w:numPr>
          <w:ilvl w:val="12"/>
          <w:numId w:val="0"/>
        </w:numPr>
        <w:tabs>
          <w:tab w:val="left" w:pos="567"/>
        </w:tabs>
        <w:ind w:right="-2"/>
        <w:rPr>
          <w:snapToGrid w:val="0"/>
          <w:szCs w:val="22"/>
          <w:lang w:eastAsia="en-US"/>
        </w:rPr>
      </w:pPr>
      <w:r>
        <w:rPr>
          <w:snapToGrid w:val="0"/>
          <w:szCs w:val="22"/>
          <w:lang w:eastAsia="en-US"/>
        </w:rPr>
        <w:t>Išsami informacija apie šį vaistą pateikiama Valstybinės vaistų kontrolės tarnybos prie Lietuvos Respublikos sveikatos apsaugos ministerijos tinklalapyje</w:t>
      </w:r>
      <w:r>
        <w:rPr>
          <w:i/>
          <w:snapToGrid w:val="0"/>
          <w:szCs w:val="22"/>
          <w:lang w:eastAsia="en-US"/>
        </w:rPr>
        <w:t xml:space="preserve"> </w:t>
      </w:r>
      <w:hyperlink r:id="rId22" w:history="1">
        <w:r w:rsidRPr="00BA1D9E">
          <w:rPr>
            <w:rStyle w:val="Hipersaitas"/>
            <w:rFonts w:eastAsia="SimSun"/>
          </w:rPr>
          <w:t>http://www.vvkt.lt/</w:t>
        </w:r>
      </w:hyperlink>
      <w:r>
        <w:rPr>
          <w:snapToGrid w:val="0"/>
          <w:szCs w:val="22"/>
          <w:lang w:eastAsia="en-US"/>
        </w:rPr>
        <w:t>.</w:t>
      </w:r>
    </w:p>
    <w:p w14:paraId="09DB9D0C" w14:textId="77777777" w:rsidR="004364B8" w:rsidRDefault="004364B8" w:rsidP="004364B8">
      <w:pPr>
        <w:tabs>
          <w:tab w:val="left" w:pos="567"/>
        </w:tabs>
        <w:rPr>
          <w:szCs w:val="22"/>
        </w:rPr>
      </w:pPr>
      <w:r>
        <w:rPr>
          <w:szCs w:val="22"/>
        </w:rPr>
        <w:t>---------------------------------------------------------------------------------------------------------------------------</w:t>
      </w:r>
    </w:p>
    <w:p w14:paraId="49247E58" w14:textId="77777777" w:rsidR="004364B8" w:rsidRDefault="004364B8" w:rsidP="004364B8">
      <w:pPr>
        <w:tabs>
          <w:tab w:val="left" w:pos="567"/>
        </w:tabs>
        <w:rPr>
          <w:szCs w:val="22"/>
        </w:rPr>
      </w:pPr>
    </w:p>
    <w:p w14:paraId="180FDD86" w14:textId="77777777" w:rsidR="004364B8" w:rsidRDefault="004364B8" w:rsidP="004364B8">
      <w:pPr>
        <w:tabs>
          <w:tab w:val="left" w:pos="567"/>
        </w:tabs>
        <w:rPr>
          <w:b/>
          <w:szCs w:val="22"/>
        </w:rPr>
      </w:pPr>
      <w:r>
        <w:rPr>
          <w:b/>
          <w:szCs w:val="22"/>
        </w:rPr>
        <w:t>Toliau pateikta informacija skirta tik sveikatos priežiūros specialistams.</w:t>
      </w:r>
    </w:p>
    <w:p w14:paraId="33B21235" w14:textId="77777777" w:rsidR="004364B8" w:rsidRDefault="004364B8" w:rsidP="004364B8">
      <w:pPr>
        <w:tabs>
          <w:tab w:val="left" w:pos="567"/>
        </w:tabs>
        <w:rPr>
          <w:szCs w:val="22"/>
        </w:rPr>
      </w:pPr>
    </w:p>
    <w:p w14:paraId="51713B64" w14:textId="59CE8A9C" w:rsidR="00D37F8F" w:rsidRDefault="00950020" w:rsidP="004364B8">
      <w:pPr>
        <w:tabs>
          <w:tab w:val="left" w:pos="567"/>
        </w:tabs>
        <w:rPr>
          <w:szCs w:val="22"/>
        </w:rPr>
      </w:pPr>
      <w:r>
        <w:rPr>
          <w:szCs w:val="22"/>
        </w:rPr>
        <w:t>Fulvestrant Sandoz 500 mg (2 x 250 mg/5 ml injekcinio tirpalo) turi būti suleidžiamas naudojant 2 užpildytus švirkštus, žr. 3 skyrių)</w:t>
      </w:r>
    </w:p>
    <w:p w14:paraId="000057C1" w14:textId="77777777" w:rsidR="00950020" w:rsidRDefault="00950020" w:rsidP="004364B8">
      <w:pPr>
        <w:tabs>
          <w:tab w:val="left" w:pos="567"/>
        </w:tabs>
        <w:rPr>
          <w:szCs w:val="22"/>
        </w:rPr>
      </w:pPr>
    </w:p>
    <w:p w14:paraId="28333439" w14:textId="77777777" w:rsidR="004364B8" w:rsidRDefault="004364B8" w:rsidP="004364B8">
      <w:pPr>
        <w:tabs>
          <w:tab w:val="left" w:pos="567"/>
        </w:tabs>
        <w:rPr>
          <w:szCs w:val="22"/>
          <w:u w:val="single"/>
        </w:rPr>
      </w:pPr>
      <w:r>
        <w:rPr>
          <w:szCs w:val="22"/>
          <w:u w:val="single"/>
        </w:rPr>
        <w:t>Vartojimo instrukcijos</w:t>
      </w:r>
    </w:p>
    <w:p w14:paraId="4F672F85" w14:textId="77777777" w:rsidR="004364B8" w:rsidRDefault="004364B8" w:rsidP="004364B8">
      <w:pPr>
        <w:tabs>
          <w:tab w:val="left" w:pos="567"/>
        </w:tabs>
        <w:rPr>
          <w:szCs w:val="22"/>
        </w:rPr>
      </w:pPr>
      <w:r>
        <w:rPr>
          <w:i/>
          <w:szCs w:val="22"/>
        </w:rPr>
        <w:t>Įspėjimas</w:t>
      </w:r>
      <w:r>
        <w:rPr>
          <w:szCs w:val="22"/>
        </w:rPr>
        <w:t>. Neautoklavuokite saugiosios adatos prieš naudojimą. Naudojant ir išmetant adatą, rankos visada turi būti už jos.</w:t>
      </w:r>
    </w:p>
    <w:p w14:paraId="4496ED83" w14:textId="77777777" w:rsidR="004364B8" w:rsidRDefault="004364B8" w:rsidP="004364B8">
      <w:pPr>
        <w:tabs>
          <w:tab w:val="left" w:pos="567"/>
        </w:tabs>
        <w:rPr>
          <w:szCs w:val="22"/>
        </w:rPr>
      </w:pPr>
    </w:p>
    <w:p w14:paraId="6D229F84" w14:textId="77777777" w:rsidR="004364B8" w:rsidRDefault="004364B8" w:rsidP="004364B8">
      <w:pPr>
        <w:tabs>
          <w:tab w:val="left" w:pos="567"/>
        </w:tabs>
        <w:rPr>
          <w:szCs w:val="22"/>
        </w:rPr>
      </w:pPr>
      <w:r>
        <w:rPr>
          <w:szCs w:val="22"/>
        </w:rPr>
        <w:t xml:space="preserve">Švirkštai yra tiekiami su saugiąja adata </w:t>
      </w:r>
      <w:r>
        <w:rPr>
          <w:i/>
          <w:szCs w:val="22"/>
          <w:u w:val="single"/>
        </w:rPr>
        <w:t>BD SafetyGlide</w:t>
      </w:r>
      <w:r>
        <w:rPr>
          <w:szCs w:val="22"/>
          <w:u w:val="single"/>
          <w:vertAlign w:val="superscript"/>
        </w:rPr>
        <w:t>®</w:t>
      </w:r>
      <w:r>
        <w:rPr>
          <w:szCs w:val="22"/>
          <w:u w:val="single"/>
        </w:rPr>
        <w:t xml:space="preserve"> ar </w:t>
      </w:r>
      <w:r>
        <w:rPr>
          <w:i/>
          <w:szCs w:val="22"/>
          <w:u w:val="single"/>
        </w:rPr>
        <w:t>Terumo SurGuard</w:t>
      </w:r>
      <w:r>
        <w:rPr>
          <w:szCs w:val="22"/>
          <w:u w:val="single"/>
          <w:vertAlign w:val="superscript"/>
        </w:rPr>
        <w:t>®</w:t>
      </w:r>
      <w:r>
        <w:rPr>
          <w:szCs w:val="22"/>
          <w:u w:val="single"/>
        </w:rPr>
        <w:t>.</w:t>
      </w:r>
    </w:p>
    <w:p w14:paraId="644E7E7E" w14:textId="77777777" w:rsidR="004364B8" w:rsidRDefault="004364B8" w:rsidP="004364B8">
      <w:pPr>
        <w:tabs>
          <w:tab w:val="left" w:pos="567"/>
        </w:tabs>
        <w:rPr>
          <w:szCs w:val="22"/>
        </w:rPr>
      </w:pPr>
    </w:p>
    <w:p w14:paraId="32578536" w14:textId="77777777" w:rsidR="004364B8" w:rsidRDefault="004364B8" w:rsidP="004364B8">
      <w:pPr>
        <w:tabs>
          <w:tab w:val="left" w:pos="567"/>
        </w:tabs>
        <w:rPr>
          <w:szCs w:val="22"/>
          <w:u w:val="single"/>
          <w:vertAlign w:val="superscript"/>
        </w:rPr>
      </w:pPr>
      <w:r>
        <w:rPr>
          <w:szCs w:val="22"/>
          <w:u w:val="single"/>
        </w:rPr>
        <w:t xml:space="preserve">Instrukcijos saugiajai adatai </w:t>
      </w:r>
      <w:r>
        <w:rPr>
          <w:i/>
          <w:szCs w:val="22"/>
          <w:u w:val="single"/>
        </w:rPr>
        <w:t>BD SafetyGlide</w:t>
      </w:r>
      <w:r>
        <w:rPr>
          <w:i/>
          <w:szCs w:val="22"/>
          <w:u w:val="single"/>
          <w:vertAlign w:val="superscript"/>
        </w:rPr>
        <w:t>®</w:t>
      </w:r>
    </w:p>
    <w:p w14:paraId="629E2F7F" w14:textId="77777777" w:rsidR="004364B8" w:rsidRDefault="004364B8" w:rsidP="004364B8">
      <w:pPr>
        <w:tabs>
          <w:tab w:val="left" w:pos="567"/>
        </w:tabs>
        <w:rPr>
          <w:szCs w:val="22"/>
          <w:u w:val="single"/>
        </w:rPr>
      </w:pPr>
    </w:p>
    <w:p w14:paraId="699114E5" w14:textId="77777777" w:rsidR="004364B8" w:rsidRDefault="004364B8" w:rsidP="004364B8">
      <w:pPr>
        <w:tabs>
          <w:tab w:val="left" w:pos="567"/>
        </w:tabs>
        <w:rPr>
          <w:szCs w:val="22"/>
        </w:rPr>
      </w:pPr>
      <w:r>
        <w:rPr>
          <w:szCs w:val="22"/>
        </w:rPr>
        <w:t>Kiekvienam iš dviejų švirkštų:</w:t>
      </w:r>
    </w:p>
    <w:tbl>
      <w:tblPr>
        <w:tblW w:w="0" w:type="auto"/>
        <w:tblLook w:val="04A0" w:firstRow="1" w:lastRow="0" w:firstColumn="1" w:lastColumn="0" w:noHBand="0" w:noVBand="1"/>
      </w:tblPr>
      <w:tblGrid>
        <w:gridCol w:w="5968"/>
        <w:gridCol w:w="3058"/>
      </w:tblGrid>
      <w:tr w:rsidR="004364B8" w14:paraId="4470CAF0" w14:textId="77777777" w:rsidTr="009B558C">
        <w:tc>
          <w:tcPr>
            <w:tcW w:w="6204" w:type="dxa"/>
            <w:shd w:val="clear" w:color="auto" w:fill="auto"/>
            <w:hideMark/>
          </w:tcPr>
          <w:p w14:paraId="7DDB7565" w14:textId="77777777" w:rsidR="004364B8" w:rsidRDefault="004364B8" w:rsidP="00BA1D9E">
            <w:pPr>
              <w:numPr>
                <w:ilvl w:val="0"/>
                <w:numId w:val="9"/>
              </w:numPr>
              <w:tabs>
                <w:tab w:val="left" w:pos="567"/>
              </w:tabs>
              <w:spacing w:before="120" w:line="256" w:lineRule="auto"/>
              <w:ind w:left="567" w:hanging="567"/>
              <w:rPr>
                <w:szCs w:val="22"/>
                <w:u w:val="single"/>
                <w:lang w:eastAsia="en-US"/>
              </w:rPr>
            </w:pPr>
            <w:r>
              <w:rPr>
                <w:szCs w:val="22"/>
                <w:lang w:eastAsia="en-US"/>
              </w:rPr>
              <w:t>Atsargiai išimkite adatą ir švirkštą iš pakuotės.</w:t>
            </w:r>
          </w:p>
        </w:tc>
        <w:tc>
          <w:tcPr>
            <w:tcW w:w="3082" w:type="dxa"/>
            <w:shd w:val="clear" w:color="auto" w:fill="auto"/>
          </w:tcPr>
          <w:p w14:paraId="6733AC95" w14:textId="77777777" w:rsidR="004364B8" w:rsidRDefault="004364B8" w:rsidP="00BA1D9E">
            <w:pPr>
              <w:tabs>
                <w:tab w:val="left" w:pos="567"/>
              </w:tabs>
              <w:spacing w:before="120" w:line="256" w:lineRule="auto"/>
              <w:rPr>
                <w:szCs w:val="22"/>
                <w:u w:val="single"/>
                <w:lang w:eastAsia="en-US"/>
              </w:rPr>
            </w:pPr>
          </w:p>
        </w:tc>
      </w:tr>
      <w:tr w:rsidR="004364B8" w14:paraId="13BC26AA" w14:textId="77777777" w:rsidTr="009B558C">
        <w:tc>
          <w:tcPr>
            <w:tcW w:w="6204" w:type="dxa"/>
            <w:shd w:val="clear" w:color="auto" w:fill="auto"/>
            <w:hideMark/>
          </w:tcPr>
          <w:p w14:paraId="362627DD" w14:textId="77777777" w:rsidR="004364B8" w:rsidRDefault="004364B8" w:rsidP="00BA1D9E">
            <w:pPr>
              <w:numPr>
                <w:ilvl w:val="0"/>
                <w:numId w:val="9"/>
              </w:numPr>
              <w:spacing w:before="120" w:line="256" w:lineRule="auto"/>
              <w:ind w:left="567" w:hanging="567"/>
              <w:rPr>
                <w:szCs w:val="22"/>
                <w:u w:val="single"/>
                <w:lang w:eastAsia="en-US"/>
              </w:rPr>
            </w:pPr>
            <w:r>
              <w:rPr>
                <w:szCs w:val="22"/>
                <w:lang w:eastAsia="en-US"/>
              </w:rPr>
              <w:t>Nuimkite apsauginį dangtelį nuo švirkšto korpuso viršūnės.</w:t>
            </w:r>
          </w:p>
        </w:tc>
        <w:tc>
          <w:tcPr>
            <w:tcW w:w="3082" w:type="dxa"/>
            <w:shd w:val="clear" w:color="auto" w:fill="auto"/>
          </w:tcPr>
          <w:p w14:paraId="70D4187B" w14:textId="77777777" w:rsidR="004364B8" w:rsidRDefault="004364B8" w:rsidP="00BA1D9E">
            <w:pPr>
              <w:tabs>
                <w:tab w:val="left" w:pos="567"/>
              </w:tabs>
              <w:spacing w:before="120" w:line="256" w:lineRule="auto"/>
              <w:rPr>
                <w:szCs w:val="22"/>
                <w:u w:val="single"/>
                <w:lang w:eastAsia="en-US"/>
              </w:rPr>
            </w:pPr>
          </w:p>
        </w:tc>
      </w:tr>
      <w:tr w:rsidR="004364B8" w14:paraId="5E6F656D" w14:textId="77777777" w:rsidTr="009B558C">
        <w:tc>
          <w:tcPr>
            <w:tcW w:w="6204" w:type="dxa"/>
            <w:shd w:val="clear" w:color="auto" w:fill="auto"/>
            <w:hideMark/>
          </w:tcPr>
          <w:p w14:paraId="34240487" w14:textId="77777777" w:rsidR="004364B8" w:rsidRDefault="004364B8" w:rsidP="00BA1D9E">
            <w:pPr>
              <w:numPr>
                <w:ilvl w:val="0"/>
                <w:numId w:val="9"/>
              </w:numPr>
              <w:tabs>
                <w:tab w:val="left" w:pos="567"/>
              </w:tabs>
              <w:spacing w:before="120" w:line="256" w:lineRule="auto"/>
              <w:ind w:left="567" w:hanging="567"/>
              <w:rPr>
                <w:szCs w:val="22"/>
                <w:u w:val="single"/>
                <w:lang w:eastAsia="en-US"/>
              </w:rPr>
            </w:pPr>
            <w:r>
              <w:rPr>
                <w:szCs w:val="22"/>
                <w:lang w:eastAsia="en-US"/>
              </w:rPr>
              <w:t>Nulupant atidarykite saugiosios adatos (</w:t>
            </w:r>
            <w:r>
              <w:rPr>
                <w:i/>
                <w:szCs w:val="22"/>
                <w:lang w:eastAsia="en-US"/>
              </w:rPr>
              <w:t>BD SafetyGlide</w:t>
            </w:r>
            <w:r>
              <w:rPr>
                <w:szCs w:val="22"/>
                <w:lang w:eastAsia="en-US"/>
              </w:rPr>
              <w:t xml:space="preserve">) išorinę pakuotę. Prijunkite saugiąją adatą prie </w:t>
            </w:r>
            <w:r>
              <w:rPr>
                <w:i/>
                <w:szCs w:val="22"/>
                <w:lang w:eastAsia="en-US"/>
              </w:rPr>
              <w:t>Luer-Lok</w:t>
            </w:r>
            <w:r>
              <w:rPr>
                <w:szCs w:val="22"/>
                <w:lang w:eastAsia="en-US"/>
              </w:rPr>
              <w:t>.</w:t>
            </w:r>
          </w:p>
        </w:tc>
        <w:tc>
          <w:tcPr>
            <w:tcW w:w="3082" w:type="dxa"/>
            <w:shd w:val="clear" w:color="auto" w:fill="auto"/>
          </w:tcPr>
          <w:p w14:paraId="64CE6E6E" w14:textId="77777777" w:rsidR="004364B8" w:rsidRDefault="004364B8" w:rsidP="00BA1D9E">
            <w:pPr>
              <w:tabs>
                <w:tab w:val="left" w:pos="567"/>
              </w:tabs>
              <w:spacing w:before="120" w:line="256" w:lineRule="auto"/>
              <w:rPr>
                <w:szCs w:val="22"/>
                <w:u w:val="single"/>
                <w:lang w:eastAsia="en-US"/>
              </w:rPr>
            </w:pPr>
          </w:p>
        </w:tc>
      </w:tr>
      <w:tr w:rsidR="004364B8" w14:paraId="1F7C0407" w14:textId="77777777" w:rsidTr="009B558C">
        <w:tc>
          <w:tcPr>
            <w:tcW w:w="6204" w:type="dxa"/>
            <w:shd w:val="clear" w:color="auto" w:fill="auto"/>
            <w:hideMark/>
          </w:tcPr>
          <w:p w14:paraId="7292DCEA" w14:textId="77777777" w:rsidR="004364B8" w:rsidRDefault="004364B8" w:rsidP="00BA1D9E">
            <w:pPr>
              <w:numPr>
                <w:ilvl w:val="0"/>
                <w:numId w:val="9"/>
              </w:numPr>
              <w:tabs>
                <w:tab w:val="left" w:pos="567"/>
              </w:tabs>
              <w:spacing w:before="120" w:line="256" w:lineRule="auto"/>
              <w:ind w:left="567" w:hanging="567"/>
              <w:rPr>
                <w:szCs w:val="22"/>
                <w:u w:val="single"/>
                <w:lang w:eastAsia="en-US"/>
              </w:rPr>
            </w:pPr>
            <w:r>
              <w:rPr>
                <w:szCs w:val="22"/>
                <w:lang w:eastAsia="en-US"/>
              </w:rPr>
              <w:t xml:space="preserve">Pasukant sujunkite adatą su </w:t>
            </w:r>
            <w:r>
              <w:rPr>
                <w:i/>
                <w:szCs w:val="22"/>
                <w:lang w:eastAsia="en-US"/>
              </w:rPr>
              <w:t>Luer</w:t>
            </w:r>
            <w:r>
              <w:rPr>
                <w:szCs w:val="22"/>
                <w:lang w:eastAsia="en-US"/>
              </w:rPr>
              <w:t xml:space="preserve"> jungtimi. Sukite, kol</w:t>
            </w:r>
            <w:r w:rsidRPr="00BA1D9E">
              <w:t xml:space="preserve"> </w:t>
            </w:r>
            <w:r>
              <w:rPr>
                <w:szCs w:val="22"/>
                <w:lang w:eastAsia="en-US"/>
              </w:rPr>
              <w:t>tvirtai įsistatys.</w:t>
            </w:r>
          </w:p>
        </w:tc>
        <w:tc>
          <w:tcPr>
            <w:tcW w:w="3082" w:type="dxa"/>
            <w:shd w:val="clear" w:color="auto" w:fill="auto"/>
          </w:tcPr>
          <w:p w14:paraId="0731E071" w14:textId="77777777" w:rsidR="004364B8" w:rsidRDefault="004364B8" w:rsidP="00BA1D9E">
            <w:pPr>
              <w:tabs>
                <w:tab w:val="left" w:pos="567"/>
              </w:tabs>
              <w:spacing w:before="120" w:line="256" w:lineRule="auto"/>
              <w:rPr>
                <w:szCs w:val="22"/>
                <w:u w:val="single"/>
                <w:lang w:eastAsia="en-US"/>
              </w:rPr>
            </w:pPr>
          </w:p>
        </w:tc>
      </w:tr>
      <w:tr w:rsidR="004364B8" w14:paraId="00CE045F" w14:textId="77777777" w:rsidTr="009B558C">
        <w:tc>
          <w:tcPr>
            <w:tcW w:w="6204" w:type="dxa"/>
            <w:shd w:val="clear" w:color="auto" w:fill="auto"/>
            <w:hideMark/>
          </w:tcPr>
          <w:p w14:paraId="73B34420" w14:textId="77777777" w:rsidR="004364B8" w:rsidRDefault="004364B8" w:rsidP="00BA1D9E">
            <w:pPr>
              <w:numPr>
                <w:ilvl w:val="0"/>
                <w:numId w:val="9"/>
              </w:numPr>
              <w:tabs>
                <w:tab w:val="left" w:pos="567"/>
              </w:tabs>
              <w:spacing w:before="120" w:line="256" w:lineRule="auto"/>
              <w:ind w:left="567" w:hanging="567"/>
              <w:rPr>
                <w:szCs w:val="22"/>
                <w:u w:val="single"/>
                <w:lang w:eastAsia="en-US"/>
              </w:rPr>
            </w:pPr>
            <w:r>
              <w:rPr>
                <w:szCs w:val="22"/>
                <w:lang w:eastAsia="en-US"/>
              </w:rPr>
              <w:t>Numaukite apsauginį adatos gaubtelį, traukdami jį tiesiai, kad nepažeistumėte adatos smaigalio.</w:t>
            </w:r>
          </w:p>
        </w:tc>
        <w:tc>
          <w:tcPr>
            <w:tcW w:w="3082" w:type="dxa"/>
            <w:shd w:val="clear" w:color="auto" w:fill="auto"/>
            <w:hideMark/>
          </w:tcPr>
          <w:p w14:paraId="3F4979AF" w14:textId="77777777" w:rsidR="004364B8" w:rsidRDefault="004364B8" w:rsidP="00BA1D9E">
            <w:pPr>
              <w:tabs>
                <w:tab w:val="left" w:pos="567"/>
              </w:tabs>
              <w:spacing w:before="120" w:line="256" w:lineRule="auto"/>
              <w:rPr>
                <w:szCs w:val="22"/>
                <w:u w:val="single"/>
                <w:lang w:eastAsia="en-US"/>
              </w:rPr>
            </w:pPr>
            <w:r w:rsidRPr="00C65C78">
              <w:rPr>
                <w:noProof/>
              </w:rPr>
              <w:drawing>
                <wp:inline distT="0" distB="0" distL="0" distR="0" wp14:anchorId="109B1B22" wp14:editId="296C9AC1">
                  <wp:extent cx="1000125" cy="1047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1047750"/>
                          </a:xfrm>
                          <a:prstGeom prst="rect">
                            <a:avLst/>
                          </a:prstGeom>
                          <a:noFill/>
                          <a:ln>
                            <a:noFill/>
                          </a:ln>
                        </pic:spPr>
                      </pic:pic>
                    </a:graphicData>
                  </a:graphic>
                </wp:inline>
              </w:drawing>
            </w:r>
          </w:p>
        </w:tc>
      </w:tr>
      <w:tr w:rsidR="004364B8" w14:paraId="060B5657" w14:textId="77777777" w:rsidTr="009B558C">
        <w:tc>
          <w:tcPr>
            <w:tcW w:w="6204" w:type="dxa"/>
            <w:shd w:val="clear" w:color="auto" w:fill="auto"/>
            <w:hideMark/>
          </w:tcPr>
          <w:p w14:paraId="7A8A6329" w14:textId="77777777" w:rsidR="004364B8" w:rsidRDefault="004364B8" w:rsidP="00BA1D9E">
            <w:pPr>
              <w:numPr>
                <w:ilvl w:val="0"/>
                <w:numId w:val="9"/>
              </w:numPr>
              <w:tabs>
                <w:tab w:val="left" w:pos="567"/>
              </w:tabs>
              <w:spacing w:before="120" w:line="256" w:lineRule="auto"/>
              <w:ind w:left="567" w:hanging="567"/>
              <w:rPr>
                <w:szCs w:val="22"/>
                <w:u w:val="single"/>
                <w:lang w:eastAsia="en-US"/>
              </w:rPr>
            </w:pPr>
            <w:r>
              <w:rPr>
                <w:szCs w:val="22"/>
                <w:lang w:eastAsia="en-US"/>
              </w:rPr>
              <w:t>Nuimkite adatos dėklą.</w:t>
            </w:r>
          </w:p>
        </w:tc>
        <w:tc>
          <w:tcPr>
            <w:tcW w:w="3082" w:type="dxa"/>
            <w:shd w:val="clear" w:color="auto" w:fill="auto"/>
          </w:tcPr>
          <w:p w14:paraId="2A0B1402" w14:textId="77777777" w:rsidR="004364B8" w:rsidRDefault="004364B8" w:rsidP="00BA1D9E">
            <w:pPr>
              <w:tabs>
                <w:tab w:val="left" w:pos="567"/>
              </w:tabs>
              <w:spacing w:before="120" w:line="256" w:lineRule="auto"/>
              <w:rPr>
                <w:szCs w:val="22"/>
                <w:u w:val="single"/>
                <w:lang w:eastAsia="en-US"/>
              </w:rPr>
            </w:pPr>
          </w:p>
        </w:tc>
      </w:tr>
      <w:tr w:rsidR="004364B8" w14:paraId="06AE01C4" w14:textId="77777777" w:rsidTr="009B558C">
        <w:tc>
          <w:tcPr>
            <w:tcW w:w="6204" w:type="dxa"/>
            <w:shd w:val="clear" w:color="auto" w:fill="auto"/>
            <w:hideMark/>
          </w:tcPr>
          <w:p w14:paraId="7BFBF143" w14:textId="77777777" w:rsidR="004364B8" w:rsidRDefault="004364B8" w:rsidP="00BA1D9E">
            <w:pPr>
              <w:numPr>
                <w:ilvl w:val="0"/>
                <w:numId w:val="9"/>
              </w:numPr>
              <w:tabs>
                <w:tab w:val="left" w:pos="567"/>
              </w:tabs>
              <w:spacing w:before="120" w:line="256" w:lineRule="auto"/>
              <w:ind w:left="567" w:hanging="567"/>
              <w:rPr>
                <w:szCs w:val="22"/>
                <w:u w:val="single"/>
                <w:lang w:eastAsia="en-US"/>
              </w:rPr>
            </w:pPr>
            <w:r>
              <w:rPr>
                <w:szCs w:val="22"/>
                <w:lang w:eastAsia="en-US"/>
              </w:rPr>
              <w:t>Laikant švirkštą su nukreipta į viršų adata švelniai spauskite stūmoklį kol vaistinis preparatas pakils iki švirkšto viršaus. Korpuso viduje turi nebūti oro.</w:t>
            </w:r>
          </w:p>
        </w:tc>
        <w:tc>
          <w:tcPr>
            <w:tcW w:w="3082" w:type="dxa"/>
            <w:shd w:val="clear" w:color="auto" w:fill="auto"/>
          </w:tcPr>
          <w:p w14:paraId="0B63973F" w14:textId="77777777" w:rsidR="004364B8" w:rsidRDefault="004364B8" w:rsidP="00BA1D9E">
            <w:pPr>
              <w:tabs>
                <w:tab w:val="left" w:pos="567"/>
              </w:tabs>
              <w:spacing w:before="120" w:line="256" w:lineRule="auto"/>
              <w:rPr>
                <w:szCs w:val="22"/>
                <w:u w:val="single"/>
                <w:lang w:eastAsia="en-US"/>
              </w:rPr>
            </w:pPr>
          </w:p>
        </w:tc>
      </w:tr>
      <w:tr w:rsidR="004364B8" w14:paraId="2644E6E8" w14:textId="77777777" w:rsidTr="009B558C">
        <w:tc>
          <w:tcPr>
            <w:tcW w:w="6204" w:type="dxa"/>
            <w:shd w:val="clear" w:color="auto" w:fill="auto"/>
            <w:hideMark/>
          </w:tcPr>
          <w:p w14:paraId="5C866051" w14:textId="77777777" w:rsidR="004364B8" w:rsidRDefault="004364B8" w:rsidP="00BA1D9E">
            <w:pPr>
              <w:numPr>
                <w:ilvl w:val="0"/>
                <w:numId w:val="9"/>
              </w:numPr>
              <w:tabs>
                <w:tab w:val="left" w:pos="567"/>
              </w:tabs>
              <w:spacing w:before="120" w:line="256" w:lineRule="auto"/>
              <w:ind w:left="567" w:hanging="567"/>
              <w:rPr>
                <w:szCs w:val="22"/>
                <w:u w:val="single"/>
                <w:lang w:eastAsia="en-US"/>
              </w:rPr>
            </w:pPr>
            <w:r>
              <w:rPr>
                <w:szCs w:val="22"/>
                <w:lang w:eastAsia="en-US"/>
              </w:rPr>
              <w:lastRenderedPageBreak/>
              <w:t>Suleiskite lėtai (per 1</w:t>
            </w:r>
            <w:r w:rsidR="00884A16">
              <w:rPr>
                <w:szCs w:val="22"/>
                <w:lang w:eastAsia="en-US"/>
              </w:rPr>
              <w:noBreakHyphen/>
            </w:r>
            <w:r>
              <w:rPr>
                <w:szCs w:val="22"/>
                <w:lang w:eastAsia="en-US"/>
              </w:rPr>
              <w:t>2</w:t>
            </w:r>
            <w:r w:rsidR="00884A16">
              <w:rPr>
                <w:szCs w:val="22"/>
                <w:lang w:eastAsia="en-US"/>
              </w:rPr>
              <w:t> </w:t>
            </w:r>
            <w:r>
              <w:rPr>
                <w:szCs w:val="22"/>
                <w:lang w:eastAsia="en-US"/>
              </w:rPr>
              <w:t>min.) į sėdmens raumenį. Vartotojo patogumui, adatos smaigalio nuožulnumas yra orientuotas į svirtelės rankeną.</w:t>
            </w:r>
            <w:r>
              <w:rPr>
                <w:szCs w:val="22"/>
                <w:u w:val="single"/>
                <w:lang w:eastAsia="en-US"/>
              </w:rPr>
              <w:t xml:space="preserve"> </w:t>
            </w:r>
          </w:p>
        </w:tc>
        <w:tc>
          <w:tcPr>
            <w:tcW w:w="3082" w:type="dxa"/>
            <w:shd w:val="clear" w:color="auto" w:fill="auto"/>
            <w:hideMark/>
          </w:tcPr>
          <w:p w14:paraId="2A29F265" w14:textId="77777777" w:rsidR="004364B8" w:rsidRDefault="004364B8" w:rsidP="00BA1D9E">
            <w:pPr>
              <w:tabs>
                <w:tab w:val="left" w:pos="567"/>
              </w:tabs>
              <w:spacing w:before="120" w:line="256" w:lineRule="auto"/>
              <w:rPr>
                <w:szCs w:val="22"/>
                <w:u w:val="single"/>
                <w:lang w:eastAsia="en-US"/>
              </w:rPr>
            </w:pPr>
            <w:r w:rsidRPr="00C65C78">
              <w:rPr>
                <w:noProof/>
              </w:rPr>
              <w:drawing>
                <wp:inline distT="0" distB="0" distL="0" distR="0" wp14:anchorId="07B1918B" wp14:editId="42292A68">
                  <wp:extent cx="15621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tc>
      </w:tr>
      <w:tr w:rsidR="004364B8" w14:paraId="5C358D45" w14:textId="77777777" w:rsidTr="009B558C">
        <w:tc>
          <w:tcPr>
            <w:tcW w:w="6204" w:type="dxa"/>
            <w:shd w:val="clear" w:color="auto" w:fill="auto"/>
            <w:hideMark/>
          </w:tcPr>
          <w:p w14:paraId="3C5B206F" w14:textId="2202B184" w:rsidR="004364B8" w:rsidRDefault="004364B8" w:rsidP="00DF6BF8">
            <w:pPr>
              <w:numPr>
                <w:ilvl w:val="0"/>
                <w:numId w:val="9"/>
              </w:numPr>
              <w:tabs>
                <w:tab w:val="left" w:pos="567"/>
              </w:tabs>
              <w:spacing w:line="256" w:lineRule="auto"/>
              <w:ind w:left="567" w:hanging="567"/>
              <w:rPr>
                <w:szCs w:val="22"/>
                <w:lang w:eastAsia="en-US"/>
              </w:rPr>
            </w:pPr>
            <w:r>
              <w:rPr>
                <w:szCs w:val="22"/>
                <w:lang w:eastAsia="en-US"/>
              </w:rPr>
              <w:t>Po injekcijos nedels</w:t>
            </w:r>
            <w:r w:rsidR="00DF6BF8">
              <w:rPr>
                <w:szCs w:val="22"/>
                <w:lang w:eastAsia="en-US"/>
              </w:rPr>
              <w:t>dami</w:t>
            </w:r>
            <w:r>
              <w:rPr>
                <w:szCs w:val="22"/>
                <w:lang w:eastAsia="en-US"/>
              </w:rPr>
              <w:t xml:space="preserve"> aktyvuokite adatos apsaugos mechanizmą – vienu pirštu stumtelėkite pagalbinės aktyvavimo svirtelės rankeną. </w:t>
            </w:r>
          </w:p>
        </w:tc>
        <w:tc>
          <w:tcPr>
            <w:tcW w:w="3082" w:type="dxa"/>
            <w:shd w:val="clear" w:color="auto" w:fill="auto"/>
            <w:hideMark/>
          </w:tcPr>
          <w:p w14:paraId="0EF8071D" w14:textId="77777777" w:rsidR="004364B8" w:rsidRDefault="004364B8" w:rsidP="00BA1D9E">
            <w:pPr>
              <w:tabs>
                <w:tab w:val="left" w:pos="567"/>
              </w:tabs>
              <w:spacing w:before="120" w:line="256" w:lineRule="auto"/>
              <w:rPr>
                <w:szCs w:val="22"/>
                <w:u w:val="single"/>
                <w:lang w:eastAsia="en-US"/>
              </w:rPr>
            </w:pPr>
            <w:r w:rsidRPr="00C65C78">
              <w:rPr>
                <w:noProof/>
              </w:rPr>
              <w:drawing>
                <wp:inline distT="0" distB="0" distL="0" distR="0" wp14:anchorId="56909FDF" wp14:editId="05521DF5">
                  <wp:extent cx="1171575" cy="1333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1575" cy="1333500"/>
                          </a:xfrm>
                          <a:prstGeom prst="rect">
                            <a:avLst/>
                          </a:prstGeom>
                          <a:noFill/>
                          <a:ln>
                            <a:noFill/>
                          </a:ln>
                        </pic:spPr>
                      </pic:pic>
                    </a:graphicData>
                  </a:graphic>
                </wp:inline>
              </w:drawing>
            </w:r>
          </w:p>
        </w:tc>
      </w:tr>
    </w:tbl>
    <w:p w14:paraId="0D797094" w14:textId="77777777" w:rsidR="004364B8" w:rsidRDefault="004364B8" w:rsidP="004364B8">
      <w:pPr>
        <w:tabs>
          <w:tab w:val="left" w:pos="567"/>
        </w:tabs>
        <w:rPr>
          <w:b/>
          <w:szCs w:val="22"/>
        </w:rPr>
      </w:pPr>
      <w:r>
        <w:rPr>
          <w:b/>
          <w:szCs w:val="22"/>
        </w:rPr>
        <w:t>PASTABA: aktyvuokite atitraukę nuo savęs ir kitų žmonių. Išgirskite spragtelėjimą ir vizualiai patikrinkite, kad adatos viršūnė būtų visiškai uždengta.</w:t>
      </w:r>
    </w:p>
    <w:p w14:paraId="06E08F72" w14:textId="77777777" w:rsidR="004364B8" w:rsidRDefault="004364B8" w:rsidP="004364B8">
      <w:pPr>
        <w:tabs>
          <w:tab w:val="left" w:pos="567"/>
        </w:tabs>
        <w:rPr>
          <w:szCs w:val="22"/>
          <w:u w:val="single"/>
        </w:rPr>
      </w:pPr>
    </w:p>
    <w:p w14:paraId="6FEBCC4C" w14:textId="77777777" w:rsidR="004364B8" w:rsidRDefault="004364B8" w:rsidP="004364B8">
      <w:pPr>
        <w:tabs>
          <w:tab w:val="left" w:pos="567"/>
        </w:tabs>
        <w:rPr>
          <w:szCs w:val="22"/>
        </w:rPr>
      </w:pPr>
    </w:p>
    <w:p w14:paraId="44096F2D" w14:textId="77777777" w:rsidR="004364B8" w:rsidRDefault="004364B8" w:rsidP="004364B8">
      <w:pPr>
        <w:tabs>
          <w:tab w:val="left" w:pos="567"/>
        </w:tabs>
        <w:rPr>
          <w:szCs w:val="22"/>
          <w:u w:val="single"/>
          <w:vertAlign w:val="superscript"/>
        </w:rPr>
      </w:pPr>
      <w:r>
        <w:rPr>
          <w:szCs w:val="22"/>
          <w:u w:val="single"/>
        </w:rPr>
        <w:t xml:space="preserve">Instrukcijos saugiajai adatai </w:t>
      </w:r>
      <w:r>
        <w:rPr>
          <w:i/>
          <w:szCs w:val="22"/>
          <w:u w:val="single"/>
        </w:rPr>
        <w:t>Terumo SurGuard</w:t>
      </w:r>
      <w:r>
        <w:rPr>
          <w:szCs w:val="22"/>
          <w:u w:val="single"/>
          <w:vertAlign w:val="superscript"/>
        </w:rPr>
        <w:t>®</w:t>
      </w:r>
    </w:p>
    <w:p w14:paraId="38FAFD05" w14:textId="77777777" w:rsidR="004364B8" w:rsidRDefault="004364B8" w:rsidP="004364B8">
      <w:pPr>
        <w:tabs>
          <w:tab w:val="left" w:pos="567"/>
        </w:tabs>
        <w:rPr>
          <w:szCs w:val="22"/>
          <w:u w:val="single"/>
        </w:rPr>
      </w:pPr>
    </w:p>
    <w:p w14:paraId="0FC98355" w14:textId="77777777" w:rsidR="004364B8" w:rsidRDefault="004364B8" w:rsidP="004364B8">
      <w:pPr>
        <w:tabs>
          <w:tab w:val="left" w:pos="567"/>
        </w:tabs>
        <w:rPr>
          <w:szCs w:val="22"/>
        </w:rPr>
      </w:pPr>
      <w:r>
        <w:rPr>
          <w:szCs w:val="22"/>
        </w:rPr>
        <w:t>Kiekvienam iš dviejų švirkštų:</w:t>
      </w:r>
    </w:p>
    <w:tbl>
      <w:tblPr>
        <w:tblW w:w="0" w:type="auto"/>
        <w:tblLook w:val="04A0" w:firstRow="1" w:lastRow="0" w:firstColumn="1" w:lastColumn="0" w:noHBand="0" w:noVBand="1"/>
      </w:tblPr>
      <w:tblGrid>
        <w:gridCol w:w="5962"/>
        <w:gridCol w:w="3064"/>
      </w:tblGrid>
      <w:tr w:rsidR="004364B8" w14:paraId="4156DAB5" w14:textId="77777777" w:rsidTr="009B558C">
        <w:tc>
          <w:tcPr>
            <w:tcW w:w="6204" w:type="dxa"/>
            <w:shd w:val="clear" w:color="auto" w:fill="auto"/>
            <w:hideMark/>
          </w:tcPr>
          <w:p w14:paraId="40C0178A" w14:textId="77777777" w:rsidR="004364B8" w:rsidRDefault="004364B8" w:rsidP="00BA1D9E">
            <w:pPr>
              <w:numPr>
                <w:ilvl w:val="0"/>
                <w:numId w:val="9"/>
              </w:numPr>
              <w:tabs>
                <w:tab w:val="left" w:pos="567"/>
              </w:tabs>
              <w:spacing w:before="120" w:line="256" w:lineRule="auto"/>
              <w:ind w:left="567" w:hanging="567"/>
              <w:rPr>
                <w:szCs w:val="22"/>
                <w:u w:val="single"/>
                <w:lang w:eastAsia="en-US"/>
              </w:rPr>
            </w:pPr>
            <w:r>
              <w:rPr>
                <w:szCs w:val="22"/>
                <w:lang w:eastAsia="en-US"/>
              </w:rPr>
              <w:t>Atsargiai išimkite adatą ir švirkštą iš pakuotės.</w:t>
            </w:r>
          </w:p>
        </w:tc>
        <w:tc>
          <w:tcPr>
            <w:tcW w:w="3082" w:type="dxa"/>
            <w:shd w:val="clear" w:color="auto" w:fill="auto"/>
          </w:tcPr>
          <w:p w14:paraId="2453E3CC" w14:textId="77777777" w:rsidR="004364B8" w:rsidRDefault="004364B8" w:rsidP="00BA1D9E">
            <w:pPr>
              <w:tabs>
                <w:tab w:val="left" w:pos="567"/>
              </w:tabs>
              <w:spacing w:before="120" w:line="256" w:lineRule="auto"/>
              <w:rPr>
                <w:szCs w:val="22"/>
                <w:u w:val="single"/>
                <w:lang w:eastAsia="en-US"/>
              </w:rPr>
            </w:pPr>
          </w:p>
        </w:tc>
      </w:tr>
      <w:tr w:rsidR="004364B8" w14:paraId="05AC0C0C" w14:textId="77777777" w:rsidTr="009B558C">
        <w:tc>
          <w:tcPr>
            <w:tcW w:w="6204" w:type="dxa"/>
            <w:shd w:val="clear" w:color="auto" w:fill="auto"/>
            <w:hideMark/>
          </w:tcPr>
          <w:p w14:paraId="3C11242D" w14:textId="77777777" w:rsidR="004364B8" w:rsidRDefault="004364B8" w:rsidP="00BA1D9E">
            <w:pPr>
              <w:numPr>
                <w:ilvl w:val="0"/>
                <w:numId w:val="9"/>
              </w:numPr>
              <w:spacing w:before="120" w:line="256" w:lineRule="auto"/>
              <w:ind w:left="567" w:hanging="567"/>
              <w:rPr>
                <w:szCs w:val="22"/>
                <w:u w:val="single"/>
                <w:lang w:eastAsia="en-US"/>
              </w:rPr>
            </w:pPr>
            <w:r>
              <w:rPr>
                <w:szCs w:val="22"/>
                <w:lang w:eastAsia="en-US"/>
              </w:rPr>
              <w:t>Nuimkite apsauginį dangtelį nuo švirkšto korpuso viršūnės.</w:t>
            </w:r>
          </w:p>
        </w:tc>
        <w:tc>
          <w:tcPr>
            <w:tcW w:w="3082" w:type="dxa"/>
            <w:shd w:val="clear" w:color="auto" w:fill="auto"/>
          </w:tcPr>
          <w:p w14:paraId="78A5A4B1" w14:textId="77777777" w:rsidR="004364B8" w:rsidRDefault="004364B8" w:rsidP="00BA1D9E">
            <w:pPr>
              <w:tabs>
                <w:tab w:val="left" w:pos="567"/>
              </w:tabs>
              <w:spacing w:before="120" w:line="256" w:lineRule="auto"/>
              <w:rPr>
                <w:szCs w:val="22"/>
                <w:u w:val="single"/>
                <w:lang w:eastAsia="en-US"/>
              </w:rPr>
            </w:pPr>
          </w:p>
        </w:tc>
      </w:tr>
      <w:tr w:rsidR="004364B8" w14:paraId="2B95E4C5" w14:textId="77777777" w:rsidTr="009B558C">
        <w:tc>
          <w:tcPr>
            <w:tcW w:w="6204" w:type="dxa"/>
            <w:shd w:val="clear" w:color="auto" w:fill="auto"/>
            <w:hideMark/>
          </w:tcPr>
          <w:p w14:paraId="3456D1A5" w14:textId="77777777" w:rsidR="004364B8" w:rsidRDefault="004364B8" w:rsidP="00BA1D9E">
            <w:pPr>
              <w:numPr>
                <w:ilvl w:val="0"/>
                <w:numId w:val="9"/>
              </w:numPr>
              <w:tabs>
                <w:tab w:val="left" w:pos="567"/>
              </w:tabs>
              <w:spacing w:line="256" w:lineRule="auto"/>
              <w:ind w:left="567" w:hanging="567"/>
              <w:rPr>
                <w:szCs w:val="22"/>
                <w:lang w:eastAsia="en-US"/>
              </w:rPr>
            </w:pPr>
            <w:r>
              <w:rPr>
                <w:szCs w:val="22"/>
                <w:lang w:eastAsia="en-US"/>
              </w:rPr>
              <w:t>Priveržkite švirkštą prie adatos taikant aseptinę metodiką. Tvirtai suspauskite adatos, bet ne dėklo, pagrindą ir sukite švirkštą pagal laikrodžio rodyklę.</w:t>
            </w:r>
          </w:p>
        </w:tc>
        <w:tc>
          <w:tcPr>
            <w:tcW w:w="3082" w:type="dxa"/>
            <w:shd w:val="clear" w:color="auto" w:fill="auto"/>
            <w:hideMark/>
          </w:tcPr>
          <w:p w14:paraId="01B58402" w14:textId="77777777" w:rsidR="004364B8" w:rsidRDefault="004364B8" w:rsidP="00BA1D9E">
            <w:pPr>
              <w:tabs>
                <w:tab w:val="left" w:pos="567"/>
              </w:tabs>
              <w:spacing w:before="120" w:line="256" w:lineRule="auto"/>
              <w:ind w:left="317"/>
              <w:rPr>
                <w:szCs w:val="22"/>
                <w:u w:val="single"/>
                <w:lang w:eastAsia="en-US"/>
              </w:rPr>
            </w:pPr>
            <w:r w:rsidRPr="00C65C78">
              <w:rPr>
                <w:noProof/>
              </w:rPr>
              <w:drawing>
                <wp:inline distT="0" distB="0" distL="0" distR="0" wp14:anchorId="04881EAE" wp14:editId="750D9B86">
                  <wp:extent cx="1466850"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6850" cy="590550"/>
                          </a:xfrm>
                          <a:prstGeom prst="rect">
                            <a:avLst/>
                          </a:prstGeom>
                          <a:noFill/>
                          <a:ln>
                            <a:noFill/>
                          </a:ln>
                        </pic:spPr>
                      </pic:pic>
                    </a:graphicData>
                  </a:graphic>
                </wp:inline>
              </w:drawing>
            </w:r>
          </w:p>
        </w:tc>
      </w:tr>
      <w:tr w:rsidR="004364B8" w14:paraId="69C98F24" w14:textId="77777777" w:rsidTr="009B558C">
        <w:tc>
          <w:tcPr>
            <w:tcW w:w="6204" w:type="dxa"/>
            <w:shd w:val="clear" w:color="auto" w:fill="auto"/>
            <w:hideMark/>
          </w:tcPr>
          <w:p w14:paraId="30761B35" w14:textId="77777777" w:rsidR="004364B8" w:rsidRDefault="004364B8" w:rsidP="00BA1D9E">
            <w:pPr>
              <w:numPr>
                <w:ilvl w:val="0"/>
                <w:numId w:val="9"/>
              </w:numPr>
              <w:tabs>
                <w:tab w:val="left" w:pos="567"/>
              </w:tabs>
              <w:spacing w:line="256" w:lineRule="auto"/>
              <w:ind w:left="567" w:hanging="567"/>
              <w:rPr>
                <w:szCs w:val="22"/>
                <w:lang w:eastAsia="en-US"/>
              </w:rPr>
            </w:pPr>
            <w:r>
              <w:rPr>
                <w:szCs w:val="22"/>
                <w:lang w:eastAsia="en-US"/>
              </w:rPr>
              <w:t>Atstumkite atgal apsauginį antdėklą nuo adatos link švirkšto korpuso parodytu kampu. Po to pašalinkite adatos dangtelį.</w:t>
            </w:r>
          </w:p>
        </w:tc>
        <w:tc>
          <w:tcPr>
            <w:tcW w:w="3082" w:type="dxa"/>
            <w:shd w:val="clear" w:color="auto" w:fill="auto"/>
            <w:hideMark/>
          </w:tcPr>
          <w:p w14:paraId="3DFE8F3B" w14:textId="63A858C3" w:rsidR="004364B8" w:rsidRDefault="004364B8" w:rsidP="00BA1D9E">
            <w:pPr>
              <w:tabs>
                <w:tab w:val="left" w:pos="567"/>
              </w:tabs>
              <w:spacing w:before="120" w:line="256" w:lineRule="auto"/>
              <w:ind w:left="317"/>
              <w:rPr>
                <w:szCs w:val="22"/>
                <w:u w:val="single"/>
                <w:lang w:eastAsia="en-US"/>
              </w:rPr>
            </w:pPr>
            <w:r>
              <w:rPr>
                <w:noProof/>
                <w:szCs w:val="22"/>
              </w:rPr>
              <w:drawing>
                <wp:inline distT="0" distB="0" distL="0" distR="0" wp14:anchorId="702A3C79" wp14:editId="1F5EDCC7">
                  <wp:extent cx="151447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p>
        </w:tc>
      </w:tr>
      <w:tr w:rsidR="004364B8" w14:paraId="7B15C7DC" w14:textId="77777777" w:rsidTr="009B558C">
        <w:tc>
          <w:tcPr>
            <w:tcW w:w="6204" w:type="dxa"/>
            <w:shd w:val="clear" w:color="auto" w:fill="auto"/>
            <w:hideMark/>
          </w:tcPr>
          <w:p w14:paraId="74854792" w14:textId="77777777" w:rsidR="004364B8" w:rsidRDefault="004364B8" w:rsidP="00BA1D9E">
            <w:pPr>
              <w:numPr>
                <w:ilvl w:val="0"/>
                <w:numId w:val="9"/>
              </w:numPr>
              <w:tabs>
                <w:tab w:val="left" w:pos="567"/>
              </w:tabs>
              <w:spacing w:line="256" w:lineRule="auto"/>
              <w:ind w:left="567" w:hanging="567"/>
              <w:rPr>
                <w:szCs w:val="22"/>
                <w:lang w:eastAsia="en-US"/>
              </w:rPr>
            </w:pPr>
            <w:r>
              <w:rPr>
                <w:szCs w:val="22"/>
                <w:lang w:eastAsia="en-US"/>
              </w:rPr>
              <w:t>Laikant švirkštą su nukreipta į viršų adata švelniai spauskite stūmoklį kol vaistinis preparatas pakils iki švirkšto viršaus. Korpuso viduje turi nebūti oro.</w:t>
            </w:r>
          </w:p>
        </w:tc>
        <w:tc>
          <w:tcPr>
            <w:tcW w:w="3082" w:type="dxa"/>
            <w:shd w:val="clear" w:color="auto" w:fill="auto"/>
          </w:tcPr>
          <w:p w14:paraId="381790AB" w14:textId="77777777" w:rsidR="004364B8" w:rsidRDefault="004364B8" w:rsidP="00BA1D9E">
            <w:pPr>
              <w:tabs>
                <w:tab w:val="left" w:pos="567"/>
              </w:tabs>
              <w:spacing w:before="120" w:line="256" w:lineRule="auto"/>
              <w:rPr>
                <w:szCs w:val="22"/>
                <w:u w:val="single"/>
                <w:lang w:eastAsia="en-US"/>
              </w:rPr>
            </w:pPr>
          </w:p>
        </w:tc>
      </w:tr>
      <w:tr w:rsidR="004364B8" w14:paraId="64D15778" w14:textId="77777777" w:rsidTr="009B558C">
        <w:tc>
          <w:tcPr>
            <w:tcW w:w="6204" w:type="dxa"/>
            <w:shd w:val="clear" w:color="auto" w:fill="auto"/>
            <w:hideMark/>
          </w:tcPr>
          <w:p w14:paraId="0DA137AA" w14:textId="77777777" w:rsidR="004364B8" w:rsidRDefault="004364B8" w:rsidP="00BA1D9E">
            <w:pPr>
              <w:numPr>
                <w:ilvl w:val="0"/>
                <w:numId w:val="9"/>
              </w:numPr>
              <w:tabs>
                <w:tab w:val="left" w:pos="567"/>
              </w:tabs>
              <w:spacing w:line="256" w:lineRule="auto"/>
              <w:ind w:left="567" w:hanging="567"/>
              <w:rPr>
                <w:szCs w:val="22"/>
                <w:lang w:eastAsia="en-US"/>
              </w:rPr>
            </w:pPr>
            <w:r>
              <w:rPr>
                <w:szCs w:val="22"/>
                <w:lang w:eastAsia="en-US"/>
              </w:rPr>
              <w:t>Suleiskite lėtai (per 1</w:t>
            </w:r>
            <w:r w:rsidR="00884A16">
              <w:rPr>
                <w:szCs w:val="22"/>
                <w:lang w:eastAsia="en-US"/>
              </w:rPr>
              <w:noBreakHyphen/>
            </w:r>
            <w:r>
              <w:rPr>
                <w:szCs w:val="22"/>
                <w:lang w:eastAsia="en-US"/>
              </w:rPr>
              <w:t>2</w:t>
            </w:r>
            <w:r w:rsidR="00884A16">
              <w:rPr>
                <w:szCs w:val="22"/>
                <w:lang w:eastAsia="en-US"/>
              </w:rPr>
              <w:t> </w:t>
            </w:r>
            <w:r>
              <w:rPr>
                <w:szCs w:val="22"/>
                <w:lang w:eastAsia="en-US"/>
              </w:rPr>
              <w:t xml:space="preserve">min.) į sėdmens raumenį. </w:t>
            </w:r>
          </w:p>
        </w:tc>
        <w:tc>
          <w:tcPr>
            <w:tcW w:w="3082" w:type="dxa"/>
            <w:shd w:val="clear" w:color="auto" w:fill="auto"/>
          </w:tcPr>
          <w:p w14:paraId="7CE1283B" w14:textId="77777777" w:rsidR="004364B8" w:rsidRDefault="004364B8" w:rsidP="00BA1D9E">
            <w:pPr>
              <w:tabs>
                <w:tab w:val="left" w:pos="567"/>
              </w:tabs>
              <w:spacing w:before="120" w:line="256" w:lineRule="auto"/>
              <w:rPr>
                <w:szCs w:val="22"/>
                <w:u w:val="single"/>
                <w:lang w:eastAsia="en-US"/>
              </w:rPr>
            </w:pPr>
          </w:p>
        </w:tc>
      </w:tr>
      <w:tr w:rsidR="004364B8" w14:paraId="6EBAE4F4" w14:textId="77777777" w:rsidTr="009B558C">
        <w:tc>
          <w:tcPr>
            <w:tcW w:w="6204" w:type="dxa"/>
            <w:shd w:val="clear" w:color="auto" w:fill="auto"/>
          </w:tcPr>
          <w:p w14:paraId="4E157022" w14:textId="77777777" w:rsidR="004364B8" w:rsidRDefault="004364B8" w:rsidP="00BA1D9E">
            <w:pPr>
              <w:numPr>
                <w:ilvl w:val="0"/>
                <w:numId w:val="9"/>
              </w:numPr>
              <w:tabs>
                <w:tab w:val="left" w:pos="567"/>
              </w:tabs>
              <w:spacing w:line="256" w:lineRule="auto"/>
              <w:ind w:left="567" w:hanging="567"/>
              <w:rPr>
                <w:szCs w:val="22"/>
                <w:lang w:eastAsia="en-US"/>
              </w:rPr>
            </w:pPr>
            <w:r>
              <w:rPr>
                <w:szCs w:val="22"/>
                <w:lang w:eastAsia="en-US"/>
              </w:rPr>
              <w:t>Baigus injekciją ištraukite adatą iš odos ir pritaikykite saugumo mechanizmo aktyvavimo viena ranka metodiką pasinaudojant vienu iš trijų būdų:</w:t>
            </w:r>
          </w:p>
          <w:p w14:paraId="277BA484" w14:textId="77777777" w:rsidR="004364B8" w:rsidRDefault="004364B8" w:rsidP="0077444B">
            <w:pPr>
              <w:spacing w:before="120" w:line="256" w:lineRule="auto"/>
              <w:ind w:left="1134"/>
              <w:rPr>
                <w:szCs w:val="22"/>
                <w:lang w:eastAsia="en-US"/>
              </w:rPr>
            </w:pPr>
          </w:p>
        </w:tc>
        <w:tc>
          <w:tcPr>
            <w:tcW w:w="3082" w:type="dxa"/>
            <w:shd w:val="clear" w:color="auto" w:fill="auto"/>
          </w:tcPr>
          <w:p w14:paraId="4D631F77" w14:textId="77777777" w:rsidR="004364B8" w:rsidRDefault="004364B8" w:rsidP="00BA1D9E">
            <w:pPr>
              <w:tabs>
                <w:tab w:val="left" w:pos="567"/>
              </w:tabs>
              <w:spacing w:before="120" w:line="256" w:lineRule="auto"/>
              <w:rPr>
                <w:szCs w:val="22"/>
                <w:u w:val="single"/>
                <w:lang w:eastAsia="en-US"/>
              </w:rPr>
            </w:pPr>
          </w:p>
        </w:tc>
      </w:tr>
      <w:tr w:rsidR="004364B8" w14:paraId="200AB7F2" w14:textId="77777777" w:rsidTr="009B558C">
        <w:tc>
          <w:tcPr>
            <w:tcW w:w="6204" w:type="dxa"/>
            <w:shd w:val="clear" w:color="auto" w:fill="auto"/>
          </w:tcPr>
          <w:p w14:paraId="12EE64D9" w14:textId="77777777" w:rsidR="004364B8" w:rsidRDefault="004364B8" w:rsidP="0077444B">
            <w:pPr>
              <w:numPr>
                <w:ilvl w:val="0"/>
                <w:numId w:val="9"/>
              </w:numPr>
              <w:spacing w:before="120" w:line="256" w:lineRule="auto"/>
              <w:ind w:left="2835" w:hanging="567"/>
              <w:rPr>
                <w:szCs w:val="22"/>
                <w:lang w:eastAsia="en-US"/>
              </w:rPr>
            </w:pPr>
            <w:r>
              <w:rPr>
                <w:szCs w:val="22"/>
                <w:lang w:eastAsia="en-US"/>
              </w:rPr>
              <w:t>aktyvavimas pirštu;</w:t>
            </w:r>
          </w:p>
          <w:p w14:paraId="5E9F8437" w14:textId="77777777" w:rsidR="004364B8" w:rsidRDefault="004364B8" w:rsidP="0077444B">
            <w:pPr>
              <w:spacing w:before="120" w:line="256" w:lineRule="auto"/>
              <w:rPr>
                <w:szCs w:val="22"/>
                <w:lang w:eastAsia="en-US"/>
              </w:rPr>
            </w:pPr>
          </w:p>
          <w:p w14:paraId="28A01257" w14:textId="77777777" w:rsidR="004364B8" w:rsidRDefault="004364B8" w:rsidP="0077444B">
            <w:pPr>
              <w:spacing w:before="120" w:line="256" w:lineRule="auto"/>
              <w:rPr>
                <w:szCs w:val="22"/>
                <w:lang w:eastAsia="en-US"/>
              </w:rPr>
            </w:pPr>
          </w:p>
          <w:p w14:paraId="1FEC5DB6" w14:textId="77777777" w:rsidR="004364B8" w:rsidRDefault="004364B8" w:rsidP="0077444B">
            <w:pPr>
              <w:numPr>
                <w:ilvl w:val="0"/>
                <w:numId w:val="10"/>
              </w:numPr>
              <w:tabs>
                <w:tab w:val="left" w:pos="2127"/>
              </w:tabs>
              <w:spacing w:line="256" w:lineRule="auto"/>
              <w:ind w:left="2835" w:hanging="567"/>
              <w:rPr>
                <w:szCs w:val="22"/>
                <w:lang w:eastAsia="en-US"/>
              </w:rPr>
            </w:pPr>
            <w:r>
              <w:rPr>
                <w:szCs w:val="22"/>
                <w:lang w:eastAsia="en-US"/>
              </w:rPr>
              <w:t>aktyvavimas nykščiu;</w:t>
            </w:r>
          </w:p>
          <w:p w14:paraId="49D3DB3E" w14:textId="77777777" w:rsidR="004364B8" w:rsidRDefault="004364B8" w:rsidP="0077444B">
            <w:pPr>
              <w:spacing w:before="120" w:line="256" w:lineRule="auto"/>
              <w:rPr>
                <w:szCs w:val="22"/>
                <w:lang w:eastAsia="en-US"/>
              </w:rPr>
            </w:pPr>
          </w:p>
          <w:p w14:paraId="5F8EC857" w14:textId="77777777" w:rsidR="004364B8" w:rsidRDefault="004364B8" w:rsidP="0077444B">
            <w:pPr>
              <w:spacing w:before="120" w:line="256" w:lineRule="auto"/>
              <w:rPr>
                <w:szCs w:val="22"/>
                <w:lang w:eastAsia="en-US"/>
              </w:rPr>
            </w:pPr>
          </w:p>
          <w:p w14:paraId="03A8A440" w14:textId="77777777" w:rsidR="004364B8" w:rsidRDefault="004364B8" w:rsidP="0077444B">
            <w:pPr>
              <w:numPr>
                <w:ilvl w:val="0"/>
                <w:numId w:val="10"/>
              </w:numPr>
              <w:tabs>
                <w:tab w:val="left" w:pos="567"/>
              </w:tabs>
              <w:spacing w:line="256" w:lineRule="auto"/>
              <w:ind w:left="2835" w:hanging="567"/>
              <w:rPr>
                <w:szCs w:val="22"/>
                <w:lang w:eastAsia="en-US"/>
              </w:rPr>
            </w:pPr>
            <w:r>
              <w:rPr>
                <w:szCs w:val="22"/>
                <w:lang w:eastAsia="en-US"/>
              </w:rPr>
              <w:t>aktyvavimas paviršiumi.</w:t>
            </w:r>
          </w:p>
          <w:p w14:paraId="77B1DB47" w14:textId="77777777" w:rsidR="004364B8" w:rsidRDefault="004364B8" w:rsidP="0077444B">
            <w:pPr>
              <w:spacing w:before="120" w:line="256" w:lineRule="auto"/>
              <w:rPr>
                <w:szCs w:val="22"/>
                <w:lang w:eastAsia="en-US"/>
              </w:rPr>
            </w:pPr>
          </w:p>
        </w:tc>
        <w:tc>
          <w:tcPr>
            <w:tcW w:w="3082" w:type="dxa"/>
            <w:shd w:val="clear" w:color="auto" w:fill="auto"/>
            <w:hideMark/>
          </w:tcPr>
          <w:p w14:paraId="7D361D30" w14:textId="4C6225BA" w:rsidR="004364B8" w:rsidRDefault="004364B8" w:rsidP="00BA1D9E">
            <w:pPr>
              <w:tabs>
                <w:tab w:val="left" w:pos="567"/>
              </w:tabs>
              <w:spacing w:before="120" w:line="256" w:lineRule="auto"/>
              <w:rPr>
                <w:szCs w:val="22"/>
                <w:u w:val="single"/>
                <w:lang w:eastAsia="en-US"/>
              </w:rPr>
            </w:pPr>
            <w:r>
              <w:rPr>
                <w:noProof/>
                <w:szCs w:val="22"/>
              </w:rPr>
              <w:drawing>
                <wp:inline distT="0" distB="0" distL="0" distR="0" wp14:anchorId="4600A540" wp14:editId="21D05FC5">
                  <wp:extent cx="135255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52550" cy="1790700"/>
                          </a:xfrm>
                          <a:prstGeom prst="rect">
                            <a:avLst/>
                          </a:prstGeom>
                          <a:noFill/>
                          <a:ln>
                            <a:noFill/>
                          </a:ln>
                        </pic:spPr>
                      </pic:pic>
                    </a:graphicData>
                  </a:graphic>
                </wp:inline>
              </w:drawing>
            </w:r>
          </w:p>
        </w:tc>
      </w:tr>
    </w:tbl>
    <w:p w14:paraId="563F7BFB" w14:textId="77777777" w:rsidR="004364B8" w:rsidRDefault="004364B8" w:rsidP="004364B8">
      <w:pPr>
        <w:tabs>
          <w:tab w:val="left" w:pos="567"/>
        </w:tabs>
        <w:rPr>
          <w:szCs w:val="22"/>
        </w:rPr>
      </w:pPr>
    </w:p>
    <w:p w14:paraId="5C842772" w14:textId="77777777" w:rsidR="004364B8" w:rsidRDefault="004364B8" w:rsidP="004364B8">
      <w:pPr>
        <w:tabs>
          <w:tab w:val="left" w:pos="567"/>
        </w:tabs>
        <w:rPr>
          <w:b/>
          <w:szCs w:val="22"/>
        </w:rPr>
      </w:pPr>
      <w:r w:rsidRPr="009B558C">
        <w:rPr>
          <w:b/>
        </w:rPr>
        <w:lastRenderedPageBreak/>
        <w:t>A</w:t>
      </w:r>
      <w:r>
        <w:rPr>
          <w:b/>
          <w:szCs w:val="22"/>
        </w:rPr>
        <w:t>ktyvavimas yra patvirtinamas girdimu ir</w:t>
      </w:r>
      <w:r w:rsidR="00964FC3">
        <w:rPr>
          <w:b/>
          <w:szCs w:val="22"/>
        </w:rPr>
        <w:t xml:space="preserve"> (</w:t>
      </w:r>
      <w:r>
        <w:rPr>
          <w:b/>
          <w:szCs w:val="22"/>
        </w:rPr>
        <w:t>ar</w:t>
      </w:r>
      <w:r w:rsidR="00964FC3">
        <w:rPr>
          <w:b/>
          <w:szCs w:val="22"/>
        </w:rPr>
        <w:t>ba)</w:t>
      </w:r>
      <w:r>
        <w:rPr>
          <w:b/>
          <w:szCs w:val="22"/>
        </w:rPr>
        <w:t xml:space="preserve"> juntamu spragtelėjimu ir gali būti patikrintas vizualiai.</w:t>
      </w:r>
    </w:p>
    <w:p w14:paraId="54EA2365" w14:textId="77777777" w:rsidR="004364B8" w:rsidRDefault="004364B8" w:rsidP="004364B8">
      <w:pPr>
        <w:tabs>
          <w:tab w:val="left" w:pos="567"/>
        </w:tabs>
        <w:rPr>
          <w:b/>
          <w:szCs w:val="22"/>
        </w:rPr>
      </w:pPr>
      <w:r>
        <w:rPr>
          <w:b/>
          <w:szCs w:val="22"/>
        </w:rPr>
        <w:t>Jeigu abejojate, kad apsauginis antdėklas yra visiškai įjungtas, pakartokite šį žingsnį.</w:t>
      </w:r>
    </w:p>
    <w:p w14:paraId="355CB182" w14:textId="77777777" w:rsidR="004364B8" w:rsidRDefault="004364B8" w:rsidP="004364B8">
      <w:pPr>
        <w:tabs>
          <w:tab w:val="left" w:pos="567"/>
        </w:tabs>
        <w:rPr>
          <w:szCs w:val="22"/>
        </w:rPr>
      </w:pPr>
    </w:p>
    <w:p w14:paraId="40129D92" w14:textId="77777777" w:rsidR="004364B8" w:rsidRDefault="004364B8" w:rsidP="004364B8">
      <w:pPr>
        <w:tabs>
          <w:tab w:val="left" w:pos="567"/>
        </w:tabs>
        <w:rPr>
          <w:szCs w:val="22"/>
          <w:u w:val="single"/>
        </w:rPr>
      </w:pPr>
      <w:r>
        <w:rPr>
          <w:szCs w:val="22"/>
          <w:u w:val="single"/>
        </w:rPr>
        <w:t>Atliekų tvarkymas</w:t>
      </w:r>
    </w:p>
    <w:p w14:paraId="2533BF9C" w14:textId="77777777" w:rsidR="004364B8" w:rsidRDefault="004364B8" w:rsidP="004364B8">
      <w:pPr>
        <w:tabs>
          <w:tab w:val="left" w:pos="567"/>
        </w:tabs>
        <w:rPr>
          <w:szCs w:val="22"/>
        </w:rPr>
      </w:pPr>
      <w:r>
        <w:rPr>
          <w:szCs w:val="22"/>
        </w:rPr>
        <w:t xml:space="preserve">Užpildyti švirkštai yra skirti </w:t>
      </w:r>
      <w:r>
        <w:rPr>
          <w:b/>
          <w:szCs w:val="22"/>
        </w:rPr>
        <w:t>tik</w:t>
      </w:r>
      <w:r>
        <w:rPr>
          <w:szCs w:val="22"/>
        </w:rPr>
        <w:t xml:space="preserve"> vienkartiniam vartojimui.</w:t>
      </w:r>
    </w:p>
    <w:p w14:paraId="4D4A87C8" w14:textId="77777777" w:rsidR="004364B8" w:rsidRDefault="004364B8" w:rsidP="004364B8">
      <w:pPr>
        <w:tabs>
          <w:tab w:val="left" w:pos="567"/>
        </w:tabs>
        <w:rPr>
          <w:szCs w:val="22"/>
        </w:rPr>
      </w:pPr>
      <w:r>
        <w:rPr>
          <w:szCs w:val="22"/>
        </w:rPr>
        <w:t>Nesuvartotą vaistinį preparatą ar atliekas reikia tvarkyti laikantis vietinių reikalavimų.</w:t>
      </w:r>
    </w:p>
    <w:p w14:paraId="3F47E1C4" w14:textId="77777777" w:rsidR="004364B8" w:rsidRDefault="004364B8" w:rsidP="004364B8">
      <w:pPr>
        <w:tabs>
          <w:tab w:val="left" w:pos="567"/>
        </w:tabs>
        <w:rPr>
          <w:szCs w:val="22"/>
        </w:rPr>
      </w:pPr>
    </w:p>
    <w:p w14:paraId="43ACFB70" w14:textId="77777777" w:rsidR="004364B8" w:rsidRDefault="004364B8" w:rsidP="004364B8">
      <w:bookmarkStart w:id="1" w:name="_GoBack"/>
      <w:bookmarkEnd w:id="1"/>
    </w:p>
    <w:sectPr w:rsidR="004364B8" w:rsidSect="00BA1D9E">
      <w:headerReference w:type="default" r:id="rId29"/>
      <w:footerReference w:type="default" r:id="rId30"/>
      <w:pgSz w:w="11906" w:h="16838"/>
      <w:pgMar w:top="1440" w:right="1440" w:bottom="1440" w:left="1440"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C20203" w16cid:durableId="24D7799F"/>
  <w16cid:commentId w16cid:paraId="1F1BA2BE" w16cid:durableId="24D779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CFEBD" w14:textId="77777777" w:rsidR="00837488" w:rsidRDefault="00837488" w:rsidP="001209DE">
      <w:r>
        <w:separator/>
      </w:r>
    </w:p>
  </w:endnote>
  <w:endnote w:type="continuationSeparator" w:id="0">
    <w:p w14:paraId="46854C0E" w14:textId="77777777" w:rsidR="00837488" w:rsidRDefault="00837488" w:rsidP="001209DE">
      <w:r>
        <w:continuationSeparator/>
      </w:r>
    </w:p>
  </w:endnote>
  <w:endnote w:type="continuationNotice" w:id="1">
    <w:p w14:paraId="241262FA" w14:textId="77777777" w:rsidR="00837488" w:rsidRDefault="00837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imesNewRoman">
    <w:altName w:val="Yu Gothic UI"/>
    <w:panose1 w:val="00000000000000000000"/>
    <w:charset w:val="00"/>
    <w:family w:val="roman"/>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EA3CB" w14:textId="77777777" w:rsidR="00C65C78" w:rsidRDefault="00C65C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75FE4" w14:textId="77777777" w:rsidR="00837488" w:rsidRDefault="00837488" w:rsidP="001209DE">
      <w:r>
        <w:separator/>
      </w:r>
    </w:p>
  </w:footnote>
  <w:footnote w:type="continuationSeparator" w:id="0">
    <w:p w14:paraId="4EA3DC34" w14:textId="77777777" w:rsidR="00837488" w:rsidRDefault="00837488" w:rsidP="001209DE">
      <w:r>
        <w:continuationSeparator/>
      </w:r>
    </w:p>
  </w:footnote>
  <w:footnote w:type="continuationNotice" w:id="1">
    <w:p w14:paraId="5D9B6D09" w14:textId="77777777" w:rsidR="00837488" w:rsidRDefault="008374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65BCD" w14:textId="77777777" w:rsidR="00C65C78" w:rsidRDefault="00C65C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E76BF"/>
    <w:multiLevelType w:val="hybridMultilevel"/>
    <w:tmpl w:val="898E76C2"/>
    <w:lvl w:ilvl="0" w:tplc="912A9372">
      <w:numFmt w:val="bullet"/>
      <w:lvlText w:val="-"/>
      <w:lvlJc w:val="left"/>
      <w:pPr>
        <w:ind w:left="1080" w:hanging="360"/>
      </w:pPr>
      <w:rPr>
        <w:rFonts w:ascii="Times New Roman" w:eastAsia="Times New Roman" w:hAnsi="Times New Roman" w:cs="Times New Roma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48657F"/>
    <w:multiLevelType w:val="hybridMultilevel"/>
    <w:tmpl w:val="E6BA0B8A"/>
    <w:lvl w:ilvl="0" w:tplc="912A9372">
      <w:numFmt w:val="bullet"/>
      <w:lvlText w:val="-"/>
      <w:lvlJc w:val="left"/>
      <w:pPr>
        <w:ind w:left="360" w:hanging="360"/>
      </w:pPr>
      <w:rPr>
        <w:rFonts w:ascii="Times New Roman" w:eastAsia="Times New Roman" w:hAnsi="Times New Roman" w:cs="Times New Roman"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7323966"/>
    <w:multiLevelType w:val="hybridMultilevel"/>
    <w:tmpl w:val="04F8E53E"/>
    <w:lvl w:ilvl="0" w:tplc="BDB670B6">
      <w:start w:val="1"/>
      <w:numFmt w:val="bullet"/>
      <w:lvlText w:val=""/>
      <w:lvlJc w:val="left"/>
      <w:pPr>
        <w:ind w:left="360" w:hanging="360"/>
      </w:pPr>
      <w:rPr>
        <w:rFonts w:ascii="Symbol" w:hAnsi="Symbol"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8E90E76"/>
    <w:multiLevelType w:val="hybridMultilevel"/>
    <w:tmpl w:val="F488A47E"/>
    <w:lvl w:ilvl="0" w:tplc="03E47A94">
      <w:numFmt w:val="bullet"/>
      <w:lvlText w:val="-"/>
      <w:lvlJc w:val="left"/>
      <w:pPr>
        <w:ind w:left="1854" w:hanging="360"/>
      </w:pPr>
      <w:rPr>
        <w:rFonts w:ascii="Times New Roman" w:hAnsi="Times New Roman" w:cs="Times New Roman" w:hint="default"/>
        <w:sz w:val="22"/>
      </w:rPr>
    </w:lvl>
    <w:lvl w:ilvl="1" w:tplc="912A9372">
      <w:numFmt w:val="bullet"/>
      <w:lvlText w:val="-"/>
      <w:lvlJc w:val="left"/>
      <w:pPr>
        <w:ind w:left="2574" w:hanging="360"/>
      </w:pPr>
      <w:rPr>
        <w:rFonts w:ascii="Times New Roman" w:eastAsia="Times New Roman" w:hAnsi="Times New Roman" w:cs="Times New Roman" w:hint="default"/>
        <w:b w:val="0"/>
        <w:sz w:val="24"/>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5" w15:restartNumberingAfterBreak="0">
    <w:nsid w:val="0AD420A8"/>
    <w:multiLevelType w:val="hybridMultilevel"/>
    <w:tmpl w:val="2FAE6B42"/>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0C6B1A5C"/>
    <w:multiLevelType w:val="hybridMultilevel"/>
    <w:tmpl w:val="041CF852"/>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717203"/>
    <w:multiLevelType w:val="hybridMultilevel"/>
    <w:tmpl w:val="34AAB1C2"/>
    <w:lvl w:ilvl="0" w:tplc="03E47A94">
      <w:numFmt w:val="bullet"/>
      <w:lvlText w:val="-"/>
      <w:lvlJc w:val="left"/>
      <w:pPr>
        <w:ind w:left="1854" w:hanging="360"/>
      </w:pPr>
      <w:rPr>
        <w:rFonts w:ascii="Times New Roman" w:hAnsi="Times New Roman" w:cs="Times New Roman" w:hint="default"/>
        <w:sz w:val="22"/>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9" w15:restartNumberingAfterBreak="0">
    <w:nsid w:val="0D715CB9"/>
    <w:multiLevelType w:val="hybridMultilevel"/>
    <w:tmpl w:val="FFA86BB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E706E0"/>
    <w:multiLevelType w:val="hybridMultilevel"/>
    <w:tmpl w:val="F1CEF58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5EA6B76"/>
    <w:multiLevelType w:val="hybridMultilevel"/>
    <w:tmpl w:val="B1DCB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CD3272"/>
    <w:multiLevelType w:val="hybridMultilevel"/>
    <w:tmpl w:val="FAEA76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ADB792F"/>
    <w:multiLevelType w:val="hybridMultilevel"/>
    <w:tmpl w:val="C29C5E3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D97A94"/>
    <w:multiLevelType w:val="hybridMultilevel"/>
    <w:tmpl w:val="C2FEF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33A0EDC"/>
    <w:multiLevelType w:val="hybridMultilevel"/>
    <w:tmpl w:val="7DEC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2A05"/>
    <w:multiLevelType w:val="hybridMultilevel"/>
    <w:tmpl w:val="5D96E1C6"/>
    <w:lvl w:ilvl="0" w:tplc="00000003">
      <w:start w:val="1"/>
      <w:numFmt w:val="bullet"/>
      <w:lvlText w:val="-"/>
      <w:lvlJc w:val="left"/>
      <w:pPr>
        <w:ind w:left="720"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807881"/>
    <w:multiLevelType w:val="hybridMultilevel"/>
    <w:tmpl w:val="ACD4CE12"/>
    <w:lvl w:ilvl="0" w:tplc="00000003">
      <w:start w:val="1"/>
      <w:numFmt w:val="bullet"/>
      <w:lvlText w:val="-"/>
      <w:lvlJc w:val="left"/>
      <w:pPr>
        <w:ind w:left="720" w:hanging="360"/>
      </w:pPr>
      <w:rPr>
        <w:rFonts w:ascii="StarSymbol" w:hAnsi="StarSymbol"/>
      </w:rPr>
    </w:lvl>
    <w:lvl w:ilvl="1" w:tplc="65889E08">
      <w:numFmt w:val="bullet"/>
      <w:lvlText w:val=""/>
      <w:lvlJc w:val="left"/>
      <w:pPr>
        <w:ind w:left="1440" w:hanging="360"/>
      </w:pPr>
      <w:rPr>
        <w:rFonts w:ascii="Symbol" w:eastAsia="Times New Roman" w:hAnsi="Symbol"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4517D0"/>
    <w:multiLevelType w:val="hybridMultilevel"/>
    <w:tmpl w:val="8158B1A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2FBB44CA"/>
    <w:multiLevelType w:val="hybridMultilevel"/>
    <w:tmpl w:val="59FA20B4"/>
    <w:lvl w:ilvl="0" w:tplc="912A9372">
      <w:numFmt w:val="bullet"/>
      <w:lvlText w:val="-"/>
      <w:lvlJc w:val="left"/>
      <w:pPr>
        <w:ind w:left="360" w:hanging="360"/>
      </w:pPr>
      <w:rPr>
        <w:rFonts w:ascii="Times New Roman" w:eastAsia="Times New Roman" w:hAnsi="Times New Roman" w:cs="Times New Roman"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1182A46"/>
    <w:multiLevelType w:val="hybridMultilevel"/>
    <w:tmpl w:val="D236018E"/>
    <w:lvl w:ilvl="0" w:tplc="912A9372">
      <w:numFmt w:val="bullet"/>
      <w:lvlText w:val="-"/>
      <w:lvlJc w:val="left"/>
      <w:pPr>
        <w:ind w:left="1080" w:hanging="360"/>
      </w:pPr>
      <w:rPr>
        <w:rFonts w:ascii="Times New Roman" w:eastAsia="Times New Roman" w:hAnsi="Times New Roman" w:cs="Times New Roman" w:hint="default"/>
        <w:b w:val="0"/>
        <w:sz w:val="24"/>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1" w15:restartNumberingAfterBreak="0">
    <w:nsid w:val="342524F6"/>
    <w:multiLevelType w:val="hybridMultilevel"/>
    <w:tmpl w:val="B032F68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377FE9"/>
    <w:multiLevelType w:val="hybridMultilevel"/>
    <w:tmpl w:val="E8048CE2"/>
    <w:lvl w:ilvl="0" w:tplc="04270001">
      <w:start w:val="1"/>
      <w:numFmt w:val="bullet"/>
      <w:lvlText w:val=""/>
      <w:lvlJc w:val="left"/>
      <w:pPr>
        <w:ind w:left="1080" w:hanging="360"/>
      </w:pPr>
      <w:rPr>
        <w:rFonts w:ascii="Symbol" w:hAnsi="Symbol" w:hint="default"/>
        <w:b w:val="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E784AB7"/>
    <w:multiLevelType w:val="hybridMultilevel"/>
    <w:tmpl w:val="38E86A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5A31F5"/>
    <w:multiLevelType w:val="hybridMultilevel"/>
    <w:tmpl w:val="83FE4C74"/>
    <w:lvl w:ilvl="0" w:tplc="00000003">
      <w:start w:val="1"/>
      <w:numFmt w:val="bullet"/>
      <w:lvlText w:val="-"/>
      <w:lvlJc w:val="left"/>
      <w:pPr>
        <w:ind w:left="720"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E00266"/>
    <w:multiLevelType w:val="hybridMultilevel"/>
    <w:tmpl w:val="4BE60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59D48A3"/>
    <w:multiLevelType w:val="hybridMultilevel"/>
    <w:tmpl w:val="B7DE69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17C88"/>
    <w:multiLevelType w:val="hybridMultilevel"/>
    <w:tmpl w:val="D7DCC19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1320F2"/>
    <w:multiLevelType w:val="hybridMultilevel"/>
    <w:tmpl w:val="47448F0A"/>
    <w:lvl w:ilvl="0" w:tplc="00000003">
      <w:start w:val="1"/>
      <w:numFmt w:val="bullet"/>
      <w:lvlText w:val="-"/>
      <w:lvlJc w:val="left"/>
      <w:pPr>
        <w:ind w:left="360" w:hanging="360"/>
      </w:pPr>
      <w:rPr>
        <w:rFonts w:ascii="StarSymbol" w:hAnsi="StarSymbol" w:hint="default"/>
        <w:b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4F775D69"/>
    <w:multiLevelType w:val="hybridMultilevel"/>
    <w:tmpl w:val="98C07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3871704"/>
    <w:multiLevelType w:val="hybridMultilevel"/>
    <w:tmpl w:val="57060F56"/>
    <w:lvl w:ilvl="0" w:tplc="FFFFFFFF">
      <w:start w:val="1"/>
      <w:numFmt w:val="bullet"/>
      <w:lvlText w:val="-"/>
      <w:lvlJc w:val="left"/>
      <w:pPr>
        <w:ind w:left="720" w:hanging="360"/>
      </w:pPr>
      <w:rPr>
        <w:rFonts w:hint="default"/>
      </w:rPr>
    </w:lvl>
    <w:lvl w:ilvl="1" w:tplc="30090003" w:tentative="1">
      <w:start w:val="1"/>
      <w:numFmt w:val="bullet"/>
      <w:lvlText w:val="o"/>
      <w:lvlJc w:val="left"/>
      <w:pPr>
        <w:ind w:left="1440" w:hanging="360"/>
      </w:pPr>
      <w:rPr>
        <w:rFonts w:ascii="Courier New" w:hAnsi="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5DC40546"/>
    <w:multiLevelType w:val="hybridMultilevel"/>
    <w:tmpl w:val="088C2172"/>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1262EB"/>
    <w:multiLevelType w:val="hybridMultilevel"/>
    <w:tmpl w:val="F8E294F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3" w15:restartNumberingAfterBreak="0">
    <w:nsid w:val="654E2B4E"/>
    <w:multiLevelType w:val="hybridMultilevel"/>
    <w:tmpl w:val="34121C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B961BA"/>
    <w:multiLevelType w:val="hybridMultilevel"/>
    <w:tmpl w:val="515A45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A04B29"/>
    <w:multiLevelType w:val="hybridMultilevel"/>
    <w:tmpl w:val="34249258"/>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20C06C2"/>
    <w:multiLevelType w:val="hybridMultilevel"/>
    <w:tmpl w:val="E3E086E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76C4463"/>
    <w:multiLevelType w:val="hybridMultilevel"/>
    <w:tmpl w:val="A1244F2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E0302C2"/>
    <w:multiLevelType w:val="hybridMultilevel"/>
    <w:tmpl w:val="682CE81E"/>
    <w:lvl w:ilvl="0" w:tplc="BDB670B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5A101B"/>
    <w:multiLevelType w:val="hybridMultilevel"/>
    <w:tmpl w:val="FA4852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0F32C2"/>
    <w:multiLevelType w:val="hybridMultilevel"/>
    <w:tmpl w:val="FDA0730C"/>
    <w:lvl w:ilvl="0" w:tplc="8C3433B6">
      <w:numFmt w:val="bullet"/>
      <w:lvlText w:val=""/>
      <w:lvlJc w:val="left"/>
      <w:pPr>
        <w:ind w:left="720" w:hanging="360"/>
      </w:pPr>
      <w:rPr>
        <w:rFonts w:ascii="Symbol" w:hAnsi="Symbol" w:cs="Times New Roman" w:hint="default"/>
        <w:sz w:val="22"/>
      </w:rPr>
    </w:lvl>
    <w:lvl w:ilvl="1" w:tplc="18D4F138">
      <w:numFmt w:val="bullet"/>
      <w:lvlText w:val="-"/>
      <w:lvlJc w:val="left"/>
      <w:pPr>
        <w:ind w:left="1440" w:hanging="360"/>
      </w:pPr>
      <w:rPr>
        <w:rFonts w:ascii="Times New Roman" w:eastAsia="Batang"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32"/>
  </w:num>
  <w:num w:numId="4">
    <w:abstractNumId w:val="18"/>
  </w:num>
  <w:num w:numId="5">
    <w:abstractNumId w:val="20"/>
  </w:num>
  <w:num w:numId="6">
    <w:abstractNumId w:val="34"/>
  </w:num>
  <w:num w:numId="7">
    <w:abstractNumId w:val="22"/>
  </w:num>
  <w:num w:numId="8">
    <w:abstractNumId w:val="14"/>
  </w:num>
  <w:num w:numId="9">
    <w:abstractNumId w:val="38"/>
  </w:num>
  <w:num w:numId="10">
    <w:abstractNumId w:val="10"/>
  </w:num>
  <w:num w:numId="11">
    <w:abstractNumId w:val="15"/>
  </w:num>
  <w:num w:numId="12">
    <w:abstractNumId w:val="17"/>
  </w:num>
  <w:num w:numId="13">
    <w:abstractNumId w:val="30"/>
  </w:num>
  <w:num w:numId="14">
    <w:abstractNumId w:val="21"/>
  </w:num>
  <w:num w:numId="15">
    <w:abstractNumId w:val="6"/>
  </w:num>
  <w:num w:numId="16">
    <w:abstractNumId w:val="13"/>
  </w:num>
  <w:num w:numId="17">
    <w:abstractNumId w:val="27"/>
  </w:num>
  <w:num w:numId="18">
    <w:abstractNumId w:val="9"/>
  </w:num>
  <w:num w:numId="19">
    <w:abstractNumId w:val="37"/>
  </w:num>
  <w:num w:numId="20">
    <w:abstractNumId w:val="2"/>
  </w:num>
  <w:num w:numId="21">
    <w:abstractNumId w:val="3"/>
  </w:num>
  <w:num w:numId="22">
    <w:abstractNumId w:val="7"/>
  </w:num>
  <w:num w:numId="23">
    <w:abstractNumId w:val="39"/>
  </w:num>
  <w:num w:numId="24">
    <w:abstractNumId w:val="36"/>
  </w:num>
  <w:num w:numId="25">
    <w:abstractNumId w:val="31"/>
  </w:num>
  <w:num w:numId="26">
    <w:abstractNumId w:val="5"/>
  </w:num>
  <w:num w:numId="27">
    <w:abstractNumId w:val="16"/>
  </w:num>
  <w:num w:numId="28">
    <w:abstractNumId w:val="24"/>
  </w:num>
  <w:num w:numId="29">
    <w:abstractNumId w:val="28"/>
  </w:num>
  <w:num w:numId="30">
    <w:abstractNumId w:val="19"/>
  </w:num>
  <w:num w:numId="31">
    <w:abstractNumId w:val="0"/>
    <w:lvlOverride w:ilvl="0">
      <w:lvl w:ilvl="0">
        <w:start w:val="1"/>
        <w:numFmt w:val="bullet"/>
        <w:lvlText w:val="-"/>
        <w:lvlJc w:val="left"/>
        <w:pPr>
          <w:ind w:left="360" w:hanging="360"/>
        </w:pPr>
      </w:lvl>
    </w:lvlOverride>
  </w:num>
  <w:num w:numId="32">
    <w:abstractNumId w:val="40"/>
  </w:num>
  <w:num w:numId="33">
    <w:abstractNumId w:val="1"/>
  </w:num>
  <w:num w:numId="34">
    <w:abstractNumId w:val="29"/>
  </w:num>
  <w:num w:numId="35">
    <w:abstractNumId w:val="23"/>
  </w:num>
  <w:num w:numId="36">
    <w:abstractNumId w:val="25"/>
  </w:num>
  <w:num w:numId="37">
    <w:abstractNumId w:val="41"/>
  </w:num>
  <w:num w:numId="38">
    <w:abstractNumId w:val="8"/>
  </w:num>
  <w:num w:numId="39">
    <w:abstractNumId w:val="4"/>
  </w:num>
  <w:num w:numId="40">
    <w:abstractNumId w:val="33"/>
  </w:num>
  <w:num w:numId="41">
    <w:abstractNumId w:val="1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B8"/>
    <w:rsid w:val="00005520"/>
    <w:rsid w:val="00006109"/>
    <w:rsid w:val="00006BB1"/>
    <w:rsid w:val="00007186"/>
    <w:rsid w:val="00010FD7"/>
    <w:rsid w:val="00011004"/>
    <w:rsid w:val="000122B5"/>
    <w:rsid w:val="00013354"/>
    <w:rsid w:val="000154C3"/>
    <w:rsid w:val="00023879"/>
    <w:rsid w:val="0002697B"/>
    <w:rsid w:val="00027E69"/>
    <w:rsid w:val="000318A1"/>
    <w:rsid w:val="00031D1C"/>
    <w:rsid w:val="00033761"/>
    <w:rsid w:val="00033B8F"/>
    <w:rsid w:val="00035A74"/>
    <w:rsid w:val="00043548"/>
    <w:rsid w:val="000452F6"/>
    <w:rsid w:val="00050209"/>
    <w:rsid w:val="0005287B"/>
    <w:rsid w:val="00066B84"/>
    <w:rsid w:val="00066F84"/>
    <w:rsid w:val="000677AF"/>
    <w:rsid w:val="00081439"/>
    <w:rsid w:val="00083C44"/>
    <w:rsid w:val="000861F7"/>
    <w:rsid w:val="0009063A"/>
    <w:rsid w:val="000936A0"/>
    <w:rsid w:val="000A184F"/>
    <w:rsid w:val="000C31A6"/>
    <w:rsid w:val="000C373D"/>
    <w:rsid w:val="000C3A64"/>
    <w:rsid w:val="000C7099"/>
    <w:rsid w:val="000E4051"/>
    <w:rsid w:val="000F2959"/>
    <w:rsid w:val="000F5410"/>
    <w:rsid w:val="0010116D"/>
    <w:rsid w:val="00102740"/>
    <w:rsid w:val="00111210"/>
    <w:rsid w:val="00111799"/>
    <w:rsid w:val="001165D5"/>
    <w:rsid w:val="001209DE"/>
    <w:rsid w:val="00120C97"/>
    <w:rsid w:val="00124DFD"/>
    <w:rsid w:val="00134E51"/>
    <w:rsid w:val="0013553E"/>
    <w:rsid w:val="00136A2A"/>
    <w:rsid w:val="00153369"/>
    <w:rsid w:val="001608B9"/>
    <w:rsid w:val="00166F53"/>
    <w:rsid w:val="0017372B"/>
    <w:rsid w:val="00175565"/>
    <w:rsid w:val="00180DD9"/>
    <w:rsid w:val="00185541"/>
    <w:rsid w:val="001928B9"/>
    <w:rsid w:val="00193A04"/>
    <w:rsid w:val="00194F94"/>
    <w:rsid w:val="00196402"/>
    <w:rsid w:val="001A0BF0"/>
    <w:rsid w:val="001A272F"/>
    <w:rsid w:val="001A6FE9"/>
    <w:rsid w:val="001B009B"/>
    <w:rsid w:val="001B0934"/>
    <w:rsid w:val="001B6C56"/>
    <w:rsid w:val="001C6012"/>
    <w:rsid w:val="001D1A15"/>
    <w:rsid w:val="001D5F14"/>
    <w:rsid w:val="00206C86"/>
    <w:rsid w:val="00210E00"/>
    <w:rsid w:val="00212A81"/>
    <w:rsid w:val="002135B2"/>
    <w:rsid w:val="002177B0"/>
    <w:rsid w:val="00223821"/>
    <w:rsid w:val="002326E4"/>
    <w:rsid w:val="00232E9F"/>
    <w:rsid w:val="002353E8"/>
    <w:rsid w:val="002373E2"/>
    <w:rsid w:val="0024291F"/>
    <w:rsid w:val="00242BCF"/>
    <w:rsid w:val="00243681"/>
    <w:rsid w:val="002451B6"/>
    <w:rsid w:val="00254259"/>
    <w:rsid w:val="0026047C"/>
    <w:rsid w:val="00262B9B"/>
    <w:rsid w:val="002642A7"/>
    <w:rsid w:val="002646F4"/>
    <w:rsid w:val="002677D0"/>
    <w:rsid w:val="00267DAC"/>
    <w:rsid w:val="0027007B"/>
    <w:rsid w:val="00283143"/>
    <w:rsid w:val="00285649"/>
    <w:rsid w:val="002A14CC"/>
    <w:rsid w:val="002A5D0A"/>
    <w:rsid w:val="002A5DC4"/>
    <w:rsid w:val="002A6252"/>
    <w:rsid w:val="002A705B"/>
    <w:rsid w:val="002A7A77"/>
    <w:rsid w:val="002B571D"/>
    <w:rsid w:val="002C08DA"/>
    <w:rsid w:val="002C6AF3"/>
    <w:rsid w:val="002D01C3"/>
    <w:rsid w:val="002D2AB9"/>
    <w:rsid w:val="002D371D"/>
    <w:rsid w:val="002D5E6D"/>
    <w:rsid w:val="002E3312"/>
    <w:rsid w:val="002F4692"/>
    <w:rsid w:val="002F5A12"/>
    <w:rsid w:val="00302CC2"/>
    <w:rsid w:val="0030426C"/>
    <w:rsid w:val="003161B9"/>
    <w:rsid w:val="00321632"/>
    <w:rsid w:val="00323491"/>
    <w:rsid w:val="00326D02"/>
    <w:rsid w:val="00330DC7"/>
    <w:rsid w:val="00335072"/>
    <w:rsid w:val="00336653"/>
    <w:rsid w:val="00344B01"/>
    <w:rsid w:val="00350397"/>
    <w:rsid w:val="0035191A"/>
    <w:rsid w:val="00351EC1"/>
    <w:rsid w:val="00352549"/>
    <w:rsid w:val="003549D2"/>
    <w:rsid w:val="003569ED"/>
    <w:rsid w:val="003572B1"/>
    <w:rsid w:val="0036098E"/>
    <w:rsid w:val="003639FE"/>
    <w:rsid w:val="00364153"/>
    <w:rsid w:val="0036562E"/>
    <w:rsid w:val="00380B61"/>
    <w:rsid w:val="00384028"/>
    <w:rsid w:val="00386562"/>
    <w:rsid w:val="003922EA"/>
    <w:rsid w:val="003A03E6"/>
    <w:rsid w:val="003A14DE"/>
    <w:rsid w:val="003B45CF"/>
    <w:rsid w:val="003B6A08"/>
    <w:rsid w:val="003B6B39"/>
    <w:rsid w:val="003D0DA1"/>
    <w:rsid w:val="003D1D81"/>
    <w:rsid w:val="003D35D9"/>
    <w:rsid w:val="003D46C4"/>
    <w:rsid w:val="003D5C40"/>
    <w:rsid w:val="003F235A"/>
    <w:rsid w:val="003F357E"/>
    <w:rsid w:val="003F40E1"/>
    <w:rsid w:val="00403B0D"/>
    <w:rsid w:val="00417F8F"/>
    <w:rsid w:val="004333ED"/>
    <w:rsid w:val="004364B8"/>
    <w:rsid w:val="00437812"/>
    <w:rsid w:val="00437A3B"/>
    <w:rsid w:val="00437B9A"/>
    <w:rsid w:val="004425B2"/>
    <w:rsid w:val="00447F1D"/>
    <w:rsid w:val="00453263"/>
    <w:rsid w:val="00457160"/>
    <w:rsid w:val="00457793"/>
    <w:rsid w:val="00462382"/>
    <w:rsid w:val="00465967"/>
    <w:rsid w:val="00475E05"/>
    <w:rsid w:val="00480446"/>
    <w:rsid w:val="00485B74"/>
    <w:rsid w:val="004962AA"/>
    <w:rsid w:val="004977F6"/>
    <w:rsid w:val="00497D6D"/>
    <w:rsid w:val="00497ED9"/>
    <w:rsid w:val="004A7487"/>
    <w:rsid w:val="004B0F84"/>
    <w:rsid w:val="004B64BD"/>
    <w:rsid w:val="004C1A1A"/>
    <w:rsid w:val="004C6FD0"/>
    <w:rsid w:val="004D0E76"/>
    <w:rsid w:val="004D1227"/>
    <w:rsid w:val="004D4AF7"/>
    <w:rsid w:val="004D5F7D"/>
    <w:rsid w:val="004D6237"/>
    <w:rsid w:val="004D7EFD"/>
    <w:rsid w:val="004E79EC"/>
    <w:rsid w:val="004F741A"/>
    <w:rsid w:val="00511E94"/>
    <w:rsid w:val="00525591"/>
    <w:rsid w:val="00525EF6"/>
    <w:rsid w:val="00532743"/>
    <w:rsid w:val="005415C5"/>
    <w:rsid w:val="00551EC0"/>
    <w:rsid w:val="00552636"/>
    <w:rsid w:val="0055534A"/>
    <w:rsid w:val="00556C1D"/>
    <w:rsid w:val="0056134A"/>
    <w:rsid w:val="00561D9B"/>
    <w:rsid w:val="00563890"/>
    <w:rsid w:val="00577D18"/>
    <w:rsid w:val="005837D7"/>
    <w:rsid w:val="005917A0"/>
    <w:rsid w:val="00592C2B"/>
    <w:rsid w:val="005973FB"/>
    <w:rsid w:val="005A2B9F"/>
    <w:rsid w:val="005A593E"/>
    <w:rsid w:val="005B033F"/>
    <w:rsid w:val="005B5F17"/>
    <w:rsid w:val="005D11B4"/>
    <w:rsid w:val="005D5905"/>
    <w:rsid w:val="005D599D"/>
    <w:rsid w:val="005E253A"/>
    <w:rsid w:val="005F0BD0"/>
    <w:rsid w:val="005F79A5"/>
    <w:rsid w:val="0061760E"/>
    <w:rsid w:val="00633321"/>
    <w:rsid w:val="00634A4D"/>
    <w:rsid w:val="00647DD6"/>
    <w:rsid w:val="00650425"/>
    <w:rsid w:val="0065125E"/>
    <w:rsid w:val="0067016B"/>
    <w:rsid w:val="006707C0"/>
    <w:rsid w:val="00683105"/>
    <w:rsid w:val="00683617"/>
    <w:rsid w:val="006911B1"/>
    <w:rsid w:val="0069220B"/>
    <w:rsid w:val="00696C65"/>
    <w:rsid w:val="006B6AC7"/>
    <w:rsid w:val="006B6BF0"/>
    <w:rsid w:val="006E5088"/>
    <w:rsid w:val="006E6402"/>
    <w:rsid w:val="006F5E1F"/>
    <w:rsid w:val="006F6BE0"/>
    <w:rsid w:val="00710C24"/>
    <w:rsid w:val="00711C32"/>
    <w:rsid w:val="00713939"/>
    <w:rsid w:val="00717EDC"/>
    <w:rsid w:val="007201E0"/>
    <w:rsid w:val="007206AA"/>
    <w:rsid w:val="00721BAD"/>
    <w:rsid w:val="0072236B"/>
    <w:rsid w:val="0073682D"/>
    <w:rsid w:val="00736F55"/>
    <w:rsid w:val="00747C65"/>
    <w:rsid w:val="00754D52"/>
    <w:rsid w:val="007555C2"/>
    <w:rsid w:val="00761B2A"/>
    <w:rsid w:val="00762517"/>
    <w:rsid w:val="007669BE"/>
    <w:rsid w:val="00772174"/>
    <w:rsid w:val="00772F13"/>
    <w:rsid w:val="0077444B"/>
    <w:rsid w:val="00793331"/>
    <w:rsid w:val="007A4427"/>
    <w:rsid w:val="007A55E1"/>
    <w:rsid w:val="007A6B97"/>
    <w:rsid w:val="007B6FC5"/>
    <w:rsid w:val="007C7AE1"/>
    <w:rsid w:val="007D2C5E"/>
    <w:rsid w:val="007E74A4"/>
    <w:rsid w:val="007F7F37"/>
    <w:rsid w:val="008039CF"/>
    <w:rsid w:val="00804F0B"/>
    <w:rsid w:val="008061B9"/>
    <w:rsid w:val="00817D04"/>
    <w:rsid w:val="0082159A"/>
    <w:rsid w:val="00821C83"/>
    <w:rsid w:val="008247E7"/>
    <w:rsid w:val="00825621"/>
    <w:rsid w:val="00835916"/>
    <w:rsid w:val="00837488"/>
    <w:rsid w:val="008412BE"/>
    <w:rsid w:val="008421B5"/>
    <w:rsid w:val="008467C6"/>
    <w:rsid w:val="00846B91"/>
    <w:rsid w:val="008522C3"/>
    <w:rsid w:val="00853D2A"/>
    <w:rsid w:val="0085724A"/>
    <w:rsid w:val="00864334"/>
    <w:rsid w:val="00870A99"/>
    <w:rsid w:val="0087235E"/>
    <w:rsid w:val="00881106"/>
    <w:rsid w:val="00883A7C"/>
    <w:rsid w:val="00884A16"/>
    <w:rsid w:val="00885C66"/>
    <w:rsid w:val="00893EC1"/>
    <w:rsid w:val="008A3652"/>
    <w:rsid w:val="008B48C1"/>
    <w:rsid w:val="008B7779"/>
    <w:rsid w:val="008C405C"/>
    <w:rsid w:val="008C444F"/>
    <w:rsid w:val="008C6A4F"/>
    <w:rsid w:val="008C7AB9"/>
    <w:rsid w:val="008D55AC"/>
    <w:rsid w:val="008D586C"/>
    <w:rsid w:val="008D6B7C"/>
    <w:rsid w:val="008E7234"/>
    <w:rsid w:val="008F250B"/>
    <w:rsid w:val="008F636B"/>
    <w:rsid w:val="00900AE0"/>
    <w:rsid w:val="00901F66"/>
    <w:rsid w:val="00906F5C"/>
    <w:rsid w:val="00910FD6"/>
    <w:rsid w:val="009202B0"/>
    <w:rsid w:val="0092048A"/>
    <w:rsid w:val="009220E0"/>
    <w:rsid w:val="0092780B"/>
    <w:rsid w:val="00940364"/>
    <w:rsid w:val="0094140F"/>
    <w:rsid w:val="0094318A"/>
    <w:rsid w:val="00944DC3"/>
    <w:rsid w:val="00947160"/>
    <w:rsid w:val="00950020"/>
    <w:rsid w:val="009504F2"/>
    <w:rsid w:val="00954ACE"/>
    <w:rsid w:val="00964FC3"/>
    <w:rsid w:val="00974850"/>
    <w:rsid w:val="00976AC3"/>
    <w:rsid w:val="00983835"/>
    <w:rsid w:val="00990E40"/>
    <w:rsid w:val="009A02C5"/>
    <w:rsid w:val="009A25B8"/>
    <w:rsid w:val="009A2DBC"/>
    <w:rsid w:val="009A45B4"/>
    <w:rsid w:val="009B0850"/>
    <w:rsid w:val="009B36FA"/>
    <w:rsid w:val="009B558C"/>
    <w:rsid w:val="009B786E"/>
    <w:rsid w:val="009C0F20"/>
    <w:rsid w:val="009C2EEF"/>
    <w:rsid w:val="009C43F2"/>
    <w:rsid w:val="009D18EC"/>
    <w:rsid w:val="009D3A1C"/>
    <w:rsid w:val="009E099D"/>
    <w:rsid w:val="009E2C80"/>
    <w:rsid w:val="009F0B17"/>
    <w:rsid w:val="009F5D21"/>
    <w:rsid w:val="009F6E84"/>
    <w:rsid w:val="009F7E90"/>
    <w:rsid w:val="00A03CA8"/>
    <w:rsid w:val="00A05B25"/>
    <w:rsid w:val="00A05E2B"/>
    <w:rsid w:val="00A05ED4"/>
    <w:rsid w:val="00A07768"/>
    <w:rsid w:val="00A175D3"/>
    <w:rsid w:val="00A17854"/>
    <w:rsid w:val="00A23EA5"/>
    <w:rsid w:val="00A26B48"/>
    <w:rsid w:val="00A320CC"/>
    <w:rsid w:val="00A47B3B"/>
    <w:rsid w:val="00A61672"/>
    <w:rsid w:val="00A61AF9"/>
    <w:rsid w:val="00A77AA3"/>
    <w:rsid w:val="00A921EE"/>
    <w:rsid w:val="00AA0945"/>
    <w:rsid w:val="00AA36FF"/>
    <w:rsid w:val="00AA4CFF"/>
    <w:rsid w:val="00AC1963"/>
    <w:rsid w:val="00AC28FC"/>
    <w:rsid w:val="00AC4E74"/>
    <w:rsid w:val="00AD0D95"/>
    <w:rsid w:val="00AD4859"/>
    <w:rsid w:val="00AE0C17"/>
    <w:rsid w:val="00AE4C70"/>
    <w:rsid w:val="00AE7055"/>
    <w:rsid w:val="00B0136F"/>
    <w:rsid w:val="00B03405"/>
    <w:rsid w:val="00B14286"/>
    <w:rsid w:val="00B163C4"/>
    <w:rsid w:val="00B25AC3"/>
    <w:rsid w:val="00B31FF3"/>
    <w:rsid w:val="00B42C0A"/>
    <w:rsid w:val="00B51AD9"/>
    <w:rsid w:val="00B5620D"/>
    <w:rsid w:val="00B56293"/>
    <w:rsid w:val="00B5798A"/>
    <w:rsid w:val="00B636B3"/>
    <w:rsid w:val="00B65903"/>
    <w:rsid w:val="00B65E8A"/>
    <w:rsid w:val="00B77163"/>
    <w:rsid w:val="00B84DBC"/>
    <w:rsid w:val="00B86858"/>
    <w:rsid w:val="00B920B1"/>
    <w:rsid w:val="00B931A3"/>
    <w:rsid w:val="00B94BDA"/>
    <w:rsid w:val="00BA1D9E"/>
    <w:rsid w:val="00BA3A04"/>
    <w:rsid w:val="00BA5ABD"/>
    <w:rsid w:val="00BB1F21"/>
    <w:rsid w:val="00BB6C07"/>
    <w:rsid w:val="00BC02B7"/>
    <w:rsid w:val="00BC0584"/>
    <w:rsid w:val="00BC7A4F"/>
    <w:rsid w:val="00BD14EC"/>
    <w:rsid w:val="00BD1DD7"/>
    <w:rsid w:val="00BD54D2"/>
    <w:rsid w:val="00BD5C98"/>
    <w:rsid w:val="00BE5D1D"/>
    <w:rsid w:val="00BF0787"/>
    <w:rsid w:val="00BF152E"/>
    <w:rsid w:val="00C05EBF"/>
    <w:rsid w:val="00C14004"/>
    <w:rsid w:val="00C23187"/>
    <w:rsid w:val="00C27BD3"/>
    <w:rsid w:val="00C35187"/>
    <w:rsid w:val="00C35966"/>
    <w:rsid w:val="00C37428"/>
    <w:rsid w:val="00C41803"/>
    <w:rsid w:val="00C41D45"/>
    <w:rsid w:val="00C42CE8"/>
    <w:rsid w:val="00C5053D"/>
    <w:rsid w:val="00C55487"/>
    <w:rsid w:val="00C56C74"/>
    <w:rsid w:val="00C57775"/>
    <w:rsid w:val="00C64220"/>
    <w:rsid w:val="00C64B25"/>
    <w:rsid w:val="00C65C78"/>
    <w:rsid w:val="00C65F86"/>
    <w:rsid w:val="00C70B36"/>
    <w:rsid w:val="00C71048"/>
    <w:rsid w:val="00C77953"/>
    <w:rsid w:val="00CA3E65"/>
    <w:rsid w:val="00CB62C3"/>
    <w:rsid w:val="00CC2BC8"/>
    <w:rsid w:val="00CD78F8"/>
    <w:rsid w:val="00CE01DD"/>
    <w:rsid w:val="00CE2259"/>
    <w:rsid w:val="00CE644D"/>
    <w:rsid w:val="00CF3F09"/>
    <w:rsid w:val="00D02D59"/>
    <w:rsid w:val="00D1634D"/>
    <w:rsid w:val="00D23058"/>
    <w:rsid w:val="00D27D42"/>
    <w:rsid w:val="00D30BC6"/>
    <w:rsid w:val="00D31D3F"/>
    <w:rsid w:val="00D37F8F"/>
    <w:rsid w:val="00D42463"/>
    <w:rsid w:val="00D51410"/>
    <w:rsid w:val="00D53B0D"/>
    <w:rsid w:val="00D55553"/>
    <w:rsid w:val="00D56F52"/>
    <w:rsid w:val="00D57C71"/>
    <w:rsid w:val="00D62AEC"/>
    <w:rsid w:val="00D64E32"/>
    <w:rsid w:val="00D679F2"/>
    <w:rsid w:val="00D75989"/>
    <w:rsid w:val="00D85F07"/>
    <w:rsid w:val="00D90CD5"/>
    <w:rsid w:val="00D949AC"/>
    <w:rsid w:val="00DA0162"/>
    <w:rsid w:val="00DA024D"/>
    <w:rsid w:val="00DA4147"/>
    <w:rsid w:val="00DA5C5F"/>
    <w:rsid w:val="00DB1666"/>
    <w:rsid w:val="00DB6F3A"/>
    <w:rsid w:val="00DC6899"/>
    <w:rsid w:val="00DD2A86"/>
    <w:rsid w:val="00DE394B"/>
    <w:rsid w:val="00DF5456"/>
    <w:rsid w:val="00DF6BF8"/>
    <w:rsid w:val="00E01E0A"/>
    <w:rsid w:val="00E03FAA"/>
    <w:rsid w:val="00E041E5"/>
    <w:rsid w:val="00E073FE"/>
    <w:rsid w:val="00E24F77"/>
    <w:rsid w:val="00E26740"/>
    <w:rsid w:val="00E30E11"/>
    <w:rsid w:val="00E37BAD"/>
    <w:rsid w:val="00E43AA1"/>
    <w:rsid w:val="00E44E06"/>
    <w:rsid w:val="00E46B33"/>
    <w:rsid w:val="00E506A6"/>
    <w:rsid w:val="00E6531F"/>
    <w:rsid w:val="00E729FD"/>
    <w:rsid w:val="00E824D6"/>
    <w:rsid w:val="00E868E1"/>
    <w:rsid w:val="00EA38BA"/>
    <w:rsid w:val="00EB4C6E"/>
    <w:rsid w:val="00EC577B"/>
    <w:rsid w:val="00ED3D50"/>
    <w:rsid w:val="00EE0F68"/>
    <w:rsid w:val="00EE7278"/>
    <w:rsid w:val="00EF3276"/>
    <w:rsid w:val="00F00F11"/>
    <w:rsid w:val="00F01482"/>
    <w:rsid w:val="00F01B67"/>
    <w:rsid w:val="00F16C11"/>
    <w:rsid w:val="00F16D2A"/>
    <w:rsid w:val="00F31F85"/>
    <w:rsid w:val="00F43AB1"/>
    <w:rsid w:val="00F465C9"/>
    <w:rsid w:val="00F51ADB"/>
    <w:rsid w:val="00F531BA"/>
    <w:rsid w:val="00F5691B"/>
    <w:rsid w:val="00F617E0"/>
    <w:rsid w:val="00F62496"/>
    <w:rsid w:val="00F63AB0"/>
    <w:rsid w:val="00F70008"/>
    <w:rsid w:val="00F70CC2"/>
    <w:rsid w:val="00F74117"/>
    <w:rsid w:val="00F7582F"/>
    <w:rsid w:val="00F75C93"/>
    <w:rsid w:val="00F760B3"/>
    <w:rsid w:val="00F8235E"/>
    <w:rsid w:val="00F83074"/>
    <w:rsid w:val="00F940C9"/>
    <w:rsid w:val="00F97837"/>
    <w:rsid w:val="00FA3E8D"/>
    <w:rsid w:val="00FB0CC7"/>
    <w:rsid w:val="00FB5359"/>
    <w:rsid w:val="00FB65A2"/>
    <w:rsid w:val="00FC03AF"/>
    <w:rsid w:val="00FE6474"/>
    <w:rsid w:val="00FE7AD3"/>
    <w:rsid w:val="00FF5FC9"/>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ADEF11"/>
  <w15:docId w15:val="{FBCEF074-BDC3-440B-8FA0-342B3E3A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1ADB"/>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4364B8"/>
    <w:pPr>
      <w:keepNext/>
      <w:outlineLvl w:val="0"/>
    </w:pPr>
    <w:rPr>
      <w:b/>
    </w:rPr>
  </w:style>
  <w:style w:type="paragraph" w:styleId="Antrat2">
    <w:name w:val="heading 2"/>
    <w:basedOn w:val="prastasis"/>
    <w:next w:val="prastasis"/>
    <w:link w:val="Antrat2Diagrama"/>
    <w:autoRedefine/>
    <w:unhideWhenUsed/>
    <w:qFormat/>
    <w:rsid w:val="001209DE"/>
    <w:pPr>
      <w:keepNext/>
      <w:outlineLvl w:val="1"/>
    </w:pPr>
    <w:rPr>
      <w:b/>
    </w:rPr>
  </w:style>
  <w:style w:type="paragraph" w:styleId="Antrat3">
    <w:name w:val="heading 3"/>
    <w:basedOn w:val="prastasis"/>
    <w:next w:val="prastasis"/>
    <w:link w:val="Antrat3Diagrama"/>
    <w:autoRedefine/>
    <w:unhideWhenUsed/>
    <w:qFormat/>
    <w:rsid w:val="001209DE"/>
    <w:pPr>
      <w:keepNext/>
      <w:outlineLvl w:val="2"/>
    </w:pPr>
    <w:rPr>
      <w:b/>
    </w:rPr>
  </w:style>
  <w:style w:type="paragraph" w:styleId="Antrat4">
    <w:name w:val="heading 4"/>
    <w:basedOn w:val="prastasis"/>
    <w:next w:val="prastasis"/>
    <w:link w:val="Antrat4Diagrama"/>
    <w:unhideWhenUsed/>
    <w:qFormat/>
    <w:rsid w:val="001209DE"/>
    <w:pPr>
      <w:keepNext/>
      <w:jc w:val="both"/>
      <w:outlineLvl w:val="3"/>
    </w:pPr>
    <w:rPr>
      <w:u w:val="single"/>
    </w:rPr>
  </w:style>
  <w:style w:type="paragraph" w:styleId="Antrat5">
    <w:name w:val="heading 5"/>
    <w:basedOn w:val="prastasis"/>
    <w:next w:val="prastasis"/>
    <w:link w:val="Antrat5Diagrama"/>
    <w:unhideWhenUsed/>
    <w:qFormat/>
    <w:rsid w:val="001209DE"/>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unhideWhenUsed/>
    <w:qFormat/>
    <w:rsid w:val="001209DE"/>
    <w:pPr>
      <w:keepNext/>
      <w:ind w:right="278"/>
      <w:jc w:val="both"/>
      <w:outlineLvl w:val="5"/>
    </w:pPr>
    <w:rPr>
      <w:i/>
    </w:rPr>
  </w:style>
  <w:style w:type="paragraph" w:styleId="Antrat7">
    <w:name w:val="heading 7"/>
    <w:basedOn w:val="prastasis"/>
    <w:next w:val="prastasis"/>
    <w:link w:val="Antrat7Diagrama"/>
    <w:unhideWhenUsed/>
    <w:qFormat/>
    <w:rsid w:val="001209DE"/>
    <w:pPr>
      <w:keepNext/>
      <w:spacing w:before="120"/>
      <w:ind w:right="278"/>
      <w:jc w:val="both"/>
      <w:outlineLvl w:val="6"/>
    </w:pPr>
    <w:rPr>
      <w:b/>
      <w:bCs/>
    </w:rPr>
  </w:style>
  <w:style w:type="paragraph" w:styleId="Antrat8">
    <w:name w:val="heading 8"/>
    <w:basedOn w:val="prastasis"/>
    <w:next w:val="prastasis"/>
    <w:link w:val="Antrat8Diagrama"/>
    <w:unhideWhenUsed/>
    <w:qFormat/>
    <w:rsid w:val="001209DE"/>
    <w:pPr>
      <w:keepNext/>
      <w:ind w:right="278"/>
      <w:jc w:val="both"/>
      <w:outlineLvl w:val="7"/>
    </w:pPr>
    <w:rPr>
      <w:b/>
      <w:bCs/>
      <w:i/>
      <w:iCs/>
    </w:rPr>
  </w:style>
  <w:style w:type="paragraph" w:styleId="Antrat9">
    <w:name w:val="heading 9"/>
    <w:basedOn w:val="prastasis"/>
    <w:next w:val="prastasis"/>
    <w:link w:val="Antrat9Diagrama"/>
    <w:semiHidden/>
    <w:unhideWhenUsed/>
    <w:qFormat/>
    <w:rsid w:val="004364B8"/>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64B8"/>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4364B8"/>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4364B8"/>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4364B8"/>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4364B8"/>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4364B8"/>
    <w:rPr>
      <w:rFonts w:ascii="Times New Roman" w:eastAsia="Times New Roman" w:hAnsi="Times New Roman" w:cs="Times New Roman"/>
      <w:i/>
      <w:szCs w:val="20"/>
      <w:lang w:eastAsia="lt-LT"/>
    </w:rPr>
  </w:style>
  <w:style w:type="character" w:customStyle="1" w:styleId="Antrat7Diagrama">
    <w:name w:val="Antraštė 7 Diagrama"/>
    <w:basedOn w:val="Numatytasispastraiposriftas"/>
    <w:link w:val="Antrat7"/>
    <w:rsid w:val="004364B8"/>
    <w:rPr>
      <w:rFonts w:ascii="Times New Roman" w:eastAsia="Times New Roman" w:hAnsi="Times New Roman" w:cs="Times New Roman"/>
      <w:b/>
      <w:bCs/>
      <w:szCs w:val="20"/>
      <w:lang w:eastAsia="lt-LT"/>
    </w:rPr>
  </w:style>
  <w:style w:type="character" w:customStyle="1" w:styleId="Antrat8Diagrama">
    <w:name w:val="Antraštė 8 Diagrama"/>
    <w:basedOn w:val="Numatytasispastraiposriftas"/>
    <w:link w:val="Antrat8"/>
    <w:rsid w:val="004364B8"/>
    <w:rPr>
      <w:rFonts w:ascii="Times New Roman" w:eastAsia="Times New Roman" w:hAnsi="Times New Roman" w:cs="Times New Roman"/>
      <w:b/>
      <w:bCs/>
      <w:i/>
      <w:iCs/>
      <w:szCs w:val="20"/>
      <w:lang w:eastAsia="lt-LT"/>
    </w:rPr>
  </w:style>
  <w:style w:type="character" w:customStyle="1" w:styleId="Antrat9Diagrama">
    <w:name w:val="Antraštė 9 Diagrama"/>
    <w:basedOn w:val="Numatytasispastraiposriftas"/>
    <w:link w:val="Antrat9"/>
    <w:semiHidden/>
    <w:rsid w:val="004364B8"/>
    <w:rPr>
      <w:rFonts w:ascii="Cambria" w:eastAsia="Times New Roman" w:hAnsi="Cambria" w:cs="Times New Roman"/>
      <w:lang w:eastAsia="lt-LT"/>
    </w:rPr>
  </w:style>
  <w:style w:type="character" w:styleId="Hipersaitas">
    <w:name w:val="Hyperlink"/>
    <w:unhideWhenUsed/>
    <w:rsid w:val="001209DE"/>
    <w:rPr>
      <w:rFonts w:ascii="Times New Roman" w:hAnsi="Times New Roman" w:cs="Times New Roman" w:hint="default"/>
      <w:color w:val="0000FF"/>
      <w:u w:val="single"/>
    </w:rPr>
  </w:style>
  <w:style w:type="character" w:styleId="Perirtashipersaitas">
    <w:name w:val="FollowedHyperlink"/>
    <w:unhideWhenUsed/>
    <w:rsid w:val="001209DE"/>
    <w:rPr>
      <w:rFonts w:ascii="Times New Roman" w:hAnsi="Times New Roman" w:cs="Times New Roman" w:hint="default"/>
      <w:color w:val="800080"/>
      <w:u w:val="single"/>
    </w:rPr>
  </w:style>
  <w:style w:type="paragraph" w:styleId="prastasiniatinklio">
    <w:name w:val="Normal (Web)"/>
    <w:basedOn w:val="prastasis"/>
    <w:unhideWhenUsed/>
    <w:rsid w:val="001209DE"/>
    <w:pPr>
      <w:spacing w:before="100" w:beforeAutospacing="1" w:after="100" w:afterAutospacing="1"/>
    </w:pPr>
    <w:rPr>
      <w:sz w:val="24"/>
      <w:szCs w:val="24"/>
    </w:rPr>
  </w:style>
  <w:style w:type="paragraph" w:styleId="prastojitrauka">
    <w:name w:val="Normal Indent"/>
    <w:basedOn w:val="prastasis"/>
    <w:unhideWhenUsed/>
    <w:rsid w:val="001209DE"/>
    <w:pPr>
      <w:spacing w:after="120"/>
      <w:ind w:left="720"/>
    </w:pPr>
    <w:rPr>
      <w:szCs w:val="22"/>
      <w:lang w:val="en-GB" w:eastAsia="en-GB"/>
    </w:rPr>
  </w:style>
  <w:style w:type="paragraph" w:styleId="Puslapioinaostekstas">
    <w:name w:val="footnote text"/>
    <w:basedOn w:val="prastasis"/>
    <w:next w:val="prastasis"/>
    <w:link w:val="PuslapioinaostekstasDiagrama"/>
    <w:semiHidden/>
    <w:unhideWhenUsed/>
    <w:rsid w:val="001209DE"/>
    <w:rPr>
      <w:rFonts w:ascii="TimesLT" w:hAnsi="TimesLT"/>
      <w:sz w:val="20"/>
      <w:lang w:val="en-GB"/>
    </w:rPr>
  </w:style>
  <w:style w:type="character" w:customStyle="1" w:styleId="PuslapioinaostekstasDiagrama">
    <w:name w:val="Puslapio išnašos tekstas Diagrama"/>
    <w:basedOn w:val="Numatytasispastraiposriftas"/>
    <w:link w:val="Puslapioinaostekstas"/>
    <w:semiHidden/>
    <w:rsid w:val="004364B8"/>
    <w:rPr>
      <w:rFonts w:ascii="TimesLT" w:eastAsia="Times New Roman" w:hAnsi="TimesLT" w:cs="Times New Roman"/>
      <w:sz w:val="20"/>
      <w:szCs w:val="20"/>
      <w:lang w:val="en-GB" w:eastAsia="lt-LT"/>
    </w:rPr>
  </w:style>
  <w:style w:type="paragraph" w:styleId="Komentarotekstas">
    <w:name w:val="annotation text"/>
    <w:basedOn w:val="prastasis"/>
    <w:link w:val="KomentarotekstasDiagrama"/>
    <w:uiPriority w:val="99"/>
    <w:unhideWhenUsed/>
    <w:rsid w:val="001209DE"/>
    <w:rPr>
      <w:sz w:val="20"/>
    </w:rPr>
  </w:style>
  <w:style w:type="character" w:customStyle="1" w:styleId="KomentarotekstasDiagrama">
    <w:name w:val="Komentaro tekstas Diagrama"/>
    <w:basedOn w:val="Numatytasispastraiposriftas"/>
    <w:link w:val="Komentarotekstas"/>
    <w:uiPriority w:val="99"/>
    <w:rsid w:val="004364B8"/>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1209DE"/>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4364B8"/>
    <w:rPr>
      <w:rFonts w:ascii="Times New Roman" w:eastAsia="Times New Roman" w:hAnsi="Times New Roman" w:cs="Times New Roman"/>
      <w:sz w:val="24"/>
      <w:szCs w:val="24"/>
    </w:rPr>
  </w:style>
  <w:style w:type="paragraph" w:styleId="Porat">
    <w:name w:val="footer"/>
    <w:basedOn w:val="prastasis"/>
    <w:link w:val="PoratDiagrama"/>
    <w:unhideWhenUsed/>
    <w:rsid w:val="001209DE"/>
    <w:pPr>
      <w:tabs>
        <w:tab w:val="center" w:pos="4153"/>
        <w:tab w:val="right" w:pos="8306"/>
      </w:tabs>
    </w:pPr>
  </w:style>
  <w:style w:type="character" w:customStyle="1" w:styleId="PoratDiagrama">
    <w:name w:val="Poraštė Diagrama"/>
    <w:basedOn w:val="Numatytasispastraiposriftas"/>
    <w:link w:val="Porat"/>
    <w:rsid w:val="004364B8"/>
    <w:rPr>
      <w:rFonts w:ascii="Times New Roman" w:eastAsia="Times New Roman" w:hAnsi="Times New Roman" w:cs="Times New Roman"/>
      <w:szCs w:val="20"/>
      <w:lang w:eastAsia="lt-LT"/>
    </w:rPr>
  </w:style>
  <w:style w:type="paragraph" w:styleId="Dokumentoinaostekstas">
    <w:name w:val="endnote text"/>
    <w:basedOn w:val="prastasis"/>
    <w:next w:val="prastasis"/>
    <w:link w:val="DokumentoinaostekstasDiagrama"/>
    <w:semiHidden/>
    <w:unhideWhenUsed/>
    <w:rsid w:val="001209DE"/>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4364B8"/>
    <w:rPr>
      <w:rFonts w:ascii="Times New Roman" w:eastAsia="Times New Roman" w:hAnsi="Times New Roman" w:cs="Times New Roman"/>
      <w:szCs w:val="20"/>
      <w:lang w:val="cs-CZ"/>
    </w:rPr>
  </w:style>
  <w:style w:type="paragraph" w:styleId="Pavadinimas">
    <w:name w:val="Title"/>
    <w:basedOn w:val="prastasis"/>
    <w:link w:val="PavadinimasDiagrama"/>
    <w:autoRedefine/>
    <w:qFormat/>
    <w:rsid w:val="004364B8"/>
    <w:pPr>
      <w:jc w:val="center"/>
      <w:outlineLvl w:val="0"/>
    </w:pPr>
    <w:rPr>
      <w:b/>
      <w:kern w:val="28"/>
    </w:rPr>
  </w:style>
  <w:style w:type="character" w:customStyle="1" w:styleId="PavadinimasDiagrama">
    <w:name w:val="Pavadinimas Diagrama"/>
    <w:basedOn w:val="Numatytasispastraiposriftas"/>
    <w:link w:val="Pavadinimas"/>
    <w:rsid w:val="004364B8"/>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1209DE"/>
    <w:pPr>
      <w:spacing w:after="120"/>
    </w:pPr>
  </w:style>
  <w:style w:type="character" w:customStyle="1" w:styleId="PagrindinistekstasDiagrama">
    <w:name w:val="Pagrindinis tekstas Diagrama"/>
    <w:basedOn w:val="Numatytasispastraiposriftas"/>
    <w:link w:val="Pagrindinistekstas"/>
    <w:rsid w:val="004364B8"/>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nhideWhenUsed/>
    <w:rsid w:val="001209DE"/>
    <w:pPr>
      <w:ind w:left="567" w:hanging="567"/>
    </w:pPr>
    <w:rPr>
      <w:b/>
      <w:color w:val="808080"/>
      <w:lang w:val="cs-CZ" w:eastAsia="en-US"/>
    </w:rPr>
  </w:style>
  <w:style w:type="character" w:customStyle="1" w:styleId="PagrindiniotekstotraukaDiagrama">
    <w:name w:val="Pagrindinio teksto įtrauka Diagrama"/>
    <w:basedOn w:val="Numatytasispastraiposriftas"/>
    <w:link w:val="Pagrindiniotekstotrauka"/>
    <w:rsid w:val="004364B8"/>
    <w:rPr>
      <w:rFonts w:ascii="Times New Roman" w:eastAsia="Times New Roman" w:hAnsi="Times New Roman" w:cs="Times New Roman"/>
      <w:b/>
      <w:color w:val="808080"/>
      <w:szCs w:val="20"/>
      <w:lang w:val="cs-CZ"/>
    </w:rPr>
  </w:style>
  <w:style w:type="paragraph" w:styleId="Paantrat">
    <w:name w:val="Subtitle"/>
    <w:basedOn w:val="prastasis"/>
    <w:link w:val="PaantratDiagrama"/>
    <w:qFormat/>
    <w:rsid w:val="004364B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4364B8"/>
    <w:rPr>
      <w:rFonts w:ascii="TimesNewRoman,Bold" w:eastAsia="Times New Roman" w:hAnsi="TimesNewRoman,Bold" w:cs="Times New Roman"/>
      <w:b/>
      <w:color w:val="000000"/>
      <w:szCs w:val="20"/>
      <w:lang w:val="en-US" w:eastAsia="lt-LT"/>
    </w:rPr>
  </w:style>
  <w:style w:type="paragraph" w:styleId="Pagrindinistekstas2">
    <w:name w:val="Body Text 2"/>
    <w:basedOn w:val="prastasis"/>
    <w:link w:val="Pagrindinistekstas2Diagrama"/>
    <w:unhideWhenUsed/>
    <w:rsid w:val="001209DE"/>
    <w:pPr>
      <w:spacing w:after="120" w:line="480" w:lineRule="auto"/>
    </w:pPr>
  </w:style>
  <w:style w:type="character" w:customStyle="1" w:styleId="Pagrindinistekstas2Diagrama">
    <w:name w:val="Pagrindinis tekstas 2 Diagrama"/>
    <w:basedOn w:val="Numatytasispastraiposriftas"/>
    <w:link w:val="Pagrindinistekstas2"/>
    <w:rsid w:val="004364B8"/>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nhideWhenUsed/>
    <w:rsid w:val="001209DE"/>
    <w:pPr>
      <w:tabs>
        <w:tab w:val="left" w:pos="567"/>
      </w:tabs>
      <w:spacing w:line="260" w:lineRule="exact"/>
      <w:jc w:val="both"/>
    </w:pPr>
    <w:rPr>
      <w:b/>
      <w:i/>
      <w:lang w:val="cs-CZ" w:eastAsia="en-US"/>
    </w:rPr>
  </w:style>
  <w:style w:type="character" w:customStyle="1" w:styleId="Pagrindinistekstas3Diagrama">
    <w:name w:val="Pagrindinis tekstas 3 Diagrama"/>
    <w:basedOn w:val="Numatytasispastraiposriftas"/>
    <w:link w:val="Pagrindinistekstas3"/>
    <w:rsid w:val="004364B8"/>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unhideWhenUsed/>
    <w:rsid w:val="001209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basedOn w:val="Numatytasispastraiposriftas"/>
    <w:link w:val="Pagrindiniotekstotrauka2"/>
    <w:rsid w:val="004364B8"/>
    <w:rPr>
      <w:rFonts w:ascii="Times New Roman" w:eastAsia="Times New Roman" w:hAnsi="Times New Roman" w:cs="Times New Roman"/>
      <w:color w:val="000000"/>
      <w:szCs w:val="24"/>
      <w:lang w:eastAsia="ar-SA"/>
    </w:rPr>
  </w:style>
  <w:style w:type="paragraph" w:styleId="Dokumentostruktra">
    <w:name w:val="Document Map"/>
    <w:basedOn w:val="prastasis"/>
    <w:link w:val="DokumentostruktraDiagrama"/>
    <w:semiHidden/>
    <w:unhideWhenUsed/>
    <w:rsid w:val="001209DE"/>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4364B8"/>
    <w:rPr>
      <w:rFonts w:ascii="Tahoma" w:eastAsia="Times New Roman" w:hAnsi="Tahoma" w:cs="Times New Roman"/>
      <w:szCs w:val="20"/>
      <w:shd w:val="clear" w:color="auto" w:fill="000080"/>
      <w:lang w:eastAsia="lt-LT"/>
    </w:rPr>
  </w:style>
  <w:style w:type="paragraph" w:styleId="Paprastasistekstas">
    <w:name w:val="Plain Text"/>
    <w:basedOn w:val="prastasis"/>
    <w:link w:val="PaprastasistekstasDiagrama"/>
    <w:unhideWhenUsed/>
    <w:rsid w:val="001209DE"/>
    <w:rPr>
      <w:rFonts w:ascii="Courier" w:hAnsi="Courier"/>
      <w:sz w:val="24"/>
      <w:lang w:val="en-US" w:eastAsia="en-US"/>
    </w:rPr>
  </w:style>
  <w:style w:type="character" w:customStyle="1" w:styleId="PaprastasistekstasDiagrama">
    <w:name w:val="Paprastasis tekstas Diagrama"/>
    <w:basedOn w:val="Numatytasispastraiposriftas"/>
    <w:link w:val="Paprastasistekstas"/>
    <w:rsid w:val="004364B8"/>
    <w:rPr>
      <w:rFonts w:ascii="Courier" w:eastAsia="Times New Roman" w:hAnsi="Courier" w:cs="Times New Roman"/>
      <w:sz w:val="24"/>
      <w:szCs w:val="20"/>
      <w:lang w:val="en-US"/>
    </w:rPr>
  </w:style>
  <w:style w:type="paragraph" w:styleId="Komentarotema">
    <w:name w:val="annotation subject"/>
    <w:basedOn w:val="Komentarotekstas"/>
    <w:next w:val="Komentarotekstas"/>
    <w:link w:val="KomentarotemaDiagrama"/>
    <w:semiHidden/>
    <w:unhideWhenUsed/>
    <w:rsid w:val="001209DE"/>
    <w:rPr>
      <w:b/>
      <w:bCs/>
    </w:rPr>
  </w:style>
  <w:style w:type="character" w:customStyle="1" w:styleId="KomentarotemaDiagrama">
    <w:name w:val="Komentaro tema Diagrama"/>
    <w:basedOn w:val="KomentarotekstasDiagrama"/>
    <w:link w:val="Komentarotema"/>
    <w:semiHidden/>
    <w:rsid w:val="004364B8"/>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1209D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364B8"/>
    <w:rPr>
      <w:rFonts w:ascii="Tahoma" w:eastAsia="Times New Roman" w:hAnsi="Tahoma" w:cs="Tahoma"/>
      <w:sz w:val="16"/>
      <w:szCs w:val="16"/>
      <w:lang w:eastAsia="lt-LT"/>
    </w:rPr>
  </w:style>
  <w:style w:type="paragraph" w:styleId="Pataisymai">
    <w:name w:val="Revision"/>
    <w:uiPriority w:val="99"/>
    <w:semiHidden/>
    <w:rsid w:val="00F51ADB"/>
    <w:pPr>
      <w:spacing w:after="0" w:line="240" w:lineRule="auto"/>
    </w:pPr>
    <w:rPr>
      <w:rFonts w:ascii="Times New Roman" w:eastAsia="Times New Roman" w:hAnsi="Times New Roman" w:cs="Times New Roman"/>
      <w:szCs w:val="20"/>
      <w:lang w:eastAsia="lt-LT"/>
    </w:rPr>
  </w:style>
  <w:style w:type="paragraph" w:customStyle="1" w:styleId="CommentSubject1">
    <w:name w:val="Comment Subject1"/>
    <w:basedOn w:val="Komentarotekstas"/>
    <w:next w:val="Komentarotekstas"/>
    <w:semiHidden/>
    <w:rsid w:val="004364B8"/>
    <w:rPr>
      <w:b/>
      <w:bCs/>
    </w:rPr>
  </w:style>
  <w:style w:type="paragraph" w:customStyle="1" w:styleId="BalloonText1">
    <w:name w:val="Balloon Text1"/>
    <w:basedOn w:val="prastasis"/>
    <w:semiHidden/>
    <w:rsid w:val="004364B8"/>
    <w:rPr>
      <w:rFonts w:ascii="Tahoma" w:hAnsi="Tahoma" w:cs="Tahoma"/>
      <w:sz w:val="16"/>
      <w:szCs w:val="16"/>
    </w:rPr>
  </w:style>
  <w:style w:type="paragraph" w:customStyle="1" w:styleId="BTEMEASMCA">
    <w:name w:val="BT EMEA_SMCA"/>
    <w:basedOn w:val="prastasis"/>
    <w:autoRedefine/>
    <w:rsid w:val="004364B8"/>
    <w:rPr>
      <w:lang w:eastAsia="en-US"/>
    </w:rPr>
  </w:style>
  <w:style w:type="paragraph" w:customStyle="1" w:styleId="PI-1EMEASMCA">
    <w:name w:val="PI-1 EMEA_SMCA"/>
    <w:basedOn w:val="Antrat2"/>
    <w:autoRedefine/>
    <w:rsid w:val="004364B8"/>
    <w:pPr>
      <w:tabs>
        <w:tab w:val="left" w:pos="567"/>
      </w:tabs>
      <w:ind w:left="567" w:hanging="567"/>
    </w:pPr>
    <w:rPr>
      <w:szCs w:val="22"/>
      <w:lang w:eastAsia="en-US"/>
    </w:rPr>
  </w:style>
  <w:style w:type="paragraph" w:customStyle="1" w:styleId="PI-1labEMEASMCA">
    <w:name w:val="PI-1_lab EMEA_SMCA"/>
    <w:basedOn w:val="prastasis"/>
    <w:autoRedefine/>
    <w:rsid w:val="004364B8"/>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paragraph" w:customStyle="1" w:styleId="TTEMEASMCA">
    <w:name w:val="TT EMEA_SMCA"/>
    <w:basedOn w:val="Antrat1"/>
    <w:autoRedefine/>
    <w:rsid w:val="004364B8"/>
    <w:pPr>
      <w:keepNext w:val="0"/>
      <w:tabs>
        <w:tab w:val="left" w:pos="567"/>
      </w:tabs>
      <w:ind w:left="567" w:hanging="567"/>
      <w:jc w:val="center"/>
    </w:pPr>
    <w:rPr>
      <w:caps/>
      <w:szCs w:val="22"/>
      <w:lang w:val="en-US" w:eastAsia="en-US"/>
    </w:rPr>
  </w:style>
  <w:style w:type="paragraph" w:customStyle="1" w:styleId="BT-EMEASMCA">
    <w:name w:val="BT- EMEA_SMCA"/>
    <w:basedOn w:val="BTEMEASMCA"/>
    <w:autoRedefine/>
    <w:rsid w:val="004364B8"/>
    <w:pPr>
      <w:numPr>
        <w:numId w:val="1"/>
      </w:numPr>
    </w:pPr>
  </w:style>
  <w:style w:type="character" w:customStyle="1" w:styleId="PI-3EMEASMCAChar">
    <w:name w:val="PI-3 EMEA_SMCA Char"/>
    <w:link w:val="PI-3EMEASMCA"/>
    <w:locked/>
    <w:rsid w:val="004364B8"/>
    <w:rPr>
      <w:rFonts w:ascii="Times New Roman" w:eastAsia="Times New Roman" w:hAnsi="Times New Roman" w:cs="Times New Roman"/>
      <w:b/>
      <w:bCs/>
    </w:rPr>
  </w:style>
  <w:style w:type="paragraph" w:customStyle="1" w:styleId="PI-3EMEASMCA">
    <w:name w:val="PI-3 EMEA_SMCA"/>
    <w:basedOn w:val="prastasis"/>
    <w:link w:val="PI-3EMEASMCAChar"/>
    <w:autoRedefine/>
    <w:rsid w:val="00F51ADB"/>
    <w:pPr>
      <w:spacing w:line="220" w:lineRule="exact"/>
    </w:pPr>
    <w:rPr>
      <w:b/>
      <w:bCs/>
      <w:szCs w:val="22"/>
      <w:lang w:eastAsia="en-US"/>
    </w:rPr>
  </w:style>
  <w:style w:type="paragraph" w:customStyle="1" w:styleId="BTbEMEASMCA">
    <w:name w:val="BT(b) EMEA_SMCA"/>
    <w:basedOn w:val="BTEMEASMCA"/>
    <w:autoRedefine/>
    <w:rsid w:val="004364B8"/>
    <w:rPr>
      <w:b/>
    </w:rPr>
  </w:style>
  <w:style w:type="paragraph" w:customStyle="1" w:styleId="BTbeEMEASMCA">
    <w:name w:val="BT(be) EMEA_SMCA"/>
    <w:basedOn w:val="BTEMEASMCA"/>
    <w:autoRedefine/>
    <w:rsid w:val="004364B8"/>
    <w:pPr>
      <w:jc w:val="center"/>
    </w:pPr>
    <w:rPr>
      <w:b/>
    </w:rPr>
  </w:style>
  <w:style w:type="paragraph" w:customStyle="1" w:styleId="BTeEMEASMCA">
    <w:name w:val="BT(e) EMEA_SMCA"/>
    <w:basedOn w:val="BTEMEASMCA"/>
    <w:autoRedefine/>
    <w:rsid w:val="004364B8"/>
    <w:pPr>
      <w:jc w:val="center"/>
    </w:pPr>
  </w:style>
  <w:style w:type="paragraph" w:customStyle="1" w:styleId="Body">
    <w:name w:val="Body"/>
    <w:basedOn w:val="prastasis"/>
    <w:rsid w:val="004364B8"/>
    <w:pPr>
      <w:ind w:firstLine="288"/>
      <w:jc w:val="both"/>
    </w:pPr>
    <w:rPr>
      <w:rFonts w:ascii="Arial" w:hAnsi="Arial"/>
      <w:sz w:val="20"/>
      <w:lang w:val="en-US" w:eastAsia="en-US"/>
    </w:rPr>
  </w:style>
  <w:style w:type="paragraph" w:customStyle="1" w:styleId="Normal11pt">
    <w:name w:val="Normal + 11 pt"/>
    <w:basedOn w:val="Pagrindinistekstas"/>
    <w:rsid w:val="001209DE"/>
    <w:pPr>
      <w:widowControl w:val="0"/>
      <w:overflowPunct w:val="0"/>
      <w:autoSpaceDE w:val="0"/>
      <w:autoSpaceDN w:val="0"/>
      <w:adjustRightInd w:val="0"/>
      <w:spacing w:after="0" w:line="312" w:lineRule="auto"/>
    </w:pPr>
    <w:rPr>
      <w:rFonts w:ascii="TimesLT" w:hAnsi="TimesLT"/>
      <w:noProof/>
      <w:szCs w:val="22"/>
      <w:lang w:val="en-US" w:eastAsia="ar-SA"/>
    </w:rPr>
  </w:style>
  <w:style w:type="paragraph" w:customStyle="1" w:styleId="Betarp1">
    <w:name w:val="Be tarpų1"/>
    <w:rsid w:val="00F51ADB"/>
    <w:pPr>
      <w:spacing w:after="0" w:line="240" w:lineRule="auto"/>
    </w:pPr>
    <w:rPr>
      <w:rFonts w:ascii="Calibri" w:eastAsia="Times New Roman" w:hAnsi="Calibri" w:cs="Times New Roman"/>
      <w:lang w:val="en-US"/>
    </w:rPr>
  </w:style>
  <w:style w:type="paragraph" w:customStyle="1" w:styleId="msolistparagraph0">
    <w:name w:val="msolistparagraph"/>
    <w:basedOn w:val="prastasis"/>
    <w:rsid w:val="001209DE"/>
    <w:pPr>
      <w:overflowPunct w:val="0"/>
      <w:autoSpaceDE w:val="0"/>
      <w:autoSpaceDN w:val="0"/>
      <w:adjustRightInd w:val="0"/>
      <w:ind w:left="720"/>
    </w:pPr>
    <w:rPr>
      <w:rFonts w:ascii="Calibri" w:hAnsi="Calibri"/>
      <w:noProof/>
      <w:szCs w:val="22"/>
      <w:lang w:val="en-US" w:eastAsia="en-US"/>
    </w:rPr>
  </w:style>
  <w:style w:type="paragraph" w:customStyle="1" w:styleId="EMEAEnBodyText">
    <w:name w:val="EMEA En Body Text"/>
    <w:basedOn w:val="prastasis"/>
    <w:next w:val="prastasis"/>
    <w:rsid w:val="004364B8"/>
    <w:pPr>
      <w:autoSpaceDE w:val="0"/>
      <w:autoSpaceDN w:val="0"/>
      <w:adjustRightInd w:val="0"/>
    </w:pPr>
    <w:rPr>
      <w:sz w:val="24"/>
      <w:szCs w:val="24"/>
    </w:rPr>
  </w:style>
  <w:style w:type="paragraph" w:customStyle="1" w:styleId="Default">
    <w:name w:val="Default"/>
    <w:rsid w:val="004364B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TextChar">
    <w:name w:val="Text Char"/>
    <w:basedOn w:val="Default"/>
    <w:next w:val="Default"/>
    <w:rsid w:val="004364B8"/>
    <w:rPr>
      <w:color w:val="auto"/>
    </w:rPr>
  </w:style>
  <w:style w:type="paragraph" w:customStyle="1" w:styleId="PI-2EMEASMCA">
    <w:name w:val="PI-2 EMEA_SMCA"/>
    <w:basedOn w:val="Antrat3"/>
    <w:autoRedefine/>
    <w:rsid w:val="004364B8"/>
    <w:pPr>
      <w:keepLines/>
      <w:tabs>
        <w:tab w:val="left" w:pos="567"/>
      </w:tabs>
      <w:ind w:left="567" w:hanging="567"/>
    </w:pPr>
    <w:rPr>
      <w:kern w:val="28"/>
      <w:szCs w:val="22"/>
      <w:lang w:eastAsia="en-US"/>
    </w:rPr>
  </w:style>
  <w:style w:type="paragraph" w:customStyle="1" w:styleId="BTuEMEASMCA">
    <w:name w:val="BT(u) EMEA_SMCA"/>
    <w:basedOn w:val="BTEMEASMCA"/>
    <w:autoRedefine/>
    <w:rsid w:val="004364B8"/>
    <w:rPr>
      <w:noProof/>
      <w:szCs w:val="22"/>
      <w:u w:val="single"/>
    </w:rPr>
  </w:style>
  <w:style w:type="paragraph" w:customStyle="1" w:styleId="BTAnIIEMEASMCA">
    <w:name w:val="BT(AnII) EMEA_SMCA"/>
    <w:basedOn w:val="Debesliotekstas"/>
    <w:autoRedefine/>
    <w:rsid w:val="004364B8"/>
    <w:pPr>
      <w:tabs>
        <w:tab w:val="left" w:pos="1701"/>
      </w:tabs>
      <w:ind w:left="1701" w:hanging="567"/>
    </w:pPr>
    <w:rPr>
      <w:rFonts w:ascii="Times New Roman" w:hAnsi="Times New Roman"/>
      <w:b/>
      <w:sz w:val="22"/>
      <w:szCs w:val="22"/>
      <w:lang w:val="en-GB" w:eastAsia="en-US"/>
    </w:rPr>
  </w:style>
  <w:style w:type="paragraph" w:customStyle="1" w:styleId="Annex">
    <w:name w:val="Annex"/>
    <w:basedOn w:val="Default"/>
    <w:next w:val="Default"/>
    <w:rsid w:val="004364B8"/>
    <w:rPr>
      <w:color w:val="auto"/>
    </w:rPr>
  </w:style>
  <w:style w:type="paragraph" w:customStyle="1" w:styleId="Normale">
    <w:name w:val="Normale"/>
    <w:basedOn w:val="Default"/>
    <w:next w:val="Default"/>
    <w:rsid w:val="004364B8"/>
    <w:rPr>
      <w:color w:val="auto"/>
    </w:rPr>
  </w:style>
  <w:style w:type="paragraph" w:customStyle="1" w:styleId="NormalWeb1">
    <w:name w:val="Normal (Web)1"/>
    <w:basedOn w:val="prastasis"/>
    <w:rsid w:val="004364B8"/>
    <w:pPr>
      <w:spacing w:before="100" w:beforeAutospacing="1" w:after="100" w:afterAutospacing="1"/>
    </w:pPr>
    <w:rPr>
      <w:rFonts w:ascii="Verdana" w:hAnsi="Verdana"/>
      <w:sz w:val="24"/>
      <w:szCs w:val="24"/>
      <w:lang w:val="en-US" w:eastAsia="en-US"/>
    </w:rPr>
  </w:style>
  <w:style w:type="paragraph" w:customStyle="1" w:styleId="NormaLT">
    <w:name w:val="NormaLT"/>
    <w:basedOn w:val="prastasis"/>
    <w:rsid w:val="004364B8"/>
    <w:pPr>
      <w:tabs>
        <w:tab w:val="left" w:pos="425"/>
      </w:tabs>
      <w:jc w:val="both"/>
    </w:pPr>
    <w:rPr>
      <w:rFonts w:ascii="Arial" w:hAnsi="Arial"/>
      <w:sz w:val="24"/>
      <w:lang w:eastAsia="en-US"/>
    </w:rPr>
  </w:style>
  <w:style w:type="character" w:styleId="Komentaronuoroda">
    <w:name w:val="annotation reference"/>
    <w:uiPriority w:val="99"/>
    <w:semiHidden/>
    <w:unhideWhenUsed/>
    <w:rsid w:val="001209DE"/>
    <w:rPr>
      <w:rFonts w:ascii="Times New Roman" w:hAnsi="Times New Roman" w:cs="Times New Roman" w:hint="default"/>
      <w:sz w:val="16"/>
      <w:szCs w:val="16"/>
    </w:rPr>
  </w:style>
  <w:style w:type="character" w:styleId="Puslapionumeris">
    <w:name w:val="page number"/>
    <w:unhideWhenUsed/>
    <w:rsid w:val="001209DE"/>
    <w:rPr>
      <w:rFonts w:ascii="Times New Roman" w:hAnsi="Times New Roman" w:cs="Times New Roman" w:hint="default"/>
    </w:rPr>
  </w:style>
  <w:style w:type="character" w:customStyle="1" w:styleId="BTEMEASMCAChar">
    <w:name w:val="BT EMEA_SMCA Char"/>
    <w:rsid w:val="004364B8"/>
    <w:rPr>
      <w:rFonts w:ascii="Times New Roman" w:hAnsi="Times New Roman" w:cs="Times New Roman" w:hint="default"/>
      <w:noProof/>
      <w:sz w:val="22"/>
      <w:szCs w:val="22"/>
      <w:lang w:val="lt-LT" w:eastAsia="en-US" w:bidi="ar-SA"/>
    </w:rPr>
  </w:style>
  <w:style w:type="character" w:customStyle="1" w:styleId="PI-1labEMEASMCAChar">
    <w:name w:val="PI-1_lab EMEA_SMCA Char"/>
    <w:rsid w:val="004364B8"/>
    <w:rPr>
      <w:rFonts w:ascii="Times New Roman" w:hAnsi="Times New Roman" w:cs="Times New Roman" w:hint="default"/>
      <w:b/>
      <w:bCs w:val="0"/>
      <w:noProof/>
      <w:sz w:val="22"/>
      <w:szCs w:val="22"/>
      <w:lang w:val="lt-LT" w:eastAsia="en-US" w:bidi="ar-SA"/>
    </w:rPr>
  </w:style>
  <w:style w:type="character" w:customStyle="1" w:styleId="TTEMEASMCAChar">
    <w:name w:val="TT EMEA_SMCA Char"/>
    <w:rsid w:val="004364B8"/>
    <w:rPr>
      <w:rFonts w:ascii="Times New Roman" w:hAnsi="Times New Roman" w:cs="Times New Roman" w:hint="default"/>
      <w:b/>
      <w:bCs w:val="0"/>
      <w:caps/>
      <w:sz w:val="22"/>
      <w:szCs w:val="22"/>
      <w:lang w:val="en-US" w:eastAsia="en-US" w:bidi="ar-SA"/>
    </w:rPr>
  </w:style>
  <w:style w:type="character" w:customStyle="1" w:styleId="CharChar5">
    <w:name w:val="Char Char5"/>
    <w:rsid w:val="004364B8"/>
    <w:rPr>
      <w:sz w:val="22"/>
      <w:lang w:val="lt-LT" w:eastAsia="lt-LT" w:bidi="ar-SA"/>
    </w:rPr>
  </w:style>
  <w:style w:type="character" w:customStyle="1" w:styleId="CharChar8">
    <w:name w:val="Char Char8"/>
    <w:locked/>
    <w:rsid w:val="004364B8"/>
    <w:rPr>
      <w:rFonts w:ascii="Times New Roman" w:hAnsi="Times New Roman" w:cs="Times New Roman" w:hint="default"/>
      <w:b/>
      <w:bCs w:val="0"/>
      <w:sz w:val="20"/>
      <w:szCs w:val="20"/>
      <w:lang w:val="lt-LT" w:eastAsia="ar-SA" w:bidi="ar-SA"/>
    </w:rPr>
  </w:style>
  <w:style w:type="character" w:customStyle="1" w:styleId="CharChar7">
    <w:name w:val="Char Char7"/>
    <w:locked/>
    <w:rsid w:val="004364B8"/>
    <w:rPr>
      <w:rFonts w:ascii="Times New Roman" w:hAnsi="Times New Roman" w:cs="Times New Roman" w:hint="default"/>
      <w:bCs/>
      <w:sz w:val="24"/>
      <w:szCs w:val="24"/>
      <w:lang w:val="lt-LT" w:eastAsia="ar-SA" w:bidi="ar-SA"/>
    </w:rPr>
  </w:style>
  <w:style w:type="character" w:customStyle="1" w:styleId="CharChar6">
    <w:name w:val="Char Char6"/>
    <w:locked/>
    <w:rsid w:val="004364B8"/>
    <w:rPr>
      <w:rFonts w:ascii="Times New Roman" w:hAnsi="Times New Roman" w:cs="Times New Roman" w:hint="default"/>
      <w:b/>
      <w:bCs w:val="0"/>
      <w:sz w:val="20"/>
      <w:szCs w:val="20"/>
      <w:lang w:val="lt-LT" w:eastAsia="ar-SA" w:bidi="ar-SA"/>
    </w:rPr>
  </w:style>
  <w:style w:type="character" w:customStyle="1" w:styleId="CharChar4">
    <w:name w:val="Char Char4"/>
    <w:locked/>
    <w:rsid w:val="004364B8"/>
    <w:rPr>
      <w:rFonts w:ascii="Times New Roman" w:hAnsi="Times New Roman" w:cs="Times New Roman" w:hint="default"/>
      <w:sz w:val="20"/>
      <w:szCs w:val="20"/>
      <w:lang w:val="lt-LT" w:eastAsia="ar-SA" w:bidi="ar-SA"/>
    </w:rPr>
  </w:style>
  <w:style w:type="character" w:customStyle="1" w:styleId="CharChar3">
    <w:name w:val="Char Char3"/>
    <w:locked/>
    <w:rsid w:val="001209DE"/>
    <w:rPr>
      <w:rFonts w:ascii="Times New Roman Bold" w:hAnsi="Times New Roman Bold" w:cs="Times New Roman" w:hint="default"/>
      <w:b/>
      <w:bCs/>
      <w:caps/>
      <w:kern w:val="2"/>
      <w:sz w:val="20"/>
      <w:szCs w:val="20"/>
      <w:lang w:val="lt-LT" w:eastAsia="ar-SA" w:bidi="ar-SA"/>
    </w:rPr>
  </w:style>
  <w:style w:type="character" w:customStyle="1" w:styleId="CharChar1">
    <w:name w:val="Char Char1"/>
    <w:locked/>
    <w:rsid w:val="004364B8"/>
    <w:rPr>
      <w:rFonts w:ascii="Arial" w:hAnsi="Arial" w:cs="Arial" w:hint="default"/>
      <w:sz w:val="24"/>
      <w:szCs w:val="24"/>
      <w:lang w:val="lt-LT" w:eastAsia="ar-SA" w:bidi="ar-SA"/>
    </w:rPr>
  </w:style>
  <w:style w:type="character" w:customStyle="1" w:styleId="CharChar">
    <w:name w:val="Char Char"/>
    <w:rsid w:val="004364B8"/>
    <w:rPr>
      <w:sz w:val="22"/>
      <w:lang w:val="lt-LT" w:eastAsia="lt-LT" w:bidi="ar-SA"/>
    </w:rPr>
  </w:style>
  <w:style w:type="table" w:styleId="Lentelstinklelis">
    <w:name w:val="Table Grid"/>
    <w:basedOn w:val="prastojilentel"/>
    <w:rsid w:val="004364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0FD6"/>
    <w:pPr>
      <w:ind w:left="720"/>
      <w:contextualSpacing/>
    </w:pPr>
  </w:style>
  <w:style w:type="paragraph" w:customStyle="1" w:styleId="TableParagraph">
    <w:name w:val="Table Paragraph"/>
    <w:basedOn w:val="prastasis"/>
    <w:uiPriority w:val="1"/>
    <w:qFormat/>
    <w:rsid w:val="00F760B3"/>
    <w:pPr>
      <w:widowControl w:val="0"/>
    </w:pPr>
    <w:rPr>
      <w:rFonts w:ascii="Calibri" w:eastAsia="Calibri" w:hAnsi="Calibri"/>
      <w:szCs w:val="22"/>
      <w:lang w:val="en-US" w:eastAsia="en-US"/>
    </w:rPr>
  </w:style>
  <w:style w:type="character" w:customStyle="1" w:styleId="jlqj4b">
    <w:name w:val="jlqj4b"/>
    <w:basedOn w:val="Numatytasispastraiposriftas"/>
    <w:rsid w:val="00EE0F68"/>
  </w:style>
  <w:style w:type="character" w:customStyle="1" w:styleId="tlid-translation">
    <w:name w:val="tlid-translation"/>
    <w:basedOn w:val="Numatytasispastraiposriftas"/>
    <w:rsid w:val="00F7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68634">
      <w:bodyDiv w:val="1"/>
      <w:marLeft w:val="0"/>
      <w:marRight w:val="0"/>
      <w:marTop w:val="0"/>
      <w:marBottom w:val="0"/>
      <w:divBdr>
        <w:top w:val="none" w:sz="0" w:space="0" w:color="auto"/>
        <w:left w:val="none" w:sz="0" w:space="0" w:color="auto"/>
        <w:bottom w:val="none" w:sz="0" w:space="0" w:color="auto"/>
        <w:right w:val="none" w:sz="0" w:space="0" w:color="auto"/>
      </w:divBdr>
      <w:divsChild>
        <w:div w:id="245186955">
          <w:marLeft w:val="0"/>
          <w:marRight w:val="0"/>
          <w:marTop w:val="0"/>
          <w:marBottom w:val="0"/>
          <w:divBdr>
            <w:top w:val="none" w:sz="0" w:space="0" w:color="auto"/>
            <w:left w:val="none" w:sz="0" w:space="0" w:color="auto"/>
            <w:bottom w:val="none" w:sz="0" w:space="0" w:color="auto"/>
            <w:right w:val="none" w:sz="0" w:space="0" w:color="auto"/>
          </w:divBdr>
          <w:divsChild>
            <w:div w:id="1051879825">
              <w:marLeft w:val="0"/>
              <w:marRight w:val="0"/>
              <w:marTop w:val="0"/>
              <w:marBottom w:val="0"/>
              <w:divBdr>
                <w:top w:val="none" w:sz="0" w:space="0" w:color="auto"/>
                <w:left w:val="none" w:sz="0" w:space="0" w:color="auto"/>
                <w:bottom w:val="none" w:sz="0" w:space="0" w:color="auto"/>
                <w:right w:val="none" w:sz="0" w:space="0" w:color="auto"/>
              </w:divBdr>
              <w:divsChild>
                <w:div w:id="1108161227">
                  <w:marLeft w:val="0"/>
                  <w:marRight w:val="0"/>
                  <w:marTop w:val="0"/>
                  <w:marBottom w:val="0"/>
                  <w:divBdr>
                    <w:top w:val="none" w:sz="0" w:space="0" w:color="auto"/>
                    <w:left w:val="none" w:sz="0" w:space="0" w:color="auto"/>
                    <w:bottom w:val="none" w:sz="0" w:space="0" w:color="auto"/>
                    <w:right w:val="none" w:sz="0" w:space="0" w:color="auto"/>
                  </w:divBdr>
                  <w:divsChild>
                    <w:div w:id="2066026969">
                      <w:marLeft w:val="0"/>
                      <w:marRight w:val="0"/>
                      <w:marTop w:val="0"/>
                      <w:marBottom w:val="0"/>
                      <w:divBdr>
                        <w:top w:val="none" w:sz="0" w:space="0" w:color="auto"/>
                        <w:left w:val="none" w:sz="0" w:space="0" w:color="auto"/>
                        <w:bottom w:val="none" w:sz="0" w:space="0" w:color="auto"/>
                        <w:right w:val="none" w:sz="0" w:space="0" w:color="auto"/>
                      </w:divBdr>
                      <w:divsChild>
                        <w:div w:id="1068772315">
                          <w:marLeft w:val="0"/>
                          <w:marRight w:val="0"/>
                          <w:marTop w:val="0"/>
                          <w:marBottom w:val="0"/>
                          <w:divBdr>
                            <w:top w:val="none" w:sz="0" w:space="0" w:color="auto"/>
                            <w:left w:val="none" w:sz="0" w:space="0" w:color="auto"/>
                            <w:bottom w:val="none" w:sz="0" w:space="0" w:color="auto"/>
                            <w:right w:val="none" w:sz="0" w:space="0" w:color="auto"/>
                          </w:divBdr>
                          <w:divsChild>
                            <w:div w:id="316493901">
                              <w:marLeft w:val="0"/>
                              <w:marRight w:val="0"/>
                              <w:marTop w:val="0"/>
                              <w:marBottom w:val="0"/>
                              <w:divBdr>
                                <w:top w:val="none" w:sz="0" w:space="0" w:color="auto"/>
                                <w:left w:val="none" w:sz="0" w:space="0" w:color="auto"/>
                                <w:bottom w:val="none" w:sz="0" w:space="0" w:color="auto"/>
                                <w:right w:val="none" w:sz="0" w:space="0" w:color="auto"/>
                              </w:divBdr>
                              <w:divsChild>
                                <w:div w:id="187960551">
                                  <w:marLeft w:val="0"/>
                                  <w:marRight w:val="0"/>
                                  <w:marTop w:val="0"/>
                                  <w:marBottom w:val="0"/>
                                  <w:divBdr>
                                    <w:top w:val="none" w:sz="0" w:space="0" w:color="auto"/>
                                    <w:left w:val="none" w:sz="0" w:space="0" w:color="auto"/>
                                    <w:bottom w:val="none" w:sz="0" w:space="0" w:color="auto"/>
                                    <w:right w:val="none" w:sz="0" w:space="0" w:color="auto"/>
                                  </w:divBdr>
                                  <w:divsChild>
                                    <w:div w:id="13505748">
                                      <w:marLeft w:val="0"/>
                                      <w:marRight w:val="0"/>
                                      <w:marTop w:val="0"/>
                                      <w:marBottom w:val="0"/>
                                      <w:divBdr>
                                        <w:top w:val="none" w:sz="0" w:space="0" w:color="auto"/>
                                        <w:left w:val="none" w:sz="0" w:space="0" w:color="auto"/>
                                        <w:bottom w:val="none" w:sz="0" w:space="0" w:color="auto"/>
                                        <w:right w:val="none" w:sz="0" w:space="0" w:color="auto"/>
                                      </w:divBdr>
                                      <w:divsChild>
                                        <w:div w:id="114909651">
                                          <w:marLeft w:val="0"/>
                                          <w:marRight w:val="0"/>
                                          <w:marTop w:val="0"/>
                                          <w:marBottom w:val="0"/>
                                          <w:divBdr>
                                            <w:top w:val="none" w:sz="0" w:space="0" w:color="auto"/>
                                            <w:left w:val="none" w:sz="0" w:space="0" w:color="auto"/>
                                            <w:bottom w:val="none" w:sz="0" w:space="0" w:color="auto"/>
                                            <w:right w:val="none" w:sz="0" w:space="0" w:color="auto"/>
                                          </w:divBdr>
                                          <w:divsChild>
                                            <w:div w:id="1495730317">
                                              <w:marLeft w:val="0"/>
                                              <w:marRight w:val="0"/>
                                              <w:marTop w:val="0"/>
                                              <w:marBottom w:val="495"/>
                                              <w:divBdr>
                                                <w:top w:val="none" w:sz="0" w:space="0" w:color="auto"/>
                                                <w:left w:val="none" w:sz="0" w:space="0" w:color="auto"/>
                                                <w:bottom w:val="none" w:sz="0" w:space="0" w:color="auto"/>
                                                <w:right w:val="none" w:sz="0" w:space="0" w:color="auto"/>
                                              </w:divBdr>
                                              <w:divsChild>
                                                <w:div w:id="15432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383264">
      <w:bodyDiv w:val="1"/>
      <w:marLeft w:val="0"/>
      <w:marRight w:val="0"/>
      <w:marTop w:val="0"/>
      <w:marBottom w:val="0"/>
      <w:divBdr>
        <w:top w:val="none" w:sz="0" w:space="0" w:color="auto"/>
        <w:left w:val="none" w:sz="0" w:space="0" w:color="auto"/>
        <w:bottom w:val="none" w:sz="0" w:space="0" w:color="auto"/>
        <w:right w:val="none" w:sz="0" w:space="0" w:color="auto"/>
      </w:divBdr>
    </w:div>
    <w:div w:id="200770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mailto:info.lithuania@sandoz.com"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ema.europa.e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png"/><Relationship Id="rId36" Type="http://schemas.microsoft.com/office/2016/09/relationships/commentsIds" Target="commentsIds.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4.png"/><Relationship Id="rId22" Type="http://schemas.openxmlformats.org/officeDocument/2006/relationships/hyperlink" Target="http://www.ema.europa.eu" TargetMode="External"/><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hyperlink" Target="https://vapris.vvkt.lt/vvkt-web/public/nrvSpeci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5585E-5FA4-488F-8174-F11F4F7F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45035</Words>
  <Characters>25671</Characters>
  <Application>Microsoft Office Word</Application>
  <DocSecurity>0</DocSecurity>
  <Lines>213</Lines>
  <Paragraphs>141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40</vt:i4>
      </vt:variant>
    </vt:vector>
  </HeadingPairs>
  <TitlesOfParts>
    <vt:vector size="42" baseType="lpstr">
      <vt:lpstr/>
      <vt:lpstr/>
      <vt:lpstr>I PRIEDAS</vt:lpstr>
      <vt:lpstr>PREPARATO CHARAKTERISTIKŲ SANTRAUKA</vt:lpstr>
      <vt:lpstr/>
      <vt:lpstr>        9.	REGISTRAVIMO / PERREGISTRAVIMO DATA</vt:lpstr>
      <vt:lpstr>        10.	TEKSTO PERŽIŪROS DATA</vt:lpstr>
      <vt:lpstr/>
      <vt:lpstr/>
      <vt:lpstr>II PRIEDAS</vt:lpstr>
      <vt:lpstr>III PRIEDAS</vt:lpstr>
      <vt:lpstr>A. ŽENKLINIMAS</vt:lpstr>
      <vt:lpstr>    INFORMACIJA ANT IŠORINĖS PAKUOTĖS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&lt;logotipas&gt;</vt:lpstr>
      <vt:lpstr>B. PAKUOTĖS LAPELIS</vt:lpstr>
      <vt:lpstr>        3.	Kaip vartoti Fulvestrant Sandoz</vt:lpstr>
      <vt:lpstr>        4.	Galimas šalutinis poveikis</vt:lpstr>
      <vt:lpstr>        5.	Kaip laikyti Fulvestrant Sandoz</vt:lpstr>
      <vt:lpstr>        6.	Pakuotės turinys ir kita informacija</vt:lpstr>
    </vt:vector>
  </TitlesOfParts>
  <Company>Novartis</Company>
  <LinksUpToDate>false</LinksUpToDate>
  <CharactersWithSpaces>70565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Slekiene, Svetlana</dc:creator>
  <cp:lastModifiedBy>Albina Burkauskaitė</cp:lastModifiedBy>
  <cp:revision>3</cp:revision>
  <dcterms:created xsi:type="dcterms:W3CDTF">2022-02-25T08:02:00Z</dcterms:created>
  <dcterms:modified xsi:type="dcterms:W3CDTF">2022-02-25T08:04:00Z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2020-12-07T15:38:21Z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51e2575e-4fee-4ad1-a2ff-2504335ac368</vt:lpwstr>
  </property>
  <property fmtid="{D5CDD505-2E9C-101B-9397-08002B2CF9AE}" pid="8" name="MSIP_Label_4929bff8-5b33-42aa-95d2-28f72e792cb0_ContentBits">
    <vt:lpwstr>0</vt:lpwstr>
  </property>
</Properties>
</file>