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84" w:rsidRDefault="00577684" w:rsidP="00577684">
      <w:pPr>
        <w:tabs>
          <w:tab w:val="left" w:pos="567"/>
        </w:tabs>
        <w:jc w:val="center"/>
        <w:rPr>
          <w:b/>
          <w:iCs/>
          <w:szCs w:val="22"/>
        </w:rPr>
      </w:pPr>
      <w:r>
        <w:rPr>
          <w:b/>
          <w:iCs/>
          <w:szCs w:val="22"/>
        </w:rPr>
        <w:t xml:space="preserve">Pakuotės lapelis: informacija vartotojui </w:t>
      </w:r>
    </w:p>
    <w:p w:rsidR="00577684" w:rsidRDefault="00577684" w:rsidP="00577684">
      <w:pPr>
        <w:tabs>
          <w:tab w:val="left" w:pos="567"/>
        </w:tabs>
        <w:jc w:val="center"/>
        <w:rPr>
          <w:iCs/>
          <w:szCs w:val="22"/>
        </w:rPr>
      </w:pPr>
    </w:p>
    <w:p w:rsidR="00577684" w:rsidRDefault="00577684" w:rsidP="00577684">
      <w:pPr>
        <w:tabs>
          <w:tab w:val="left" w:pos="567"/>
        </w:tabs>
        <w:jc w:val="center"/>
        <w:rPr>
          <w:rFonts w:eastAsia="Calibri"/>
          <w:b/>
          <w:szCs w:val="22"/>
        </w:rPr>
      </w:pPr>
      <w:proofErr w:type="spellStart"/>
      <w:r>
        <w:rPr>
          <w:rFonts w:eastAsia="Calibri"/>
          <w:b/>
          <w:szCs w:val="22"/>
        </w:rPr>
        <w:t>Fulvestrant</w:t>
      </w:r>
      <w:proofErr w:type="spellEnd"/>
      <w:r>
        <w:rPr>
          <w:rFonts w:eastAsia="Calibri"/>
          <w:b/>
          <w:szCs w:val="22"/>
        </w:rPr>
        <w:t xml:space="preserve"> </w:t>
      </w:r>
      <w:proofErr w:type="spellStart"/>
      <w:r>
        <w:rPr>
          <w:rFonts w:eastAsia="Calibri"/>
          <w:b/>
          <w:szCs w:val="22"/>
        </w:rPr>
        <w:t>Sandoz</w:t>
      </w:r>
      <w:proofErr w:type="spellEnd"/>
      <w:r>
        <w:rPr>
          <w:rFonts w:eastAsia="Calibri"/>
          <w:b/>
          <w:szCs w:val="22"/>
        </w:rPr>
        <w:t xml:space="preserve"> 250 mg injekcinis tirpalas užpildytame švirkšte</w:t>
      </w:r>
    </w:p>
    <w:p w:rsidR="00577684" w:rsidRDefault="00577684" w:rsidP="00577684">
      <w:pPr>
        <w:tabs>
          <w:tab w:val="left" w:pos="567"/>
        </w:tabs>
        <w:jc w:val="center"/>
        <w:rPr>
          <w:b/>
          <w:szCs w:val="22"/>
        </w:rPr>
      </w:pPr>
      <w:proofErr w:type="spellStart"/>
      <w:r>
        <w:rPr>
          <w:szCs w:val="22"/>
        </w:rPr>
        <w:t>fulvestrantas</w:t>
      </w:r>
      <w:proofErr w:type="spellEnd"/>
    </w:p>
    <w:p w:rsidR="00577684" w:rsidRDefault="00577684" w:rsidP="00577684">
      <w:pPr>
        <w:numPr>
          <w:ilvl w:val="12"/>
          <w:numId w:val="0"/>
        </w:numPr>
        <w:shd w:val="clear" w:color="auto" w:fill="FFFFFF"/>
        <w:jc w:val="center"/>
        <w:rPr>
          <w:szCs w:val="22"/>
        </w:rPr>
      </w:pPr>
    </w:p>
    <w:p w:rsidR="00577684" w:rsidRDefault="00577684" w:rsidP="00577684">
      <w:pPr>
        <w:suppressAutoHyphens/>
        <w:ind w:left="142" w:hanging="142"/>
        <w:rPr>
          <w:szCs w:val="24"/>
        </w:rPr>
      </w:pPr>
      <w:r>
        <w:rPr>
          <w:b/>
          <w:noProof/>
          <w:szCs w:val="24"/>
        </w:rPr>
        <w:t>Atidžiai perskaitykite visą šį lapelį, prieš pradėdami vartoti vaistą, nes jame pateikiama Jums svarbi informacija.</w:t>
      </w:r>
    </w:p>
    <w:p w:rsidR="00577684" w:rsidRDefault="00577684" w:rsidP="00577684">
      <w:pPr>
        <w:numPr>
          <w:ilvl w:val="0"/>
          <w:numId w:val="1"/>
        </w:numPr>
        <w:ind w:left="567" w:right="-2" w:hanging="567"/>
        <w:rPr>
          <w:szCs w:val="24"/>
        </w:rPr>
      </w:pPr>
      <w:r>
        <w:rPr>
          <w:noProof/>
          <w:szCs w:val="24"/>
        </w:rPr>
        <w:t>Neišmeskite šio lapelio, nes vėl gali prireikti jį perskaityti.</w:t>
      </w:r>
      <w:r>
        <w:rPr>
          <w:szCs w:val="24"/>
        </w:rPr>
        <w:t xml:space="preserve"> </w:t>
      </w:r>
    </w:p>
    <w:p w:rsidR="00577684" w:rsidRDefault="00577684" w:rsidP="00577684">
      <w:pPr>
        <w:numPr>
          <w:ilvl w:val="0"/>
          <w:numId w:val="1"/>
        </w:numPr>
        <w:ind w:left="567" w:right="-2" w:hanging="567"/>
        <w:rPr>
          <w:szCs w:val="24"/>
        </w:rPr>
      </w:pPr>
      <w:r>
        <w:rPr>
          <w:noProof/>
          <w:szCs w:val="24"/>
        </w:rPr>
        <w:t>Jeigu kiltų daugiau klausimų, kreipkitės į gydytoją, vaistininką arba slaugytoją.</w:t>
      </w:r>
    </w:p>
    <w:p w:rsidR="00577684" w:rsidRDefault="00577684" w:rsidP="00577684">
      <w:pPr>
        <w:numPr>
          <w:ilvl w:val="0"/>
          <w:numId w:val="1"/>
        </w:numPr>
        <w:ind w:left="567" w:right="-2" w:hanging="567"/>
        <w:rPr>
          <w:szCs w:val="24"/>
        </w:rPr>
      </w:pPr>
      <w:r>
        <w:rPr>
          <w:noProof/>
          <w:szCs w:val="24"/>
        </w:rPr>
        <w:t>Šis vaistas skirtas tik Jums, todėl kitiems žmonėms jo duoti negalima.</w:t>
      </w:r>
      <w:r>
        <w:rPr>
          <w:szCs w:val="24"/>
        </w:rPr>
        <w:t xml:space="preserve"> </w:t>
      </w:r>
      <w:r>
        <w:rPr>
          <w:noProof/>
          <w:szCs w:val="24"/>
        </w:rPr>
        <w:t>Vaistas gali jiems pakenkti (net tiems, kurių ligos požymiai yra tokie patys kaip Jūsų).</w:t>
      </w:r>
      <w:r>
        <w:rPr>
          <w:color w:val="008000"/>
          <w:szCs w:val="24"/>
        </w:rPr>
        <w:t xml:space="preserve"> </w:t>
      </w:r>
    </w:p>
    <w:p w:rsidR="00577684" w:rsidRDefault="00577684" w:rsidP="00577684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4"/>
        </w:rPr>
      </w:pPr>
      <w:r>
        <w:rPr>
          <w:noProof/>
          <w:szCs w:val="24"/>
        </w:rPr>
        <w:t>Jeigu pasireiškė šalutinis poveikis (net jeigu jis šiame lapelyje nenurodytas), kreipkitės į gydytoją, vaistininką arba slaugytoją. Žr. 4 skyrių.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keepNext/>
        <w:outlineLvl w:val="3"/>
        <w:rPr>
          <w:b/>
          <w:bCs/>
          <w:szCs w:val="22"/>
        </w:rPr>
      </w:pPr>
      <w:r>
        <w:rPr>
          <w:b/>
          <w:bCs/>
          <w:szCs w:val="22"/>
        </w:rPr>
        <w:t>Apie ką rašoma šiame lapelyje?</w:t>
      </w:r>
    </w:p>
    <w:p w:rsidR="00577684" w:rsidRDefault="00577684" w:rsidP="00577684">
      <w:pPr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szCs w:val="22"/>
        </w:rPr>
      </w:pPr>
      <w:r>
        <w:rPr>
          <w:szCs w:val="22"/>
        </w:rPr>
        <w:t>1.</w:t>
      </w:r>
      <w:r>
        <w:rPr>
          <w:b/>
          <w:szCs w:val="22"/>
        </w:rPr>
        <w:tab/>
      </w:r>
      <w:r>
        <w:rPr>
          <w:szCs w:val="22"/>
        </w:rPr>
        <w:t xml:space="preserve">Kas yra </w:t>
      </w:r>
      <w:proofErr w:type="spellStart"/>
      <w:r>
        <w:rPr>
          <w:szCs w:val="22"/>
        </w:rPr>
        <w:t>Fulvestrant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Sandoz</w:t>
      </w:r>
      <w:proofErr w:type="spellEnd"/>
      <w:r>
        <w:rPr>
          <w:szCs w:val="22"/>
        </w:rPr>
        <w:t xml:space="preserve"> ir kam jis vartojamas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  <w:r>
        <w:rPr>
          <w:szCs w:val="22"/>
        </w:rPr>
        <w:t>2.</w:t>
      </w:r>
      <w:r>
        <w:rPr>
          <w:b/>
          <w:szCs w:val="22"/>
        </w:rPr>
        <w:tab/>
      </w:r>
      <w:r>
        <w:rPr>
          <w:szCs w:val="22"/>
        </w:rPr>
        <w:t xml:space="preserve">Kas žinotina prieš vartojant </w:t>
      </w:r>
      <w:proofErr w:type="spellStart"/>
      <w:r>
        <w:rPr>
          <w:szCs w:val="22"/>
        </w:rPr>
        <w:t>Fulvestrant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Sandoz</w:t>
      </w:r>
      <w:proofErr w:type="spellEnd"/>
    </w:p>
    <w:p w:rsidR="00577684" w:rsidRDefault="00577684" w:rsidP="00577684">
      <w:pPr>
        <w:tabs>
          <w:tab w:val="left" w:pos="567"/>
        </w:tabs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  <w:t xml:space="preserve">Kaip vartoti </w:t>
      </w:r>
      <w:proofErr w:type="spellStart"/>
      <w:r>
        <w:rPr>
          <w:szCs w:val="22"/>
        </w:rPr>
        <w:t>Fulvestrant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Sandoz</w:t>
      </w:r>
      <w:proofErr w:type="spellEnd"/>
    </w:p>
    <w:p w:rsidR="00577684" w:rsidRDefault="00577684" w:rsidP="00577684">
      <w:pPr>
        <w:tabs>
          <w:tab w:val="left" w:pos="567"/>
        </w:tabs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>Galimas šalutinis poveikis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 xml:space="preserve">Kaip laikyti </w:t>
      </w:r>
      <w:proofErr w:type="spellStart"/>
      <w:r>
        <w:rPr>
          <w:szCs w:val="22"/>
        </w:rPr>
        <w:t>Fulvestrant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Sandoz</w:t>
      </w:r>
      <w:proofErr w:type="spellEnd"/>
    </w:p>
    <w:p w:rsidR="00577684" w:rsidRDefault="00577684" w:rsidP="00577684">
      <w:pPr>
        <w:tabs>
          <w:tab w:val="left" w:pos="567"/>
        </w:tabs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ab/>
        <w:t>Pakuotės turinys ir kita informacija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keepNext/>
        <w:tabs>
          <w:tab w:val="left" w:pos="567"/>
        </w:tabs>
        <w:outlineLvl w:val="3"/>
        <w:rPr>
          <w:b/>
          <w:bCs/>
          <w:szCs w:val="22"/>
        </w:rPr>
      </w:pPr>
      <w:r>
        <w:rPr>
          <w:b/>
          <w:bCs/>
          <w:szCs w:val="22"/>
        </w:rPr>
        <w:t>1.</w:t>
      </w:r>
      <w:r>
        <w:rPr>
          <w:b/>
          <w:bCs/>
          <w:szCs w:val="22"/>
        </w:rPr>
        <w:tab/>
        <w:t xml:space="preserve">Kas yra </w:t>
      </w:r>
      <w:proofErr w:type="spellStart"/>
      <w:r>
        <w:rPr>
          <w:b/>
          <w:bCs/>
          <w:szCs w:val="22"/>
        </w:rPr>
        <w:t>Fulvestrant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Sandoz</w:t>
      </w:r>
      <w:proofErr w:type="spellEnd"/>
      <w:r>
        <w:rPr>
          <w:b/>
          <w:bCs/>
          <w:szCs w:val="22"/>
        </w:rPr>
        <w:t xml:space="preserve"> ir kam jis vartojamas</w:t>
      </w:r>
    </w:p>
    <w:p w:rsidR="00577684" w:rsidRDefault="00577684" w:rsidP="00577684">
      <w:pPr>
        <w:tabs>
          <w:tab w:val="left" w:pos="567"/>
        </w:tabs>
        <w:ind w:left="567" w:hanging="567"/>
        <w:rPr>
          <w:szCs w:val="22"/>
        </w:rPr>
      </w:pPr>
    </w:p>
    <w:p w:rsidR="00577684" w:rsidRDefault="00577684" w:rsidP="00577684">
      <w:pPr>
        <w:tabs>
          <w:tab w:val="left" w:pos="0"/>
        </w:tabs>
        <w:rPr>
          <w:szCs w:val="22"/>
        </w:rPr>
      </w:pPr>
      <w:proofErr w:type="spellStart"/>
      <w:r>
        <w:rPr>
          <w:szCs w:val="22"/>
        </w:rPr>
        <w:t>Fulvestrant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Sandoz</w:t>
      </w:r>
      <w:proofErr w:type="spellEnd"/>
      <w:r>
        <w:rPr>
          <w:szCs w:val="22"/>
        </w:rPr>
        <w:t xml:space="preserve"> sudėtyje yra veikliosios medžiagos </w:t>
      </w:r>
      <w:proofErr w:type="spellStart"/>
      <w:r>
        <w:rPr>
          <w:szCs w:val="22"/>
        </w:rPr>
        <w:t>fulvestranto</w:t>
      </w:r>
      <w:proofErr w:type="spellEnd"/>
      <w:r>
        <w:rPr>
          <w:szCs w:val="22"/>
        </w:rPr>
        <w:t xml:space="preserve">, kuri priklauso estrogenų receptorius blokuojančių vaistų grupei. </w:t>
      </w:r>
    </w:p>
    <w:p w:rsidR="00577684" w:rsidRDefault="00577684" w:rsidP="00577684">
      <w:pPr>
        <w:tabs>
          <w:tab w:val="left" w:pos="0"/>
        </w:tabs>
        <w:rPr>
          <w:szCs w:val="22"/>
        </w:rPr>
      </w:pPr>
      <w:r>
        <w:rPr>
          <w:szCs w:val="22"/>
        </w:rPr>
        <w:t>Estrogenai, moteriškų lytinių hormonų grupė, kurie kai kuriais atvejais gali būti susiję su krūties vėžio augimu.</w:t>
      </w:r>
    </w:p>
    <w:p w:rsidR="00577684" w:rsidRDefault="00577684" w:rsidP="00577684">
      <w:pPr>
        <w:tabs>
          <w:tab w:val="left" w:pos="0"/>
        </w:tabs>
        <w:rPr>
          <w:szCs w:val="22"/>
        </w:rPr>
      </w:pPr>
    </w:p>
    <w:p w:rsidR="00577684" w:rsidRDefault="00577684" w:rsidP="00577684">
      <w:pPr>
        <w:tabs>
          <w:tab w:val="left" w:pos="0"/>
        </w:tabs>
        <w:rPr>
          <w:szCs w:val="22"/>
        </w:rPr>
      </w:pPr>
      <w:proofErr w:type="spellStart"/>
      <w:r>
        <w:rPr>
          <w:szCs w:val="22"/>
        </w:rPr>
        <w:t>Fulvestrant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Sandoz</w:t>
      </w:r>
      <w:proofErr w:type="spellEnd"/>
      <w:r>
        <w:rPr>
          <w:szCs w:val="22"/>
        </w:rPr>
        <w:t xml:space="preserve"> vartojamas arba:</w:t>
      </w:r>
    </w:p>
    <w:p w:rsidR="00577684" w:rsidRPr="002D5E6D" w:rsidRDefault="00577684" w:rsidP="00577684">
      <w:pPr>
        <w:pStyle w:val="Sraopastraipa"/>
        <w:numPr>
          <w:ilvl w:val="0"/>
          <w:numId w:val="7"/>
        </w:numPr>
        <w:tabs>
          <w:tab w:val="left" w:pos="0"/>
        </w:tabs>
        <w:rPr>
          <w:szCs w:val="22"/>
        </w:rPr>
      </w:pPr>
      <w:r w:rsidRPr="002D5E6D">
        <w:rPr>
          <w:szCs w:val="22"/>
        </w:rPr>
        <w:t>vienas: gydyti moterims po menopauzės, sergančioms tam tikru (estrogenų receptoriams</w:t>
      </w:r>
      <w:r w:rsidRPr="008A3652">
        <w:rPr>
          <w:szCs w:val="22"/>
        </w:rPr>
        <w:t xml:space="preserve"> </w:t>
      </w:r>
      <w:r w:rsidRPr="002D5E6D">
        <w:rPr>
          <w:szCs w:val="22"/>
        </w:rPr>
        <w:t>teigiamu) krūties vėžiu, kuris yra lokaliai progresavęs ar išplitęs į kitas organizmo vietas</w:t>
      </w:r>
      <w:r>
        <w:rPr>
          <w:szCs w:val="22"/>
        </w:rPr>
        <w:t xml:space="preserve"> </w:t>
      </w:r>
      <w:r w:rsidRPr="002D5E6D">
        <w:rPr>
          <w:szCs w:val="22"/>
        </w:rPr>
        <w:t>(</w:t>
      </w:r>
      <w:proofErr w:type="spellStart"/>
      <w:r w:rsidRPr="002D5E6D">
        <w:rPr>
          <w:szCs w:val="22"/>
        </w:rPr>
        <w:t>metastazavęs</w:t>
      </w:r>
      <w:proofErr w:type="spellEnd"/>
      <w:r w:rsidRPr="002D5E6D">
        <w:rPr>
          <w:szCs w:val="22"/>
        </w:rPr>
        <w:t>)</w:t>
      </w:r>
      <w:r>
        <w:rPr>
          <w:szCs w:val="22"/>
        </w:rPr>
        <w:t>,</w:t>
      </w:r>
      <w:r w:rsidRPr="002D5E6D">
        <w:rPr>
          <w:szCs w:val="22"/>
        </w:rPr>
        <w:t xml:space="preserve"> arba</w:t>
      </w:r>
    </w:p>
    <w:p w:rsidR="00577684" w:rsidRPr="008A3652" w:rsidRDefault="00577684" w:rsidP="00577684">
      <w:pPr>
        <w:pStyle w:val="Sraopastraipa"/>
        <w:numPr>
          <w:ilvl w:val="0"/>
          <w:numId w:val="7"/>
        </w:numPr>
        <w:tabs>
          <w:tab w:val="left" w:pos="0"/>
        </w:tabs>
        <w:rPr>
          <w:szCs w:val="22"/>
        </w:rPr>
      </w:pPr>
      <w:r w:rsidRPr="002D5E6D">
        <w:rPr>
          <w:szCs w:val="22"/>
        </w:rPr>
        <w:t xml:space="preserve">kartu su </w:t>
      </w:r>
      <w:proofErr w:type="spellStart"/>
      <w:r w:rsidRPr="002D5E6D">
        <w:rPr>
          <w:szCs w:val="22"/>
        </w:rPr>
        <w:t>palbociklibu</w:t>
      </w:r>
      <w:proofErr w:type="spellEnd"/>
      <w:r w:rsidRPr="002D5E6D">
        <w:rPr>
          <w:szCs w:val="22"/>
        </w:rPr>
        <w:t>: gydyt</w:t>
      </w:r>
      <w:r w:rsidRPr="004B64BD">
        <w:rPr>
          <w:szCs w:val="22"/>
        </w:rPr>
        <w:t>i moterims, sergančioms tam tikru (hormonų receptoriams teigiamu,</w:t>
      </w:r>
      <w:r w:rsidRPr="008A3652">
        <w:rPr>
          <w:szCs w:val="22"/>
        </w:rPr>
        <w:t xml:space="preserve"> </w:t>
      </w:r>
      <w:r w:rsidRPr="002D5E6D">
        <w:rPr>
          <w:szCs w:val="22"/>
        </w:rPr>
        <w:t>žmogaus epidermio augimo faktoriaus receptoriams Nr. 2 neigiamu) krūties vėžiu, kuris yra</w:t>
      </w:r>
      <w:r w:rsidRPr="008A3652">
        <w:rPr>
          <w:szCs w:val="22"/>
        </w:rPr>
        <w:t xml:space="preserve"> lokaliai progresavęs arba išplitęs į kitas organizmo vietas (</w:t>
      </w:r>
      <w:proofErr w:type="spellStart"/>
      <w:r w:rsidRPr="008A3652">
        <w:rPr>
          <w:szCs w:val="22"/>
        </w:rPr>
        <w:t>metastazavęs</w:t>
      </w:r>
      <w:proofErr w:type="spellEnd"/>
      <w:r w:rsidRPr="008A3652">
        <w:rPr>
          <w:szCs w:val="22"/>
        </w:rPr>
        <w:t>). Moterims, kurioms dar</w:t>
      </w:r>
      <w:r w:rsidRPr="002D5E6D">
        <w:rPr>
          <w:szCs w:val="22"/>
        </w:rPr>
        <w:t xml:space="preserve"> </w:t>
      </w:r>
      <w:r w:rsidRPr="008A3652">
        <w:rPr>
          <w:szCs w:val="22"/>
        </w:rPr>
        <w:t xml:space="preserve">nėra menopauzės, kartu skiriama vaisto, vadinamo </w:t>
      </w:r>
      <w:proofErr w:type="spellStart"/>
      <w:r w:rsidRPr="008A3652">
        <w:rPr>
          <w:szCs w:val="22"/>
        </w:rPr>
        <w:t>liuteinizuojantį</w:t>
      </w:r>
      <w:proofErr w:type="spellEnd"/>
      <w:r w:rsidRPr="008A3652">
        <w:rPr>
          <w:szCs w:val="22"/>
        </w:rPr>
        <w:t xml:space="preserve"> hormoną atpalaiduojančio hormono (LHAH) </w:t>
      </w:r>
      <w:proofErr w:type="spellStart"/>
      <w:r w:rsidRPr="008A3652">
        <w:rPr>
          <w:szCs w:val="22"/>
        </w:rPr>
        <w:t>agonistu</w:t>
      </w:r>
      <w:proofErr w:type="spellEnd"/>
      <w:r w:rsidRPr="008A3652">
        <w:rPr>
          <w:szCs w:val="22"/>
        </w:rPr>
        <w:t>.</w:t>
      </w:r>
    </w:p>
    <w:p w:rsidR="00577684" w:rsidRDefault="00577684" w:rsidP="00577684">
      <w:pPr>
        <w:tabs>
          <w:tab w:val="left" w:pos="0"/>
        </w:tabs>
        <w:rPr>
          <w:szCs w:val="22"/>
        </w:rPr>
      </w:pPr>
    </w:p>
    <w:p w:rsidR="00577684" w:rsidRDefault="00577684" w:rsidP="00577684">
      <w:pPr>
        <w:tabs>
          <w:tab w:val="left" w:pos="0"/>
        </w:tabs>
        <w:rPr>
          <w:szCs w:val="22"/>
        </w:rPr>
      </w:pPr>
      <w:r w:rsidRPr="008A3652">
        <w:rPr>
          <w:szCs w:val="22"/>
        </w:rPr>
        <w:t xml:space="preserve">Vartojant </w:t>
      </w:r>
      <w:proofErr w:type="spellStart"/>
      <w:r w:rsidRPr="008A3652">
        <w:rPr>
          <w:szCs w:val="22"/>
        </w:rPr>
        <w:t>Fulvestrant</w:t>
      </w:r>
      <w:proofErr w:type="spellEnd"/>
      <w:r w:rsidRPr="008A3652">
        <w:rPr>
          <w:szCs w:val="22"/>
        </w:rPr>
        <w:t xml:space="preserve"> </w:t>
      </w:r>
      <w:proofErr w:type="spellStart"/>
      <w:r w:rsidRPr="008A3652">
        <w:rPr>
          <w:szCs w:val="22"/>
        </w:rPr>
        <w:t>Sandoz</w:t>
      </w:r>
      <w:proofErr w:type="spellEnd"/>
      <w:r w:rsidRPr="008A3652">
        <w:rPr>
          <w:szCs w:val="22"/>
        </w:rPr>
        <w:t xml:space="preserve"> </w:t>
      </w:r>
      <w:r>
        <w:rPr>
          <w:szCs w:val="22"/>
        </w:rPr>
        <w:t>derinyje su</w:t>
      </w:r>
      <w:r w:rsidRPr="008A3652">
        <w:rPr>
          <w:szCs w:val="22"/>
        </w:rPr>
        <w:t xml:space="preserve"> </w:t>
      </w:r>
      <w:proofErr w:type="spellStart"/>
      <w:r w:rsidRPr="008A3652">
        <w:rPr>
          <w:szCs w:val="22"/>
        </w:rPr>
        <w:t>palbociklibu</w:t>
      </w:r>
      <w:proofErr w:type="spellEnd"/>
      <w:r w:rsidRPr="008A3652">
        <w:rPr>
          <w:szCs w:val="22"/>
        </w:rPr>
        <w:t xml:space="preserve">, svarbu taip pat perskaityti </w:t>
      </w:r>
      <w:proofErr w:type="spellStart"/>
      <w:r w:rsidRPr="008A3652">
        <w:rPr>
          <w:szCs w:val="22"/>
        </w:rPr>
        <w:t>palbociklibo</w:t>
      </w:r>
      <w:proofErr w:type="spellEnd"/>
      <w:r w:rsidRPr="008A3652">
        <w:rPr>
          <w:szCs w:val="22"/>
        </w:rPr>
        <w:t xml:space="preserve"> pakuotės lapelį. Jei</w:t>
      </w:r>
      <w:r>
        <w:rPr>
          <w:szCs w:val="22"/>
        </w:rPr>
        <w:t xml:space="preserve">gu </w:t>
      </w:r>
      <w:r w:rsidRPr="008A3652">
        <w:rPr>
          <w:szCs w:val="22"/>
        </w:rPr>
        <w:t xml:space="preserve">kiltų </w:t>
      </w:r>
      <w:r>
        <w:rPr>
          <w:szCs w:val="22"/>
        </w:rPr>
        <w:t xml:space="preserve">bet kokių </w:t>
      </w:r>
      <w:r w:rsidRPr="008A3652">
        <w:rPr>
          <w:szCs w:val="22"/>
        </w:rPr>
        <w:t xml:space="preserve">klausimų dėl </w:t>
      </w:r>
      <w:proofErr w:type="spellStart"/>
      <w:r w:rsidRPr="008A3652">
        <w:rPr>
          <w:szCs w:val="22"/>
        </w:rPr>
        <w:t>palbociklibo</w:t>
      </w:r>
      <w:proofErr w:type="spellEnd"/>
      <w:r w:rsidRPr="008A3652">
        <w:rPr>
          <w:szCs w:val="22"/>
        </w:rPr>
        <w:t xml:space="preserve">, </w:t>
      </w:r>
      <w:r>
        <w:rPr>
          <w:szCs w:val="22"/>
        </w:rPr>
        <w:t xml:space="preserve">prašome </w:t>
      </w:r>
      <w:r w:rsidRPr="008A3652">
        <w:rPr>
          <w:szCs w:val="22"/>
        </w:rPr>
        <w:t>klaus</w:t>
      </w:r>
      <w:r>
        <w:rPr>
          <w:szCs w:val="22"/>
        </w:rPr>
        <w:t xml:space="preserve">ti savo </w:t>
      </w:r>
      <w:r w:rsidRPr="008A3652">
        <w:rPr>
          <w:szCs w:val="22"/>
        </w:rPr>
        <w:t>gydytojo.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keepNext/>
        <w:tabs>
          <w:tab w:val="left" w:pos="567"/>
        </w:tabs>
        <w:outlineLvl w:val="3"/>
        <w:rPr>
          <w:b/>
          <w:bCs/>
          <w:szCs w:val="22"/>
        </w:rPr>
      </w:pPr>
      <w:r>
        <w:rPr>
          <w:b/>
          <w:bCs/>
          <w:szCs w:val="22"/>
        </w:rPr>
        <w:t>2.</w:t>
      </w:r>
      <w:r>
        <w:rPr>
          <w:b/>
          <w:bCs/>
          <w:szCs w:val="22"/>
        </w:rPr>
        <w:tab/>
        <w:t xml:space="preserve">Kas žinotina prieš vartojant </w:t>
      </w:r>
      <w:proofErr w:type="spellStart"/>
      <w:r>
        <w:rPr>
          <w:b/>
          <w:bCs/>
          <w:szCs w:val="22"/>
        </w:rPr>
        <w:t>Fulvestrant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Sandoz</w:t>
      </w:r>
      <w:proofErr w:type="spellEnd"/>
    </w:p>
    <w:p w:rsidR="00577684" w:rsidRDefault="00577684" w:rsidP="00577684">
      <w:pPr>
        <w:tabs>
          <w:tab w:val="left" w:pos="567"/>
        </w:tabs>
        <w:ind w:left="567" w:hanging="567"/>
        <w:rPr>
          <w:b/>
          <w:szCs w:val="22"/>
        </w:rPr>
      </w:pPr>
    </w:p>
    <w:p w:rsidR="00577684" w:rsidRDefault="00577684" w:rsidP="00577684">
      <w:pPr>
        <w:keepNext/>
        <w:outlineLvl w:val="3"/>
        <w:rPr>
          <w:b/>
          <w:bCs/>
          <w:szCs w:val="22"/>
        </w:rPr>
      </w:pPr>
      <w:proofErr w:type="spellStart"/>
      <w:r>
        <w:rPr>
          <w:b/>
          <w:bCs/>
          <w:szCs w:val="22"/>
        </w:rPr>
        <w:t>Fulvestrant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Sandoz</w:t>
      </w:r>
      <w:proofErr w:type="spellEnd"/>
      <w:r>
        <w:rPr>
          <w:b/>
          <w:bCs/>
          <w:szCs w:val="22"/>
        </w:rPr>
        <w:t xml:space="preserve"> vartoti draudžiama:</w:t>
      </w:r>
    </w:p>
    <w:p w:rsidR="00577684" w:rsidRDefault="00577684" w:rsidP="00577684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sym w:font="Symbol" w:char="F0B7"/>
      </w:r>
      <w:r>
        <w:rPr>
          <w:szCs w:val="22"/>
        </w:rPr>
        <w:tab/>
        <w:t>jeigu yra alergija veikliajai medžiagai arba bet kuriai pagalbinei šio vaisto medžiagai (jos išvardytos 6 skyriuje);</w:t>
      </w:r>
    </w:p>
    <w:p w:rsidR="00577684" w:rsidRDefault="00577684" w:rsidP="00577684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sym w:font="Symbol" w:char="F0B7"/>
      </w:r>
      <w:r>
        <w:rPr>
          <w:szCs w:val="22"/>
        </w:rPr>
        <w:tab/>
        <w:t>jeigu esate nėščia arba žindyvė;</w:t>
      </w:r>
    </w:p>
    <w:p w:rsidR="00577684" w:rsidRDefault="00577684" w:rsidP="00577684">
      <w:pPr>
        <w:numPr>
          <w:ilvl w:val="0"/>
          <w:numId w:val="2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jeigu labai sutrikusi Jūsų kepenų veikla.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keepNext/>
        <w:outlineLvl w:val="3"/>
        <w:rPr>
          <w:b/>
          <w:bCs/>
          <w:szCs w:val="22"/>
        </w:rPr>
      </w:pPr>
      <w:r>
        <w:rPr>
          <w:b/>
          <w:bCs/>
          <w:szCs w:val="22"/>
        </w:rPr>
        <w:lastRenderedPageBreak/>
        <w:t xml:space="preserve">Įspėjimai ir atsargumo priemonės </w:t>
      </w:r>
    </w:p>
    <w:p w:rsidR="00577684" w:rsidRDefault="00577684" w:rsidP="00577684">
      <w:pPr>
        <w:numPr>
          <w:ilvl w:val="12"/>
          <w:numId w:val="0"/>
        </w:numPr>
        <w:tabs>
          <w:tab w:val="left" w:pos="0"/>
        </w:tabs>
        <w:ind w:right="-2"/>
        <w:rPr>
          <w:bCs/>
          <w:szCs w:val="22"/>
        </w:rPr>
      </w:pPr>
      <w:r>
        <w:rPr>
          <w:szCs w:val="24"/>
        </w:rPr>
        <w:t xml:space="preserve">Pasitarkite su gydytoju, vaistininku arba slaugytoja, prieš pradėdami vartoti </w:t>
      </w:r>
      <w:proofErr w:type="spellStart"/>
      <w:r>
        <w:rPr>
          <w:bCs/>
          <w:szCs w:val="22"/>
        </w:rPr>
        <w:t>Fulvestrant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Sandoz</w:t>
      </w:r>
      <w:proofErr w:type="spellEnd"/>
      <w:r>
        <w:rPr>
          <w:bCs/>
          <w:szCs w:val="22"/>
        </w:rPr>
        <w:t>, jeigu Jums tinka bet kuri iš šių situacijų:</w:t>
      </w:r>
    </w:p>
    <w:p w:rsidR="00577684" w:rsidRDefault="00577684" w:rsidP="00577684">
      <w:pPr>
        <w:numPr>
          <w:ilvl w:val="0"/>
          <w:numId w:val="3"/>
        </w:numPr>
        <w:tabs>
          <w:tab w:val="left" w:pos="0"/>
        </w:tabs>
        <w:ind w:left="567" w:right="-2" w:hanging="513"/>
        <w:rPr>
          <w:bCs/>
          <w:szCs w:val="22"/>
        </w:rPr>
      </w:pPr>
      <w:r>
        <w:rPr>
          <w:bCs/>
          <w:szCs w:val="22"/>
        </w:rPr>
        <w:t>inkstų arba kepenų problemos;</w:t>
      </w:r>
    </w:p>
    <w:p w:rsidR="00577684" w:rsidRDefault="00577684" w:rsidP="00577684">
      <w:pPr>
        <w:numPr>
          <w:ilvl w:val="0"/>
          <w:numId w:val="3"/>
        </w:numPr>
        <w:tabs>
          <w:tab w:val="left" w:pos="0"/>
        </w:tabs>
        <w:ind w:left="567" w:right="-2" w:hanging="513"/>
        <w:rPr>
          <w:bCs/>
          <w:szCs w:val="22"/>
        </w:rPr>
      </w:pPr>
      <w:r>
        <w:rPr>
          <w:bCs/>
          <w:szCs w:val="22"/>
        </w:rPr>
        <w:t>kraujyje mažai trombocitų (kurie padeda kraujui krešėti) ar kraujavimo sutrikimai;</w:t>
      </w:r>
    </w:p>
    <w:p w:rsidR="00577684" w:rsidRDefault="00577684" w:rsidP="00577684">
      <w:pPr>
        <w:numPr>
          <w:ilvl w:val="0"/>
          <w:numId w:val="3"/>
        </w:numPr>
        <w:tabs>
          <w:tab w:val="left" w:pos="0"/>
        </w:tabs>
        <w:ind w:left="567" w:right="-2" w:hanging="513"/>
        <w:rPr>
          <w:bCs/>
          <w:szCs w:val="22"/>
        </w:rPr>
      </w:pPr>
      <w:r>
        <w:rPr>
          <w:bCs/>
          <w:szCs w:val="22"/>
        </w:rPr>
        <w:t>buvusios problemos dėl kraujo krešulių;</w:t>
      </w:r>
    </w:p>
    <w:p w:rsidR="00577684" w:rsidRDefault="00577684" w:rsidP="00577684">
      <w:pPr>
        <w:numPr>
          <w:ilvl w:val="0"/>
          <w:numId w:val="3"/>
        </w:numPr>
        <w:tabs>
          <w:tab w:val="left" w:pos="0"/>
        </w:tabs>
        <w:ind w:left="567" w:right="-2" w:hanging="513"/>
        <w:rPr>
          <w:bCs/>
          <w:szCs w:val="22"/>
        </w:rPr>
      </w:pPr>
      <w:r>
        <w:rPr>
          <w:bCs/>
          <w:szCs w:val="22"/>
        </w:rPr>
        <w:t>osteoporozė (kaulų tankio netekimas);</w:t>
      </w:r>
    </w:p>
    <w:p w:rsidR="00577684" w:rsidRDefault="00577684" w:rsidP="00577684">
      <w:pPr>
        <w:numPr>
          <w:ilvl w:val="0"/>
          <w:numId w:val="3"/>
        </w:numPr>
        <w:tabs>
          <w:tab w:val="left" w:pos="0"/>
        </w:tabs>
        <w:ind w:left="567" w:right="-2" w:hanging="513"/>
        <w:rPr>
          <w:bCs/>
          <w:szCs w:val="22"/>
        </w:rPr>
      </w:pPr>
      <w:r>
        <w:rPr>
          <w:bCs/>
          <w:szCs w:val="22"/>
        </w:rPr>
        <w:t>alkoholizmas.</w:t>
      </w:r>
    </w:p>
    <w:p w:rsidR="00577684" w:rsidRDefault="00577684" w:rsidP="00577684">
      <w:pPr>
        <w:tabs>
          <w:tab w:val="left" w:pos="0"/>
        </w:tabs>
        <w:ind w:right="-2"/>
        <w:rPr>
          <w:b/>
          <w:bCs/>
          <w:szCs w:val="22"/>
        </w:rPr>
      </w:pPr>
    </w:p>
    <w:p w:rsidR="00577684" w:rsidRDefault="00577684" w:rsidP="00577684">
      <w:pPr>
        <w:numPr>
          <w:ilvl w:val="12"/>
          <w:numId w:val="0"/>
        </w:numPr>
        <w:tabs>
          <w:tab w:val="left" w:pos="0"/>
        </w:tabs>
        <w:ind w:right="-2"/>
        <w:rPr>
          <w:b/>
          <w:bCs/>
          <w:szCs w:val="22"/>
        </w:rPr>
      </w:pPr>
      <w:r>
        <w:rPr>
          <w:b/>
          <w:bCs/>
          <w:szCs w:val="22"/>
        </w:rPr>
        <w:t>Vaikams ir paaugliams</w:t>
      </w:r>
    </w:p>
    <w:p w:rsidR="00577684" w:rsidRDefault="00577684" w:rsidP="00577684">
      <w:pPr>
        <w:numPr>
          <w:ilvl w:val="12"/>
          <w:numId w:val="0"/>
        </w:numPr>
        <w:tabs>
          <w:tab w:val="left" w:pos="0"/>
        </w:tabs>
        <w:ind w:right="-2"/>
        <w:rPr>
          <w:bCs/>
          <w:szCs w:val="22"/>
        </w:rPr>
      </w:pPr>
      <w:proofErr w:type="spellStart"/>
      <w:r>
        <w:rPr>
          <w:bCs/>
          <w:szCs w:val="22"/>
        </w:rPr>
        <w:t>Fulvestrant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Sandoz</w:t>
      </w:r>
      <w:proofErr w:type="spellEnd"/>
      <w:r>
        <w:rPr>
          <w:bCs/>
          <w:szCs w:val="22"/>
        </w:rPr>
        <w:t xml:space="preserve"> yra nerekomenduojamas vaikams ir jaunesniems kaip 18 metų amžiaus paaugliams.</w:t>
      </w:r>
    </w:p>
    <w:p w:rsidR="00577684" w:rsidRDefault="00577684" w:rsidP="00577684">
      <w:pPr>
        <w:tabs>
          <w:tab w:val="left" w:pos="567"/>
        </w:tabs>
        <w:ind w:left="567" w:hanging="567"/>
        <w:rPr>
          <w:szCs w:val="22"/>
        </w:rPr>
      </w:pPr>
    </w:p>
    <w:p w:rsidR="00577684" w:rsidRDefault="00577684" w:rsidP="00577684">
      <w:pPr>
        <w:keepNext/>
        <w:outlineLvl w:val="3"/>
        <w:rPr>
          <w:b/>
          <w:bCs/>
          <w:szCs w:val="22"/>
        </w:rPr>
      </w:pPr>
      <w:r>
        <w:rPr>
          <w:b/>
          <w:bCs/>
          <w:szCs w:val="22"/>
        </w:rPr>
        <w:t xml:space="preserve">Kiti vaistai ir </w:t>
      </w:r>
      <w:proofErr w:type="spellStart"/>
      <w:r>
        <w:rPr>
          <w:b/>
          <w:bCs/>
          <w:szCs w:val="22"/>
        </w:rPr>
        <w:t>Fulvestrant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Sandoz</w:t>
      </w:r>
      <w:proofErr w:type="spellEnd"/>
    </w:p>
    <w:p w:rsidR="00577684" w:rsidRDefault="00577684" w:rsidP="00577684">
      <w:pPr>
        <w:tabs>
          <w:tab w:val="left" w:pos="567"/>
        </w:tabs>
        <w:rPr>
          <w:szCs w:val="22"/>
        </w:rPr>
      </w:pPr>
      <w:r>
        <w:rPr>
          <w:szCs w:val="22"/>
        </w:rPr>
        <w:t>Jeigu vartojate ar neseniai vartojote kitų vaistų arba dėl to nesate tikri, apie tai pasakykite gydytojui arba vaistininkui.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  <w:r>
        <w:rPr>
          <w:szCs w:val="22"/>
        </w:rPr>
        <w:t>Ypač svarbu pasakyti savo gydytojui, jeigu vartojate antikoaguliantų (vaistų, neleidžiančių atsirasti kraujo krešuliams).</w:t>
      </w:r>
    </w:p>
    <w:p w:rsidR="00577684" w:rsidRDefault="00577684" w:rsidP="00577684">
      <w:pPr>
        <w:rPr>
          <w:szCs w:val="22"/>
        </w:rPr>
      </w:pPr>
    </w:p>
    <w:p w:rsidR="00577684" w:rsidRDefault="00577684" w:rsidP="00577684">
      <w:pPr>
        <w:keepNext/>
        <w:outlineLvl w:val="3"/>
        <w:rPr>
          <w:b/>
          <w:bCs/>
          <w:szCs w:val="22"/>
        </w:rPr>
      </w:pPr>
      <w:r>
        <w:rPr>
          <w:b/>
          <w:bCs/>
          <w:szCs w:val="22"/>
        </w:rPr>
        <w:t>Nėštumas ir žindymo laikotarpis</w:t>
      </w:r>
    </w:p>
    <w:p w:rsidR="00577684" w:rsidRDefault="00577684" w:rsidP="00577684">
      <w:pPr>
        <w:rPr>
          <w:szCs w:val="22"/>
        </w:rPr>
      </w:pPr>
      <w:r>
        <w:rPr>
          <w:szCs w:val="22"/>
        </w:rPr>
        <w:t>Jeigu esate nėščia, žindote kūdikį, manote, kad galbūt esate nėščia, arba planuojate pastoti, tai prieš vartodama šį vaistą, pasitarkite su savo gydytoju.</w:t>
      </w:r>
    </w:p>
    <w:p w:rsidR="00577684" w:rsidRDefault="00577684" w:rsidP="00577684">
      <w:pPr>
        <w:rPr>
          <w:szCs w:val="22"/>
        </w:rPr>
      </w:pPr>
      <w:proofErr w:type="spellStart"/>
      <w:r>
        <w:rPr>
          <w:bCs/>
          <w:szCs w:val="22"/>
        </w:rPr>
        <w:t>Fulvestrant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Sandoz</w:t>
      </w:r>
      <w:proofErr w:type="spellEnd"/>
      <w:r>
        <w:rPr>
          <w:szCs w:val="22"/>
        </w:rPr>
        <w:t xml:space="preserve"> privalote nevartoti, jeigu esate nėščia. Jeigu galite pastoti, gydymo </w:t>
      </w:r>
      <w:proofErr w:type="spellStart"/>
      <w:r>
        <w:rPr>
          <w:bCs/>
          <w:szCs w:val="22"/>
        </w:rPr>
        <w:t>Fulvestrant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Sandoz</w:t>
      </w:r>
      <w:proofErr w:type="spellEnd"/>
      <w:r>
        <w:rPr>
          <w:szCs w:val="22"/>
        </w:rPr>
        <w:t xml:space="preserve"> laikotarpiu ir </w:t>
      </w:r>
      <w:r w:rsidRPr="00EE0F68">
        <w:rPr>
          <w:szCs w:val="22"/>
        </w:rPr>
        <w:t>2</w:t>
      </w:r>
      <w:r>
        <w:rPr>
          <w:szCs w:val="22"/>
        </w:rPr>
        <w:t xml:space="preserve"> metus po savo paskutinės dozės suvartojimo turite taikyti veiksmingą kontracepcijos metodą.</w:t>
      </w:r>
    </w:p>
    <w:p w:rsidR="00577684" w:rsidRDefault="00577684" w:rsidP="00577684">
      <w:pPr>
        <w:rPr>
          <w:szCs w:val="22"/>
        </w:rPr>
      </w:pPr>
    </w:p>
    <w:p w:rsidR="00577684" w:rsidRDefault="00577684" w:rsidP="00577684">
      <w:pPr>
        <w:rPr>
          <w:szCs w:val="22"/>
        </w:rPr>
      </w:pPr>
      <w:r>
        <w:rPr>
          <w:szCs w:val="22"/>
        </w:rPr>
        <w:t xml:space="preserve">Privalote nežindyti, kol taikomas gydymas </w:t>
      </w:r>
      <w:proofErr w:type="spellStart"/>
      <w:r>
        <w:rPr>
          <w:bCs/>
          <w:szCs w:val="22"/>
        </w:rPr>
        <w:t>Fulvestrant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Sandoz</w:t>
      </w:r>
      <w:proofErr w:type="spellEnd"/>
      <w:r>
        <w:rPr>
          <w:szCs w:val="22"/>
        </w:rPr>
        <w:t>.</w:t>
      </w:r>
    </w:p>
    <w:p w:rsidR="00577684" w:rsidRDefault="00577684" w:rsidP="00577684">
      <w:pPr>
        <w:rPr>
          <w:szCs w:val="22"/>
        </w:rPr>
      </w:pPr>
    </w:p>
    <w:p w:rsidR="00577684" w:rsidRDefault="00577684" w:rsidP="00577684">
      <w:pPr>
        <w:rPr>
          <w:b/>
          <w:bCs/>
          <w:szCs w:val="22"/>
        </w:rPr>
      </w:pPr>
      <w:r>
        <w:rPr>
          <w:b/>
          <w:bCs/>
          <w:szCs w:val="22"/>
        </w:rPr>
        <w:t>Vairavimas ir mechanizmų valdymas</w:t>
      </w:r>
    </w:p>
    <w:p w:rsidR="00577684" w:rsidRDefault="00577684" w:rsidP="00577684">
      <w:pPr>
        <w:rPr>
          <w:szCs w:val="22"/>
        </w:rPr>
      </w:pPr>
      <w:r>
        <w:rPr>
          <w:szCs w:val="22"/>
        </w:rPr>
        <w:t xml:space="preserve">Jūsų gebėjimo vairuoti ir valdyti mechanizmus </w:t>
      </w:r>
      <w:proofErr w:type="spellStart"/>
      <w:r>
        <w:rPr>
          <w:bCs/>
          <w:szCs w:val="22"/>
        </w:rPr>
        <w:t>Fulvestrant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Sandoz</w:t>
      </w:r>
      <w:proofErr w:type="spellEnd"/>
      <w:r>
        <w:rPr>
          <w:szCs w:val="22"/>
        </w:rPr>
        <w:t xml:space="preserve"> neturėtų paveikti. Vis dėlto, jeigu po gydymo jaučiate nuovargį, atsisakykite vairuoti ar valdyti mechanizmus.</w:t>
      </w:r>
    </w:p>
    <w:p w:rsidR="00577684" w:rsidRDefault="00577684" w:rsidP="00577684">
      <w:pPr>
        <w:rPr>
          <w:b/>
          <w:bCs/>
          <w:szCs w:val="22"/>
        </w:rPr>
      </w:pPr>
    </w:p>
    <w:p w:rsidR="00577684" w:rsidRDefault="00577684" w:rsidP="00577684">
      <w:pPr>
        <w:rPr>
          <w:szCs w:val="22"/>
        </w:rPr>
      </w:pPr>
      <w:proofErr w:type="spellStart"/>
      <w:r>
        <w:rPr>
          <w:b/>
          <w:bCs/>
          <w:szCs w:val="22"/>
        </w:rPr>
        <w:t>Fulvestrant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Sandoz</w:t>
      </w:r>
      <w:proofErr w:type="spellEnd"/>
      <w:r>
        <w:rPr>
          <w:b/>
          <w:bCs/>
          <w:szCs w:val="22"/>
        </w:rPr>
        <w:t xml:space="preserve"> sudėtyje yra etanolio, </w:t>
      </w:r>
      <w:proofErr w:type="spellStart"/>
      <w:r>
        <w:rPr>
          <w:b/>
          <w:bCs/>
          <w:szCs w:val="22"/>
        </w:rPr>
        <w:t>benzilo</w:t>
      </w:r>
      <w:proofErr w:type="spellEnd"/>
      <w:r>
        <w:rPr>
          <w:b/>
          <w:bCs/>
          <w:szCs w:val="22"/>
        </w:rPr>
        <w:t xml:space="preserve"> alkoholio ir </w:t>
      </w:r>
      <w:proofErr w:type="spellStart"/>
      <w:r>
        <w:rPr>
          <w:b/>
          <w:bCs/>
          <w:szCs w:val="22"/>
        </w:rPr>
        <w:t>benzilbenzoato</w:t>
      </w:r>
      <w:proofErr w:type="spellEnd"/>
      <w:r w:rsidRPr="009B558C">
        <w:rPr>
          <w:b/>
        </w:rPr>
        <w:t xml:space="preserve"> </w:t>
      </w:r>
    </w:p>
    <w:p w:rsidR="00577684" w:rsidRDefault="00577684" w:rsidP="00577684">
      <w:pPr>
        <w:rPr>
          <w:szCs w:val="22"/>
          <w:lang w:eastAsia="en-US"/>
        </w:rPr>
      </w:pPr>
      <w:r>
        <w:rPr>
          <w:szCs w:val="22"/>
          <w:lang w:eastAsia="en-US"/>
        </w:rPr>
        <w:t xml:space="preserve">Šio vaisto paskirtoje dozėje yra 1000 mg alkoholio (96 % etanolio), tai atitinka 100 mg/ml (10 % masės/tūryje). </w:t>
      </w:r>
    </w:p>
    <w:p w:rsidR="00577684" w:rsidRPr="0077444B" w:rsidRDefault="00577684" w:rsidP="00577684">
      <w:r>
        <w:rPr>
          <w:szCs w:val="22"/>
          <w:lang w:eastAsia="en-US"/>
        </w:rPr>
        <w:t xml:space="preserve">Toks paskirtoje dozėje esantis kiekis </w:t>
      </w:r>
      <w:r w:rsidRPr="001D5BFE">
        <w:rPr>
          <w:szCs w:val="22"/>
          <w:lang w:eastAsia="en-US"/>
        </w:rPr>
        <w:t xml:space="preserve">atitinka mažiau </w:t>
      </w:r>
      <w:r>
        <w:rPr>
          <w:szCs w:val="22"/>
          <w:lang w:eastAsia="en-US"/>
        </w:rPr>
        <w:t>kaip</w:t>
      </w:r>
      <w:r w:rsidRPr="001D5BFE">
        <w:rPr>
          <w:szCs w:val="22"/>
          <w:lang w:eastAsia="en-US"/>
        </w:rPr>
        <w:t xml:space="preserve"> 24</w:t>
      </w:r>
      <w:r>
        <w:rPr>
          <w:szCs w:val="22"/>
          <w:lang w:eastAsia="en-US"/>
        </w:rPr>
        <w:t> </w:t>
      </w:r>
      <w:r w:rsidRPr="001D5BFE">
        <w:rPr>
          <w:szCs w:val="22"/>
          <w:lang w:eastAsia="en-US"/>
        </w:rPr>
        <w:t>ml alaus ar 10</w:t>
      </w:r>
      <w:r>
        <w:rPr>
          <w:szCs w:val="22"/>
          <w:lang w:eastAsia="en-US"/>
        </w:rPr>
        <w:t> </w:t>
      </w:r>
      <w:r w:rsidRPr="001D5BFE">
        <w:rPr>
          <w:szCs w:val="22"/>
          <w:lang w:eastAsia="en-US"/>
        </w:rPr>
        <w:t xml:space="preserve">ml vyno. </w:t>
      </w:r>
    </w:p>
    <w:p w:rsidR="00577684" w:rsidRDefault="00577684" w:rsidP="00577684">
      <w:pPr>
        <w:rPr>
          <w:szCs w:val="22"/>
        </w:rPr>
      </w:pPr>
      <w:r w:rsidRPr="009504F2">
        <w:rPr>
          <w:szCs w:val="22"/>
          <w:lang w:eastAsia="en-US"/>
        </w:rPr>
        <w:t>Mažas</w:t>
      </w:r>
      <w:r w:rsidRPr="0077444B">
        <w:t xml:space="preserve"> alkoholio</w:t>
      </w:r>
      <w:r w:rsidRPr="009504F2">
        <w:rPr>
          <w:szCs w:val="22"/>
          <w:lang w:eastAsia="en-US"/>
        </w:rPr>
        <w:t xml:space="preserve"> kiekis, esantis šio vaist</w:t>
      </w:r>
      <w:r>
        <w:rPr>
          <w:szCs w:val="22"/>
          <w:lang w:eastAsia="en-US"/>
        </w:rPr>
        <w:t>o</w:t>
      </w:r>
      <w:r w:rsidRPr="009504F2">
        <w:rPr>
          <w:szCs w:val="22"/>
          <w:lang w:eastAsia="en-US"/>
        </w:rPr>
        <w:t xml:space="preserve"> sudėtyje,</w:t>
      </w:r>
      <w:r>
        <w:rPr>
          <w:szCs w:val="22"/>
          <w:lang w:eastAsia="en-US"/>
        </w:rPr>
        <w:t xml:space="preserve"> </w:t>
      </w:r>
      <w:r w:rsidRPr="009504F2">
        <w:rPr>
          <w:szCs w:val="22"/>
          <w:lang w:eastAsia="en-US"/>
        </w:rPr>
        <w:t>nesukelia pastebimo poveikio</w:t>
      </w:r>
      <w:r>
        <w:rPr>
          <w:szCs w:val="22"/>
          <w:lang w:eastAsia="en-US"/>
        </w:rPr>
        <w:t>.</w:t>
      </w:r>
    </w:p>
    <w:p w:rsidR="00577684" w:rsidRPr="00B77163" w:rsidRDefault="00577684" w:rsidP="00577684">
      <w:pPr>
        <w:rPr>
          <w:b/>
        </w:rPr>
      </w:pPr>
    </w:p>
    <w:p w:rsidR="00577684" w:rsidRDefault="00577684" w:rsidP="00577684">
      <w:pPr>
        <w:rPr>
          <w:szCs w:val="22"/>
        </w:rPr>
      </w:pPr>
      <w:r>
        <w:rPr>
          <w:bCs/>
          <w:szCs w:val="22"/>
        </w:rPr>
        <w:t>Š</w:t>
      </w:r>
      <w:r>
        <w:rPr>
          <w:szCs w:val="22"/>
        </w:rPr>
        <w:t xml:space="preserve">io vaisto paskirtoje dozėje yra 1000 mg </w:t>
      </w:r>
      <w:proofErr w:type="spellStart"/>
      <w:r>
        <w:rPr>
          <w:szCs w:val="22"/>
        </w:rPr>
        <w:t>benzilo</w:t>
      </w:r>
      <w:proofErr w:type="spellEnd"/>
      <w:r>
        <w:rPr>
          <w:szCs w:val="22"/>
        </w:rPr>
        <w:t xml:space="preserve"> alkoholio,</w:t>
      </w:r>
      <w:r w:rsidRPr="00FB0CC7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tai atitinka 100 mg/ml</w:t>
      </w:r>
      <w:r>
        <w:rPr>
          <w:szCs w:val="22"/>
        </w:rPr>
        <w:t xml:space="preserve">. </w:t>
      </w:r>
    </w:p>
    <w:p w:rsidR="00577684" w:rsidRDefault="00577684" w:rsidP="00577684">
      <w:pPr>
        <w:rPr>
          <w:szCs w:val="22"/>
        </w:rPr>
      </w:pPr>
      <w:proofErr w:type="spellStart"/>
      <w:r>
        <w:rPr>
          <w:szCs w:val="22"/>
        </w:rPr>
        <w:t>Benzilo</w:t>
      </w:r>
      <w:proofErr w:type="spellEnd"/>
      <w:r>
        <w:rPr>
          <w:szCs w:val="22"/>
        </w:rPr>
        <w:t xml:space="preserve"> alkoholis gali sukelti alerginių reakcijų.</w:t>
      </w:r>
    </w:p>
    <w:p w:rsidR="00577684" w:rsidRDefault="00577684" w:rsidP="00577684">
      <w:pPr>
        <w:rPr>
          <w:szCs w:val="22"/>
        </w:rPr>
      </w:pPr>
      <w:r>
        <w:rPr>
          <w:szCs w:val="22"/>
        </w:rPr>
        <w:t xml:space="preserve">Mažiems vaikams </w:t>
      </w:r>
      <w:proofErr w:type="spellStart"/>
      <w:r>
        <w:rPr>
          <w:szCs w:val="22"/>
        </w:rPr>
        <w:t>benzilo</w:t>
      </w:r>
      <w:proofErr w:type="spellEnd"/>
      <w:r>
        <w:rPr>
          <w:szCs w:val="22"/>
        </w:rPr>
        <w:t xml:space="preserve"> alkoholis siejamas su sunkaus šalutinio poveikio, įskaitant kvėpavimo sutrikimą (vadinamąjį </w:t>
      </w:r>
      <w:proofErr w:type="spellStart"/>
      <w:r>
        <w:rPr>
          <w:szCs w:val="22"/>
        </w:rPr>
        <w:t>žiobčiojimo</w:t>
      </w:r>
      <w:proofErr w:type="spellEnd"/>
      <w:r>
        <w:rPr>
          <w:szCs w:val="22"/>
        </w:rPr>
        <w:t xml:space="preserve"> sindromą), rizika.</w:t>
      </w:r>
    </w:p>
    <w:p w:rsidR="00577684" w:rsidRDefault="00577684" w:rsidP="00577684">
      <w:pPr>
        <w:rPr>
          <w:szCs w:val="22"/>
        </w:rPr>
      </w:pPr>
      <w:r>
        <w:rPr>
          <w:szCs w:val="22"/>
        </w:rPr>
        <w:t>Neduokite savo naujagimiui (iki 4 savaičių), nebent tai patarė gydytojas.</w:t>
      </w:r>
    </w:p>
    <w:p w:rsidR="00577684" w:rsidRDefault="00577684" w:rsidP="00577684">
      <w:pPr>
        <w:rPr>
          <w:szCs w:val="22"/>
        </w:rPr>
      </w:pPr>
    </w:p>
    <w:p w:rsidR="00577684" w:rsidRDefault="00577684" w:rsidP="00577684">
      <w:pPr>
        <w:rPr>
          <w:szCs w:val="22"/>
        </w:rPr>
      </w:pPr>
      <w:r>
        <w:rPr>
          <w:szCs w:val="22"/>
        </w:rPr>
        <w:t>Nevartokite ilgiau nei savaitę mažiems vaikams (jaunesniems kaip 3 metų), nebent tai patarė gydytojas arba vaistininkas.</w:t>
      </w:r>
    </w:p>
    <w:p w:rsidR="00577684" w:rsidRDefault="00577684" w:rsidP="00577684">
      <w:pPr>
        <w:rPr>
          <w:szCs w:val="22"/>
        </w:rPr>
      </w:pPr>
      <w:r>
        <w:rPr>
          <w:szCs w:val="22"/>
        </w:rPr>
        <w:t>Pasitarkite su</w:t>
      </w:r>
      <w:r w:rsidRPr="009C2EEF">
        <w:rPr>
          <w:szCs w:val="22"/>
        </w:rPr>
        <w:t xml:space="preserve"> gydytoj</w:t>
      </w:r>
      <w:r>
        <w:rPr>
          <w:szCs w:val="22"/>
        </w:rPr>
        <w:t>u</w:t>
      </w:r>
      <w:r w:rsidRPr="009C2EEF">
        <w:rPr>
          <w:szCs w:val="22"/>
        </w:rPr>
        <w:t xml:space="preserve"> arba vaistinink</w:t>
      </w:r>
      <w:r>
        <w:rPr>
          <w:szCs w:val="22"/>
        </w:rPr>
        <w:t>u</w:t>
      </w:r>
      <w:r w:rsidRPr="009C2EEF">
        <w:rPr>
          <w:szCs w:val="22"/>
        </w:rPr>
        <w:t xml:space="preserve">, jeigu </w:t>
      </w:r>
      <w:r>
        <w:rPr>
          <w:szCs w:val="22"/>
        </w:rPr>
        <w:t xml:space="preserve">sergate kepenų arba inkstų ligomis, kadangi </w:t>
      </w:r>
      <w:r w:rsidRPr="009C2EEF">
        <w:rPr>
          <w:szCs w:val="22"/>
        </w:rPr>
        <w:t xml:space="preserve">didelis </w:t>
      </w:r>
      <w:proofErr w:type="spellStart"/>
      <w:r w:rsidRPr="009C2EEF">
        <w:rPr>
          <w:szCs w:val="22"/>
        </w:rPr>
        <w:t>benzilo</w:t>
      </w:r>
      <w:proofErr w:type="spellEnd"/>
      <w:r w:rsidRPr="009C2EEF">
        <w:rPr>
          <w:szCs w:val="22"/>
        </w:rPr>
        <w:t xml:space="preserve"> alkoholio </w:t>
      </w:r>
      <w:r>
        <w:rPr>
          <w:szCs w:val="22"/>
        </w:rPr>
        <w:t xml:space="preserve">kiekis </w:t>
      </w:r>
      <w:r w:rsidRPr="009C2EEF">
        <w:rPr>
          <w:szCs w:val="22"/>
        </w:rPr>
        <w:t>gali kauptis Jūsų organizme ir sukelti šalutinį poveikį (vadinamą</w:t>
      </w:r>
      <w:r>
        <w:rPr>
          <w:szCs w:val="22"/>
        </w:rPr>
        <w:t>ją</w:t>
      </w:r>
      <w:r w:rsidRPr="009C2EEF">
        <w:rPr>
          <w:szCs w:val="22"/>
        </w:rPr>
        <w:t xml:space="preserve"> </w:t>
      </w:r>
      <w:proofErr w:type="spellStart"/>
      <w:r w:rsidRPr="009C2EEF">
        <w:rPr>
          <w:szCs w:val="22"/>
        </w:rPr>
        <w:t>metabolinę</w:t>
      </w:r>
      <w:proofErr w:type="spellEnd"/>
      <w:r w:rsidRPr="009C2EEF">
        <w:rPr>
          <w:szCs w:val="22"/>
        </w:rPr>
        <w:t xml:space="preserve"> </w:t>
      </w:r>
      <w:proofErr w:type="spellStart"/>
      <w:r w:rsidRPr="009C2EEF">
        <w:rPr>
          <w:szCs w:val="22"/>
        </w:rPr>
        <w:t>acidozę</w:t>
      </w:r>
      <w:proofErr w:type="spellEnd"/>
      <w:r w:rsidRPr="009C2EEF">
        <w:rPr>
          <w:szCs w:val="22"/>
        </w:rPr>
        <w:t>).</w:t>
      </w:r>
    </w:p>
    <w:p w:rsidR="00577684" w:rsidRDefault="00577684" w:rsidP="00577684">
      <w:pPr>
        <w:rPr>
          <w:szCs w:val="22"/>
        </w:rPr>
      </w:pPr>
    </w:p>
    <w:p w:rsidR="00577684" w:rsidRDefault="00577684" w:rsidP="00577684">
      <w:pPr>
        <w:rPr>
          <w:b/>
          <w:bCs/>
          <w:szCs w:val="22"/>
        </w:rPr>
      </w:pPr>
      <w:proofErr w:type="spellStart"/>
      <w:r>
        <w:rPr>
          <w:b/>
          <w:bCs/>
          <w:szCs w:val="22"/>
        </w:rPr>
        <w:t>Fulvestrant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Sandoz</w:t>
      </w:r>
      <w:proofErr w:type="spellEnd"/>
      <w:r>
        <w:rPr>
          <w:b/>
          <w:bCs/>
          <w:szCs w:val="22"/>
        </w:rPr>
        <w:t xml:space="preserve"> sudėtyje yra </w:t>
      </w:r>
      <w:proofErr w:type="spellStart"/>
      <w:r>
        <w:rPr>
          <w:b/>
          <w:bCs/>
          <w:szCs w:val="22"/>
        </w:rPr>
        <w:t>benzilbezoato</w:t>
      </w:r>
      <w:proofErr w:type="spellEnd"/>
    </w:p>
    <w:p w:rsidR="00577684" w:rsidRDefault="00577684" w:rsidP="00577684">
      <w:pPr>
        <w:rPr>
          <w:szCs w:val="22"/>
        </w:rPr>
      </w:pPr>
      <w:r>
        <w:rPr>
          <w:bCs/>
          <w:szCs w:val="22"/>
        </w:rPr>
        <w:t>Š</w:t>
      </w:r>
      <w:r>
        <w:rPr>
          <w:szCs w:val="22"/>
        </w:rPr>
        <w:t xml:space="preserve">io vaisto paskirtoje dozėje yra 1500 mg </w:t>
      </w:r>
      <w:proofErr w:type="spellStart"/>
      <w:r>
        <w:rPr>
          <w:szCs w:val="22"/>
        </w:rPr>
        <w:t>benzilbenzoato</w:t>
      </w:r>
      <w:proofErr w:type="spellEnd"/>
      <w:r>
        <w:rPr>
          <w:szCs w:val="22"/>
        </w:rPr>
        <w:t>,</w:t>
      </w:r>
      <w:r w:rsidRPr="00FB0CC7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 xml:space="preserve">tai atitinka </w:t>
      </w:r>
      <w:r>
        <w:rPr>
          <w:szCs w:val="22"/>
        </w:rPr>
        <w:t xml:space="preserve">150 mg/ml. </w:t>
      </w:r>
    </w:p>
    <w:p w:rsidR="00577684" w:rsidRDefault="00577684" w:rsidP="00577684">
      <w:pPr>
        <w:rPr>
          <w:szCs w:val="22"/>
        </w:rPr>
      </w:pPr>
      <w:proofErr w:type="spellStart"/>
      <w:r>
        <w:rPr>
          <w:szCs w:val="22"/>
        </w:rPr>
        <w:t>Benzilbenzoatas</w:t>
      </w:r>
      <w:proofErr w:type="spellEnd"/>
      <w:r>
        <w:rPr>
          <w:szCs w:val="22"/>
        </w:rPr>
        <w:t xml:space="preserve"> </w:t>
      </w:r>
      <w:r w:rsidRPr="009C2EEF">
        <w:rPr>
          <w:szCs w:val="22"/>
        </w:rPr>
        <w:t>naujagimi</w:t>
      </w:r>
      <w:r>
        <w:rPr>
          <w:szCs w:val="22"/>
        </w:rPr>
        <w:t>ams</w:t>
      </w:r>
      <w:r w:rsidRPr="009C2EEF">
        <w:rPr>
          <w:szCs w:val="22"/>
        </w:rPr>
        <w:t xml:space="preserve"> (</w:t>
      </w:r>
      <w:r>
        <w:rPr>
          <w:szCs w:val="22"/>
        </w:rPr>
        <w:t>iki</w:t>
      </w:r>
      <w:r w:rsidRPr="009C2EEF">
        <w:rPr>
          <w:szCs w:val="22"/>
        </w:rPr>
        <w:t xml:space="preserve"> 4 savaičių)</w:t>
      </w:r>
      <w:r>
        <w:rPr>
          <w:szCs w:val="22"/>
        </w:rPr>
        <w:t xml:space="preserve"> gali sunkinti geltą (odos ir akių pageltimą).</w:t>
      </w:r>
    </w:p>
    <w:p w:rsidR="00577684" w:rsidRDefault="00577684" w:rsidP="00577684">
      <w:pPr>
        <w:rPr>
          <w:rFonts w:eastAsia="Calibri"/>
          <w:szCs w:val="22"/>
          <w:highlight w:val="lightGray"/>
        </w:rPr>
      </w:pPr>
    </w:p>
    <w:p w:rsidR="00577684" w:rsidRDefault="00577684" w:rsidP="00577684">
      <w:pPr>
        <w:rPr>
          <w:szCs w:val="22"/>
        </w:rPr>
      </w:pPr>
    </w:p>
    <w:p w:rsidR="00577684" w:rsidRDefault="00577684" w:rsidP="00577684">
      <w:pPr>
        <w:keepNext/>
        <w:tabs>
          <w:tab w:val="left" w:pos="567"/>
        </w:tabs>
        <w:outlineLvl w:val="2"/>
        <w:rPr>
          <w:b/>
        </w:rPr>
      </w:pPr>
      <w:r>
        <w:rPr>
          <w:b/>
        </w:rPr>
        <w:lastRenderedPageBreak/>
        <w:t>3.</w:t>
      </w:r>
      <w:r>
        <w:rPr>
          <w:b/>
        </w:rPr>
        <w:tab/>
        <w:t xml:space="preserve">Kaip vartoti </w:t>
      </w:r>
      <w:proofErr w:type="spellStart"/>
      <w:r>
        <w:rPr>
          <w:b/>
          <w:bCs/>
        </w:rPr>
        <w:t>Fulvestrant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Sandoz</w:t>
      </w:r>
      <w:proofErr w:type="spellEnd"/>
    </w:p>
    <w:p w:rsidR="00577684" w:rsidRDefault="00577684" w:rsidP="00577684">
      <w:pPr>
        <w:tabs>
          <w:tab w:val="left" w:pos="567"/>
        </w:tabs>
        <w:ind w:left="567" w:hanging="567"/>
        <w:rPr>
          <w:szCs w:val="22"/>
        </w:rPr>
      </w:pPr>
    </w:p>
    <w:p w:rsidR="00577684" w:rsidRDefault="00577684" w:rsidP="00577684">
      <w:pPr>
        <w:tabs>
          <w:tab w:val="left" w:pos="0"/>
        </w:tabs>
        <w:rPr>
          <w:szCs w:val="22"/>
        </w:rPr>
      </w:pPr>
      <w:r>
        <w:rPr>
          <w:szCs w:val="22"/>
        </w:rPr>
        <w:t>Visada vartokite šį vaistą tiksliai kaip nurodė gydytojas arba vaistininkas. Jeigu abejojate, kreipkitės į gydytoją arba vaistininką.</w:t>
      </w:r>
    </w:p>
    <w:p w:rsidR="00577684" w:rsidRDefault="00577684" w:rsidP="00577684">
      <w:pPr>
        <w:tabs>
          <w:tab w:val="left" w:pos="0"/>
        </w:tabs>
        <w:rPr>
          <w:szCs w:val="22"/>
        </w:rPr>
      </w:pPr>
    </w:p>
    <w:p w:rsidR="00577684" w:rsidRDefault="00577684" w:rsidP="00577684">
      <w:pPr>
        <w:tabs>
          <w:tab w:val="left" w:pos="0"/>
        </w:tabs>
        <w:rPr>
          <w:szCs w:val="22"/>
        </w:rPr>
      </w:pPr>
      <w:r>
        <w:rPr>
          <w:szCs w:val="22"/>
        </w:rPr>
        <w:t>Dozavimas yra individualiai parinktas Jums Jūsų gydytojo.</w:t>
      </w:r>
    </w:p>
    <w:p w:rsidR="00577684" w:rsidRDefault="00577684" w:rsidP="00577684">
      <w:pPr>
        <w:tabs>
          <w:tab w:val="left" w:pos="0"/>
        </w:tabs>
        <w:rPr>
          <w:szCs w:val="22"/>
        </w:rPr>
      </w:pPr>
    </w:p>
    <w:p w:rsidR="00577684" w:rsidRDefault="00577684" w:rsidP="00577684">
      <w:pPr>
        <w:tabs>
          <w:tab w:val="left" w:pos="0"/>
        </w:tabs>
        <w:rPr>
          <w:szCs w:val="22"/>
        </w:rPr>
      </w:pPr>
      <w:r>
        <w:rPr>
          <w:szCs w:val="22"/>
        </w:rPr>
        <w:t xml:space="preserve">Rekomenduojama dozė yra 500 mg </w:t>
      </w:r>
      <w:proofErr w:type="spellStart"/>
      <w:r>
        <w:rPr>
          <w:szCs w:val="22"/>
        </w:rPr>
        <w:t>fulvestranto</w:t>
      </w:r>
      <w:proofErr w:type="spellEnd"/>
      <w:r>
        <w:rPr>
          <w:szCs w:val="22"/>
        </w:rPr>
        <w:t xml:space="preserve"> (dvi injekcijos po 250 mg), skiriamo 1 kartą per mėnesį kartu su papildoma 500 mg doze, skiriama praėjus 2 savaitėms po pradinės dozės.</w:t>
      </w:r>
    </w:p>
    <w:p w:rsidR="00577684" w:rsidRDefault="00577684" w:rsidP="00577684">
      <w:pPr>
        <w:tabs>
          <w:tab w:val="left" w:pos="0"/>
        </w:tabs>
        <w:rPr>
          <w:szCs w:val="22"/>
        </w:rPr>
      </w:pPr>
    </w:p>
    <w:p w:rsidR="00577684" w:rsidRDefault="00577684" w:rsidP="00577684">
      <w:pPr>
        <w:tabs>
          <w:tab w:val="left" w:pos="0"/>
        </w:tabs>
        <w:rPr>
          <w:szCs w:val="22"/>
        </w:rPr>
      </w:pPr>
      <w:r>
        <w:rPr>
          <w:szCs w:val="22"/>
        </w:rPr>
        <w:t xml:space="preserve">Jūsų gydytojas arba slaugytojas lėtai suleis vieną </w:t>
      </w:r>
      <w:proofErr w:type="spellStart"/>
      <w:r>
        <w:rPr>
          <w:bCs/>
          <w:szCs w:val="22"/>
        </w:rPr>
        <w:t>Fulvestrant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Cs/>
          <w:szCs w:val="22"/>
        </w:rPr>
        <w:t>Sandoz</w:t>
      </w:r>
      <w:proofErr w:type="spellEnd"/>
      <w:r>
        <w:rPr>
          <w:szCs w:val="22"/>
        </w:rPr>
        <w:t xml:space="preserve"> injekciją į kiekvieną Jūsų sėdmenį.</w:t>
      </w:r>
    </w:p>
    <w:p w:rsidR="00577684" w:rsidRDefault="00577684" w:rsidP="00577684">
      <w:pPr>
        <w:tabs>
          <w:tab w:val="left" w:pos="0"/>
        </w:tabs>
        <w:rPr>
          <w:szCs w:val="22"/>
        </w:rPr>
      </w:pPr>
    </w:p>
    <w:p w:rsidR="00577684" w:rsidRDefault="00577684" w:rsidP="00577684">
      <w:pPr>
        <w:tabs>
          <w:tab w:val="left" w:pos="0"/>
        </w:tabs>
        <w:rPr>
          <w:szCs w:val="22"/>
        </w:rPr>
      </w:pPr>
      <w:r w:rsidRPr="00E24F77">
        <w:rPr>
          <w:szCs w:val="22"/>
        </w:rPr>
        <w:t>Jeigu kiltų daugiau klausimų dėl šio vaisto vartojimo, kreipkitės į gydytoją, vaistininką arba</w:t>
      </w:r>
      <w:r>
        <w:rPr>
          <w:szCs w:val="22"/>
        </w:rPr>
        <w:t xml:space="preserve"> </w:t>
      </w:r>
      <w:r w:rsidRPr="00E24F77">
        <w:rPr>
          <w:szCs w:val="22"/>
        </w:rPr>
        <w:t>slaugytoją.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keepNext/>
        <w:tabs>
          <w:tab w:val="left" w:pos="567"/>
        </w:tabs>
        <w:outlineLvl w:val="2"/>
        <w:rPr>
          <w:b/>
        </w:rPr>
      </w:pPr>
      <w:r>
        <w:rPr>
          <w:b/>
        </w:rPr>
        <w:t>4.</w:t>
      </w:r>
      <w:r>
        <w:rPr>
          <w:b/>
        </w:rPr>
        <w:tab/>
        <w:t>Galimas šalutinis poveikis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szCs w:val="22"/>
        </w:rPr>
      </w:pPr>
      <w:r>
        <w:rPr>
          <w:szCs w:val="22"/>
        </w:rPr>
        <w:t>Šis vaistas, kaip ir visi kiti, gali sukelti šalutinį poveikį, nors jis pasireiškia ne visiems žmonėms.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b/>
          <w:bCs/>
          <w:szCs w:val="22"/>
        </w:rPr>
      </w:pPr>
      <w:r>
        <w:rPr>
          <w:b/>
          <w:bCs/>
          <w:szCs w:val="22"/>
        </w:rPr>
        <w:t>Jums gali prireikti skubaus medicininio gydymo, jeigu Jums pasireiškia kuris nors toliau išvardytas šalutinis poveikis:</w:t>
      </w:r>
    </w:p>
    <w:p w:rsidR="00577684" w:rsidRPr="00CA3E65" w:rsidRDefault="00577684" w:rsidP="00577684">
      <w:pPr>
        <w:pStyle w:val="Sraopastraipa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2C08DA">
        <w:rPr>
          <w:szCs w:val="22"/>
        </w:rPr>
        <w:t xml:space="preserve">alerginė (padidėjusio jautrumo) reakcija: veido, lūpų, liežuvio ir (arba) gerklės patinimas - </w:t>
      </w:r>
      <w:r w:rsidRPr="003F40E1">
        <w:rPr>
          <w:szCs w:val="22"/>
        </w:rPr>
        <w:t>tai gali būti anafilaksinės reakcijos požymiai</w:t>
      </w:r>
      <w:r w:rsidRPr="00CA3E65">
        <w:rPr>
          <w:szCs w:val="22"/>
        </w:rPr>
        <w:t>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proofErr w:type="spellStart"/>
      <w:r>
        <w:rPr>
          <w:szCs w:val="22"/>
        </w:rPr>
        <w:t>tromboembolija</w:t>
      </w:r>
      <w:proofErr w:type="spellEnd"/>
      <w:r>
        <w:rPr>
          <w:szCs w:val="22"/>
        </w:rPr>
        <w:t xml:space="preserve"> (padidėjusi kraujo krešulių rizika)*;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kepenų uždegimas (hepatitas);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kepenų nepakankamumas.</w:t>
      </w:r>
    </w:p>
    <w:p w:rsidR="00577684" w:rsidRDefault="00577684" w:rsidP="00577684">
      <w:pPr>
        <w:tabs>
          <w:tab w:val="left" w:pos="567"/>
        </w:tabs>
        <w:rPr>
          <w:b/>
          <w:bCs/>
          <w:szCs w:val="22"/>
        </w:rPr>
      </w:pPr>
    </w:p>
    <w:p w:rsidR="00577684" w:rsidRDefault="00577684" w:rsidP="00577684">
      <w:pPr>
        <w:tabs>
          <w:tab w:val="left" w:pos="567"/>
        </w:tabs>
        <w:rPr>
          <w:b/>
          <w:bCs/>
          <w:szCs w:val="22"/>
        </w:rPr>
      </w:pPr>
      <w:r>
        <w:rPr>
          <w:b/>
          <w:bCs/>
          <w:szCs w:val="22"/>
        </w:rPr>
        <w:t>Pasakykite savo gydytojui, vaistininkui arba slaugytojui, jeigu pastebite kurį nors iš šių šalutinio poveikio atvejų:</w:t>
      </w:r>
    </w:p>
    <w:p w:rsidR="00577684" w:rsidRDefault="00577684" w:rsidP="00577684">
      <w:pPr>
        <w:tabs>
          <w:tab w:val="left" w:pos="567"/>
        </w:tabs>
        <w:rPr>
          <w:b/>
          <w:bCs/>
          <w:szCs w:val="22"/>
        </w:rPr>
      </w:pPr>
    </w:p>
    <w:p w:rsidR="00577684" w:rsidRDefault="00577684" w:rsidP="00577684">
      <w:pPr>
        <w:tabs>
          <w:tab w:val="left" w:pos="567"/>
        </w:tabs>
        <w:ind w:right="-29"/>
      </w:pPr>
    </w:p>
    <w:p w:rsidR="00577684" w:rsidRPr="00081439" w:rsidRDefault="00577684" w:rsidP="00577684">
      <w:pPr>
        <w:tabs>
          <w:tab w:val="left" w:pos="567"/>
        </w:tabs>
        <w:ind w:right="-29"/>
        <w:rPr>
          <w:b/>
          <w:bCs/>
          <w:szCs w:val="22"/>
        </w:rPr>
      </w:pPr>
      <w:r w:rsidRPr="00BC02B7">
        <w:rPr>
          <w:b/>
          <w:bCs/>
          <w:szCs w:val="22"/>
        </w:rPr>
        <w:t xml:space="preserve">Labai dažni šalutinio poveikio reiškiniai (gali pasireikšti </w:t>
      </w:r>
      <w:r w:rsidRPr="00081439">
        <w:rPr>
          <w:b/>
          <w:bCs/>
          <w:szCs w:val="22"/>
        </w:rPr>
        <w:t>ne rečiau kaip 1 iš 10 asmenų):</w:t>
      </w:r>
    </w:p>
    <w:p w:rsidR="00577684" w:rsidRDefault="00577684" w:rsidP="00577684">
      <w:pPr>
        <w:tabs>
          <w:tab w:val="left" w:pos="567"/>
        </w:tabs>
        <w:rPr>
          <w:b/>
          <w:bCs/>
          <w:szCs w:val="22"/>
        </w:rPr>
      </w:pP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reakcijos injekcijos vietoje, pvz., skausmas ir (arba) uždegimas;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nenormalus kepenų fermentų aktyvumas (nustatomas tiriant kraują)*;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pykinimas (šleikštulys);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silpnumas, nuovargis*;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sąnarių ir griaučių raumenų skausmas;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karščio pylimas;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odos išbėrimas;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alerginės (padidėjusio jautrumo) reakcijos, įskaitant veido, lūpų, liežuvio ir (arba) gerklės patinimą.</w:t>
      </w:r>
    </w:p>
    <w:p w:rsidR="00577684" w:rsidRPr="009B558C" w:rsidRDefault="00577684" w:rsidP="00577684">
      <w:pPr>
        <w:tabs>
          <w:tab w:val="left" w:pos="567"/>
        </w:tabs>
        <w:rPr>
          <w:rFonts w:eastAsiaTheme="minorHAnsi"/>
          <w:b/>
        </w:rPr>
      </w:pPr>
    </w:p>
    <w:p w:rsidR="00577684" w:rsidRPr="00CD78F8" w:rsidRDefault="00577684" w:rsidP="00577684">
      <w:pPr>
        <w:tabs>
          <w:tab w:val="left" w:pos="567"/>
        </w:tabs>
        <w:rPr>
          <w:b/>
          <w:bCs/>
          <w:szCs w:val="22"/>
        </w:rPr>
      </w:pPr>
      <w:r w:rsidRPr="00CD78F8">
        <w:rPr>
          <w:rFonts w:eastAsiaTheme="minorHAnsi"/>
          <w:b/>
          <w:bCs/>
          <w:szCs w:val="22"/>
          <w:lang w:eastAsia="en-US"/>
        </w:rPr>
        <w:t>Visi kiti šalutiniai poveikiai:</w:t>
      </w:r>
    </w:p>
    <w:p w:rsidR="00577684" w:rsidRPr="00BC02B7" w:rsidRDefault="00577684" w:rsidP="00577684">
      <w:pPr>
        <w:tabs>
          <w:tab w:val="left" w:pos="567"/>
        </w:tabs>
        <w:rPr>
          <w:b/>
          <w:bCs/>
          <w:szCs w:val="22"/>
        </w:rPr>
      </w:pPr>
    </w:p>
    <w:p w:rsidR="00577684" w:rsidRDefault="00577684" w:rsidP="00577684">
      <w:pPr>
        <w:tabs>
          <w:tab w:val="left" w:pos="567"/>
        </w:tabs>
        <w:rPr>
          <w:b/>
          <w:bCs/>
          <w:szCs w:val="22"/>
        </w:rPr>
      </w:pPr>
      <w:r w:rsidRPr="00081439">
        <w:rPr>
          <w:b/>
          <w:bCs/>
          <w:szCs w:val="22"/>
        </w:rPr>
        <w:t>Dažni šalutinio poveikio reiškiniai (gali pasireikšti rečiau kaip 1 iš 10 asmenų)</w:t>
      </w:r>
      <w:r>
        <w:rPr>
          <w:szCs w:val="22"/>
        </w:rPr>
        <w:t>: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galvos skausmas;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vėmimas, viduriavimas, apetito stoka*;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šlapimo takų infekcijos;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nugaros skausmas*;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 xml:space="preserve">padidėjęs </w:t>
      </w:r>
      <w:proofErr w:type="spellStart"/>
      <w:r>
        <w:rPr>
          <w:szCs w:val="22"/>
        </w:rPr>
        <w:t>bilirubino</w:t>
      </w:r>
      <w:proofErr w:type="spellEnd"/>
      <w:r>
        <w:rPr>
          <w:szCs w:val="22"/>
        </w:rPr>
        <w:t xml:space="preserve"> (kepenų gaminamo tulžies pigmento) kiekis;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proofErr w:type="spellStart"/>
      <w:r>
        <w:rPr>
          <w:szCs w:val="22"/>
        </w:rPr>
        <w:t>tromboembolija</w:t>
      </w:r>
      <w:proofErr w:type="spellEnd"/>
      <w:r>
        <w:rPr>
          <w:szCs w:val="22"/>
        </w:rPr>
        <w:t xml:space="preserve"> (padidėjusi kraujo krešulių rizika)*;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sumažėjęs kraujo plokštelių kiekis (</w:t>
      </w:r>
      <w:proofErr w:type="spellStart"/>
      <w:r>
        <w:rPr>
          <w:szCs w:val="22"/>
        </w:rPr>
        <w:t>trombocitopenija</w:t>
      </w:r>
      <w:proofErr w:type="spellEnd"/>
      <w:r>
        <w:rPr>
          <w:szCs w:val="22"/>
        </w:rPr>
        <w:t>);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kraujavimas iš makšties;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lastRenderedPageBreak/>
        <w:t>apatinės nugaros dalies skausmas, plintantis</w:t>
      </w:r>
      <w:r w:rsidRPr="00E24F77">
        <w:rPr>
          <w:szCs w:val="22"/>
        </w:rPr>
        <w:t xml:space="preserve"> į koj</w:t>
      </w:r>
      <w:r>
        <w:rPr>
          <w:szCs w:val="22"/>
        </w:rPr>
        <w:t>ą</w:t>
      </w:r>
      <w:r w:rsidRPr="00E24F77">
        <w:rPr>
          <w:szCs w:val="22"/>
        </w:rPr>
        <w:t xml:space="preserve"> </w:t>
      </w:r>
      <w:r>
        <w:rPr>
          <w:szCs w:val="22"/>
        </w:rPr>
        <w:t>vienoje pusėje</w:t>
      </w:r>
      <w:r w:rsidRPr="00E24F77">
        <w:rPr>
          <w:szCs w:val="22"/>
        </w:rPr>
        <w:t xml:space="preserve"> (</w:t>
      </w:r>
      <w:proofErr w:type="spellStart"/>
      <w:r w:rsidRPr="00E24F77">
        <w:rPr>
          <w:szCs w:val="22"/>
        </w:rPr>
        <w:t>išialgija</w:t>
      </w:r>
      <w:proofErr w:type="spellEnd"/>
      <w:r w:rsidRPr="00E24F77">
        <w:rPr>
          <w:szCs w:val="22"/>
        </w:rPr>
        <w:t>)</w:t>
      </w:r>
      <w:r>
        <w:rPr>
          <w:szCs w:val="22"/>
        </w:rPr>
        <w:t>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s</w:t>
      </w:r>
      <w:r w:rsidRPr="00E24F77">
        <w:rPr>
          <w:szCs w:val="22"/>
        </w:rPr>
        <w:t>taig</w:t>
      </w:r>
      <w:r>
        <w:rPr>
          <w:szCs w:val="22"/>
        </w:rPr>
        <w:t>us</w:t>
      </w:r>
      <w:r w:rsidRPr="00E24F77">
        <w:rPr>
          <w:szCs w:val="22"/>
        </w:rPr>
        <w:t xml:space="preserve"> silpnumas, tirpimas, dilgčiojimas arba </w:t>
      </w:r>
      <w:r>
        <w:rPr>
          <w:szCs w:val="22"/>
        </w:rPr>
        <w:t>kojų judėjimo pr</w:t>
      </w:r>
      <w:r w:rsidRPr="00E24F77">
        <w:rPr>
          <w:szCs w:val="22"/>
        </w:rPr>
        <w:t>aradimas</w:t>
      </w:r>
      <w:r>
        <w:rPr>
          <w:szCs w:val="22"/>
        </w:rPr>
        <w:t>,</w:t>
      </w:r>
      <w:r w:rsidRPr="00E24F77">
        <w:rPr>
          <w:szCs w:val="22"/>
        </w:rPr>
        <w:t xml:space="preserve"> ypač tik vieno</w:t>
      </w:r>
      <w:r>
        <w:rPr>
          <w:szCs w:val="22"/>
        </w:rPr>
        <w:t xml:space="preserve">je kūno pusėje, netikėtas sunkumas </w:t>
      </w:r>
      <w:r w:rsidRPr="00E24F77">
        <w:rPr>
          <w:szCs w:val="22"/>
        </w:rPr>
        <w:t xml:space="preserve">vaikščioti ar </w:t>
      </w:r>
      <w:r>
        <w:rPr>
          <w:szCs w:val="22"/>
        </w:rPr>
        <w:t>palaikyti pusiausvyrą</w:t>
      </w:r>
      <w:r w:rsidRPr="00E24F77">
        <w:rPr>
          <w:szCs w:val="22"/>
        </w:rPr>
        <w:t xml:space="preserve"> (periferinė neuropatija</w:t>
      </w:r>
      <w:r>
        <w:rPr>
          <w:szCs w:val="22"/>
        </w:rPr>
        <w:t>).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b/>
          <w:bCs/>
          <w:szCs w:val="22"/>
        </w:rPr>
      </w:pPr>
      <w:r>
        <w:rPr>
          <w:b/>
          <w:bCs/>
          <w:szCs w:val="22"/>
        </w:rPr>
        <w:t xml:space="preserve">Nedažni šalutinio poveikio reiškiniai (gali pasireikšti rečiau kaip 1 iš 100 asmenų): 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 xml:space="preserve">tirštos balkšvos išskyros iš makšties ir </w:t>
      </w:r>
      <w:proofErr w:type="spellStart"/>
      <w:r>
        <w:rPr>
          <w:szCs w:val="22"/>
        </w:rPr>
        <w:t>kandidozė</w:t>
      </w:r>
      <w:proofErr w:type="spellEnd"/>
      <w:r>
        <w:rPr>
          <w:szCs w:val="22"/>
        </w:rPr>
        <w:t xml:space="preserve"> (infekcija);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kraujosruvos ir kraujavimas injekcijos vietoje;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padidėjęs gama-GT (kepenų fermento) aktyvumas (nustatomas tiriant kraują);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kepenų uždegimas (hepatitas);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kepenų nepakankamumas;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t</w:t>
      </w:r>
      <w:r w:rsidRPr="00E24F77">
        <w:rPr>
          <w:szCs w:val="22"/>
        </w:rPr>
        <w:t>irpimas, dilgčiojimas, skausmas</w:t>
      </w:r>
      <w:r>
        <w:rPr>
          <w:szCs w:val="22"/>
        </w:rPr>
        <w:t>;</w:t>
      </w:r>
    </w:p>
    <w:p w:rsidR="00577684" w:rsidRDefault="00577684" w:rsidP="00577684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anafilaksinė reakcija.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* Įskaitant šalutinio poveikio atvejus, kurių pasireiškimui </w:t>
      </w:r>
      <w:proofErr w:type="spellStart"/>
      <w:r>
        <w:rPr>
          <w:bCs/>
          <w:szCs w:val="22"/>
        </w:rPr>
        <w:t>Fulvestrant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Sandoz</w:t>
      </w:r>
      <w:proofErr w:type="spellEnd"/>
      <w:r>
        <w:rPr>
          <w:szCs w:val="22"/>
        </w:rPr>
        <w:t xml:space="preserve"> vaidmuo tiksliai negali būti įvertintas dėl pagrindinės ligos.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Pranešimas apie šalutinį poveikį</w:t>
      </w:r>
    </w:p>
    <w:p w:rsidR="00577684" w:rsidRDefault="00577684" w:rsidP="00577684">
      <w:pPr>
        <w:tabs>
          <w:tab w:val="left" w:pos="567"/>
        </w:tabs>
        <w:spacing w:line="260" w:lineRule="exact"/>
        <w:ind w:right="-1"/>
      </w:pPr>
      <w:r>
        <w:rPr>
          <w:szCs w:val="22"/>
        </w:rPr>
        <w:t xml:space="preserve">Jeigu pasireiškė šalutinis poveikis, įskaitant šiame lapelyje nenurodytą, pasakykite gydytojui arba vaistininkui. </w:t>
      </w:r>
      <w: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>
        <w:rPr>
          <w:color w:val="0000FF"/>
          <w:u w:val="single"/>
        </w:rPr>
        <w:t>https://vapris.vvkt.lt/vvkt-web/public/nrv</w:t>
      </w:r>
      <w:r>
        <w:t xml:space="preserve"> arba užpildant Paciento pranešimo apie įtariamą nepageidaujamą reakciją (ĮNR) formą, kuri skelbiama </w:t>
      </w:r>
      <w:r>
        <w:rPr>
          <w:color w:val="0000FF"/>
          <w:u w:val="single"/>
        </w:rPr>
        <w:t>https://www.vvkt.lt/index.php?4004286486</w:t>
      </w:r>
      <w:r>
        <w:t xml:space="preserve">, ir atsiunčiant elektroniniu paštu (adresu </w:t>
      </w:r>
      <w:proofErr w:type="spellStart"/>
      <w:r>
        <w:rPr>
          <w:color w:val="0000FF"/>
          <w:u w:val="single"/>
        </w:rPr>
        <w:t>NepageidaujamaR@vvkt.lt</w:t>
      </w:r>
      <w:proofErr w:type="spellEnd"/>
      <w:r>
        <w:t>) arba nemokamu telefonu 8 800 73 568. Pranešdami apie šalutinį poveikį galite mums padėti gauti daugiau informacijos apie šio vaisto saugumą.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interneto svetainę (adresu http://www.vvkt.lt). </w:t>
      </w:r>
    </w:p>
    <w:p w:rsidR="00577684" w:rsidRDefault="00577684" w:rsidP="00577684">
      <w:pPr>
        <w:keepNext/>
        <w:tabs>
          <w:tab w:val="left" w:pos="567"/>
        </w:tabs>
        <w:outlineLvl w:val="2"/>
        <w:rPr>
          <w:b/>
        </w:rPr>
      </w:pPr>
    </w:p>
    <w:p w:rsidR="00577684" w:rsidRDefault="00577684" w:rsidP="00577684">
      <w:pPr>
        <w:keepNext/>
        <w:tabs>
          <w:tab w:val="left" w:pos="567"/>
        </w:tabs>
        <w:outlineLvl w:val="2"/>
        <w:rPr>
          <w:b/>
        </w:rPr>
      </w:pPr>
    </w:p>
    <w:p w:rsidR="00577684" w:rsidRDefault="00577684" w:rsidP="00577684">
      <w:pPr>
        <w:keepNext/>
        <w:tabs>
          <w:tab w:val="left" w:pos="567"/>
        </w:tabs>
        <w:outlineLvl w:val="2"/>
        <w:rPr>
          <w:b/>
        </w:rPr>
      </w:pPr>
      <w:r>
        <w:rPr>
          <w:b/>
        </w:rPr>
        <w:t>5.</w:t>
      </w:r>
      <w:r>
        <w:rPr>
          <w:b/>
        </w:rPr>
        <w:tab/>
        <w:t xml:space="preserve">Kaip laikyti </w:t>
      </w:r>
      <w:proofErr w:type="spellStart"/>
      <w:r>
        <w:rPr>
          <w:b/>
          <w:bCs/>
        </w:rPr>
        <w:t>Fulvestrant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Sandoz</w:t>
      </w:r>
      <w:proofErr w:type="spellEnd"/>
    </w:p>
    <w:p w:rsidR="00577684" w:rsidRDefault="00577684" w:rsidP="00577684">
      <w:pPr>
        <w:tabs>
          <w:tab w:val="left" w:pos="567"/>
        </w:tabs>
        <w:ind w:left="567" w:hanging="567"/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szCs w:val="22"/>
        </w:rPr>
      </w:pPr>
      <w:r>
        <w:rPr>
          <w:szCs w:val="22"/>
        </w:rPr>
        <w:t>Šį vaistą laikykite vaikams nepastebimoje ir nepasiekiamoje vietoje.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Ant dėžutės ar švirkšto etiketės po „EXP“ nurodytam tinkamumo laikui pasibaigus, šio vaisto vartoti negalima. Vaistas tinkamas vartoti iki paskutinės nurodyto mėnesio dienos 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szCs w:val="22"/>
        </w:rPr>
      </w:pPr>
      <w:r w:rsidRPr="00011004">
        <w:rPr>
          <w:szCs w:val="22"/>
        </w:rPr>
        <w:t>Šiam vaistui specialių laikymo sąlygų nereikia</w:t>
      </w:r>
      <w:r>
        <w:rPr>
          <w:szCs w:val="22"/>
        </w:rPr>
        <w:t>.</w:t>
      </w:r>
    </w:p>
    <w:p w:rsidR="00577684" w:rsidRDefault="00577684" w:rsidP="00577684">
      <w:pPr>
        <w:tabs>
          <w:tab w:val="left" w:pos="567"/>
        </w:tabs>
      </w:pPr>
    </w:p>
    <w:p w:rsidR="00577684" w:rsidRDefault="00577684" w:rsidP="00577684">
      <w:pPr>
        <w:tabs>
          <w:tab w:val="left" w:pos="567"/>
        </w:tabs>
      </w:pPr>
      <w:r w:rsidRPr="003A14DE">
        <w:t xml:space="preserve">Jūsų sveikatos priežiūros specialistas bus atsakingas už tinkamą </w:t>
      </w:r>
      <w:proofErr w:type="spellStart"/>
      <w:r w:rsidRPr="003A14DE">
        <w:t>Fulvestrant</w:t>
      </w:r>
      <w:proofErr w:type="spellEnd"/>
      <w:r w:rsidRPr="003A14DE">
        <w:t xml:space="preserve"> saugojimą, naudojimą bei atliekų tvarkymą.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szCs w:val="22"/>
        </w:rPr>
      </w:pPr>
      <w:r>
        <w:rPr>
          <w:szCs w:val="22"/>
        </w:rPr>
        <w:t>Pastebėjus, kad prietaisas ar jo turinys kokiu nors būdu sugadinti, pvz., apgadintas švirkštas, drumstas tirpalas, yra plaukiojančių dalelių ar pakitusi tirpalo spalva, šio vaisto vartoti negalima.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szCs w:val="22"/>
        </w:rPr>
      </w:pPr>
      <w:r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keepNext/>
        <w:tabs>
          <w:tab w:val="left" w:pos="567"/>
        </w:tabs>
        <w:outlineLvl w:val="2"/>
        <w:rPr>
          <w:b/>
        </w:rPr>
      </w:pPr>
      <w:r>
        <w:rPr>
          <w:b/>
        </w:rPr>
        <w:t>6.</w:t>
      </w:r>
      <w:r>
        <w:tab/>
      </w:r>
      <w:r>
        <w:rPr>
          <w:b/>
        </w:rPr>
        <w:t>Pakuotės turinys ir kita informacija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keepNext/>
        <w:outlineLvl w:val="3"/>
        <w:rPr>
          <w:b/>
          <w:bCs/>
          <w:szCs w:val="22"/>
        </w:rPr>
      </w:pPr>
      <w:proofErr w:type="spellStart"/>
      <w:r>
        <w:rPr>
          <w:b/>
          <w:bCs/>
          <w:szCs w:val="22"/>
        </w:rPr>
        <w:t>Fulvestrant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Sandoz</w:t>
      </w:r>
      <w:proofErr w:type="spellEnd"/>
      <w:r>
        <w:rPr>
          <w:b/>
          <w:bCs/>
          <w:szCs w:val="22"/>
        </w:rPr>
        <w:t xml:space="preserve"> sudėtis</w:t>
      </w:r>
    </w:p>
    <w:p w:rsidR="00577684" w:rsidRDefault="00577684" w:rsidP="00577684">
      <w:pPr>
        <w:keepNext/>
        <w:outlineLvl w:val="3"/>
        <w:rPr>
          <w:b/>
          <w:bCs/>
          <w:szCs w:val="22"/>
        </w:rPr>
      </w:pPr>
    </w:p>
    <w:p w:rsidR="00577684" w:rsidRDefault="00577684" w:rsidP="00577684">
      <w:pPr>
        <w:ind w:left="567" w:hanging="567"/>
        <w:rPr>
          <w:rFonts w:eastAsia="Calibri"/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Veiklioji medžiaga yra </w:t>
      </w:r>
      <w:proofErr w:type="spellStart"/>
      <w:r>
        <w:rPr>
          <w:szCs w:val="22"/>
        </w:rPr>
        <w:t>fulvestrantas</w:t>
      </w:r>
      <w:proofErr w:type="spellEnd"/>
      <w:r>
        <w:rPr>
          <w:rFonts w:eastAsia="Calibri"/>
          <w:szCs w:val="22"/>
        </w:rPr>
        <w:t>.</w:t>
      </w:r>
      <w:r>
        <w:rPr>
          <w:rFonts w:eastAsia="Calibri"/>
          <w:szCs w:val="22"/>
        </w:rPr>
        <w:br/>
        <w:t xml:space="preserve">Kiekviename užpildytame švirkšte yra 250 mg </w:t>
      </w:r>
      <w:proofErr w:type="spellStart"/>
      <w:r>
        <w:rPr>
          <w:rFonts w:eastAsia="Calibri"/>
          <w:szCs w:val="22"/>
        </w:rPr>
        <w:t>fulvestranto</w:t>
      </w:r>
      <w:proofErr w:type="spellEnd"/>
      <w:r>
        <w:rPr>
          <w:rFonts w:eastAsia="Calibri"/>
          <w:szCs w:val="22"/>
        </w:rPr>
        <w:t xml:space="preserve"> 5 ml tirpalo (50 mg/ml).</w:t>
      </w:r>
    </w:p>
    <w:p w:rsidR="00577684" w:rsidRDefault="00577684" w:rsidP="00577684">
      <w:p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Pagalbinės medžiagos yra etanolis (96 %), </w:t>
      </w:r>
      <w:proofErr w:type="spellStart"/>
      <w:r>
        <w:rPr>
          <w:szCs w:val="22"/>
        </w:rPr>
        <w:t>benzilo</w:t>
      </w:r>
      <w:proofErr w:type="spellEnd"/>
      <w:r>
        <w:rPr>
          <w:szCs w:val="22"/>
        </w:rPr>
        <w:t xml:space="preserve"> alkoholis, </w:t>
      </w:r>
      <w:proofErr w:type="spellStart"/>
      <w:r>
        <w:rPr>
          <w:szCs w:val="22"/>
        </w:rPr>
        <w:t>benzilbenzoatas</w:t>
      </w:r>
      <w:proofErr w:type="spellEnd"/>
      <w:r>
        <w:rPr>
          <w:szCs w:val="22"/>
        </w:rPr>
        <w:t xml:space="preserve"> ir ricinos aliejus.</w:t>
      </w:r>
    </w:p>
    <w:p w:rsidR="00577684" w:rsidRDefault="00577684" w:rsidP="00577684">
      <w:pPr>
        <w:numPr>
          <w:ilvl w:val="12"/>
          <w:numId w:val="0"/>
        </w:numPr>
        <w:ind w:right="-2"/>
        <w:rPr>
          <w:szCs w:val="22"/>
        </w:rPr>
      </w:pPr>
    </w:p>
    <w:p w:rsidR="00577684" w:rsidRDefault="00577684" w:rsidP="00577684">
      <w:pPr>
        <w:keepNext/>
        <w:outlineLvl w:val="3"/>
        <w:rPr>
          <w:b/>
          <w:bCs/>
          <w:szCs w:val="22"/>
        </w:rPr>
      </w:pPr>
      <w:proofErr w:type="spellStart"/>
      <w:r>
        <w:rPr>
          <w:b/>
          <w:bCs/>
          <w:szCs w:val="22"/>
        </w:rPr>
        <w:lastRenderedPageBreak/>
        <w:t>Fulvestrant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Sandoz</w:t>
      </w:r>
      <w:proofErr w:type="spellEnd"/>
      <w:r>
        <w:rPr>
          <w:b/>
          <w:bCs/>
          <w:szCs w:val="22"/>
        </w:rPr>
        <w:t xml:space="preserve"> išvaizda ir kiekis pakuotėje</w:t>
      </w:r>
    </w:p>
    <w:p w:rsidR="00577684" w:rsidRDefault="00577684" w:rsidP="00577684">
      <w:pPr>
        <w:keepNext/>
        <w:outlineLvl w:val="3"/>
        <w:rPr>
          <w:b/>
          <w:bCs/>
          <w:szCs w:val="22"/>
        </w:rPr>
      </w:pPr>
    </w:p>
    <w:p w:rsidR="00577684" w:rsidRDefault="00577684" w:rsidP="00577684">
      <w:pPr>
        <w:jc w:val="both"/>
        <w:rPr>
          <w:szCs w:val="22"/>
        </w:rPr>
      </w:pPr>
      <w:proofErr w:type="spellStart"/>
      <w:r>
        <w:rPr>
          <w:bCs/>
          <w:szCs w:val="22"/>
        </w:rPr>
        <w:t>Fulvestrant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Sandoz</w:t>
      </w:r>
      <w:proofErr w:type="spellEnd"/>
      <w:r>
        <w:rPr>
          <w:b/>
          <w:bCs/>
          <w:szCs w:val="22"/>
        </w:rPr>
        <w:t xml:space="preserve"> </w:t>
      </w:r>
      <w:r>
        <w:rPr>
          <w:szCs w:val="22"/>
        </w:rPr>
        <w:t xml:space="preserve">yra skaidrus, nuo bespalvio iki geltonos spalvos, klampus injekcinis tirpalas užpildytame švirkšte. </w:t>
      </w:r>
    </w:p>
    <w:p w:rsidR="00577684" w:rsidRDefault="00577684" w:rsidP="00577684">
      <w:pPr>
        <w:jc w:val="both"/>
        <w:rPr>
          <w:szCs w:val="22"/>
        </w:rPr>
      </w:pPr>
    </w:p>
    <w:p w:rsidR="00577684" w:rsidRDefault="00577684" w:rsidP="00577684">
      <w:pPr>
        <w:rPr>
          <w:szCs w:val="22"/>
        </w:rPr>
      </w:pPr>
      <w:proofErr w:type="spellStart"/>
      <w:r>
        <w:rPr>
          <w:szCs w:val="22"/>
        </w:rPr>
        <w:t>Fulvestrant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Sandoz</w:t>
      </w:r>
      <w:proofErr w:type="spellEnd"/>
      <w:r>
        <w:rPr>
          <w:szCs w:val="22"/>
        </w:rPr>
        <w:t xml:space="preserve"> yra tiekiamas viename ar dviejuose vienkartiniuose užpildytuose švirkštuose. Papildomai kiekvienas švirkštas yra tiekiamas kartu su sterilia adata.</w:t>
      </w:r>
    </w:p>
    <w:p w:rsidR="00577684" w:rsidRDefault="00577684" w:rsidP="00577684">
      <w:pPr>
        <w:rPr>
          <w:szCs w:val="22"/>
        </w:rPr>
      </w:pPr>
    </w:p>
    <w:p w:rsidR="00577684" w:rsidRDefault="00577684" w:rsidP="00577684">
      <w:pPr>
        <w:rPr>
          <w:szCs w:val="22"/>
        </w:rPr>
      </w:pPr>
      <w:r>
        <w:rPr>
          <w:szCs w:val="22"/>
        </w:rPr>
        <w:t>Gali būti tiekiamos ne visų dydžių pakuotės.</w:t>
      </w:r>
    </w:p>
    <w:p w:rsidR="00577684" w:rsidRDefault="00577684" w:rsidP="00577684">
      <w:pPr>
        <w:rPr>
          <w:szCs w:val="22"/>
          <w:lang w:eastAsia="en-US"/>
        </w:rPr>
      </w:pPr>
    </w:p>
    <w:p w:rsidR="00577684" w:rsidRDefault="00577684" w:rsidP="00577684">
      <w:pPr>
        <w:keepNext/>
        <w:outlineLvl w:val="3"/>
        <w:rPr>
          <w:b/>
          <w:bCs/>
          <w:szCs w:val="22"/>
        </w:rPr>
      </w:pPr>
      <w:r>
        <w:rPr>
          <w:b/>
          <w:bCs/>
          <w:szCs w:val="22"/>
        </w:rPr>
        <w:t>Registruotojas ir gamintojas</w:t>
      </w:r>
    </w:p>
    <w:p w:rsidR="00577684" w:rsidRDefault="00577684" w:rsidP="00577684">
      <w:pPr>
        <w:rPr>
          <w:szCs w:val="22"/>
          <w:u w:val="single"/>
        </w:rPr>
      </w:pPr>
    </w:p>
    <w:p w:rsidR="00577684" w:rsidRDefault="00577684" w:rsidP="00577684">
      <w:pPr>
        <w:rPr>
          <w:szCs w:val="22"/>
          <w:u w:val="single"/>
        </w:rPr>
      </w:pPr>
      <w:r>
        <w:rPr>
          <w:szCs w:val="22"/>
          <w:u w:val="single"/>
        </w:rPr>
        <w:t>Registruotojas</w:t>
      </w:r>
    </w:p>
    <w:p w:rsidR="00577684" w:rsidRDefault="00577684" w:rsidP="00577684">
      <w:proofErr w:type="spellStart"/>
      <w:r>
        <w:t>Sandoz</w:t>
      </w:r>
      <w:proofErr w:type="spellEnd"/>
      <w:r>
        <w:t xml:space="preserve"> </w:t>
      </w:r>
      <w:proofErr w:type="spellStart"/>
      <w:r>
        <w:t>d.d</w:t>
      </w:r>
      <w:proofErr w:type="spellEnd"/>
      <w:r>
        <w:t>.</w:t>
      </w:r>
    </w:p>
    <w:p w:rsidR="00577684" w:rsidRDefault="00577684" w:rsidP="00577684">
      <w:proofErr w:type="spellStart"/>
      <w:r>
        <w:t>Verovškova</w:t>
      </w:r>
      <w:proofErr w:type="spellEnd"/>
      <w:r>
        <w:t xml:space="preserve"> 57</w:t>
      </w:r>
    </w:p>
    <w:p w:rsidR="00577684" w:rsidRDefault="00577684" w:rsidP="00577684">
      <w:r>
        <w:t xml:space="preserve">SI-1000 </w:t>
      </w:r>
      <w:proofErr w:type="spellStart"/>
      <w:r>
        <w:t>Ljubljana</w:t>
      </w:r>
      <w:proofErr w:type="spellEnd"/>
    </w:p>
    <w:p w:rsidR="00577684" w:rsidRDefault="00577684" w:rsidP="00577684">
      <w:r>
        <w:t>Slovėnija</w:t>
      </w:r>
    </w:p>
    <w:p w:rsidR="00577684" w:rsidRDefault="00577684" w:rsidP="00577684">
      <w:pPr>
        <w:rPr>
          <w:szCs w:val="22"/>
        </w:rPr>
      </w:pPr>
    </w:p>
    <w:p w:rsidR="00577684" w:rsidRDefault="00577684" w:rsidP="00577684">
      <w:pPr>
        <w:rPr>
          <w:szCs w:val="22"/>
          <w:u w:val="single"/>
        </w:rPr>
      </w:pPr>
      <w:r>
        <w:rPr>
          <w:szCs w:val="22"/>
          <w:u w:val="single"/>
        </w:rPr>
        <w:t>Gamintojas</w:t>
      </w:r>
    </w:p>
    <w:p w:rsidR="00577684" w:rsidRDefault="00577684" w:rsidP="00577684">
      <w:proofErr w:type="spellStart"/>
      <w:r>
        <w:t>Lek</w:t>
      </w:r>
      <w:proofErr w:type="spellEnd"/>
      <w:r>
        <w:t xml:space="preserve"> </w:t>
      </w:r>
      <w:proofErr w:type="spellStart"/>
      <w:r>
        <w:t>Pharmaceuticals</w:t>
      </w:r>
      <w:proofErr w:type="spellEnd"/>
      <w:r>
        <w:t xml:space="preserve"> </w:t>
      </w:r>
      <w:proofErr w:type="spellStart"/>
      <w:r>
        <w:t>d.d</w:t>
      </w:r>
      <w:proofErr w:type="spellEnd"/>
      <w:r>
        <w:t>.</w:t>
      </w:r>
    </w:p>
    <w:p w:rsidR="00577684" w:rsidRDefault="00577684" w:rsidP="00577684">
      <w:proofErr w:type="spellStart"/>
      <w:r>
        <w:t>Verovškova</w:t>
      </w:r>
      <w:proofErr w:type="spellEnd"/>
      <w:r>
        <w:t xml:space="preserve"> 57</w:t>
      </w:r>
    </w:p>
    <w:p w:rsidR="00577684" w:rsidRDefault="00577684" w:rsidP="00577684">
      <w:r>
        <w:t xml:space="preserve">1526 </w:t>
      </w:r>
      <w:proofErr w:type="spellStart"/>
      <w:r>
        <w:t>Ljubljana</w:t>
      </w:r>
      <w:proofErr w:type="spellEnd"/>
    </w:p>
    <w:p w:rsidR="00577684" w:rsidRDefault="00577684" w:rsidP="00577684">
      <w:r>
        <w:t>Slovėnija</w:t>
      </w:r>
    </w:p>
    <w:p w:rsidR="00577684" w:rsidRDefault="00577684" w:rsidP="00577684"/>
    <w:p w:rsidR="00577684" w:rsidRDefault="00577684" w:rsidP="00577684">
      <w:r>
        <w:t>arba</w:t>
      </w:r>
    </w:p>
    <w:p w:rsidR="00577684" w:rsidRDefault="00577684" w:rsidP="00577684"/>
    <w:p w:rsidR="00577684" w:rsidRDefault="00577684" w:rsidP="00577684">
      <w:r>
        <w:t xml:space="preserve">EBEWE </w:t>
      </w:r>
      <w:proofErr w:type="spellStart"/>
      <w:r>
        <w:t>Pharma</w:t>
      </w:r>
      <w:proofErr w:type="spellEnd"/>
      <w:r>
        <w:t xml:space="preserve"> </w:t>
      </w:r>
      <w:proofErr w:type="spellStart"/>
      <w:r>
        <w:t>Ges.m.b</w:t>
      </w:r>
      <w:proofErr w:type="spellEnd"/>
      <w:r>
        <w:t>. Nfg.KG</w:t>
      </w:r>
    </w:p>
    <w:p w:rsidR="00577684" w:rsidRDefault="00577684" w:rsidP="00577684">
      <w:proofErr w:type="spellStart"/>
      <w:r>
        <w:t>Mondseestrasse</w:t>
      </w:r>
      <w:proofErr w:type="spellEnd"/>
      <w:r>
        <w:t xml:space="preserve"> 11</w:t>
      </w:r>
    </w:p>
    <w:p w:rsidR="00577684" w:rsidRDefault="00577684" w:rsidP="00577684">
      <w:r>
        <w:t xml:space="preserve">4866 </w:t>
      </w:r>
      <w:proofErr w:type="spellStart"/>
      <w:r>
        <w:t>Unterach</w:t>
      </w:r>
      <w:proofErr w:type="spellEnd"/>
      <w:r>
        <w:t xml:space="preserve"> am </w:t>
      </w:r>
      <w:proofErr w:type="spellStart"/>
      <w:r>
        <w:t>Attersee</w:t>
      </w:r>
      <w:proofErr w:type="spellEnd"/>
    </w:p>
    <w:p w:rsidR="00577684" w:rsidRPr="00254259" w:rsidRDefault="00577684" w:rsidP="00577684">
      <w:r w:rsidRPr="00254259">
        <w:t>Austrija</w:t>
      </w:r>
    </w:p>
    <w:p w:rsidR="00577684" w:rsidRDefault="00577684" w:rsidP="00577684"/>
    <w:p w:rsidR="00577684" w:rsidRDefault="00577684" w:rsidP="00577684">
      <w:r>
        <w:t>arba</w:t>
      </w:r>
    </w:p>
    <w:p w:rsidR="00577684" w:rsidRDefault="00577684" w:rsidP="00577684"/>
    <w:p w:rsidR="00577684" w:rsidRDefault="00577684" w:rsidP="00577684">
      <w:proofErr w:type="spellStart"/>
      <w:r>
        <w:t>Fareva</w:t>
      </w:r>
      <w:proofErr w:type="spellEnd"/>
      <w:r>
        <w:t xml:space="preserve"> </w:t>
      </w:r>
      <w:proofErr w:type="spellStart"/>
      <w:r>
        <w:t>Unterach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577684" w:rsidRDefault="00577684" w:rsidP="00577684">
      <w:proofErr w:type="spellStart"/>
      <w:r>
        <w:t>Mondseestrasse</w:t>
      </w:r>
      <w:proofErr w:type="spellEnd"/>
      <w:r>
        <w:t xml:space="preserve"> 11</w:t>
      </w:r>
    </w:p>
    <w:p w:rsidR="00577684" w:rsidRDefault="00577684" w:rsidP="00577684">
      <w:r>
        <w:t xml:space="preserve">A-4866 </w:t>
      </w:r>
      <w:proofErr w:type="spellStart"/>
      <w:r>
        <w:t>Unterach</w:t>
      </w:r>
      <w:proofErr w:type="spellEnd"/>
    </w:p>
    <w:p w:rsidR="00577684" w:rsidRDefault="00577684" w:rsidP="00577684">
      <w:r>
        <w:t>Austrija</w:t>
      </w:r>
    </w:p>
    <w:p w:rsidR="00577684" w:rsidRDefault="00577684" w:rsidP="00577684"/>
    <w:p w:rsidR="00577684" w:rsidRDefault="00577684" w:rsidP="00577684">
      <w:r>
        <w:t>Jeigu apie šį vaistą norite sužinoti daugiau, kreipkitės į vietinį registruotojo atstovą.</w:t>
      </w:r>
    </w:p>
    <w:p w:rsidR="00577684" w:rsidRDefault="00577684" w:rsidP="00577684">
      <w:pPr>
        <w:spacing w:before="120"/>
        <w:rPr>
          <w:szCs w:val="22"/>
        </w:rPr>
      </w:pPr>
      <w:proofErr w:type="spellStart"/>
      <w:r>
        <w:rPr>
          <w:szCs w:val="22"/>
        </w:rPr>
        <w:t>Sandoz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Pharmaceuticals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d.d</w:t>
      </w:r>
      <w:proofErr w:type="spellEnd"/>
      <w:r>
        <w:rPr>
          <w:szCs w:val="22"/>
        </w:rPr>
        <w:t>. filialas</w:t>
      </w:r>
    </w:p>
    <w:p w:rsidR="00577684" w:rsidRDefault="00577684" w:rsidP="00577684">
      <w:pPr>
        <w:rPr>
          <w:szCs w:val="22"/>
        </w:rPr>
      </w:pPr>
      <w:r>
        <w:rPr>
          <w:szCs w:val="22"/>
        </w:rPr>
        <w:t>Šeimyniškių g. 3A</w:t>
      </w:r>
    </w:p>
    <w:p w:rsidR="00577684" w:rsidRDefault="00577684" w:rsidP="00577684">
      <w:pPr>
        <w:rPr>
          <w:szCs w:val="22"/>
        </w:rPr>
      </w:pPr>
      <w:r>
        <w:rPr>
          <w:szCs w:val="22"/>
        </w:rPr>
        <w:t xml:space="preserve">Vilnius, LT-09312 </w:t>
      </w:r>
    </w:p>
    <w:p w:rsidR="00577684" w:rsidRDefault="00577684" w:rsidP="00577684">
      <w:pPr>
        <w:rPr>
          <w:szCs w:val="22"/>
        </w:rPr>
      </w:pPr>
      <w:r>
        <w:rPr>
          <w:szCs w:val="22"/>
        </w:rPr>
        <w:t>Tel.: +370 5 263 60 37</w:t>
      </w:r>
    </w:p>
    <w:p w:rsidR="00577684" w:rsidRDefault="00577684" w:rsidP="00577684">
      <w:pPr>
        <w:tabs>
          <w:tab w:val="left" w:pos="567"/>
        </w:tabs>
      </w:pPr>
      <w:r>
        <w:t xml:space="preserve">El. paštas: </w:t>
      </w:r>
      <w:hyperlink r:id="rId5" w:history="1">
        <w:r>
          <w:rPr>
            <w:rStyle w:val="Hipersaitas"/>
          </w:rPr>
          <w:t>info.lithuania@sandoz.com</w:t>
        </w:r>
      </w:hyperlink>
    </w:p>
    <w:p w:rsidR="00577684" w:rsidRDefault="00577684" w:rsidP="00577684">
      <w:pPr>
        <w:rPr>
          <w:szCs w:val="22"/>
        </w:rPr>
      </w:pPr>
    </w:p>
    <w:p w:rsidR="00577684" w:rsidRDefault="00577684" w:rsidP="00577684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Šis vaistas Europos ekonominės erdvės valstybėse narėse registruotas tokiais pavadinimais:</w:t>
      </w:r>
    </w:p>
    <w:p w:rsidR="00577684" w:rsidRDefault="00577684" w:rsidP="00577684">
      <w:pPr>
        <w:numPr>
          <w:ilvl w:val="12"/>
          <w:numId w:val="0"/>
        </w:numPr>
        <w:ind w:right="-2"/>
        <w:rPr>
          <w:b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77684" w:rsidTr="00F3360C">
        <w:tc>
          <w:tcPr>
            <w:tcW w:w="4508" w:type="dxa"/>
          </w:tcPr>
          <w:p w:rsidR="00577684" w:rsidRPr="0077444B" w:rsidRDefault="00577684" w:rsidP="00F3360C">
            <w:pPr>
              <w:numPr>
                <w:ilvl w:val="12"/>
                <w:numId w:val="0"/>
              </w:numPr>
              <w:ind w:right="-2"/>
              <w:rPr>
                <w:b/>
              </w:rPr>
            </w:pPr>
            <w:r w:rsidRPr="0077444B">
              <w:rPr>
                <w:b/>
              </w:rPr>
              <w:t>Valstybės narės pavadinimas</w:t>
            </w:r>
          </w:p>
        </w:tc>
        <w:tc>
          <w:tcPr>
            <w:tcW w:w="4508" w:type="dxa"/>
          </w:tcPr>
          <w:p w:rsidR="00577684" w:rsidRPr="0077444B" w:rsidRDefault="00577684" w:rsidP="00F3360C">
            <w:pPr>
              <w:numPr>
                <w:ilvl w:val="12"/>
                <w:numId w:val="0"/>
              </w:numPr>
              <w:ind w:right="-2"/>
              <w:rPr>
                <w:b/>
              </w:rPr>
            </w:pPr>
            <w:r w:rsidRPr="0077444B">
              <w:rPr>
                <w:b/>
              </w:rPr>
              <w:t>Vaisto pavadinimas</w:t>
            </w:r>
          </w:p>
        </w:tc>
      </w:tr>
      <w:tr w:rsidR="00577684" w:rsidTr="00F3360C">
        <w:tc>
          <w:tcPr>
            <w:tcW w:w="4508" w:type="dxa"/>
          </w:tcPr>
          <w:p w:rsidR="00577684" w:rsidRPr="0077444B" w:rsidRDefault="00577684" w:rsidP="00F3360C">
            <w:pPr>
              <w:numPr>
                <w:ilvl w:val="12"/>
                <w:numId w:val="0"/>
              </w:numPr>
              <w:ind w:right="-2"/>
              <w:rPr>
                <w:b/>
              </w:rPr>
            </w:pPr>
            <w:r>
              <w:rPr>
                <w:szCs w:val="22"/>
                <w:lang w:eastAsia="en-US"/>
              </w:rPr>
              <w:t xml:space="preserve">Portugalija, Austrija, Belgija, Bulgarija, Čekija, Danija, Estija, Suomija, Prancūzija, Kroatija, Vengrija, Islandija, Italija, Lietuva, Liuksemburgas, Nyderlandai, Norvegija, Lenkija, Rumunija, Švedija, </w:t>
            </w:r>
            <w:r w:rsidRPr="000F5410">
              <w:rPr>
                <w:szCs w:val="22"/>
                <w:lang w:eastAsia="en-US"/>
              </w:rPr>
              <w:t>Slovakija</w:t>
            </w:r>
          </w:p>
        </w:tc>
        <w:tc>
          <w:tcPr>
            <w:tcW w:w="4508" w:type="dxa"/>
          </w:tcPr>
          <w:p w:rsidR="00577684" w:rsidRPr="0077444B" w:rsidRDefault="00577684" w:rsidP="00F3360C">
            <w:pPr>
              <w:numPr>
                <w:ilvl w:val="12"/>
                <w:numId w:val="0"/>
              </w:numPr>
              <w:ind w:right="-2"/>
              <w:rPr>
                <w:b/>
              </w:rPr>
            </w:pPr>
            <w:proofErr w:type="spellStart"/>
            <w:r>
              <w:rPr>
                <w:szCs w:val="22"/>
                <w:lang w:eastAsia="en-US"/>
              </w:rPr>
              <w:t>Fulvestrant</w:t>
            </w:r>
            <w:proofErr w:type="spellEnd"/>
            <w:r>
              <w:rPr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Cs w:val="22"/>
                <w:lang w:eastAsia="en-US"/>
              </w:rPr>
              <w:t>Sandoz</w:t>
            </w:r>
            <w:proofErr w:type="spellEnd"/>
          </w:p>
        </w:tc>
      </w:tr>
      <w:tr w:rsidR="00577684" w:rsidTr="00F3360C">
        <w:tc>
          <w:tcPr>
            <w:tcW w:w="4508" w:type="dxa"/>
          </w:tcPr>
          <w:p w:rsidR="00577684" w:rsidRPr="0077444B" w:rsidRDefault="00577684" w:rsidP="00F3360C">
            <w:pPr>
              <w:numPr>
                <w:ilvl w:val="12"/>
                <w:numId w:val="0"/>
              </w:numPr>
              <w:ind w:right="-2"/>
              <w:rPr>
                <w:b/>
              </w:rPr>
            </w:pPr>
            <w:r>
              <w:rPr>
                <w:szCs w:val="22"/>
                <w:lang w:eastAsia="en-US"/>
              </w:rPr>
              <w:t>Vokietija</w:t>
            </w:r>
          </w:p>
        </w:tc>
        <w:tc>
          <w:tcPr>
            <w:tcW w:w="4508" w:type="dxa"/>
          </w:tcPr>
          <w:p w:rsidR="00577684" w:rsidRPr="0077444B" w:rsidRDefault="00577684" w:rsidP="00F3360C">
            <w:pPr>
              <w:numPr>
                <w:ilvl w:val="12"/>
                <w:numId w:val="0"/>
              </w:numPr>
              <w:ind w:right="-2"/>
              <w:rPr>
                <w:b/>
              </w:rPr>
            </w:pPr>
            <w:proofErr w:type="spellStart"/>
            <w:r>
              <w:rPr>
                <w:szCs w:val="22"/>
                <w:lang w:eastAsia="en-US"/>
              </w:rPr>
              <w:t>Fulvestrant</w:t>
            </w:r>
            <w:proofErr w:type="spellEnd"/>
            <w:r>
              <w:rPr>
                <w:szCs w:val="22"/>
                <w:lang w:eastAsia="en-US"/>
              </w:rPr>
              <w:t xml:space="preserve"> – 1 A </w:t>
            </w:r>
            <w:proofErr w:type="spellStart"/>
            <w:r>
              <w:rPr>
                <w:szCs w:val="22"/>
                <w:lang w:eastAsia="en-US"/>
              </w:rPr>
              <w:t>Pharma</w:t>
            </w:r>
            <w:proofErr w:type="spellEnd"/>
          </w:p>
        </w:tc>
      </w:tr>
      <w:tr w:rsidR="00577684" w:rsidTr="00F3360C">
        <w:tc>
          <w:tcPr>
            <w:tcW w:w="4508" w:type="dxa"/>
          </w:tcPr>
          <w:p w:rsidR="00577684" w:rsidRPr="0077444B" w:rsidRDefault="00577684" w:rsidP="00F3360C">
            <w:pPr>
              <w:numPr>
                <w:ilvl w:val="12"/>
                <w:numId w:val="0"/>
              </w:numPr>
              <w:ind w:right="-2"/>
            </w:pPr>
            <w:r>
              <w:rPr>
                <w:szCs w:val="22"/>
                <w:lang w:eastAsia="en-US"/>
              </w:rPr>
              <w:t>Ispanija</w:t>
            </w:r>
          </w:p>
        </w:tc>
        <w:tc>
          <w:tcPr>
            <w:tcW w:w="4508" w:type="dxa"/>
          </w:tcPr>
          <w:p w:rsidR="00577684" w:rsidRPr="0077444B" w:rsidRDefault="00577684" w:rsidP="00F3360C">
            <w:pPr>
              <w:numPr>
                <w:ilvl w:val="12"/>
                <w:numId w:val="0"/>
              </w:numPr>
              <w:ind w:right="-2"/>
            </w:pPr>
            <w:proofErr w:type="spellStart"/>
            <w:r>
              <w:rPr>
                <w:szCs w:val="22"/>
                <w:lang w:eastAsia="en-US"/>
              </w:rPr>
              <w:t>Afultrant</w:t>
            </w:r>
            <w:proofErr w:type="spellEnd"/>
          </w:p>
        </w:tc>
      </w:tr>
      <w:tr w:rsidR="00577684" w:rsidTr="00F3360C">
        <w:tc>
          <w:tcPr>
            <w:tcW w:w="4508" w:type="dxa"/>
          </w:tcPr>
          <w:p w:rsidR="00577684" w:rsidRDefault="00577684" w:rsidP="00F3360C">
            <w:pPr>
              <w:numPr>
                <w:ilvl w:val="12"/>
                <w:numId w:val="0"/>
              </w:numPr>
              <w:ind w:right="-2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Airija</w:t>
            </w:r>
          </w:p>
        </w:tc>
        <w:tc>
          <w:tcPr>
            <w:tcW w:w="4508" w:type="dxa"/>
          </w:tcPr>
          <w:p w:rsidR="00577684" w:rsidRDefault="00577684" w:rsidP="00F3360C">
            <w:pPr>
              <w:numPr>
                <w:ilvl w:val="12"/>
                <w:numId w:val="0"/>
              </w:numPr>
              <w:ind w:right="-2"/>
              <w:rPr>
                <w:szCs w:val="22"/>
                <w:lang w:eastAsia="en-US"/>
              </w:rPr>
            </w:pPr>
            <w:proofErr w:type="spellStart"/>
            <w:r>
              <w:rPr>
                <w:szCs w:val="22"/>
                <w:lang w:eastAsia="en-US"/>
              </w:rPr>
              <w:t>Fulvestrant</w:t>
            </w:r>
            <w:proofErr w:type="spellEnd"/>
            <w:r>
              <w:rPr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Cs w:val="22"/>
                <w:lang w:eastAsia="en-US"/>
              </w:rPr>
              <w:t>Rowex</w:t>
            </w:r>
            <w:proofErr w:type="spellEnd"/>
          </w:p>
        </w:tc>
      </w:tr>
      <w:tr w:rsidR="00577684" w:rsidTr="00F3360C">
        <w:tc>
          <w:tcPr>
            <w:tcW w:w="4508" w:type="dxa"/>
          </w:tcPr>
          <w:p w:rsidR="00577684" w:rsidRPr="0077444B" w:rsidRDefault="00577684" w:rsidP="00F3360C">
            <w:pPr>
              <w:numPr>
                <w:ilvl w:val="12"/>
                <w:numId w:val="0"/>
              </w:numPr>
              <w:ind w:right="-2"/>
            </w:pPr>
            <w:r w:rsidRPr="000F5410">
              <w:rPr>
                <w:szCs w:val="22"/>
                <w:lang w:eastAsia="en-US"/>
              </w:rPr>
              <w:t>Slovėnija</w:t>
            </w:r>
          </w:p>
        </w:tc>
        <w:tc>
          <w:tcPr>
            <w:tcW w:w="4508" w:type="dxa"/>
          </w:tcPr>
          <w:p w:rsidR="00577684" w:rsidRPr="0077444B" w:rsidRDefault="00577684" w:rsidP="00F3360C">
            <w:pPr>
              <w:numPr>
                <w:ilvl w:val="12"/>
                <w:numId w:val="0"/>
              </w:numPr>
              <w:ind w:right="-2"/>
            </w:pPr>
            <w:proofErr w:type="spellStart"/>
            <w:r w:rsidRPr="000F5410">
              <w:rPr>
                <w:szCs w:val="22"/>
                <w:lang w:eastAsia="en-US"/>
              </w:rPr>
              <w:t>Fulvestrant</w:t>
            </w:r>
            <w:proofErr w:type="spellEnd"/>
            <w:r w:rsidRPr="000F5410">
              <w:rPr>
                <w:szCs w:val="22"/>
                <w:lang w:eastAsia="en-US"/>
              </w:rPr>
              <w:t xml:space="preserve"> </w:t>
            </w:r>
            <w:proofErr w:type="spellStart"/>
            <w:r w:rsidRPr="000F5410">
              <w:rPr>
                <w:szCs w:val="22"/>
                <w:lang w:eastAsia="en-US"/>
              </w:rPr>
              <w:t>Lek</w:t>
            </w:r>
            <w:proofErr w:type="spellEnd"/>
          </w:p>
        </w:tc>
      </w:tr>
      <w:tr w:rsidR="00577684" w:rsidTr="00F3360C">
        <w:tc>
          <w:tcPr>
            <w:tcW w:w="4508" w:type="dxa"/>
          </w:tcPr>
          <w:p w:rsidR="00577684" w:rsidRPr="0077444B" w:rsidRDefault="00577684" w:rsidP="00F3360C">
            <w:pPr>
              <w:numPr>
                <w:ilvl w:val="12"/>
                <w:numId w:val="0"/>
              </w:numPr>
              <w:ind w:right="-2"/>
            </w:pPr>
            <w:r w:rsidRPr="000F5410">
              <w:rPr>
                <w:szCs w:val="22"/>
                <w:lang w:eastAsia="en-US"/>
              </w:rPr>
              <w:lastRenderedPageBreak/>
              <w:t>Jungtinė Karalystė</w:t>
            </w:r>
          </w:p>
        </w:tc>
        <w:tc>
          <w:tcPr>
            <w:tcW w:w="4508" w:type="dxa"/>
          </w:tcPr>
          <w:p w:rsidR="00577684" w:rsidRPr="0077444B" w:rsidRDefault="00577684" w:rsidP="00F3360C">
            <w:pPr>
              <w:numPr>
                <w:ilvl w:val="12"/>
                <w:numId w:val="0"/>
              </w:numPr>
              <w:ind w:right="-2"/>
            </w:pPr>
            <w:proofErr w:type="spellStart"/>
            <w:r w:rsidRPr="000F5410">
              <w:rPr>
                <w:szCs w:val="22"/>
                <w:lang w:eastAsia="en-US"/>
              </w:rPr>
              <w:t>Fulvestrant</w:t>
            </w:r>
            <w:proofErr w:type="spellEnd"/>
          </w:p>
        </w:tc>
      </w:tr>
    </w:tbl>
    <w:p w:rsidR="00577684" w:rsidRDefault="00577684" w:rsidP="00577684">
      <w:pPr>
        <w:numPr>
          <w:ilvl w:val="12"/>
          <w:numId w:val="0"/>
        </w:numPr>
        <w:ind w:right="-2"/>
        <w:rPr>
          <w:b/>
          <w:szCs w:val="22"/>
        </w:rPr>
      </w:pPr>
    </w:p>
    <w:p w:rsidR="00577684" w:rsidRDefault="00577684" w:rsidP="00577684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Šis pakuotės lapelis paskutinį kartą peržiūrėtas 2022-01-10.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Cs w:val="22"/>
          <w:lang w:eastAsia="en-US"/>
        </w:rPr>
      </w:pPr>
      <w:r>
        <w:rPr>
          <w:snapToGrid w:val="0"/>
          <w:szCs w:val="22"/>
          <w:lang w:eastAsia="en-US"/>
        </w:rPr>
        <w:t>Išsami informacija apie šį vaistą pateikiama Valstybinės vaistų kontrolės tarnybos prie Lietuvos Respublikos sveikatos apsaugos ministerijos tinklalapyje</w:t>
      </w:r>
      <w:r>
        <w:rPr>
          <w:i/>
          <w:snapToGrid w:val="0"/>
          <w:szCs w:val="22"/>
          <w:lang w:eastAsia="en-US"/>
        </w:rPr>
        <w:t xml:space="preserve"> </w:t>
      </w:r>
      <w:hyperlink r:id="rId6" w:history="1">
        <w:r w:rsidRPr="00BA1D9E">
          <w:rPr>
            <w:rStyle w:val="Hipersaitas"/>
            <w:rFonts w:eastAsia="SimSun"/>
          </w:rPr>
          <w:t>http://www.vvkt.lt/</w:t>
        </w:r>
      </w:hyperlink>
      <w:r>
        <w:rPr>
          <w:snapToGrid w:val="0"/>
          <w:szCs w:val="22"/>
          <w:lang w:eastAsia="en-US"/>
        </w:rPr>
        <w:t>.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---------------------------------------------------------------------------------------------------------------------------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Toliau pateikta informacija skirta tik sveikatos priežiūros specialistams.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szCs w:val="22"/>
        </w:rPr>
      </w:pPr>
      <w:proofErr w:type="spellStart"/>
      <w:r>
        <w:rPr>
          <w:szCs w:val="22"/>
        </w:rPr>
        <w:t>Fulvestrant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Sandoz</w:t>
      </w:r>
      <w:proofErr w:type="spellEnd"/>
      <w:r>
        <w:rPr>
          <w:szCs w:val="22"/>
        </w:rPr>
        <w:t xml:space="preserve"> 500 mg (2 x 250 mg/5 ml injekcinio tirpalo) turi būti suleidžiamas naudojant 2 užpildytus švirkštus, žr. 3 skyrių)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szCs w:val="22"/>
          <w:u w:val="single"/>
        </w:rPr>
      </w:pPr>
      <w:r>
        <w:rPr>
          <w:szCs w:val="22"/>
          <w:u w:val="single"/>
        </w:rPr>
        <w:t>Vartojimo instrukcijos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  <w:r>
        <w:rPr>
          <w:i/>
          <w:szCs w:val="22"/>
        </w:rPr>
        <w:t>Įspėjimas</w:t>
      </w:r>
      <w:r>
        <w:rPr>
          <w:szCs w:val="22"/>
        </w:rPr>
        <w:t xml:space="preserve">. </w:t>
      </w:r>
      <w:proofErr w:type="spellStart"/>
      <w:r>
        <w:rPr>
          <w:szCs w:val="22"/>
        </w:rPr>
        <w:t>Neautoklavuokite</w:t>
      </w:r>
      <w:proofErr w:type="spellEnd"/>
      <w:r>
        <w:rPr>
          <w:szCs w:val="22"/>
        </w:rPr>
        <w:t xml:space="preserve"> saugiosios adatos prieš naudojimą. Naudojant ir išmetant adatą, rankos visada turi būti už jos.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Švirkštai yra tiekiami su saugiąja adata </w:t>
      </w:r>
      <w:r>
        <w:rPr>
          <w:i/>
          <w:szCs w:val="22"/>
          <w:u w:val="single"/>
        </w:rPr>
        <w:t xml:space="preserve">BD </w:t>
      </w:r>
      <w:proofErr w:type="spellStart"/>
      <w:r>
        <w:rPr>
          <w:i/>
          <w:szCs w:val="22"/>
          <w:u w:val="single"/>
        </w:rPr>
        <w:t>SafetyGlide</w:t>
      </w:r>
      <w:proofErr w:type="spellEnd"/>
      <w:r>
        <w:rPr>
          <w:szCs w:val="22"/>
          <w:u w:val="single"/>
          <w:vertAlign w:val="superscript"/>
        </w:rPr>
        <w:t>®</w:t>
      </w:r>
      <w:r>
        <w:rPr>
          <w:szCs w:val="22"/>
          <w:u w:val="single"/>
        </w:rPr>
        <w:t xml:space="preserve"> ar </w:t>
      </w:r>
      <w:proofErr w:type="spellStart"/>
      <w:r>
        <w:rPr>
          <w:i/>
          <w:szCs w:val="22"/>
          <w:u w:val="single"/>
        </w:rPr>
        <w:t>Terumo</w:t>
      </w:r>
      <w:proofErr w:type="spellEnd"/>
      <w:r>
        <w:rPr>
          <w:i/>
          <w:szCs w:val="22"/>
          <w:u w:val="single"/>
        </w:rPr>
        <w:t xml:space="preserve"> </w:t>
      </w:r>
      <w:proofErr w:type="spellStart"/>
      <w:r>
        <w:rPr>
          <w:i/>
          <w:szCs w:val="22"/>
          <w:u w:val="single"/>
        </w:rPr>
        <w:t>SurGuard</w:t>
      </w:r>
      <w:proofErr w:type="spellEnd"/>
      <w:r>
        <w:rPr>
          <w:szCs w:val="22"/>
          <w:u w:val="single"/>
          <w:vertAlign w:val="superscript"/>
        </w:rPr>
        <w:t>®</w:t>
      </w:r>
      <w:r>
        <w:rPr>
          <w:szCs w:val="22"/>
          <w:u w:val="single"/>
        </w:rPr>
        <w:t>.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szCs w:val="22"/>
          <w:u w:val="single"/>
          <w:vertAlign w:val="superscript"/>
        </w:rPr>
      </w:pPr>
      <w:r>
        <w:rPr>
          <w:szCs w:val="22"/>
          <w:u w:val="single"/>
        </w:rPr>
        <w:t xml:space="preserve">Instrukcijos saugiajai adatai </w:t>
      </w:r>
      <w:r>
        <w:rPr>
          <w:i/>
          <w:szCs w:val="22"/>
          <w:u w:val="single"/>
        </w:rPr>
        <w:t xml:space="preserve">BD </w:t>
      </w:r>
      <w:proofErr w:type="spellStart"/>
      <w:r>
        <w:rPr>
          <w:i/>
          <w:szCs w:val="22"/>
          <w:u w:val="single"/>
        </w:rPr>
        <w:t>SafetyGlide</w:t>
      </w:r>
      <w:proofErr w:type="spellEnd"/>
      <w:r>
        <w:rPr>
          <w:i/>
          <w:szCs w:val="22"/>
          <w:u w:val="single"/>
          <w:vertAlign w:val="superscript"/>
        </w:rPr>
        <w:t>®</w:t>
      </w:r>
    </w:p>
    <w:p w:rsidR="00577684" w:rsidRDefault="00577684" w:rsidP="00577684">
      <w:pPr>
        <w:tabs>
          <w:tab w:val="left" w:pos="567"/>
        </w:tabs>
        <w:rPr>
          <w:szCs w:val="22"/>
          <w:u w:val="single"/>
        </w:rPr>
      </w:pPr>
    </w:p>
    <w:p w:rsidR="00577684" w:rsidRDefault="00577684" w:rsidP="00577684">
      <w:pPr>
        <w:tabs>
          <w:tab w:val="left" w:pos="567"/>
        </w:tabs>
        <w:rPr>
          <w:szCs w:val="22"/>
        </w:rPr>
      </w:pPr>
      <w:r>
        <w:rPr>
          <w:szCs w:val="22"/>
        </w:rPr>
        <w:t>Kiekvienam iš dviejų švirkštų: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11"/>
        <w:gridCol w:w="3063"/>
      </w:tblGrid>
      <w:tr w:rsidR="00577684" w:rsidTr="00F3360C">
        <w:tc>
          <w:tcPr>
            <w:tcW w:w="6204" w:type="dxa"/>
            <w:shd w:val="clear" w:color="auto" w:fill="auto"/>
            <w:hideMark/>
          </w:tcPr>
          <w:p w:rsidR="00577684" w:rsidRDefault="00577684" w:rsidP="00577684">
            <w:pPr>
              <w:numPr>
                <w:ilvl w:val="0"/>
                <w:numId w:val="5"/>
              </w:numPr>
              <w:tabs>
                <w:tab w:val="left" w:pos="567"/>
              </w:tabs>
              <w:spacing w:before="120" w:line="256" w:lineRule="auto"/>
              <w:ind w:left="567" w:hanging="567"/>
              <w:rPr>
                <w:szCs w:val="22"/>
                <w:u w:val="single"/>
                <w:lang w:eastAsia="en-US"/>
              </w:rPr>
            </w:pPr>
            <w:r>
              <w:rPr>
                <w:szCs w:val="22"/>
                <w:lang w:eastAsia="en-US"/>
              </w:rPr>
              <w:t>Atsargiai išimkite adatą ir švirkštą iš pakuotės.</w:t>
            </w:r>
          </w:p>
        </w:tc>
        <w:tc>
          <w:tcPr>
            <w:tcW w:w="3082" w:type="dxa"/>
            <w:shd w:val="clear" w:color="auto" w:fill="auto"/>
          </w:tcPr>
          <w:p w:rsidR="00577684" w:rsidRDefault="00577684" w:rsidP="00F3360C">
            <w:pPr>
              <w:tabs>
                <w:tab w:val="left" w:pos="567"/>
              </w:tabs>
              <w:spacing w:before="120" w:line="256" w:lineRule="auto"/>
              <w:rPr>
                <w:szCs w:val="22"/>
                <w:u w:val="single"/>
                <w:lang w:eastAsia="en-US"/>
              </w:rPr>
            </w:pPr>
          </w:p>
        </w:tc>
      </w:tr>
      <w:tr w:rsidR="00577684" w:rsidTr="00F3360C">
        <w:tc>
          <w:tcPr>
            <w:tcW w:w="6204" w:type="dxa"/>
            <w:shd w:val="clear" w:color="auto" w:fill="auto"/>
            <w:hideMark/>
          </w:tcPr>
          <w:p w:rsidR="00577684" w:rsidRDefault="00577684" w:rsidP="00577684">
            <w:pPr>
              <w:numPr>
                <w:ilvl w:val="0"/>
                <w:numId w:val="5"/>
              </w:numPr>
              <w:spacing w:before="120" w:line="256" w:lineRule="auto"/>
              <w:ind w:left="567" w:hanging="567"/>
              <w:rPr>
                <w:szCs w:val="22"/>
                <w:u w:val="single"/>
                <w:lang w:eastAsia="en-US"/>
              </w:rPr>
            </w:pPr>
            <w:r>
              <w:rPr>
                <w:szCs w:val="22"/>
                <w:lang w:eastAsia="en-US"/>
              </w:rPr>
              <w:t>Nuimkite apsauginį dangtelį nuo švirkšto korpuso viršūnės.</w:t>
            </w:r>
          </w:p>
        </w:tc>
        <w:tc>
          <w:tcPr>
            <w:tcW w:w="3082" w:type="dxa"/>
            <w:shd w:val="clear" w:color="auto" w:fill="auto"/>
          </w:tcPr>
          <w:p w:rsidR="00577684" w:rsidRDefault="00577684" w:rsidP="00F3360C">
            <w:pPr>
              <w:tabs>
                <w:tab w:val="left" w:pos="567"/>
              </w:tabs>
              <w:spacing w:before="120" w:line="256" w:lineRule="auto"/>
              <w:rPr>
                <w:szCs w:val="22"/>
                <w:u w:val="single"/>
                <w:lang w:eastAsia="en-US"/>
              </w:rPr>
            </w:pPr>
          </w:p>
        </w:tc>
      </w:tr>
      <w:tr w:rsidR="00577684" w:rsidTr="00F3360C">
        <w:tc>
          <w:tcPr>
            <w:tcW w:w="6204" w:type="dxa"/>
            <w:shd w:val="clear" w:color="auto" w:fill="auto"/>
            <w:hideMark/>
          </w:tcPr>
          <w:p w:rsidR="00577684" w:rsidRDefault="00577684" w:rsidP="00577684">
            <w:pPr>
              <w:numPr>
                <w:ilvl w:val="0"/>
                <w:numId w:val="5"/>
              </w:numPr>
              <w:tabs>
                <w:tab w:val="left" w:pos="567"/>
              </w:tabs>
              <w:spacing w:before="120" w:line="256" w:lineRule="auto"/>
              <w:ind w:left="567" w:hanging="567"/>
              <w:rPr>
                <w:szCs w:val="22"/>
                <w:u w:val="single"/>
                <w:lang w:eastAsia="en-US"/>
              </w:rPr>
            </w:pPr>
            <w:r>
              <w:rPr>
                <w:szCs w:val="22"/>
                <w:lang w:eastAsia="en-US"/>
              </w:rPr>
              <w:t>Nulupant atidarykite saugiosios adatos (</w:t>
            </w:r>
            <w:r>
              <w:rPr>
                <w:i/>
                <w:szCs w:val="22"/>
                <w:lang w:eastAsia="en-US"/>
              </w:rPr>
              <w:t xml:space="preserve">BD </w:t>
            </w:r>
            <w:proofErr w:type="spellStart"/>
            <w:r>
              <w:rPr>
                <w:i/>
                <w:szCs w:val="22"/>
                <w:lang w:eastAsia="en-US"/>
              </w:rPr>
              <w:t>SafetyGlide</w:t>
            </w:r>
            <w:proofErr w:type="spellEnd"/>
            <w:r>
              <w:rPr>
                <w:szCs w:val="22"/>
                <w:lang w:eastAsia="en-US"/>
              </w:rPr>
              <w:t xml:space="preserve">) išorinę pakuotę. Prijunkite saugiąją adatą prie </w:t>
            </w:r>
            <w:proofErr w:type="spellStart"/>
            <w:r>
              <w:rPr>
                <w:i/>
                <w:szCs w:val="22"/>
                <w:lang w:eastAsia="en-US"/>
              </w:rPr>
              <w:t>Luer</w:t>
            </w:r>
            <w:proofErr w:type="spellEnd"/>
            <w:r>
              <w:rPr>
                <w:i/>
                <w:szCs w:val="22"/>
                <w:lang w:eastAsia="en-US"/>
              </w:rPr>
              <w:t>-Lok</w:t>
            </w:r>
            <w:r>
              <w:rPr>
                <w:szCs w:val="22"/>
                <w:lang w:eastAsia="en-US"/>
              </w:rPr>
              <w:t>.</w:t>
            </w:r>
          </w:p>
        </w:tc>
        <w:tc>
          <w:tcPr>
            <w:tcW w:w="3082" w:type="dxa"/>
            <w:shd w:val="clear" w:color="auto" w:fill="auto"/>
          </w:tcPr>
          <w:p w:rsidR="00577684" w:rsidRDefault="00577684" w:rsidP="00F3360C">
            <w:pPr>
              <w:tabs>
                <w:tab w:val="left" w:pos="567"/>
              </w:tabs>
              <w:spacing w:before="120" w:line="256" w:lineRule="auto"/>
              <w:rPr>
                <w:szCs w:val="22"/>
                <w:u w:val="single"/>
                <w:lang w:eastAsia="en-US"/>
              </w:rPr>
            </w:pPr>
          </w:p>
        </w:tc>
      </w:tr>
      <w:tr w:rsidR="00577684" w:rsidTr="00F3360C">
        <w:tc>
          <w:tcPr>
            <w:tcW w:w="6204" w:type="dxa"/>
            <w:shd w:val="clear" w:color="auto" w:fill="auto"/>
            <w:hideMark/>
          </w:tcPr>
          <w:p w:rsidR="00577684" w:rsidRDefault="00577684" w:rsidP="00577684">
            <w:pPr>
              <w:numPr>
                <w:ilvl w:val="0"/>
                <w:numId w:val="5"/>
              </w:numPr>
              <w:tabs>
                <w:tab w:val="left" w:pos="567"/>
              </w:tabs>
              <w:spacing w:before="120" w:line="256" w:lineRule="auto"/>
              <w:ind w:left="567" w:hanging="567"/>
              <w:rPr>
                <w:szCs w:val="22"/>
                <w:u w:val="single"/>
                <w:lang w:eastAsia="en-US"/>
              </w:rPr>
            </w:pPr>
            <w:r>
              <w:rPr>
                <w:szCs w:val="22"/>
                <w:lang w:eastAsia="en-US"/>
              </w:rPr>
              <w:t xml:space="preserve">Pasukant sujunkite adatą su </w:t>
            </w:r>
            <w:proofErr w:type="spellStart"/>
            <w:r>
              <w:rPr>
                <w:i/>
                <w:szCs w:val="22"/>
                <w:lang w:eastAsia="en-US"/>
              </w:rPr>
              <w:t>Luer</w:t>
            </w:r>
            <w:proofErr w:type="spellEnd"/>
            <w:r>
              <w:rPr>
                <w:szCs w:val="22"/>
                <w:lang w:eastAsia="en-US"/>
              </w:rPr>
              <w:t xml:space="preserve"> jungtimi. Sukite, kol</w:t>
            </w:r>
            <w:r w:rsidRPr="00BA1D9E">
              <w:t xml:space="preserve"> </w:t>
            </w:r>
            <w:r>
              <w:rPr>
                <w:szCs w:val="22"/>
                <w:lang w:eastAsia="en-US"/>
              </w:rPr>
              <w:t>tvirtai įsistatys.</w:t>
            </w:r>
          </w:p>
        </w:tc>
        <w:tc>
          <w:tcPr>
            <w:tcW w:w="3082" w:type="dxa"/>
            <w:shd w:val="clear" w:color="auto" w:fill="auto"/>
          </w:tcPr>
          <w:p w:rsidR="00577684" w:rsidRDefault="00577684" w:rsidP="00F3360C">
            <w:pPr>
              <w:tabs>
                <w:tab w:val="left" w:pos="567"/>
              </w:tabs>
              <w:spacing w:before="120" w:line="256" w:lineRule="auto"/>
              <w:rPr>
                <w:szCs w:val="22"/>
                <w:u w:val="single"/>
                <w:lang w:eastAsia="en-US"/>
              </w:rPr>
            </w:pPr>
          </w:p>
        </w:tc>
      </w:tr>
      <w:tr w:rsidR="00577684" w:rsidTr="00F3360C">
        <w:tc>
          <w:tcPr>
            <w:tcW w:w="6204" w:type="dxa"/>
            <w:shd w:val="clear" w:color="auto" w:fill="auto"/>
            <w:hideMark/>
          </w:tcPr>
          <w:p w:rsidR="00577684" w:rsidRDefault="00577684" w:rsidP="00577684">
            <w:pPr>
              <w:numPr>
                <w:ilvl w:val="0"/>
                <w:numId w:val="5"/>
              </w:numPr>
              <w:tabs>
                <w:tab w:val="left" w:pos="567"/>
              </w:tabs>
              <w:spacing w:before="120" w:line="256" w:lineRule="auto"/>
              <w:ind w:left="567" w:hanging="567"/>
              <w:rPr>
                <w:szCs w:val="22"/>
                <w:u w:val="single"/>
                <w:lang w:eastAsia="en-US"/>
              </w:rPr>
            </w:pPr>
            <w:r>
              <w:rPr>
                <w:szCs w:val="22"/>
                <w:lang w:eastAsia="en-US"/>
              </w:rPr>
              <w:t xml:space="preserve">Numaukite apsauginį adatos </w:t>
            </w:r>
            <w:proofErr w:type="spellStart"/>
            <w:r>
              <w:rPr>
                <w:szCs w:val="22"/>
                <w:lang w:eastAsia="en-US"/>
              </w:rPr>
              <w:t>gaubtelį</w:t>
            </w:r>
            <w:proofErr w:type="spellEnd"/>
            <w:r>
              <w:rPr>
                <w:szCs w:val="22"/>
                <w:lang w:eastAsia="en-US"/>
              </w:rPr>
              <w:t>, traukdami jį tiesiai, kad nepažeistumėte adatos smaigalio.</w:t>
            </w:r>
          </w:p>
        </w:tc>
        <w:tc>
          <w:tcPr>
            <w:tcW w:w="3082" w:type="dxa"/>
            <w:shd w:val="clear" w:color="auto" w:fill="auto"/>
            <w:hideMark/>
          </w:tcPr>
          <w:p w:rsidR="00577684" w:rsidRDefault="00577684" w:rsidP="00F3360C">
            <w:pPr>
              <w:tabs>
                <w:tab w:val="left" w:pos="567"/>
              </w:tabs>
              <w:spacing w:before="120" w:line="256" w:lineRule="auto"/>
              <w:rPr>
                <w:szCs w:val="22"/>
                <w:u w:val="single"/>
                <w:lang w:eastAsia="en-US"/>
              </w:rPr>
            </w:pPr>
            <w:r w:rsidRPr="00C65C78">
              <w:rPr>
                <w:noProof/>
              </w:rPr>
              <w:drawing>
                <wp:inline distT="0" distB="0" distL="0" distR="0" wp14:anchorId="57A7C27E" wp14:editId="59DD3503">
                  <wp:extent cx="1000125" cy="10477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684" w:rsidTr="00F3360C">
        <w:tc>
          <w:tcPr>
            <w:tcW w:w="6204" w:type="dxa"/>
            <w:shd w:val="clear" w:color="auto" w:fill="auto"/>
            <w:hideMark/>
          </w:tcPr>
          <w:p w:rsidR="00577684" w:rsidRDefault="00577684" w:rsidP="00577684">
            <w:pPr>
              <w:numPr>
                <w:ilvl w:val="0"/>
                <w:numId w:val="5"/>
              </w:numPr>
              <w:tabs>
                <w:tab w:val="left" w:pos="567"/>
              </w:tabs>
              <w:spacing w:before="120" w:line="256" w:lineRule="auto"/>
              <w:ind w:left="567" w:hanging="567"/>
              <w:rPr>
                <w:szCs w:val="22"/>
                <w:u w:val="single"/>
                <w:lang w:eastAsia="en-US"/>
              </w:rPr>
            </w:pPr>
            <w:r>
              <w:rPr>
                <w:szCs w:val="22"/>
                <w:lang w:eastAsia="en-US"/>
              </w:rPr>
              <w:t>Nuimkite adatos dėklą.</w:t>
            </w:r>
          </w:p>
        </w:tc>
        <w:tc>
          <w:tcPr>
            <w:tcW w:w="3082" w:type="dxa"/>
            <w:shd w:val="clear" w:color="auto" w:fill="auto"/>
          </w:tcPr>
          <w:p w:rsidR="00577684" w:rsidRDefault="00577684" w:rsidP="00F3360C">
            <w:pPr>
              <w:tabs>
                <w:tab w:val="left" w:pos="567"/>
              </w:tabs>
              <w:spacing w:before="120" w:line="256" w:lineRule="auto"/>
              <w:rPr>
                <w:szCs w:val="22"/>
                <w:u w:val="single"/>
                <w:lang w:eastAsia="en-US"/>
              </w:rPr>
            </w:pPr>
          </w:p>
        </w:tc>
      </w:tr>
      <w:tr w:rsidR="00577684" w:rsidTr="00F3360C">
        <w:tc>
          <w:tcPr>
            <w:tcW w:w="6204" w:type="dxa"/>
            <w:shd w:val="clear" w:color="auto" w:fill="auto"/>
            <w:hideMark/>
          </w:tcPr>
          <w:p w:rsidR="00577684" w:rsidRDefault="00577684" w:rsidP="00577684">
            <w:pPr>
              <w:numPr>
                <w:ilvl w:val="0"/>
                <w:numId w:val="5"/>
              </w:numPr>
              <w:tabs>
                <w:tab w:val="left" w:pos="567"/>
              </w:tabs>
              <w:spacing w:before="120" w:line="256" w:lineRule="auto"/>
              <w:ind w:left="567" w:hanging="567"/>
              <w:rPr>
                <w:szCs w:val="22"/>
                <w:u w:val="single"/>
                <w:lang w:eastAsia="en-US"/>
              </w:rPr>
            </w:pPr>
            <w:r>
              <w:rPr>
                <w:szCs w:val="22"/>
                <w:lang w:eastAsia="en-US"/>
              </w:rPr>
              <w:t>Laikant švirkštą su nukreipta į viršų adata švelniai spauskite stūmoklį kol vaistinis preparatas pakils iki švirkšto viršaus. Korpuso viduje turi nebūti oro.</w:t>
            </w:r>
          </w:p>
        </w:tc>
        <w:tc>
          <w:tcPr>
            <w:tcW w:w="3082" w:type="dxa"/>
            <w:shd w:val="clear" w:color="auto" w:fill="auto"/>
          </w:tcPr>
          <w:p w:rsidR="00577684" w:rsidRDefault="00577684" w:rsidP="00F3360C">
            <w:pPr>
              <w:tabs>
                <w:tab w:val="left" w:pos="567"/>
              </w:tabs>
              <w:spacing w:before="120" w:line="256" w:lineRule="auto"/>
              <w:rPr>
                <w:szCs w:val="22"/>
                <w:u w:val="single"/>
                <w:lang w:eastAsia="en-US"/>
              </w:rPr>
            </w:pPr>
          </w:p>
        </w:tc>
      </w:tr>
      <w:tr w:rsidR="00577684" w:rsidTr="00F3360C">
        <w:tc>
          <w:tcPr>
            <w:tcW w:w="6204" w:type="dxa"/>
            <w:shd w:val="clear" w:color="auto" w:fill="auto"/>
            <w:hideMark/>
          </w:tcPr>
          <w:p w:rsidR="00577684" w:rsidRDefault="00577684" w:rsidP="00577684">
            <w:pPr>
              <w:numPr>
                <w:ilvl w:val="0"/>
                <w:numId w:val="5"/>
              </w:numPr>
              <w:tabs>
                <w:tab w:val="left" w:pos="567"/>
              </w:tabs>
              <w:spacing w:before="120" w:line="256" w:lineRule="auto"/>
              <w:ind w:left="567" w:hanging="567"/>
              <w:rPr>
                <w:szCs w:val="22"/>
                <w:u w:val="single"/>
                <w:lang w:eastAsia="en-US"/>
              </w:rPr>
            </w:pPr>
            <w:r>
              <w:rPr>
                <w:szCs w:val="22"/>
                <w:lang w:eastAsia="en-US"/>
              </w:rPr>
              <w:t>Suleiskite lėtai (per 1</w:t>
            </w:r>
            <w:r>
              <w:rPr>
                <w:szCs w:val="22"/>
                <w:lang w:eastAsia="en-US"/>
              </w:rPr>
              <w:noBreakHyphen/>
              <w:t>2 min.) į sėdmens raumenį. Vartotojo patogumui, adatos smaigalio nuožulnumas yra orientuotas į svirtelės rankeną.</w:t>
            </w:r>
            <w:r>
              <w:rPr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3082" w:type="dxa"/>
            <w:shd w:val="clear" w:color="auto" w:fill="auto"/>
            <w:hideMark/>
          </w:tcPr>
          <w:p w:rsidR="00577684" w:rsidRDefault="00577684" w:rsidP="00F3360C">
            <w:pPr>
              <w:tabs>
                <w:tab w:val="left" w:pos="567"/>
              </w:tabs>
              <w:spacing w:before="120" w:line="256" w:lineRule="auto"/>
              <w:rPr>
                <w:szCs w:val="22"/>
                <w:u w:val="single"/>
                <w:lang w:eastAsia="en-US"/>
              </w:rPr>
            </w:pPr>
            <w:r w:rsidRPr="00C65C78">
              <w:rPr>
                <w:noProof/>
              </w:rPr>
              <w:drawing>
                <wp:inline distT="0" distB="0" distL="0" distR="0" wp14:anchorId="16479ABF" wp14:editId="54083F04">
                  <wp:extent cx="1562100" cy="5429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684" w:rsidTr="00F3360C">
        <w:tc>
          <w:tcPr>
            <w:tcW w:w="6204" w:type="dxa"/>
            <w:shd w:val="clear" w:color="auto" w:fill="auto"/>
            <w:hideMark/>
          </w:tcPr>
          <w:p w:rsidR="00577684" w:rsidRDefault="00577684" w:rsidP="00577684">
            <w:pPr>
              <w:numPr>
                <w:ilvl w:val="0"/>
                <w:numId w:val="5"/>
              </w:numPr>
              <w:tabs>
                <w:tab w:val="left" w:pos="567"/>
              </w:tabs>
              <w:spacing w:line="256" w:lineRule="auto"/>
              <w:ind w:left="567" w:hanging="567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Po injekcijos nedelsdami aktyvuokite adatos apsaugos mechanizmą – vienu pirštu stumtelėkite pagalbinės aktyvavimo svirtelės rankeną. </w:t>
            </w:r>
          </w:p>
        </w:tc>
        <w:tc>
          <w:tcPr>
            <w:tcW w:w="3082" w:type="dxa"/>
            <w:shd w:val="clear" w:color="auto" w:fill="auto"/>
            <w:hideMark/>
          </w:tcPr>
          <w:p w:rsidR="00577684" w:rsidRDefault="00577684" w:rsidP="00F3360C">
            <w:pPr>
              <w:tabs>
                <w:tab w:val="left" w:pos="567"/>
              </w:tabs>
              <w:spacing w:before="120" w:line="256" w:lineRule="auto"/>
              <w:rPr>
                <w:szCs w:val="22"/>
                <w:u w:val="single"/>
                <w:lang w:eastAsia="en-US"/>
              </w:rPr>
            </w:pPr>
            <w:r w:rsidRPr="00C65C78">
              <w:rPr>
                <w:noProof/>
              </w:rPr>
              <w:drawing>
                <wp:inline distT="0" distB="0" distL="0" distR="0" wp14:anchorId="5B666E0B" wp14:editId="039883ED">
                  <wp:extent cx="1171575" cy="13335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7684" w:rsidRDefault="00577684" w:rsidP="00577684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lastRenderedPageBreak/>
        <w:t>PASTABA: aktyvuokite atitraukę nuo savęs ir kitų žmonių. Išgirskite spragtelėjimą ir vizualiai patikrinkite, kad adatos viršūnė būtų visiškai uždengta.</w:t>
      </w:r>
    </w:p>
    <w:p w:rsidR="00577684" w:rsidRDefault="00577684" w:rsidP="00577684">
      <w:pPr>
        <w:tabs>
          <w:tab w:val="left" w:pos="567"/>
        </w:tabs>
        <w:rPr>
          <w:szCs w:val="22"/>
          <w:u w:val="single"/>
        </w:rPr>
      </w:pP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szCs w:val="22"/>
          <w:u w:val="single"/>
          <w:vertAlign w:val="superscript"/>
        </w:rPr>
      </w:pPr>
      <w:r>
        <w:rPr>
          <w:szCs w:val="22"/>
          <w:u w:val="single"/>
        </w:rPr>
        <w:t xml:space="preserve">Instrukcijos saugiajai adatai </w:t>
      </w:r>
      <w:proofErr w:type="spellStart"/>
      <w:r>
        <w:rPr>
          <w:i/>
          <w:szCs w:val="22"/>
          <w:u w:val="single"/>
        </w:rPr>
        <w:t>Terumo</w:t>
      </w:r>
      <w:proofErr w:type="spellEnd"/>
      <w:r>
        <w:rPr>
          <w:i/>
          <w:szCs w:val="22"/>
          <w:u w:val="single"/>
        </w:rPr>
        <w:t xml:space="preserve"> </w:t>
      </w:r>
      <w:proofErr w:type="spellStart"/>
      <w:r>
        <w:rPr>
          <w:i/>
          <w:szCs w:val="22"/>
          <w:u w:val="single"/>
        </w:rPr>
        <w:t>SurGuard</w:t>
      </w:r>
      <w:proofErr w:type="spellEnd"/>
      <w:r>
        <w:rPr>
          <w:szCs w:val="22"/>
          <w:u w:val="single"/>
          <w:vertAlign w:val="superscript"/>
        </w:rPr>
        <w:t>®</w:t>
      </w:r>
    </w:p>
    <w:p w:rsidR="00577684" w:rsidRDefault="00577684" w:rsidP="00577684">
      <w:pPr>
        <w:tabs>
          <w:tab w:val="left" w:pos="567"/>
        </w:tabs>
        <w:rPr>
          <w:szCs w:val="22"/>
          <w:u w:val="single"/>
        </w:rPr>
      </w:pPr>
    </w:p>
    <w:p w:rsidR="00577684" w:rsidRDefault="00577684" w:rsidP="00577684">
      <w:pPr>
        <w:tabs>
          <w:tab w:val="left" w:pos="567"/>
        </w:tabs>
        <w:rPr>
          <w:szCs w:val="22"/>
        </w:rPr>
      </w:pPr>
      <w:r>
        <w:rPr>
          <w:szCs w:val="22"/>
        </w:rPr>
        <w:t>Kiekvienam iš dviejų švirkštų: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06"/>
        <w:gridCol w:w="3068"/>
      </w:tblGrid>
      <w:tr w:rsidR="00577684" w:rsidTr="00F3360C">
        <w:tc>
          <w:tcPr>
            <w:tcW w:w="6204" w:type="dxa"/>
            <w:shd w:val="clear" w:color="auto" w:fill="auto"/>
            <w:hideMark/>
          </w:tcPr>
          <w:p w:rsidR="00577684" w:rsidRDefault="00577684" w:rsidP="00577684">
            <w:pPr>
              <w:numPr>
                <w:ilvl w:val="0"/>
                <w:numId w:val="5"/>
              </w:numPr>
              <w:tabs>
                <w:tab w:val="left" w:pos="567"/>
              </w:tabs>
              <w:spacing w:before="120" w:line="256" w:lineRule="auto"/>
              <w:ind w:left="567" w:hanging="567"/>
              <w:rPr>
                <w:szCs w:val="22"/>
                <w:u w:val="single"/>
                <w:lang w:eastAsia="en-US"/>
              </w:rPr>
            </w:pPr>
            <w:r>
              <w:rPr>
                <w:szCs w:val="22"/>
                <w:lang w:eastAsia="en-US"/>
              </w:rPr>
              <w:t>Atsargiai išimkite adatą ir švirkštą iš pakuotės.</w:t>
            </w:r>
          </w:p>
        </w:tc>
        <w:tc>
          <w:tcPr>
            <w:tcW w:w="3082" w:type="dxa"/>
            <w:shd w:val="clear" w:color="auto" w:fill="auto"/>
          </w:tcPr>
          <w:p w:rsidR="00577684" w:rsidRDefault="00577684" w:rsidP="00F3360C">
            <w:pPr>
              <w:tabs>
                <w:tab w:val="left" w:pos="567"/>
              </w:tabs>
              <w:spacing w:before="120" w:line="256" w:lineRule="auto"/>
              <w:rPr>
                <w:szCs w:val="22"/>
                <w:u w:val="single"/>
                <w:lang w:eastAsia="en-US"/>
              </w:rPr>
            </w:pPr>
          </w:p>
        </w:tc>
      </w:tr>
      <w:tr w:rsidR="00577684" w:rsidTr="00F3360C">
        <w:tc>
          <w:tcPr>
            <w:tcW w:w="6204" w:type="dxa"/>
            <w:shd w:val="clear" w:color="auto" w:fill="auto"/>
            <w:hideMark/>
          </w:tcPr>
          <w:p w:rsidR="00577684" w:rsidRDefault="00577684" w:rsidP="00577684">
            <w:pPr>
              <w:numPr>
                <w:ilvl w:val="0"/>
                <w:numId w:val="5"/>
              </w:numPr>
              <w:spacing w:before="120" w:line="256" w:lineRule="auto"/>
              <w:ind w:left="567" w:hanging="567"/>
              <w:rPr>
                <w:szCs w:val="22"/>
                <w:u w:val="single"/>
                <w:lang w:eastAsia="en-US"/>
              </w:rPr>
            </w:pPr>
            <w:r>
              <w:rPr>
                <w:szCs w:val="22"/>
                <w:lang w:eastAsia="en-US"/>
              </w:rPr>
              <w:t>Nuimkite apsauginį dangtelį nuo švirkšto korpuso viršūnės.</w:t>
            </w:r>
          </w:p>
        </w:tc>
        <w:tc>
          <w:tcPr>
            <w:tcW w:w="3082" w:type="dxa"/>
            <w:shd w:val="clear" w:color="auto" w:fill="auto"/>
          </w:tcPr>
          <w:p w:rsidR="00577684" w:rsidRDefault="00577684" w:rsidP="00F3360C">
            <w:pPr>
              <w:tabs>
                <w:tab w:val="left" w:pos="567"/>
              </w:tabs>
              <w:spacing w:before="120" w:line="256" w:lineRule="auto"/>
              <w:rPr>
                <w:szCs w:val="22"/>
                <w:u w:val="single"/>
                <w:lang w:eastAsia="en-US"/>
              </w:rPr>
            </w:pPr>
          </w:p>
        </w:tc>
      </w:tr>
      <w:tr w:rsidR="00577684" w:rsidTr="00F3360C">
        <w:tc>
          <w:tcPr>
            <w:tcW w:w="6204" w:type="dxa"/>
            <w:shd w:val="clear" w:color="auto" w:fill="auto"/>
            <w:hideMark/>
          </w:tcPr>
          <w:p w:rsidR="00577684" w:rsidRDefault="00577684" w:rsidP="00577684">
            <w:pPr>
              <w:numPr>
                <w:ilvl w:val="0"/>
                <w:numId w:val="5"/>
              </w:numPr>
              <w:tabs>
                <w:tab w:val="left" w:pos="567"/>
              </w:tabs>
              <w:spacing w:line="256" w:lineRule="auto"/>
              <w:ind w:left="567" w:hanging="567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Priveržkite švirkštą prie adatos taikant </w:t>
            </w:r>
            <w:proofErr w:type="spellStart"/>
            <w:r>
              <w:rPr>
                <w:szCs w:val="22"/>
                <w:lang w:eastAsia="en-US"/>
              </w:rPr>
              <w:t>aseptinę</w:t>
            </w:r>
            <w:proofErr w:type="spellEnd"/>
            <w:r>
              <w:rPr>
                <w:szCs w:val="22"/>
                <w:lang w:eastAsia="en-US"/>
              </w:rPr>
              <w:t xml:space="preserve"> metodiką. Tvirtai suspauskite adatos, bet ne dėklo, pagrindą ir sukite švirkštą pagal laikrodžio rodyklę.</w:t>
            </w:r>
          </w:p>
        </w:tc>
        <w:tc>
          <w:tcPr>
            <w:tcW w:w="3082" w:type="dxa"/>
            <w:shd w:val="clear" w:color="auto" w:fill="auto"/>
            <w:hideMark/>
          </w:tcPr>
          <w:p w:rsidR="00577684" w:rsidRDefault="00577684" w:rsidP="00F3360C">
            <w:pPr>
              <w:tabs>
                <w:tab w:val="left" w:pos="567"/>
              </w:tabs>
              <w:spacing w:before="120" w:line="256" w:lineRule="auto"/>
              <w:ind w:left="317"/>
              <w:rPr>
                <w:szCs w:val="22"/>
                <w:u w:val="single"/>
                <w:lang w:eastAsia="en-US"/>
              </w:rPr>
            </w:pPr>
            <w:r w:rsidRPr="00C65C78">
              <w:rPr>
                <w:noProof/>
              </w:rPr>
              <w:drawing>
                <wp:inline distT="0" distB="0" distL="0" distR="0" wp14:anchorId="0D09CC1B" wp14:editId="4BE7D357">
                  <wp:extent cx="1466850" cy="5905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684" w:rsidTr="00F3360C">
        <w:tc>
          <w:tcPr>
            <w:tcW w:w="6204" w:type="dxa"/>
            <w:shd w:val="clear" w:color="auto" w:fill="auto"/>
            <w:hideMark/>
          </w:tcPr>
          <w:p w:rsidR="00577684" w:rsidRDefault="00577684" w:rsidP="00577684">
            <w:pPr>
              <w:numPr>
                <w:ilvl w:val="0"/>
                <w:numId w:val="5"/>
              </w:numPr>
              <w:tabs>
                <w:tab w:val="left" w:pos="567"/>
              </w:tabs>
              <w:spacing w:line="256" w:lineRule="auto"/>
              <w:ind w:left="567" w:hanging="567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Atstumkite atgal apsauginį </w:t>
            </w:r>
            <w:proofErr w:type="spellStart"/>
            <w:r>
              <w:rPr>
                <w:szCs w:val="22"/>
                <w:lang w:eastAsia="en-US"/>
              </w:rPr>
              <w:t>antdėklą</w:t>
            </w:r>
            <w:proofErr w:type="spellEnd"/>
            <w:r>
              <w:rPr>
                <w:szCs w:val="22"/>
                <w:lang w:eastAsia="en-US"/>
              </w:rPr>
              <w:t xml:space="preserve"> nuo adatos link švirkšto korpuso parodytu kampu. Po to pašalinkite adatos dangtelį.</w:t>
            </w:r>
          </w:p>
        </w:tc>
        <w:tc>
          <w:tcPr>
            <w:tcW w:w="3082" w:type="dxa"/>
            <w:shd w:val="clear" w:color="auto" w:fill="auto"/>
            <w:hideMark/>
          </w:tcPr>
          <w:p w:rsidR="00577684" w:rsidRDefault="00577684" w:rsidP="00F3360C">
            <w:pPr>
              <w:tabs>
                <w:tab w:val="left" w:pos="567"/>
              </w:tabs>
              <w:spacing w:before="120" w:line="256" w:lineRule="auto"/>
              <w:ind w:left="317"/>
              <w:rPr>
                <w:szCs w:val="22"/>
                <w:u w:val="single"/>
                <w:lang w:eastAsia="en-US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17A39EE7" wp14:editId="7B13C5C7">
                  <wp:extent cx="1514475" cy="6762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684" w:rsidTr="00F3360C">
        <w:tc>
          <w:tcPr>
            <w:tcW w:w="6204" w:type="dxa"/>
            <w:shd w:val="clear" w:color="auto" w:fill="auto"/>
            <w:hideMark/>
          </w:tcPr>
          <w:p w:rsidR="00577684" w:rsidRDefault="00577684" w:rsidP="00577684">
            <w:pPr>
              <w:numPr>
                <w:ilvl w:val="0"/>
                <w:numId w:val="5"/>
              </w:numPr>
              <w:tabs>
                <w:tab w:val="left" w:pos="567"/>
              </w:tabs>
              <w:spacing w:line="256" w:lineRule="auto"/>
              <w:ind w:left="567" w:hanging="567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Laikant švirkštą su nukreipta į viršų adata švelniai spauskite stūmoklį kol vaistinis preparatas pakils iki švirkšto viršaus. Korpuso viduje turi nebūti oro.</w:t>
            </w:r>
          </w:p>
        </w:tc>
        <w:tc>
          <w:tcPr>
            <w:tcW w:w="3082" w:type="dxa"/>
            <w:shd w:val="clear" w:color="auto" w:fill="auto"/>
          </w:tcPr>
          <w:p w:rsidR="00577684" w:rsidRDefault="00577684" w:rsidP="00F3360C">
            <w:pPr>
              <w:tabs>
                <w:tab w:val="left" w:pos="567"/>
              </w:tabs>
              <w:spacing w:before="120" w:line="256" w:lineRule="auto"/>
              <w:rPr>
                <w:szCs w:val="22"/>
                <w:u w:val="single"/>
                <w:lang w:eastAsia="en-US"/>
              </w:rPr>
            </w:pPr>
          </w:p>
        </w:tc>
      </w:tr>
      <w:tr w:rsidR="00577684" w:rsidTr="00F3360C">
        <w:tc>
          <w:tcPr>
            <w:tcW w:w="6204" w:type="dxa"/>
            <w:shd w:val="clear" w:color="auto" w:fill="auto"/>
            <w:hideMark/>
          </w:tcPr>
          <w:p w:rsidR="00577684" w:rsidRDefault="00577684" w:rsidP="00577684">
            <w:pPr>
              <w:numPr>
                <w:ilvl w:val="0"/>
                <w:numId w:val="5"/>
              </w:numPr>
              <w:tabs>
                <w:tab w:val="left" w:pos="567"/>
              </w:tabs>
              <w:spacing w:line="256" w:lineRule="auto"/>
              <w:ind w:left="567" w:hanging="567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Suleiskite lėtai (per 1</w:t>
            </w:r>
            <w:r>
              <w:rPr>
                <w:szCs w:val="22"/>
                <w:lang w:eastAsia="en-US"/>
              </w:rPr>
              <w:noBreakHyphen/>
              <w:t xml:space="preserve">2 min.) į sėdmens raumenį. </w:t>
            </w:r>
          </w:p>
        </w:tc>
        <w:tc>
          <w:tcPr>
            <w:tcW w:w="3082" w:type="dxa"/>
            <w:shd w:val="clear" w:color="auto" w:fill="auto"/>
          </w:tcPr>
          <w:p w:rsidR="00577684" w:rsidRDefault="00577684" w:rsidP="00F3360C">
            <w:pPr>
              <w:tabs>
                <w:tab w:val="left" w:pos="567"/>
              </w:tabs>
              <w:spacing w:before="120" w:line="256" w:lineRule="auto"/>
              <w:rPr>
                <w:szCs w:val="22"/>
                <w:u w:val="single"/>
                <w:lang w:eastAsia="en-US"/>
              </w:rPr>
            </w:pPr>
          </w:p>
        </w:tc>
      </w:tr>
      <w:tr w:rsidR="00577684" w:rsidTr="00F3360C">
        <w:tc>
          <w:tcPr>
            <w:tcW w:w="6204" w:type="dxa"/>
            <w:shd w:val="clear" w:color="auto" w:fill="auto"/>
          </w:tcPr>
          <w:p w:rsidR="00577684" w:rsidRDefault="00577684" w:rsidP="00577684">
            <w:pPr>
              <w:numPr>
                <w:ilvl w:val="0"/>
                <w:numId w:val="5"/>
              </w:numPr>
              <w:tabs>
                <w:tab w:val="left" w:pos="567"/>
              </w:tabs>
              <w:spacing w:line="256" w:lineRule="auto"/>
              <w:ind w:left="567" w:hanging="567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Baigus injekciją ištraukite adatą iš odos ir pritaikykite saugumo mechanizmo aktyvavimo viena ranka metodiką pasinaudojant vienu iš trijų būdų:</w:t>
            </w:r>
          </w:p>
          <w:p w:rsidR="00577684" w:rsidRDefault="00577684" w:rsidP="00F3360C">
            <w:pPr>
              <w:spacing w:before="120" w:line="256" w:lineRule="auto"/>
              <w:ind w:left="1134"/>
              <w:rPr>
                <w:szCs w:val="22"/>
                <w:lang w:eastAsia="en-US"/>
              </w:rPr>
            </w:pPr>
          </w:p>
        </w:tc>
        <w:tc>
          <w:tcPr>
            <w:tcW w:w="3082" w:type="dxa"/>
            <w:shd w:val="clear" w:color="auto" w:fill="auto"/>
          </w:tcPr>
          <w:p w:rsidR="00577684" w:rsidRDefault="00577684" w:rsidP="00F3360C">
            <w:pPr>
              <w:tabs>
                <w:tab w:val="left" w:pos="567"/>
              </w:tabs>
              <w:spacing w:before="120" w:line="256" w:lineRule="auto"/>
              <w:rPr>
                <w:szCs w:val="22"/>
                <w:u w:val="single"/>
                <w:lang w:eastAsia="en-US"/>
              </w:rPr>
            </w:pPr>
          </w:p>
        </w:tc>
      </w:tr>
      <w:tr w:rsidR="00577684" w:rsidTr="00F3360C">
        <w:tc>
          <w:tcPr>
            <w:tcW w:w="6204" w:type="dxa"/>
            <w:shd w:val="clear" w:color="auto" w:fill="auto"/>
          </w:tcPr>
          <w:p w:rsidR="00577684" w:rsidRDefault="00577684" w:rsidP="00577684">
            <w:pPr>
              <w:numPr>
                <w:ilvl w:val="0"/>
                <w:numId w:val="5"/>
              </w:numPr>
              <w:spacing w:before="120" w:line="256" w:lineRule="auto"/>
              <w:ind w:left="2835" w:hanging="567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aktyvavimas pirštu;</w:t>
            </w:r>
          </w:p>
          <w:p w:rsidR="00577684" w:rsidRDefault="00577684" w:rsidP="00F3360C">
            <w:pPr>
              <w:spacing w:before="120" w:line="256" w:lineRule="auto"/>
              <w:rPr>
                <w:szCs w:val="22"/>
                <w:lang w:eastAsia="en-US"/>
              </w:rPr>
            </w:pPr>
          </w:p>
          <w:p w:rsidR="00577684" w:rsidRDefault="00577684" w:rsidP="00F3360C">
            <w:pPr>
              <w:spacing w:before="120" w:line="256" w:lineRule="auto"/>
              <w:rPr>
                <w:szCs w:val="22"/>
                <w:lang w:eastAsia="en-US"/>
              </w:rPr>
            </w:pPr>
          </w:p>
          <w:p w:rsidR="00577684" w:rsidRDefault="00577684" w:rsidP="00577684">
            <w:pPr>
              <w:numPr>
                <w:ilvl w:val="0"/>
                <w:numId w:val="6"/>
              </w:numPr>
              <w:tabs>
                <w:tab w:val="left" w:pos="2127"/>
              </w:tabs>
              <w:spacing w:line="256" w:lineRule="auto"/>
              <w:ind w:left="2835" w:hanging="567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aktyvavimas nykščiu;</w:t>
            </w:r>
          </w:p>
          <w:p w:rsidR="00577684" w:rsidRDefault="00577684" w:rsidP="00F3360C">
            <w:pPr>
              <w:spacing w:before="120" w:line="256" w:lineRule="auto"/>
              <w:rPr>
                <w:szCs w:val="22"/>
                <w:lang w:eastAsia="en-US"/>
              </w:rPr>
            </w:pPr>
          </w:p>
          <w:p w:rsidR="00577684" w:rsidRDefault="00577684" w:rsidP="00F3360C">
            <w:pPr>
              <w:spacing w:before="120" w:line="256" w:lineRule="auto"/>
              <w:rPr>
                <w:szCs w:val="22"/>
                <w:lang w:eastAsia="en-US"/>
              </w:rPr>
            </w:pPr>
          </w:p>
          <w:p w:rsidR="00577684" w:rsidRDefault="00577684" w:rsidP="00577684">
            <w:pPr>
              <w:numPr>
                <w:ilvl w:val="0"/>
                <w:numId w:val="6"/>
              </w:numPr>
              <w:tabs>
                <w:tab w:val="left" w:pos="567"/>
              </w:tabs>
              <w:spacing w:line="256" w:lineRule="auto"/>
              <w:ind w:left="2835" w:hanging="567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aktyvavimas paviršiumi.</w:t>
            </w:r>
          </w:p>
          <w:p w:rsidR="00577684" w:rsidRDefault="00577684" w:rsidP="00F3360C">
            <w:pPr>
              <w:spacing w:before="120" w:line="256" w:lineRule="auto"/>
              <w:rPr>
                <w:szCs w:val="22"/>
                <w:lang w:eastAsia="en-US"/>
              </w:rPr>
            </w:pPr>
          </w:p>
        </w:tc>
        <w:tc>
          <w:tcPr>
            <w:tcW w:w="3082" w:type="dxa"/>
            <w:shd w:val="clear" w:color="auto" w:fill="auto"/>
            <w:hideMark/>
          </w:tcPr>
          <w:p w:rsidR="00577684" w:rsidRDefault="00577684" w:rsidP="00F3360C">
            <w:pPr>
              <w:tabs>
                <w:tab w:val="left" w:pos="567"/>
              </w:tabs>
              <w:spacing w:before="120" w:line="256" w:lineRule="auto"/>
              <w:rPr>
                <w:szCs w:val="22"/>
                <w:u w:val="single"/>
                <w:lang w:eastAsia="en-US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40975688" wp14:editId="08DF8756">
                  <wp:extent cx="1352550" cy="1790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b/>
          <w:szCs w:val="22"/>
        </w:rPr>
      </w:pPr>
      <w:r w:rsidRPr="009B558C">
        <w:rPr>
          <w:b/>
        </w:rPr>
        <w:t>A</w:t>
      </w:r>
      <w:r>
        <w:rPr>
          <w:b/>
          <w:szCs w:val="22"/>
        </w:rPr>
        <w:t>ktyvavimas yra patvirtinamas girdimu ir (arba) juntamu spragtelėjimu ir gali būti patikrintas vizualiai.</w:t>
      </w:r>
    </w:p>
    <w:p w:rsidR="00577684" w:rsidRDefault="00577684" w:rsidP="00577684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 xml:space="preserve">Jeigu abejojate, kad apsauginis </w:t>
      </w:r>
      <w:proofErr w:type="spellStart"/>
      <w:r>
        <w:rPr>
          <w:b/>
          <w:szCs w:val="22"/>
        </w:rPr>
        <w:t>antdėklas</w:t>
      </w:r>
      <w:proofErr w:type="spellEnd"/>
      <w:r>
        <w:rPr>
          <w:b/>
          <w:szCs w:val="22"/>
        </w:rPr>
        <w:t xml:space="preserve"> yra visiškai įjungtas, pakartokite šį žingsnį.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577684" w:rsidRDefault="00577684" w:rsidP="00577684">
      <w:pPr>
        <w:tabs>
          <w:tab w:val="left" w:pos="567"/>
        </w:tabs>
        <w:rPr>
          <w:szCs w:val="22"/>
          <w:u w:val="single"/>
        </w:rPr>
      </w:pPr>
      <w:r>
        <w:rPr>
          <w:szCs w:val="22"/>
          <w:u w:val="single"/>
        </w:rPr>
        <w:t>Atliekų tvarkymas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Užpildyti švirkštai yra skirti </w:t>
      </w:r>
      <w:r>
        <w:rPr>
          <w:b/>
          <w:szCs w:val="22"/>
        </w:rPr>
        <w:t>tik</w:t>
      </w:r>
      <w:r>
        <w:rPr>
          <w:szCs w:val="22"/>
        </w:rPr>
        <w:t xml:space="preserve"> vienkartiniam vartojimui.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  <w:r>
        <w:rPr>
          <w:szCs w:val="22"/>
        </w:rPr>
        <w:t>Nesuvartotą vaistinį preparatą ar atliekas reikia tvarkyti laikantis vietinių reikalavimų.</w:t>
      </w:r>
    </w:p>
    <w:p w:rsidR="00577684" w:rsidRDefault="00577684" w:rsidP="00577684">
      <w:pPr>
        <w:tabs>
          <w:tab w:val="left" w:pos="567"/>
        </w:tabs>
        <w:rPr>
          <w:szCs w:val="22"/>
        </w:rPr>
      </w:pPr>
    </w:p>
    <w:p w:rsidR="009041DB" w:rsidRDefault="009041DB">
      <w:bookmarkStart w:id="0" w:name="_GoBack"/>
      <w:bookmarkEnd w:id="0"/>
    </w:p>
    <w:sectPr w:rsidR="009041DB" w:rsidSect="00234094">
      <w:pgSz w:w="11910" w:h="16840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06E0"/>
    <w:multiLevelType w:val="hybridMultilevel"/>
    <w:tmpl w:val="F1CEF588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A6B76"/>
    <w:multiLevelType w:val="hybridMultilevel"/>
    <w:tmpl w:val="B1DCB6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97A94"/>
    <w:multiLevelType w:val="hybridMultilevel"/>
    <w:tmpl w:val="C2FEF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2A46"/>
    <w:multiLevelType w:val="hybridMultilevel"/>
    <w:tmpl w:val="D236018E"/>
    <w:lvl w:ilvl="0" w:tplc="912A93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377FE9"/>
    <w:multiLevelType w:val="hybridMultilevel"/>
    <w:tmpl w:val="E8048CE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D48A3"/>
    <w:multiLevelType w:val="hybridMultilevel"/>
    <w:tmpl w:val="B7DE69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961BA"/>
    <w:multiLevelType w:val="hybridMultilevel"/>
    <w:tmpl w:val="515A45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C4463"/>
    <w:multiLevelType w:val="hybridMultilevel"/>
    <w:tmpl w:val="A1244F2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84"/>
    <w:rsid w:val="00234094"/>
    <w:rsid w:val="00577684"/>
    <w:rsid w:val="009041D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52B75-3E43-47A1-9051-A602990D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7684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577684"/>
    <w:rPr>
      <w:rFonts w:ascii="Times New Roman" w:hAnsi="Times New Roman" w:cs="Times New Roman" w:hint="default"/>
      <w:color w:val="0000FF"/>
      <w:u w:val="single"/>
    </w:rPr>
  </w:style>
  <w:style w:type="table" w:styleId="Lentelstinklelis">
    <w:name w:val="Table Grid"/>
    <w:basedOn w:val="prastojilentel"/>
    <w:rsid w:val="0057768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77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a.europa.eu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info.lithuania@sandoz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9373</Words>
  <Characters>5343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2022-02-25T08:03:00Z</dcterms:created>
  <dcterms:modified xsi:type="dcterms:W3CDTF">2022-02-25T08:04:00Z</dcterms:modified>
</cp:coreProperties>
</file>