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C7A" w:rsidRPr="002E4703" w:rsidRDefault="00626C7A" w:rsidP="00626C7A">
      <w:pPr>
        <w:tabs>
          <w:tab w:val="left" w:pos="567"/>
        </w:tabs>
        <w:spacing w:after="0" w:line="260" w:lineRule="exact"/>
        <w:jc w:val="center"/>
        <w:rPr>
          <w:rFonts w:ascii="Times New Roman" w:eastAsia="Times New Roman" w:hAnsi="Times New Roman"/>
          <w:b/>
          <w:bCs/>
          <w:iCs/>
          <w:snapToGrid w:val="0"/>
        </w:rPr>
      </w:pPr>
      <w:r w:rsidRPr="002E4703">
        <w:rPr>
          <w:rFonts w:ascii="Times New Roman" w:eastAsia="Times New Roman" w:hAnsi="Times New Roman"/>
          <w:b/>
          <w:snapToGrid w:val="0"/>
        </w:rPr>
        <w:t>Pakuotės lapelis:</w:t>
      </w:r>
      <w:r w:rsidRPr="002E4703">
        <w:rPr>
          <w:rFonts w:ascii="Times New Roman" w:eastAsia="Times New Roman" w:hAnsi="Times New Roman"/>
          <w:b/>
          <w:bCs/>
          <w:iCs/>
          <w:snapToGrid w:val="0"/>
        </w:rPr>
        <w:t xml:space="preserve"> </w:t>
      </w:r>
      <w:r w:rsidRPr="002E4703">
        <w:rPr>
          <w:rFonts w:ascii="Times New Roman" w:eastAsia="Times New Roman" w:hAnsi="Times New Roman"/>
          <w:b/>
          <w:snapToGrid w:val="0"/>
        </w:rPr>
        <w:t>informacija vartotojui</w:t>
      </w:r>
    </w:p>
    <w:p w:rsidR="00626C7A" w:rsidRPr="002E4703" w:rsidRDefault="00626C7A" w:rsidP="00626C7A">
      <w:pPr>
        <w:numPr>
          <w:ilvl w:val="12"/>
          <w:numId w:val="0"/>
        </w:numPr>
        <w:shd w:val="clear" w:color="auto" w:fill="FFFFFF"/>
        <w:spacing w:after="0" w:line="240" w:lineRule="auto"/>
        <w:jc w:val="center"/>
        <w:rPr>
          <w:rFonts w:ascii="Times New Roman" w:eastAsia="Times New Roman" w:hAnsi="Times New Roman"/>
          <w:snapToGrid w:val="0"/>
        </w:rPr>
      </w:pPr>
    </w:p>
    <w:p w:rsidR="00626C7A" w:rsidRPr="002E4703" w:rsidRDefault="00626C7A" w:rsidP="00626C7A">
      <w:pPr>
        <w:spacing w:after="0" w:line="240" w:lineRule="auto"/>
        <w:jc w:val="center"/>
        <w:rPr>
          <w:rFonts w:ascii="Times New Roman" w:eastAsia="Times New Roman" w:hAnsi="Times New Roman"/>
          <w:b/>
          <w:snapToGrid w:val="0"/>
        </w:rPr>
      </w:pPr>
      <w:r w:rsidRPr="002E4703">
        <w:rPr>
          <w:rFonts w:ascii="Times New Roman" w:eastAsia="Times New Roman" w:hAnsi="Times New Roman"/>
          <w:b/>
          <w:snapToGrid w:val="0"/>
        </w:rPr>
        <w:t>Nutriflex Omega peri infuzinė emulsija</w:t>
      </w:r>
    </w:p>
    <w:p w:rsidR="00626C7A" w:rsidRPr="002E4703" w:rsidRDefault="00626C7A" w:rsidP="00626C7A">
      <w:pPr>
        <w:spacing w:after="0" w:line="240" w:lineRule="auto"/>
        <w:jc w:val="center"/>
        <w:rPr>
          <w:rFonts w:ascii="Times New Roman" w:eastAsia="Times New Roman" w:hAnsi="Times New Roman"/>
          <w:snapToGrid w:val="0"/>
        </w:rPr>
      </w:pPr>
    </w:p>
    <w:p w:rsidR="00626C7A" w:rsidRPr="002E4703" w:rsidRDefault="00626C7A" w:rsidP="00626C7A">
      <w:pPr>
        <w:suppressAutoHyphens/>
        <w:spacing w:after="0" w:line="240" w:lineRule="auto"/>
        <w:rPr>
          <w:rFonts w:ascii="Times New Roman" w:eastAsia="Times New Roman" w:hAnsi="Times New Roman"/>
          <w:snapToGrid w:val="0"/>
        </w:rPr>
      </w:pPr>
      <w:r w:rsidRPr="002E4703">
        <w:rPr>
          <w:rFonts w:ascii="Times New Roman" w:eastAsia="Times New Roman" w:hAnsi="Times New Roman"/>
          <w:b/>
          <w:snapToGrid w:val="0"/>
        </w:rPr>
        <w:t>Atidžiai perskaitykite visą šį lapelį, prieš pradėdami vartoti vaistą, nes jame pateikiama Jums svarbi informacija.</w:t>
      </w:r>
    </w:p>
    <w:p w:rsidR="00626C7A" w:rsidRPr="002E4703" w:rsidRDefault="00626C7A" w:rsidP="00626C7A">
      <w:pPr>
        <w:numPr>
          <w:ilvl w:val="0"/>
          <w:numId w:val="17"/>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 xml:space="preserve">Neišmeskite šio lapelio, nes vėl gali prireikti jį perskaityti. </w:t>
      </w:r>
    </w:p>
    <w:p w:rsidR="00626C7A" w:rsidRPr="002E4703" w:rsidRDefault="00626C7A" w:rsidP="00626C7A">
      <w:pPr>
        <w:numPr>
          <w:ilvl w:val="0"/>
          <w:numId w:val="17"/>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Jeigu kiltų daugiau klausimų, kreipkitės į gydytoją, vaistininką arba slaugytoją.</w:t>
      </w:r>
    </w:p>
    <w:p w:rsidR="00626C7A" w:rsidRPr="002E4703" w:rsidRDefault="00626C7A" w:rsidP="00626C7A">
      <w:pPr>
        <w:numPr>
          <w:ilvl w:val="0"/>
          <w:numId w:val="17"/>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Šis vaistas skirtas tik Jums, todėl kitiems žmonėms jo duoti negalima. Vaistas gali jiems pakenkti (net tiems, kurių ligos požymiai yra tokie patys kaip Jūsų).</w:t>
      </w:r>
      <w:r w:rsidRPr="002E4703">
        <w:rPr>
          <w:rFonts w:ascii="Times New Roman" w:eastAsia="Times New Roman" w:hAnsi="Times New Roman"/>
          <w:snapToGrid w:val="0"/>
          <w:color w:val="008000"/>
        </w:rPr>
        <w:t xml:space="preserve"> </w:t>
      </w:r>
    </w:p>
    <w:p w:rsidR="00626C7A" w:rsidRPr="002E4703" w:rsidRDefault="00626C7A" w:rsidP="00626C7A">
      <w:pPr>
        <w:numPr>
          <w:ilvl w:val="0"/>
          <w:numId w:val="17"/>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Jeigu pasireiškė šalutinis poveikis (net jeigu jis šiame lapelyje nenurodytas), kreipkitės į gydytoją, vaistininką arba slaugytoją. Žr. 4 skyrių.</w:t>
      </w:r>
    </w:p>
    <w:p w:rsidR="00626C7A" w:rsidRPr="002E4703" w:rsidRDefault="00626C7A" w:rsidP="00626C7A">
      <w:pPr>
        <w:spacing w:after="0" w:line="240" w:lineRule="auto"/>
        <w:ind w:right="-2"/>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Apie ką rašoma šiame lapelyje?</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w:t>
      </w:r>
      <w:r w:rsidRPr="002E4703">
        <w:rPr>
          <w:rFonts w:ascii="Times New Roman" w:eastAsia="Times New Roman" w:hAnsi="Times New Roman"/>
          <w:snapToGrid w:val="0"/>
        </w:rPr>
        <w:tab/>
        <w:t xml:space="preserve">Kas yra Nutriflex Omega peri ir kam jis vartojamas </w:t>
      </w: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2.</w:t>
      </w:r>
      <w:r w:rsidRPr="002E4703">
        <w:rPr>
          <w:rFonts w:ascii="Times New Roman" w:eastAsia="Times New Roman" w:hAnsi="Times New Roman"/>
          <w:snapToGrid w:val="0"/>
        </w:rPr>
        <w:tab/>
        <w:t xml:space="preserve">Kas žinotina prieš vartojant Nutriflex Omega peri  </w:t>
      </w: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3.</w:t>
      </w:r>
      <w:r w:rsidRPr="002E4703">
        <w:rPr>
          <w:rFonts w:ascii="Times New Roman" w:eastAsia="Times New Roman" w:hAnsi="Times New Roman"/>
          <w:snapToGrid w:val="0"/>
        </w:rPr>
        <w:tab/>
        <w:t xml:space="preserve">Kaip vartoti Nutriflex Omega peri </w:t>
      </w: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4.</w:t>
      </w:r>
      <w:r w:rsidRPr="002E4703">
        <w:rPr>
          <w:rFonts w:ascii="Times New Roman" w:eastAsia="Times New Roman" w:hAnsi="Times New Roman"/>
          <w:snapToGrid w:val="0"/>
        </w:rPr>
        <w:tab/>
        <w:t xml:space="preserve">Galimas šalutinis poveikis </w:t>
      </w: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5.</w:t>
      </w:r>
      <w:r w:rsidRPr="002E4703">
        <w:rPr>
          <w:rFonts w:ascii="Times New Roman" w:eastAsia="Times New Roman" w:hAnsi="Times New Roman"/>
          <w:snapToGrid w:val="0"/>
        </w:rPr>
        <w:tab/>
        <w:t xml:space="preserve">Kaip laikyti Nutriflex Omega peri </w:t>
      </w: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6.</w:t>
      </w:r>
      <w:r w:rsidRPr="002E4703">
        <w:rPr>
          <w:rFonts w:ascii="Times New Roman" w:eastAsia="Times New Roman" w:hAnsi="Times New Roman"/>
          <w:snapToGrid w:val="0"/>
        </w:rPr>
        <w:tab/>
        <w:t>Pakuotės turinys ir kita informacija</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keepNext/>
        <w:keepLines/>
        <w:tabs>
          <w:tab w:val="left" w:pos="567"/>
        </w:tabs>
        <w:spacing w:after="0" w:line="260" w:lineRule="exact"/>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1.</w:t>
      </w:r>
      <w:r w:rsidRPr="002E4703">
        <w:rPr>
          <w:rFonts w:ascii="Times New Roman" w:eastAsia="Times New Roman" w:hAnsi="Times New Roman"/>
          <w:b/>
          <w:bCs/>
          <w:snapToGrid w:val="0"/>
          <w:lang w:eastAsia="x-none"/>
        </w:rPr>
        <w:tab/>
        <w:t>Kas yra Nutriflex Omega peri ir kam jis vartojamas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spacing w:after="0" w:line="240" w:lineRule="auto"/>
        <w:rPr>
          <w:rFonts w:ascii="Times New Roman" w:eastAsia="Times New Roman" w:hAnsi="Times New Roman"/>
        </w:rPr>
      </w:pPr>
      <w:r w:rsidRPr="002E4703">
        <w:rPr>
          <w:rFonts w:ascii="Times New Roman" w:eastAsia="Times New Roman" w:hAnsi="Times New Roman"/>
        </w:rPr>
        <w:t>Nutriflex Omega peri sudėtyje yra skysčių ir medžiagų, vadinamų aminorūgštimis, elektrolitais ir riebalų rūgštimis, kurios yra būtinos organizmui augti ir sveikti. Vaisto sudėtyje taip pat yra kalorijų angliavandenių ir riebalų pavidalu.</w:t>
      </w:r>
    </w:p>
    <w:p w:rsidR="00626C7A" w:rsidRPr="002E4703" w:rsidRDefault="00626C7A" w:rsidP="00626C7A">
      <w:pPr>
        <w:spacing w:after="0" w:line="240" w:lineRule="auto"/>
        <w:rPr>
          <w:rFonts w:ascii="Times New Roman" w:eastAsia="Times New Roman" w:hAnsi="Times New Roman"/>
        </w:rPr>
      </w:pPr>
    </w:p>
    <w:p w:rsidR="00626C7A" w:rsidRPr="002E4703" w:rsidRDefault="00626C7A" w:rsidP="00626C7A">
      <w:pPr>
        <w:spacing w:after="0" w:line="240" w:lineRule="auto"/>
        <w:rPr>
          <w:rFonts w:ascii="Times New Roman" w:eastAsia="Times New Roman" w:hAnsi="Times New Roman"/>
        </w:rPr>
      </w:pPr>
      <w:r w:rsidRPr="002E4703">
        <w:rPr>
          <w:rFonts w:ascii="Times New Roman" w:eastAsia="Times New Roman" w:hAnsi="Times New Roman"/>
        </w:rPr>
        <w:t>Nutriflex Omega peri yra skirtas suaugusiesiems</w:t>
      </w:r>
      <w:r>
        <w:rPr>
          <w:rFonts w:ascii="Times New Roman" w:eastAsia="Times New Roman" w:hAnsi="Times New Roman"/>
        </w:rPr>
        <w:t>,</w:t>
      </w:r>
      <w:r w:rsidRPr="00F204D9">
        <w:rPr>
          <w:rFonts w:ascii="Times New Roman" w:eastAsia="Times New Roman" w:hAnsi="Times New Roman"/>
        </w:rPr>
        <w:t xml:space="preserve"> paaugliams ir vyresniems kaip dvejų metų vaikams.</w:t>
      </w:r>
    </w:p>
    <w:p w:rsidR="00626C7A" w:rsidRPr="002E4703" w:rsidRDefault="00626C7A" w:rsidP="00626C7A">
      <w:pPr>
        <w:spacing w:after="0" w:line="240" w:lineRule="auto"/>
        <w:rPr>
          <w:rFonts w:ascii="Times New Roman" w:eastAsia="Times New Roman" w:hAnsi="Times New Roman"/>
        </w:rPr>
      </w:pPr>
    </w:p>
    <w:p w:rsidR="00626C7A" w:rsidRPr="002E4703" w:rsidRDefault="00626C7A" w:rsidP="00626C7A">
      <w:pPr>
        <w:spacing w:after="0" w:line="240" w:lineRule="auto"/>
        <w:rPr>
          <w:rFonts w:ascii="Times New Roman" w:eastAsia="Times New Roman" w:hAnsi="Times New Roman"/>
        </w:rPr>
      </w:pPr>
      <w:r w:rsidRPr="002E4703">
        <w:rPr>
          <w:rFonts w:ascii="Times New Roman" w:eastAsia="Times New Roman" w:hAnsi="Times New Roman"/>
        </w:rPr>
        <w:t>Nutriflex Omega peri Jums skiriamas tuo atveju, jeigu Jūs negalite normaliai maitintis. Tai gali būti įvairios situacijos, pvz., gyjant po operacijos, sužalojimų ar nudegimų arba kai organizmas negali pasisavinti maisto iš skrandžio ir žarnyno.</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keepNext/>
        <w:keepLines/>
        <w:tabs>
          <w:tab w:val="left" w:pos="567"/>
        </w:tabs>
        <w:spacing w:before="120" w:after="80" w:line="260" w:lineRule="exact"/>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2.</w:t>
      </w:r>
      <w:r w:rsidRPr="002E4703">
        <w:rPr>
          <w:rFonts w:ascii="Times New Roman" w:eastAsia="Times New Roman" w:hAnsi="Times New Roman"/>
          <w:b/>
          <w:bCs/>
          <w:snapToGrid w:val="0"/>
          <w:lang w:eastAsia="x-none"/>
        </w:rPr>
        <w:tab/>
        <w:t xml:space="preserve">Kas žinotina prieš vartojant Nutriflex Omega peri  </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b/>
          <w:snapToGrid w:val="0"/>
        </w:rPr>
        <w:t xml:space="preserve">Nutriflex Omega peri vartoti </w:t>
      </w:r>
      <w:r>
        <w:rPr>
          <w:rFonts w:ascii="Times New Roman" w:eastAsia="Times New Roman" w:hAnsi="Times New Roman"/>
          <w:b/>
          <w:snapToGrid w:val="0"/>
        </w:rPr>
        <w:t>draudžiama</w:t>
      </w:r>
      <w:r w:rsidRPr="002E4703">
        <w:rPr>
          <w:rFonts w:ascii="Times New Roman" w:eastAsia="Times New Roman" w:hAnsi="Times New Roman"/>
          <w:b/>
          <w:snapToGrid w:val="0"/>
        </w:rPr>
        <w:t>:</w:t>
      </w:r>
    </w:p>
    <w:p w:rsidR="00626C7A" w:rsidRPr="002E4703" w:rsidRDefault="00626C7A" w:rsidP="00626C7A">
      <w:pPr>
        <w:numPr>
          <w:ilvl w:val="0"/>
          <w:numId w:val="16"/>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jeigu yra alergija kiaušiniams, žemės riešutams, sojų pupelėms ar žuviai arba bet kuriai pagalbinei šio vaisto medžiagai (jos išvardytos 6 skyriuje);</w:t>
      </w:r>
    </w:p>
    <w:p w:rsidR="00626C7A" w:rsidRPr="002E4703" w:rsidRDefault="00626C7A" w:rsidP="00626C7A">
      <w:pPr>
        <w:numPr>
          <w:ilvl w:val="0"/>
          <w:numId w:val="1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šio vaisto negalima skirti naujagimiams, kūdikiams ir jaunesniems kaip dvejų metų vaikams.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spacing w:after="0" w:line="240" w:lineRule="auto"/>
        <w:rPr>
          <w:rFonts w:ascii="Times New Roman" w:eastAsia="Times New Roman" w:hAnsi="Times New Roman"/>
        </w:rPr>
      </w:pPr>
      <w:r w:rsidRPr="002E4703">
        <w:rPr>
          <w:rFonts w:ascii="Times New Roman" w:eastAsia="Times New Roman" w:hAnsi="Times New Roman"/>
        </w:rPr>
        <w:t>Nutriflex Omega peri vartoti taip pat negalima, jei Jums yra kuri nors iš šių būklių:</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gyvybei pavojingi kraujotakos sutrikimai, pvz., galintys pasireikšti Jums esant kolapso ar šoko būklėje;</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širdies priepuolis ar insultas;</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labai sutrikusi kraujo krešėjimo funkcija, kraujavimo pavojus (sunki koagulopatija, blogėjanti hemoraginė diatezė);</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kraujagyslių užsikimšimas kraujo krešuliais arba riebalais (embolija);</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sunkus kepenų nepakankamumas;</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sutrikęs tulžies tekėjimas (intrahepatinė cholestazė);</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sunkus inkstų nepakankamumas, kai nėra sąlygų taikyti dializę;</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druskų kiekio sutrikimai organizme;</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vandens trūkumas ar perteklius organizme;</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vanduo plaučiuose (plaučių edema);</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lastRenderedPageBreak/>
        <w:t xml:space="preserve">sunkus širdies nepakankamumas; </w:t>
      </w:r>
    </w:p>
    <w:p w:rsidR="00626C7A" w:rsidRPr="002E4703" w:rsidRDefault="00626C7A" w:rsidP="00626C7A">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tam tikri medžiagų apykaitos (metabolizmo) sutrikimai, pvz.:</w:t>
      </w:r>
    </w:p>
    <w:p w:rsidR="00626C7A" w:rsidRPr="002E4703" w:rsidRDefault="00626C7A" w:rsidP="00626C7A">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per daug lipidų (riebalų) kraujyje;</w:t>
      </w:r>
    </w:p>
    <w:p w:rsidR="00626C7A" w:rsidRPr="002E4703" w:rsidRDefault="00626C7A" w:rsidP="00626C7A">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įgimti aminorūgščių apykaitos sutrikimai;</w:t>
      </w:r>
    </w:p>
    <w:p w:rsidR="00626C7A" w:rsidRPr="002E4703" w:rsidRDefault="00626C7A" w:rsidP="00626C7A">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nenormaliai didelis cukraus kiekis kraujyje, kuriam kontroliuoti reikia daugiau kaip 6 vienetų insulino per valandą;</w:t>
      </w:r>
    </w:p>
    <w:p w:rsidR="00626C7A" w:rsidRPr="002E4703" w:rsidRDefault="00626C7A" w:rsidP="00626C7A">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medžiagų apykaitos sutrikimai, galintys pasireikšti po operacijų ar sužalojimų;</w:t>
      </w:r>
    </w:p>
    <w:p w:rsidR="00626C7A" w:rsidRPr="002E4703" w:rsidRDefault="00626C7A" w:rsidP="00626C7A">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nežinomos kilmės koma;</w:t>
      </w:r>
    </w:p>
    <w:p w:rsidR="00626C7A" w:rsidRPr="002E4703" w:rsidRDefault="00626C7A" w:rsidP="00626C7A">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nepakankamas audinių aprūpinimas deguonimi;</w:t>
      </w:r>
    </w:p>
    <w:p w:rsidR="00626C7A" w:rsidRPr="002E4703" w:rsidRDefault="00626C7A" w:rsidP="00626C7A">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nenormaliai didelis rūgščių kiekis kraujyje.</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 xml:space="preserve">Įspėjimai ir atsargumo priemonės </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 xml:space="preserve">Pasitarkite su gydytoju, </w:t>
      </w:r>
      <w:r>
        <w:rPr>
          <w:rFonts w:ascii="Times New Roman" w:eastAsia="Times New Roman" w:hAnsi="Times New Roman"/>
          <w:snapToGrid w:val="0"/>
        </w:rPr>
        <w:t xml:space="preserve">vaistininku arba slaugytoju </w:t>
      </w:r>
      <w:r w:rsidRPr="002E4703">
        <w:rPr>
          <w:rFonts w:ascii="Times New Roman" w:eastAsia="Times New Roman" w:hAnsi="Times New Roman"/>
          <w:snapToGrid w:val="0"/>
        </w:rPr>
        <w:t>prieš pradėdami vartoti Nutriflex Omega peri.</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Informuokite gydytoją, jeigu:</w:t>
      </w:r>
    </w:p>
    <w:p w:rsidR="00626C7A" w:rsidRPr="002E4703" w:rsidRDefault="00626C7A" w:rsidP="00626C7A">
      <w:pPr>
        <w:numPr>
          <w:ilvl w:val="0"/>
          <w:numId w:val="19"/>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Jums yra širdies, kepenų ar inkstų sutrikimų;</w:t>
      </w:r>
    </w:p>
    <w:p w:rsidR="00626C7A" w:rsidRPr="002E4703" w:rsidRDefault="00626C7A" w:rsidP="00626C7A">
      <w:pPr>
        <w:numPr>
          <w:ilvl w:val="0"/>
          <w:numId w:val="19"/>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Jums nustatyti tam tikro tipo medžiagų apykaitos sutrikimai, pvz., cukrinis diabetas, nenormalios riebalų kraujyje vertės ir organizmo skysčių bei druskų sudėties arba rūgščių-šarmų pusiausvyros sutrikimai.</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Jums vartojant šį vaistą, Jūsų būklė bus atidžiai stebima, kad būtų aptikti ankstyvi alerginės reakcijos požymiai (pvz., karščiavimas, drebulys, išbėrimas ar dusulys).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Bus taikomas tolesnis stebėjimas ir atliekami tyrimai, pvz., įvairūs kraujo mėginių tyrimai, siekiant įsitikinti, kad Jūsų organizmas tinkamai priima skiriamas maistingas medžiagas.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F204D9">
        <w:rPr>
          <w:rFonts w:ascii="Times New Roman" w:eastAsia="Times New Roman" w:hAnsi="Times New Roman"/>
        </w:rPr>
        <w:t>Sveikatos priežiūros specialistas</w:t>
      </w:r>
      <w:r>
        <w:rPr>
          <w:rFonts w:ascii="Times New Roman" w:eastAsia="Times New Roman" w:hAnsi="Times New Roman"/>
        </w:rPr>
        <w:t xml:space="preserve"> </w:t>
      </w:r>
      <w:r w:rsidRPr="002E4703">
        <w:rPr>
          <w:rFonts w:ascii="Times New Roman" w:eastAsia="Times New Roman" w:hAnsi="Times New Roman"/>
          <w:snapToGrid w:val="0"/>
        </w:rPr>
        <w:t>taip pat im</w:t>
      </w:r>
      <w:r>
        <w:rPr>
          <w:rFonts w:ascii="Times New Roman" w:eastAsia="Times New Roman" w:hAnsi="Times New Roman"/>
          <w:snapToGrid w:val="0"/>
        </w:rPr>
        <w:t>s</w:t>
      </w:r>
      <w:r w:rsidRPr="002E4703">
        <w:rPr>
          <w:rFonts w:ascii="Times New Roman" w:eastAsia="Times New Roman" w:hAnsi="Times New Roman"/>
          <w:snapToGrid w:val="0"/>
        </w:rPr>
        <w:t>is priemonių, kad būtų patenkinti organizmo skysčių ir elektrolitų poreikiai. Kartu su Nutriflex Omega peri Jums gali būti skiriamos kitos maistingos medžiagos (maisto produktai), kad būtų visiškai patenkinti organizmo poreikiai.</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 xml:space="preserve">Vaikams </w:t>
      </w:r>
    </w:p>
    <w:p w:rsidR="00626C7A" w:rsidRPr="002E4703" w:rsidRDefault="00626C7A" w:rsidP="00626C7A">
      <w:pPr>
        <w:numPr>
          <w:ilvl w:val="12"/>
          <w:numId w:val="0"/>
        </w:numPr>
        <w:spacing w:after="0" w:line="240" w:lineRule="auto"/>
        <w:rPr>
          <w:rFonts w:ascii="Times New Roman" w:eastAsia="Times New Roman" w:hAnsi="Times New Roman"/>
          <w:b/>
          <w:snapToGrid w:val="0"/>
        </w:rPr>
      </w:pPr>
    </w:p>
    <w:p w:rsidR="00626C7A" w:rsidRPr="002E4703" w:rsidRDefault="00626C7A" w:rsidP="00626C7A">
      <w:pPr>
        <w:numPr>
          <w:ilvl w:val="12"/>
          <w:numId w:val="0"/>
        </w:num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Šio vaisto negalima skirti naujagimiams, kūdikiams ir jaunesniems kaip dvejų metų vaikams.</w:t>
      </w:r>
    </w:p>
    <w:p w:rsidR="00626C7A" w:rsidRPr="002E4703" w:rsidRDefault="00626C7A" w:rsidP="00626C7A">
      <w:pPr>
        <w:numPr>
          <w:ilvl w:val="12"/>
          <w:numId w:val="0"/>
        </w:numPr>
        <w:spacing w:after="0" w:line="240" w:lineRule="auto"/>
        <w:rPr>
          <w:rFonts w:ascii="Times New Roman" w:eastAsia="Times New Roman" w:hAnsi="Times New Roman"/>
          <w:b/>
          <w:snapToGrid w:val="0"/>
        </w:rPr>
      </w:pP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Kiti vaistai ir Nutriflex Omega peri</w:t>
      </w:r>
    </w:p>
    <w:p w:rsidR="00626C7A" w:rsidRPr="002E4703" w:rsidRDefault="00626C7A" w:rsidP="00626C7A">
      <w:pPr>
        <w:tabs>
          <w:tab w:val="left" w:pos="567"/>
        </w:tabs>
        <w:spacing w:after="0" w:line="260" w:lineRule="exact"/>
        <w:rPr>
          <w:rFonts w:ascii="Times New Roman" w:eastAsia="Times New Roman" w:hAnsi="Times New Roman"/>
          <w:b/>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Jeigu vartojate ar neseniai vartojote kitų vaistų arba dėl to nesate tikri, apie tai pasakykite gydytojui</w:t>
      </w:r>
      <w:r>
        <w:rPr>
          <w:rFonts w:ascii="Times New Roman" w:eastAsia="Times New Roman" w:hAnsi="Times New Roman"/>
          <w:snapToGrid w:val="0"/>
        </w:rPr>
        <w:t>, vaistininkui arba slaugytojui</w:t>
      </w:r>
      <w:r w:rsidRPr="002E4703">
        <w:rPr>
          <w:rFonts w:ascii="Times New Roman" w:eastAsia="Times New Roman" w:hAnsi="Times New Roman"/>
          <w:snapToGrid w:val="0"/>
        </w:rPr>
        <w:t>.</w:t>
      </w:r>
    </w:p>
    <w:p w:rsidR="00626C7A" w:rsidRPr="002E4703" w:rsidRDefault="00626C7A" w:rsidP="00626C7A">
      <w:pPr>
        <w:numPr>
          <w:ilvl w:val="12"/>
          <w:numId w:val="0"/>
        </w:numPr>
        <w:spacing w:after="0" w:line="240" w:lineRule="auto"/>
        <w:rPr>
          <w:rFonts w:ascii="Times New Roman" w:eastAsia="Times New Roman" w:hAnsi="Times New Roman"/>
          <w:snapToGrid w:val="0"/>
        </w:rPr>
      </w:pPr>
    </w:p>
    <w:p w:rsidR="00626C7A" w:rsidRPr="002E4703" w:rsidRDefault="00626C7A" w:rsidP="00626C7A">
      <w:pPr>
        <w:numPr>
          <w:ilvl w:val="12"/>
          <w:numId w:val="0"/>
        </w:num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 xml:space="preserve">Nutriflex Omega peri gali sąveikauti su tam tikrais vaistais. Pasakykite gydytojui, </w:t>
      </w:r>
      <w:r>
        <w:rPr>
          <w:rFonts w:ascii="Times New Roman" w:eastAsia="Times New Roman" w:hAnsi="Times New Roman"/>
          <w:snapToGrid w:val="0"/>
        </w:rPr>
        <w:t xml:space="preserve">vaistininkui arba slaugytojui, </w:t>
      </w:r>
      <w:r w:rsidRPr="002E4703">
        <w:rPr>
          <w:rFonts w:ascii="Times New Roman" w:eastAsia="Times New Roman" w:hAnsi="Times New Roman"/>
          <w:snapToGrid w:val="0"/>
        </w:rPr>
        <w:t>jeigu vartojate ar Jums yra skiriamas bent vienas iš šių:</w:t>
      </w:r>
    </w:p>
    <w:p w:rsidR="00626C7A" w:rsidRPr="002E4703" w:rsidRDefault="00626C7A" w:rsidP="00626C7A">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insulinas;</w:t>
      </w:r>
    </w:p>
    <w:p w:rsidR="00626C7A" w:rsidRPr="002E4703" w:rsidRDefault="00626C7A" w:rsidP="00626C7A">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heparinas;</w:t>
      </w:r>
    </w:p>
    <w:p w:rsidR="00626C7A" w:rsidRPr="002E4703" w:rsidRDefault="00626C7A" w:rsidP="00626C7A">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apsaugantys nuo nepageidaujamo kraujo krešėjimo, pvz., varfarinas ar kiti kumarino dariniai;</w:t>
      </w:r>
    </w:p>
    <w:p w:rsidR="00626C7A" w:rsidRPr="002E4703" w:rsidRDefault="00626C7A" w:rsidP="00626C7A">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skatinantys šlapimo išsiskyrimą (diuretikai);</w:t>
      </w:r>
    </w:p>
    <w:p w:rsidR="00626C7A" w:rsidRPr="002E4703" w:rsidRDefault="00626C7A" w:rsidP="00626C7A">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aukštam kraujospūdžiui ar širdies sutrikimams gydyti (AKF inhibitoriai ir angiotenzino-II-receptorių blokatoriai);</w:t>
      </w:r>
    </w:p>
    <w:p w:rsidR="00626C7A" w:rsidRPr="002E4703" w:rsidRDefault="00626C7A" w:rsidP="00626C7A">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vartojami organų transplantacijoje, pvz., ciklosporinas ir takrolimuzas;</w:t>
      </w:r>
    </w:p>
    <w:p w:rsidR="00626C7A" w:rsidRPr="002E4703" w:rsidRDefault="00626C7A" w:rsidP="00626C7A">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uždegimui gydyti (kortikosteroidai);</w:t>
      </w:r>
    </w:p>
    <w:p w:rsidR="00626C7A" w:rsidRPr="002E4703" w:rsidRDefault="00626C7A" w:rsidP="00626C7A">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hormonų preparatai, veikiantys organizmo skysčių pusiausvyrą (adrenokortikotropinis hormonas [AKTH]).</w:t>
      </w:r>
    </w:p>
    <w:p w:rsidR="00626C7A" w:rsidRPr="002E4703" w:rsidRDefault="00626C7A" w:rsidP="00626C7A">
      <w:pPr>
        <w:numPr>
          <w:ilvl w:val="12"/>
          <w:numId w:val="0"/>
        </w:numPr>
        <w:spacing w:after="0" w:line="240" w:lineRule="auto"/>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Nėštumas ir žindymo laikotarpis</w:t>
      </w: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 xml:space="preserve"> </w:t>
      </w:r>
    </w:p>
    <w:p w:rsidR="00626C7A" w:rsidRPr="002E4703" w:rsidRDefault="00626C7A" w:rsidP="00626C7A">
      <w:pPr>
        <w:numPr>
          <w:ilvl w:val="12"/>
          <w:numId w:val="0"/>
        </w:num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Jeigu esate nėščia, žindote kūdikį, manote, kad galbūt esate nėščia, arba planuojate pastoti, tai prieš vartodama šį vaistą, pasitarkite su gydytoju</w:t>
      </w:r>
      <w:r>
        <w:rPr>
          <w:rFonts w:ascii="Times New Roman" w:eastAsia="Times New Roman" w:hAnsi="Times New Roman"/>
          <w:snapToGrid w:val="0"/>
        </w:rPr>
        <w:t xml:space="preserve"> arba vaistininku</w:t>
      </w:r>
      <w:r w:rsidRPr="002E4703">
        <w:rPr>
          <w:rFonts w:ascii="Times New Roman" w:eastAsia="Times New Roman" w:hAnsi="Times New Roman"/>
          <w:snapToGrid w:val="0"/>
        </w:rPr>
        <w:t>. Jeigu esate nėščia, gydytojas</w:t>
      </w:r>
      <w:r>
        <w:rPr>
          <w:rFonts w:ascii="Times New Roman" w:eastAsia="Times New Roman" w:hAnsi="Times New Roman"/>
          <w:snapToGrid w:val="0"/>
        </w:rPr>
        <w:t xml:space="preserve"> arba vaistininkas</w:t>
      </w:r>
      <w:r w:rsidRPr="002E4703">
        <w:rPr>
          <w:rFonts w:ascii="Times New Roman" w:eastAsia="Times New Roman" w:hAnsi="Times New Roman"/>
          <w:snapToGrid w:val="0"/>
        </w:rPr>
        <w:t xml:space="preserve"> Jums skirs šio vaisto tik tuo atveju, jeigu tai neabejotinai būtina Jūsų sveikimui. Duomenų apie Nutriflex Omega peri vartojimą nėštumo metu nėra.</w:t>
      </w:r>
    </w:p>
    <w:p w:rsidR="00626C7A" w:rsidRPr="002E4703" w:rsidRDefault="00626C7A" w:rsidP="00626C7A">
      <w:pPr>
        <w:numPr>
          <w:ilvl w:val="12"/>
          <w:numId w:val="0"/>
        </w:numPr>
        <w:spacing w:after="0" w:line="240" w:lineRule="auto"/>
        <w:rPr>
          <w:rFonts w:ascii="Times New Roman" w:eastAsia="Times New Roman" w:hAnsi="Times New Roman"/>
          <w:snapToGrid w:val="0"/>
        </w:rPr>
      </w:pPr>
    </w:p>
    <w:p w:rsidR="00626C7A" w:rsidRPr="002E4703" w:rsidRDefault="00626C7A" w:rsidP="00626C7A">
      <w:pPr>
        <w:numPr>
          <w:ilvl w:val="12"/>
          <w:numId w:val="0"/>
        </w:num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Moterims, kurioms taikomas parenterinis maitinimas, žindyti nerekomenduojama.</w:t>
      </w:r>
    </w:p>
    <w:p w:rsidR="00626C7A" w:rsidRPr="002E4703" w:rsidRDefault="00626C7A" w:rsidP="00626C7A">
      <w:pPr>
        <w:numPr>
          <w:ilvl w:val="12"/>
          <w:numId w:val="0"/>
        </w:numPr>
        <w:spacing w:after="0" w:line="240" w:lineRule="auto"/>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Vairavimas ir mechanizmų valdymas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 xml:space="preserve">Šis vaistas paprastai skiriamas nejudantiems pacientams, pvz., gulintiems ligoninėje ar klinikoje, todėl galimybės vairuoti ar valdyti mechanizmus nėra. Vis dėlto, gebėjimo vairuoti ir valdyti mechanizmus pats šis vaistas neveikia. </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F52872" w:rsidRDefault="00626C7A" w:rsidP="00626C7A">
      <w:pPr>
        <w:keepNext/>
        <w:spacing w:after="0" w:line="240" w:lineRule="auto"/>
        <w:rPr>
          <w:rFonts w:ascii="Times New Roman" w:eastAsia="Times New Roman" w:hAnsi="Times New Roman"/>
          <w:b/>
        </w:rPr>
      </w:pPr>
      <w:r w:rsidRPr="00F52872">
        <w:rPr>
          <w:rFonts w:ascii="Times New Roman" w:eastAsia="Times New Roman" w:hAnsi="Times New Roman"/>
          <w:b/>
        </w:rPr>
        <w:t>Nutriflex Omega peri sudėtyje yra natrio</w:t>
      </w:r>
    </w:p>
    <w:p w:rsidR="00626C7A" w:rsidRPr="00F52872" w:rsidRDefault="00626C7A" w:rsidP="00626C7A">
      <w:pPr>
        <w:spacing w:after="0" w:line="240" w:lineRule="auto"/>
        <w:rPr>
          <w:rFonts w:ascii="Times New Roman" w:eastAsia="Times New Roman" w:hAnsi="Times New Roman"/>
          <w:szCs w:val="20"/>
        </w:rPr>
      </w:pPr>
      <w:r w:rsidRPr="00F52872">
        <w:rPr>
          <w:rFonts w:ascii="Times New Roman" w:eastAsia="Times New Roman" w:hAnsi="Times New Roman"/>
          <w:szCs w:val="20"/>
        </w:rPr>
        <w:t xml:space="preserve">Kiekviename šio vaisto </w:t>
      </w:r>
      <w:r>
        <w:rPr>
          <w:rFonts w:ascii="Times New Roman" w:eastAsia="Times New Roman" w:hAnsi="Times New Roman"/>
          <w:szCs w:val="20"/>
        </w:rPr>
        <w:t xml:space="preserve">mililitre </w:t>
      </w:r>
      <w:r w:rsidRPr="00F52872">
        <w:rPr>
          <w:rFonts w:ascii="Times New Roman" w:eastAsia="Times New Roman" w:hAnsi="Times New Roman"/>
          <w:szCs w:val="20"/>
        </w:rPr>
        <w:t xml:space="preserve">yra </w:t>
      </w:r>
      <w:r>
        <w:rPr>
          <w:rFonts w:ascii="Times New Roman" w:eastAsia="Times New Roman" w:hAnsi="Times New Roman"/>
          <w:snapToGrid w:val="0"/>
          <w:szCs w:val="20"/>
        </w:rPr>
        <w:t>0,931</w:t>
      </w:r>
      <w:r w:rsidRPr="00F52872">
        <w:rPr>
          <w:rFonts w:ascii="Times New Roman" w:eastAsia="Times New Roman" w:hAnsi="Times New Roman"/>
          <w:snapToGrid w:val="0"/>
          <w:szCs w:val="20"/>
        </w:rPr>
        <w:t> mg</w:t>
      </w:r>
      <w:r w:rsidRPr="00F52872">
        <w:rPr>
          <w:rFonts w:ascii="Times New Roman" w:eastAsia="Times New Roman" w:hAnsi="Times New Roman"/>
          <w:szCs w:val="20"/>
        </w:rPr>
        <w:t xml:space="preserve"> natrio (valgomosios druskos sudedamosios dalies). Tai atitinka </w:t>
      </w:r>
      <w:r>
        <w:rPr>
          <w:rFonts w:ascii="Times New Roman" w:eastAsia="Times New Roman" w:hAnsi="Times New Roman"/>
          <w:snapToGrid w:val="0"/>
          <w:szCs w:val="20"/>
        </w:rPr>
        <w:t>0,047</w:t>
      </w:r>
      <w:r w:rsidRPr="00F52872">
        <w:rPr>
          <w:rFonts w:ascii="Times New Roman" w:eastAsia="Times New Roman" w:hAnsi="Times New Roman"/>
          <w:snapToGrid w:val="0"/>
          <w:szCs w:val="20"/>
        </w:rPr>
        <w:t> %</w:t>
      </w:r>
      <w:r w:rsidRPr="00F52872">
        <w:rPr>
          <w:rFonts w:ascii="Times New Roman" w:eastAsia="Times New Roman" w:hAnsi="Times New Roman"/>
          <w:szCs w:val="20"/>
        </w:rPr>
        <w:t xml:space="preserve"> didžiausios rekomenduojamos natrio paros normos suaugusiesiems.</w:t>
      </w:r>
    </w:p>
    <w:p w:rsidR="00626C7A" w:rsidRPr="00F52872" w:rsidRDefault="00626C7A" w:rsidP="00626C7A">
      <w:pPr>
        <w:spacing w:after="0" w:line="240" w:lineRule="auto"/>
        <w:rPr>
          <w:rFonts w:ascii="Times New Roman" w:eastAsia="Times New Roman" w:hAnsi="Times New Roman"/>
          <w:szCs w:val="20"/>
        </w:rPr>
      </w:pPr>
      <w:r w:rsidRPr="00F52872">
        <w:rPr>
          <w:rFonts w:ascii="Times New Roman" w:eastAsia="Times New Roman" w:hAnsi="Times New Roman"/>
          <w:szCs w:val="20"/>
        </w:rPr>
        <w:t>Pasitarkite su gydytoju arba vaistininku, jei ilgą laikotarpį Jums tektų vartoti vieną ar daugiau maišelių per parą, ypač jei Jums patariama kontroliuoti natrio kiekį maiste.</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3.</w:t>
      </w:r>
      <w:r w:rsidRPr="002E4703">
        <w:rPr>
          <w:rFonts w:ascii="Times New Roman" w:eastAsia="Times New Roman" w:hAnsi="Times New Roman"/>
          <w:b/>
          <w:bCs/>
          <w:snapToGrid w:val="0"/>
          <w:lang w:eastAsia="x-none"/>
        </w:rPr>
        <w:tab/>
        <w:t>Kaip vartoti Nutriflex Omega peri</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Šis vaistas vartojamas intravenine infuzija (lašinant), t. y., lašinama per tiesiai į veną įstatytą mažą vamzdelį. Šis vaistas gali būti skiriamas per vieną iš Jūsų mažųjų (periferinių) arba didžiųjų (centrinių) venų. Rekomenduojama parenteriniam maitinimui skirto maišelio infuzijos trukmė yra ne daugiau kaip 24 valandos.</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Gydytojas </w:t>
      </w:r>
      <w:r>
        <w:rPr>
          <w:rFonts w:ascii="Times New Roman" w:eastAsia="Times New Roman" w:hAnsi="Times New Roman"/>
          <w:snapToGrid w:val="0"/>
        </w:rPr>
        <w:t xml:space="preserve">arba vaistininkas </w:t>
      </w:r>
      <w:r w:rsidRPr="002E4703">
        <w:rPr>
          <w:rFonts w:ascii="Times New Roman" w:eastAsia="Times New Roman" w:hAnsi="Times New Roman"/>
          <w:snapToGrid w:val="0"/>
        </w:rPr>
        <w:t>nuspręs, kokio šio vaisto kiekio Jums reikia ir kiek laiko Jus reikia gydyti šiuo vaistu.</w:t>
      </w:r>
    </w:p>
    <w:p w:rsidR="00626C7A" w:rsidRPr="002E4703" w:rsidRDefault="00626C7A" w:rsidP="00626C7A">
      <w:pPr>
        <w:keepNext/>
        <w:tabs>
          <w:tab w:val="left" w:pos="567"/>
        </w:tabs>
        <w:spacing w:after="0" w:line="260" w:lineRule="exact"/>
        <w:jc w:val="both"/>
        <w:outlineLvl w:val="3"/>
        <w:rPr>
          <w:rFonts w:ascii="Times New Roman" w:eastAsia="Times New Roman" w:hAnsi="Times New Roman"/>
          <w:snapToGrid w:val="0"/>
        </w:rPr>
      </w:pPr>
    </w:p>
    <w:p w:rsidR="00626C7A" w:rsidRPr="002E4703" w:rsidRDefault="00626C7A" w:rsidP="00626C7A">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Vartojimas vaikams</w:t>
      </w:r>
    </w:p>
    <w:p w:rsidR="00626C7A"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 xml:space="preserve">Šio vaisto negalima skirti naujagimiams, kūdikiams ir jaunesniems kaip </w:t>
      </w:r>
      <w:r>
        <w:rPr>
          <w:rFonts w:ascii="Times New Roman" w:eastAsia="Times New Roman" w:hAnsi="Times New Roman"/>
          <w:snapToGrid w:val="0"/>
        </w:rPr>
        <w:t>2 </w:t>
      </w:r>
      <w:r w:rsidRPr="002E4703">
        <w:rPr>
          <w:rFonts w:ascii="Times New Roman" w:eastAsia="Times New Roman" w:hAnsi="Times New Roman"/>
          <w:snapToGrid w:val="0"/>
        </w:rPr>
        <w:t>metų vaikams.</w:t>
      </w:r>
    </w:p>
    <w:p w:rsidR="00626C7A" w:rsidRPr="00F204D9" w:rsidRDefault="00626C7A" w:rsidP="00626C7A">
      <w:pPr>
        <w:suppressAutoHyphens/>
        <w:autoSpaceDN w:val="0"/>
        <w:spacing w:after="0" w:line="240" w:lineRule="auto"/>
        <w:ind w:right="-2"/>
        <w:rPr>
          <w:rFonts w:ascii="Times New Roman" w:eastAsia="Times New Roman" w:hAnsi="Times New Roman"/>
        </w:rPr>
      </w:pPr>
      <w:r w:rsidRPr="00F204D9">
        <w:rPr>
          <w:rFonts w:ascii="Times New Roman" w:eastAsia="Times New Roman" w:hAnsi="Times New Roman"/>
          <w:szCs w:val="20"/>
        </w:rPr>
        <w:t>Gydytojas nuspręs, kiek šio vaisto reikia Jūsų vaikui ir kiek laiko reikia vaiką gydyti šiuo vaistu.</w:t>
      </w:r>
    </w:p>
    <w:p w:rsidR="00626C7A" w:rsidRPr="002E4703" w:rsidRDefault="00626C7A" w:rsidP="00626C7A">
      <w:pPr>
        <w:keepNext/>
        <w:tabs>
          <w:tab w:val="left" w:pos="567"/>
        </w:tabs>
        <w:spacing w:after="0" w:line="260" w:lineRule="exact"/>
        <w:jc w:val="both"/>
        <w:outlineLvl w:val="3"/>
        <w:rPr>
          <w:rFonts w:ascii="Times New Roman" w:eastAsia="Times New Roman" w:hAnsi="Times New Roman"/>
          <w:b/>
          <w:bCs/>
          <w:snapToGrid w:val="0"/>
          <w:lang w:eastAsia="x-none"/>
        </w:rPr>
      </w:pPr>
    </w:p>
    <w:p w:rsidR="00626C7A" w:rsidRPr="002E4703" w:rsidRDefault="00626C7A" w:rsidP="00626C7A">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Ką daryti pavartojus per didelę Nutriflex Omega peri dozę?</w:t>
      </w:r>
    </w:p>
    <w:p w:rsidR="00626C7A" w:rsidRPr="002E4703" w:rsidRDefault="00626C7A" w:rsidP="00626C7A">
      <w:pPr>
        <w:tabs>
          <w:tab w:val="left" w:pos="567"/>
        </w:tabs>
        <w:spacing w:after="0" w:line="260" w:lineRule="exact"/>
        <w:rPr>
          <w:rFonts w:ascii="Times New Roman" w:eastAsia="Times New Roman" w:hAnsi="Times New Roman"/>
          <w:snapToGrid w:val="0"/>
          <w:szCs w:val="20"/>
          <w:lang w:eastAsia="x-none"/>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Jeigu Jums sulašintas per didelis šio vaisto kiekis gali pasireikšti taip vadinamas „pertekliaus sindromas“ ir šie simptomai:</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skysčių perteklius ir elektrolitų pusiausvyros sutrikimas;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plaučių pabrinkimas (plaučių edema);</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aminorūgščių netekimas su šlapimu ir aminorūgščių pusiausvyros sutrikimas;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vėmimas, šleikštulys;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drebulys;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per didelis cukraus kiekis kraujyje;</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gliukozė šlapime;</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skysčių trūkumas;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daug tirštesnis kraujas nei įprastai (hiperosmoliališkumas);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sąmonės sutrikimas ar netekimas dėl ypač didelio cukraus kiekio kraujyje;</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kepenų padidėjimas (hepatomegalija) su gelta ar be jos;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blužnies padidėjimas (splenomegalija);</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riebalų sankaupos vidaus organuose;</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nenormalios kepenų funkcijos tyrimų vertės;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raudonųjų kraujo kūnelių kiekio sumažėjimas (anemija);</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baltųjų kraujo kūnelių kiekio sumažėjimas (leukopenija);</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trombocitų kiekio kraujyje sumažėjimas (trombocitopenija);</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nesubrendusių raudonųjų kraujo kūnelių kiekio padidėjimas (retikulocitozė);</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kraujo kūnelių plyšimas (hemolizė);</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kraujavimas ar polinkis kraujuoti;</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kraujo krešėjimo sutrikimas (tai gali rodyti pakitusi kraujavimo, krešėjimo trukmė, protrombino laikas ir kt.);</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karščiavimas;</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per didelis riebalų kiekis kraujyje;</w:t>
      </w:r>
    </w:p>
    <w:p w:rsidR="00626C7A" w:rsidRPr="002E4703" w:rsidRDefault="00626C7A" w:rsidP="00626C7A">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sąmonės netekimas.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Pasireiškus bent vienam iš šių simptomų, infuziją reikia nedelsiant nutraukti.</w:t>
      </w:r>
    </w:p>
    <w:p w:rsidR="00626C7A" w:rsidRPr="002E4703" w:rsidRDefault="00626C7A" w:rsidP="00626C7A">
      <w:pPr>
        <w:numPr>
          <w:ilvl w:val="12"/>
          <w:numId w:val="0"/>
        </w:numPr>
        <w:spacing w:after="0" w:line="240" w:lineRule="auto"/>
        <w:rPr>
          <w:rFonts w:ascii="Times New Roman" w:eastAsia="Times New Roman" w:hAnsi="Times New Roman"/>
          <w:snapToGrid w:val="0"/>
        </w:rPr>
      </w:pPr>
    </w:p>
    <w:p w:rsidR="00626C7A" w:rsidRDefault="00626C7A" w:rsidP="00626C7A">
      <w:pPr>
        <w:numPr>
          <w:ilvl w:val="12"/>
          <w:numId w:val="0"/>
        </w:numPr>
        <w:spacing w:after="0" w:line="240" w:lineRule="auto"/>
        <w:rPr>
          <w:rFonts w:ascii="Times New Roman" w:eastAsia="Times New Roman" w:hAnsi="Times New Roman"/>
          <w:snapToGrid w:val="0"/>
        </w:rPr>
      </w:pPr>
      <w:r w:rsidRPr="006F6CE1">
        <w:rPr>
          <w:rFonts w:ascii="Times New Roman" w:eastAsia="Times New Roman" w:hAnsi="Times New Roman"/>
          <w:snapToGrid w:val="0"/>
        </w:rPr>
        <w:t>Jeigu kiltų daugiau klausimų dėl šio vaisto varto</w:t>
      </w:r>
      <w:r>
        <w:rPr>
          <w:rFonts w:ascii="Times New Roman" w:eastAsia="Times New Roman" w:hAnsi="Times New Roman"/>
          <w:snapToGrid w:val="0"/>
        </w:rPr>
        <w:t>jimo, kreipkitės į gydytoją,</w:t>
      </w:r>
      <w:r w:rsidRPr="006F6CE1">
        <w:rPr>
          <w:rFonts w:ascii="Times New Roman" w:eastAsia="Times New Roman" w:hAnsi="Times New Roman"/>
          <w:snapToGrid w:val="0"/>
        </w:rPr>
        <w:t xml:space="preserve"> vaistininką</w:t>
      </w:r>
      <w:r>
        <w:rPr>
          <w:rFonts w:ascii="Times New Roman" w:eastAsia="Times New Roman" w:hAnsi="Times New Roman"/>
          <w:snapToGrid w:val="0"/>
        </w:rPr>
        <w:t xml:space="preserve"> arba slaugytoją</w:t>
      </w:r>
      <w:r w:rsidRPr="006F6CE1">
        <w:rPr>
          <w:rFonts w:ascii="Times New Roman" w:eastAsia="Times New Roman" w:hAnsi="Times New Roman"/>
          <w:snapToGrid w:val="0"/>
        </w:rPr>
        <w:t>.</w:t>
      </w:r>
    </w:p>
    <w:p w:rsidR="00626C7A" w:rsidRDefault="00626C7A" w:rsidP="00626C7A">
      <w:pPr>
        <w:numPr>
          <w:ilvl w:val="12"/>
          <w:numId w:val="0"/>
        </w:numPr>
        <w:spacing w:after="0" w:line="240" w:lineRule="auto"/>
        <w:rPr>
          <w:rFonts w:ascii="Times New Roman" w:eastAsia="Times New Roman" w:hAnsi="Times New Roman"/>
          <w:snapToGrid w:val="0"/>
        </w:rPr>
      </w:pPr>
    </w:p>
    <w:p w:rsidR="00626C7A" w:rsidRPr="002E4703" w:rsidRDefault="00626C7A" w:rsidP="00626C7A">
      <w:pPr>
        <w:numPr>
          <w:ilvl w:val="12"/>
          <w:numId w:val="0"/>
        </w:numPr>
        <w:spacing w:after="0" w:line="240" w:lineRule="auto"/>
        <w:rPr>
          <w:rFonts w:ascii="Times New Roman" w:eastAsia="Times New Roman" w:hAnsi="Times New Roman"/>
          <w:snapToGrid w:val="0"/>
        </w:rPr>
      </w:pPr>
    </w:p>
    <w:p w:rsidR="00626C7A" w:rsidRPr="002E4703" w:rsidRDefault="00626C7A" w:rsidP="00626C7A">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4.</w:t>
      </w:r>
      <w:r w:rsidRPr="002E4703">
        <w:rPr>
          <w:rFonts w:ascii="Times New Roman" w:eastAsia="Times New Roman" w:hAnsi="Times New Roman"/>
          <w:b/>
          <w:bCs/>
          <w:snapToGrid w:val="0"/>
          <w:lang w:eastAsia="x-none"/>
        </w:rPr>
        <w:tab/>
        <w:t>Galimas šalutinis poveikis</w:t>
      </w:r>
    </w:p>
    <w:p w:rsidR="00626C7A" w:rsidRPr="002E4703" w:rsidRDefault="00626C7A" w:rsidP="00626C7A">
      <w:pPr>
        <w:numPr>
          <w:ilvl w:val="12"/>
          <w:numId w:val="0"/>
        </w:numPr>
        <w:spacing w:after="0" w:line="240" w:lineRule="auto"/>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9"/>
        <w:rPr>
          <w:rFonts w:ascii="Times New Roman" w:eastAsia="Times New Roman" w:hAnsi="Times New Roman"/>
          <w:snapToGrid w:val="0"/>
        </w:rPr>
      </w:pPr>
      <w:r w:rsidRPr="002E4703">
        <w:rPr>
          <w:rFonts w:ascii="Times New Roman" w:eastAsia="Times New Roman" w:hAnsi="Times New Roman"/>
          <w:snapToGrid w:val="0"/>
        </w:rPr>
        <w:t>Šis vaistas, kaip ir visi kiti, gali sukelti šalutinį poveikį, nors jis pasireiškia ne visiems žmonėms.</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Toliau aprašytas šalutinis poveikis gali būti sunkus. Jeigu Jums pasireiškė bet kuris toliau aprašytas šalutinis poveikis, nedelsdami praneškite gydytojui, jis nutrauks šio vaisto skyrimą Jums:</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Reti šalutinio poveikio reiškiniai (gali pasireikšti rečiau kaip 1 iš 1</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Pr="002E4703">
        <w:rPr>
          <w:rFonts w:ascii="Times New Roman" w:eastAsia="Times New Roman" w:hAnsi="Times New Roman"/>
          <w:snapToGrid w:val="0"/>
        </w:rPr>
        <w:t>:</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alerginės reakcijos, pvz. odos reakcijos, dusulys, lūpų, burnos ir gerklės pabrinkimas, pasunkėjęs kvėpavimas.</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Kitas šalutinis poveikis:</w:t>
      </w:r>
    </w:p>
    <w:p w:rsidR="00626C7A" w:rsidRPr="002E4703" w:rsidRDefault="00626C7A" w:rsidP="00626C7A">
      <w:pPr>
        <w:tabs>
          <w:tab w:val="left" w:pos="567"/>
        </w:tabs>
        <w:spacing w:after="0" w:line="260" w:lineRule="exact"/>
        <w:rPr>
          <w:rFonts w:ascii="Times New Roman" w:eastAsia="Times New Roman" w:hAnsi="Times New Roman"/>
          <w:b/>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Dažni šalutinio poveikio reiškiniai (gali pasireikšti rečiau kaip 1 iš 10</w:t>
      </w:r>
      <w:r>
        <w:rPr>
          <w:rFonts w:ascii="Times New Roman" w:eastAsia="Times New Roman" w:hAnsi="Times New Roman"/>
          <w:snapToGrid w:val="0"/>
        </w:rPr>
        <w:t> </w:t>
      </w:r>
      <w:r w:rsidRPr="00876934">
        <w:rPr>
          <w:rFonts w:ascii="Times New Roman" w:eastAsia="Times New Roman" w:hAnsi="Times New Roman"/>
          <w:snapToGrid w:val="0"/>
        </w:rPr>
        <w:t>asmenų)</w:t>
      </w:r>
      <w:r w:rsidRPr="002E4703">
        <w:rPr>
          <w:rFonts w:ascii="Times New Roman" w:eastAsia="Times New Roman" w:hAnsi="Times New Roman"/>
          <w:snapToGrid w:val="0"/>
        </w:rPr>
        <w:t>:</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venų sudirginimas arba uždegimas (flebitas, tromboflebitas)</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Nedažni šalutinio poveikio reiškiniai (gali pasireikšti rečiau kaip 1 iš 100</w:t>
      </w:r>
      <w:r>
        <w:rPr>
          <w:rFonts w:ascii="Times New Roman" w:eastAsia="Times New Roman" w:hAnsi="Times New Roman"/>
          <w:snapToGrid w:val="0"/>
        </w:rPr>
        <w:t> </w:t>
      </w:r>
      <w:r w:rsidRPr="00876934">
        <w:rPr>
          <w:rFonts w:ascii="Times New Roman" w:eastAsia="Times New Roman" w:hAnsi="Times New Roman"/>
          <w:snapToGrid w:val="0"/>
        </w:rPr>
        <w:t>asmenų</w:t>
      </w:r>
      <w:r>
        <w:rPr>
          <w:rFonts w:ascii="Times New Roman" w:eastAsia="Times New Roman" w:hAnsi="Times New Roman"/>
          <w:snapToGrid w:val="0"/>
        </w:rPr>
        <w:t>)</w:t>
      </w:r>
      <w:r w:rsidRPr="002E4703">
        <w:rPr>
          <w:rFonts w:ascii="Times New Roman" w:eastAsia="Times New Roman" w:hAnsi="Times New Roman"/>
          <w:snapToGrid w:val="0"/>
        </w:rPr>
        <w:t>:</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šleikštulys, vėmimas, apetito stoka</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Reti šalutinio poveikio reiškiniai (gali pasireikšti rečiau kaip 1 iš 1</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Pr="002E4703">
        <w:rPr>
          <w:rFonts w:ascii="Times New Roman" w:eastAsia="Times New Roman" w:hAnsi="Times New Roman"/>
          <w:snapToGrid w:val="0"/>
        </w:rPr>
        <w:t>:</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padidėjęs kraujo polinkis krešėti</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mėlynas odos atspalvis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dusulys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galvos skausmas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veido ir kaklo paraudimas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odos paraudimas (eritema)</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prakaitavimas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drebulys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šalčio pojūtis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aukšta kūno temperatūra</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mieguistumas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krūtinės, nugaros, kaulų ar juosmens srities skausmas</w:t>
      </w:r>
    </w:p>
    <w:p w:rsidR="00626C7A" w:rsidRPr="002E4703" w:rsidRDefault="00626C7A" w:rsidP="00626C7A">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kraujospūdžio sumažėjimas ar padidėjimas</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Labai reti šalutinio poveikio reiškiniai (gali pasireikšti rečiau kaip 1 iš 10</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Pr="002E4703">
        <w:rPr>
          <w:rFonts w:ascii="Times New Roman" w:eastAsia="Times New Roman" w:hAnsi="Times New Roman"/>
          <w:snapToGrid w:val="0"/>
        </w:rPr>
        <w:t>):</w:t>
      </w:r>
    </w:p>
    <w:p w:rsidR="00626C7A" w:rsidRPr="002E4703" w:rsidRDefault="00626C7A" w:rsidP="00626C7A">
      <w:pPr>
        <w:numPr>
          <w:ilvl w:val="0"/>
          <w:numId w:val="25"/>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nenormaliai didelis riebalų ar cukraus kiekis kraujyje</w:t>
      </w:r>
    </w:p>
    <w:p w:rsidR="00626C7A" w:rsidRPr="002E4703" w:rsidRDefault="00626C7A" w:rsidP="00626C7A">
      <w:pPr>
        <w:numPr>
          <w:ilvl w:val="0"/>
          <w:numId w:val="25"/>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didelis rūgščiųjų medžiagų kiekis kraujyje</w:t>
      </w:r>
    </w:p>
    <w:p w:rsidR="00626C7A" w:rsidRPr="002E4703" w:rsidRDefault="00626C7A" w:rsidP="00626C7A">
      <w:pPr>
        <w:numPr>
          <w:ilvl w:val="0"/>
          <w:numId w:val="25"/>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per didelis lipidų kiekis gali sukelti riebalų pertekliaus sindromą (daugiau informacijos pateikta 3 skyriuje, „Ką daryti pavartojus per didelę Nutriflex Omega peri dozę?“). Sustabdžius infuziją, simptomai paprastai išnyksta.</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Dažnis nežinomas (negali būti apskaičiuotas pagal turimus duomenis):</w:t>
      </w:r>
    </w:p>
    <w:p w:rsidR="00626C7A" w:rsidRPr="002E4703" w:rsidRDefault="00626C7A" w:rsidP="00626C7A">
      <w:pPr>
        <w:numPr>
          <w:ilvl w:val="0"/>
          <w:numId w:val="2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baltųjų kraujo kūnelių skaičiaus sumažėjimas (leukopenija)</w:t>
      </w:r>
    </w:p>
    <w:p w:rsidR="00626C7A" w:rsidRPr="002E4703" w:rsidRDefault="00626C7A" w:rsidP="00626C7A">
      <w:pPr>
        <w:numPr>
          <w:ilvl w:val="0"/>
          <w:numId w:val="26"/>
        </w:numPr>
        <w:tabs>
          <w:tab w:val="left" w:pos="567"/>
        </w:tabs>
        <w:spacing w:after="0" w:line="260" w:lineRule="exact"/>
        <w:ind w:left="567" w:hanging="567"/>
        <w:rPr>
          <w:rFonts w:ascii="Times New Roman" w:eastAsia="Times New Roman" w:hAnsi="Times New Roman"/>
          <w:iCs/>
          <w:snapToGrid w:val="0"/>
        </w:rPr>
      </w:pPr>
      <w:r w:rsidRPr="002E4703">
        <w:rPr>
          <w:rFonts w:ascii="Times New Roman" w:eastAsia="Times New Roman" w:hAnsi="Times New Roman"/>
          <w:snapToGrid w:val="0"/>
        </w:rPr>
        <w:t>kraujo plokštelių skaičiaus sumažėjimas (trombocitopenija)</w:t>
      </w:r>
    </w:p>
    <w:p w:rsidR="00626C7A" w:rsidRPr="002E4703" w:rsidRDefault="00626C7A" w:rsidP="00626C7A">
      <w:pPr>
        <w:numPr>
          <w:ilvl w:val="0"/>
          <w:numId w:val="26"/>
        </w:numPr>
        <w:tabs>
          <w:tab w:val="left" w:pos="567"/>
        </w:tabs>
        <w:spacing w:after="0" w:line="260" w:lineRule="exact"/>
        <w:ind w:left="567" w:hanging="567"/>
        <w:rPr>
          <w:rFonts w:ascii="Times New Roman" w:eastAsia="Times New Roman" w:hAnsi="Times New Roman"/>
          <w:iCs/>
          <w:snapToGrid w:val="0"/>
        </w:rPr>
      </w:pPr>
      <w:r w:rsidRPr="002E4703">
        <w:rPr>
          <w:rFonts w:ascii="Times New Roman" w:eastAsia="Times New Roman" w:hAnsi="Times New Roman"/>
          <w:snapToGrid w:val="0"/>
        </w:rPr>
        <w:t>sutrikęs tulžies nutekėjimas (cholestazė)</w:t>
      </w:r>
    </w:p>
    <w:p w:rsidR="00626C7A" w:rsidRPr="002E4703" w:rsidRDefault="00626C7A" w:rsidP="00626C7A">
      <w:pPr>
        <w:tabs>
          <w:tab w:val="left" w:pos="567"/>
        </w:tabs>
        <w:spacing w:after="0" w:line="240" w:lineRule="auto"/>
        <w:rPr>
          <w:rFonts w:ascii="Times New Roman" w:eastAsia="Times New Roman" w:hAnsi="Times New Roman"/>
          <w:b/>
          <w:snapToGrid w:val="0"/>
        </w:rPr>
      </w:pPr>
    </w:p>
    <w:p w:rsidR="00626C7A" w:rsidRPr="002E4703" w:rsidRDefault="00626C7A" w:rsidP="00626C7A">
      <w:pP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Pranešimas apie šalutinį poveikį</w:t>
      </w:r>
    </w:p>
    <w:p w:rsidR="00626C7A" w:rsidRPr="00F204D9" w:rsidRDefault="00626C7A" w:rsidP="00626C7A">
      <w:pPr>
        <w:tabs>
          <w:tab w:val="left" w:pos="567"/>
        </w:tabs>
        <w:autoSpaceDE w:val="0"/>
        <w:adjustRightInd w:val="0"/>
        <w:spacing w:after="0" w:line="260" w:lineRule="exact"/>
        <w:rPr>
          <w:rFonts w:ascii="Times New Roman" w:eastAsia="Times New Roman" w:hAnsi="Times New Roman"/>
          <w:noProof/>
          <w:snapToGrid w:val="0"/>
          <w:szCs w:val="24"/>
          <w:lang w:eastAsia="lt-LT"/>
        </w:rPr>
      </w:pPr>
      <w:r w:rsidRPr="00336975">
        <w:rPr>
          <w:rFonts w:ascii="Times New Roman" w:eastAsia="Times New Roman" w:hAnsi="Times New Roman"/>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336975">
          <w:rPr>
            <w:rFonts w:ascii="Times New Roman" w:eastAsia="Times New Roman" w:hAnsi="Times New Roman"/>
            <w:snapToGrid w:val="0"/>
            <w:color w:val="0000FF"/>
            <w:szCs w:val="20"/>
            <w:u w:val="single"/>
          </w:rPr>
          <w:t>https://vapris.vvkt.lt/vvkt-web/public/nrv</w:t>
        </w:r>
      </w:hyperlink>
      <w:r w:rsidRPr="00336975">
        <w:rPr>
          <w:rFonts w:ascii="Times New Roman" w:eastAsia="Times New Roman" w:hAnsi="Times New Roman"/>
          <w:snapToGrid w:val="0"/>
          <w:szCs w:val="20"/>
        </w:rPr>
        <w:t xml:space="preserve"> arba užpildant Paciento pranešimo apie įtariamą nepageidaujamą reakciją (ĮNR) formą, kuri skelbiama </w:t>
      </w:r>
      <w:hyperlink r:id="rId6" w:history="1">
        <w:r w:rsidRPr="00336975">
          <w:rPr>
            <w:rFonts w:ascii="Times New Roman" w:eastAsia="Times New Roman" w:hAnsi="Times New Roman"/>
            <w:snapToGrid w:val="0"/>
            <w:color w:val="0000FF"/>
            <w:szCs w:val="20"/>
            <w:u w:val="single"/>
          </w:rPr>
          <w:t>https://www.vvkt.lt/index.php?4004286486</w:t>
        </w:r>
      </w:hyperlink>
      <w:r w:rsidRPr="00336975">
        <w:rPr>
          <w:rFonts w:ascii="Times New Roman" w:eastAsia="Times New Roman" w:hAnsi="Times New Roman"/>
          <w:snapToGrid w:val="0"/>
          <w:szCs w:val="20"/>
        </w:rPr>
        <w:t xml:space="preserve">, ir atsiunčiant elektroniniu paštu (adresu </w:t>
      </w:r>
      <w:hyperlink r:id="rId7" w:history="1">
        <w:r w:rsidRPr="00336975">
          <w:rPr>
            <w:rFonts w:ascii="Times New Roman" w:eastAsia="Times New Roman" w:hAnsi="Times New Roman"/>
            <w:snapToGrid w:val="0"/>
            <w:color w:val="0000FF"/>
            <w:szCs w:val="20"/>
            <w:u w:val="single"/>
          </w:rPr>
          <w:t>NepageidaujamaR@vvkt.lt</w:t>
        </w:r>
      </w:hyperlink>
      <w:r w:rsidRPr="00336975">
        <w:rPr>
          <w:rFonts w:ascii="Times New Roman" w:eastAsia="Times New Roman" w:hAnsi="Times New Roman"/>
          <w:snapToGrid w:val="0"/>
          <w:szCs w:val="20"/>
        </w:rPr>
        <w:t>) arba nemokamu telefonu 8 800 73 568. Pranešdami apie šalutinį poveikį galite mums padėti gauti daugiau informacijos apie šio vaisto saugumą</w:t>
      </w:r>
      <w:r>
        <w:rPr>
          <w:rFonts w:ascii="Times New Roman" w:eastAsia="Times New Roman" w:hAnsi="Times New Roman"/>
          <w:snapToGrid w:val="0"/>
          <w:szCs w:val="20"/>
        </w:rPr>
        <w:t>.</w:t>
      </w:r>
    </w:p>
    <w:p w:rsidR="00626C7A" w:rsidRPr="002E4703" w:rsidRDefault="00626C7A" w:rsidP="00626C7A">
      <w:pPr>
        <w:tabs>
          <w:tab w:val="left" w:pos="567"/>
        </w:tabs>
        <w:spacing w:after="0" w:line="260" w:lineRule="exact"/>
        <w:ind w:right="-449"/>
        <w:rPr>
          <w:rFonts w:ascii="Times New Roman" w:eastAsia="Times New Roman" w:hAnsi="Times New Roman"/>
          <w:snapToGrid w:val="0"/>
        </w:rPr>
      </w:pPr>
    </w:p>
    <w:p w:rsidR="00626C7A" w:rsidRPr="002E4703" w:rsidRDefault="00626C7A" w:rsidP="00626C7A">
      <w:pPr>
        <w:tabs>
          <w:tab w:val="left" w:pos="567"/>
        </w:tabs>
        <w:spacing w:after="0" w:line="260" w:lineRule="exact"/>
        <w:ind w:right="-449"/>
        <w:rPr>
          <w:rFonts w:ascii="Times New Roman" w:eastAsia="Times New Roman" w:hAnsi="Times New Roman"/>
          <w:snapToGrid w:val="0"/>
        </w:rPr>
      </w:pPr>
    </w:p>
    <w:p w:rsidR="00626C7A" w:rsidRPr="002E4703" w:rsidRDefault="00626C7A" w:rsidP="00626C7A">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5.</w:t>
      </w:r>
      <w:r w:rsidRPr="002E4703">
        <w:rPr>
          <w:rFonts w:ascii="Times New Roman" w:eastAsia="Times New Roman" w:hAnsi="Times New Roman"/>
          <w:b/>
          <w:bCs/>
          <w:snapToGrid w:val="0"/>
          <w:lang w:eastAsia="x-none"/>
        </w:rPr>
        <w:tab/>
        <w:t>Kaip laikyti Nutriflex Omega peri</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Šį vaistą laikykite vaikams nepastebimoje ir nepasiekiamoje vietoje.</w:t>
      </w:r>
    </w:p>
    <w:p w:rsidR="00626C7A" w:rsidRPr="002E4703" w:rsidRDefault="00626C7A" w:rsidP="00626C7A">
      <w:pPr>
        <w:spacing w:after="0" w:line="240" w:lineRule="auto"/>
        <w:rPr>
          <w:rFonts w:ascii="Times New Roman" w:eastAsia="SimSun" w:hAnsi="Times New Roman"/>
          <w:lang w:eastAsia="x-none"/>
        </w:rPr>
      </w:pPr>
      <w:r w:rsidRPr="002E4703">
        <w:rPr>
          <w:rFonts w:ascii="Times New Roman" w:eastAsia="SimSun" w:hAnsi="Times New Roman"/>
          <w:lang w:eastAsia="x-none"/>
        </w:rPr>
        <w:t xml:space="preserve">Laikyti ne aukštesnėje kaip 25 °C temperatūroje. </w:t>
      </w:r>
    </w:p>
    <w:p w:rsidR="00626C7A" w:rsidRPr="002E4703" w:rsidRDefault="00626C7A" w:rsidP="00626C7A">
      <w:pPr>
        <w:spacing w:after="0" w:line="240" w:lineRule="auto"/>
        <w:rPr>
          <w:rFonts w:ascii="Times New Roman" w:eastAsia="SimSun" w:hAnsi="Times New Roman"/>
          <w:lang w:eastAsia="x-none"/>
        </w:rPr>
      </w:pPr>
      <w:r w:rsidRPr="002E4703">
        <w:rPr>
          <w:rFonts w:ascii="Times New Roman" w:eastAsia="SimSun" w:hAnsi="Times New Roman"/>
          <w:lang w:eastAsia="x-none"/>
        </w:rPr>
        <w:t>Negalima užšaldyti. Jeigu atsitiktinai užšalo, maišelio turinį reikia sunaikinti.</w:t>
      </w:r>
    </w:p>
    <w:p w:rsidR="00626C7A" w:rsidRPr="002E4703" w:rsidRDefault="00626C7A" w:rsidP="00626C7A">
      <w:pPr>
        <w:spacing w:after="0" w:line="240" w:lineRule="auto"/>
        <w:rPr>
          <w:rFonts w:ascii="Times New Roman" w:eastAsia="SimSun" w:hAnsi="Times New Roman"/>
          <w:lang w:eastAsia="x-none"/>
        </w:rPr>
      </w:pPr>
      <w:r w:rsidRPr="002E4703">
        <w:rPr>
          <w:rFonts w:ascii="Times New Roman" w:eastAsia="SimSun" w:hAnsi="Times New Roman"/>
          <w:lang w:eastAsia="x-none"/>
        </w:rPr>
        <w:t>Maišelius laikyti apsauginiame apvalkale, kad vaistas būtų apsaugotas nuo šviesos.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Ant etiketės nurodytam tinkamumo laikui pasibaigus, šio vaisto vartoti negalima. Vaistas tinkamas vartoti iki paskutinės nurodyto mėnesio dienos.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6.</w:t>
      </w:r>
      <w:r w:rsidRPr="002E4703">
        <w:rPr>
          <w:rFonts w:ascii="Times New Roman" w:eastAsia="Times New Roman" w:hAnsi="Times New Roman"/>
          <w:bCs/>
          <w:snapToGrid w:val="0"/>
          <w:lang w:eastAsia="x-none"/>
        </w:rPr>
        <w:tab/>
      </w:r>
      <w:r w:rsidRPr="002E4703">
        <w:rPr>
          <w:rFonts w:ascii="Times New Roman" w:eastAsia="Times New Roman" w:hAnsi="Times New Roman"/>
          <w:b/>
          <w:bCs/>
          <w:snapToGrid w:val="0"/>
          <w:lang w:eastAsia="x-none"/>
        </w:rPr>
        <w:t>Pakuotės turinys ir kita informacija</w:t>
      </w:r>
    </w:p>
    <w:p w:rsidR="00626C7A" w:rsidRPr="002E4703" w:rsidRDefault="00626C7A" w:rsidP="00626C7A">
      <w:pPr>
        <w:numPr>
          <w:ilvl w:val="12"/>
          <w:numId w:val="0"/>
        </w:numPr>
        <w:spacing w:after="0" w:line="240" w:lineRule="auto"/>
        <w:rPr>
          <w:rFonts w:ascii="Times New Roman" w:eastAsia="Times New Roman" w:hAnsi="Times New Roman"/>
          <w:snapToGrid w:val="0"/>
        </w:rPr>
      </w:pPr>
    </w:p>
    <w:p w:rsidR="00626C7A" w:rsidRPr="002E4703" w:rsidRDefault="00626C7A" w:rsidP="00626C7A">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 xml:space="preserve">Nutriflex Omega peri sudėtis </w:t>
      </w:r>
    </w:p>
    <w:p w:rsidR="00626C7A" w:rsidRPr="002E4703" w:rsidRDefault="00626C7A" w:rsidP="00626C7A">
      <w:pPr>
        <w:tabs>
          <w:tab w:val="left" w:pos="567"/>
        </w:tabs>
        <w:spacing w:after="0" w:line="260" w:lineRule="exact"/>
        <w:rPr>
          <w:rFonts w:ascii="Times New Roman" w:eastAsia="Times New Roman" w:hAnsi="Times New Roman"/>
          <w:snapToGrid w:val="0"/>
          <w:lang w:eastAsia="x-none"/>
        </w:rPr>
      </w:pPr>
    </w:p>
    <w:p w:rsidR="00626C7A" w:rsidRPr="002E4703" w:rsidRDefault="00626C7A" w:rsidP="00626C7A">
      <w:pPr>
        <w:numPr>
          <w:ilvl w:val="0"/>
          <w:numId w:val="2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Veikliosios medžiagos paruoštame vartoti mišinyje yra:</w:t>
      </w:r>
    </w:p>
    <w:p w:rsidR="00626C7A" w:rsidRPr="002E4703" w:rsidRDefault="00626C7A" w:rsidP="00626C7A">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iš viršutinės kameros</w:t>
            </w:r>
          </w:p>
          <w:p w:rsidR="00626C7A" w:rsidRPr="002E4703" w:rsidRDefault="00626C7A" w:rsidP="00007071">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b/>
                <w:snapToGrid w:val="0"/>
              </w:rPr>
              <w:t>(gliukozės tirpalas)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r>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Gliukozė monohidratas</w:t>
            </w:r>
          </w:p>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atitinka gliukozę</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70,40 g</w:t>
            </w: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64,00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88,00 g</w:t>
            </w: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80,00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132,0 g</w:t>
            </w: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120,0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176,0 g</w:t>
            </w: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160,0 g</w:t>
            </w:r>
          </w:p>
        </w:tc>
      </w:tr>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Natrio-divandenilio fosfatas dihidratas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0,936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1,170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1,755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2,340 g</w:t>
            </w:r>
          </w:p>
        </w:tc>
      </w:tr>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Cinko acetatas dihidratas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5,280 mg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6,600 mg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9,900 mg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13,20 mg</w:t>
            </w:r>
          </w:p>
        </w:tc>
      </w:tr>
    </w:tbl>
    <w:p w:rsidR="00626C7A" w:rsidRPr="002E4703" w:rsidRDefault="00626C7A" w:rsidP="00626C7A">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iš vidurinės kameros</w:t>
            </w:r>
          </w:p>
          <w:p w:rsidR="00626C7A" w:rsidRPr="002E4703" w:rsidRDefault="00626C7A" w:rsidP="00007071">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b/>
                <w:snapToGrid w:val="0"/>
              </w:rPr>
              <w:t>(riebalų emulsija)</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r>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Vidutinės grandinės trigliceridai</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20,00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37,50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50,00 g</w:t>
            </w:r>
          </w:p>
        </w:tc>
      </w:tr>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Rafinuotas sojų aliejus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16,00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20,00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30,00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40,00 g</w:t>
            </w:r>
          </w:p>
        </w:tc>
      </w:tr>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Omega-3 rūgščių trigliceridai</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r>
    </w:tbl>
    <w:p w:rsidR="00626C7A" w:rsidRPr="002E4703" w:rsidRDefault="00626C7A" w:rsidP="00626C7A">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iš apatinės kameros</w:t>
            </w:r>
          </w:p>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b/>
                <w:snapToGrid w:val="0"/>
              </w:rPr>
              <w:t>(aminorūgščių tirpalas)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Izoleucinas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1,872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2,340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3,510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4,680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Leucinas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2,504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3,130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4,695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6,260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Lizino hidrochloridas</w:t>
            </w:r>
          </w:p>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   atitinka liziną</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2,272 g</w:t>
            </w: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1,818</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2,840 g</w:t>
            </w: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2,273</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4,260 g</w:t>
            </w: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3,410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5,680 g</w:t>
            </w: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4,546</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Metioninas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1,568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1,960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2,940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3,920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Fenilalaninas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2,808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3,510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5,265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7,020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Treoninas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1,456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1,820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2,730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3,640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Triptofanas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0,456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0,570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0,855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1,140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Valinas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2,080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2,600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3,900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5,200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Argininas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2,160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2,700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4,050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5,400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Histidino hidrochloridas monohidratas</w:t>
            </w:r>
          </w:p>
          <w:p w:rsidR="00626C7A" w:rsidRPr="002E4703" w:rsidRDefault="00626C7A" w:rsidP="00007071">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 xml:space="preserve">   atitinka histidiną</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1,352 g</w:t>
            </w:r>
          </w:p>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1,000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1,690 g</w:t>
            </w:r>
          </w:p>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1,251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2,535 g</w:t>
            </w:r>
          </w:p>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1,876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3,380 g</w:t>
            </w:r>
          </w:p>
          <w:p w:rsidR="00626C7A" w:rsidRPr="002E4703" w:rsidRDefault="00626C7A" w:rsidP="00007071">
            <w:pPr>
              <w:tabs>
                <w:tab w:val="left" w:pos="567"/>
              </w:tabs>
              <w:spacing w:after="0" w:line="260" w:lineRule="exact"/>
              <w:jc w:val="right"/>
              <w:rPr>
                <w:rFonts w:ascii="Times New Roman" w:eastAsia="Times New Roman" w:hAnsi="Times New Roman"/>
                <w:snapToGrid w:val="0"/>
                <w:lang w:val="en-GB"/>
              </w:rPr>
            </w:pPr>
          </w:p>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2,502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Alaninas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3,880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4,850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7,275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9,700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Asparto rūgštis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1,200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1,500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2,250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3,000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Glutamo rūgštis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2,800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3,500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5,250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7,000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Glicinas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1,320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1,650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2,475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3,300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Prolinas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2,720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3,400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5,100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6,800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Serinas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2,400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3,000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4,500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6,000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hidroksidas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0,640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0,800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1,200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1,600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chloridas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0,865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1,081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1,622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2,162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acetatas trihidratas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0,435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0,544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0,816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1,088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Kalio acetatas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2,354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2,943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4,415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5,886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Magnio acetatas tetrahidratas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0,515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0,644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0,966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1,288 g</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Kalcio chloridas dihidratas</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0,353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0,441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0,662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0,882 g</w:t>
            </w:r>
          </w:p>
        </w:tc>
      </w:tr>
    </w:tbl>
    <w:p w:rsidR="00626C7A" w:rsidRPr="002E4703" w:rsidRDefault="00626C7A" w:rsidP="00626C7A">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b/>
                <w:lang w:eastAsia="de-DE"/>
              </w:rPr>
            </w:pPr>
            <w:r w:rsidRPr="002E4703">
              <w:rPr>
                <w:rFonts w:ascii="Times New Roman" w:hAnsi="Times New Roman"/>
                <w:b/>
                <w:lang w:eastAsia="de-DE"/>
              </w:rPr>
              <w:t>Elektrolitai [mmol]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Natris </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75</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Kalis</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24</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30</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45</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Magnis</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2,4</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3,0</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4,5</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Kalcis </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2,4</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3,0</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4,5</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Cinkas</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0,024</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0,03</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0,045</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0,06</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Chloridai</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38</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48</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72</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96</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Acetatai</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32</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c>
          <w:tcPr>
            <w:tcW w:w="1474" w:type="dxa"/>
            <w:shd w:val="clear" w:color="auto" w:fill="auto"/>
          </w:tcPr>
          <w:p w:rsidR="00626C7A" w:rsidRPr="002E4703" w:rsidRDefault="00626C7A" w:rsidP="00007071">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Fosfatai</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11,25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15,0</w:t>
            </w:r>
          </w:p>
        </w:tc>
      </w:tr>
    </w:tbl>
    <w:p w:rsidR="00626C7A" w:rsidRPr="002E4703" w:rsidRDefault="00626C7A" w:rsidP="00626C7A">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Aminorūgščių kiekis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32</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Azoto kiekis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4,6</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5,7</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8,6</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11,4</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Angliavandenių kiekis [g]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64</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160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Riebalų kiekis [g] </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w:t>
            </w:r>
          </w:p>
        </w:tc>
      </w:tr>
    </w:tbl>
    <w:p w:rsidR="00626C7A" w:rsidRPr="002E4703" w:rsidRDefault="00626C7A" w:rsidP="00626C7A">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Riebalų energinė vertė [kJ (kcal)]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1590</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(380) </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1990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(475)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2985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(715)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3980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(950)</w:t>
            </w:r>
          </w:p>
        </w:tc>
      </w:tr>
      <w:tr w:rsidR="00626C7A" w:rsidRPr="00C64FB5" w:rsidTr="00007071">
        <w:tc>
          <w:tcPr>
            <w:tcW w:w="3390" w:type="dxa"/>
            <w:shd w:val="clear" w:color="auto" w:fill="auto"/>
          </w:tcPr>
          <w:p w:rsidR="00626C7A" w:rsidRPr="002E4703" w:rsidRDefault="00626C7A" w:rsidP="00007071">
            <w:pPr>
              <w:tabs>
                <w:tab w:val="right" w:pos="1348"/>
                <w:tab w:val="left" w:pos="2276"/>
              </w:tabs>
              <w:spacing w:after="0" w:line="240" w:lineRule="auto"/>
              <w:rPr>
                <w:rFonts w:ascii="Times New Roman" w:hAnsi="Times New Roman"/>
                <w:lang w:eastAsia="de-DE"/>
              </w:rPr>
            </w:pPr>
            <w:r w:rsidRPr="002E4703">
              <w:rPr>
                <w:rFonts w:ascii="Times New Roman" w:hAnsi="Times New Roman"/>
                <w:lang w:eastAsia="de-DE"/>
              </w:rPr>
              <w:t>Angliavandenių energinė vertė [kJ (kcal)]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1075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1340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(320)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2010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(480)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2680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(640)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Aminorūgščių energinė vertė [kJ (kcal)]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535 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(130)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670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(160)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1005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(240)</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1340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(320)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Nebaltyminė energinė vertė [kJ (kcal)]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2665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(635)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3330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(795)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4995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(1195)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6660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(1590)</w:t>
            </w:r>
          </w:p>
        </w:tc>
      </w:tr>
      <w:tr w:rsidR="00626C7A" w:rsidRPr="00C64FB5" w:rsidTr="00007071">
        <w:tc>
          <w:tcPr>
            <w:tcW w:w="3390" w:type="dxa"/>
            <w:shd w:val="clear" w:color="auto" w:fill="auto"/>
          </w:tcPr>
          <w:p w:rsidR="00626C7A" w:rsidRPr="002E4703" w:rsidRDefault="00626C7A" w:rsidP="00007071">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Bendra energinė vertė [kJ (kcal)]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3200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(765)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4000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(955)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6000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(1435)</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8000 </w:t>
            </w:r>
          </w:p>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(1910)</w:t>
            </w:r>
          </w:p>
        </w:tc>
      </w:tr>
    </w:tbl>
    <w:p w:rsidR="00626C7A" w:rsidRPr="002E4703" w:rsidRDefault="00626C7A" w:rsidP="00626C7A">
      <w:pPr>
        <w:tabs>
          <w:tab w:val="left" w:pos="567"/>
        </w:tabs>
        <w:spacing w:after="0" w:line="260" w:lineRule="exact"/>
        <w:rPr>
          <w:rFonts w:ascii="Times New Roman" w:eastAsia="Times New Roman" w:hAnsi="Times New Roman"/>
          <w:snapToGrid w:val="0"/>
        </w:rPr>
      </w:pPr>
    </w:p>
    <w:tbl>
      <w:tblPr>
        <w:tblW w:w="4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0"/>
        <w:gridCol w:w="1474"/>
      </w:tblGrid>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Osmoliališkumas [mOsm/kg]</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950</w:t>
            </w:r>
          </w:p>
        </w:tc>
      </w:tr>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Teorinis osmoliariškumas [mOsm/l]</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840</w:t>
            </w:r>
          </w:p>
        </w:tc>
      </w:tr>
      <w:tr w:rsidR="00626C7A" w:rsidRPr="00C64FB5" w:rsidTr="00007071">
        <w:tc>
          <w:tcPr>
            <w:tcW w:w="3390" w:type="dxa"/>
            <w:shd w:val="clear" w:color="auto" w:fill="auto"/>
          </w:tcPr>
          <w:p w:rsidR="00626C7A" w:rsidRPr="002E4703" w:rsidRDefault="00626C7A" w:rsidP="00007071">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w:t>
            </w:r>
          </w:p>
        </w:tc>
        <w:tc>
          <w:tcPr>
            <w:tcW w:w="1474" w:type="dxa"/>
            <w:shd w:val="clear" w:color="auto" w:fill="auto"/>
          </w:tcPr>
          <w:p w:rsidR="00626C7A" w:rsidRPr="002E4703" w:rsidRDefault="00626C7A" w:rsidP="00007071">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 – 6,0</w:t>
            </w:r>
          </w:p>
        </w:tc>
      </w:tr>
    </w:tbl>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numPr>
          <w:ilvl w:val="1"/>
          <w:numId w:val="29"/>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 xml:space="preserve">Pagalbinės medžiagos yra citrinų rūgštis monohidratas (pH </w:t>
      </w:r>
      <w:r w:rsidRPr="002B39AB">
        <w:rPr>
          <w:rFonts w:ascii="Times New Roman" w:eastAsia="Times New Roman" w:hAnsi="Times New Roman"/>
          <w:snapToGrid w:val="0"/>
        </w:rPr>
        <w:t>koreguoti</w:t>
      </w:r>
      <w:r w:rsidRPr="002B39AB">
        <w:rPr>
          <w:rFonts w:ascii="Times New Roman" w:hAnsi="Times New Roman"/>
        </w:rPr>
        <w:t xml:space="preserve">), kiaušinio </w:t>
      </w:r>
      <w:r w:rsidRPr="002B39AB">
        <w:rPr>
          <w:rFonts w:ascii="Times New Roman" w:eastAsia="Times New Roman" w:hAnsi="Times New Roman"/>
          <w:snapToGrid w:val="0"/>
        </w:rPr>
        <w:t>fosfolipidai (injekciniai), glicerolis, natrio oleat</w:t>
      </w:r>
      <w:r w:rsidRPr="002E4703">
        <w:rPr>
          <w:rFonts w:ascii="Times New Roman" w:eastAsia="Times New Roman" w:hAnsi="Times New Roman"/>
          <w:snapToGrid w:val="0"/>
        </w:rPr>
        <w:t>as, visų racematų alfa-tokoferolis, natrio hidroksidas (pH koreguoti) ir injekcinis vanduo.</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Nutriflex Omega peri išvaizda ir kiekis pakuotėje</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Paruoštas vartoti preparatas yra infuzinė emulsija, t. y., jis leidžiamas į veną per mažą vamzdelį.</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Nutriflex Omega peri tiekiamas lanksčiuose kelių kamerų maišeliuose, kuriuose yra:</w:t>
      </w:r>
    </w:p>
    <w:p w:rsidR="00626C7A" w:rsidRPr="002E4703" w:rsidRDefault="00626C7A" w:rsidP="00626C7A">
      <w:pPr>
        <w:numPr>
          <w:ilvl w:val="2"/>
          <w:numId w:val="31"/>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1250 ml (500 ml aminorūgščių tirpalo + 250 ml riebalų emulsijos + 500 ml gliukozės tirpalo);</w:t>
      </w:r>
    </w:p>
    <w:p w:rsidR="00626C7A" w:rsidRPr="002E4703" w:rsidRDefault="00626C7A" w:rsidP="00626C7A">
      <w:pPr>
        <w:numPr>
          <w:ilvl w:val="2"/>
          <w:numId w:val="31"/>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1875 ml (750 ml aminorūgščių tirpalo + 375 ml riebalų emulsijos + 750 ml gliukozės tirpalo);</w:t>
      </w:r>
    </w:p>
    <w:p w:rsidR="00626C7A" w:rsidRPr="002E4703" w:rsidRDefault="00626C7A" w:rsidP="00626C7A">
      <w:pPr>
        <w:numPr>
          <w:ilvl w:val="2"/>
          <w:numId w:val="31"/>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2500 ml (1000 ml aminorūgščių tirpalo + 500 ml riebalų emulsijos + 1000 ml gliukozės tirpalo).</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spacing w:after="0" w:line="240" w:lineRule="auto"/>
        <w:rPr>
          <w:rFonts w:ascii="Times New Roman" w:eastAsia="Times New Roman" w:hAnsi="Times New Roman"/>
          <w:snapToGrid w:val="0"/>
        </w:rPr>
      </w:pPr>
      <w:r w:rsidRPr="00C64FB5">
        <w:rPr>
          <w:rFonts w:ascii="Times New Roman" w:eastAsia="Times New Roman" w:hAnsi="Times New Roman"/>
          <w:noProof/>
          <w:lang w:eastAsia="lt-LT"/>
        </w:rPr>
        <w:drawing>
          <wp:inline distT="0" distB="0" distL="0" distR="0" wp14:anchorId="616A46ED" wp14:editId="452FCF89">
            <wp:extent cx="1924050" cy="2019300"/>
            <wp:effectExtent l="19050" t="19050" r="0" b="0"/>
            <wp:docPr id="9" name="Paveikslėlis 3" descr="A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A pav"/>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4050" cy="2019300"/>
                    </a:xfrm>
                    <a:prstGeom prst="rect">
                      <a:avLst/>
                    </a:prstGeom>
                    <a:noFill/>
                    <a:ln w="6350" cmpd="sng">
                      <a:solidFill>
                        <a:srgbClr val="000000"/>
                      </a:solidFill>
                      <a:miter lim="800000"/>
                      <a:headEnd/>
                      <a:tailEnd/>
                    </a:ln>
                    <a:effectLst/>
                  </pic:spPr>
                </pic:pic>
              </a:graphicData>
            </a:graphic>
          </wp:inline>
        </w:drawing>
      </w:r>
      <w:r w:rsidRPr="00C64FB5">
        <w:rPr>
          <w:rFonts w:ascii="Times New Roman" w:eastAsia="Times New Roman" w:hAnsi="Times New Roman"/>
          <w:noProof/>
          <w:lang w:eastAsia="lt-LT"/>
        </w:rPr>
        <w:drawing>
          <wp:inline distT="0" distB="0" distL="0" distR="0" wp14:anchorId="563981A7" wp14:editId="772FB70F">
            <wp:extent cx="1924050" cy="2009775"/>
            <wp:effectExtent l="19050" t="19050" r="0" b="9525"/>
            <wp:docPr id="10" name="Paveikslėlis 4" descr="B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B pav"/>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24050" cy="2009775"/>
                    </a:xfrm>
                    <a:prstGeom prst="rect">
                      <a:avLst/>
                    </a:prstGeom>
                    <a:noFill/>
                    <a:ln w="6350" cmpd="sng">
                      <a:solidFill>
                        <a:srgbClr val="000000"/>
                      </a:solidFill>
                      <a:miter lim="800000"/>
                      <a:headEnd/>
                      <a:tailEnd/>
                    </a:ln>
                    <a:effectLst/>
                  </pic:spPr>
                </pic:pic>
              </a:graphicData>
            </a:graphic>
          </wp:inline>
        </w:drawing>
      </w:r>
    </w:p>
    <w:p w:rsidR="00626C7A" w:rsidRPr="002E4703" w:rsidRDefault="00626C7A" w:rsidP="00626C7A">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A paveikslėlis</w:t>
      </w:r>
      <w:r w:rsidRPr="002E4703">
        <w:rPr>
          <w:rFonts w:ascii="Times New Roman" w:eastAsia="Times New Roman" w:hAnsi="Times New Roman"/>
          <w:snapToGrid w:val="0"/>
        </w:rPr>
        <w:tab/>
      </w:r>
      <w:r w:rsidRPr="002E4703">
        <w:rPr>
          <w:rFonts w:ascii="Times New Roman" w:eastAsia="Times New Roman" w:hAnsi="Times New Roman"/>
          <w:snapToGrid w:val="0"/>
        </w:rPr>
        <w:tab/>
        <w:t xml:space="preserve">         B paveikslėlis</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 paveikslėlis. Daugiakameris maišelis supakuotas į apsauginį apvalkalą. Tarp maišelio ir apvalkalo yra deguonies sugėriklis ir deguonies indikatorius; deguonies sugėriklio paketėlyje, pagamintame iš inercinės medžiagos, yra geležies hidroksido.</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B paveikslėlis. Viršutinėje kameroje yra gliukozės tirpalo, vidurinėje kameroje – riebalų emulsijos, o apatinėje kameroje – aminorūgščių tirpalo.</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Gliukozės ir aminorūgščių tirpalai yra skaidrūs ir bespalviai arba gelsvos spalvos. Riebalų emulsija yra baltos kaip pieno spalvos.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Atidarius tarpines siūles, viršutinę ir vidurinę kameras galima sujungti su apatine kamera.</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Skirtingų dydžių talpyklės tiekiamos dėžutėmis, kuriose yra po penkis maišelius.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Pakuočių dydžiai: 5 x 1250 ml, 5 x 1875 ml, 5 x 2500 ml.</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Gali būti tiekiamos ne visų dydžių pakuotės.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Registruotojas ir gamintojas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 xml:space="preserve">B. Braun Melsungen AG </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Carl-Braun-Straße 1</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34212 Melsungen</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Vokietija</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i/>
          <w:snapToGrid w:val="0"/>
        </w:rPr>
      </w:pPr>
      <w:r w:rsidRPr="002E4703">
        <w:rPr>
          <w:rFonts w:ascii="Times New Roman" w:eastAsia="Times New Roman" w:hAnsi="Times New Roman"/>
          <w:i/>
          <w:snapToGrid w:val="0"/>
        </w:rPr>
        <w:t>Pašto adresas:</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34209 Melsungen</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Vokietija</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spacing w:after="0" w:line="240" w:lineRule="auto"/>
        <w:rPr>
          <w:rFonts w:ascii="Times New Roman" w:eastAsia="SimSun" w:hAnsi="Times New Roman"/>
          <w:lang w:eastAsia="x-none"/>
        </w:rPr>
      </w:pPr>
      <w:r w:rsidRPr="002E4703">
        <w:rPr>
          <w:rFonts w:ascii="Times New Roman" w:eastAsia="SimSun" w:hAnsi="Times New Roman"/>
          <w:lang w:eastAsia="x-none"/>
        </w:rPr>
        <w:t>Tel.</w:t>
      </w:r>
      <w:r w:rsidRPr="002E4703">
        <w:rPr>
          <w:rFonts w:ascii="Times New Roman" w:eastAsia="SimSun" w:hAnsi="Times New Roman"/>
          <w:lang w:eastAsia="x-none"/>
        </w:rPr>
        <w:tab/>
        <w:t>+49-5661-71-0</w:t>
      </w:r>
    </w:p>
    <w:p w:rsidR="00626C7A" w:rsidRPr="002E4703" w:rsidRDefault="00626C7A" w:rsidP="00626C7A">
      <w:pPr>
        <w:spacing w:after="0" w:line="240" w:lineRule="auto"/>
        <w:rPr>
          <w:rFonts w:ascii="Times New Roman" w:eastAsia="SimSun" w:hAnsi="Times New Roman"/>
          <w:lang w:eastAsia="x-none"/>
        </w:rPr>
      </w:pPr>
      <w:r w:rsidRPr="002E4703">
        <w:rPr>
          <w:rFonts w:ascii="Times New Roman" w:eastAsia="SimSun" w:hAnsi="Times New Roman"/>
          <w:lang w:eastAsia="x-none"/>
        </w:rPr>
        <w:t xml:space="preserve">Faksas </w:t>
      </w:r>
      <w:r w:rsidRPr="002E4703">
        <w:rPr>
          <w:rFonts w:ascii="Times New Roman" w:eastAsia="SimSun" w:hAnsi="Times New Roman"/>
          <w:lang w:eastAsia="x-none"/>
        </w:rPr>
        <w:tab/>
        <w:t>+49-5661-71-4567</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p>
    <w:p w:rsidR="00626C7A" w:rsidRPr="002E4703" w:rsidRDefault="00626C7A" w:rsidP="00626C7A">
      <w:pPr>
        <w:numPr>
          <w:ilvl w:val="12"/>
          <w:numId w:val="0"/>
        </w:numPr>
        <w:tabs>
          <w:tab w:val="left" w:pos="567"/>
        </w:tabs>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Jeigu apie šį vaistą norite sužinoti daugiau, kreipkitės į vietinį registruotojo atstovą.</w:t>
      </w:r>
    </w:p>
    <w:p w:rsidR="00626C7A" w:rsidRPr="002E4703" w:rsidRDefault="00626C7A" w:rsidP="00626C7A">
      <w:pPr>
        <w:tabs>
          <w:tab w:val="left" w:pos="567"/>
        </w:tabs>
        <w:spacing w:after="0" w:line="240" w:lineRule="auto"/>
        <w:rPr>
          <w:rFonts w:ascii="Times New Roman" w:eastAsia="Times New Roman" w:hAnsi="Times New Roman"/>
          <w:snapToGrid w:val="0"/>
        </w:rPr>
      </w:pPr>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UAB „B. Braun Medical“</w:t>
      </w:r>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Viršuliškių skg. 34-1</w:t>
      </w:r>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05132 Vilnius</w:t>
      </w:r>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Lietuva</w:t>
      </w:r>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Tel. (8 5)  237 4333</w:t>
      </w:r>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El. paštas</w:t>
      </w:r>
      <w:r w:rsidRPr="00F03393">
        <w:rPr>
          <w:rFonts w:ascii="Times New Roman" w:eastAsia="Times New Roman" w:hAnsi="Times New Roman"/>
          <w:snapToGrid w:val="0"/>
        </w:rPr>
        <w:t xml:space="preserve">: </w:t>
      </w:r>
      <w:hyperlink r:id="rId10" w:history="1">
        <w:r w:rsidRPr="002B39AB">
          <w:rPr>
            <w:rStyle w:val="Hipersaitas"/>
          </w:rPr>
          <w:t>office</w:t>
        </w:r>
        <w:r w:rsidRPr="00F03393">
          <w:rPr>
            <w:rStyle w:val="Hipersaitas"/>
            <w:rFonts w:ascii="Times New Roman" w:eastAsia="Times New Roman" w:hAnsi="Times New Roman"/>
            <w:snapToGrid w:val="0"/>
          </w:rPr>
          <w:t>.lt</w:t>
        </w:r>
        <w:r w:rsidRPr="002B39AB">
          <w:rPr>
            <w:rStyle w:val="Hipersaitas"/>
          </w:rPr>
          <w:t>@bbraun.</w:t>
        </w:r>
        <w:r w:rsidRPr="00F03393">
          <w:rPr>
            <w:rStyle w:val="Hipersaitas"/>
            <w:rFonts w:ascii="Times New Roman" w:eastAsia="Times New Roman" w:hAnsi="Times New Roman"/>
            <w:snapToGrid w:val="0"/>
          </w:rPr>
          <w:t xml:space="preserve">com </w:t>
        </w:r>
      </w:hyperlink>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b/>
          <w:snapToGrid w:val="0"/>
        </w:rPr>
        <w:t>Šis vaistas E</w:t>
      </w:r>
      <w:r>
        <w:rPr>
          <w:rFonts w:ascii="Times New Roman" w:eastAsia="Times New Roman" w:hAnsi="Times New Roman"/>
          <w:b/>
          <w:snapToGrid w:val="0"/>
        </w:rPr>
        <w:t>uropos ekonominės erdvės</w:t>
      </w:r>
      <w:r w:rsidRPr="002E4703">
        <w:rPr>
          <w:rFonts w:ascii="Times New Roman" w:eastAsia="Times New Roman" w:hAnsi="Times New Roman"/>
          <w:b/>
          <w:snapToGrid w:val="0"/>
        </w:rPr>
        <w:t xml:space="preserve"> valstybėse narėse </w:t>
      </w:r>
      <w:r w:rsidRPr="00715D4C">
        <w:rPr>
          <w:rFonts w:ascii="Times New Roman" w:eastAsia="Times New Roman" w:hAnsi="Times New Roman"/>
          <w:b/>
          <w:noProof/>
          <w:szCs w:val="24"/>
        </w:rPr>
        <w:t>ir Jungtinėje Karalystėje (Šiaurės Airijoje)</w:t>
      </w:r>
      <w:r w:rsidRPr="00715D4C">
        <w:rPr>
          <w:rFonts w:ascii="Times New Roman" w:eastAsia="Times New Roman" w:hAnsi="Times New Roman"/>
          <w:b/>
        </w:rPr>
        <w:t xml:space="preserve"> </w:t>
      </w:r>
      <w:r w:rsidRPr="002E4703">
        <w:rPr>
          <w:rFonts w:ascii="Times New Roman" w:eastAsia="Times New Roman" w:hAnsi="Times New Roman"/>
          <w:b/>
          <w:snapToGrid w:val="0"/>
        </w:rPr>
        <w:t>registruotas tokiais pavadinimais</w:t>
      </w:r>
      <w:r w:rsidRPr="002E4703">
        <w:rPr>
          <w:rFonts w:ascii="Times New Roman" w:eastAsia="Times New Roman" w:hAnsi="Times New Roman"/>
          <w:snapToGrid w:val="0"/>
        </w:rPr>
        <w:t>:</w:t>
      </w:r>
    </w:p>
    <w:p w:rsidR="00626C7A" w:rsidRPr="002E4703" w:rsidRDefault="00626C7A" w:rsidP="00626C7A">
      <w:pPr>
        <w:numPr>
          <w:ilvl w:val="12"/>
          <w:numId w:val="0"/>
        </w:numPr>
        <w:tabs>
          <w:tab w:val="left" w:pos="567"/>
        </w:tabs>
        <w:spacing w:after="0" w:line="260" w:lineRule="exact"/>
        <w:ind w:right="-2"/>
        <w:rPr>
          <w:rFonts w:ascii="Times New Roman" w:eastAsia="Times New Roman" w:hAnsi="Times New Roman"/>
          <w:snapToGrid w:val="0"/>
        </w:rPr>
      </w:pP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Austrija</w:t>
      </w:r>
      <w:r w:rsidRPr="002B39AB">
        <w:rPr>
          <w:rFonts w:ascii="Times New Roman" w:hAnsi="Times New Roman"/>
          <w:color w:val="000000"/>
        </w:rPr>
        <w:tab/>
        <w:t xml:space="preserve">Nutriflex Omega peri B.Braun Emulsion zur Infusion </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Belgija</w:t>
      </w:r>
      <w:r w:rsidRPr="002B39AB">
        <w:rPr>
          <w:rFonts w:ascii="Times New Roman" w:hAnsi="Times New Roman"/>
          <w:color w:val="000000"/>
        </w:rPr>
        <w:tab/>
        <w:t>Nutriflex Omega peri, 32 g/l Amino + 64 g/l G, emulsie voor infusie</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Bulgarija</w:t>
      </w:r>
      <w:r w:rsidRPr="002B39AB">
        <w:rPr>
          <w:rFonts w:ascii="Times New Roman" w:hAnsi="Times New Roman"/>
          <w:color w:val="000000"/>
        </w:rPr>
        <w:tab/>
        <w:t>Nutriflex Omega peri emulsion for infusion</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Kroatija</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 emulzija za infuziju</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Kipras</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Čekija</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Danija</w:t>
      </w:r>
      <w:r w:rsidRPr="002B39AB">
        <w:rPr>
          <w:rFonts w:ascii="Times New Roman" w:hAnsi="Times New Roman"/>
          <w:color w:val="000000"/>
        </w:rPr>
        <w:tab/>
        <w:t xml:space="preserve">Nutriflex Omega Peri </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Estija</w:t>
      </w:r>
      <w:r w:rsidRPr="002B39AB">
        <w:rPr>
          <w:rFonts w:ascii="Times New Roman" w:hAnsi="Times New Roman"/>
          <w:color w:val="000000"/>
        </w:rPr>
        <w:tab/>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 infusiooniemulsioon</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Suomija</w:t>
      </w:r>
      <w:r w:rsidRPr="002B39AB">
        <w:rPr>
          <w:rFonts w:ascii="Times New Roman" w:hAnsi="Times New Roman"/>
          <w:color w:val="000000"/>
        </w:rPr>
        <w:tab/>
        <w:t>Nutriflex Omega 32/64/40 perifer infuusioneste, emulsio</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Prancūzija</w:t>
      </w:r>
      <w:r w:rsidRPr="002B39AB">
        <w:rPr>
          <w:rFonts w:ascii="Times New Roman" w:hAnsi="Times New Roman"/>
          <w:color w:val="000000"/>
        </w:rPr>
        <w:tab/>
        <w:t xml:space="preserve">PERINUTRIFLEX OMEGA E, </w:t>
      </w:r>
      <w:r w:rsidRPr="002B39AB">
        <w:rPr>
          <w:rFonts w:ascii="Times New Roman" w:hAnsi="Times New Roman"/>
        </w:rPr>
        <w:t>émulsion pour perfusion</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Vokietija</w:t>
      </w:r>
      <w:r w:rsidRPr="002B39AB">
        <w:rPr>
          <w:rFonts w:ascii="Times New Roman" w:hAnsi="Times New Roman"/>
          <w:color w:val="000000"/>
        </w:rPr>
        <w:tab/>
        <w:t>NuTRIflex Omega peri novo Emulsion zur Infusion</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Graikija</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 xml:space="preserve">peri </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Airija</w:t>
      </w:r>
      <w:r w:rsidRPr="002B39AB">
        <w:rPr>
          <w:rFonts w:ascii="Times New Roman" w:hAnsi="Times New Roman"/>
          <w:color w:val="000000"/>
        </w:rPr>
        <w:tab/>
      </w:r>
      <w:r w:rsidRPr="002B39AB">
        <w:rPr>
          <w:rFonts w:ascii="Times New Roman" w:hAnsi="Times New Roman"/>
          <w:color w:val="000000"/>
        </w:rPr>
        <w:tab/>
      </w:r>
      <w:r w:rsidRPr="002B39AB">
        <w:rPr>
          <w:rFonts w:ascii="Times New Roman" w:hAnsi="Times New Roman"/>
        </w:rPr>
        <w:t>Omeflex peri emulsion for infusion</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Italija</w:t>
      </w:r>
      <w:r w:rsidRPr="002B39AB">
        <w:rPr>
          <w:rFonts w:ascii="Times New Roman" w:hAnsi="Times New Roman"/>
          <w:color w:val="000000"/>
        </w:rPr>
        <w:tab/>
      </w:r>
      <w:r w:rsidRPr="002B39AB">
        <w:rPr>
          <w:rFonts w:ascii="Times New Roman" w:hAnsi="Times New Roman"/>
          <w:color w:val="000000"/>
        </w:rPr>
        <w:tab/>
        <w:t>Nutriplus Omega AA32/G64</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Lietuva</w:t>
      </w:r>
      <w:r w:rsidRPr="002B39AB">
        <w:rPr>
          <w:rFonts w:ascii="Times New Roman" w:hAnsi="Times New Roman"/>
          <w:color w:val="000000"/>
        </w:rPr>
        <w:tab/>
        <w:t>Nutriflex Omega peri infuzinė emulsija</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Liuksemburgas</w:t>
      </w:r>
      <w:r w:rsidRPr="002B39AB">
        <w:rPr>
          <w:rFonts w:ascii="Times New Roman" w:hAnsi="Times New Roman"/>
          <w:color w:val="000000"/>
        </w:rPr>
        <w:tab/>
        <w:t>NuTRIflex Omega peri novo Emulsion zur Infusion</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Latvija</w:t>
      </w:r>
      <w:r w:rsidRPr="002B39AB">
        <w:rPr>
          <w:rFonts w:ascii="Times New Roman" w:hAnsi="Times New Roman"/>
          <w:color w:val="000000"/>
        </w:rPr>
        <w:tab/>
      </w:r>
      <w:r w:rsidRPr="002B39AB">
        <w:rPr>
          <w:rFonts w:ascii="Times New Roman" w:hAnsi="Times New Roman"/>
        </w:rPr>
        <w:t>Nutriflex Omega peri emulsija infūzijām</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Nyderlandai</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 32 g/l Amino + 64 g/l G, emulsie voor infusie</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Norvegija</w:t>
      </w:r>
      <w:r w:rsidRPr="002B39AB">
        <w:rPr>
          <w:rFonts w:ascii="Times New Roman" w:hAnsi="Times New Roman"/>
          <w:color w:val="000000"/>
        </w:rPr>
        <w:tab/>
        <w:t>Nutriflex Omega Peri infusjonsvæske, emulsjon</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Lenkija</w:t>
      </w:r>
      <w:r w:rsidRPr="002B39AB">
        <w:rPr>
          <w:rFonts w:ascii="Times New Roman" w:hAnsi="Times New Roman"/>
          <w:color w:val="000000"/>
          <w:lang w:val="pt-PT"/>
        </w:rPr>
        <w:tab/>
      </w:r>
      <w:r w:rsidRPr="002B39AB">
        <w:rPr>
          <w:rFonts w:ascii="Times New Roman" w:hAnsi="Times New Roman"/>
          <w:lang w:val="pt-PT"/>
        </w:rPr>
        <w:t xml:space="preserve">Omegaflex </w:t>
      </w:r>
      <w:r w:rsidRPr="002B39AB">
        <w:rPr>
          <w:rFonts w:ascii="Times New Roman" w:hAnsi="Times New Roman"/>
          <w:color w:val="000000"/>
          <w:lang w:val="pt-PT"/>
        </w:rPr>
        <w:t>peri</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Portugalija</w:t>
      </w:r>
      <w:r w:rsidRPr="002B39AB">
        <w:rPr>
          <w:rFonts w:ascii="Times New Roman" w:hAnsi="Times New Roman"/>
          <w:color w:val="000000"/>
          <w:lang w:val="pt-PT"/>
        </w:rPr>
        <w:tab/>
      </w:r>
      <w:r w:rsidRPr="002B39AB">
        <w:rPr>
          <w:rFonts w:ascii="Times New Roman" w:hAnsi="Times New Roman"/>
          <w:lang w:val="pt-PT"/>
        </w:rPr>
        <w:t xml:space="preserve">Nutriflex Omega </w:t>
      </w:r>
      <w:r w:rsidRPr="002B39AB">
        <w:rPr>
          <w:rFonts w:ascii="Times New Roman" w:hAnsi="Times New Roman"/>
          <w:color w:val="000000"/>
          <w:lang w:val="pt-PT"/>
        </w:rPr>
        <w:t>peri emulsão para perfusão</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Rumunija</w:t>
      </w:r>
      <w:r w:rsidRPr="002B39AB">
        <w:rPr>
          <w:rFonts w:ascii="Times New Roman" w:hAnsi="Times New Roman"/>
          <w:color w:val="000000"/>
          <w:lang w:val="pt-PT"/>
        </w:rPr>
        <w:tab/>
      </w:r>
      <w:r w:rsidRPr="002B39AB">
        <w:rPr>
          <w:rFonts w:ascii="Times New Roman" w:hAnsi="Times New Roman"/>
          <w:lang w:val="pt-PT"/>
        </w:rPr>
        <w:t>NuTRIflex Omega Peri novo, emulsie perfuzabilă</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Slovakija</w:t>
      </w:r>
      <w:r w:rsidRPr="002B39AB">
        <w:rPr>
          <w:rFonts w:ascii="Times New Roman" w:hAnsi="Times New Roman"/>
          <w:color w:val="000000"/>
          <w:lang w:val="pt-PT"/>
        </w:rPr>
        <w:tab/>
      </w:r>
      <w:r w:rsidRPr="002B39AB">
        <w:rPr>
          <w:rFonts w:ascii="Times New Roman" w:hAnsi="Times New Roman"/>
          <w:lang w:val="pt-PT"/>
        </w:rPr>
        <w:t xml:space="preserve">Nutriflex Omega </w:t>
      </w:r>
      <w:r w:rsidRPr="002B39AB">
        <w:rPr>
          <w:rFonts w:ascii="Times New Roman" w:hAnsi="Times New Roman"/>
          <w:color w:val="000000"/>
          <w:lang w:val="pt-PT"/>
        </w:rPr>
        <w:t>peri</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Slovėnija</w:t>
      </w:r>
      <w:r w:rsidRPr="002B39AB">
        <w:rPr>
          <w:rFonts w:ascii="Times New Roman" w:hAnsi="Times New Roman"/>
          <w:color w:val="000000"/>
          <w:lang w:val="pt-PT"/>
        </w:rPr>
        <w:tab/>
      </w:r>
      <w:r w:rsidRPr="002B39AB">
        <w:rPr>
          <w:rFonts w:ascii="Times New Roman" w:hAnsi="Times New Roman"/>
          <w:lang w:val="pt-PT"/>
        </w:rPr>
        <w:t xml:space="preserve">Nutriflex Omega peri 32/64 </w:t>
      </w:r>
      <w:r w:rsidRPr="002B39AB">
        <w:rPr>
          <w:rFonts w:ascii="Times New Roman" w:hAnsi="Times New Roman"/>
          <w:color w:val="000000"/>
          <w:lang w:val="pt-PT"/>
        </w:rPr>
        <w:t>emulzija za infundiranje</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lang w:val="es-ES"/>
        </w:rPr>
      </w:pPr>
      <w:r w:rsidRPr="002B39AB">
        <w:rPr>
          <w:rFonts w:ascii="Times New Roman" w:hAnsi="Times New Roman"/>
          <w:color w:val="000000"/>
          <w:lang w:val="es-ES"/>
        </w:rPr>
        <w:t>Ispanija</w:t>
      </w:r>
      <w:r w:rsidRPr="002B39AB">
        <w:rPr>
          <w:rFonts w:ascii="Times New Roman" w:hAnsi="Times New Roman"/>
          <w:color w:val="000000"/>
          <w:lang w:val="es-ES"/>
        </w:rPr>
        <w:tab/>
      </w:r>
      <w:r w:rsidRPr="002B39AB">
        <w:rPr>
          <w:rFonts w:ascii="Times New Roman" w:hAnsi="Times New Roman"/>
          <w:lang w:val="es-ES"/>
        </w:rPr>
        <w:t>Omegaflex peri emulsión para perfusión  </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lang w:val="es-ES"/>
        </w:rPr>
      </w:pPr>
      <w:r w:rsidRPr="002B39AB">
        <w:rPr>
          <w:rFonts w:ascii="Times New Roman" w:hAnsi="Times New Roman"/>
          <w:color w:val="000000"/>
          <w:lang w:val="es-ES"/>
        </w:rPr>
        <w:t>Švedija</w:t>
      </w:r>
      <w:r w:rsidRPr="002B39AB">
        <w:rPr>
          <w:rFonts w:ascii="Times New Roman" w:hAnsi="Times New Roman"/>
          <w:color w:val="000000"/>
          <w:lang w:val="es-ES"/>
        </w:rPr>
        <w:tab/>
      </w:r>
      <w:r w:rsidRPr="002B39AB">
        <w:rPr>
          <w:rFonts w:ascii="Times New Roman" w:hAnsi="Times New Roman"/>
          <w:lang w:val="es-ES"/>
        </w:rPr>
        <w:t>Nutriflex 32/64/40 perifer infusionsvätska, emulsion</w:t>
      </w:r>
    </w:p>
    <w:p w:rsidR="00626C7A" w:rsidRDefault="00626C7A" w:rsidP="00626C7A">
      <w:pPr>
        <w:tabs>
          <w:tab w:val="left" w:pos="567"/>
          <w:tab w:val="left" w:pos="1985"/>
        </w:tabs>
        <w:spacing w:after="0" w:line="260" w:lineRule="exact"/>
        <w:rPr>
          <w:rFonts w:ascii="Times New Roman" w:hAnsi="Times New Roman"/>
          <w:color w:val="000000"/>
          <w:lang w:val="es-ES"/>
        </w:rPr>
      </w:pPr>
      <w:r w:rsidRPr="002B39AB">
        <w:rPr>
          <w:rFonts w:ascii="Times New Roman" w:hAnsi="Times New Roman"/>
          <w:color w:val="000000"/>
          <w:lang w:val="es-ES"/>
        </w:rPr>
        <w:t>Jungtinė Karalystė</w:t>
      </w:r>
    </w:p>
    <w:p w:rsidR="00626C7A" w:rsidRPr="002B39AB" w:rsidRDefault="00626C7A" w:rsidP="00626C7A">
      <w:pPr>
        <w:tabs>
          <w:tab w:val="left" w:pos="567"/>
          <w:tab w:val="left" w:pos="1985"/>
        </w:tabs>
        <w:spacing w:after="0" w:line="260" w:lineRule="exact"/>
        <w:rPr>
          <w:rFonts w:ascii="Times New Roman" w:eastAsiaTheme="minorHAnsi" w:hAnsi="Times New Roman" w:cstheme="minorBidi"/>
          <w:color w:val="000000"/>
          <w:lang w:val="es-ES"/>
        </w:rPr>
      </w:pPr>
      <w:r>
        <w:rPr>
          <w:rFonts w:ascii="Times New Roman" w:hAnsi="Times New Roman"/>
          <w:color w:val="000000"/>
          <w:lang w:val="es-ES"/>
        </w:rPr>
        <w:t xml:space="preserve"> (Šiaurės Airija)</w:t>
      </w:r>
      <w:r w:rsidRPr="002B39AB">
        <w:rPr>
          <w:rFonts w:ascii="Times New Roman" w:hAnsi="Times New Roman"/>
          <w:color w:val="000000"/>
          <w:lang w:val="es-ES"/>
        </w:rPr>
        <w:tab/>
      </w:r>
      <w:r w:rsidRPr="002B39AB">
        <w:rPr>
          <w:rFonts w:ascii="Times New Roman" w:hAnsi="Times New Roman"/>
          <w:lang w:val="es-ES"/>
        </w:rPr>
        <w:t>Omeflex peri emulsion for infusion</w:t>
      </w:r>
    </w:p>
    <w:p w:rsidR="00626C7A" w:rsidRPr="002E4703" w:rsidRDefault="00626C7A" w:rsidP="00626C7A">
      <w:pPr>
        <w:numPr>
          <w:ilvl w:val="12"/>
          <w:numId w:val="0"/>
        </w:numPr>
        <w:spacing w:after="0" w:line="240" w:lineRule="auto"/>
        <w:ind w:right="-2"/>
        <w:rPr>
          <w:rFonts w:ascii="Times New Roman" w:eastAsia="Times New Roman" w:hAnsi="Times New Roman"/>
          <w:b/>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b/>
          <w:snapToGrid w:val="0"/>
        </w:rPr>
      </w:pPr>
    </w:p>
    <w:p w:rsidR="00626C7A" w:rsidRPr="002E4703" w:rsidRDefault="00626C7A" w:rsidP="00626C7A">
      <w:pPr>
        <w:numPr>
          <w:ilvl w:val="12"/>
          <w:numId w:val="0"/>
        </w:numPr>
        <w:spacing w:after="0" w:line="240" w:lineRule="auto"/>
        <w:ind w:right="-2"/>
        <w:rPr>
          <w:rFonts w:ascii="Times New Roman" w:eastAsia="Times New Roman" w:hAnsi="Times New Roman"/>
          <w:b/>
          <w:snapToGrid w:val="0"/>
        </w:rPr>
      </w:pPr>
      <w:r w:rsidRPr="002E4703">
        <w:rPr>
          <w:rFonts w:ascii="Times New Roman" w:eastAsia="Times New Roman" w:hAnsi="Times New Roman"/>
          <w:b/>
          <w:snapToGrid w:val="0"/>
        </w:rPr>
        <w:t>Šis pakuotės lapelis paskutinį kartą peržiūrėtas</w:t>
      </w:r>
      <w:r>
        <w:rPr>
          <w:rFonts w:ascii="Times New Roman" w:eastAsia="Times New Roman" w:hAnsi="Times New Roman"/>
          <w:b/>
          <w:snapToGrid w:val="0"/>
        </w:rPr>
        <w:t xml:space="preserve"> 2024-01-19.</w:t>
      </w:r>
    </w:p>
    <w:p w:rsidR="00626C7A" w:rsidRPr="002E4703" w:rsidRDefault="00626C7A" w:rsidP="00626C7A">
      <w:pPr>
        <w:numPr>
          <w:ilvl w:val="12"/>
          <w:numId w:val="0"/>
        </w:numPr>
        <w:tabs>
          <w:tab w:val="left" w:pos="567"/>
        </w:tabs>
        <w:spacing w:after="0" w:line="240" w:lineRule="auto"/>
        <w:ind w:right="-2"/>
        <w:rPr>
          <w:rFonts w:ascii="Times New Roman" w:eastAsia="Times New Roman" w:hAnsi="Times New Roman"/>
          <w:i/>
          <w:snapToGrid w:val="0"/>
        </w:rPr>
      </w:pPr>
    </w:p>
    <w:p w:rsidR="00626C7A" w:rsidRPr="002E4703" w:rsidRDefault="00626C7A" w:rsidP="00626C7A">
      <w:pPr>
        <w:numPr>
          <w:ilvl w:val="12"/>
          <w:numId w:val="0"/>
        </w:numPr>
        <w:tabs>
          <w:tab w:val="left" w:pos="567"/>
        </w:tabs>
        <w:spacing w:after="0" w:line="240" w:lineRule="auto"/>
        <w:ind w:right="-2"/>
        <w:rPr>
          <w:rFonts w:ascii="Times New Roman" w:eastAsia="Times New Roman" w:hAnsi="Times New Roman"/>
          <w:i/>
          <w:snapToGrid w:val="0"/>
        </w:rPr>
      </w:pPr>
    </w:p>
    <w:p w:rsidR="00626C7A" w:rsidRPr="002E4703" w:rsidRDefault="00626C7A" w:rsidP="00626C7A">
      <w:pPr>
        <w:numPr>
          <w:ilvl w:val="12"/>
          <w:numId w:val="0"/>
        </w:numPr>
        <w:tabs>
          <w:tab w:val="left" w:pos="567"/>
        </w:tabs>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2E4703">
        <w:rPr>
          <w:rFonts w:ascii="Times New Roman" w:eastAsia="Times New Roman" w:hAnsi="Times New Roman"/>
          <w:i/>
          <w:snapToGrid w:val="0"/>
        </w:rPr>
        <w:t xml:space="preserve"> </w:t>
      </w:r>
      <w:hyperlink r:id="rId11" w:history="1">
        <w:r w:rsidRPr="00876934">
          <w:rPr>
            <w:rFonts w:ascii="Times New Roman" w:eastAsia="SimSun" w:hAnsi="Times New Roman"/>
            <w:snapToGrid w:val="0"/>
            <w:color w:val="0000FF"/>
            <w:szCs w:val="20"/>
            <w:u w:val="single"/>
          </w:rPr>
          <w:t>http://www.vvkt.lt/</w:t>
        </w:r>
      </w:hyperlink>
      <w:r w:rsidRPr="002E4703">
        <w:rPr>
          <w:rFonts w:ascii="Times New Roman" w:eastAsia="Times New Roman" w:hAnsi="Times New Roman"/>
          <w:snapToGrid w:val="0"/>
        </w:rPr>
        <w:t>.</w:t>
      </w:r>
    </w:p>
    <w:p w:rsidR="00626C7A" w:rsidRPr="002E4703" w:rsidRDefault="00626C7A" w:rsidP="00626C7A">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w:t>
      </w:r>
    </w:p>
    <w:p w:rsidR="00626C7A" w:rsidRPr="002E4703" w:rsidRDefault="00626C7A" w:rsidP="00626C7A">
      <w:pPr>
        <w:numPr>
          <w:ilvl w:val="12"/>
          <w:numId w:val="0"/>
        </w:numPr>
        <w:tabs>
          <w:tab w:val="left" w:pos="567"/>
          <w:tab w:val="left" w:pos="2657"/>
        </w:tabs>
        <w:spacing w:after="0" w:line="240" w:lineRule="auto"/>
        <w:ind w:right="-28"/>
        <w:rPr>
          <w:rFonts w:ascii="Times New Roman" w:eastAsia="Times New Roman" w:hAnsi="Times New Roman"/>
          <w:snapToGrid w:val="0"/>
        </w:rPr>
      </w:pPr>
    </w:p>
    <w:p w:rsidR="00626C7A" w:rsidRPr="002E4703" w:rsidRDefault="00626C7A" w:rsidP="00626C7A">
      <w:pPr>
        <w:spacing w:after="0" w:line="240" w:lineRule="auto"/>
        <w:rPr>
          <w:rFonts w:ascii="Times New Roman" w:eastAsia="Times New Roman" w:hAnsi="Times New Roman"/>
          <w:i/>
          <w:snapToGrid w:val="0"/>
          <w:color w:val="008000"/>
        </w:rPr>
      </w:pPr>
      <w:r w:rsidRPr="002E4703">
        <w:rPr>
          <w:rFonts w:ascii="Times New Roman" w:eastAsia="Times New Roman" w:hAnsi="Times New Roman"/>
          <w:snapToGrid w:val="0"/>
        </w:rPr>
        <w:t>Toliau pateikta informacija skirta tik sveikatos priežiūros specialistams.</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iCs/>
          <w:snapToGrid w:val="0"/>
        </w:rPr>
      </w:pPr>
      <w:r w:rsidRPr="002E4703">
        <w:rPr>
          <w:rFonts w:ascii="Times New Roman" w:eastAsia="Times New Roman" w:hAnsi="Times New Roman"/>
          <w:snapToGrid w:val="0"/>
        </w:rPr>
        <w:t>Parenteriniam maitinimui skirtus vaistinius preparatus prieš vartojant reikia apžiūrėti dėl pažeidimo, spalvos pokyčio ir emulsijos nestabilumo.</w:t>
      </w:r>
    </w:p>
    <w:p w:rsidR="00626C7A" w:rsidRPr="002E4703" w:rsidRDefault="00626C7A" w:rsidP="00626C7A">
      <w:pPr>
        <w:spacing w:after="0" w:line="240" w:lineRule="auto"/>
        <w:rPr>
          <w:rFonts w:ascii="Times New Roman" w:eastAsia="Times New Roman" w:hAnsi="Times New Roman"/>
          <w:snapToGrid w:val="0"/>
        </w:rPr>
      </w:pPr>
    </w:p>
    <w:p w:rsidR="00626C7A"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Pažeistų maišelių naudoti negalima</w:t>
      </w:r>
      <w:r>
        <w:rPr>
          <w:rFonts w:ascii="Times New Roman" w:eastAsia="Times New Roman" w:hAnsi="Times New Roman"/>
          <w:snapToGrid w:val="0"/>
        </w:rPr>
        <w:t>.</w:t>
      </w:r>
      <w:r w:rsidRPr="002E4703">
        <w:rPr>
          <w:rFonts w:ascii="Times New Roman" w:eastAsia="Times New Roman" w:hAnsi="Times New Roman"/>
          <w:snapToGrid w:val="0"/>
        </w:rPr>
        <w:t> </w:t>
      </w:r>
      <w:r>
        <w:rPr>
          <w:rFonts w:ascii="Times New Roman" w:eastAsia="Times New Roman" w:hAnsi="Times New Roman"/>
          <w:snapToGrid w:val="0"/>
        </w:rPr>
        <w:t>A</w:t>
      </w:r>
      <w:r w:rsidRPr="002E4703">
        <w:rPr>
          <w:rFonts w:ascii="Times New Roman" w:eastAsia="Times New Roman" w:hAnsi="Times New Roman"/>
          <w:snapToGrid w:val="0"/>
        </w:rPr>
        <w:t>pvalkalas, vidinis maišelis</w:t>
      </w:r>
      <w:r>
        <w:rPr>
          <w:rFonts w:ascii="Times New Roman" w:eastAsia="Times New Roman" w:hAnsi="Times New Roman"/>
          <w:snapToGrid w:val="0"/>
        </w:rPr>
        <w:t xml:space="preserve"> ir nuplėšiamosios siūlės tarp kamerų</w:t>
      </w:r>
      <w:r w:rsidRPr="002E4703">
        <w:rPr>
          <w:rFonts w:ascii="Times New Roman" w:eastAsia="Times New Roman" w:hAnsi="Times New Roman"/>
          <w:snapToGrid w:val="0"/>
        </w:rPr>
        <w:t xml:space="preserve"> turi būti </w:t>
      </w:r>
      <w:r>
        <w:rPr>
          <w:rFonts w:ascii="Times New Roman" w:eastAsia="Times New Roman" w:hAnsi="Times New Roman"/>
          <w:snapToGrid w:val="0"/>
        </w:rPr>
        <w:t>ne</w:t>
      </w:r>
      <w:r w:rsidRPr="002E4703">
        <w:rPr>
          <w:rFonts w:ascii="Times New Roman" w:eastAsia="Times New Roman" w:hAnsi="Times New Roman"/>
          <w:snapToGrid w:val="0"/>
        </w:rPr>
        <w:t xml:space="preserve">pažeisti. Galima naudoti, tik jei aminorūgščių bei gliukozės tirpalai yra skaidrūs ir bespalviai arba gelsvi ir emulsijos išvaizda yra kaip homogeninio pieno baltumo skysčio. Negalima naudoti, jei </w:t>
      </w:r>
      <w:r>
        <w:rPr>
          <w:rFonts w:ascii="Times New Roman" w:eastAsia="Times New Roman" w:hAnsi="Times New Roman"/>
          <w:snapToGrid w:val="0"/>
        </w:rPr>
        <w:t>tirpal</w:t>
      </w:r>
      <w:r w:rsidRPr="002E4703">
        <w:rPr>
          <w:rFonts w:ascii="Times New Roman" w:eastAsia="Times New Roman" w:hAnsi="Times New Roman"/>
          <w:snapToGrid w:val="0"/>
        </w:rPr>
        <w:t xml:space="preserve">uose yra kietųjų dalelių. </w:t>
      </w:r>
    </w:p>
    <w:p w:rsidR="00626C7A"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Negalima naudoti, jei </w:t>
      </w:r>
      <w:r>
        <w:rPr>
          <w:rFonts w:ascii="Times New Roman" w:eastAsia="Times New Roman" w:hAnsi="Times New Roman"/>
          <w:snapToGrid w:val="0"/>
        </w:rPr>
        <w:t xml:space="preserve">sumaišius trijų kamerų turinį </w:t>
      </w:r>
      <w:r w:rsidRPr="002E4703">
        <w:rPr>
          <w:rFonts w:ascii="Times New Roman" w:eastAsia="Times New Roman" w:hAnsi="Times New Roman"/>
          <w:snapToGrid w:val="0"/>
        </w:rPr>
        <w:t>mat</w:t>
      </w:r>
      <w:r>
        <w:rPr>
          <w:rFonts w:ascii="Times New Roman" w:eastAsia="Times New Roman" w:hAnsi="Times New Roman"/>
          <w:snapToGrid w:val="0"/>
        </w:rPr>
        <w:t>yti</w:t>
      </w:r>
      <w:r w:rsidRPr="002E4703">
        <w:rPr>
          <w:rFonts w:ascii="Times New Roman" w:eastAsia="Times New Roman" w:hAnsi="Times New Roman"/>
          <w:snapToGrid w:val="0"/>
        </w:rPr>
        <w:t xml:space="preserve"> emulsijos</w:t>
      </w:r>
      <w:r>
        <w:rPr>
          <w:rFonts w:ascii="Times New Roman" w:eastAsia="Times New Roman" w:hAnsi="Times New Roman"/>
          <w:snapToGrid w:val="0"/>
        </w:rPr>
        <w:t xml:space="preserve"> spalvos pokyčių arba</w:t>
      </w:r>
      <w:r w:rsidRPr="002E4703">
        <w:rPr>
          <w:rFonts w:ascii="Times New Roman" w:eastAsia="Times New Roman" w:hAnsi="Times New Roman"/>
          <w:snapToGrid w:val="0"/>
        </w:rPr>
        <w:t xml:space="preserve"> fazių atsiskyrim</w:t>
      </w:r>
      <w:r>
        <w:rPr>
          <w:rFonts w:ascii="Times New Roman" w:eastAsia="Times New Roman" w:hAnsi="Times New Roman"/>
          <w:snapToGrid w:val="0"/>
        </w:rPr>
        <w:t>o požymių</w:t>
      </w:r>
      <w:r w:rsidRPr="002E4703">
        <w:rPr>
          <w:rFonts w:ascii="Times New Roman" w:eastAsia="Times New Roman" w:hAnsi="Times New Roman"/>
          <w:snapToGrid w:val="0"/>
        </w:rPr>
        <w:t xml:space="preserve"> (aliejaus lašai, aliejaus sluoksnis).</w:t>
      </w:r>
      <w:r>
        <w:rPr>
          <w:rFonts w:ascii="Times New Roman" w:eastAsia="Times New Roman" w:hAnsi="Times New Roman"/>
          <w:snapToGrid w:val="0"/>
        </w:rPr>
        <w:t xml:space="preserve"> </w:t>
      </w:r>
      <w:r w:rsidRPr="00FD7829">
        <w:rPr>
          <w:rFonts w:ascii="Times New Roman" w:eastAsia="Times New Roman" w:hAnsi="Times New Roman"/>
          <w:snapToGrid w:val="0"/>
        </w:rPr>
        <w:t>Pastebėjus emulsijos spalvos pokyčių arba fazių atsiskyrimo požymių, infuziją reikia nedelsiant nutraukti.</w:t>
      </w:r>
    </w:p>
    <w:p w:rsidR="00626C7A" w:rsidRPr="002E4703" w:rsidRDefault="00626C7A" w:rsidP="00626C7A">
      <w:pPr>
        <w:spacing w:after="0" w:line="240" w:lineRule="auto"/>
        <w:rPr>
          <w:rFonts w:ascii="Times New Roman" w:eastAsia="Times New Roman" w:hAnsi="Times New Roman"/>
          <w:snapToGrid w:val="0"/>
        </w:rPr>
      </w:pPr>
    </w:p>
    <w:p w:rsidR="00626C7A" w:rsidRPr="002E4703" w:rsidRDefault="00626C7A" w:rsidP="00626C7A">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 xml:space="preserve">Prieš atplėšdami apvalkalą patikrinkite deguonies indikatoriaus spalvą (žr. A paveikslėlį). Negalima naudoti, jei deguonies indikatorius </w:t>
      </w:r>
      <w:r>
        <w:rPr>
          <w:rFonts w:ascii="Times New Roman" w:eastAsia="Times New Roman" w:hAnsi="Times New Roman"/>
          <w:snapToGrid w:val="0"/>
        </w:rPr>
        <w:t>tapo</w:t>
      </w:r>
      <w:r w:rsidRPr="002E4703">
        <w:rPr>
          <w:rFonts w:ascii="Times New Roman" w:eastAsia="Times New Roman" w:hAnsi="Times New Roman"/>
          <w:snapToGrid w:val="0"/>
        </w:rPr>
        <w:t xml:space="preserve"> rausvas. Galima naudoti, tik jei deguonies indikatorius yra geltonas.</w:t>
      </w:r>
    </w:p>
    <w:p w:rsidR="00626C7A" w:rsidRPr="002E4703" w:rsidRDefault="00626C7A" w:rsidP="00626C7A">
      <w:pPr>
        <w:tabs>
          <w:tab w:val="left" w:pos="567"/>
        </w:tabs>
        <w:autoSpaceDE w:val="0"/>
        <w:autoSpaceDN w:val="0"/>
        <w:adjustRightInd w:val="0"/>
        <w:spacing w:after="0" w:line="240" w:lineRule="auto"/>
        <w:rPr>
          <w:rFonts w:ascii="Times New Roman" w:eastAsia="Times New Roman" w:hAnsi="Times New Roman"/>
          <w:i/>
          <w:iCs/>
          <w:lang w:eastAsia="en-GB"/>
        </w:rPr>
      </w:pPr>
    </w:p>
    <w:p w:rsidR="00626C7A" w:rsidRPr="002E4703" w:rsidRDefault="00626C7A" w:rsidP="00626C7A">
      <w:pPr>
        <w:keepNext/>
        <w:tabs>
          <w:tab w:val="left" w:pos="567"/>
        </w:tabs>
        <w:autoSpaceDE w:val="0"/>
        <w:autoSpaceDN w:val="0"/>
        <w:adjustRightInd w:val="0"/>
        <w:spacing w:after="0" w:line="240" w:lineRule="auto"/>
        <w:rPr>
          <w:rFonts w:ascii="Times New Roman" w:eastAsia="Times New Roman" w:hAnsi="Times New Roman"/>
          <w:i/>
          <w:iCs/>
          <w:lang w:eastAsia="en-GB"/>
        </w:rPr>
      </w:pPr>
      <w:r w:rsidRPr="002E4703">
        <w:rPr>
          <w:rFonts w:ascii="Times New Roman" w:eastAsia="Times New Roman" w:hAnsi="Times New Roman"/>
          <w:i/>
          <w:iCs/>
          <w:u w:val="single"/>
          <w:lang w:eastAsia="en-GB"/>
        </w:rPr>
        <w:t>Emulsijos sumaišymas</w:t>
      </w:r>
    </w:p>
    <w:p w:rsidR="00626C7A" w:rsidRPr="002E4703" w:rsidRDefault="00626C7A" w:rsidP="00626C7A">
      <w:pPr>
        <w:keepNext/>
        <w:tabs>
          <w:tab w:val="left" w:pos="567"/>
        </w:tabs>
        <w:autoSpaceDE w:val="0"/>
        <w:autoSpaceDN w:val="0"/>
        <w:adjustRightInd w:val="0"/>
        <w:spacing w:after="0" w:line="240" w:lineRule="auto"/>
        <w:rPr>
          <w:rFonts w:ascii="Times New Roman" w:eastAsia="Times New Roman" w:hAnsi="Times New Roman"/>
          <w:iCs/>
          <w:lang w:eastAsia="en-GB"/>
        </w:rPr>
      </w:pPr>
    </w:p>
    <w:p w:rsidR="00626C7A" w:rsidRPr="002E4703" w:rsidRDefault="00626C7A" w:rsidP="00626C7A">
      <w:pPr>
        <w:tabs>
          <w:tab w:val="left" w:pos="567"/>
        </w:tabs>
        <w:autoSpaceDE w:val="0"/>
        <w:autoSpaceDN w:val="0"/>
        <w:adjustRightInd w:val="0"/>
        <w:spacing w:after="0" w:line="240" w:lineRule="auto"/>
        <w:rPr>
          <w:rFonts w:ascii="Times New Roman" w:eastAsia="Times New Roman" w:hAnsi="Times New Roman"/>
          <w:lang w:eastAsia="en-GB"/>
        </w:rPr>
      </w:pPr>
      <w:r w:rsidRPr="002E4703">
        <w:rPr>
          <w:rFonts w:ascii="Times New Roman" w:eastAsia="Times New Roman" w:hAnsi="Times New Roman"/>
          <w:lang w:eastAsia="en-GB"/>
        </w:rPr>
        <w:t>Reikia griežtai laikytis darbo aseptinėmis sąlygomis principų.</w:t>
      </w:r>
    </w:p>
    <w:p w:rsidR="00626C7A" w:rsidRPr="002E4703" w:rsidRDefault="00626C7A" w:rsidP="00626C7A">
      <w:pPr>
        <w:tabs>
          <w:tab w:val="left" w:pos="567"/>
        </w:tabs>
        <w:autoSpaceDE w:val="0"/>
        <w:autoSpaceDN w:val="0"/>
        <w:adjustRightInd w:val="0"/>
        <w:spacing w:after="0" w:line="240" w:lineRule="auto"/>
        <w:rPr>
          <w:rFonts w:ascii="Times New Roman" w:eastAsia="Times New Roman" w:hAnsi="Times New Roman"/>
          <w:lang w:eastAsia="en-GB"/>
        </w:rPr>
      </w:pPr>
    </w:p>
    <w:p w:rsidR="00626C7A" w:rsidRDefault="00626C7A" w:rsidP="00626C7A">
      <w:pPr>
        <w:tabs>
          <w:tab w:val="left" w:pos="567"/>
        </w:tabs>
        <w:spacing w:after="0" w:line="240" w:lineRule="auto"/>
        <w:rPr>
          <w:rFonts w:ascii="Times New Roman" w:eastAsia="Times New Roman" w:hAnsi="Times New Roman"/>
          <w:lang w:eastAsia="lt-LT"/>
        </w:rPr>
      </w:pPr>
      <w:r w:rsidRPr="002E4703">
        <w:rPr>
          <w:rFonts w:ascii="Times New Roman" w:eastAsia="Times New Roman" w:hAnsi="Times New Roman"/>
          <w:lang w:eastAsia="lt-LT"/>
        </w:rPr>
        <w:t>Atidarymas: atplėškite apvalkalą, pradėdami nuo atplėšimo įpjovų (1 pav.). Išimkite maišelį iš apsauginio apvalkalo. Apvalkalą, deguonies indikatorių ir deguonies sugėriklį išmeskite.</w:t>
      </w:r>
    </w:p>
    <w:p w:rsidR="00626C7A" w:rsidRPr="002E4703" w:rsidRDefault="00626C7A" w:rsidP="00626C7A">
      <w:pPr>
        <w:tabs>
          <w:tab w:val="left" w:pos="567"/>
        </w:tabs>
        <w:spacing w:after="0" w:line="240" w:lineRule="auto"/>
        <w:rPr>
          <w:rFonts w:ascii="Times New Roman" w:eastAsia="Times New Roman" w:hAnsi="Times New Roman"/>
          <w:lang w:eastAsia="lt-LT"/>
        </w:rPr>
      </w:pPr>
      <w:r w:rsidRPr="00BA5897">
        <w:rPr>
          <w:noProof/>
          <w:lang w:eastAsia="lt-LT"/>
        </w:rPr>
        <w:drawing>
          <wp:inline distT="0" distB="0" distL="0" distR="0" wp14:anchorId="7C8EC104" wp14:editId="0B8FBF5A">
            <wp:extent cx="1828800" cy="15132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1513205"/>
                    </a:xfrm>
                    <a:prstGeom prst="rect">
                      <a:avLst/>
                    </a:prstGeom>
                    <a:noFill/>
                    <a:ln>
                      <a:noFill/>
                    </a:ln>
                  </pic:spPr>
                </pic:pic>
              </a:graphicData>
            </a:graphic>
          </wp:inline>
        </w:drawing>
      </w:r>
    </w:p>
    <w:p w:rsidR="00626C7A" w:rsidRPr="002E4703" w:rsidRDefault="00626C7A" w:rsidP="00626C7A">
      <w:pPr>
        <w:tabs>
          <w:tab w:val="left" w:pos="567"/>
        </w:tabs>
        <w:spacing w:after="0" w:line="240" w:lineRule="auto"/>
        <w:rPr>
          <w:rFonts w:ascii="Times New Roman" w:eastAsia="Times New Roman" w:hAnsi="Times New Roman"/>
          <w:lang w:eastAsia="lt-LT"/>
        </w:rPr>
      </w:pPr>
    </w:p>
    <w:p w:rsidR="00626C7A" w:rsidRDefault="00626C7A" w:rsidP="00626C7A">
      <w:pPr>
        <w:tabs>
          <w:tab w:val="left" w:pos="567"/>
        </w:tabs>
        <w:spacing w:after="0" w:line="240" w:lineRule="auto"/>
        <w:rPr>
          <w:rFonts w:ascii="Times New Roman" w:eastAsia="Times New Roman" w:hAnsi="Times New Roman"/>
          <w:lang w:eastAsia="lt-LT"/>
        </w:rPr>
      </w:pPr>
      <w:r w:rsidRPr="002E4703">
        <w:rPr>
          <w:rFonts w:ascii="Times New Roman" w:eastAsia="Times New Roman" w:hAnsi="Times New Roman"/>
          <w:lang w:eastAsia="lt-LT"/>
        </w:rPr>
        <w:t>Apžiūrėkite vidinį maišelį, ar neprateka skystis. Pratekančius maišelius reikia išmesti, nes negalima garantuoti sterilumo.</w:t>
      </w:r>
    </w:p>
    <w:p w:rsidR="00626C7A" w:rsidRPr="002E4703" w:rsidRDefault="00626C7A" w:rsidP="00626C7A">
      <w:pPr>
        <w:tabs>
          <w:tab w:val="left" w:pos="567"/>
        </w:tabs>
        <w:spacing w:after="0" w:line="240" w:lineRule="auto"/>
        <w:rPr>
          <w:rFonts w:ascii="Times New Roman" w:eastAsia="Times New Roman" w:hAnsi="Times New Roman"/>
          <w:lang w:eastAsia="lt-LT"/>
        </w:rPr>
      </w:pPr>
    </w:p>
    <w:p w:rsidR="00626C7A" w:rsidRPr="000F6567" w:rsidRDefault="00626C7A" w:rsidP="00626C7A">
      <w:pPr>
        <w:keepNext/>
        <w:spacing w:after="0" w:line="240" w:lineRule="auto"/>
        <w:rPr>
          <w:rFonts w:ascii="Times New Roman" w:eastAsia="Times New Roman" w:hAnsi="Times New Roman"/>
          <w:u w:val="single"/>
        </w:rPr>
      </w:pPr>
      <w:r w:rsidRPr="000F6567">
        <w:rPr>
          <w:rFonts w:ascii="Times New Roman" w:eastAsia="Times New Roman" w:hAnsi="Times New Roman"/>
          <w:i/>
          <w:szCs w:val="20"/>
          <w:u w:val="single"/>
        </w:rPr>
        <w:t>Maišelio turinio sumaišymas ir priedų įmaišymas</w:t>
      </w:r>
    </w:p>
    <w:p w:rsidR="00626C7A"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iCs/>
          <w:snapToGrid w:val="0"/>
        </w:rPr>
      </w:pPr>
      <w:r w:rsidRPr="002E4703">
        <w:rPr>
          <w:rFonts w:ascii="Times New Roman" w:eastAsia="Times New Roman" w:hAnsi="Times New Roman"/>
          <w:snapToGrid w:val="0"/>
        </w:rPr>
        <w:t xml:space="preserve">Kad nuosekliai atidarytumėte kameras ir sumaišytumėte jų turinį, abiem rankomis vyniokite maišelį, pirmiausia atidarydami nuplėšiamąją siūlę, skiriančią viršutinę (gliukozės) kamerą ir apatinę (aminorūgščių) kamerą (2 pav.). </w:t>
      </w:r>
    </w:p>
    <w:p w:rsidR="00626C7A" w:rsidRPr="00BA5897" w:rsidRDefault="00626C7A" w:rsidP="00626C7A">
      <w:pPr>
        <w:widowControl w:val="0"/>
        <w:spacing w:after="0" w:line="240" w:lineRule="auto"/>
        <w:rPr>
          <w:rFonts w:ascii="Times New Roman" w:eastAsia="Times New Roman" w:hAnsi="Times New Roman"/>
        </w:rPr>
      </w:pPr>
    </w:p>
    <w:p w:rsidR="00626C7A" w:rsidRPr="00BA5897" w:rsidRDefault="00626C7A" w:rsidP="00626C7A">
      <w:pPr>
        <w:widowControl w:val="0"/>
        <w:spacing w:after="0" w:line="240" w:lineRule="auto"/>
        <w:rPr>
          <w:rFonts w:ascii="Times New Roman" w:eastAsia="Times New Roman" w:hAnsi="Times New Roman"/>
        </w:rPr>
      </w:pPr>
      <w:r w:rsidRPr="00BA5897">
        <w:rPr>
          <w:rFonts w:ascii="Times New Roman" w:eastAsia="Times New Roman" w:hAnsi="Times New Roman"/>
          <w:noProof/>
          <w:szCs w:val="20"/>
          <w:lang w:eastAsia="lt-LT"/>
        </w:rPr>
        <w:drawing>
          <wp:inline distT="0" distB="0" distL="0" distR="0" wp14:anchorId="24AC8DC7" wp14:editId="0AC7D9F9">
            <wp:extent cx="1666875" cy="1514475"/>
            <wp:effectExtent l="0" t="0" r="9525" b="9525"/>
            <wp:docPr id="27" name="Picture 27" descr="02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02_3kb_NF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66875" cy="1514475"/>
                    </a:xfrm>
                    <a:prstGeom prst="rect">
                      <a:avLst/>
                    </a:prstGeom>
                    <a:noFill/>
                    <a:ln>
                      <a:noFill/>
                    </a:ln>
                  </pic:spPr>
                </pic:pic>
              </a:graphicData>
            </a:graphic>
          </wp:inline>
        </w:drawing>
      </w:r>
    </w:p>
    <w:p w:rsidR="00626C7A" w:rsidRDefault="00626C7A" w:rsidP="00626C7A">
      <w:pPr>
        <w:keepNext/>
        <w:spacing w:after="0" w:line="240" w:lineRule="auto"/>
        <w:rPr>
          <w:rFonts w:ascii="Times New Roman" w:eastAsia="Times New Roman" w:hAnsi="Times New Roman"/>
        </w:rPr>
      </w:pPr>
    </w:p>
    <w:p w:rsidR="00626C7A" w:rsidRPr="00290793" w:rsidRDefault="00626C7A" w:rsidP="00626C7A">
      <w:pPr>
        <w:tabs>
          <w:tab w:val="left" w:pos="567"/>
        </w:tabs>
        <w:suppressAutoHyphens/>
        <w:autoSpaceDN w:val="0"/>
        <w:spacing w:after="0" w:line="260" w:lineRule="exact"/>
        <w:textAlignment w:val="baseline"/>
        <w:rPr>
          <w:rFonts w:ascii="Times New Roman" w:eastAsia="Times New Roman" w:hAnsi="Times New Roman"/>
        </w:rPr>
      </w:pPr>
      <w:r w:rsidRPr="00290793">
        <w:rPr>
          <w:rFonts w:ascii="Times New Roman" w:eastAsia="Times New Roman" w:hAnsi="Times New Roman"/>
        </w:rPr>
        <w:t xml:space="preserve">Tada toliau spauskite maišelį, kad atidarytumėte nuplėšiamąją siūlę, skiriančią vidurinę (riebalų) kamerą ir apatinę kamerą (3 pav.). </w:t>
      </w:r>
    </w:p>
    <w:p w:rsidR="00626C7A" w:rsidRPr="00290793" w:rsidRDefault="00626C7A" w:rsidP="00626C7A">
      <w:pPr>
        <w:widowControl w:val="0"/>
        <w:autoSpaceDE w:val="0"/>
        <w:autoSpaceDN w:val="0"/>
        <w:adjustRightInd w:val="0"/>
        <w:spacing w:after="0" w:line="240" w:lineRule="auto"/>
        <w:rPr>
          <w:rFonts w:ascii="Times New Roman" w:eastAsia="Times New Roman" w:hAnsi="Times New Roman"/>
          <w:lang w:eastAsia="en-GB"/>
        </w:rPr>
      </w:pPr>
    </w:p>
    <w:p w:rsidR="00626C7A" w:rsidRPr="00290793" w:rsidRDefault="00626C7A" w:rsidP="00626C7A">
      <w:pPr>
        <w:widowControl w:val="0"/>
        <w:autoSpaceDE w:val="0"/>
        <w:autoSpaceDN w:val="0"/>
        <w:adjustRightInd w:val="0"/>
        <w:spacing w:after="0" w:line="240" w:lineRule="auto"/>
        <w:rPr>
          <w:rFonts w:ascii="Times New Roman" w:eastAsia="Times New Roman" w:hAnsi="Times New Roman"/>
          <w:lang w:eastAsia="en-GB"/>
        </w:rPr>
      </w:pPr>
      <w:bookmarkStart w:id="0" w:name="_Hlk155854966"/>
      <w:r w:rsidRPr="00290793">
        <w:rPr>
          <w:rFonts w:ascii="Times New Roman" w:eastAsia="Times New Roman" w:hAnsi="Times New Roman"/>
          <w:noProof/>
          <w:highlight w:val="lightGray"/>
          <w:lang w:eastAsia="lt-LT"/>
        </w:rPr>
        <w:drawing>
          <wp:inline distT="0" distB="0" distL="0" distR="0" wp14:anchorId="3001CE4B" wp14:editId="5053ECDC">
            <wp:extent cx="1664335" cy="151828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1664335" cy="1518285"/>
                    </a:xfrm>
                    <a:prstGeom prst="rect">
                      <a:avLst/>
                    </a:prstGeom>
                    <a:noFill/>
                  </pic:spPr>
                </pic:pic>
              </a:graphicData>
            </a:graphic>
          </wp:inline>
        </w:drawing>
      </w:r>
      <w:bookmarkEnd w:id="0"/>
      <w:r w:rsidRPr="00290793">
        <w:rPr>
          <w:rFonts w:ascii="Times New Roman" w:eastAsia="Times New Roman" w:hAnsi="Times New Roman"/>
          <w:lang w:eastAsia="en-GB"/>
        </w:rPr>
        <w:t xml:space="preserve"> </w:t>
      </w:r>
      <w:r w:rsidRPr="00290793">
        <w:rPr>
          <w:rFonts w:ascii="Times New Roman" w:eastAsia="Times New Roman" w:hAnsi="Times New Roman"/>
          <w:noProof/>
          <w:szCs w:val="20"/>
          <w:lang w:eastAsia="lt-LT"/>
        </w:rPr>
        <w:drawing>
          <wp:inline distT="0" distB="0" distL="0" distR="0" wp14:anchorId="3EB2970D" wp14:editId="6459B379">
            <wp:extent cx="1819275" cy="151447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23"/>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819275" cy="1514475"/>
                    </a:xfrm>
                    <a:prstGeom prst="rect">
                      <a:avLst/>
                    </a:prstGeom>
                    <a:noFill/>
                    <a:ln>
                      <a:noFill/>
                    </a:ln>
                  </pic:spPr>
                </pic:pic>
              </a:graphicData>
            </a:graphic>
          </wp:inline>
        </w:drawing>
      </w:r>
    </w:p>
    <w:p w:rsidR="00626C7A" w:rsidRPr="00290793" w:rsidRDefault="00626C7A" w:rsidP="00626C7A">
      <w:pPr>
        <w:spacing w:after="0" w:line="240" w:lineRule="auto"/>
        <w:rPr>
          <w:rFonts w:ascii="Times New Roman" w:eastAsia="Times New Roman" w:hAnsi="Times New Roman"/>
        </w:rPr>
      </w:pPr>
      <w:r w:rsidRPr="00290793">
        <w:rPr>
          <w:rFonts w:ascii="Times New Roman" w:eastAsia="Times New Roman" w:hAnsi="Times New Roman"/>
          <w:szCs w:val="20"/>
        </w:rPr>
        <w:t xml:space="preserve">Sumaišius visas kamerose esančias medžiagas ir pašalinus aliuminio </w:t>
      </w:r>
      <w:r>
        <w:rPr>
          <w:rFonts w:ascii="Times New Roman" w:eastAsia="Times New Roman" w:hAnsi="Times New Roman"/>
          <w:szCs w:val="20"/>
        </w:rPr>
        <w:t>sandariklį</w:t>
      </w:r>
      <w:r w:rsidRPr="00290793">
        <w:rPr>
          <w:rFonts w:ascii="Times New Roman" w:eastAsia="Times New Roman" w:hAnsi="Times New Roman"/>
          <w:szCs w:val="20"/>
        </w:rPr>
        <w:t xml:space="preserve"> (3A pav.)</w:t>
      </w:r>
      <w:r>
        <w:rPr>
          <w:rFonts w:ascii="Times New Roman" w:eastAsia="Times New Roman" w:hAnsi="Times New Roman"/>
          <w:szCs w:val="20"/>
        </w:rPr>
        <w:t>, per vaistinių preparatų prievadą</w:t>
      </w:r>
      <w:r w:rsidRPr="00290793">
        <w:rPr>
          <w:rFonts w:ascii="Times New Roman" w:eastAsia="Times New Roman" w:hAnsi="Times New Roman"/>
          <w:szCs w:val="20"/>
        </w:rPr>
        <w:t xml:space="preserve"> galima įmaišyti suderinamų priedų (4 pav.). Kruopščiai sumaišykite komponentus (5 pav.) ir apžiūrėkite mišinį (6 pav.). Mišinys turi būti homogeninė pieno baltumo spalvos aliejaus vandenyje emulsija. </w:t>
      </w:r>
      <w:r w:rsidRPr="00290793">
        <w:rPr>
          <w:rFonts w:ascii="Times New Roman" w:eastAsia="Times New Roman" w:hAnsi="Times New Roman"/>
        </w:rPr>
        <w:t>Neturi būti jokių emulsijos fazių atsiskyrimo požymių.</w:t>
      </w:r>
    </w:p>
    <w:p w:rsidR="00626C7A" w:rsidRPr="00290793" w:rsidRDefault="00626C7A" w:rsidP="00626C7A">
      <w:pPr>
        <w:tabs>
          <w:tab w:val="left" w:pos="567"/>
        </w:tabs>
        <w:suppressAutoHyphens/>
        <w:autoSpaceDN w:val="0"/>
        <w:spacing w:after="0" w:line="260" w:lineRule="exact"/>
        <w:textAlignment w:val="baseline"/>
        <w:rPr>
          <w:rFonts w:ascii="Times New Roman" w:eastAsia="Times New Roman" w:hAnsi="Times New Roman"/>
          <w:szCs w:val="20"/>
        </w:rPr>
      </w:pPr>
    </w:p>
    <w:p w:rsidR="00626C7A" w:rsidRPr="00290793" w:rsidRDefault="00626C7A" w:rsidP="00626C7A">
      <w:pPr>
        <w:suppressAutoHyphens/>
        <w:autoSpaceDN w:val="0"/>
        <w:spacing w:line="251" w:lineRule="auto"/>
        <w:textAlignment w:val="baseline"/>
      </w:pPr>
      <w:r w:rsidRPr="00290793">
        <w:rPr>
          <w:noProof/>
          <w:lang w:eastAsia="lt-LT"/>
        </w:rPr>
        <w:drawing>
          <wp:inline distT="0" distB="0" distL="0" distR="0" wp14:anchorId="60471C6B" wp14:editId="231A318E">
            <wp:extent cx="5759450" cy="16002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9450" cy="1600200"/>
                    </a:xfrm>
                    <a:prstGeom prst="rect">
                      <a:avLst/>
                    </a:prstGeom>
                    <a:noFill/>
                    <a:ln>
                      <a:noFill/>
                    </a:ln>
                  </pic:spPr>
                </pic:pic>
              </a:graphicData>
            </a:graphic>
          </wp:inline>
        </w:drawing>
      </w:r>
    </w:p>
    <w:p w:rsidR="00626C7A" w:rsidRPr="00290793" w:rsidRDefault="00626C7A" w:rsidP="00626C7A">
      <w:pPr>
        <w:tabs>
          <w:tab w:val="left" w:pos="567"/>
        </w:tabs>
        <w:suppressAutoHyphens/>
        <w:autoSpaceDN w:val="0"/>
        <w:spacing w:after="0" w:line="260" w:lineRule="exact"/>
        <w:textAlignment w:val="baseline"/>
        <w:rPr>
          <w:rFonts w:ascii="Times New Roman" w:eastAsia="Times New Roman" w:hAnsi="Times New Roman"/>
          <w:iCs/>
        </w:rPr>
      </w:pPr>
    </w:p>
    <w:p w:rsidR="00626C7A" w:rsidRPr="00600634" w:rsidRDefault="00626C7A" w:rsidP="00626C7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Nutriflex Omega peri gali būti sumaišomas su šiais priedais</w:t>
      </w:r>
      <w:r>
        <w:rPr>
          <w:rFonts w:ascii="Times New Roman" w:eastAsia="Times New Roman" w:hAnsi="Times New Roman"/>
          <w:snapToGrid w:val="0"/>
        </w:rPr>
        <w:t xml:space="preserve"> </w:t>
      </w:r>
      <w:r w:rsidRPr="00600634">
        <w:rPr>
          <w:rFonts w:ascii="Times New Roman" w:eastAsia="Times New Roman" w:hAnsi="Times New Roman"/>
          <w:snapToGrid w:val="0"/>
        </w:rPr>
        <w:t>tokiu santykiu, kad papildžius nebūtų viršijamos toliau nurodytos viršutinės šių priedų koncentracijos ribos arba didžiausias jų kiekis. Įmaišius prie</w:t>
      </w:r>
      <w:r>
        <w:rPr>
          <w:rFonts w:ascii="Times New Roman" w:eastAsia="Times New Roman" w:hAnsi="Times New Roman"/>
          <w:snapToGrid w:val="0"/>
        </w:rPr>
        <w:t>dų, mišiniai išlieka stabilūs 7 </w:t>
      </w:r>
      <w:r w:rsidRPr="00600634">
        <w:rPr>
          <w:rFonts w:ascii="Times New Roman" w:eastAsia="Times New Roman" w:hAnsi="Times New Roman"/>
          <w:snapToGrid w:val="0"/>
        </w:rPr>
        <w:t>paras, ka</w:t>
      </w:r>
      <w:r>
        <w:rPr>
          <w:rFonts w:ascii="Times New Roman" w:eastAsia="Times New Roman" w:hAnsi="Times New Roman"/>
          <w:snapToGrid w:val="0"/>
        </w:rPr>
        <w:t>i laikomi temperatūroje nuo +2 °C iki +8 °C, ir dar 2 paras, kai laikomi 25 </w:t>
      </w:r>
      <w:r w:rsidRPr="00600634">
        <w:rPr>
          <w:rFonts w:ascii="Times New Roman" w:eastAsia="Times New Roman" w:hAnsi="Times New Roman"/>
          <w:snapToGrid w:val="0"/>
        </w:rPr>
        <w:t>°C temperatūroje.</w:t>
      </w:r>
    </w:p>
    <w:p w:rsidR="00626C7A" w:rsidRPr="00600634" w:rsidRDefault="00626C7A" w:rsidP="00626C7A">
      <w:pPr>
        <w:tabs>
          <w:tab w:val="left" w:pos="567"/>
        </w:tabs>
        <w:spacing w:after="0" w:line="260" w:lineRule="exact"/>
        <w:rPr>
          <w:rFonts w:ascii="Times New Roman" w:eastAsia="Times New Roman" w:hAnsi="Times New Roman"/>
          <w:snapToGrid w:val="0"/>
        </w:rPr>
      </w:pPr>
    </w:p>
    <w:p w:rsidR="00626C7A" w:rsidRPr="00600634" w:rsidRDefault="00626C7A" w:rsidP="00626C7A">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xml:space="preserve">- Elektrolitai: reikia atsižvelgti į maišelyje jau esantį elektrolitų kiekį; stabilumas įrodytas, kai trikomponenčiame mišinyje </w:t>
      </w:r>
      <w:r>
        <w:rPr>
          <w:rFonts w:ascii="Times New Roman" w:eastAsia="Times New Roman" w:hAnsi="Times New Roman"/>
          <w:snapToGrid w:val="0"/>
        </w:rPr>
        <w:t>iš viso yra ne daugiau kaip 200 </w:t>
      </w:r>
      <w:r w:rsidRPr="00600634">
        <w:rPr>
          <w:rFonts w:ascii="Times New Roman" w:eastAsia="Times New Roman" w:hAnsi="Times New Roman"/>
          <w:snapToGrid w:val="0"/>
        </w:rPr>
        <w:t>mm</w:t>
      </w:r>
      <w:r>
        <w:rPr>
          <w:rFonts w:ascii="Times New Roman" w:eastAsia="Times New Roman" w:hAnsi="Times New Roman"/>
          <w:snapToGrid w:val="0"/>
        </w:rPr>
        <w:t>ol/l natrio + kalio (suma), 9,6 mmol/l magnio ir 6,4 </w:t>
      </w:r>
      <w:r w:rsidRPr="00600634">
        <w:rPr>
          <w:rFonts w:ascii="Times New Roman" w:eastAsia="Times New Roman" w:hAnsi="Times New Roman"/>
          <w:snapToGrid w:val="0"/>
        </w:rPr>
        <w:t>mmol/l kalcio.</w:t>
      </w:r>
    </w:p>
    <w:p w:rsidR="00626C7A" w:rsidRPr="00600634" w:rsidRDefault="00626C7A" w:rsidP="00626C7A">
      <w:pPr>
        <w:tabs>
          <w:tab w:val="left" w:pos="567"/>
        </w:tabs>
        <w:spacing w:after="0" w:line="260" w:lineRule="exact"/>
        <w:rPr>
          <w:rFonts w:ascii="Times New Roman" w:eastAsia="Times New Roman" w:hAnsi="Times New Roman"/>
          <w:snapToGrid w:val="0"/>
        </w:rPr>
      </w:pPr>
    </w:p>
    <w:p w:rsidR="00626C7A" w:rsidRPr="00600634" w:rsidRDefault="00626C7A" w:rsidP="00626C7A">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Fosfatai: stabilumas įrodytas, kai didžiausia neorganinio f</w:t>
      </w:r>
      <w:r>
        <w:rPr>
          <w:rFonts w:ascii="Times New Roman" w:eastAsia="Times New Roman" w:hAnsi="Times New Roman"/>
          <w:snapToGrid w:val="0"/>
        </w:rPr>
        <w:t>osfato koncentracija yra iki 20 </w:t>
      </w:r>
      <w:r w:rsidRPr="00600634">
        <w:rPr>
          <w:rFonts w:ascii="Times New Roman" w:eastAsia="Times New Roman" w:hAnsi="Times New Roman"/>
          <w:snapToGrid w:val="0"/>
        </w:rPr>
        <w:t>mmol/l.</w:t>
      </w:r>
    </w:p>
    <w:p w:rsidR="00626C7A" w:rsidRPr="00600634" w:rsidRDefault="00626C7A" w:rsidP="00626C7A">
      <w:pPr>
        <w:tabs>
          <w:tab w:val="left" w:pos="567"/>
        </w:tabs>
        <w:spacing w:after="0" w:line="260" w:lineRule="exact"/>
        <w:rPr>
          <w:rFonts w:ascii="Times New Roman" w:eastAsia="Times New Roman" w:hAnsi="Times New Roman"/>
          <w:snapToGrid w:val="0"/>
        </w:rPr>
      </w:pPr>
    </w:p>
    <w:p w:rsidR="00626C7A" w:rsidRPr="00600634" w:rsidRDefault="00626C7A" w:rsidP="00626C7A">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 Alanilglutaminas – iki 24 </w:t>
      </w:r>
      <w:r w:rsidRPr="00600634">
        <w:rPr>
          <w:rFonts w:ascii="Times New Roman" w:eastAsia="Times New Roman" w:hAnsi="Times New Roman"/>
          <w:snapToGrid w:val="0"/>
        </w:rPr>
        <w:t>g/l.</w:t>
      </w:r>
    </w:p>
    <w:p w:rsidR="00626C7A" w:rsidRPr="00600634" w:rsidRDefault="00626C7A" w:rsidP="00626C7A">
      <w:pPr>
        <w:tabs>
          <w:tab w:val="left" w:pos="567"/>
        </w:tabs>
        <w:spacing w:after="0" w:line="260" w:lineRule="exact"/>
        <w:rPr>
          <w:rFonts w:ascii="Times New Roman" w:eastAsia="Times New Roman" w:hAnsi="Times New Roman"/>
          <w:snapToGrid w:val="0"/>
        </w:rPr>
      </w:pPr>
    </w:p>
    <w:p w:rsidR="00626C7A" w:rsidRPr="00600634" w:rsidRDefault="00626C7A" w:rsidP="00626C7A">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Mikroelementai ir vitaminai: stabilumas įrodytas, kai rinkoje esančių mikroelementų ir multivitaminų (pvz., Tracutil, Cernevit) įmaišoma iki įprastos dozės, kurią rekomenduoja atitinkamo maistingųjų mikroelementų preparato gamintojas.</w:t>
      </w:r>
    </w:p>
    <w:p w:rsidR="00626C7A" w:rsidRPr="00600634"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Paprašius gamintojas gali pateikti išsamią informaciją apie šiuos minėtus priedus ir atitinkamą tokių mišinių tinkamumo laiką.</w:t>
      </w:r>
    </w:p>
    <w:p w:rsidR="00626C7A" w:rsidRDefault="00626C7A" w:rsidP="00626C7A">
      <w:pPr>
        <w:spacing w:after="0" w:line="240" w:lineRule="auto"/>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i/>
          <w:iCs/>
          <w:snapToGrid w:val="0"/>
          <w:u w:val="single"/>
        </w:rPr>
      </w:pPr>
      <w:r w:rsidRPr="002E4703">
        <w:rPr>
          <w:rFonts w:ascii="Times New Roman" w:eastAsia="Times New Roman" w:hAnsi="Times New Roman"/>
          <w:i/>
          <w:iCs/>
          <w:snapToGrid w:val="0"/>
          <w:u w:val="single"/>
        </w:rPr>
        <w:t>Pasiruošimas infuzijai</w:t>
      </w:r>
    </w:p>
    <w:p w:rsidR="00626C7A" w:rsidRPr="002E4703" w:rsidRDefault="00626C7A" w:rsidP="00626C7A">
      <w:pPr>
        <w:tabs>
          <w:tab w:val="left" w:pos="567"/>
        </w:tabs>
        <w:spacing w:after="0" w:line="260" w:lineRule="exact"/>
        <w:rPr>
          <w:rFonts w:ascii="Times New Roman" w:eastAsia="Times New Roman" w:hAnsi="Times New Roman"/>
          <w:iCs/>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Prieš infuziją emulsijai visada reikia leisti sušilti iki kambario temperatūros.</w:t>
      </w: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p>
    <w:p w:rsidR="00626C7A"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Nuo infuzijos sistemos prievado nuimkite aliuminio foliją (7 pav.) ir prijunkite infuzijos sistemą (8 pav.). Naudokite neventiliuojamą infuzijos sistemą, o jeigu naudojate ventiliuojamą infuzijos sistemą, uždarykite oro angą. Pakabinkite maišelį ant infuzijos stovo (9 pav.) ir, laikydamiesi standartinės technikos, atlikite infuziją.</w:t>
      </w:r>
    </w:p>
    <w:p w:rsidR="00626C7A" w:rsidRPr="000A14E8" w:rsidRDefault="00626C7A" w:rsidP="00626C7A">
      <w:pPr>
        <w:suppressAutoHyphens/>
        <w:autoSpaceDN w:val="0"/>
        <w:spacing w:line="251" w:lineRule="auto"/>
        <w:textAlignment w:val="baseline"/>
      </w:pPr>
      <w:r w:rsidRPr="000A14E8">
        <w:t xml:space="preserve">  </w:t>
      </w:r>
    </w:p>
    <w:p w:rsidR="00626C7A" w:rsidRPr="00BA5897" w:rsidRDefault="00626C7A" w:rsidP="00626C7A">
      <w:pPr>
        <w:suppressAutoHyphens/>
        <w:autoSpaceDN w:val="0"/>
        <w:spacing w:line="252" w:lineRule="auto"/>
        <w:rPr>
          <w:rFonts w:ascii="Times New Roman" w:eastAsia="Times New Roman" w:hAnsi="Times New Roman"/>
        </w:rPr>
      </w:pPr>
      <w:r w:rsidRPr="000A14E8">
        <w:rPr>
          <w:rFonts w:ascii="Times New Roman" w:eastAsia="Times New Roman" w:hAnsi="Times New Roman"/>
          <w:noProof/>
          <w:lang w:eastAsia="lt-LT"/>
        </w:rPr>
        <w:drawing>
          <wp:inline distT="0" distB="0" distL="0" distR="0" wp14:anchorId="3EEBD1A7" wp14:editId="77D6CEED">
            <wp:extent cx="1933099" cy="160637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 15"/>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1941265" cy="1613164"/>
                    </a:xfrm>
                    <a:prstGeom prst="rect">
                      <a:avLst/>
                    </a:prstGeom>
                    <a:noFill/>
                    <a:ln>
                      <a:noFill/>
                    </a:ln>
                  </pic:spPr>
                </pic:pic>
              </a:graphicData>
            </a:graphic>
          </wp:inline>
        </w:drawing>
      </w:r>
      <w:r w:rsidRPr="000A14E8">
        <w:rPr>
          <w:rFonts w:ascii="Times New Roman" w:eastAsia="Times New Roman" w:hAnsi="Times New Roman"/>
          <w:noProof/>
          <w:lang w:eastAsia="lt-LT"/>
        </w:rPr>
        <w:drawing>
          <wp:inline distT="0" distB="0" distL="0" distR="0" wp14:anchorId="06CD6372" wp14:editId="106CBDF2">
            <wp:extent cx="1881744" cy="1565189"/>
            <wp:effectExtent l="0" t="0" r="444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d 16"/>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897978" cy="1578692"/>
                    </a:xfrm>
                    <a:prstGeom prst="rect">
                      <a:avLst/>
                    </a:prstGeom>
                    <a:noFill/>
                    <a:ln>
                      <a:noFill/>
                    </a:ln>
                  </pic:spPr>
                </pic:pic>
              </a:graphicData>
            </a:graphic>
          </wp:inline>
        </w:drawing>
      </w:r>
      <w:r w:rsidRPr="000A14E8">
        <w:rPr>
          <w:rFonts w:ascii="Times New Roman" w:eastAsia="Times New Roman" w:hAnsi="Times New Roman"/>
          <w:noProof/>
          <w:lang w:eastAsia="lt-LT"/>
        </w:rPr>
        <w:drawing>
          <wp:inline distT="0" distB="0" distL="0" distR="0" wp14:anchorId="36BFA2DD" wp14:editId="70D7C9BB">
            <wp:extent cx="1889870" cy="1573427"/>
            <wp:effectExtent l="0" t="0" r="0" b="8255"/>
            <wp:docPr id="2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ld 17"/>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895569" cy="1578172"/>
                    </a:xfrm>
                    <a:prstGeom prst="rect">
                      <a:avLst/>
                    </a:prstGeom>
                    <a:noFill/>
                    <a:ln>
                      <a:noFill/>
                    </a:ln>
                  </pic:spPr>
                </pic:pic>
              </a:graphicData>
            </a:graphic>
          </wp:inline>
        </w:drawing>
      </w:r>
    </w:p>
    <w:p w:rsidR="00626C7A" w:rsidRPr="002E4703" w:rsidRDefault="00626C7A" w:rsidP="00626C7A">
      <w:pPr>
        <w:spacing w:after="0" w:line="240" w:lineRule="auto"/>
        <w:rPr>
          <w:rFonts w:ascii="Times New Roman" w:eastAsia="Times New Roman" w:hAnsi="Times New Roman"/>
          <w:i/>
          <w:snapToGrid w:val="0"/>
        </w:rPr>
      </w:pPr>
    </w:p>
    <w:p w:rsidR="00626C7A"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Tik vienkartiniam vartojimui. Po naudojimo talpyklę ir nesuvartotą turinį reikia išmesti.</w:t>
      </w: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p>
    <w:p w:rsidR="00626C7A" w:rsidRDefault="00626C7A" w:rsidP="00626C7A">
      <w:pPr>
        <w:tabs>
          <w:tab w:val="left" w:pos="567"/>
        </w:tabs>
        <w:spacing w:after="0" w:line="260" w:lineRule="exact"/>
        <w:rPr>
          <w:rFonts w:ascii="Times New Roman" w:eastAsia="Times New Roman" w:hAnsi="Times New Roman"/>
          <w:szCs w:val="20"/>
        </w:rPr>
      </w:pPr>
      <w:r w:rsidRPr="00D825B5">
        <w:rPr>
          <w:rFonts w:ascii="Times New Roman" w:eastAsia="Times New Roman" w:hAnsi="Times New Roman"/>
          <w:szCs w:val="20"/>
        </w:rPr>
        <w:t xml:space="preserve">Nesuvartotą vaistinį preparatą ar atliekas reikia tvarkyti laikantis </w:t>
      </w:r>
      <w:r>
        <w:rPr>
          <w:rFonts w:ascii="Times New Roman" w:eastAsia="Times New Roman" w:hAnsi="Times New Roman"/>
          <w:szCs w:val="20"/>
        </w:rPr>
        <w:t>vietinių</w:t>
      </w:r>
      <w:r w:rsidRPr="00D825B5">
        <w:rPr>
          <w:rFonts w:ascii="Times New Roman" w:eastAsia="Times New Roman" w:hAnsi="Times New Roman"/>
          <w:szCs w:val="20"/>
        </w:rPr>
        <w:t xml:space="preserve"> reikalavimų</w:t>
      </w: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Negalima pakartotinai jungti dalinai naudotų talpyklių.</w:t>
      </w: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Jei naudojami filtrai, jie turi būti pralaidūs riebalams (porų dydis ≥ 1,2 µm).</w:t>
      </w:r>
    </w:p>
    <w:p w:rsidR="00626C7A" w:rsidRPr="002E4703" w:rsidRDefault="00626C7A" w:rsidP="00626C7A">
      <w:pPr>
        <w:tabs>
          <w:tab w:val="left" w:pos="567"/>
        </w:tabs>
        <w:spacing w:after="0" w:line="260" w:lineRule="exact"/>
        <w:rPr>
          <w:rFonts w:ascii="Times New Roman" w:eastAsia="Times New Roman" w:hAnsi="Times New Roman"/>
          <w:iCs/>
          <w:snapToGrid w:val="0"/>
        </w:rPr>
      </w:pPr>
    </w:p>
    <w:p w:rsidR="00626C7A" w:rsidRPr="002E4703" w:rsidRDefault="00626C7A" w:rsidP="00626C7A">
      <w:pPr>
        <w:keepNext/>
        <w:tabs>
          <w:tab w:val="left" w:pos="567"/>
        </w:tabs>
        <w:spacing w:after="0" w:line="260" w:lineRule="exact"/>
        <w:rPr>
          <w:rFonts w:ascii="Times New Roman" w:eastAsia="Times New Roman" w:hAnsi="Times New Roman"/>
          <w:i/>
          <w:iCs/>
          <w:snapToGrid w:val="0"/>
          <w:u w:val="single"/>
        </w:rPr>
      </w:pPr>
      <w:r w:rsidRPr="002E4703">
        <w:rPr>
          <w:rFonts w:ascii="Times New Roman" w:eastAsia="Times New Roman" w:hAnsi="Times New Roman"/>
          <w:i/>
          <w:iCs/>
          <w:snapToGrid w:val="0"/>
          <w:u w:val="single"/>
        </w:rPr>
        <w:t>Tinkamumo laikas nuėmus apsauginį apvalkalą ir sumaišius maišelio turinį</w:t>
      </w:r>
    </w:p>
    <w:p w:rsidR="00626C7A" w:rsidRPr="002E4703" w:rsidRDefault="00626C7A" w:rsidP="00626C7A">
      <w:pPr>
        <w:keepNext/>
        <w:tabs>
          <w:tab w:val="left" w:pos="567"/>
        </w:tabs>
        <w:spacing w:after="0" w:line="260" w:lineRule="exact"/>
        <w:rPr>
          <w:rFonts w:ascii="Times New Roman" w:eastAsia="Times New Roman" w:hAnsi="Times New Roman"/>
          <w:snapToGrid w:val="0"/>
        </w:rPr>
      </w:pPr>
    </w:p>
    <w:p w:rsidR="00626C7A" w:rsidRDefault="00626C7A" w:rsidP="00626C7A">
      <w:pPr>
        <w:tabs>
          <w:tab w:val="left" w:pos="567"/>
        </w:tabs>
        <w:spacing w:after="0" w:line="260" w:lineRule="exact"/>
        <w:rPr>
          <w:rFonts w:ascii="Times New Roman" w:eastAsia="Times New Roman" w:hAnsi="Times New Roman"/>
          <w:snapToGrid w:val="0"/>
        </w:rPr>
      </w:pPr>
      <w:r w:rsidRPr="005D6765">
        <w:rPr>
          <w:rFonts w:ascii="Times New Roman" w:eastAsia="Times New Roman" w:hAnsi="Times New Roman"/>
          <w:snapToGrid w:val="0"/>
        </w:rPr>
        <w:t>Nustatyta, kad paruošto vartoti aminorūgščių, gliukozės ir riebalų mišinio cheminis ir fizikocheminis stabilumas išlieka 7 paras, laikant 2 – 8</w:t>
      </w:r>
      <w:r>
        <w:rPr>
          <w:rFonts w:ascii="Times New Roman" w:eastAsia="Times New Roman" w:hAnsi="Times New Roman"/>
          <w:snapToGrid w:val="0"/>
        </w:rPr>
        <w:t> </w:t>
      </w:r>
      <w:r w:rsidRPr="005D6765">
        <w:rPr>
          <w:rFonts w:ascii="Times New Roman" w:eastAsia="Times New Roman" w:hAnsi="Times New Roman"/>
          <w:snapToGrid w:val="0"/>
        </w:rPr>
        <w:t>°C temperatūroje, ir dar 2 paras, laikant 25</w:t>
      </w:r>
      <w:r>
        <w:rPr>
          <w:rFonts w:ascii="Times New Roman" w:eastAsia="Times New Roman" w:hAnsi="Times New Roman"/>
          <w:snapToGrid w:val="0"/>
        </w:rPr>
        <w:t> </w:t>
      </w:r>
      <w:r w:rsidRPr="005D6765">
        <w:rPr>
          <w:rFonts w:ascii="Times New Roman" w:eastAsia="Times New Roman" w:hAnsi="Times New Roman"/>
          <w:snapToGrid w:val="0"/>
        </w:rPr>
        <w:t>°C temperatūroje.</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i/>
          <w:iCs/>
          <w:snapToGrid w:val="0"/>
          <w:u w:val="single"/>
        </w:rPr>
      </w:pPr>
      <w:r w:rsidRPr="002E4703">
        <w:rPr>
          <w:rFonts w:ascii="Times New Roman" w:eastAsia="Times New Roman" w:hAnsi="Times New Roman"/>
          <w:i/>
          <w:iCs/>
          <w:snapToGrid w:val="0"/>
          <w:u w:val="single"/>
        </w:rPr>
        <w:t>Tinkamumo laikas įmaišius suderinamų priedų</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Vertinant mikrobiologiniu požiūriu, įmaišius suderinamų priedų vaistinį preparatą reikia vartoti nedelsiant. Jeigu įmaišius suderinamų priedų vaistinis preparatas nevartojamas nedelsiant, už jo laikymo laiką ir sąlygas atsako preparatą skiriantis asmuo.</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Tinkamumo laikas pirmą kartą atidarius (pradūrus infuzinės sistemos prijungimo vietą)</w:t>
      </w: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Atidarius talpyklę emulsiją reikia vartoti nedelsiant.</w:t>
      </w: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rPr>
        <w:t>Nutriflex Omega peri negalima maišyti su kitais vaistiniais preparatais, kurių suderinamumas nėra oficialiai patvirtintas.</w:t>
      </w:r>
      <w:r w:rsidRPr="002E4703">
        <w:rPr>
          <w:rFonts w:ascii="Times New Roman" w:eastAsia="Times New Roman" w:hAnsi="Times New Roman"/>
          <w:snapToGrid w:val="0"/>
          <w:color w:val="0000FF"/>
        </w:rPr>
        <w:t xml:space="preserve"> </w:t>
      </w:r>
    </w:p>
    <w:p w:rsidR="00626C7A" w:rsidRPr="002E4703" w:rsidRDefault="00626C7A" w:rsidP="00626C7A">
      <w:pPr>
        <w:tabs>
          <w:tab w:val="left" w:pos="567"/>
        </w:tabs>
        <w:spacing w:after="0" w:line="260" w:lineRule="exact"/>
        <w:rPr>
          <w:rFonts w:ascii="Times New Roman" w:eastAsia="Times New Roman" w:hAnsi="Times New Roman"/>
          <w:snapToGrid w:val="0"/>
        </w:rPr>
      </w:pPr>
    </w:p>
    <w:p w:rsidR="00626C7A" w:rsidRPr="002E4703" w:rsidRDefault="00626C7A" w:rsidP="00626C7A">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Dėl pseudoagliutinacijos rizikos Nutriflex Omega peri negalima skirti kartu su krauju per tą pačią infuzijos sistemą.</w:t>
      </w:r>
    </w:p>
    <w:p w:rsidR="00626C7A" w:rsidRDefault="00626C7A" w:rsidP="00626C7A"/>
    <w:p w:rsidR="00BA6577" w:rsidRDefault="00BA6577">
      <w:bookmarkStart w:id="1" w:name="_GoBack"/>
      <w:bookmarkEnd w:id="1"/>
    </w:p>
    <w:sectPr w:rsidR="00BA6577" w:rsidSect="000F656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C81B08"/>
    <w:multiLevelType w:val="hybridMultilevel"/>
    <w:tmpl w:val="5ED6BC8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BE6C58"/>
    <w:multiLevelType w:val="hybridMultilevel"/>
    <w:tmpl w:val="5DCCD280"/>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E61669"/>
    <w:multiLevelType w:val="hybridMultilevel"/>
    <w:tmpl w:val="B9C6786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B61262BA">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22759C"/>
    <w:multiLevelType w:val="hybridMultilevel"/>
    <w:tmpl w:val="6250EE8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CF76628C">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312BCE"/>
    <w:multiLevelType w:val="hybridMultilevel"/>
    <w:tmpl w:val="5F024E96"/>
    <w:lvl w:ilvl="0" w:tplc="1F66D436">
      <w:start w:val="1"/>
      <w:numFmt w:val="bullet"/>
      <w:pStyle w:val="BT-EMEASMCA"/>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1D4AEB"/>
    <w:multiLevelType w:val="hybridMultilevel"/>
    <w:tmpl w:val="DDEE70FA"/>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823AB1"/>
    <w:multiLevelType w:val="hybridMultilevel"/>
    <w:tmpl w:val="A33251A0"/>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74494E"/>
    <w:multiLevelType w:val="hybridMultilevel"/>
    <w:tmpl w:val="1A186BD6"/>
    <w:lvl w:ilvl="0" w:tplc="CF76628C">
      <w:start w:val="1"/>
      <w:numFmt w:val="bullet"/>
      <w:lvlText w:val=""/>
      <w:lvlJc w:val="left"/>
      <w:pPr>
        <w:ind w:left="720" w:hanging="360"/>
      </w:pPr>
      <w:rPr>
        <w:rFonts w:ascii="Symbol" w:hAnsi="Symbol" w:hint="default"/>
      </w:rPr>
    </w:lvl>
    <w:lvl w:ilvl="1" w:tplc="71C8698C">
      <w:start w:val="2"/>
      <w:numFmt w:val="bullet"/>
      <w:lvlText w:val="-"/>
      <w:lvlJc w:val="left"/>
      <w:pPr>
        <w:ind w:left="1650" w:hanging="57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36012A"/>
    <w:multiLevelType w:val="hybridMultilevel"/>
    <w:tmpl w:val="7FF8ABEE"/>
    <w:lvl w:ilvl="0" w:tplc="CF76628C">
      <w:start w:val="1"/>
      <w:numFmt w:val="bullet"/>
      <w:lvlText w:val=""/>
      <w:lvlJc w:val="left"/>
      <w:pPr>
        <w:ind w:left="1283" w:hanging="360"/>
      </w:pPr>
      <w:rPr>
        <w:rFonts w:ascii="Symbol" w:hAnsi="Symbol" w:hint="default"/>
      </w:rPr>
    </w:lvl>
    <w:lvl w:ilvl="1" w:tplc="08090003" w:tentative="1">
      <w:start w:val="1"/>
      <w:numFmt w:val="bullet"/>
      <w:lvlText w:val="o"/>
      <w:lvlJc w:val="left"/>
      <w:pPr>
        <w:ind w:left="2003" w:hanging="360"/>
      </w:pPr>
      <w:rPr>
        <w:rFonts w:ascii="Courier New" w:hAnsi="Courier New" w:cs="Courier New" w:hint="default"/>
      </w:rPr>
    </w:lvl>
    <w:lvl w:ilvl="2" w:tplc="08090005" w:tentative="1">
      <w:start w:val="1"/>
      <w:numFmt w:val="bullet"/>
      <w:lvlText w:val=""/>
      <w:lvlJc w:val="left"/>
      <w:pPr>
        <w:ind w:left="2723" w:hanging="360"/>
      </w:pPr>
      <w:rPr>
        <w:rFonts w:ascii="Wingdings" w:hAnsi="Wingdings" w:hint="default"/>
      </w:rPr>
    </w:lvl>
    <w:lvl w:ilvl="3" w:tplc="08090001" w:tentative="1">
      <w:start w:val="1"/>
      <w:numFmt w:val="bullet"/>
      <w:lvlText w:val=""/>
      <w:lvlJc w:val="left"/>
      <w:pPr>
        <w:ind w:left="3443" w:hanging="360"/>
      </w:pPr>
      <w:rPr>
        <w:rFonts w:ascii="Symbol" w:hAnsi="Symbol" w:hint="default"/>
      </w:rPr>
    </w:lvl>
    <w:lvl w:ilvl="4" w:tplc="08090003" w:tentative="1">
      <w:start w:val="1"/>
      <w:numFmt w:val="bullet"/>
      <w:lvlText w:val="o"/>
      <w:lvlJc w:val="left"/>
      <w:pPr>
        <w:ind w:left="4163" w:hanging="360"/>
      </w:pPr>
      <w:rPr>
        <w:rFonts w:ascii="Courier New" w:hAnsi="Courier New" w:cs="Courier New" w:hint="default"/>
      </w:rPr>
    </w:lvl>
    <w:lvl w:ilvl="5" w:tplc="08090005" w:tentative="1">
      <w:start w:val="1"/>
      <w:numFmt w:val="bullet"/>
      <w:lvlText w:val=""/>
      <w:lvlJc w:val="left"/>
      <w:pPr>
        <w:ind w:left="4883" w:hanging="360"/>
      </w:pPr>
      <w:rPr>
        <w:rFonts w:ascii="Wingdings" w:hAnsi="Wingdings" w:hint="default"/>
      </w:rPr>
    </w:lvl>
    <w:lvl w:ilvl="6" w:tplc="08090001" w:tentative="1">
      <w:start w:val="1"/>
      <w:numFmt w:val="bullet"/>
      <w:lvlText w:val=""/>
      <w:lvlJc w:val="left"/>
      <w:pPr>
        <w:ind w:left="5603" w:hanging="360"/>
      </w:pPr>
      <w:rPr>
        <w:rFonts w:ascii="Symbol" w:hAnsi="Symbol" w:hint="default"/>
      </w:rPr>
    </w:lvl>
    <w:lvl w:ilvl="7" w:tplc="08090003" w:tentative="1">
      <w:start w:val="1"/>
      <w:numFmt w:val="bullet"/>
      <w:lvlText w:val="o"/>
      <w:lvlJc w:val="left"/>
      <w:pPr>
        <w:ind w:left="6323" w:hanging="360"/>
      </w:pPr>
      <w:rPr>
        <w:rFonts w:ascii="Courier New" w:hAnsi="Courier New" w:cs="Courier New" w:hint="default"/>
      </w:rPr>
    </w:lvl>
    <w:lvl w:ilvl="8" w:tplc="08090005" w:tentative="1">
      <w:start w:val="1"/>
      <w:numFmt w:val="bullet"/>
      <w:lvlText w:val=""/>
      <w:lvlJc w:val="left"/>
      <w:pPr>
        <w:ind w:left="7043" w:hanging="360"/>
      </w:pPr>
      <w:rPr>
        <w:rFonts w:ascii="Wingdings" w:hAnsi="Wingdings" w:hint="default"/>
      </w:rPr>
    </w:lvl>
  </w:abstractNum>
  <w:abstractNum w:abstractNumId="11" w15:restartNumberingAfterBreak="0">
    <w:nsid w:val="39B87774"/>
    <w:multiLevelType w:val="hybridMultilevel"/>
    <w:tmpl w:val="E9A4D5FC"/>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504339"/>
    <w:multiLevelType w:val="hybridMultilevel"/>
    <w:tmpl w:val="69D47772"/>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6571F8"/>
    <w:multiLevelType w:val="hybridMultilevel"/>
    <w:tmpl w:val="2FE277E0"/>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A70140"/>
    <w:multiLevelType w:val="hybridMultilevel"/>
    <w:tmpl w:val="54C8F922"/>
    <w:lvl w:ilvl="0" w:tplc="B61262BA">
      <w:start w:val="1"/>
      <w:numFmt w:val="bullet"/>
      <w:lvlText w:val=""/>
      <w:lvlJc w:val="left"/>
      <w:pPr>
        <w:ind w:left="720" w:hanging="360"/>
      </w:pPr>
      <w:rPr>
        <w:rFonts w:ascii="Symbol" w:hAnsi="Symbol" w:hint="default"/>
      </w:rPr>
    </w:lvl>
    <w:lvl w:ilvl="1" w:tplc="B61262BA">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A47AE8"/>
    <w:multiLevelType w:val="hybridMultilevel"/>
    <w:tmpl w:val="EA1856E6"/>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8E7360"/>
    <w:multiLevelType w:val="hybridMultilevel"/>
    <w:tmpl w:val="0E4A7DC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C5A615B"/>
    <w:multiLevelType w:val="hybridMultilevel"/>
    <w:tmpl w:val="324E69CC"/>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AA2082"/>
    <w:multiLevelType w:val="hybridMultilevel"/>
    <w:tmpl w:val="AC84CCA8"/>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BD4D57"/>
    <w:multiLevelType w:val="hybridMultilevel"/>
    <w:tmpl w:val="B302ECDE"/>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D7124C"/>
    <w:multiLevelType w:val="hybridMultilevel"/>
    <w:tmpl w:val="32CE8EC2"/>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C10421"/>
    <w:multiLevelType w:val="hybridMultilevel"/>
    <w:tmpl w:val="395CCEE4"/>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D0118E"/>
    <w:multiLevelType w:val="hybridMultilevel"/>
    <w:tmpl w:val="AEAC6C32"/>
    <w:lvl w:ilvl="0" w:tplc="F870AD8E">
      <w:start w:val="2"/>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880C13"/>
    <w:multiLevelType w:val="hybridMultilevel"/>
    <w:tmpl w:val="F07C7BA2"/>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A031D2"/>
    <w:multiLevelType w:val="hybridMultilevel"/>
    <w:tmpl w:val="F18E7166"/>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CF76628C">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F30221"/>
    <w:multiLevelType w:val="hybridMultilevel"/>
    <w:tmpl w:val="A76A073E"/>
    <w:lvl w:ilvl="0" w:tplc="B61262BA">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C12082F"/>
    <w:multiLevelType w:val="hybridMultilevel"/>
    <w:tmpl w:val="456CC42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CD850FE"/>
    <w:multiLevelType w:val="hybridMultilevel"/>
    <w:tmpl w:val="D84A2F9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2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23"/>
  </w:num>
  <w:num w:numId="7">
    <w:abstractNumId w:val="11"/>
  </w:num>
  <w:num w:numId="8">
    <w:abstractNumId w:val="18"/>
  </w:num>
  <w:num w:numId="9">
    <w:abstractNumId w:val="12"/>
  </w:num>
  <w:num w:numId="10">
    <w:abstractNumId w:val="27"/>
  </w:num>
  <w:num w:numId="11">
    <w:abstractNumId w:val="22"/>
  </w:num>
  <w:num w:numId="12">
    <w:abstractNumId w:val="6"/>
  </w:num>
  <w:num w:numId="13">
    <w:abstractNumId w:val="8"/>
  </w:num>
  <w:num w:numId="14">
    <w:abstractNumId w:val="16"/>
  </w:num>
  <w:num w:numId="15">
    <w:abstractNumId w:val="1"/>
  </w:num>
  <w:num w:numId="16">
    <w:abstractNumId w:val="13"/>
  </w:num>
  <w:num w:numId="17">
    <w:abstractNumId w:val="7"/>
  </w:num>
  <w:num w:numId="18">
    <w:abstractNumId w:val="28"/>
  </w:num>
  <w:num w:numId="19">
    <w:abstractNumId w:val="19"/>
  </w:num>
  <w:num w:numId="20">
    <w:abstractNumId w:val="20"/>
  </w:num>
  <w:num w:numId="21">
    <w:abstractNumId w:val="24"/>
  </w:num>
  <w:num w:numId="22">
    <w:abstractNumId w:val="21"/>
  </w:num>
  <w:num w:numId="23">
    <w:abstractNumId w:val="5"/>
  </w:num>
  <w:num w:numId="24">
    <w:abstractNumId w:val="10"/>
  </w:num>
  <w:num w:numId="25">
    <w:abstractNumId w:val="9"/>
  </w:num>
  <w:num w:numId="26">
    <w:abstractNumId w:val="15"/>
  </w:num>
  <w:num w:numId="27">
    <w:abstractNumId w:val="17"/>
  </w:num>
  <w:num w:numId="28">
    <w:abstractNumId w:val="25"/>
  </w:num>
  <w:num w:numId="29">
    <w:abstractNumId w:val="14"/>
  </w:num>
  <w:num w:numId="30">
    <w:abstractNumId w:val="3"/>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C7A"/>
    <w:rsid w:val="00072F85"/>
    <w:rsid w:val="00181364"/>
    <w:rsid w:val="00305C48"/>
    <w:rsid w:val="003362C6"/>
    <w:rsid w:val="00626C7A"/>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654DF7-9732-4554-BB62-7A429F40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26C7A"/>
    <w:rPr>
      <w:rFonts w:ascii="Calibri" w:eastAsia="Calibri" w:hAnsi="Calibri" w:cs="Times New Roman"/>
    </w:rPr>
  </w:style>
  <w:style w:type="paragraph" w:styleId="Antrat1">
    <w:name w:val="heading 1"/>
    <w:basedOn w:val="prastasis"/>
    <w:next w:val="prastasis"/>
    <w:link w:val="Antrat1Diagrama"/>
    <w:uiPriority w:val="99"/>
    <w:qFormat/>
    <w:rsid w:val="00626C7A"/>
    <w:pPr>
      <w:keepNext/>
      <w:spacing w:after="0" w:line="240" w:lineRule="auto"/>
      <w:outlineLvl w:val="0"/>
    </w:pPr>
    <w:rPr>
      <w:rFonts w:ascii="Arial" w:eastAsia="Times New Roman" w:hAnsi="Arial"/>
      <w:b/>
      <w:sz w:val="28"/>
      <w:szCs w:val="20"/>
      <w:lang w:val="en-US"/>
    </w:rPr>
  </w:style>
  <w:style w:type="paragraph" w:styleId="Antrat2">
    <w:name w:val="heading 2"/>
    <w:basedOn w:val="prastasis"/>
    <w:next w:val="prastasis"/>
    <w:link w:val="Antrat2Diagrama"/>
    <w:uiPriority w:val="99"/>
    <w:qFormat/>
    <w:rsid w:val="00626C7A"/>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626C7A"/>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626C7A"/>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626C7A"/>
    <w:pPr>
      <w:keepNext/>
      <w:tabs>
        <w:tab w:val="left" w:pos="567"/>
      </w:tabs>
      <w:spacing w:after="0" w:line="260" w:lineRule="exact"/>
      <w:jc w:val="both"/>
      <w:outlineLvl w:val="4"/>
    </w:pPr>
    <w:rPr>
      <w:rFonts w:ascii="Times New Roman" w:eastAsia="SimSun" w:hAnsi="Times New Roman"/>
      <w:noProof/>
      <w:szCs w:val="20"/>
      <w:lang w:val="en-GB"/>
    </w:rPr>
  </w:style>
  <w:style w:type="paragraph" w:styleId="Antrat6">
    <w:name w:val="heading 6"/>
    <w:basedOn w:val="prastasis"/>
    <w:next w:val="prastasis"/>
    <w:link w:val="Antrat6Diagrama"/>
    <w:uiPriority w:val="99"/>
    <w:qFormat/>
    <w:rsid w:val="00626C7A"/>
    <w:pPr>
      <w:keepNext/>
      <w:tabs>
        <w:tab w:val="left" w:pos="-720"/>
        <w:tab w:val="left" w:pos="567"/>
        <w:tab w:val="left" w:pos="4536"/>
      </w:tabs>
      <w:suppressAutoHyphens/>
      <w:spacing w:after="0" w:line="260" w:lineRule="exact"/>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qFormat/>
    <w:rsid w:val="00626C7A"/>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qFormat/>
    <w:rsid w:val="00626C7A"/>
    <w:pPr>
      <w:keepNext/>
      <w:tabs>
        <w:tab w:val="left" w:pos="567"/>
      </w:tabs>
      <w:spacing w:after="0" w:line="260" w:lineRule="exact"/>
      <w:ind w:left="567" w:hanging="567"/>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qFormat/>
    <w:rsid w:val="00626C7A"/>
    <w:pPr>
      <w:keepNext/>
      <w:tabs>
        <w:tab w:val="left" w:pos="567"/>
      </w:tabs>
      <w:spacing w:after="0" w:line="260" w:lineRule="exact"/>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626C7A"/>
    <w:rPr>
      <w:rFonts w:ascii="Arial" w:eastAsia="Times New Roman" w:hAnsi="Arial" w:cs="Times New Roman"/>
      <w:b/>
      <w:sz w:val="28"/>
      <w:szCs w:val="20"/>
      <w:lang w:val="en-US"/>
    </w:rPr>
  </w:style>
  <w:style w:type="character" w:customStyle="1" w:styleId="Antrat2Diagrama">
    <w:name w:val="Antraštė 2 Diagrama"/>
    <w:basedOn w:val="Numatytasispastraiposriftas"/>
    <w:link w:val="Antrat2"/>
    <w:uiPriority w:val="99"/>
    <w:rsid w:val="00626C7A"/>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626C7A"/>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626C7A"/>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626C7A"/>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626C7A"/>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626C7A"/>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626C7A"/>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626C7A"/>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rsid w:val="00626C7A"/>
  </w:style>
  <w:style w:type="paragraph" w:styleId="Porat">
    <w:name w:val="footer"/>
    <w:basedOn w:val="prastasis"/>
    <w:link w:val="PoratDiagrama"/>
    <w:uiPriority w:val="99"/>
    <w:rsid w:val="00626C7A"/>
    <w:pPr>
      <w:tabs>
        <w:tab w:val="left" w:pos="567"/>
        <w:tab w:val="center" w:pos="4536"/>
        <w:tab w:val="right" w:pos="8306"/>
      </w:tabs>
      <w:spacing w:after="0" w:line="260" w:lineRule="exact"/>
    </w:pPr>
    <w:rPr>
      <w:rFonts w:ascii="Times New Roman" w:eastAsia="Times New Roman" w:hAnsi="Times New Roman"/>
      <w:snapToGrid w:val="0"/>
      <w:szCs w:val="20"/>
      <w:lang w:val="en-GB" w:eastAsia="x-none"/>
    </w:rPr>
  </w:style>
  <w:style w:type="character" w:customStyle="1" w:styleId="PoratDiagrama">
    <w:name w:val="Poraštė Diagrama"/>
    <w:basedOn w:val="Numatytasispastraiposriftas"/>
    <w:link w:val="Porat"/>
    <w:uiPriority w:val="99"/>
    <w:rsid w:val="00626C7A"/>
    <w:rPr>
      <w:rFonts w:ascii="Times New Roman" w:eastAsia="Times New Roman" w:hAnsi="Times New Roman" w:cs="Times New Roman"/>
      <w:snapToGrid w:val="0"/>
      <w:szCs w:val="20"/>
      <w:lang w:val="en-GB" w:eastAsia="x-none"/>
    </w:rPr>
  </w:style>
  <w:style w:type="character" w:customStyle="1" w:styleId="HeaderChar">
    <w:name w:val="Header Char"/>
    <w:rsid w:val="00626C7A"/>
    <w:rPr>
      <w:snapToGrid w:val="0"/>
      <w:sz w:val="22"/>
      <w:lang w:val="en-GB" w:eastAsia="en-US"/>
    </w:rPr>
  </w:style>
  <w:style w:type="character" w:styleId="Puslapionumeris">
    <w:name w:val="page number"/>
    <w:uiPriority w:val="99"/>
    <w:rsid w:val="00626C7A"/>
    <w:rPr>
      <w:rFonts w:cs="Times New Roman"/>
    </w:rPr>
  </w:style>
  <w:style w:type="character" w:styleId="Hipersaitas">
    <w:name w:val="Hyperlink"/>
    <w:uiPriority w:val="99"/>
    <w:rsid w:val="00626C7A"/>
    <w:rPr>
      <w:color w:val="0000FF"/>
      <w:u w:val="single"/>
    </w:rPr>
  </w:style>
  <w:style w:type="paragraph" w:customStyle="1" w:styleId="BodytextAgency">
    <w:name w:val="Body text (Agency)"/>
    <w:basedOn w:val="prastasis"/>
    <w:link w:val="BodytextAgencyChar"/>
    <w:uiPriority w:val="99"/>
    <w:rsid w:val="00626C7A"/>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626C7A"/>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626C7A"/>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626C7A"/>
    <w:rPr>
      <w:rFonts w:ascii="Courier New" w:hAnsi="Courier New"/>
      <w:color w:val="00FF00"/>
      <w:sz w:val="40"/>
    </w:rPr>
  </w:style>
  <w:style w:type="character" w:customStyle="1" w:styleId="tw4winTerm">
    <w:name w:val="tw4winTerm"/>
    <w:uiPriority w:val="99"/>
    <w:rsid w:val="00626C7A"/>
    <w:rPr>
      <w:color w:val="0000FF"/>
    </w:rPr>
  </w:style>
  <w:style w:type="character" w:customStyle="1" w:styleId="tw4winPopup">
    <w:name w:val="tw4winPopup"/>
    <w:uiPriority w:val="99"/>
    <w:rsid w:val="00626C7A"/>
    <w:rPr>
      <w:rFonts w:ascii="Courier New" w:hAnsi="Courier New"/>
      <w:noProof/>
      <w:color w:val="008000"/>
    </w:rPr>
  </w:style>
  <w:style w:type="character" w:customStyle="1" w:styleId="tw4winJump">
    <w:name w:val="tw4winJump"/>
    <w:uiPriority w:val="99"/>
    <w:rsid w:val="00626C7A"/>
    <w:rPr>
      <w:rFonts w:ascii="Courier New" w:hAnsi="Courier New"/>
      <w:noProof/>
      <w:color w:val="008080"/>
    </w:rPr>
  </w:style>
  <w:style w:type="character" w:customStyle="1" w:styleId="tw4winExternal">
    <w:name w:val="tw4winExternal"/>
    <w:uiPriority w:val="99"/>
    <w:rsid w:val="00626C7A"/>
    <w:rPr>
      <w:rFonts w:ascii="Courier New" w:hAnsi="Courier New"/>
      <w:noProof/>
      <w:color w:val="808080"/>
    </w:rPr>
  </w:style>
  <w:style w:type="character" w:customStyle="1" w:styleId="tw4winInternal">
    <w:name w:val="tw4winInternal"/>
    <w:uiPriority w:val="99"/>
    <w:rsid w:val="00626C7A"/>
    <w:rPr>
      <w:rFonts w:ascii="Courier New" w:hAnsi="Courier New"/>
      <w:noProof/>
      <w:color w:val="FF0000"/>
    </w:rPr>
  </w:style>
  <w:style w:type="character" w:customStyle="1" w:styleId="DONOTTRANSLATE">
    <w:name w:val="DO_NOT_TRANSLATE"/>
    <w:uiPriority w:val="99"/>
    <w:rsid w:val="00626C7A"/>
    <w:rPr>
      <w:rFonts w:ascii="Courier New" w:hAnsi="Courier New"/>
      <w:noProof/>
      <w:color w:val="800000"/>
    </w:rPr>
  </w:style>
  <w:style w:type="paragraph" w:styleId="Debesliotekstas">
    <w:name w:val="Balloon Text"/>
    <w:basedOn w:val="prastasis"/>
    <w:link w:val="DebesliotekstasDiagrama"/>
    <w:uiPriority w:val="99"/>
    <w:rsid w:val="00626C7A"/>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626C7A"/>
    <w:rPr>
      <w:rFonts w:ascii="Tahoma" w:eastAsia="Times New Roman" w:hAnsi="Tahoma" w:cs="Times New Roman"/>
      <w:snapToGrid w:val="0"/>
      <w:sz w:val="16"/>
      <w:szCs w:val="16"/>
      <w:lang w:val="en-GB" w:eastAsia="x-none"/>
    </w:rPr>
  </w:style>
  <w:style w:type="character" w:styleId="Komentaronuoroda">
    <w:name w:val="annotation reference"/>
    <w:uiPriority w:val="99"/>
    <w:rsid w:val="00626C7A"/>
    <w:rPr>
      <w:sz w:val="16"/>
      <w:szCs w:val="16"/>
    </w:rPr>
  </w:style>
  <w:style w:type="paragraph" w:styleId="Komentarotekstas">
    <w:name w:val="annotation text"/>
    <w:basedOn w:val="prastasis"/>
    <w:link w:val="KomentarotekstasDiagrama"/>
    <w:uiPriority w:val="99"/>
    <w:rsid w:val="00626C7A"/>
    <w:pPr>
      <w:tabs>
        <w:tab w:val="left" w:pos="567"/>
      </w:tabs>
      <w:spacing w:after="0" w:line="260" w:lineRule="exact"/>
    </w:pPr>
    <w:rPr>
      <w:rFonts w:ascii="Times New Roman" w:eastAsia="Times New Roman" w:hAnsi="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626C7A"/>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626C7A"/>
    <w:rPr>
      <w:b/>
      <w:bCs/>
    </w:rPr>
  </w:style>
  <w:style w:type="character" w:customStyle="1" w:styleId="KomentarotemaDiagrama">
    <w:name w:val="Komentaro tema Diagrama"/>
    <w:basedOn w:val="KomentarotekstasDiagrama"/>
    <w:link w:val="Komentarotema"/>
    <w:uiPriority w:val="99"/>
    <w:rsid w:val="00626C7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626C7A"/>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626C7A"/>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626C7A"/>
    <w:rPr>
      <w:rFonts w:ascii="Courier New" w:hAnsi="Courier New"/>
      <w:vanish/>
      <w:color w:val="800080"/>
      <w:sz w:val="24"/>
      <w:vertAlign w:val="subscript"/>
    </w:rPr>
  </w:style>
  <w:style w:type="paragraph" w:styleId="Antrats">
    <w:name w:val="header"/>
    <w:basedOn w:val="prastasis"/>
    <w:link w:val="AntratsDiagrama"/>
    <w:uiPriority w:val="99"/>
    <w:rsid w:val="00626C7A"/>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AntratsDiagrama">
    <w:name w:val="Antraštės Diagrama"/>
    <w:basedOn w:val="Numatytasispastraiposriftas"/>
    <w:link w:val="Antrats"/>
    <w:uiPriority w:val="99"/>
    <w:rsid w:val="00626C7A"/>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626C7A"/>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sid w:val="00626C7A"/>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626C7A"/>
    <w:pPr>
      <w:autoSpaceDE w:val="0"/>
      <w:autoSpaceDN w:val="0"/>
      <w:adjustRightInd w:val="0"/>
      <w:spacing w:after="0" w:line="240" w:lineRule="auto"/>
      <w:ind w:left="720"/>
      <w:jc w:val="both"/>
    </w:pPr>
    <w:rPr>
      <w:rFonts w:ascii="Times New Roman" w:eastAsia="SimSun" w:hAnsi="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626C7A"/>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626C7A"/>
    <w:pPr>
      <w:autoSpaceDE w:val="0"/>
      <w:autoSpaceDN w:val="0"/>
      <w:adjustRightInd w:val="0"/>
      <w:spacing w:after="0" w:line="240" w:lineRule="auto"/>
      <w:jc w:val="both"/>
    </w:pPr>
    <w:rPr>
      <w:rFonts w:ascii="Times New Roman" w:eastAsia="SimSun" w:hAnsi="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626C7A"/>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626C7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626C7A"/>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626C7A"/>
    <w:pPr>
      <w:spacing w:after="0" w:line="240" w:lineRule="auto"/>
    </w:pPr>
    <w:rPr>
      <w:rFonts w:ascii="Times New Roman" w:eastAsia="SimSun" w:hAnsi="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626C7A"/>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626C7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626C7A"/>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626C7A"/>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626C7A"/>
    <w:pPr>
      <w:tabs>
        <w:tab w:val="clear" w:pos="720"/>
        <w:tab w:val="num" w:pos="360"/>
      </w:tabs>
      <w:ind w:left="709" w:hanging="425"/>
    </w:pPr>
    <w:rPr>
      <w:sz w:val="22"/>
    </w:rPr>
  </w:style>
  <w:style w:type="paragraph" w:customStyle="1" w:styleId="AHeader3">
    <w:name w:val="AHeader 3"/>
    <w:basedOn w:val="AHeader2"/>
    <w:uiPriority w:val="99"/>
    <w:rsid w:val="00626C7A"/>
    <w:pPr>
      <w:ind w:left="1276" w:hanging="567"/>
    </w:pPr>
  </w:style>
  <w:style w:type="paragraph" w:customStyle="1" w:styleId="AHeader2abc">
    <w:name w:val="AHeader 2 abc"/>
    <w:basedOn w:val="AHeader3"/>
    <w:uiPriority w:val="99"/>
    <w:rsid w:val="00626C7A"/>
    <w:pPr>
      <w:jc w:val="both"/>
    </w:pPr>
    <w:rPr>
      <w:b w:val="0"/>
      <w:bCs w:val="0"/>
    </w:rPr>
  </w:style>
  <w:style w:type="paragraph" w:customStyle="1" w:styleId="AHeader3abc">
    <w:name w:val="AHeader 3 abc"/>
    <w:basedOn w:val="AHeader2abc"/>
    <w:uiPriority w:val="99"/>
    <w:rsid w:val="00626C7A"/>
    <w:pPr>
      <w:ind w:left="1701" w:hanging="425"/>
    </w:pPr>
  </w:style>
  <w:style w:type="paragraph" w:styleId="Pagrindiniotekstotrauka3">
    <w:name w:val="Body Text Indent 3"/>
    <w:basedOn w:val="prastasis"/>
    <w:link w:val="Pagrindiniotekstotrauka3Diagrama"/>
    <w:uiPriority w:val="99"/>
    <w:rsid w:val="00626C7A"/>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626C7A"/>
    <w:rPr>
      <w:rFonts w:ascii="Times New Roman" w:eastAsia="SimSun" w:hAnsi="Times New Roman" w:cs="Times New Roman"/>
      <w:szCs w:val="21"/>
      <w:lang w:val="en-GB"/>
    </w:rPr>
  </w:style>
  <w:style w:type="character" w:styleId="Perirtashipersaitas">
    <w:name w:val="FollowedHyperlink"/>
    <w:uiPriority w:val="99"/>
    <w:rsid w:val="00626C7A"/>
    <w:rPr>
      <w:rFonts w:cs="Times New Roman"/>
      <w:color w:val="800080"/>
      <w:u w:val="single"/>
    </w:rPr>
  </w:style>
  <w:style w:type="character" w:styleId="Grietas">
    <w:name w:val="Strong"/>
    <w:uiPriority w:val="99"/>
    <w:qFormat/>
    <w:rsid w:val="00626C7A"/>
    <w:rPr>
      <w:rFonts w:cs="Times New Roman"/>
      <w:b/>
      <w:bCs/>
    </w:rPr>
  </w:style>
  <w:style w:type="character" w:customStyle="1" w:styleId="BodytextAgencyChar">
    <w:name w:val="Body text (Agency) Char"/>
    <w:link w:val="BodytextAgency"/>
    <w:uiPriority w:val="99"/>
    <w:locked/>
    <w:rsid w:val="00626C7A"/>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626C7A"/>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626C7A"/>
    <w:pPr>
      <w:keepNext/>
    </w:pPr>
    <w:rPr>
      <w:rFonts w:eastAsia="SimSun" w:cs="Verdana"/>
      <w:b/>
      <w:snapToGrid/>
      <w:szCs w:val="18"/>
      <w:lang w:eastAsia="en-GB"/>
    </w:rPr>
  </w:style>
  <w:style w:type="character" w:customStyle="1" w:styleId="NormalAgencyChar">
    <w:name w:val="Normal (Agency) Char"/>
    <w:link w:val="NormalAgency"/>
    <w:uiPriority w:val="99"/>
    <w:locked/>
    <w:rsid w:val="00626C7A"/>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626C7A"/>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626C7A"/>
    <w:rPr>
      <w:rFonts w:ascii="Courier New" w:eastAsia="SimSun" w:hAnsi="Courier New" w:cs="Times New Roman"/>
      <w:sz w:val="20"/>
      <w:szCs w:val="20"/>
      <w:lang w:val="en-US"/>
    </w:rPr>
  </w:style>
  <w:style w:type="paragraph" w:customStyle="1" w:styleId="Default">
    <w:name w:val="Default"/>
    <w:rsid w:val="00626C7A"/>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626C7A"/>
    <w:pPr>
      <w:spacing w:after="0" w:line="240" w:lineRule="auto"/>
      <w:jc w:val="center"/>
    </w:pPr>
    <w:rPr>
      <w:rFonts w:ascii="Times New Roman" w:eastAsia="SimSun" w:hAnsi="Times New Roman"/>
      <w:b/>
      <w:szCs w:val="20"/>
      <w:lang w:val="en-GB"/>
    </w:rPr>
  </w:style>
  <w:style w:type="character" w:customStyle="1" w:styleId="PavadinimasDiagrama">
    <w:name w:val="Pavadinimas Diagrama"/>
    <w:basedOn w:val="Numatytasispastraiposriftas"/>
    <w:link w:val="Pavadinimas"/>
    <w:uiPriority w:val="99"/>
    <w:rsid w:val="00626C7A"/>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626C7A"/>
    <w:pPr>
      <w:tabs>
        <w:tab w:val="left" w:pos="567"/>
      </w:tabs>
      <w:spacing w:after="0" w:line="240" w:lineRule="auto"/>
    </w:pPr>
    <w:rPr>
      <w:rFonts w:ascii="Times New Roman" w:eastAsia="SimSun" w:hAnsi="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626C7A"/>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626C7A"/>
    <w:pPr>
      <w:spacing w:after="0" w:line="240" w:lineRule="auto"/>
    </w:pPr>
    <w:rPr>
      <w:rFonts w:ascii="Times New Roman" w:eastAsia="SimSun" w:hAnsi="Times New Roman"/>
      <w:lang w:eastAsia="x-none"/>
    </w:rPr>
  </w:style>
  <w:style w:type="character" w:customStyle="1" w:styleId="BTEMEASMCAChar">
    <w:name w:val="BT EMEA_SMCA Char"/>
    <w:link w:val="BTEMEASMCA"/>
    <w:uiPriority w:val="99"/>
    <w:locked/>
    <w:rsid w:val="00626C7A"/>
    <w:rPr>
      <w:rFonts w:ascii="Times New Roman" w:eastAsia="SimSun" w:hAnsi="Times New Roman" w:cs="Times New Roman"/>
      <w:lang w:eastAsia="x-none"/>
    </w:rPr>
  </w:style>
  <w:style w:type="character" w:customStyle="1" w:styleId="CharChar12">
    <w:name w:val="Char Char12"/>
    <w:locked/>
    <w:rsid w:val="00626C7A"/>
    <w:rPr>
      <w:snapToGrid w:val="0"/>
      <w:lang w:val="en-GB" w:eastAsia="en-US" w:bidi="ar-SA"/>
    </w:rPr>
  </w:style>
  <w:style w:type="paragraph" w:customStyle="1" w:styleId="SPCStandard">
    <w:name w:val="SPCStandard"/>
    <w:basedOn w:val="prastasis"/>
    <w:rsid w:val="00626C7A"/>
    <w:pPr>
      <w:tabs>
        <w:tab w:val="right" w:pos="5103"/>
      </w:tabs>
      <w:spacing w:after="0" w:line="240" w:lineRule="auto"/>
      <w:jc w:val="both"/>
    </w:pPr>
    <w:rPr>
      <w:rFonts w:ascii="Times New Roman" w:hAnsi="Times New Roman"/>
      <w:sz w:val="24"/>
      <w:szCs w:val="20"/>
      <w:lang w:val="de-DE" w:eastAsia="de-DE"/>
    </w:rPr>
  </w:style>
  <w:style w:type="table" w:styleId="Lentelstinklelis">
    <w:name w:val="Table Grid"/>
    <w:basedOn w:val="prastojilentel"/>
    <w:uiPriority w:val="59"/>
    <w:rsid w:val="00626C7A"/>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2EMEASMCA">
    <w:name w:val="PI-2 EMEA_SMCA"/>
    <w:basedOn w:val="Antrat3"/>
    <w:autoRedefine/>
    <w:uiPriority w:val="99"/>
    <w:rsid w:val="00626C7A"/>
    <w:pPr>
      <w:spacing w:before="0" w:after="0" w:line="240" w:lineRule="auto"/>
      <w:ind w:left="567" w:hanging="567"/>
    </w:pPr>
    <w:rPr>
      <w:rFonts w:ascii="Times New Roman" w:hAnsi="Times New Roman"/>
      <w:bCs w:val="0"/>
      <w:snapToGrid/>
      <w:kern w:val="28"/>
      <w:sz w:val="22"/>
      <w:szCs w:val="22"/>
      <w:lang w:val="lt-LT" w:eastAsia="en-US"/>
    </w:rPr>
  </w:style>
  <w:style w:type="paragraph" w:customStyle="1" w:styleId="BT-EMEASMCA">
    <w:name w:val="BT- EMEA_SMCA"/>
    <w:basedOn w:val="BTEMEASMCA"/>
    <w:autoRedefine/>
    <w:uiPriority w:val="99"/>
    <w:rsid w:val="00626C7A"/>
    <w:pPr>
      <w:numPr>
        <w:numId w:val="12"/>
      </w:numPr>
      <w:ind w:left="567" w:hanging="567"/>
    </w:pPr>
    <w:rPr>
      <w:rFonts w:eastAsia="Times New Roman"/>
      <w:lang w:eastAsia="en-US"/>
    </w:rPr>
  </w:style>
  <w:style w:type="paragraph" w:customStyle="1" w:styleId="PI-3EMEASMCA">
    <w:name w:val="PI-3 EMEA_SMCA"/>
    <w:basedOn w:val="prastasis"/>
    <w:autoRedefine/>
    <w:rsid w:val="00626C7A"/>
    <w:pPr>
      <w:spacing w:after="0" w:line="240" w:lineRule="auto"/>
    </w:pPr>
    <w:rPr>
      <w:rFonts w:ascii="Times New Roman" w:eastAsia="Times New Roman" w:hAnsi="Times New Roman"/>
    </w:rPr>
  </w:style>
  <w:style w:type="character" w:customStyle="1" w:styleId="UnresolvedMention1">
    <w:name w:val="Unresolved Mention1"/>
    <w:uiPriority w:val="99"/>
    <w:semiHidden/>
    <w:unhideWhenUsed/>
    <w:rsid w:val="00626C7A"/>
    <w:rPr>
      <w:color w:val="605E5C"/>
      <w:shd w:val="clear" w:color="auto" w:fill="E1DFDD"/>
    </w:rPr>
  </w:style>
  <w:style w:type="character" w:customStyle="1" w:styleId="UnresolvedMention2">
    <w:name w:val="Unresolved Mention2"/>
    <w:basedOn w:val="Numatytasispastraiposriftas"/>
    <w:uiPriority w:val="99"/>
    <w:semiHidden/>
    <w:unhideWhenUsed/>
    <w:rsid w:val="00626C7A"/>
    <w:rPr>
      <w:color w:val="605E5C"/>
      <w:shd w:val="clear" w:color="auto" w:fill="E1DFDD"/>
    </w:rPr>
  </w:style>
  <w:style w:type="character" w:customStyle="1" w:styleId="UnresolvedMention">
    <w:name w:val="Unresolved Mention"/>
    <w:basedOn w:val="Numatytasispastraiposriftas"/>
    <w:uiPriority w:val="99"/>
    <w:semiHidden/>
    <w:unhideWhenUsed/>
    <w:rsid w:val="00626C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NepageidaujamaR@vvkt.lt" TargetMode="External"/><Relationship Id="rId12" Type="http://schemas.openxmlformats.org/officeDocument/2006/relationships/image" Target="media/image3.jpe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hyperlink" Target="https://vapris.vvkt.lt/vvkt-web/public/medications" TargetMode="External"/><Relationship Id="rId5" Type="http://schemas.openxmlformats.org/officeDocument/2006/relationships/hyperlink" Target="https://vapris.vvkt.lt/vvkt-web/public/nrv" TargetMode="External"/><Relationship Id="rId15" Type="http://schemas.openxmlformats.org/officeDocument/2006/relationships/image" Target="media/image6.png"/><Relationship Id="rId10" Type="http://schemas.openxmlformats.org/officeDocument/2006/relationships/hyperlink" Target="mailto:office.lt@bbraun.com%20" TargetMode="External"/><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15038</Words>
  <Characters>8572</Characters>
  <Application>Microsoft Office Word</Application>
  <DocSecurity>0</DocSecurity>
  <Lines>71</Lines>
  <Paragraphs>47</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1.	Kas yra Nutriflex Omega peri ir kam jis vartojamas</vt:lpstr>
      <vt:lpstr>        2.	Kas žinotina prieš vartojant Nutriflex Omega peri  </vt:lpstr>
      <vt:lpstr>        3.	Kaip vartoti Nutriflex Omega peri</vt:lpstr>
      <vt:lpstr>        4.	Galimas šalutinis poveikis</vt:lpstr>
      <vt:lpstr>        5.	Kaip laikyti Nutriflex Omega peri</vt:lpstr>
      <vt:lpstr>        6.	Pakuotės turinys ir kita informacija</vt:lpstr>
    </vt:vector>
  </TitlesOfParts>
  <Company/>
  <LinksUpToDate>false</LinksUpToDate>
  <CharactersWithSpaces>23563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2024-03-15T07:54:00Z</dcterms:created>
  <dcterms:modified xsi:type="dcterms:W3CDTF">2024-03-15T07:54:00Z</dcterms:modified>
</cp:coreProperties>
</file>