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8BB417" w14:textId="77777777" w:rsidR="007D1CCA" w:rsidRDefault="007D1CCA">
      <w:pPr>
        <w:widowControl w:val="0"/>
        <w:spacing w:after="0" w:line="240" w:lineRule="auto"/>
        <w:rPr>
          <w:rFonts w:ascii="Times New Roman" w:eastAsia="Times New Roman" w:hAnsi="Times New Roman" w:cs="Times New Roman"/>
          <w:snapToGrid w:val="0"/>
        </w:rPr>
      </w:pPr>
      <w:bookmarkStart w:id="0" w:name="Tab"/>
      <w:bookmarkEnd w:id="0"/>
    </w:p>
    <w:p w14:paraId="37888410" w14:textId="77777777" w:rsidR="007D1CCA" w:rsidRDefault="007D1CCA">
      <w:pPr>
        <w:widowControl w:val="0"/>
        <w:tabs>
          <w:tab w:val="left" w:pos="567"/>
        </w:tabs>
        <w:spacing w:after="0" w:line="240" w:lineRule="auto"/>
        <w:outlineLvl w:val="0"/>
        <w:rPr>
          <w:rFonts w:ascii="Times New Roman" w:eastAsia="Times New Roman" w:hAnsi="Times New Roman" w:cs="Times New Roman"/>
          <w:b/>
          <w:snapToGrid w:val="0"/>
        </w:rPr>
      </w:pPr>
    </w:p>
    <w:p w14:paraId="0B3F2C03" w14:textId="77777777" w:rsidR="007D1CCA" w:rsidRDefault="007D1CCA">
      <w:pPr>
        <w:widowControl w:val="0"/>
        <w:tabs>
          <w:tab w:val="left" w:pos="567"/>
        </w:tabs>
        <w:spacing w:after="0" w:line="240" w:lineRule="auto"/>
        <w:outlineLvl w:val="0"/>
        <w:rPr>
          <w:rFonts w:ascii="Times New Roman" w:eastAsia="Times New Roman" w:hAnsi="Times New Roman" w:cs="Times New Roman"/>
          <w:b/>
          <w:snapToGrid w:val="0"/>
        </w:rPr>
      </w:pPr>
    </w:p>
    <w:p w14:paraId="11882C89" w14:textId="77777777" w:rsidR="007D1CCA" w:rsidRDefault="007D1CCA">
      <w:pPr>
        <w:widowControl w:val="0"/>
        <w:tabs>
          <w:tab w:val="left" w:pos="567"/>
        </w:tabs>
        <w:spacing w:after="0" w:line="240" w:lineRule="auto"/>
        <w:outlineLvl w:val="0"/>
        <w:rPr>
          <w:rFonts w:ascii="Times New Roman" w:eastAsia="Times New Roman" w:hAnsi="Times New Roman" w:cs="Times New Roman"/>
          <w:b/>
          <w:snapToGrid w:val="0"/>
        </w:rPr>
      </w:pPr>
    </w:p>
    <w:p w14:paraId="30213526" w14:textId="77777777" w:rsidR="007D1CCA" w:rsidRDefault="007D1CCA">
      <w:pPr>
        <w:widowControl w:val="0"/>
        <w:tabs>
          <w:tab w:val="left" w:pos="567"/>
        </w:tabs>
        <w:spacing w:after="0" w:line="240" w:lineRule="auto"/>
        <w:outlineLvl w:val="0"/>
        <w:rPr>
          <w:rFonts w:ascii="Times New Roman" w:eastAsia="Times New Roman" w:hAnsi="Times New Roman" w:cs="Times New Roman"/>
          <w:b/>
          <w:snapToGrid w:val="0"/>
        </w:rPr>
      </w:pPr>
    </w:p>
    <w:p w14:paraId="0500C12F" w14:textId="77777777" w:rsidR="007D1CCA" w:rsidRDefault="007D1CCA">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14:paraId="08FFDB67" w14:textId="77777777" w:rsidR="007D1CCA" w:rsidRDefault="007D1CCA">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14:paraId="5A90C227" w14:textId="77777777" w:rsidR="007D1CCA" w:rsidRDefault="007D1CCA">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14:paraId="7E7533CC" w14:textId="77777777" w:rsidR="007D1CCA" w:rsidRDefault="007D1CCA">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14:paraId="71510CF2" w14:textId="77777777" w:rsidR="007D1CCA" w:rsidRDefault="007D1CCA">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14:paraId="4D6A9939" w14:textId="77777777" w:rsidR="007D1CCA" w:rsidRDefault="007D1CCA">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14:paraId="0D84FC8C" w14:textId="77777777" w:rsidR="007D1CCA" w:rsidRDefault="007D1CCA">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14:paraId="41D93C5C" w14:textId="77777777" w:rsidR="007D1CCA" w:rsidRDefault="007D1CCA">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14:paraId="45ED636C" w14:textId="77777777" w:rsidR="007D1CCA" w:rsidRDefault="007D1CCA">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14:paraId="3F0C0372" w14:textId="77777777" w:rsidR="007D1CCA" w:rsidRDefault="007D1CCA">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14:paraId="4AED04C1" w14:textId="77777777" w:rsidR="007D1CCA" w:rsidRDefault="007D1CCA">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14:paraId="01DC3FE0" w14:textId="77777777" w:rsidR="007D1CCA" w:rsidRDefault="007D1CCA">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14:paraId="798B2D18" w14:textId="77777777" w:rsidR="007D1CCA" w:rsidRDefault="007D1CCA">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14:paraId="6B4DDED0" w14:textId="77777777" w:rsidR="007D1CCA" w:rsidRDefault="007D1CCA">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14:paraId="2569D477" w14:textId="77777777" w:rsidR="007D1CCA" w:rsidRDefault="007D1CCA">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14:paraId="6808994B" w14:textId="77777777" w:rsidR="007D1CCA" w:rsidRDefault="007D1CCA">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14:paraId="2CEDB7B3" w14:textId="77777777" w:rsidR="007D1CCA" w:rsidRDefault="007D1CCA">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14:paraId="36AD259F" w14:textId="77777777" w:rsidR="007D1CCA" w:rsidRDefault="007D1CCA">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14:paraId="2B890534" w14:textId="77777777" w:rsidR="007D1CCA" w:rsidRDefault="00A06746">
      <w:pPr>
        <w:widowControl w:val="0"/>
        <w:tabs>
          <w:tab w:val="left" w:pos="567"/>
        </w:tabs>
        <w:spacing w:after="0" w:line="240" w:lineRule="auto"/>
        <w:jc w:val="center"/>
        <w:outlineLvl w:val="1"/>
        <w:rPr>
          <w:rFonts w:ascii="Times New Roman" w:eastAsia="Times New Roman" w:hAnsi="Times New Roman" w:cs="Times New Roman"/>
          <w:b/>
          <w:snapToGrid w:val="0"/>
          <w:lang w:eastAsia="x-none"/>
        </w:rPr>
      </w:pPr>
      <w:r>
        <w:rPr>
          <w:rFonts w:ascii="Times New Roman" w:eastAsia="Times New Roman" w:hAnsi="Times New Roman" w:cs="Times New Roman"/>
          <w:b/>
          <w:bCs/>
          <w:iCs/>
          <w:snapToGrid w:val="0"/>
          <w:lang w:eastAsia="x-none"/>
        </w:rPr>
        <w:t>I PRIEDAS</w:t>
      </w:r>
    </w:p>
    <w:p w14:paraId="42995775"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FBD0CDB" w14:textId="77777777" w:rsidR="007D1CCA" w:rsidRDefault="00A06746">
      <w:pPr>
        <w:widowControl w:val="0"/>
        <w:tabs>
          <w:tab w:val="left" w:pos="-1440"/>
          <w:tab w:val="left" w:pos="-720"/>
          <w:tab w:val="left" w:pos="567"/>
        </w:tabs>
        <w:spacing w:after="0" w:line="240" w:lineRule="auto"/>
        <w:jc w:val="center"/>
        <w:rPr>
          <w:rFonts w:ascii="Times New Roman" w:eastAsia="Times New Roman" w:hAnsi="Times New Roman" w:cs="Times New Roman"/>
          <w:b/>
          <w:snapToGrid w:val="0"/>
        </w:rPr>
      </w:pPr>
      <w:r>
        <w:rPr>
          <w:rFonts w:ascii="Times New Roman" w:eastAsia="Times New Roman" w:hAnsi="Times New Roman" w:cs="Times New Roman"/>
          <w:b/>
          <w:snapToGrid w:val="0"/>
        </w:rPr>
        <w:t>PREPARATO CHARAKTERISTIKŲ SANTRAUKA</w:t>
      </w:r>
    </w:p>
    <w:p w14:paraId="62A2EFDE" w14:textId="77777777" w:rsidR="007D1CCA" w:rsidRDefault="00A06746">
      <w:pPr>
        <w:widowControl w:val="0"/>
        <w:tabs>
          <w:tab w:val="left" w:pos="-1440"/>
          <w:tab w:val="left" w:pos="-720"/>
          <w:tab w:val="left" w:pos="567"/>
        </w:tabs>
        <w:spacing w:after="0" w:line="240" w:lineRule="auto"/>
        <w:jc w:val="center"/>
        <w:rPr>
          <w:rFonts w:ascii="Times New Roman" w:eastAsia="Times New Roman" w:hAnsi="Times New Roman" w:cs="Times New Roman"/>
          <w:snapToGrid w:val="0"/>
        </w:rPr>
      </w:pPr>
      <w:r>
        <w:rPr>
          <w:rFonts w:ascii="Times New Roman" w:eastAsia="Times New Roman" w:hAnsi="Times New Roman" w:cs="Times New Roman"/>
          <w:snapToGrid w:val="0"/>
          <w:lang w:eastAsia="zh-CN"/>
        </w:rPr>
        <w:br w:type="page"/>
      </w:r>
    </w:p>
    <w:p w14:paraId="1FD90E56" w14:textId="77777777" w:rsidR="007D1CCA" w:rsidRDefault="00A06746">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lastRenderedPageBreak/>
        <w:t>1.</w:t>
      </w:r>
      <w:r>
        <w:rPr>
          <w:rFonts w:ascii="Times New Roman" w:eastAsia="Times New Roman" w:hAnsi="Times New Roman" w:cs="Times New Roman"/>
          <w:b/>
          <w:bCs/>
          <w:snapToGrid w:val="0"/>
          <w:lang w:eastAsia="x-none"/>
        </w:rPr>
        <w:tab/>
        <w:t>VAISTINIO PREPARATO PAVADINIMAS</w:t>
      </w:r>
    </w:p>
    <w:p w14:paraId="6507C84A"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69BB0EC"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bookmarkStart w:id="1" w:name="_GoBack"/>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w:t>
      </w:r>
      <w:bookmarkEnd w:id="1"/>
      <w:r>
        <w:rPr>
          <w:rFonts w:ascii="Times New Roman" w:eastAsia="Times New Roman" w:hAnsi="Times New Roman" w:cs="Times New Roman"/>
          <w:snapToGrid w:val="0"/>
        </w:rPr>
        <w:t>30 mg skrandyje neirios kietosios kapsulės</w:t>
      </w:r>
    </w:p>
    <w:p w14:paraId="4DDF391B"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highlight w:val="lightGray"/>
        </w:rPr>
        <w:t>Dulsevia</w:t>
      </w:r>
      <w:proofErr w:type="spellEnd"/>
      <w:r>
        <w:rPr>
          <w:rFonts w:ascii="Times New Roman" w:eastAsia="Times New Roman" w:hAnsi="Times New Roman" w:cs="Times New Roman"/>
          <w:snapToGrid w:val="0"/>
          <w:highlight w:val="lightGray"/>
        </w:rPr>
        <w:t xml:space="preserve"> 60 mg skrandyje neirios kietosios kapsulės</w:t>
      </w:r>
    </w:p>
    <w:p w14:paraId="079EA5E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C4ED093"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6A492D0" w14:textId="77777777" w:rsidR="007D1CCA" w:rsidRDefault="00A06746">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2.</w:t>
      </w:r>
      <w:r>
        <w:rPr>
          <w:rFonts w:ascii="Times New Roman" w:eastAsia="Times New Roman" w:hAnsi="Times New Roman" w:cs="Times New Roman"/>
          <w:b/>
          <w:bCs/>
          <w:snapToGrid w:val="0"/>
          <w:lang w:eastAsia="x-none"/>
        </w:rPr>
        <w:tab/>
        <w:t>KOKYBINĖ IR KIEKYBINĖ SUDĖTIS</w:t>
      </w:r>
    </w:p>
    <w:p w14:paraId="12A0EF56"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30A6B71"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Kiekvienoje skrandyje neirioje kietojoje kapsulėje yra 30 mg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hidrochlorido pavidalu).</w:t>
      </w:r>
    </w:p>
    <w:p w14:paraId="01C8A68C"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highlight w:val="lightGray"/>
        </w:rPr>
        <w:t xml:space="preserve">Kiekvienoje skrandyje neirioje kietojoje kapsulėje yra 60 mg </w:t>
      </w:r>
      <w:proofErr w:type="spellStart"/>
      <w:r>
        <w:rPr>
          <w:rFonts w:ascii="Times New Roman" w:eastAsia="Times New Roman" w:hAnsi="Times New Roman" w:cs="Times New Roman"/>
          <w:snapToGrid w:val="0"/>
          <w:highlight w:val="lightGray"/>
        </w:rPr>
        <w:t>duloksetino</w:t>
      </w:r>
      <w:proofErr w:type="spellEnd"/>
      <w:r>
        <w:rPr>
          <w:rFonts w:ascii="Times New Roman" w:eastAsia="Times New Roman" w:hAnsi="Times New Roman" w:cs="Times New Roman"/>
          <w:snapToGrid w:val="0"/>
          <w:highlight w:val="lightGray"/>
        </w:rPr>
        <w:t xml:space="preserve"> (</w:t>
      </w:r>
      <w:proofErr w:type="spellStart"/>
      <w:r>
        <w:rPr>
          <w:rFonts w:ascii="Times New Roman" w:eastAsia="Times New Roman" w:hAnsi="Times New Roman" w:cs="Times New Roman"/>
          <w:snapToGrid w:val="0"/>
          <w:highlight w:val="lightGray"/>
        </w:rPr>
        <w:t>duloksetino</w:t>
      </w:r>
      <w:proofErr w:type="spellEnd"/>
      <w:r>
        <w:rPr>
          <w:rFonts w:ascii="Times New Roman" w:eastAsia="Times New Roman" w:hAnsi="Times New Roman" w:cs="Times New Roman"/>
          <w:snapToGrid w:val="0"/>
          <w:highlight w:val="lightGray"/>
        </w:rPr>
        <w:t xml:space="preserve"> hidrochlorido pavidalu).</w:t>
      </w:r>
    </w:p>
    <w:p w14:paraId="09A9E9D5"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67C40DC"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u w:val="single"/>
        </w:rPr>
        <w:t>Pagalbinė medžiaga, kurios poveikis žinomas</w:t>
      </w:r>
      <w:r>
        <w:rPr>
          <w:rFonts w:ascii="Times New Roman" w:eastAsia="Times New Roman" w:hAnsi="Times New Roman" w:cs="Times New Roman"/>
          <w:snapToGrid w:val="0"/>
        </w:rPr>
        <w:t>: sacharozė.</w:t>
      </w:r>
    </w:p>
    <w:p w14:paraId="77D11665"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Kiekvienoje 30 mg skrandyje neirioje kietojoje kapsulėje yra ne daugiau kaip 43 mg sacharozės.</w:t>
      </w:r>
    </w:p>
    <w:p w14:paraId="2B55137C"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highlight w:val="lightGray"/>
        </w:rPr>
        <w:t>Kiekvienoje 60 mg skrandyje neirioje kietojoje kapsulėje yra ne daugiau kaip 87 mg sacharozės.</w:t>
      </w:r>
    </w:p>
    <w:p w14:paraId="79D93A02"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D936740"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Visos pagalbinės medžiagos išvardytos 6.1 skyriuje.</w:t>
      </w:r>
    </w:p>
    <w:p w14:paraId="3AECB3EE"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5BF7559"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D05A08A" w14:textId="77777777" w:rsidR="007D1CCA" w:rsidRDefault="00A06746">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3.</w:t>
      </w:r>
      <w:r>
        <w:rPr>
          <w:rFonts w:ascii="Times New Roman" w:eastAsia="Times New Roman" w:hAnsi="Times New Roman" w:cs="Times New Roman"/>
          <w:b/>
          <w:bCs/>
          <w:snapToGrid w:val="0"/>
          <w:lang w:eastAsia="x-none"/>
        </w:rPr>
        <w:tab/>
        <w:t>FARMACINĖ FORMA</w:t>
      </w:r>
    </w:p>
    <w:p w14:paraId="1BEC935E"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DDE50B1"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Skrandyje neiri kietoji kapsulė</w:t>
      </w:r>
    </w:p>
    <w:p w14:paraId="34CA8472"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847E3B4"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highlight w:val="lightGray"/>
        </w:rPr>
        <w:t xml:space="preserve">30 mg: </w:t>
      </w:r>
      <w:r>
        <w:rPr>
          <w:rFonts w:ascii="Times New Roman" w:eastAsia="Times New Roman" w:hAnsi="Times New Roman" w:cs="Times New Roman"/>
          <w:snapToGrid w:val="0"/>
        </w:rPr>
        <w:t>Kieta „3“ dydžio (vidutinis ilgis 15,9 mm) želatinos kapsulė su baltomis arba balkšvomis granulėmis. Kapsulės korpusas yra baltas, kapsulės dangtelis tamsiai mėlynas. Ant kapsulės korpuso juodais dažais įspaustas skaičius „30“.</w:t>
      </w:r>
    </w:p>
    <w:p w14:paraId="58F74582"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highlight w:val="lightGray"/>
        </w:rPr>
        <w:t>60 mg: Kieta „1“ dydžio (vidutinis ilgis 19,4 mm) želatinos kapsulė su baltomis arba balkšvomis granulėmis. Kapsulės korpusas yra geltonai žalias, kapsulės dangtelis tamsiai mėlynas. Ant kapsulės korpuso juodais dažais įspaustas skaičius „60“.</w:t>
      </w:r>
    </w:p>
    <w:p w14:paraId="21327341"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77C5517"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7D909FA" w14:textId="77777777" w:rsidR="007D1CCA" w:rsidRDefault="00A06746">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4.</w:t>
      </w:r>
      <w:r>
        <w:rPr>
          <w:rFonts w:ascii="Times New Roman" w:eastAsia="Times New Roman" w:hAnsi="Times New Roman" w:cs="Times New Roman"/>
          <w:b/>
          <w:bCs/>
          <w:snapToGrid w:val="0"/>
          <w:lang w:eastAsia="x-none"/>
        </w:rPr>
        <w:tab/>
        <w:t>KLINIKINĖ INFORMACIJA</w:t>
      </w:r>
    </w:p>
    <w:p w14:paraId="0C60A59F"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2BE8A84"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4.1</w:t>
      </w:r>
      <w:r>
        <w:rPr>
          <w:rFonts w:ascii="Times New Roman" w:eastAsia="Times New Roman" w:hAnsi="Times New Roman" w:cs="Times New Roman"/>
          <w:b/>
          <w:bCs/>
          <w:snapToGrid w:val="0"/>
          <w:lang w:eastAsia="x-none"/>
        </w:rPr>
        <w:tab/>
        <w:t>Terapinės indikacijos</w:t>
      </w:r>
    </w:p>
    <w:p w14:paraId="12D4EE48"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DC5EB3E" w14:textId="77777777" w:rsidR="007D1CCA" w:rsidRDefault="00A06746">
      <w:pPr>
        <w:widowControl w:val="0"/>
        <w:tabs>
          <w:tab w:val="left" w:pos="567"/>
        </w:tabs>
        <w:autoSpaceDE w:val="0"/>
        <w:autoSpaceDN w:val="0"/>
        <w:adjustRightInd w:val="0"/>
        <w:spacing w:after="0" w:line="240" w:lineRule="auto"/>
        <w:ind w:left="2"/>
        <w:rPr>
          <w:rFonts w:ascii="Times New Roman" w:eastAsia="Times New Roman" w:hAnsi="Times New Roman" w:cs="Times New Roman"/>
          <w:snapToGrid w:val="0"/>
        </w:rPr>
      </w:pPr>
      <w:r>
        <w:rPr>
          <w:rFonts w:ascii="Times New Roman" w:eastAsia="Times New Roman" w:hAnsi="Times New Roman" w:cs="Times New Roman"/>
          <w:snapToGrid w:val="0"/>
        </w:rPr>
        <w:t>Didžiosios depresijos sutrikimo gydymas.</w:t>
      </w:r>
    </w:p>
    <w:p w14:paraId="7CDE6E01" w14:textId="77777777" w:rsidR="007D1CCA" w:rsidRDefault="00A06746">
      <w:pPr>
        <w:widowControl w:val="0"/>
        <w:tabs>
          <w:tab w:val="left" w:pos="567"/>
        </w:tabs>
        <w:autoSpaceDE w:val="0"/>
        <w:autoSpaceDN w:val="0"/>
        <w:adjustRightInd w:val="0"/>
        <w:spacing w:after="0" w:line="240" w:lineRule="auto"/>
        <w:ind w:left="2"/>
        <w:rPr>
          <w:rFonts w:ascii="Times New Roman" w:eastAsia="Times New Roman" w:hAnsi="Times New Roman" w:cs="Times New Roman"/>
          <w:snapToGrid w:val="0"/>
        </w:rPr>
      </w:pPr>
      <w:r>
        <w:rPr>
          <w:rFonts w:ascii="Times New Roman" w:eastAsia="Times New Roman" w:hAnsi="Times New Roman" w:cs="Times New Roman"/>
          <w:snapToGrid w:val="0"/>
        </w:rPr>
        <w:t>Skausmo dėl periferinės diabetinės neuropatijos gydymas.</w:t>
      </w:r>
    </w:p>
    <w:p w14:paraId="7C2F1D50" w14:textId="77777777" w:rsidR="007D1CCA" w:rsidRDefault="00A06746">
      <w:pPr>
        <w:widowControl w:val="0"/>
        <w:tabs>
          <w:tab w:val="left" w:pos="567"/>
        </w:tabs>
        <w:autoSpaceDE w:val="0"/>
        <w:autoSpaceDN w:val="0"/>
        <w:adjustRightInd w:val="0"/>
        <w:spacing w:after="0" w:line="240" w:lineRule="auto"/>
        <w:ind w:left="2"/>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Generalizuoto</w:t>
      </w:r>
      <w:proofErr w:type="spellEnd"/>
      <w:r>
        <w:rPr>
          <w:rFonts w:ascii="Times New Roman" w:eastAsia="Times New Roman" w:hAnsi="Times New Roman" w:cs="Times New Roman"/>
          <w:snapToGrid w:val="0"/>
        </w:rPr>
        <w:t xml:space="preserve"> nerimo sutrikimo gydymas.</w:t>
      </w:r>
    </w:p>
    <w:p w14:paraId="36847721" w14:textId="77777777" w:rsidR="007D1CCA" w:rsidRDefault="007D1CCA">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14:paraId="12DB0A94" w14:textId="77777777" w:rsidR="007D1CCA" w:rsidRDefault="00A06746">
      <w:pPr>
        <w:widowControl w:val="0"/>
        <w:tabs>
          <w:tab w:val="left" w:pos="567"/>
        </w:tabs>
        <w:autoSpaceDE w:val="0"/>
        <w:autoSpaceDN w:val="0"/>
        <w:adjustRightInd w:val="0"/>
        <w:spacing w:after="0" w:line="240" w:lineRule="auto"/>
        <w:ind w:left="2"/>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skirtas suaugusiesiems.</w:t>
      </w:r>
    </w:p>
    <w:p w14:paraId="78317E38" w14:textId="77777777" w:rsidR="007D1CCA" w:rsidRDefault="00A06746">
      <w:pPr>
        <w:widowControl w:val="0"/>
        <w:tabs>
          <w:tab w:val="left" w:pos="567"/>
        </w:tabs>
        <w:autoSpaceDE w:val="0"/>
        <w:autoSpaceDN w:val="0"/>
        <w:adjustRightInd w:val="0"/>
        <w:spacing w:after="0" w:line="240" w:lineRule="auto"/>
        <w:ind w:left="2"/>
        <w:rPr>
          <w:rFonts w:ascii="Times New Roman" w:eastAsia="Times New Roman" w:hAnsi="Times New Roman" w:cs="Times New Roman"/>
          <w:snapToGrid w:val="0"/>
        </w:rPr>
      </w:pPr>
      <w:r>
        <w:rPr>
          <w:rFonts w:ascii="Times New Roman" w:eastAsia="Times New Roman" w:hAnsi="Times New Roman" w:cs="Times New Roman"/>
          <w:snapToGrid w:val="0"/>
        </w:rPr>
        <w:t>Daugiau informacijos žr. 5.1 skyriuje.</w:t>
      </w:r>
    </w:p>
    <w:p w14:paraId="1DC41BD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76DA7F5"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4.2</w:t>
      </w:r>
      <w:r>
        <w:rPr>
          <w:rFonts w:ascii="Times New Roman" w:eastAsia="Times New Roman" w:hAnsi="Times New Roman" w:cs="Times New Roman"/>
          <w:b/>
          <w:bCs/>
          <w:snapToGrid w:val="0"/>
          <w:lang w:eastAsia="x-none"/>
        </w:rPr>
        <w:tab/>
        <w:t>Dozavimas ir vartojimo metodas</w:t>
      </w:r>
    </w:p>
    <w:p w14:paraId="14D11E19"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57C727C"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Dozavimas</w:t>
      </w:r>
    </w:p>
    <w:p w14:paraId="0240CAE1" w14:textId="77777777" w:rsidR="007D1CCA" w:rsidRDefault="00A06746">
      <w:pPr>
        <w:widowControl w:val="0"/>
        <w:tabs>
          <w:tab w:val="left" w:pos="567"/>
        </w:tabs>
        <w:autoSpaceDE w:val="0"/>
        <w:autoSpaceDN w:val="0"/>
        <w:adjustRightInd w:val="0"/>
        <w:spacing w:after="0" w:line="240" w:lineRule="auto"/>
        <w:ind w:left="2"/>
        <w:rPr>
          <w:rFonts w:ascii="Times New Roman" w:eastAsia="Times New Roman" w:hAnsi="Times New Roman" w:cs="Times New Roman"/>
          <w:snapToGrid w:val="0"/>
        </w:rPr>
      </w:pPr>
      <w:r>
        <w:rPr>
          <w:rFonts w:ascii="Times New Roman" w:eastAsia="Times New Roman" w:hAnsi="Times New Roman" w:cs="Times New Roman"/>
          <w:i/>
          <w:iCs/>
          <w:snapToGrid w:val="0"/>
        </w:rPr>
        <w:t>Didžiosios depresijos sutrikimas</w:t>
      </w:r>
    </w:p>
    <w:p w14:paraId="0AB3C653"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Pradinė ir rekomenduojama palaikomoji dozė yra 60 mg per parą, neatsižvelgiant į valgį. Klinikinių tyrimų metu, buvo įvertintas didesnių nei 60 mg per parą iki maksimalios 120 mg per parą dozių saugumas. Tačiau nėra jokių klinikinių įrodymų, kad pacientams, kuriems pradinė rekomenduojama dozė buvo neveiksminga, gali būti naudinga didinti dozę.</w:t>
      </w:r>
    </w:p>
    <w:p w14:paraId="2DCC148E"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93D511D"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Terapinis poveikis paprastai pastebimas po 2-4 gydymo savaičių.</w:t>
      </w:r>
    </w:p>
    <w:p w14:paraId="105D7F58"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DEB1ED5"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Norint išvengti atkryčio, rekomenduojama tęsti gydymą keletą mėnesių po to kai pasiekiamas stabilus </w:t>
      </w:r>
      <w:proofErr w:type="spellStart"/>
      <w:r>
        <w:rPr>
          <w:rFonts w:ascii="Times New Roman" w:eastAsia="Times New Roman" w:hAnsi="Times New Roman" w:cs="Times New Roman"/>
          <w:snapToGrid w:val="0"/>
        </w:rPr>
        <w:t>antidepresinis</w:t>
      </w:r>
      <w:proofErr w:type="spellEnd"/>
      <w:r>
        <w:rPr>
          <w:rFonts w:ascii="Times New Roman" w:eastAsia="Times New Roman" w:hAnsi="Times New Roman" w:cs="Times New Roman"/>
          <w:snapToGrid w:val="0"/>
        </w:rPr>
        <w:t xml:space="preserve"> atsakas. Pacientams, kuriems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buvo veiksmingas ir kuriems buvo kartotinių didžiosios depresijos epizodų, galėtų būti svarstomas tolesnis ilgalaikis gydymas 60-120 mg paros </w:t>
      </w:r>
      <w:r>
        <w:rPr>
          <w:rFonts w:ascii="Times New Roman" w:eastAsia="Times New Roman" w:hAnsi="Times New Roman" w:cs="Times New Roman"/>
          <w:snapToGrid w:val="0"/>
        </w:rPr>
        <w:lastRenderedPageBreak/>
        <w:t>doze.</w:t>
      </w:r>
    </w:p>
    <w:p w14:paraId="700ABAFD" w14:textId="77777777" w:rsidR="007D1CCA" w:rsidRDefault="007D1CCA">
      <w:pPr>
        <w:widowControl w:val="0"/>
        <w:tabs>
          <w:tab w:val="left" w:pos="567"/>
        </w:tabs>
        <w:autoSpaceDE w:val="0"/>
        <w:autoSpaceDN w:val="0"/>
        <w:adjustRightInd w:val="0"/>
        <w:spacing w:after="0" w:line="240" w:lineRule="auto"/>
        <w:ind w:left="2"/>
        <w:rPr>
          <w:rFonts w:ascii="Times New Roman" w:eastAsia="Times New Roman" w:hAnsi="Times New Roman" w:cs="Times New Roman"/>
          <w:i/>
          <w:iCs/>
          <w:snapToGrid w:val="0"/>
        </w:rPr>
      </w:pPr>
    </w:p>
    <w:p w14:paraId="66B469D4" w14:textId="77777777" w:rsidR="007D1CCA" w:rsidRDefault="00A06746">
      <w:pPr>
        <w:widowControl w:val="0"/>
        <w:tabs>
          <w:tab w:val="left" w:pos="567"/>
        </w:tabs>
        <w:spacing w:after="0" w:line="240" w:lineRule="auto"/>
        <w:rPr>
          <w:rFonts w:ascii="Times New Roman" w:eastAsia="Times New Roman" w:hAnsi="Times New Roman" w:cs="Times New Roman"/>
          <w:i/>
          <w:snapToGrid w:val="0"/>
        </w:rPr>
      </w:pPr>
      <w:proofErr w:type="spellStart"/>
      <w:r>
        <w:rPr>
          <w:rFonts w:ascii="Times New Roman" w:eastAsia="Times New Roman" w:hAnsi="Times New Roman" w:cs="Times New Roman"/>
          <w:i/>
          <w:snapToGrid w:val="0"/>
        </w:rPr>
        <w:t>Generalizuoto</w:t>
      </w:r>
      <w:proofErr w:type="spellEnd"/>
      <w:r>
        <w:rPr>
          <w:rFonts w:ascii="Times New Roman" w:eastAsia="Times New Roman" w:hAnsi="Times New Roman" w:cs="Times New Roman"/>
          <w:i/>
          <w:snapToGrid w:val="0"/>
        </w:rPr>
        <w:t xml:space="preserve"> nerimo sutrikimas</w:t>
      </w:r>
    </w:p>
    <w:p w14:paraId="324CD5D7"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Rekomenduojama pradinė dozė </w:t>
      </w:r>
      <w:proofErr w:type="spellStart"/>
      <w:r>
        <w:rPr>
          <w:rFonts w:ascii="Times New Roman" w:eastAsia="Times New Roman" w:hAnsi="Times New Roman" w:cs="Times New Roman"/>
          <w:snapToGrid w:val="0"/>
        </w:rPr>
        <w:t>generalizuoto</w:t>
      </w:r>
      <w:proofErr w:type="spellEnd"/>
      <w:r>
        <w:rPr>
          <w:rFonts w:ascii="Times New Roman" w:eastAsia="Times New Roman" w:hAnsi="Times New Roman" w:cs="Times New Roman"/>
          <w:snapToGrid w:val="0"/>
        </w:rPr>
        <w:t xml:space="preserve"> nerimo sutrikimui gydyti yra 30 mg kartą per parą. Ji geriama valgio metu arba nevalgius. Jeigu atsakas nepakankamas, dozę galima didinti iki 60 mg. Ši dozė yra įprastinė palaikomoji dozė daugeliui pacientų.</w:t>
      </w:r>
    </w:p>
    <w:p w14:paraId="48B45B31"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A1B4895"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Pacientams, kurių sutrikimas susijęs su didžiosios depresijos sutrikimu, pradinė ir palaikomoji dozė yra 60 mg kartą per parą (prašom žiūrėti ir aukščiau pateiktas dozavimo rekomendacijas).</w:t>
      </w:r>
    </w:p>
    <w:p w14:paraId="13BC578B" w14:textId="77777777" w:rsidR="007D1CCA" w:rsidRDefault="007D1CCA">
      <w:pPr>
        <w:widowControl w:val="0"/>
        <w:tabs>
          <w:tab w:val="left" w:pos="567"/>
        </w:tabs>
        <w:spacing w:after="0" w:line="240" w:lineRule="auto"/>
        <w:rPr>
          <w:rFonts w:ascii="Times New Roman" w:eastAsia="Times New Roman" w:hAnsi="Times New Roman" w:cs="Times New Roman"/>
          <w:i/>
          <w:snapToGrid w:val="0"/>
        </w:rPr>
      </w:pPr>
    </w:p>
    <w:p w14:paraId="3B773A0D"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Įrodyta, kad veiksmingos paros dozės yra iki 120 mg ir jų saugumas buvo nustatytas klinikiniais tyrimais. Pacientams, kurių reakcija į 60 mg dozę yra nepakankama, paros dozę galima didinti iki 90 mg arba 120 mg. Dozę reikia didinti, atsižvelgiant į klinikinį atsaką ir vaistinio preparato toleravimą.</w:t>
      </w:r>
    </w:p>
    <w:p w14:paraId="67FAD44B"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CAF3DB4"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Atsaką įtvirtinus, gydymą rekomenduojama tęsti kelis mėnesius, kad būtų išvengta recidyvo.</w:t>
      </w:r>
    </w:p>
    <w:p w14:paraId="09DEF0EB" w14:textId="77777777" w:rsidR="007D1CCA" w:rsidRDefault="007D1CCA">
      <w:pPr>
        <w:widowControl w:val="0"/>
        <w:tabs>
          <w:tab w:val="left" w:pos="567"/>
        </w:tabs>
        <w:autoSpaceDE w:val="0"/>
        <w:autoSpaceDN w:val="0"/>
        <w:adjustRightInd w:val="0"/>
        <w:spacing w:after="0" w:line="240" w:lineRule="auto"/>
        <w:rPr>
          <w:rFonts w:ascii="Times New Roman" w:eastAsia="Times New Roman" w:hAnsi="Times New Roman" w:cs="Times New Roman"/>
          <w:i/>
          <w:iCs/>
          <w:snapToGrid w:val="0"/>
        </w:rPr>
      </w:pPr>
    </w:p>
    <w:p w14:paraId="48CD28A2" w14:textId="77777777" w:rsidR="007D1CCA" w:rsidRDefault="00A06746">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Skausmas dėl periferinės diabetinės neuropatijos</w:t>
      </w:r>
    </w:p>
    <w:p w14:paraId="019CB0B6" w14:textId="77777777" w:rsidR="007D1CCA" w:rsidRDefault="00A06746">
      <w:pPr>
        <w:widowControl w:val="0"/>
        <w:tabs>
          <w:tab w:val="left" w:pos="567"/>
        </w:tabs>
        <w:overflowPunct w:val="0"/>
        <w:autoSpaceDE w:val="0"/>
        <w:autoSpaceDN w:val="0"/>
        <w:adjustRightInd w:val="0"/>
        <w:spacing w:after="0" w:line="240" w:lineRule="auto"/>
        <w:ind w:right="80"/>
        <w:rPr>
          <w:rFonts w:ascii="Times New Roman" w:eastAsia="Times New Roman" w:hAnsi="Times New Roman" w:cs="Times New Roman"/>
          <w:snapToGrid w:val="0"/>
        </w:rPr>
      </w:pPr>
      <w:r>
        <w:rPr>
          <w:rFonts w:ascii="Times New Roman" w:eastAsia="Times New Roman" w:hAnsi="Times New Roman" w:cs="Times New Roman"/>
          <w:snapToGrid w:val="0"/>
        </w:rPr>
        <w:t xml:space="preserve">Pradinė ir rekomenduojama palaikomoji dozė yra 60 mg per parą, neatsižvelgiant į valgį. Klinikinių tyrimų metu, buvo įvertintas didesnių nei 60 mg per parą iki maksimalios 120 mg per parą dozių saugumas, skiriant jas tolygiai padalinant į dalis. Įvairių žmonių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koncentracija plazmoje būna labai skirtinga (žr. 5.2 skyrių). Todėl kai kuriems pacientams, kuriems 60 mg dozė nebuvo pakankamai veiksminga, gali būti naudinga didinti dozę.</w:t>
      </w:r>
    </w:p>
    <w:p w14:paraId="7333F222" w14:textId="77777777" w:rsidR="007D1CCA" w:rsidRDefault="007D1CCA">
      <w:pPr>
        <w:widowControl w:val="0"/>
        <w:tabs>
          <w:tab w:val="left" w:pos="567"/>
        </w:tabs>
        <w:overflowPunct w:val="0"/>
        <w:autoSpaceDE w:val="0"/>
        <w:autoSpaceDN w:val="0"/>
        <w:adjustRightInd w:val="0"/>
        <w:spacing w:after="0" w:line="240" w:lineRule="auto"/>
        <w:ind w:right="80"/>
        <w:rPr>
          <w:rFonts w:ascii="Times New Roman" w:eastAsia="Times New Roman" w:hAnsi="Times New Roman" w:cs="Times New Roman"/>
          <w:snapToGrid w:val="0"/>
        </w:rPr>
      </w:pPr>
    </w:p>
    <w:p w14:paraId="2ADCEF26"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Po 2 gydymo mėnesių reikia įvertinti organizmo atsaką į gydymą. Pacientams, kurių pradinis atsakas nepakankamas, papildomas atsakas po šio laikotarpio vargu ar galimas.</w:t>
      </w:r>
    </w:p>
    <w:p w14:paraId="78CF604A"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6ADEEC5"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Gydymo nauda turi būti reguliariai iš naujo įvertinama (mažiausiai kas 3 mėnesius) (žr. 5.1 skyrių).</w:t>
      </w:r>
    </w:p>
    <w:p w14:paraId="19ADC706"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AB8E149" w14:textId="77777777" w:rsidR="007D1CCA" w:rsidRDefault="00A06746">
      <w:pPr>
        <w:widowControl w:val="0"/>
        <w:tabs>
          <w:tab w:val="left" w:pos="567"/>
        </w:tabs>
        <w:spacing w:after="0" w:line="240" w:lineRule="auto"/>
        <w:rPr>
          <w:rFonts w:ascii="Times New Roman" w:eastAsia="Times New Roman" w:hAnsi="Times New Roman" w:cs="Times New Roman"/>
          <w:i/>
          <w:snapToGrid w:val="0"/>
        </w:rPr>
      </w:pPr>
      <w:r>
        <w:rPr>
          <w:rFonts w:ascii="Times New Roman" w:eastAsia="Times New Roman" w:hAnsi="Times New Roman" w:cs="Times New Roman"/>
          <w:i/>
          <w:snapToGrid w:val="0"/>
        </w:rPr>
        <w:t>Specialių populiacijų pacientai</w:t>
      </w:r>
    </w:p>
    <w:p w14:paraId="61A77885"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0C77FB3" w14:textId="77777777" w:rsidR="007D1CCA" w:rsidRDefault="00A06746">
      <w:pPr>
        <w:widowControl w:val="0"/>
        <w:tabs>
          <w:tab w:val="left" w:pos="567"/>
        </w:tabs>
        <w:spacing w:after="0" w:line="240" w:lineRule="auto"/>
        <w:rPr>
          <w:rFonts w:ascii="Times New Roman" w:eastAsia="Times New Roman" w:hAnsi="Times New Roman" w:cs="Times New Roman"/>
          <w:i/>
          <w:snapToGrid w:val="0"/>
        </w:rPr>
      </w:pPr>
      <w:r>
        <w:rPr>
          <w:rFonts w:ascii="Times New Roman" w:eastAsia="Times New Roman" w:hAnsi="Times New Roman" w:cs="Times New Roman"/>
          <w:i/>
          <w:snapToGrid w:val="0"/>
        </w:rPr>
        <w:t>Senyvi pacientai</w:t>
      </w:r>
    </w:p>
    <w:p w14:paraId="307AD9C2"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Senyviems pacientams nėra rekomenduojama koreguoti dozės vien dėl amžiaus. Tačiau, kaip ir bet kuriais kitais vaistiniais preparatais, gydant senyvus pacientus, reikia paisyti atsargumo priemonių, ypač gydant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120 mg paros doze didžiosios depresijos sutrikimą arba </w:t>
      </w:r>
      <w:proofErr w:type="spellStart"/>
      <w:r>
        <w:rPr>
          <w:rFonts w:ascii="Times New Roman" w:eastAsia="Times New Roman" w:hAnsi="Times New Roman" w:cs="Times New Roman"/>
          <w:snapToGrid w:val="0"/>
        </w:rPr>
        <w:t>generalizuoto</w:t>
      </w:r>
      <w:proofErr w:type="spellEnd"/>
      <w:r>
        <w:rPr>
          <w:rFonts w:ascii="Times New Roman" w:eastAsia="Times New Roman" w:hAnsi="Times New Roman" w:cs="Times New Roman"/>
          <w:snapToGrid w:val="0"/>
        </w:rPr>
        <w:t xml:space="preserve"> nerimo sutrikimą, nes apie tokį gydymą duomenų yra mažai (žr. 4.4 ir 5.2 skyrius).</w:t>
      </w:r>
    </w:p>
    <w:p w14:paraId="7400B852"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AAC219E" w14:textId="77777777" w:rsidR="007D1CCA" w:rsidRDefault="00A06746">
      <w:pPr>
        <w:widowControl w:val="0"/>
        <w:tabs>
          <w:tab w:val="left" w:pos="567"/>
        </w:tabs>
        <w:spacing w:after="0" w:line="240" w:lineRule="auto"/>
        <w:rPr>
          <w:rFonts w:ascii="Times New Roman" w:eastAsia="Times New Roman" w:hAnsi="Times New Roman" w:cs="Times New Roman"/>
          <w:i/>
          <w:snapToGrid w:val="0"/>
        </w:rPr>
      </w:pPr>
      <w:r>
        <w:rPr>
          <w:rFonts w:ascii="Times New Roman" w:eastAsia="Times New Roman" w:hAnsi="Times New Roman" w:cs="Times New Roman"/>
          <w:i/>
          <w:snapToGrid w:val="0"/>
        </w:rPr>
        <w:t>Kepenų funkcijos sutrikimas</w:t>
      </w:r>
    </w:p>
    <w:p w14:paraId="18927FBF"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negalima vartoti pacientams, sergantiems kepenų ligomis, sukeliančiomis kepenų pažeidimą (žr. 4.3 ir 5.2 skyrius).</w:t>
      </w:r>
    </w:p>
    <w:p w14:paraId="473B7197"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E819854" w14:textId="77777777" w:rsidR="007D1CCA" w:rsidRDefault="00A06746">
      <w:pPr>
        <w:widowControl w:val="0"/>
        <w:tabs>
          <w:tab w:val="left" w:pos="567"/>
        </w:tabs>
        <w:spacing w:after="0" w:line="240" w:lineRule="auto"/>
        <w:rPr>
          <w:rFonts w:ascii="Times New Roman" w:eastAsia="Times New Roman" w:hAnsi="Times New Roman" w:cs="Times New Roman"/>
          <w:i/>
          <w:snapToGrid w:val="0"/>
        </w:rPr>
      </w:pPr>
      <w:r>
        <w:rPr>
          <w:rFonts w:ascii="Times New Roman" w:eastAsia="Times New Roman" w:hAnsi="Times New Roman" w:cs="Times New Roman"/>
          <w:i/>
          <w:snapToGrid w:val="0"/>
        </w:rPr>
        <w:t>Inkstų funkcijos sutrikimas</w:t>
      </w:r>
    </w:p>
    <w:p w14:paraId="5CBDACA0"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Pacientams, kuriems yra lengvas arba vidutinio sunkumo inkstų funkcijos sutrikimas (kreatinino klirensas 30-80 ml/min.) dozės keisti nebūtina. Pacientus, kuriems yra sunkus inkstų funkcijos sutrikimas (kreatinino klirensas &lt; 30 ml/min.),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gydyti negalima (žr. 4.3 skyrių).</w:t>
      </w:r>
    </w:p>
    <w:p w14:paraId="7394555B"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C9B7F18" w14:textId="77777777" w:rsidR="007D1CCA" w:rsidRDefault="00A06746">
      <w:pPr>
        <w:widowControl w:val="0"/>
        <w:tabs>
          <w:tab w:val="left" w:pos="567"/>
        </w:tabs>
        <w:spacing w:after="0" w:line="240" w:lineRule="auto"/>
        <w:rPr>
          <w:rFonts w:ascii="Times New Roman" w:eastAsia="Times New Roman" w:hAnsi="Times New Roman" w:cs="Times New Roman"/>
          <w:i/>
          <w:snapToGrid w:val="0"/>
        </w:rPr>
      </w:pPr>
      <w:r>
        <w:rPr>
          <w:rFonts w:ascii="Times New Roman" w:eastAsia="Times New Roman" w:hAnsi="Times New Roman" w:cs="Times New Roman"/>
          <w:i/>
          <w:snapToGrid w:val="0"/>
        </w:rPr>
        <w:t>Vaikų populiacija</w:t>
      </w:r>
    </w:p>
    <w:p w14:paraId="14677917"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negalima vartoti vaikams ir jaunesniems kaip 18 metų paaugliams didžiosios depresijos sutrikimui gydyti, kadangi yra abejonių dėl saugumo ir veiksmingumo (žr. 4.4, 4.8 ir 5.1 skyrius).</w:t>
      </w:r>
    </w:p>
    <w:p w14:paraId="609D11C3"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Generalizuoto</w:t>
      </w:r>
      <w:proofErr w:type="spellEnd"/>
      <w:r>
        <w:rPr>
          <w:rFonts w:ascii="Times New Roman" w:eastAsia="Times New Roman" w:hAnsi="Times New Roman" w:cs="Times New Roman"/>
          <w:snapToGrid w:val="0"/>
        </w:rPr>
        <w:t xml:space="preserve"> nerimo sutrikimo gydymo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saugumas ir veiksmingumas 7-17 metų vaikų populiacijos pacientams neištirti. Šiuo metu turimi duomenys pateikiami 4.8, 5.1 ir 5.2 skyriuose.</w:t>
      </w:r>
    </w:p>
    <w:p w14:paraId="04BF5EB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CA0D258"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saugumas ir veiksmingumas gydant diabetinės periferinės neuropatijos sukeltą skausmą neištirti. Duomenų nėra.</w:t>
      </w:r>
    </w:p>
    <w:p w14:paraId="00B2413B"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17D1DF1" w14:textId="77777777" w:rsidR="007D1CCA" w:rsidRDefault="00A06746">
      <w:pPr>
        <w:widowControl w:val="0"/>
        <w:tabs>
          <w:tab w:val="left" w:pos="567"/>
        </w:tabs>
        <w:spacing w:after="0" w:line="240" w:lineRule="auto"/>
        <w:rPr>
          <w:rFonts w:ascii="Times New Roman" w:eastAsia="Times New Roman" w:hAnsi="Times New Roman" w:cs="Times New Roman"/>
          <w:i/>
          <w:snapToGrid w:val="0"/>
        </w:rPr>
      </w:pPr>
      <w:r>
        <w:rPr>
          <w:rFonts w:ascii="Times New Roman" w:eastAsia="Times New Roman" w:hAnsi="Times New Roman" w:cs="Times New Roman"/>
          <w:i/>
          <w:snapToGrid w:val="0"/>
        </w:rPr>
        <w:t>Gydymo nutraukimas</w:t>
      </w:r>
    </w:p>
    <w:p w14:paraId="47F29885"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Reikia vengti staigiai nutraukti medikamento vartojimą. Kad sumažėtų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nutraukimo reakcijų </w:t>
      </w:r>
      <w:r>
        <w:rPr>
          <w:rFonts w:ascii="Times New Roman" w:eastAsia="Times New Roman" w:hAnsi="Times New Roman" w:cs="Times New Roman"/>
          <w:snapToGrid w:val="0"/>
        </w:rPr>
        <w:lastRenderedPageBreak/>
        <w:t>pasireiškimo rizika (žr. 4.4 ir 4.8 skyrius), dozę reikia palaipsniui sumažinti ne greičiau kaip per 1-2 savaites. Jeigu sumažinus dozę ar nutraukus medikamento vartojimą atsiranda netoleruojamų simptomų, svarstytinas gydymo anksčiau vartota doze atnaujinimas. Vėliau gydytojas dozę vėl gali mažinti, tačiau tą reikia daryti labiau palaipsniui.</w:t>
      </w:r>
    </w:p>
    <w:p w14:paraId="40D1EFD2"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0EA2C65"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u w:val="single"/>
        </w:rPr>
        <w:t>Vartojimo metodas</w:t>
      </w:r>
    </w:p>
    <w:p w14:paraId="42B6081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Vartoti per burną.</w:t>
      </w:r>
    </w:p>
    <w:p w14:paraId="5C62302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DDF20EA"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4.3</w:t>
      </w:r>
      <w:r>
        <w:rPr>
          <w:rFonts w:ascii="Times New Roman" w:eastAsia="Times New Roman" w:hAnsi="Times New Roman" w:cs="Times New Roman"/>
          <w:b/>
          <w:bCs/>
          <w:snapToGrid w:val="0"/>
          <w:lang w:eastAsia="x-none"/>
        </w:rPr>
        <w:tab/>
        <w:t>Kontraindikacijos</w:t>
      </w:r>
    </w:p>
    <w:p w14:paraId="33FE806F"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591EA7B"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Padidėjęs jautrumas veikliajai arba bet kuriai 6.1 skyriuje nurodytai pagalbinei medžiagai.</w:t>
      </w:r>
    </w:p>
    <w:p w14:paraId="09DD4774" w14:textId="77777777" w:rsidR="007D1CCA" w:rsidRDefault="007D1CCA">
      <w:pPr>
        <w:widowControl w:val="0"/>
        <w:tabs>
          <w:tab w:val="left" w:pos="567"/>
        </w:tabs>
        <w:overflowPunct w:val="0"/>
        <w:autoSpaceDE w:val="0"/>
        <w:autoSpaceDN w:val="0"/>
        <w:adjustRightInd w:val="0"/>
        <w:spacing w:after="0" w:line="240" w:lineRule="auto"/>
        <w:ind w:left="2" w:right="100"/>
        <w:rPr>
          <w:rFonts w:ascii="Times New Roman" w:eastAsia="Times New Roman" w:hAnsi="Times New Roman" w:cs="Times New Roman"/>
          <w:snapToGrid w:val="0"/>
        </w:rPr>
      </w:pPr>
    </w:p>
    <w:p w14:paraId="090AEDA8" w14:textId="77777777" w:rsidR="007D1CCA" w:rsidRDefault="00A06746">
      <w:pPr>
        <w:widowControl w:val="0"/>
        <w:tabs>
          <w:tab w:val="left" w:pos="567"/>
        </w:tabs>
        <w:overflowPunct w:val="0"/>
        <w:autoSpaceDE w:val="0"/>
        <w:autoSpaceDN w:val="0"/>
        <w:adjustRightInd w:val="0"/>
        <w:spacing w:after="0" w:line="240" w:lineRule="auto"/>
        <w:ind w:left="2" w:right="100"/>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negalima vartoti kartu su neselektyviaisiais, negrįžtamo veikimo </w:t>
      </w:r>
      <w:proofErr w:type="spellStart"/>
      <w:r>
        <w:rPr>
          <w:rFonts w:ascii="Times New Roman" w:eastAsia="Times New Roman" w:hAnsi="Times New Roman" w:cs="Times New Roman"/>
          <w:snapToGrid w:val="0"/>
        </w:rPr>
        <w:t>monoaminooksidazės</w:t>
      </w:r>
      <w:proofErr w:type="spellEnd"/>
      <w:r>
        <w:rPr>
          <w:rFonts w:ascii="Times New Roman" w:eastAsia="Times New Roman" w:hAnsi="Times New Roman" w:cs="Times New Roman"/>
          <w:snapToGrid w:val="0"/>
        </w:rPr>
        <w:t xml:space="preserve"> inhibitoriais (MAOI) (žr. 4.5 skyrių).</w:t>
      </w:r>
    </w:p>
    <w:p w14:paraId="034C0892" w14:textId="77777777" w:rsidR="007D1CCA" w:rsidRDefault="007D1CCA">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14:paraId="16F187E8" w14:textId="77777777" w:rsidR="007D1CCA" w:rsidRDefault="00A06746">
      <w:pPr>
        <w:widowControl w:val="0"/>
        <w:tabs>
          <w:tab w:val="left" w:pos="567"/>
        </w:tabs>
        <w:autoSpaceDE w:val="0"/>
        <w:autoSpaceDN w:val="0"/>
        <w:adjustRightInd w:val="0"/>
        <w:spacing w:after="0" w:line="240" w:lineRule="auto"/>
        <w:ind w:left="2"/>
        <w:rPr>
          <w:rFonts w:ascii="Times New Roman" w:eastAsia="Times New Roman" w:hAnsi="Times New Roman" w:cs="Times New Roman"/>
          <w:snapToGrid w:val="0"/>
        </w:rPr>
      </w:pPr>
      <w:r>
        <w:rPr>
          <w:rFonts w:ascii="Times New Roman" w:eastAsia="Times New Roman" w:hAnsi="Times New Roman" w:cs="Times New Roman"/>
          <w:snapToGrid w:val="0"/>
        </w:rPr>
        <w:t>Kepenų liga, sukelianti kepenų pažeidimą (žr. 5.2 skyrių).</w:t>
      </w:r>
    </w:p>
    <w:p w14:paraId="4AF791F8" w14:textId="77777777" w:rsidR="007D1CCA" w:rsidRDefault="007D1CCA">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14:paraId="16A7BAE7" w14:textId="77777777" w:rsidR="007D1CCA" w:rsidRDefault="00A06746">
      <w:pPr>
        <w:widowControl w:val="0"/>
        <w:tabs>
          <w:tab w:val="left" w:pos="567"/>
        </w:tabs>
        <w:overflowPunct w:val="0"/>
        <w:autoSpaceDE w:val="0"/>
        <w:autoSpaceDN w:val="0"/>
        <w:adjustRightInd w:val="0"/>
        <w:spacing w:after="0" w:line="240" w:lineRule="auto"/>
        <w:ind w:left="2"/>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negalima vartoti kartu su CYP1A2 inhibitoriais, tokiais kaip </w:t>
      </w:r>
      <w:proofErr w:type="spellStart"/>
      <w:r>
        <w:rPr>
          <w:rFonts w:ascii="Times New Roman" w:eastAsia="Times New Roman" w:hAnsi="Times New Roman" w:cs="Times New Roman"/>
          <w:snapToGrid w:val="0"/>
        </w:rPr>
        <w:t>fluvoksaminas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ciprofloksacinas</w:t>
      </w:r>
      <w:proofErr w:type="spellEnd"/>
      <w:r>
        <w:rPr>
          <w:rFonts w:ascii="Times New Roman" w:eastAsia="Times New Roman" w:hAnsi="Times New Roman" w:cs="Times New Roman"/>
          <w:snapToGrid w:val="0"/>
        </w:rPr>
        <w:t xml:space="preserve"> arba </w:t>
      </w:r>
      <w:proofErr w:type="spellStart"/>
      <w:r>
        <w:rPr>
          <w:rFonts w:ascii="Times New Roman" w:eastAsia="Times New Roman" w:hAnsi="Times New Roman" w:cs="Times New Roman"/>
          <w:snapToGrid w:val="0"/>
        </w:rPr>
        <w:t>enoksacinas</w:t>
      </w:r>
      <w:proofErr w:type="spellEnd"/>
      <w:r>
        <w:rPr>
          <w:rFonts w:ascii="Times New Roman" w:eastAsia="Times New Roman" w:hAnsi="Times New Roman" w:cs="Times New Roman"/>
          <w:snapToGrid w:val="0"/>
        </w:rPr>
        <w:t xml:space="preserve">, kadangi vartojant juos kartu padidėja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koncentracija kraujo plazmoje (žr. 4.5 skyrių).</w:t>
      </w:r>
    </w:p>
    <w:p w14:paraId="3BB9E14C" w14:textId="77777777" w:rsidR="007D1CCA" w:rsidRDefault="007D1CCA">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14:paraId="6504EEFC" w14:textId="77777777" w:rsidR="007D1CCA" w:rsidRDefault="00A06746">
      <w:pPr>
        <w:widowControl w:val="0"/>
        <w:tabs>
          <w:tab w:val="left" w:pos="567"/>
        </w:tabs>
        <w:autoSpaceDE w:val="0"/>
        <w:autoSpaceDN w:val="0"/>
        <w:adjustRightInd w:val="0"/>
        <w:spacing w:after="0" w:line="240" w:lineRule="auto"/>
        <w:ind w:left="2"/>
        <w:rPr>
          <w:rFonts w:ascii="Times New Roman" w:eastAsia="Times New Roman" w:hAnsi="Times New Roman" w:cs="Times New Roman"/>
          <w:snapToGrid w:val="0"/>
        </w:rPr>
      </w:pPr>
      <w:r>
        <w:rPr>
          <w:rFonts w:ascii="Times New Roman" w:eastAsia="Times New Roman" w:hAnsi="Times New Roman" w:cs="Times New Roman"/>
          <w:snapToGrid w:val="0"/>
        </w:rPr>
        <w:t>Sunkus inkstų funkcijos sutrikimas (kreatinino klirensas &lt; 30 ml/min.) (žr. 4.4 skyrių).</w:t>
      </w:r>
    </w:p>
    <w:p w14:paraId="0951133D" w14:textId="77777777" w:rsidR="007D1CCA" w:rsidRDefault="007D1CCA">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14:paraId="065BCEE6" w14:textId="77777777" w:rsidR="007D1CCA" w:rsidRDefault="00A06746">
      <w:pPr>
        <w:widowControl w:val="0"/>
        <w:tabs>
          <w:tab w:val="left" w:pos="567"/>
        </w:tabs>
        <w:overflowPunct w:val="0"/>
        <w:autoSpaceDE w:val="0"/>
        <w:autoSpaceDN w:val="0"/>
        <w:adjustRightInd w:val="0"/>
        <w:spacing w:after="0" w:line="240" w:lineRule="auto"/>
        <w:ind w:left="2" w:right="60"/>
        <w:rPr>
          <w:rFonts w:ascii="Times New Roman" w:eastAsia="Times New Roman" w:hAnsi="Times New Roman" w:cs="Times New Roman"/>
          <w:snapToGrid w:val="0"/>
        </w:rPr>
      </w:pPr>
      <w:r>
        <w:rPr>
          <w:rFonts w:ascii="Times New Roman" w:eastAsia="Times New Roman" w:hAnsi="Times New Roman" w:cs="Times New Roman"/>
          <w:snapToGrid w:val="0"/>
        </w:rPr>
        <w:t xml:space="preserve">Pacientų, sergančių nesukontroliuota hipertenzija, pradėti gydyti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negalima, kadangi gali kilti </w:t>
      </w:r>
      <w:proofErr w:type="spellStart"/>
      <w:r>
        <w:rPr>
          <w:rFonts w:ascii="Times New Roman" w:eastAsia="Times New Roman" w:hAnsi="Times New Roman" w:cs="Times New Roman"/>
          <w:snapToGrid w:val="0"/>
        </w:rPr>
        <w:t>hipertenzinės</w:t>
      </w:r>
      <w:proofErr w:type="spellEnd"/>
      <w:r>
        <w:rPr>
          <w:rFonts w:ascii="Times New Roman" w:eastAsia="Times New Roman" w:hAnsi="Times New Roman" w:cs="Times New Roman"/>
          <w:snapToGrid w:val="0"/>
        </w:rPr>
        <w:t xml:space="preserve"> krizės rizika (žr. 4.4 ir 4.8 skyrius).</w:t>
      </w:r>
    </w:p>
    <w:p w14:paraId="0B1D08D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3E85420"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4.4</w:t>
      </w:r>
      <w:r>
        <w:rPr>
          <w:rFonts w:ascii="Times New Roman" w:eastAsia="Times New Roman" w:hAnsi="Times New Roman" w:cs="Times New Roman"/>
          <w:b/>
          <w:bCs/>
          <w:snapToGrid w:val="0"/>
          <w:lang w:eastAsia="x-none"/>
        </w:rPr>
        <w:tab/>
        <w:t>Specialūs įspėjimai ir atsargumo priemonės</w:t>
      </w:r>
    </w:p>
    <w:p w14:paraId="32F048C9"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72515EB"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Manija ir traukuliai</w:t>
      </w:r>
    </w:p>
    <w:p w14:paraId="74C6BC79"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reikia atsargiai skirti pacientams, kuriems praeityje buvo diagnozuota manija arba </w:t>
      </w:r>
      <w:proofErr w:type="spellStart"/>
      <w:r>
        <w:rPr>
          <w:rFonts w:ascii="Times New Roman" w:eastAsia="Times New Roman" w:hAnsi="Times New Roman" w:cs="Times New Roman"/>
          <w:snapToGrid w:val="0"/>
        </w:rPr>
        <w:t>bipolinis</w:t>
      </w:r>
      <w:proofErr w:type="spellEnd"/>
      <w:r>
        <w:rPr>
          <w:rFonts w:ascii="Times New Roman" w:eastAsia="Times New Roman" w:hAnsi="Times New Roman" w:cs="Times New Roman"/>
          <w:snapToGrid w:val="0"/>
        </w:rPr>
        <w:t xml:space="preserve"> sutrikimas ir (arba) pasireiškė traukuliai.</w:t>
      </w:r>
    </w:p>
    <w:p w14:paraId="07396193"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F61025E"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proofErr w:type="spellStart"/>
      <w:r>
        <w:rPr>
          <w:rFonts w:ascii="Times New Roman" w:eastAsia="Times New Roman" w:hAnsi="Times New Roman" w:cs="Times New Roman"/>
          <w:snapToGrid w:val="0"/>
          <w:u w:val="single"/>
        </w:rPr>
        <w:t>Midriazė</w:t>
      </w:r>
      <w:proofErr w:type="spellEnd"/>
    </w:p>
    <w:p w14:paraId="07A4B24F"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Buvo nustatyta, kad </w:t>
      </w:r>
      <w:proofErr w:type="spellStart"/>
      <w:r>
        <w:rPr>
          <w:rFonts w:ascii="Times New Roman" w:eastAsia="Times New Roman" w:hAnsi="Times New Roman" w:cs="Times New Roman"/>
          <w:snapToGrid w:val="0"/>
        </w:rPr>
        <w:t>midriazė</w:t>
      </w:r>
      <w:proofErr w:type="spellEnd"/>
      <w:r>
        <w:rPr>
          <w:rFonts w:ascii="Times New Roman" w:eastAsia="Times New Roman" w:hAnsi="Times New Roman" w:cs="Times New Roman"/>
          <w:snapToGrid w:val="0"/>
        </w:rPr>
        <w:t xml:space="preserve"> gali būti susijusi su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vartojimu, todėl reikia būti atsargiems skiriant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pacientams, kuriems yra padidėjęs akispūdis arba yra ūminės uždaro kampo glaukomos atsiradimo pavojus.</w:t>
      </w:r>
    </w:p>
    <w:p w14:paraId="5459323A"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CE8B761"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Kraujo spaudimas ir širdies susitraukimų dažnis</w:t>
      </w:r>
    </w:p>
    <w:p w14:paraId="06CFFC0D"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Kai kuriems pacientams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vartojimas buvo susijęs su kraujo spaudimo padidėjimu ir klinikai reikšminga hipertenzija. Toks pokytis galimas dėl </w:t>
      </w:r>
      <w:proofErr w:type="spellStart"/>
      <w:r>
        <w:rPr>
          <w:rFonts w:ascii="Times New Roman" w:eastAsia="Times New Roman" w:hAnsi="Times New Roman" w:cs="Times New Roman"/>
          <w:snapToGrid w:val="0"/>
        </w:rPr>
        <w:t>noradrenerginio</w:t>
      </w:r>
      <w:proofErr w:type="spellEnd"/>
      <w:r>
        <w:rPr>
          <w:rFonts w:ascii="Times New Roman" w:eastAsia="Times New Roman" w:hAnsi="Times New Roman" w:cs="Times New Roman"/>
          <w:snapToGrid w:val="0"/>
        </w:rPr>
        <w:t xml:space="preserve"> medikamento poveikio. Gydant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buvo </w:t>
      </w:r>
      <w:proofErr w:type="spellStart"/>
      <w:r>
        <w:rPr>
          <w:rFonts w:ascii="Times New Roman" w:eastAsia="Times New Roman" w:hAnsi="Times New Roman" w:cs="Times New Roman"/>
          <w:snapToGrid w:val="0"/>
        </w:rPr>
        <w:t>hipertenzinės</w:t>
      </w:r>
      <w:proofErr w:type="spellEnd"/>
      <w:r>
        <w:rPr>
          <w:rFonts w:ascii="Times New Roman" w:eastAsia="Times New Roman" w:hAnsi="Times New Roman" w:cs="Times New Roman"/>
          <w:snapToGrid w:val="0"/>
        </w:rPr>
        <w:t xml:space="preserve"> krizės atvejų, ypač pacientams, kuriems prieš pradedant gydyti buvo hipertenzija. Vadinasi, pacientams, sergantiems hipertenzija ir (arba) kita širdies liga, rekomenduojama stebėti kraujo spaudimą, ypač pirmą gydymo mėnesį. Pacientus, kurių būklė dėl širdies susitraukimų dažnio ar kraujo spaudimo padidėjimo gali tapti pavojinga,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reikia gydyti atsargiai. Atsarga būtina ir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vartojant kartu su vaistiniais preparatais, galinčiais trikdyti jo metabolizmą (žr. 4.5 skyrių). Pacientams, kuriems gydymo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metu pasireiškia ilgalaikis kraujospūdžio padidėjimas, svarstytinas dozės mažinimas arba </w:t>
      </w:r>
      <w:proofErr w:type="spellStart"/>
      <w:r>
        <w:rPr>
          <w:rFonts w:ascii="Times New Roman" w:eastAsia="Times New Roman" w:hAnsi="Times New Roman" w:cs="Times New Roman"/>
          <w:snapToGrid w:val="0"/>
        </w:rPr>
        <w:t>palaipsnis</w:t>
      </w:r>
      <w:proofErr w:type="spellEnd"/>
      <w:r>
        <w:rPr>
          <w:rFonts w:ascii="Times New Roman" w:eastAsia="Times New Roman" w:hAnsi="Times New Roman" w:cs="Times New Roman"/>
          <w:snapToGrid w:val="0"/>
        </w:rPr>
        <w:t xml:space="preserve"> gydymo šiuo preparatu nutraukimas (žr. 4.8 skyrių). Pacientų, kurių hipertenzija nesukontroliuota, pradėti gydyti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negalima (žr. 4.3 skyrių).</w:t>
      </w:r>
    </w:p>
    <w:p w14:paraId="74054347"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8F302B7"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Inkstų funkcijos sutrikimas</w:t>
      </w:r>
    </w:p>
    <w:p w14:paraId="6DBBED23"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Pacientams, kuriems yra sunkus inkstų funkcijos sutrikimas ir kuriems taikoma hemodializė (kreatinino klirensas &lt; 30 ml/min.), padidėja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koncentracija plazmoje. Žr. 4.3 skyrių apie sunkų inkstų funkcijos sutrikimą. Informacija apie pacientus, kuriems yra lengvas arba vidutinio sunkumo inkstų funkcijos sutrikimas pateikta 4.2 skyriuje.</w:t>
      </w:r>
    </w:p>
    <w:p w14:paraId="5D853C91"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B717365" w14:textId="4C38B3F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bookmarkStart w:id="2" w:name="page5"/>
      <w:bookmarkEnd w:id="2"/>
      <w:proofErr w:type="spellStart"/>
      <w:r>
        <w:rPr>
          <w:rFonts w:ascii="Times New Roman" w:eastAsia="Times New Roman" w:hAnsi="Times New Roman" w:cs="Times New Roman"/>
          <w:snapToGrid w:val="0"/>
          <w:u w:val="single"/>
        </w:rPr>
        <w:t>Serotonininis</w:t>
      </w:r>
      <w:proofErr w:type="spellEnd"/>
      <w:r>
        <w:rPr>
          <w:rFonts w:ascii="Times New Roman" w:eastAsia="Times New Roman" w:hAnsi="Times New Roman" w:cs="Times New Roman"/>
          <w:snapToGrid w:val="0"/>
          <w:u w:val="single"/>
        </w:rPr>
        <w:t xml:space="preserve"> sindromas</w:t>
      </w:r>
      <w:r>
        <w:t>/p</w:t>
      </w:r>
      <w:r>
        <w:rPr>
          <w:rFonts w:ascii="Times New Roman" w:eastAsia="Times New Roman" w:hAnsi="Times New Roman" w:cs="Times New Roman"/>
          <w:snapToGrid w:val="0"/>
          <w:u w:val="single"/>
        </w:rPr>
        <w:t xml:space="preserve">iktybinis </w:t>
      </w:r>
      <w:proofErr w:type="spellStart"/>
      <w:r>
        <w:rPr>
          <w:rFonts w:ascii="Times New Roman" w:eastAsia="Times New Roman" w:hAnsi="Times New Roman" w:cs="Times New Roman"/>
          <w:snapToGrid w:val="0"/>
          <w:u w:val="single"/>
        </w:rPr>
        <w:t>neurolepsinis</w:t>
      </w:r>
      <w:proofErr w:type="spellEnd"/>
      <w:r>
        <w:rPr>
          <w:rFonts w:ascii="Times New Roman" w:eastAsia="Times New Roman" w:hAnsi="Times New Roman" w:cs="Times New Roman"/>
          <w:snapToGrid w:val="0"/>
          <w:u w:val="single"/>
        </w:rPr>
        <w:t xml:space="preserve"> sindromas</w:t>
      </w:r>
    </w:p>
    <w:p w14:paraId="2A64D909"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lastRenderedPageBreak/>
        <w:t xml:space="preserve">Vartojant </w:t>
      </w:r>
      <w:proofErr w:type="spellStart"/>
      <w:r>
        <w:rPr>
          <w:rFonts w:ascii="Times New Roman" w:eastAsia="Times New Roman" w:hAnsi="Times New Roman" w:cs="Times New Roman"/>
          <w:snapToGrid w:val="0"/>
        </w:rPr>
        <w:t>duloksetiną</w:t>
      </w:r>
      <w:proofErr w:type="spellEnd"/>
      <w:r>
        <w:rPr>
          <w:rFonts w:ascii="Times New Roman" w:eastAsia="Times New Roman" w:hAnsi="Times New Roman" w:cs="Times New Roman"/>
          <w:snapToGrid w:val="0"/>
        </w:rPr>
        <w:t xml:space="preserve">, kaip ir kitokius </w:t>
      </w:r>
      <w:proofErr w:type="spellStart"/>
      <w:r>
        <w:rPr>
          <w:rFonts w:ascii="Times New Roman" w:eastAsia="Times New Roman" w:hAnsi="Times New Roman" w:cs="Times New Roman"/>
          <w:snapToGrid w:val="0"/>
        </w:rPr>
        <w:t>serotoninerginius</w:t>
      </w:r>
      <w:proofErr w:type="spellEnd"/>
      <w:r>
        <w:rPr>
          <w:rFonts w:ascii="Times New Roman" w:eastAsia="Times New Roman" w:hAnsi="Times New Roman" w:cs="Times New Roman"/>
          <w:snapToGrid w:val="0"/>
        </w:rPr>
        <w:t xml:space="preserve"> vaistinius preparatus, gali pasireikšti pavojų gyvybei galinti lemti būklė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sindromas</w:t>
      </w:r>
      <w:r>
        <w:t xml:space="preserve"> </w:t>
      </w:r>
      <w:r>
        <w:rPr>
          <w:rFonts w:ascii="Times New Roman" w:eastAsia="Times New Roman" w:hAnsi="Times New Roman" w:cs="Times New Roman"/>
          <w:snapToGrid w:val="0"/>
        </w:rPr>
        <w:t xml:space="preserve">arba piktybinis </w:t>
      </w:r>
      <w:proofErr w:type="spellStart"/>
      <w:r>
        <w:rPr>
          <w:rFonts w:ascii="Times New Roman" w:eastAsia="Times New Roman" w:hAnsi="Times New Roman" w:cs="Times New Roman"/>
          <w:snapToGrid w:val="0"/>
        </w:rPr>
        <w:t>neurolepsinis</w:t>
      </w:r>
      <w:proofErr w:type="spellEnd"/>
      <w:r>
        <w:rPr>
          <w:rFonts w:ascii="Times New Roman" w:eastAsia="Times New Roman" w:hAnsi="Times New Roman" w:cs="Times New Roman"/>
          <w:snapToGrid w:val="0"/>
        </w:rPr>
        <w:t xml:space="preserve"> sindromas (PNS), ypač vartojant kartu su kitais </w:t>
      </w:r>
      <w:proofErr w:type="spellStart"/>
      <w:r>
        <w:rPr>
          <w:rFonts w:ascii="Times New Roman" w:eastAsia="Times New Roman" w:hAnsi="Times New Roman" w:cs="Times New Roman"/>
          <w:snapToGrid w:val="0"/>
        </w:rPr>
        <w:t>serotoninerginiais</w:t>
      </w:r>
      <w:proofErr w:type="spellEnd"/>
      <w:r>
        <w:rPr>
          <w:rFonts w:ascii="Times New Roman" w:eastAsia="Times New Roman" w:hAnsi="Times New Roman" w:cs="Times New Roman"/>
          <w:snapToGrid w:val="0"/>
        </w:rPr>
        <w:t xml:space="preserve"> vaistiniais preparatais (įskaitant SSRI, SNRI, </w:t>
      </w:r>
      <w:proofErr w:type="spellStart"/>
      <w:r>
        <w:rPr>
          <w:rFonts w:ascii="Times New Roman" w:eastAsia="Times New Roman" w:hAnsi="Times New Roman" w:cs="Times New Roman"/>
          <w:snapToGrid w:val="0"/>
        </w:rPr>
        <w:t>triciklius</w:t>
      </w:r>
      <w:proofErr w:type="spellEnd"/>
      <w:r>
        <w:rPr>
          <w:rFonts w:ascii="Times New Roman" w:eastAsia="Times New Roman" w:hAnsi="Times New Roman" w:cs="Times New Roman"/>
          <w:snapToGrid w:val="0"/>
        </w:rPr>
        <w:t xml:space="preserve"> antidepresantus ar </w:t>
      </w:r>
      <w:proofErr w:type="spellStart"/>
      <w:r>
        <w:rPr>
          <w:rFonts w:ascii="Times New Roman" w:eastAsia="Times New Roman" w:hAnsi="Times New Roman" w:cs="Times New Roman"/>
          <w:snapToGrid w:val="0"/>
        </w:rPr>
        <w:t>triptanus</w:t>
      </w:r>
      <w:proofErr w:type="spellEnd"/>
      <w:r>
        <w:rPr>
          <w:rFonts w:ascii="Times New Roman" w:eastAsia="Times New Roman" w:hAnsi="Times New Roman" w:cs="Times New Roman"/>
          <w:snapToGrid w:val="0"/>
        </w:rPr>
        <w:t xml:space="preserve">), vaistiniais preparatais, kurie trikdo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metabolizmą, pavyzdžiui: MAOI, kartu su </w:t>
      </w:r>
      <w:proofErr w:type="spellStart"/>
      <w:r>
        <w:rPr>
          <w:rFonts w:ascii="Times New Roman" w:eastAsia="Times New Roman" w:hAnsi="Times New Roman" w:cs="Times New Roman"/>
          <w:snapToGrid w:val="0"/>
        </w:rPr>
        <w:t>antipsichoziniais</w:t>
      </w:r>
      <w:proofErr w:type="spellEnd"/>
      <w:r>
        <w:rPr>
          <w:rFonts w:ascii="Times New Roman" w:eastAsia="Times New Roman" w:hAnsi="Times New Roman" w:cs="Times New Roman"/>
          <w:snapToGrid w:val="0"/>
        </w:rPr>
        <w:t xml:space="preserve"> vaistiniais preparatais ar kitokiais </w:t>
      </w:r>
      <w:proofErr w:type="spellStart"/>
      <w:r>
        <w:rPr>
          <w:rFonts w:ascii="Times New Roman" w:eastAsia="Times New Roman" w:hAnsi="Times New Roman" w:cs="Times New Roman"/>
          <w:snapToGrid w:val="0"/>
        </w:rPr>
        <w:t>dopamino</w:t>
      </w:r>
      <w:proofErr w:type="spellEnd"/>
      <w:r>
        <w:rPr>
          <w:rFonts w:ascii="Times New Roman" w:eastAsia="Times New Roman" w:hAnsi="Times New Roman" w:cs="Times New Roman"/>
          <w:snapToGrid w:val="0"/>
        </w:rPr>
        <w:t xml:space="preserve"> antagonistais arba </w:t>
      </w:r>
      <w:proofErr w:type="spellStart"/>
      <w:r>
        <w:rPr>
          <w:rFonts w:ascii="Times New Roman" w:eastAsia="Times New Roman" w:hAnsi="Times New Roman" w:cs="Times New Roman"/>
          <w:snapToGrid w:val="0"/>
        </w:rPr>
        <w:t>buprenorfinu</w:t>
      </w:r>
      <w:proofErr w:type="spellEnd"/>
      <w:r>
        <w:rPr>
          <w:rFonts w:ascii="Times New Roman" w:eastAsia="Times New Roman" w:hAnsi="Times New Roman" w:cs="Times New Roman"/>
          <w:snapToGrid w:val="0"/>
        </w:rPr>
        <w:t xml:space="preserve">, kurie gali veikti </w:t>
      </w:r>
      <w:proofErr w:type="spellStart"/>
      <w:r>
        <w:rPr>
          <w:rFonts w:ascii="Times New Roman" w:eastAsia="Times New Roman" w:hAnsi="Times New Roman" w:cs="Times New Roman"/>
          <w:snapToGrid w:val="0"/>
        </w:rPr>
        <w:t>serotoninerginių</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neurotransmiterių</w:t>
      </w:r>
      <w:proofErr w:type="spellEnd"/>
      <w:r>
        <w:rPr>
          <w:rFonts w:ascii="Times New Roman" w:eastAsia="Times New Roman" w:hAnsi="Times New Roman" w:cs="Times New Roman"/>
          <w:snapToGrid w:val="0"/>
        </w:rPr>
        <w:t xml:space="preserve"> sistemą (žr. 4.3 ir 4.5 skyrius).</w:t>
      </w:r>
    </w:p>
    <w:p w14:paraId="79E704F5"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EB63147" w14:textId="428A5A13"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Jeigu atsižvelgiant į paciento klinikinę būklę, yra būtina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vartoti kartu su kitais </w:t>
      </w:r>
      <w:proofErr w:type="spellStart"/>
      <w:r>
        <w:rPr>
          <w:rFonts w:ascii="Times New Roman" w:eastAsia="Times New Roman" w:hAnsi="Times New Roman" w:cs="Times New Roman"/>
          <w:snapToGrid w:val="0"/>
        </w:rPr>
        <w:t>serotoninerginiais</w:t>
      </w:r>
      <w:proofErr w:type="spellEnd"/>
      <w:r>
        <w:rPr>
          <w:rFonts w:ascii="Times New Roman" w:eastAsia="Times New Roman" w:hAnsi="Times New Roman" w:cs="Times New Roman"/>
          <w:snapToGrid w:val="0"/>
        </w:rPr>
        <w:t>/</w:t>
      </w:r>
      <w:proofErr w:type="spellStart"/>
      <w:r>
        <w:rPr>
          <w:rFonts w:ascii="Times New Roman" w:eastAsia="Times New Roman" w:hAnsi="Times New Roman" w:cs="Times New Roman"/>
          <w:snapToGrid w:val="0"/>
        </w:rPr>
        <w:t>neurolepsiniais</w:t>
      </w:r>
      <w:proofErr w:type="spellEnd"/>
      <w:r>
        <w:rPr>
          <w:rFonts w:ascii="Times New Roman" w:eastAsia="Times New Roman" w:hAnsi="Times New Roman" w:cs="Times New Roman"/>
          <w:snapToGrid w:val="0"/>
        </w:rPr>
        <w:t xml:space="preserve"> vaistiniais preparatais, kurie gali veikti </w:t>
      </w:r>
      <w:proofErr w:type="spellStart"/>
      <w:r>
        <w:rPr>
          <w:rFonts w:ascii="Times New Roman" w:eastAsia="Times New Roman" w:hAnsi="Times New Roman" w:cs="Times New Roman"/>
          <w:snapToGrid w:val="0"/>
        </w:rPr>
        <w:t>serotoninerginių</w:t>
      </w:r>
      <w:proofErr w:type="spellEnd"/>
      <w:r>
        <w:rPr>
          <w:rFonts w:ascii="Times New Roman" w:eastAsia="Times New Roman" w:hAnsi="Times New Roman" w:cs="Times New Roman"/>
          <w:snapToGrid w:val="0"/>
        </w:rPr>
        <w:t xml:space="preserve"> ir (arba) </w:t>
      </w:r>
      <w:proofErr w:type="spellStart"/>
      <w:r>
        <w:rPr>
          <w:rFonts w:ascii="Times New Roman" w:eastAsia="Times New Roman" w:hAnsi="Times New Roman" w:cs="Times New Roman"/>
          <w:snapToGrid w:val="0"/>
        </w:rPr>
        <w:t>dopaminerginių</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neurotransmiterių</w:t>
      </w:r>
      <w:proofErr w:type="spellEnd"/>
      <w:r>
        <w:rPr>
          <w:rFonts w:ascii="Times New Roman" w:eastAsia="Times New Roman" w:hAnsi="Times New Roman" w:cs="Times New Roman"/>
          <w:snapToGrid w:val="0"/>
        </w:rPr>
        <w:t xml:space="preserve"> sistemą, paciento būklę rekomenduojama atidžiai stebėti, ypač gydymo pradžioje ir didinant vaistinio preparato dozę.</w:t>
      </w:r>
      <w:r>
        <w:t xml:space="preserve"> </w:t>
      </w:r>
      <w:r>
        <w:rPr>
          <w:rFonts w:ascii="Times New Roman" w:eastAsia="Times New Roman" w:hAnsi="Times New Roman" w:cs="Times New Roman"/>
          <w:snapToGrid w:val="0"/>
        </w:rPr>
        <w:t>Sunkiausi</w:t>
      </w:r>
      <w:r w:rsidR="00617ACD">
        <w:rPr>
          <w:rFonts w:ascii="Times New Roman" w:eastAsia="Times New Roman" w:hAnsi="Times New Roman" w:cs="Times New Roman"/>
          <w:snapToGrid w:val="0"/>
        </w:rPr>
        <w:t>os</w:t>
      </w:r>
      <w:r>
        <w:rPr>
          <w:rFonts w:ascii="Times New Roman" w:eastAsia="Times New Roman" w:hAnsi="Times New Roman" w:cs="Times New Roman"/>
          <w:snapToGrid w:val="0"/>
        </w:rPr>
        <w:t xml:space="preserve"> </w:t>
      </w:r>
      <w:r w:rsidR="00617ACD">
        <w:rPr>
          <w:rFonts w:ascii="Times New Roman" w:eastAsia="Times New Roman" w:hAnsi="Times New Roman" w:cs="Times New Roman"/>
          <w:snapToGrid w:val="0"/>
        </w:rPr>
        <w:t xml:space="preserve">formos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sindromas gali būti panašus į PNS, kuris apima hipertermiją, raumenų </w:t>
      </w:r>
      <w:proofErr w:type="spellStart"/>
      <w:r>
        <w:rPr>
          <w:rFonts w:ascii="Times New Roman" w:eastAsia="Times New Roman" w:hAnsi="Times New Roman" w:cs="Times New Roman"/>
          <w:snapToGrid w:val="0"/>
        </w:rPr>
        <w:t>rigidiškumą</w:t>
      </w:r>
      <w:proofErr w:type="spellEnd"/>
      <w:r>
        <w:rPr>
          <w:rFonts w:ascii="Times New Roman" w:eastAsia="Times New Roman" w:hAnsi="Times New Roman" w:cs="Times New Roman"/>
          <w:snapToGrid w:val="0"/>
        </w:rPr>
        <w:t xml:space="preserve">, padidėjusį </w:t>
      </w:r>
      <w:proofErr w:type="spellStart"/>
      <w:r>
        <w:rPr>
          <w:rFonts w:ascii="Times New Roman" w:eastAsia="Times New Roman" w:hAnsi="Times New Roman" w:cs="Times New Roman"/>
          <w:snapToGrid w:val="0"/>
        </w:rPr>
        <w:t>kreatinkinazės</w:t>
      </w:r>
      <w:proofErr w:type="spellEnd"/>
      <w:r>
        <w:rPr>
          <w:rFonts w:ascii="Times New Roman" w:eastAsia="Times New Roman" w:hAnsi="Times New Roman" w:cs="Times New Roman"/>
          <w:snapToGrid w:val="0"/>
        </w:rPr>
        <w:t xml:space="preserve"> </w:t>
      </w:r>
      <w:r w:rsidR="00617ACD">
        <w:rPr>
          <w:rFonts w:ascii="Times New Roman" w:eastAsia="Times New Roman" w:hAnsi="Times New Roman" w:cs="Times New Roman"/>
          <w:snapToGrid w:val="0"/>
        </w:rPr>
        <w:t>aktyvumą</w:t>
      </w:r>
      <w:r>
        <w:rPr>
          <w:rFonts w:ascii="Times New Roman" w:eastAsia="Times New Roman" w:hAnsi="Times New Roman" w:cs="Times New Roman"/>
          <w:snapToGrid w:val="0"/>
        </w:rPr>
        <w:t xml:space="preserve"> serume, autonomin</w:t>
      </w:r>
      <w:r w:rsidR="00617ACD">
        <w:rPr>
          <w:rFonts w:ascii="Times New Roman" w:eastAsia="Times New Roman" w:hAnsi="Times New Roman" w:cs="Times New Roman"/>
          <w:snapToGrid w:val="0"/>
        </w:rPr>
        <w:t>ės</w:t>
      </w:r>
      <w:r>
        <w:rPr>
          <w:rFonts w:ascii="Times New Roman" w:eastAsia="Times New Roman" w:hAnsi="Times New Roman" w:cs="Times New Roman"/>
          <w:snapToGrid w:val="0"/>
        </w:rPr>
        <w:t xml:space="preserve"> </w:t>
      </w:r>
      <w:r w:rsidR="00617ACD">
        <w:rPr>
          <w:rFonts w:ascii="Times New Roman" w:eastAsia="Times New Roman" w:hAnsi="Times New Roman" w:cs="Times New Roman"/>
          <w:snapToGrid w:val="0"/>
        </w:rPr>
        <w:t xml:space="preserve">nervų sistemos </w:t>
      </w:r>
      <w:r>
        <w:rPr>
          <w:rFonts w:ascii="Times New Roman" w:eastAsia="Times New Roman" w:hAnsi="Times New Roman" w:cs="Times New Roman"/>
          <w:snapToGrid w:val="0"/>
        </w:rPr>
        <w:t>nestabilumą su galimu greitu gyvybinių požymių svyravimu ir psichinės būklės pokyčiais.</w:t>
      </w:r>
    </w:p>
    <w:p w14:paraId="1E8D377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A951BA2"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Serotonininis</w:t>
      </w:r>
      <w:proofErr w:type="spellEnd"/>
      <w:r>
        <w:rPr>
          <w:rFonts w:ascii="Times New Roman" w:eastAsia="Times New Roman" w:hAnsi="Times New Roman" w:cs="Times New Roman"/>
          <w:snapToGrid w:val="0"/>
        </w:rPr>
        <w:t xml:space="preserve"> sindromas gali pasireikšti psichinės būklės pokyčiais (pvz.: susijaudinimu, haliucinacijomis, koma), autonominės nervų sistemos nestabilumu (pvz.: tachikardija, kintamu kraujospūdžiu, hipertermija), nervų ir raumenų sutrikimais (pvz.: </w:t>
      </w:r>
      <w:proofErr w:type="spellStart"/>
      <w:r>
        <w:rPr>
          <w:rFonts w:ascii="Times New Roman" w:eastAsia="Times New Roman" w:hAnsi="Times New Roman" w:cs="Times New Roman"/>
          <w:snapToGrid w:val="0"/>
        </w:rPr>
        <w:t>hiperrefleksija</w:t>
      </w:r>
      <w:proofErr w:type="spellEnd"/>
      <w:r>
        <w:rPr>
          <w:rFonts w:ascii="Times New Roman" w:eastAsia="Times New Roman" w:hAnsi="Times New Roman" w:cs="Times New Roman"/>
          <w:snapToGrid w:val="0"/>
        </w:rPr>
        <w:t>, koordinacijos nebuvimu) ir (arba) virškinimo sutrikimų simptomais (pvz.: pykinimu, vėmimu, viduriavimu).</w:t>
      </w:r>
    </w:p>
    <w:p w14:paraId="3551DC0F"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0740CDC"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Paprastoji jonažolė</w:t>
      </w:r>
    </w:p>
    <w:p w14:paraId="1F1E0C7F"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vartojant kartu su augaliniais preparatais, kuriuose yra paprastųjų jonažolių (</w:t>
      </w:r>
      <w:proofErr w:type="spellStart"/>
      <w:r>
        <w:rPr>
          <w:rFonts w:ascii="Times New Roman" w:eastAsia="Times New Roman" w:hAnsi="Times New Roman" w:cs="Times New Roman"/>
          <w:i/>
          <w:snapToGrid w:val="0"/>
        </w:rPr>
        <w:t>Hypericum</w:t>
      </w:r>
      <w:proofErr w:type="spellEnd"/>
      <w:r>
        <w:rPr>
          <w:rFonts w:ascii="Times New Roman" w:eastAsia="Times New Roman" w:hAnsi="Times New Roman" w:cs="Times New Roman"/>
          <w:i/>
          <w:snapToGrid w:val="0"/>
        </w:rPr>
        <w:t xml:space="preserve"> </w:t>
      </w:r>
      <w:proofErr w:type="spellStart"/>
      <w:r>
        <w:rPr>
          <w:rFonts w:ascii="Times New Roman" w:eastAsia="Times New Roman" w:hAnsi="Times New Roman" w:cs="Times New Roman"/>
          <w:i/>
          <w:snapToGrid w:val="0"/>
        </w:rPr>
        <w:t>perforatum</w:t>
      </w:r>
      <w:proofErr w:type="spellEnd"/>
      <w:r>
        <w:rPr>
          <w:rFonts w:ascii="Times New Roman" w:eastAsia="Times New Roman" w:hAnsi="Times New Roman" w:cs="Times New Roman"/>
          <w:snapToGrid w:val="0"/>
        </w:rPr>
        <w:t>), gali dažniau pasireikšti nepageidaujamos reakcijos.</w:t>
      </w:r>
    </w:p>
    <w:p w14:paraId="5ED21CEE"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DACCA86"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Savižudybė</w:t>
      </w:r>
    </w:p>
    <w:p w14:paraId="28E25E62"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Didžiosios depresijos sutrikimas ir </w:t>
      </w:r>
      <w:proofErr w:type="spellStart"/>
      <w:r>
        <w:rPr>
          <w:rFonts w:ascii="Times New Roman" w:eastAsia="Times New Roman" w:hAnsi="Times New Roman" w:cs="Times New Roman"/>
          <w:snapToGrid w:val="0"/>
        </w:rPr>
        <w:t>generalizuoto</w:t>
      </w:r>
      <w:proofErr w:type="spellEnd"/>
      <w:r>
        <w:rPr>
          <w:rFonts w:ascii="Times New Roman" w:eastAsia="Times New Roman" w:hAnsi="Times New Roman" w:cs="Times New Roman"/>
          <w:snapToGrid w:val="0"/>
        </w:rPr>
        <w:t xml:space="preserve"> nerimo sutrikimas. Depresija susijusi su minčių apie savižudybę, savęs žalojimo ir savižudybės (su savižudybe susijusių reiškinių) rizikos padidėjimu. Ši rizika yra tol, kol pasireiškia žymus pagerėjimas. Pagerėjimo gali nebūti keletą pirmų gydymo savaičių ar ilgiau, taigi pacientus reikia atidžiai stebėti, kol šis pagerėjimas pasireikš. Remiantis bendrąja klinikine patirtimi, ankstyvuoju sveikimo laikotarpiu savižudybės rizika gali padidėti.</w:t>
      </w:r>
    </w:p>
    <w:p w14:paraId="0F4B9811"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2157C12"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Su savižudybe susijusių reiškinių rizika gali padidėti ir kitų psichikos sutrikimų, kuriems gydyti skiriama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metu. Be to, šie sutrikimai gali būti susiję su didžiosios depresijos sutrikimu. Vadinasi, gydant kitokį psichikos sutrikimą, reikia laikytis tokių pačių atsargumo priemonių, kaip gydant didžiosios depresijos sutrikimą.</w:t>
      </w:r>
    </w:p>
    <w:p w14:paraId="6D45ABB5"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4D9318C"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Žinoma, kad pacientams, kuriems anksčiau buvo su savižudybe susijusių reiškinių arba kurie prieš pradedant gydymą daug galvoja apie savižudybę, su savižudybe susijusių minčių ar savižudiško elgesio rizika yra didesnė, taigi juos gydymo metu reikia atidžiai stebėti. Klinikinių placebu kontroliuojamųjų psichikos sutrikimų gydymo antidepresantais tyrimų </w:t>
      </w:r>
      <w:proofErr w:type="spellStart"/>
      <w:r>
        <w:rPr>
          <w:rFonts w:ascii="Times New Roman" w:eastAsia="Times New Roman" w:hAnsi="Times New Roman" w:cs="Times New Roman"/>
          <w:snapToGrid w:val="0"/>
        </w:rPr>
        <w:t>metaanalizė</w:t>
      </w:r>
      <w:proofErr w:type="spellEnd"/>
      <w:r>
        <w:rPr>
          <w:rFonts w:ascii="Times New Roman" w:eastAsia="Times New Roman" w:hAnsi="Times New Roman" w:cs="Times New Roman"/>
          <w:snapToGrid w:val="0"/>
        </w:rPr>
        <w:t xml:space="preserve"> rodo, kad jaunesniems nei 25 metų ligoniams, vartojantiems antidepresantų, palyginti su placebu, savižudiško elgesio rizika yra didesnė.</w:t>
      </w:r>
    </w:p>
    <w:p w14:paraId="3B4E85D3"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E70D1CF"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Gydantis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arba netrukus po gydymo nutraukimo nustatyta savižudiškų minčių ir savižudiško elgesio atvejų (žr. 4.8 skyrių).</w:t>
      </w:r>
    </w:p>
    <w:p w14:paraId="592DCA17"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CAEB0AB"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Gydymo metu reikia atidžiai prižiūrėti pacientus ir ypač tuos, kuriems yra didelė rizika, ypač ankstyvuoju gydymo laikotarpiu ar po dozės pakeitimo. Pacientus (taip pat asmenis, prižiūrinčius pacientus) reikia įspėti, kad būtina stebėti, ar būklė neblogėja, ar neatsiranda savižudiškų minčių arba elgesio, ar nepasireiškia neįprastas elgesys, o šiems simptomams pasireiškus, nedelsiant kreiptis medicininės pagalbos.</w:t>
      </w:r>
    </w:p>
    <w:p w14:paraId="64BC6191"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9F7E286"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snapToGrid w:val="0"/>
        </w:rPr>
        <w:t>Skausmas dėl periferinės diabetinės neuropatijos:</w:t>
      </w:r>
      <w:r>
        <w:rPr>
          <w:rFonts w:ascii="Times New Roman" w:eastAsia="Times New Roman" w:hAnsi="Times New Roman" w:cs="Times New Roman"/>
          <w:snapToGrid w:val="0"/>
        </w:rPr>
        <w:t xml:space="preserve"> kaip ir vartojant kitus panašaus farmakologinio poveikio vaistus (antidepresantus), buvo pavienių pranešimų apie atsiradusias savižudiškas mintis ir elgesį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vartojimo metu arba netrukus po gydymo nutraukimo. Apie su depresija susijusį savižudišką </w:t>
      </w:r>
      <w:bookmarkStart w:id="3" w:name="page6"/>
      <w:bookmarkEnd w:id="3"/>
      <w:r>
        <w:rPr>
          <w:rFonts w:ascii="Times New Roman" w:eastAsia="Times New Roman" w:hAnsi="Times New Roman" w:cs="Times New Roman"/>
          <w:snapToGrid w:val="0"/>
        </w:rPr>
        <w:t>elgesį žr. anksčiau. Gydytojai turi paraginti pacientus visada pranešti apie bet kokias kankinančias mintis ar jausmus.</w:t>
      </w:r>
    </w:p>
    <w:p w14:paraId="25BA0945"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D0266B1"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Vartojimas vaikams ir jaunesniems kaip 18 metų paaugliams</w:t>
      </w:r>
    </w:p>
    <w:p w14:paraId="102A9136"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Vaikams ir paaugliams iki 18 metų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vartoti draudžiama. Klinikinių tyrimų metu pastebėta, kad vartojusiems antidepresantų vaikams ir paaugliams dažniau atsirasdavo elgesys siejamas su savižudišku elgesiu (bandymai nusižudyti, savižudiškos mintys) bei priešiškumas (daugiausiai agresija, opozicinis neklusnumas, pyktis), nei vartojusiems placebo. Jei remiantis klinikiniu poreikiu, vis tiek nusprendžiama taikyti gydymą šiuo vaistu, pacientą reikia atidžiai nuolat stebėti dėl polinkio į savižudybę apraiškų (žr. 5.1 skyrių). Be to, nepakanka ilgalaikių saugumo duomenų apie preparato poveikį vaikų ir paauglių augimui, brendimui, pažinimo ir elgsenos vystymuisi (žr. 4.8 skyrių).</w:t>
      </w:r>
    </w:p>
    <w:p w14:paraId="4C11704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40E0FD7"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Kraujavimas</w:t>
      </w:r>
    </w:p>
    <w:p w14:paraId="3A828B17"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Yra buvę atvejų, kai vartojantiems selektyviųjų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reabsorbcijos inhibitorių (SSRI) arba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 </w:t>
      </w:r>
      <w:proofErr w:type="spellStart"/>
      <w:r>
        <w:rPr>
          <w:rFonts w:ascii="Times New Roman" w:eastAsia="Times New Roman" w:hAnsi="Times New Roman" w:cs="Times New Roman"/>
          <w:snapToGrid w:val="0"/>
        </w:rPr>
        <w:t>noradrenalino</w:t>
      </w:r>
      <w:proofErr w:type="spellEnd"/>
      <w:r>
        <w:rPr>
          <w:rFonts w:ascii="Times New Roman" w:eastAsia="Times New Roman" w:hAnsi="Times New Roman" w:cs="Times New Roman"/>
          <w:snapToGrid w:val="0"/>
        </w:rPr>
        <w:t xml:space="preserve"> reabsorbcijos inhibitorių (SNRI), įskaitant </w:t>
      </w:r>
      <w:proofErr w:type="spellStart"/>
      <w:r>
        <w:rPr>
          <w:rFonts w:ascii="Times New Roman" w:eastAsia="Times New Roman" w:hAnsi="Times New Roman" w:cs="Times New Roman"/>
          <w:snapToGrid w:val="0"/>
        </w:rPr>
        <w:t>duloksetiną</w:t>
      </w:r>
      <w:proofErr w:type="spellEnd"/>
      <w:r>
        <w:rPr>
          <w:rFonts w:ascii="Times New Roman" w:eastAsia="Times New Roman" w:hAnsi="Times New Roman" w:cs="Times New Roman"/>
          <w:snapToGrid w:val="0"/>
        </w:rPr>
        <w:t xml:space="preserve">, pasireiškė kraujavimas – </w:t>
      </w:r>
      <w:proofErr w:type="spellStart"/>
      <w:r>
        <w:rPr>
          <w:rFonts w:ascii="Times New Roman" w:eastAsia="Times New Roman" w:hAnsi="Times New Roman" w:cs="Times New Roman"/>
          <w:snapToGrid w:val="0"/>
        </w:rPr>
        <w:t>ekchimozės</w:t>
      </w:r>
      <w:proofErr w:type="spellEnd"/>
      <w:r>
        <w:rPr>
          <w:rFonts w:ascii="Times New Roman" w:eastAsia="Times New Roman" w:hAnsi="Times New Roman" w:cs="Times New Roman"/>
          <w:snapToGrid w:val="0"/>
        </w:rPr>
        <w:t xml:space="preserve">, purpura bei virškinimo trakto kraujavimas.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gali didinti kraujavimo po gimdymo riziką (žr. 4.6 skyrių). Rekomenduojama atsargiai skirti preparato pacientams, kurie vartoja antikoaguliantų ir (arba) medikamentų, veikiančių trombocitų funkciją (pvz., NVNU arba </w:t>
      </w:r>
      <w:proofErr w:type="spellStart"/>
      <w:r>
        <w:rPr>
          <w:rFonts w:ascii="Times New Roman" w:eastAsia="Times New Roman" w:hAnsi="Times New Roman" w:cs="Times New Roman"/>
          <w:snapToGrid w:val="0"/>
        </w:rPr>
        <w:t>acetilsalicilo</w:t>
      </w:r>
      <w:proofErr w:type="spellEnd"/>
      <w:r>
        <w:rPr>
          <w:rFonts w:ascii="Times New Roman" w:eastAsia="Times New Roman" w:hAnsi="Times New Roman" w:cs="Times New Roman"/>
          <w:snapToGrid w:val="0"/>
        </w:rPr>
        <w:t xml:space="preserve"> rūgšties), ir tiems pacientams, kuriems yra nustatytas polinkis kraujuoti.</w:t>
      </w:r>
    </w:p>
    <w:p w14:paraId="3D1EBEFB"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F9183EA"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proofErr w:type="spellStart"/>
      <w:r>
        <w:rPr>
          <w:rFonts w:ascii="Times New Roman" w:eastAsia="Times New Roman" w:hAnsi="Times New Roman" w:cs="Times New Roman"/>
          <w:snapToGrid w:val="0"/>
          <w:u w:val="single"/>
        </w:rPr>
        <w:t>Hiponatremija</w:t>
      </w:r>
      <w:proofErr w:type="spellEnd"/>
    </w:p>
    <w:p w14:paraId="6C7E94F3"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Buvo pranešta apie </w:t>
      </w:r>
      <w:proofErr w:type="spellStart"/>
      <w:r>
        <w:rPr>
          <w:rFonts w:ascii="Times New Roman" w:eastAsia="Times New Roman" w:hAnsi="Times New Roman" w:cs="Times New Roman"/>
          <w:snapToGrid w:val="0"/>
        </w:rPr>
        <w:t>hiponatremiją</w:t>
      </w:r>
      <w:proofErr w:type="spellEnd"/>
      <w:r>
        <w:rPr>
          <w:rFonts w:ascii="Times New Roman" w:eastAsia="Times New Roman" w:hAnsi="Times New Roman" w:cs="Times New Roman"/>
          <w:snapToGrid w:val="0"/>
        </w:rPr>
        <w:t xml:space="preserve"> vartojant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įskaitant mažesnės kaip 110 </w:t>
      </w:r>
      <w:proofErr w:type="spellStart"/>
      <w:r>
        <w:rPr>
          <w:rFonts w:ascii="Times New Roman" w:eastAsia="Times New Roman" w:hAnsi="Times New Roman" w:cs="Times New Roman"/>
          <w:snapToGrid w:val="0"/>
        </w:rPr>
        <w:t>mmol</w:t>
      </w:r>
      <w:proofErr w:type="spellEnd"/>
      <w:r>
        <w:rPr>
          <w:rFonts w:ascii="Times New Roman" w:eastAsia="Times New Roman" w:hAnsi="Times New Roman" w:cs="Times New Roman"/>
          <w:snapToGrid w:val="0"/>
        </w:rPr>
        <w:t xml:space="preserve">/l natrio koncentracijos serume atvejus. </w:t>
      </w:r>
      <w:proofErr w:type="spellStart"/>
      <w:r>
        <w:rPr>
          <w:rFonts w:ascii="Times New Roman" w:eastAsia="Times New Roman" w:hAnsi="Times New Roman" w:cs="Times New Roman"/>
          <w:snapToGrid w:val="0"/>
        </w:rPr>
        <w:t>Hiponatremija</w:t>
      </w:r>
      <w:proofErr w:type="spellEnd"/>
      <w:r>
        <w:rPr>
          <w:rFonts w:ascii="Times New Roman" w:eastAsia="Times New Roman" w:hAnsi="Times New Roman" w:cs="Times New Roman"/>
          <w:snapToGrid w:val="0"/>
        </w:rPr>
        <w:t xml:space="preserve"> gali atsirasti dėl </w:t>
      </w:r>
      <w:proofErr w:type="spellStart"/>
      <w:r>
        <w:rPr>
          <w:rFonts w:ascii="Times New Roman" w:eastAsia="Times New Roman" w:hAnsi="Times New Roman" w:cs="Times New Roman"/>
          <w:snapToGrid w:val="0"/>
        </w:rPr>
        <w:t>antidiurezinio</w:t>
      </w:r>
      <w:proofErr w:type="spellEnd"/>
      <w:r>
        <w:rPr>
          <w:rFonts w:ascii="Times New Roman" w:eastAsia="Times New Roman" w:hAnsi="Times New Roman" w:cs="Times New Roman"/>
          <w:snapToGrid w:val="0"/>
        </w:rPr>
        <w:t xml:space="preserve"> hormono sutrikusios sekrecijos sindromo (ADHSSS). Dauguma praneštų </w:t>
      </w:r>
      <w:proofErr w:type="spellStart"/>
      <w:r>
        <w:rPr>
          <w:rFonts w:ascii="Times New Roman" w:eastAsia="Times New Roman" w:hAnsi="Times New Roman" w:cs="Times New Roman"/>
          <w:snapToGrid w:val="0"/>
        </w:rPr>
        <w:t>hiponatremijos</w:t>
      </w:r>
      <w:proofErr w:type="spellEnd"/>
      <w:r>
        <w:rPr>
          <w:rFonts w:ascii="Times New Roman" w:eastAsia="Times New Roman" w:hAnsi="Times New Roman" w:cs="Times New Roman"/>
          <w:snapToGrid w:val="0"/>
        </w:rPr>
        <w:t xml:space="preserve"> atvejų pasireiškė senyviems pacientams, ypač kai jiems neseniai buvo pasireiškęs skysčių pusiausvyros organizme sutrikimas arba buvo būklių, skatinančių skysčių pusiausvyros pokyčius. Reikia laikytis atsargumo priemonių gydant pacientus, kuriems yra padidėjusi </w:t>
      </w:r>
      <w:proofErr w:type="spellStart"/>
      <w:r>
        <w:rPr>
          <w:rFonts w:ascii="Times New Roman" w:eastAsia="Times New Roman" w:hAnsi="Times New Roman" w:cs="Times New Roman"/>
          <w:snapToGrid w:val="0"/>
        </w:rPr>
        <w:t>hiponatremijos</w:t>
      </w:r>
      <w:proofErr w:type="spellEnd"/>
      <w:r>
        <w:rPr>
          <w:rFonts w:ascii="Times New Roman" w:eastAsia="Times New Roman" w:hAnsi="Times New Roman" w:cs="Times New Roman"/>
          <w:snapToGrid w:val="0"/>
        </w:rPr>
        <w:t xml:space="preserve"> rizika, pavyzdžiui, senyvus, sergančius kepenų ciroze, patyrusius dehidrataciją arba gydomus diuretikais.</w:t>
      </w:r>
    </w:p>
    <w:p w14:paraId="4F253286"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1102F72"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Gydymo nutraukimas</w:t>
      </w:r>
    </w:p>
    <w:p w14:paraId="44F9106A"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Gydymą nutraukus, ypač staiga, dažnai atsiranda nutraukimo simptomų (žr. 4.8 skyrių). Klinikinių tyrimų metu staigiai nutraukus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vartojimą nepageidaujamų reiškinių atsirado 45 % pacientų, staigiai nutraukus placebo vartojimą − 23 %. SSRI arba SNRI sukeliamų nutraukimo simptomų rizika gali priklausyti nuo kelių veiksnių, įskaitant gydymo trukmę, vartotą dozę ir jos mažinimo greitį. Dažniausiai pasireiškusios reakcijos išvardytos 4.8 skyriuje. Pasireiškę simptomai paprastai būna lengvi arba vidutinio sunkumo, tačiau kai kuriems pacientams jie gali būti sunkūs. Dažniausiai tokių simptomų atsiranda pirmas kelias dienas po gydymo nutraukimo, tačiau labai retais atvejais jų atsirasdavo ir pacientams, kurie netyčia praleisdavo dozę. Paprastai tokie simptomai būna trumpalaikiai ir dažniausiai per 2 savaites išnyksta, tačiau kai kuriems pacientams jie gali išsilaikyti ilgai (2-3 mėn. arba ilgiau). Dėl to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vartojimą patariama nutraukti ne greičiau kaip per 2 savaites palaipsniui mažinant dozę ir atsižvelgiant į paciento būklę (žr. 4.2 skyrių).</w:t>
      </w:r>
    </w:p>
    <w:p w14:paraId="21F790D8"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17C7C3F"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Senyvi pacientai</w:t>
      </w:r>
    </w:p>
    <w:p w14:paraId="0FB74532"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Duomenų apie senyvų žmonių didžiosios depresijos sutrikimų ir </w:t>
      </w:r>
      <w:proofErr w:type="spellStart"/>
      <w:r>
        <w:rPr>
          <w:rFonts w:ascii="Times New Roman" w:eastAsia="Times New Roman" w:hAnsi="Times New Roman" w:cs="Times New Roman"/>
          <w:snapToGrid w:val="0"/>
        </w:rPr>
        <w:t>generalizuoto</w:t>
      </w:r>
      <w:proofErr w:type="spellEnd"/>
      <w:r>
        <w:rPr>
          <w:rFonts w:ascii="Times New Roman" w:eastAsia="Times New Roman" w:hAnsi="Times New Roman" w:cs="Times New Roman"/>
          <w:snapToGrid w:val="0"/>
        </w:rPr>
        <w:t xml:space="preserve"> nerimo sutrikimo gydymą 120 mg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doze yra mažai. Todėl gydant senyvus pacientus didžiausia doze, reikia paisyti atsargumo priemonių (žr. 4.2 ir 5.2 skyrius).</w:t>
      </w:r>
    </w:p>
    <w:p w14:paraId="04E64D82"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2382C80"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proofErr w:type="spellStart"/>
      <w:r>
        <w:rPr>
          <w:rFonts w:ascii="Times New Roman" w:eastAsia="Times New Roman" w:hAnsi="Times New Roman" w:cs="Times New Roman"/>
          <w:snapToGrid w:val="0"/>
          <w:u w:val="single"/>
        </w:rPr>
        <w:t>Akatizija</w:t>
      </w:r>
      <w:proofErr w:type="spellEnd"/>
      <w:r>
        <w:rPr>
          <w:rFonts w:ascii="Times New Roman" w:eastAsia="Times New Roman" w:hAnsi="Times New Roman" w:cs="Times New Roman"/>
          <w:snapToGrid w:val="0"/>
          <w:u w:val="single"/>
        </w:rPr>
        <w:t xml:space="preserve">, </w:t>
      </w:r>
      <w:proofErr w:type="spellStart"/>
      <w:r>
        <w:rPr>
          <w:rFonts w:ascii="Times New Roman" w:eastAsia="Times New Roman" w:hAnsi="Times New Roman" w:cs="Times New Roman"/>
          <w:snapToGrid w:val="0"/>
          <w:u w:val="single"/>
        </w:rPr>
        <w:t>psichomotorinis</w:t>
      </w:r>
      <w:proofErr w:type="spellEnd"/>
      <w:r>
        <w:rPr>
          <w:rFonts w:ascii="Times New Roman" w:eastAsia="Times New Roman" w:hAnsi="Times New Roman" w:cs="Times New Roman"/>
          <w:snapToGrid w:val="0"/>
          <w:u w:val="single"/>
        </w:rPr>
        <w:t xml:space="preserve"> neramumas</w:t>
      </w:r>
    </w:p>
    <w:p w14:paraId="100FEDCA"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vartojimas siejamas su </w:t>
      </w:r>
      <w:proofErr w:type="spellStart"/>
      <w:r>
        <w:rPr>
          <w:rFonts w:ascii="Times New Roman" w:eastAsia="Times New Roman" w:hAnsi="Times New Roman" w:cs="Times New Roman"/>
          <w:snapToGrid w:val="0"/>
        </w:rPr>
        <w:t>akatizijos</w:t>
      </w:r>
      <w:proofErr w:type="spellEnd"/>
      <w:r>
        <w:rPr>
          <w:rFonts w:ascii="Times New Roman" w:eastAsia="Times New Roman" w:hAnsi="Times New Roman" w:cs="Times New Roman"/>
          <w:snapToGrid w:val="0"/>
        </w:rPr>
        <w:t>, pasireiškiančios subjektyviai suvokiamu nemaloniu arba varginančiu neramumu ir poreikiu judėti, kuris dažnai būna susijęs su negalėjimu ramiai sėdėti arba stovėti. Dažniausiai ji tikėtina pirmas gydymo savaites. Jeigu šių simptomų atsiranda, dozės didinimas gali būti kenksmingas paciento sveikatai.</w:t>
      </w:r>
    </w:p>
    <w:p w14:paraId="4E22163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CBAAF19"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bookmarkStart w:id="4" w:name="page7"/>
      <w:bookmarkEnd w:id="4"/>
      <w:r>
        <w:rPr>
          <w:rFonts w:ascii="Times New Roman" w:eastAsia="Times New Roman" w:hAnsi="Times New Roman" w:cs="Times New Roman"/>
          <w:snapToGrid w:val="0"/>
          <w:u w:val="single"/>
        </w:rPr>
        <w:t xml:space="preserve">Vaistiniai preparatai, kuriuose yra </w:t>
      </w:r>
      <w:proofErr w:type="spellStart"/>
      <w:r>
        <w:rPr>
          <w:rFonts w:ascii="Times New Roman" w:eastAsia="Times New Roman" w:hAnsi="Times New Roman" w:cs="Times New Roman"/>
          <w:snapToGrid w:val="0"/>
          <w:u w:val="single"/>
        </w:rPr>
        <w:t>duloksetino</w:t>
      </w:r>
      <w:proofErr w:type="spellEnd"/>
    </w:p>
    <w:p w14:paraId="70DBFC44"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Skirtingais prekiniais pavadinimais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skiriamas kelioms indikacijoms (skausmo dėl periferinės diabetinės neuropatijos gydymui, didžiosios depresijos sutrikimo gydymui, </w:t>
      </w:r>
      <w:proofErr w:type="spellStart"/>
      <w:r>
        <w:rPr>
          <w:rFonts w:ascii="Times New Roman" w:eastAsia="Times New Roman" w:hAnsi="Times New Roman" w:cs="Times New Roman"/>
          <w:snapToGrid w:val="0"/>
        </w:rPr>
        <w:t>generalizuoto</w:t>
      </w:r>
      <w:proofErr w:type="spellEnd"/>
      <w:r>
        <w:rPr>
          <w:rFonts w:ascii="Times New Roman" w:eastAsia="Times New Roman" w:hAnsi="Times New Roman" w:cs="Times New Roman"/>
          <w:snapToGrid w:val="0"/>
        </w:rPr>
        <w:t xml:space="preserve"> nerimo sutrikimo gydymui ir šlapimo nelaikymo dėl įtampos gydymui). Negalima vartoti daugiau kaip vieno šių preparatų vienu metu.</w:t>
      </w:r>
    </w:p>
    <w:p w14:paraId="4269A0A8"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94532DB"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lastRenderedPageBreak/>
        <w:t>Hepatitas bei kepenų fermentų kiekio padidėjimas</w:t>
      </w:r>
    </w:p>
    <w:p w14:paraId="1EBCF5F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Buvo pranešimų apie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vartojimo metu atsiradusį kepenų pažeidimą, įskaitant ryškų kepenų fermentų kiekio padidėjimą (&gt; 10 kartų daugiau normos), hepatitą, geltą (žr. 4.8 skyrių). Dauguma šių reiškinių atsirado pirmaisiais gydymo mėnesiais. Dominavo </w:t>
      </w:r>
      <w:proofErr w:type="spellStart"/>
      <w:r>
        <w:rPr>
          <w:rFonts w:ascii="Times New Roman" w:eastAsia="Times New Roman" w:hAnsi="Times New Roman" w:cs="Times New Roman"/>
          <w:snapToGrid w:val="0"/>
        </w:rPr>
        <w:t>hepatoceliulinis</w:t>
      </w:r>
      <w:proofErr w:type="spellEnd"/>
      <w:r>
        <w:rPr>
          <w:rFonts w:ascii="Times New Roman" w:eastAsia="Times New Roman" w:hAnsi="Times New Roman" w:cs="Times New Roman"/>
          <w:snapToGrid w:val="0"/>
        </w:rPr>
        <w:t xml:space="preserve"> kepenų pažeidimas. Reikia laikytis atsargumo priemonių skiriant </w:t>
      </w:r>
      <w:proofErr w:type="spellStart"/>
      <w:r>
        <w:rPr>
          <w:rFonts w:ascii="Times New Roman" w:eastAsia="Times New Roman" w:hAnsi="Times New Roman" w:cs="Times New Roman"/>
          <w:snapToGrid w:val="0"/>
        </w:rPr>
        <w:t>duloksetiną</w:t>
      </w:r>
      <w:proofErr w:type="spellEnd"/>
      <w:r>
        <w:rPr>
          <w:rFonts w:ascii="Times New Roman" w:eastAsia="Times New Roman" w:hAnsi="Times New Roman" w:cs="Times New Roman"/>
          <w:snapToGrid w:val="0"/>
        </w:rPr>
        <w:t xml:space="preserve"> kartu su kitais siejamais su kepenų pažeidimu vaistiniais preparatais.</w:t>
      </w:r>
    </w:p>
    <w:p w14:paraId="5235E378"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8645665"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Lytinės funkcijos sutrikimas</w:t>
      </w:r>
    </w:p>
    <w:p w14:paraId="3C535ECC"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Selektyvieji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reabsorbcijos inhibitoriai (SSRI) / </w:t>
      </w:r>
      <w:proofErr w:type="spellStart"/>
      <w:r>
        <w:rPr>
          <w:rFonts w:ascii="Times New Roman" w:eastAsia="Times New Roman" w:hAnsi="Times New Roman" w:cs="Times New Roman"/>
          <w:snapToGrid w:val="0"/>
        </w:rPr>
        <w:t>serotonino-norepinefrino</w:t>
      </w:r>
      <w:proofErr w:type="spellEnd"/>
      <w:r>
        <w:rPr>
          <w:rFonts w:ascii="Times New Roman" w:eastAsia="Times New Roman" w:hAnsi="Times New Roman" w:cs="Times New Roman"/>
          <w:snapToGrid w:val="0"/>
        </w:rPr>
        <w:t xml:space="preserve"> reabsorbcijos inhibitoriai (SNRI) gali sukelti lytinės funkcijos sutrikimo simptomus (žr. 4.8 skyrių). Gauta pranešimų apie ilgalaikį lytinės funkcijos sutrikimą, kurio simptomai išliko nepaisant to, kad gydymas SSRI / SNRI buvo nutrauktas.</w:t>
      </w:r>
    </w:p>
    <w:p w14:paraId="6568868F"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5FEFC9B"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Sacharozė</w:t>
      </w:r>
    </w:p>
    <w:p w14:paraId="522DAC49"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skrandyje neiriose kietosiose kapsulėse yra sacharozės. Šio vaistinio preparato negalima vartoti pacientams, kuriems nustatytas retas paveldimas sutrikimas − fruktozės </w:t>
      </w:r>
      <w:proofErr w:type="spellStart"/>
      <w:r>
        <w:rPr>
          <w:rFonts w:ascii="Times New Roman" w:eastAsia="Times New Roman" w:hAnsi="Times New Roman" w:cs="Times New Roman"/>
          <w:snapToGrid w:val="0"/>
        </w:rPr>
        <w:t>netoleravimas</w:t>
      </w:r>
      <w:proofErr w:type="spellEnd"/>
      <w:r>
        <w:rPr>
          <w:rFonts w:ascii="Times New Roman" w:eastAsia="Times New Roman" w:hAnsi="Times New Roman" w:cs="Times New Roman"/>
          <w:snapToGrid w:val="0"/>
        </w:rPr>
        <w:t xml:space="preserve">, gliukozės ir </w:t>
      </w:r>
      <w:proofErr w:type="spellStart"/>
      <w:r>
        <w:rPr>
          <w:rFonts w:ascii="Times New Roman" w:eastAsia="Times New Roman" w:hAnsi="Times New Roman" w:cs="Times New Roman"/>
          <w:snapToGrid w:val="0"/>
        </w:rPr>
        <w:t>galaktozės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malabsorbcija</w:t>
      </w:r>
      <w:proofErr w:type="spellEnd"/>
      <w:r>
        <w:rPr>
          <w:rFonts w:ascii="Times New Roman" w:eastAsia="Times New Roman" w:hAnsi="Times New Roman" w:cs="Times New Roman"/>
          <w:snapToGrid w:val="0"/>
        </w:rPr>
        <w:t xml:space="preserve"> arba </w:t>
      </w:r>
      <w:proofErr w:type="spellStart"/>
      <w:r>
        <w:rPr>
          <w:rFonts w:ascii="Times New Roman" w:eastAsia="Times New Roman" w:hAnsi="Times New Roman" w:cs="Times New Roman"/>
          <w:snapToGrid w:val="0"/>
        </w:rPr>
        <w:t>sacharazės</w:t>
      </w:r>
      <w:proofErr w:type="spellEnd"/>
      <w:r>
        <w:rPr>
          <w:rFonts w:ascii="Times New Roman" w:eastAsia="Times New Roman" w:hAnsi="Times New Roman" w:cs="Times New Roman"/>
          <w:snapToGrid w:val="0"/>
        </w:rPr>
        <w:t xml:space="preserve"> ir </w:t>
      </w:r>
      <w:proofErr w:type="spellStart"/>
      <w:r>
        <w:rPr>
          <w:rFonts w:ascii="Times New Roman" w:eastAsia="Times New Roman" w:hAnsi="Times New Roman" w:cs="Times New Roman"/>
          <w:snapToGrid w:val="0"/>
        </w:rPr>
        <w:t>izomaltazės</w:t>
      </w:r>
      <w:proofErr w:type="spellEnd"/>
      <w:r>
        <w:rPr>
          <w:rFonts w:ascii="Times New Roman" w:eastAsia="Times New Roman" w:hAnsi="Times New Roman" w:cs="Times New Roman"/>
          <w:snapToGrid w:val="0"/>
        </w:rPr>
        <w:t xml:space="preserve"> stygius.</w:t>
      </w:r>
    </w:p>
    <w:p w14:paraId="3D374E9A"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DCF3ADF"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4.5</w:t>
      </w:r>
      <w:r>
        <w:rPr>
          <w:rFonts w:ascii="Times New Roman" w:eastAsia="Times New Roman" w:hAnsi="Times New Roman" w:cs="Times New Roman"/>
          <w:b/>
          <w:bCs/>
          <w:snapToGrid w:val="0"/>
          <w:lang w:eastAsia="x-none"/>
        </w:rPr>
        <w:tab/>
        <w:t>Sąveika su kitais vaistiniais preparatais ir kitokia sąveika</w:t>
      </w:r>
    </w:p>
    <w:p w14:paraId="6212371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FD7F1B3"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i/>
          <w:iCs/>
          <w:snapToGrid w:val="0"/>
        </w:rPr>
        <w:t>Monoaminooksidazės</w:t>
      </w:r>
      <w:proofErr w:type="spellEnd"/>
      <w:r>
        <w:rPr>
          <w:rFonts w:ascii="Times New Roman" w:eastAsia="Times New Roman" w:hAnsi="Times New Roman" w:cs="Times New Roman"/>
          <w:i/>
          <w:iCs/>
          <w:snapToGrid w:val="0"/>
        </w:rPr>
        <w:t xml:space="preserve"> inhibitoriai (MAOI). </w:t>
      </w:r>
      <w:r>
        <w:rPr>
          <w:rFonts w:ascii="Times New Roman" w:eastAsia="Times New Roman" w:hAnsi="Times New Roman" w:cs="Times New Roman"/>
          <w:snapToGrid w:val="0"/>
        </w:rPr>
        <w:t xml:space="preserve">Kadangi yra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sindromo pasireiškimo rizika,</w:t>
      </w:r>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negalima vartoti kartu su neselektyviaisiais nepraeinančio poveikio </w:t>
      </w:r>
      <w:proofErr w:type="spellStart"/>
      <w:r>
        <w:rPr>
          <w:rFonts w:ascii="Times New Roman" w:eastAsia="Times New Roman" w:hAnsi="Times New Roman" w:cs="Times New Roman"/>
          <w:snapToGrid w:val="0"/>
        </w:rPr>
        <w:t>monoaminooksidazės</w:t>
      </w:r>
      <w:proofErr w:type="spellEnd"/>
      <w:r>
        <w:rPr>
          <w:rFonts w:ascii="Times New Roman" w:eastAsia="Times New Roman" w:hAnsi="Times New Roman" w:cs="Times New Roman"/>
          <w:snapToGrid w:val="0"/>
        </w:rPr>
        <w:t xml:space="preserve"> inhibitoriais (MAOI) ir mažiausiai 14 dienų po jų vartojimo nutraukimo. Remiantis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pusinės eliminacijos laiku, turi praeiti mažiausiai 5 dienos nuo gydymo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nutraukimo iki gydymo MAOI pradžios (žr. 4.3 skyrių).</w:t>
      </w:r>
    </w:p>
    <w:p w14:paraId="4A604E65"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BAC67F5"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vartoti kartu su selektyviaisiais grįžtamojo veikimo MAOI, pavyzdžiui, </w:t>
      </w:r>
      <w:proofErr w:type="spellStart"/>
      <w:r>
        <w:rPr>
          <w:rFonts w:ascii="Times New Roman" w:eastAsia="Times New Roman" w:hAnsi="Times New Roman" w:cs="Times New Roman"/>
          <w:snapToGrid w:val="0"/>
        </w:rPr>
        <w:t>moklobemidu</w:t>
      </w:r>
      <w:proofErr w:type="spellEnd"/>
      <w:r>
        <w:rPr>
          <w:rFonts w:ascii="Times New Roman" w:eastAsia="Times New Roman" w:hAnsi="Times New Roman" w:cs="Times New Roman"/>
          <w:snapToGrid w:val="0"/>
        </w:rPr>
        <w:t xml:space="preserve">, nerekomenduojama (žr. 4.4 skyrių). Antibiotikas </w:t>
      </w:r>
      <w:proofErr w:type="spellStart"/>
      <w:r>
        <w:rPr>
          <w:rFonts w:ascii="Times New Roman" w:eastAsia="Times New Roman" w:hAnsi="Times New Roman" w:cs="Times New Roman"/>
          <w:snapToGrid w:val="0"/>
        </w:rPr>
        <w:t>linezolidas</w:t>
      </w:r>
      <w:proofErr w:type="spellEnd"/>
      <w:r>
        <w:rPr>
          <w:rFonts w:ascii="Times New Roman" w:eastAsia="Times New Roman" w:hAnsi="Times New Roman" w:cs="Times New Roman"/>
          <w:snapToGrid w:val="0"/>
        </w:rPr>
        <w:t xml:space="preserve"> yra neselektyvusis grįžtamojo veikimo MAOI ir jo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gydomiems pacientams vartoti negalima (žr. 4.4 skyrių).</w:t>
      </w:r>
    </w:p>
    <w:p w14:paraId="501D1817"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7320E63"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 xml:space="preserve">CYP1A2 inhibitoriai.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metabolizmą veikia CYP1A2, todėl tikėtina, kad vartojant </w:t>
      </w:r>
      <w:proofErr w:type="spellStart"/>
      <w:r>
        <w:rPr>
          <w:rFonts w:ascii="Times New Roman" w:eastAsia="Times New Roman" w:hAnsi="Times New Roman" w:cs="Times New Roman"/>
          <w:snapToGrid w:val="0"/>
        </w:rPr>
        <w:t>duloksetiną</w:t>
      </w:r>
      <w:proofErr w:type="spellEnd"/>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kartu su stipriais CYP1A2 inhibitoriais, padidės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koncentracijos. Stiprus CYP1A2 inhibitorius </w:t>
      </w:r>
      <w:proofErr w:type="spellStart"/>
      <w:r>
        <w:rPr>
          <w:rFonts w:ascii="Times New Roman" w:eastAsia="Times New Roman" w:hAnsi="Times New Roman" w:cs="Times New Roman"/>
          <w:snapToGrid w:val="0"/>
        </w:rPr>
        <w:t>fluvoksaminas</w:t>
      </w:r>
      <w:proofErr w:type="spellEnd"/>
      <w:r>
        <w:rPr>
          <w:rFonts w:ascii="Times New Roman" w:eastAsia="Times New Roman" w:hAnsi="Times New Roman" w:cs="Times New Roman"/>
          <w:snapToGrid w:val="0"/>
        </w:rPr>
        <w:t xml:space="preserve"> (100 mg vieną kartą per parą) sumažino menamą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klirensą iš plazmos maždaug 77 % ir 6 kartus padidino </w:t>
      </w:r>
      <w:r>
        <w:rPr>
          <w:rFonts w:ascii="Times New Roman" w:eastAsia="Times New Roman" w:hAnsi="Times New Roman" w:cs="Times New Roman"/>
          <w:i/>
          <w:iCs/>
          <w:snapToGrid w:val="0"/>
        </w:rPr>
        <w:t>AUC</w:t>
      </w:r>
      <w:r>
        <w:rPr>
          <w:rFonts w:ascii="Times New Roman" w:eastAsia="Times New Roman" w:hAnsi="Times New Roman" w:cs="Times New Roman"/>
          <w:i/>
          <w:iCs/>
          <w:snapToGrid w:val="0"/>
          <w:vertAlign w:val="subscript"/>
        </w:rPr>
        <w:t>0-t</w:t>
      </w:r>
      <w:r>
        <w:rPr>
          <w:rFonts w:ascii="Times New Roman" w:eastAsia="Times New Roman" w:hAnsi="Times New Roman" w:cs="Times New Roman"/>
          <w:snapToGrid w:val="0"/>
        </w:rPr>
        <w:t xml:space="preserve">. Todėl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negalima vartoti kartu su stipriais CYP1A2 inhibitoriais, pavyzdžiui, </w:t>
      </w:r>
      <w:proofErr w:type="spellStart"/>
      <w:r>
        <w:rPr>
          <w:rFonts w:ascii="Times New Roman" w:eastAsia="Times New Roman" w:hAnsi="Times New Roman" w:cs="Times New Roman"/>
          <w:snapToGrid w:val="0"/>
        </w:rPr>
        <w:t>fluvoksaminu</w:t>
      </w:r>
      <w:proofErr w:type="spellEnd"/>
      <w:r>
        <w:rPr>
          <w:rFonts w:ascii="Times New Roman" w:eastAsia="Times New Roman" w:hAnsi="Times New Roman" w:cs="Times New Roman"/>
          <w:snapToGrid w:val="0"/>
        </w:rPr>
        <w:t xml:space="preserve"> (žr. 4.3 skyrių).</w:t>
      </w:r>
    </w:p>
    <w:p w14:paraId="265EB240"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9E90344"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 xml:space="preserve">CNS veikiantys vaistiniai preparatai.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vartojimo kartu su kitais CNS veikiančiais vaistiniais</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preparatais rizika nebuvo sistemiškai įvertinta, išskyrus atvejus, aprašytus šiame skyriuje. Todėl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vartoti kartu su kitais centrinę nervų sistemą veikiančiais vaistiniais preparatais ar medžiagomis, įskaitant alkoholį ir </w:t>
      </w:r>
      <w:proofErr w:type="spellStart"/>
      <w:r>
        <w:rPr>
          <w:rFonts w:ascii="Times New Roman" w:eastAsia="Times New Roman" w:hAnsi="Times New Roman" w:cs="Times New Roman"/>
          <w:snapToGrid w:val="0"/>
        </w:rPr>
        <w:t>sedaciją</w:t>
      </w:r>
      <w:proofErr w:type="spellEnd"/>
      <w:r>
        <w:rPr>
          <w:rFonts w:ascii="Times New Roman" w:eastAsia="Times New Roman" w:hAnsi="Times New Roman" w:cs="Times New Roman"/>
          <w:snapToGrid w:val="0"/>
        </w:rPr>
        <w:t xml:space="preserve"> sukeliančius vaistinius preparatus (pvz.: benzodiazepinus, </w:t>
      </w:r>
      <w:proofErr w:type="spellStart"/>
      <w:r>
        <w:rPr>
          <w:rFonts w:ascii="Times New Roman" w:eastAsia="Times New Roman" w:hAnsi="Times New Roman" w:cs="Times New Roman"/>
          <w:snapToGrid w:val="0"/>
        </w:rPr>
        <w:t>morfinomimetikus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antipsichozinius</w:t>
      </w:r>
      <w:proofErr w:type="spellEnd"/>
      <w:r>
        <w:rPr>
          <w:rFonts w:ascii="Times New Roman" w:eastAsia="Times New Roman" w:hAnsi="Times New Roman" w:cs="Times New Roman"/>
          <w:snapToGrid w:val="0"/>
        </w:rPr>
        <w:t xml:space="preserve"> vaistinius preparatus, </w:t>
      </w:r>
      <w:proofErr w:type="spellStart"/>
      <w:r>
        <w:rPr>
          <w:rFonts w:ascii="Times New Roman" w:eastAsia="Times New Roman" w:hAnsi="Times New Roman" w:cs="Times New Roman"/>
          <w:snapToGrid w:val="0"/>
        </w:rPr>
        <w:t>fenobarbitalį</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sedaciją</w:t>
      </w:r>
      <w:proofErr w:type="spellEnd"/>
      <w:r>
        <w:rPr>
          <w:rFonts w:ascii="Times New Roman" w:eastAsia="Times New Roman" w:hAnsi="Times New Roman" w:cs="Times New Roman"/>
          <w:snapToGrid w:val="0"/>
        </w:rPr>
        <w:t xml:space="preserve"> sukeliančius </w:t>
      </w:r>
      <w:proofErr w:type="spellStart"/>
      <w:r>
        <w:rPr>
          <w:rFonts w:ascii="Times New Roman" w:eastAsia="Times New Roman" w:hAnsi="Times New Roman" w:cs="Times New Roman"/>
          <w:snapToGrid w:val="0"/>
        </w:rPr>
        <w:t>antihistamininius</w:t>
      </w:r>
      <w:proofErr w:type="spellEnd"/>
      <w:r>
        <w:rPr>
          <w:rFonts w:ascii="Times New Roman" w:eastAsia="Times New Roman" w:hAnsi="Times New Roman" w:cs="Times New Roman"/>
          <w:snapToGrid w:val="0"/>
        </w:rPr>
        <w:t xml:space="preserve"> preparatus), rekomenduojama atsargiai.</w:t>
      </w:r>
    </w:p>
    <w:p w14:paraId="1B2EFC28"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48C43B3"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i/>
          <w:iCs/>
          <w:snapToGrid w:val="0"/>
        </w:rPr>
        <w:t>Serotoninerginiai</w:t>
      </w:r>
      <w:proofErr w:type="spellEnd"/>
      <w:r>
        <w:rPr>
          <w:rFonts w:ascii="Times New Roman" w:eastAsia="Times New Roman" w:hAnsi="Times New Roman" w:cs="Times New Roman"/>
          <w:i/>
          <w:iCs/>
          <w:snapToGrid w:val="0"/>
        </w:rPr>
        <w:t xml:space="preserve"> vaistiniai preparatai. </w:t>
      </w:r>
      <w:r>
        <w:rPr>
          <w:rFonts w:ascii="Times New Roman" w:eastAsia="Times New Roman" w:hAnsi="Times New Roman" w:cs="Times New Roman"/>
          <w:snapToGrid w:val="0"/>
        </w:rPr>
        <w:t xml:space="preserve">Buvo pranešta apie retus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sindromo atvejus pacientams,</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kurie vartojo SSRI ar SNRI kartu su </w:t>
      </w:r>
      <w:proofErr w:type="spellStart"/>
      <w:r>
        <w:rPr>
          <w:rFonts w:ascii="Times New Roman" w:eastAsia="Times New Roman" w:hAnsi="Times New Roman" w:cs="Times New Roman"/>
          <w:snapToGrid w:val="0"/>
        </w:rPr>
        <w:t>serotoninerginiais</w:t>
      </w:r>
      <w:proofErr w:type="spellEnd"/>
      <w:r>
        <w:rPr>
          <w:rFonts w:ascii="Times New Roman" w:eastAsia="Times New Roman" w:hAnsi="Times New Roman" w:cs="Times New Roman"/>
          <w:snapToGrid w:val="0"/>
        </w:rPr>
        <w:t xml:space="preserve"> vaistiniais preparatais. Patartina atsargiai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kartu su </w:t>
      </w:r>
      <w:proofErr w:type="spellStart"/>
      <w:r>
        <w:rPr>
          <w:rFonts w:ascii="Times New Roman" w:eastAsia="Times New Roman" w:hAnsi="Times New Roman" w:cs="Times New Roman"/>
          <w:snapToGrid w:val="0"/>
        </w:rPr>
        <w:t>serotoninerginiais</w:t>
      </w:r>
      <w:proofErr w:type="spellEnd"/>
      <w:r>
        <w:rPr>
          <w:rFonts w:ascii="Times New Roman" w:eastAsia="Times New Roman" w:hAnsi="Times New Roman" w:cs="Times New Roman"/>
          <w:snapToGrid w:val="0"/>
        </w:rPr>
        <w:t xml:space="preserve"> vaistiniais preparatais (pvz.: SSRI, SNRI, </w:t>
      </w:r>
      <w:proofErr w:type="spellStart"/>
      <w:r>
        <w:rPr>
          <w:rFonts w:ascii="Times New Roman" w:eastAsia="Times New Roman" w:hAnsi="Times New Roman" w:cs="Times New Roman"/>
          <w:snapToGrid w:val="0"/>
        </w:rPr>
        <w:t>tricikliais</w:t>
      </w:r>
      <w:proofErr w:type="spellEnd"/>
      <w:r>
        <w:rPr>
          <w:rFonts w:ascii="Times New Roman" w:eastAsia="Times New Roman" w:hAnsi="Times New Roman" w:cs="Times New Roman"/>
          <w:snapToGrid w:val="0"/>
        </w:rPr>
        <w:t xml:space="preserve"> antidepresantais [tokiais kaip </w:t>
      </w:r>
      <w:proofErr w:type="spellStart"/>
      <w:r>
        <w:rPr>
          <w:rFonts w:ascii="Times New Roman" w:eastAsia="Times New Roman" w:hAnsi="Times New Roman" w:cs="Times New Roman"/>
          <w:snapToGrid w:val="0"/>
        </w:rPr>
        <w:t>klomipraminas</w:t>
      </w:r>
      <w:proofErr w:type="spellEnd"/>
      <w:r>
        <w:rPr>
          <w:rFonts w:ascii="Times New Roman" w:eastAsia="Times New Roman" w:hAnsi="Times New Roman" w:cs="Times New Roman"/>
          <w:snapToGrid w:val="0"/>
        </w:rPr>
        <w:t xml:space="preserve"> ar </w:t>
      </w:r>
      <w:proofErr w:type="spellStart"/>
      <w:r>
        <w:rPr>
          <w:rFonts w:ascii="Times New Roman" w:eastAsia="Times New Roman" w:hAnsi="Times New Roman" w:cs="Times New Roman"/>
          <w:snapToGrid w:val="0"/>
        </w:rPr>
        <w:t>amitriptilinas</w:t>
      </w:r>
      <w:proofErr w:type="spellEnd"/>
      <w:r>
        <w:rPr>
          <w:rFonts w:ascii="Times New Roman" w:eastAsia="Times New Roman" w:hAnsi="Times New Roman" w:cs="Times New Roman"/>
          <w:snapToGrid w:val="0"/>
        </w:rPr>
        <w:t xml:space="preserve">], MAOI [tokiais kaip </w:t>
      </w:r>
      <w:proofErr w:type="spellStart"/>
      <w:r>
        <w:rPr>
          <w:rFonts w:ascii="Times New Roman" w:eastAsia="Times New Roman" w:hAnsi="Times New Roman" w:cs="Times New Roman"/>
          <w:snapToGrid w:val="0"/>
        </w:rPr>
        <w:t>moklobemidas</w:t>
      </w:r>
      <w:proofErr w:type="spellEnd"/>
      <w:r>
        <w:rPr>
          <w:rFonts w:ascii="Times New Roman" w:eastAsia="Times New Roman" w:hAnsi="Times New Roman" w:cs="Times New Roman"/>
          <w:snapToGrid w:val="0"/>
        </w:rPr>
        <w:t xml:space="preserve"> ar </w:t>
      </w:r>
      <w:proofErr w:type="spellStart"/>
      <w:r>
        <w:rPr>
          <w:rFonts w:ascii="Times New Roman" w:eastAsia="Times New Roman" w:hAnsi="Times New Roman" w:cs="Times New Roman"/>
          <w:snapToGrid w:val="0"/>
        </w:rPr>
        <w:t>linezolidas</w:t>
      </w:r>
      <w:proofErr w:type="spellEnd"/>
      <w:r>
        <w:rPr>
          <w:rFonts w:ascii="Times New Roman" w:eastAsia="Times New Roman" w:hAnsi="Times New Roman" w:cs="Times New Roman"/>
          <w:snapToGrid w:val="0"/>
        </w:rPr>
        <w:t>], jonažolės [</w:t>
      </w:r>
      <w:proofErr w:type="spellStart"/>
      <w:r>
        <w:rPr>
          <w:rFonts w:ascii="Times New Roman" w:eastAsia="Times New Roman" w:hAnsi="Times New Roman" w:cs="Times New Roman"/>
          <w:i/>
          <w:iCs/>
          <w:snapToGrid w:val="0"/>
        </w:rPr>
        <w:t>Hypericum</w:t>
      </w:r>
      <w:proofErr w:type="spellEnd"/>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i/>
          <w:iCs/>
          <w:snapToGrid w:val="0"/>
        </w:rPr>
        <w:t>perforatum</w:t>
      </w:r>
      <w:proofErr w:type="spellEnd"/>
      <w:r>
        <w:rPr>
          <w:rFonts w:ascii="Times New Roman" w:eastAsia="Times New Roman" w:hAnsi="Times New Roman" w:cs="Times New Roman"/>
          <w:snapToGrid w:val="0"/>
        </w:rPr>
        <w:t xml:space="preserve">] preparatais arba </w:t>
      </w:r>
      <w:proofErr w:type="spellStart"/>
      <w:r>
        <w:rPr>
          <w:rFonts w:ascii="Times New Roman" w:eastAsia="Times New Roman" w:hAnsi="Times New Roman" w:cs="Times New Roman"/>
          <w:snapToGrid w:val="0"/>
        </w:rPr>
        <w:t>triptanais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tramadoliu</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petidinu</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triptofanu</w:t>
      </w:r>
      <w:proofErr w:type="spellEnd"/>
      <w:r>
        <w:rPr>
          <w:rFonts w:ascii="Times New Roman" w:eastAsia="Times New Roman" w:hAnsi="Times New Roman" w:cs="Times New Roman"/>
          <w:snapToGrid w:val="0"/>
        </w:rPr>
        <w:t>) (žr. 4.4 skyrių).</w:t>
      </w:r>
    </w:p>
    <w:p w14:paraId="440E1A92"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C1E2648" w14:textId="77777777" w:rsidR="007D1CCA" w:rsidRDefault="00A06746">
      <w:pPr>
        <w:widowControl w:val="0"/>
        <w:tabs>
          <w:tab w:val="left" w:pos="567"/>
        </w:tabs>
        <w:spacing w:after="0" w:line="240" w:lineRule="auto"/>
        <w:rPr>
          <w:rFonts w:ascii="Times New Roman" w:eastAsia="Times New Roman" w:hAnsi="Times New Roman" w:cs="Times New Roman"/>
          <w:i/>
          <w:snapToGrid w:val="0"/>
        </w:rPr>
      </w:pPr>
      <w:bookmarkStart w:id="5" w:name="page8"/>
      <w:bookmarkEnd w:id="5"/>
      <w:proofErr w:type="spellStart"/>
      <w:r>
        <w:rPr>
          <w:rFonts w:ascii="Times New Roman" w:eastAsia="Times New Roman" w:hAnsi="Times New Roman" w:cs="Times New Roman"/>
          <w:i/>
          <w:iCs/>
          <w:snapToGrid w:val="0"/>
        </w:rPr>
        <w:t>Duloksetino</w:t>
      </w:r>
      <w:proofErr w:type="spellEnd"/>
      <w:r>
        <w:rPr>
          <w:rFonts w:ascii="Times New Roman" w:eastAsia="Times New Roman" w:hAnsi="Times New Roman" w:cs="Times New Roman"/>
          <w:i/>
          <w:iCs/>
          <w:snapToGrid w:val="0"/>
        </w:rPr>
        <w:t xml:space="preserve"> įtaka kitiems vaistiniams preparatams</w:t>
      </w:r>
    </w:p>
    <w:p w14:paraId="5BAF90CA"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 xml:space="preserve">CYP1A2 </w:t>
      </w:r>
      <w:proofErr w:type="spellStart"/>
      <w:r>
        <w:rPr>
          <w:rFonts w:ascii="Times New Roman" w:eastAsia="Times New Roman" w:hAnsi="Times New Roman" w:cs="Times New Roman"/>
          <w:i/>
          <w:iCs/>
          <w:snapToGrid w:val="0"/>
        </w:rPr>
        <w:t>metabolizuojami</w:t>
      </w:r>
      <w:proofErr w:type="spellEnd"/>
      <w:r>
        <w:rPr>
          <w:rFonts w:ascii="Times New Roman" w:eastAsia="Times New Roman" w:hAnsi="Times New Roman" w:cs="Times New Roman"/>
          <w:i/>
          <w:iCs/>
          <w:snapToGrid w:val="0"/>
        </w:rPr>
        <w:t xml:space="preserve"> vaistai. </w:t>
      </w:r>
      <w:proofErr w:type="spellStart"/>
      <w:r>
        <w:rPr>
          <w:rFonts w:ascii="Times New Roman" w:eastAsia="Times New Roman" w:hAnsi="Times New Roman" w:cs="Times New Roman"/>
          <w:snapToGrid w:val="0"/>
        </w:rPr>
        <w:t>Teofilino</w:t>
      </w:r>
      <w:proofErr w:type="spellEnd"/>
      <w:r>
        <w:rPr>
          <w:rFonts w:ascii="Times New Roman" w:eastAsia="Times New Roman" w:hAnsi="Times New Roman" w:cs="Times New Roman"/>
          <w:snapToGrid w:val="0"/>
        </w:rPr>
        <w:t xml:space="preserve"> – CYP1A2 substrato – </w:t>
      </w:r>
      <w:proofErr w:type="spellStart"/>
      <w:r>
        <w:rPr>
          <w:rFonts w:ascii="Times New Roman" w:eastAsia="Times New Roman" w:hAnsi="Times New Roman" w:cs="Times New Roman"/>
          <w:snapToGrid w:val="0"/>
        </w:rPr>
        <w:t>farmakokinetikos</w:t>
      </w:r>
      <w:proofErr w:type="spellEnd"/>
      <w:r>
        <w:rPr>
          <w:rFonts w:ascii="Times New Roman" w:eastAsia="Times New Roman" w:hAnsi="Times New Roman" w:cs="Times New Roman"/>
          <w:snapToGrid w:val="0"/>
        </w:rPr>
        <w:t xml:space="preserve"> kartu skiriamas</w:t>
      </w:r>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(60 mg du kartus per parą) smarkiai nepaveikė.</w:t>
      </w:r>
    </w:p>
    <w:p w14:paraId="7952804D"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 xml:space="preserve">CYP2D6 </w:t>
      </w:r>
      <w:proofErr w:type="spellStart"/>
      <w:r>
        <w:rPr>
          <w:rFonts w:ascii="Times New Roman" w:eastAsia="Times New Roman" w:hAnsi="Times New Roman" w:cs="Times New Roman"/>
          <w:i/>
          <w:iCs/>
          <w:snapToGrid w:val="0"/>
        </w:rPr>
        <w:t>metabolizuojami</w:t>
      </w:r>
      <w:proofErr w:type="spellEnd"/>
      <w:r>
        <w:rPr>
          <w:rFonts w:ascii="Times New Roman" w:eastAsia="Times New Roman" w:hAnsi="Times New Roman" w:cs="Times New Roman"/>
          <w:i/>
          <w:iCs/>
          <w:snapToGrid w:val="0"/>
        </w:rPr>
        <w:t xml:space="preserve"> preparatai.</w:t>
      </w:r>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yra vidutinio stiprumo CYP 2D6 inhibitorius. Kartu</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su 2 kartus per parą vartojama 60 mg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doze išgėrus vieną CYP 2D6 substrato </w:t>
      </w:r>
      <w:proofErr w:type="spellStart"/>
      <w:r>
        <w:rPr>
          <w:rFonts w:ascii="Times New Roman" w:eastAsia="Times New Roman" w:hAnsi="Times New Roman" w:cs="Times New Roman"/>
          <w:snapToGrid w:val="0"/>
        </w:rPr>
        <w:t>dezipramino</w:t>
      </w:r>
      <w:proofErr w:type="spellEnd"/>
      <w:r>
        <w:rPr>
          <w:rFonts w:ascii="Times New Roman" w:eastAsia="Times New Roman" w:hAnsi="Times New Roman" w:cs="Times New Roman"/>
          <w:snapToGrid w:val="0"/>
        </w:rPr>
        <w:t xml:space="preserve"> dozę, pastarojo preparato </w:t>
      </w:r>
      <w:r>
        <w:rPr>
          <w:rFonts w:ascii="Times New Roman" w:eastAsia="Times New Roman" w:hAnsi="Times New Roman" w:cs="Times New Roman"/>
          <w:i/>
          <w:iCs/>
          <w:snapToGrid w:val="0"/>
        </w:rPr>
        <w:t>AUC</w:t>
      </w:r>
      <w:r>
        <w:rPr>
          <w:rFonts w:ascii="Times New Roman" w:eastAsia="Times New Roman" w:hAnsi="Times New Roman" w:cs="Times New Roman"/>
          <w:snapToGrid w:val="0"/>
        </w:rPr>
        <w:t xml:space="preserve"> padidėjo 3 kartus.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(40 mg du kartus per parą), skiriamas kartu su </w:t>
      </w:r>
      <w:proofErr w:type="spellStart"/>
      <w:r>
        <w:rPr>
          <w:rFonts w:ascii="Times New Roman" w:eastAsia="Times New Roman" w:hAnsi="Times New Roman" w:cs="Times New Roman"/>
          <w:snapToGrid w:val="0"/>
        </w:rPr>
        <w:t>tolterodinu</w:t>
      </w:r>
      <w:proofErr w:type="spellEnd"/>
      <w:r>
        <w:rPr>
          <w:rFonts w:ascii="Times New Roman" w:eastAsia="Times New Roman" w:hAnsi="Times New Roman" w:cs="Times New Roman"/>
          <w:snapToGrid w:val="0"/>
        </w:rPr>
        <w:t xml:space="preserve"> (2 mg du kartus per parą), padidina 71 % pastarojo </w:t>
      </w:r>
      <w:proofErr w:type="spellStart"/>
      <w:r>
        <w:rPr>
          <w:rFonts w:ascii="Times New Roman" w:eastAsia="Times New Roman" w:hAnsi="Times New Roman" w:cs="Times New Roman"/>
          <w:snapToGrid w:val="0"/>
        </w:rPr>
        <w:lastRenderedPageBreak/>
        <w:t>pusiausvyrinės</w:t>
      </w:r>
      <w:proofErr w:type="spellEnd"/>
      <w:r>
        <w:rPr>
          <w:rFonts w:ascii="Times New Roman" w:eastAsia="Times New Roman" w:hAnsi="Times New Roman" w:cs="Times New Roman"/>
          <w:snapToGrid w:val="0"/>
        </w:rPr>
        <w:t xml:space="preserve"> koncentracijos </w:t>
      </w:r>
      <w:r>
        <w:rPr>
          <w:rFonts w:ascii="Times New Roman" w:eastAsia="Times New Roman" w:hAnsi="Times New Roman" w:cs="Times New Roman"/>
          <w:i/>
          <w:iCs/>
          <w:snapToGrid w:val="0"/>
        </w:rPr>
        <w:t>AUC</w:t>
      </w:r>
      <w:r>
        <w:rPr>
          <w:rFonts w:ascii="Times New Roman" w:eastAsia="Times New Roman" w:hAnsi="Times New Roman" w:cs="Times New Roman"/>
          <w:snapToGrid w:val="0"/>
        </w:rPr>
        <w:t xml:space="preserve">, tačiau neveikia jo aktyvaus 5-hidroksilinto metabolito farmakokinetikos, todėl dozės koreguoti nerekomenduojama. Patartina atsargiai skirti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kartu su medikamentais, kuriuos daugiausia </w:t>
      </w:r>
      <w:proofErr w:type="spellStart"/>
      <w:r>
        <w:rPr>
          <w:rFonts w:ascii="Times New Roman" w:eastAsia="Times New Roman" w:hAnsi="Times New Roman" w:cs="Times New Roman"/>
          <w:snapToGrid w:val="0"/>
        </w:rPr>
        <w:t>metabolizuoja</w:t>
      </w:r>
      <w:proofErr w:type="spellEnd"/>
      <w:r>
        <w:rPr>
          <w:rFonts w:ascii="Times New Roman" w:eastAsia="Times New Roman" w:hAnsi="Times New Roman" w:cs="Times New Roman"/>
          <w:snapToGrid w:val="0"/>
        </w:rPr>
        <w:t xml:space="preserve"> CYP2D6 (</w:t>
      </w:r>
      <w:proofErr w:type="spellStart"/>
      <w:r>
        <w:rPr>
          <w:rFonts w:ascii="Times New Roman" w:eastAsia="Times New Roman" w:hAnsi="Times New Roman" w:cs="Times New Roman"/>
          <w:snapToGrid w:val="0"/>
        </w:rPr>
        <w:t>risperidonu</w:t>
      </w:r>
      <w:proofErr w:type="spellEnd"/>
      <w:r>
        <w:rPr>
          <w:rFonts w:ascii="Times New Roman" w:eastAsia="Times New Roman" w:hAnsi="Times New Roman" w:cs="Times New Roman"/>
          <w:snapToGrid w:val="0"/>
        </w:rPr>
        <w:t xml:space="preserve"> ar </w:t>
      </w:r>
      <w:proofErr w:type="spellStart"/>
      <w:r>
        <w:rPr>
          <w:rFonts w:ascii="Times New Roman" w:eastAsia="Times New Roman" w:hAnsi="Times New Roman" w:cs="Times New Roman"/>
          <w:snapToGrid w:val="0"/>
        </w:rPr>
        <w:t>tricikliais</w:t>
      </w:r>
      <w:proofErr w:type="spellEnd"/>
      <w:r>
        <w:rPr>
          <w:rFonts w:ascii="Times New Roman" w:eastAsia="Times New Roman" w:hAnsi="Times New Roman" w:cs="Times New Roman"/>
          <w:snapToGrid w:val="0"/>
        </w:rPr>
        <w:t xml:space="preserve"> antidepresantais, pvz., </w:t>
      </w:r>
      <w:proofErr w:type="spellStart"/>
      <w:r>
        <w:rPr>
          <w:rFonts w:ascii="Times New Roman" w:eastAsia="Times New Roman" w:hAnsi="Times New Roman" w:cs="Times New Roman"/>
          <w:snapToGrid w:val="0"/>
        </w:rPr>
        <w:t>nortriptilinu</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amitriptilinu</w:t>
      </w:r>
      <w:proofErr w:type="spellEnd"/>
      <w:r>
        <w:rPr>
          <w:rFonts w:ascii="Times New Roman" w:eastAsia="Times New Roman" w:hAnsi="Times New Roman" w:cs="Times New Roman"/>
          <w:snapToGrid w:val="0"/>
        </w:rPr>
        <w:t xml:space="preserve"> ar </w:t>
      </w:r>
      <w:proofErr w:type="spellStart"/>
      <w:r>
        <w:rPr>
          <w:rFonts w:ascii="Times New Roman" w:eastAsia="Times New Roman" w:hAnsi="Times New Roman" w:cs="Times New Roman"/>
          <w:snapToGrid w:val="0"/>
        </w:rPr>
        <w:t>imipraminu</w:t>
      </w:r>
      <w:proofErr w:type="spellEnd"/>
      <w:r>
        <w:rPr>
          <w:rFonts w:ascii="Times New Roman" w:eastAsia="Times New Roman" w:hAnsi="Times New Roman" w:cs="Times New Roman"/>
          <w:snapToGrid w:val="0"/>
        </w:rPr>
        <w:t xml:space="preserve">), ypač tais, kurių siauras terapinis indeksas (pvz., </w:t>
      </w:r>
      <w:proofErr w:type="spellStart"/>
      <w:r>
        <w:rPr>
          <w:rFonts w:ascii="Times New Roman" w:eastAsia="Times New Roman" w:hAnsi="Times New Roman" w:cs="Times New Roman"/>
          <w:snapToGrid w:val="0"/>
        </w:rPr>
        <w:t>flekainidu</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propafenonu</w:t>
      </w:r>
      <w:proofErr w:type="spellEnd"/>
      <w:r>
        <w:rPr>
          <w:rFonts w:ascii="Times New Roman" w:eastAsia="Times New Roman" w:hAnsi="Times New Roman" w:cs="Times New Roman"/>
          <w:snapToGrid w:val="0"/>
        </w:rPr>
        <w:t xml:space="preserve"> ar </w:t>
      </w:r>
      <w:proofErr w:type="spellStart"/>
      <w:r>
        <w:rPr>
          <w:rFonts w:ascii="Times New Roman" w:eastAsia="Times New Roman" w:hAnsi="Times New Roman" w:cs="Times New Roman"/>
          <w:snapToGrid w:val="0"/>
        </w:rPr>
        <w:t>metoprololiu</w:t>
      </w:r>
      <w:proofErr w:type="spellEnd"/>
      <w:r>
        <w:rPr>
          <w:rFonts w:ascii="Times New Roman" w:eastAsia="Times New Roman" w:hAnsi="Times New Roman" w:cs="Times New Roman"/>
          <w:snapToGrid w:val="0"/>
        </w:rPr>
        <w:t>).</w:t>
      </w:r>
    </w:p>
    <w:p w14:paraId="6D1111E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2E844D9"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Geriamieji kontraceptikai ir kiti steroidiniai preparatai</w:t>
      </w:r>
      <w:r>
        <w:rPr>
          <w:rFonts w:ascii="Times New Roman" w:eastAsia="Times New Roman" w:hAnsi="Times New Roman" w:cs="Times New Roman"/>
          <w:snapToGrid w:val="0"/>
        </w:rPr>
        <w:t>. Tyrimų</w:t>
      </w:r>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i/>
          <w:iCs/>
          <w:snapToGrid w:val="0"/>
        </w:rPr>
        <w:t>in</w:t>
      </w:r>
      <w:proofErr w:type="spellEnd"/>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i/>
          <w:iCs/>
          <w:snapToGrid w:val="0"/>
        </w:rPr>
        <w:t>vitro</w:t>
      </w:r>
      <w:proofErr w:type="spellEnd"/>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rezultatai rodo, kad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neskatina </w:t>
      </w:r>
      <w:proofErr w:type="spellStart"/>
      <w:r>
        <w:rPr>
          <w:rFonts w:ascii="Times New Roman" w:eastAsia="Times New Roman" w:hAnsi="Times New Roman" w:cs="Times New Roman"/>
          <w:snapToGrid w:val="0"/>
        </w:rPr>
        <w:t>katalizinio</w:t>
      </w:r>
      <w:proofErr w:type="spellEnd"/>
      <w:r>
        <w:rPr>
          <w:rFonts w:ascii="Times New Roman" w:eastAsia="Times New Roman" w:hAnsi="Times New Roman" w:cs="Times New Roman"/>
          <w:snapToGrid w:val="0"/>
        </w:rPr>
        <w:t xml:space="preserve"> CYP3A aktyvumo. Specifinių vaistų sąveikos tyrimų </w:t>
      </w:r>
      <w:proofErr w:type="spellStart"/>
      <w:r>
        <w:rPr>
          <w:rFonts w:ascii="Times New Roman" w:eastAsia="Times New Roman" w:hAnsi="Times New Roman" w:cs="Times New Roman"/>
          <w:i/>
          <w:iCs/>
          <w:snapToGrid w:val="0"/>
        </w:rPr>
        <w:t>in</w:t>
      </w:r>
      <w:proofErr w:type="spellEnd"/>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i/>
          <w:iCs/>
          <w:snapToGrid w:val="0"/>
        </w:rPr>
        <w:t>vivo</w:t>
      </w:r>
      <w:proofErr w:type="spellEnd"/>
      <w:r>
        <w:rPr>
          <w:rFonts w:ascii="Times New Roman" w:eastAsia="Times New Roman" w:hAnsi="Times New Roman" w:cs="Times New Roman"/>
          <w:snapToGrid w:val="0"/>
        </w:rPr>
        <w:t xml:space="preserve"> nebuvo atlikta.</w:t>
      </w:r>
    </w:p>
    <w:p w14:paraId="63A61DC2"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6D08F03"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 xml:space="preserve">Antikoaguliantai ir </w:t>
      </w:r>
      <w:proofErr w:type="spellStart"/>
      <w:r>
        <w:rPr>
          <w:rFonts w:ascii="Times New Roman" w:eastAsia="Times New Roman" w:hAnsi="Times New Roman" w:cs="Times New Roman"/>
          <w:i/>
          <w:iCs/>
          <w:snapToGrid w:val="0"/>
        </w:rPr>
        <w:t>antitrombocitiniai</w:t>
      </w:r>
      <w:proofErr w:type="spellEnd"/>
      <w:r>
        <w:rPr>
          <w:rFonts w:ascii="Times New Roman" w:eastAsia="Times New Roman" w:hAnsi="Times New Roman" w:cs="Times New Roman"/>
          <w:i/>
          <w:iCs/>
          <w:snapToGrid w:val="0"/>
        </w:rPr>
        <w:t xml:space="preserve"> vaistiniai preparatai.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kartu su geriamaisiais</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antikoaguliantais arba </w:t>
      </w:r>
      <w:proofErr w:type="spellStart"/>
      <w:r>
        <w:rPr>
          <w:rFonts w:ascii="Times New Roman" w:eastAsia="Times New Roman" w:hAnsi="Times New Roman" w:cs="Times New Roman"/>
          <w:snapToGrid w:val="0"/>
        </w:rPr>
        <w:t>antitrombocitiniais</w:t>
      </w:r>
      <w:proofErr w:type="spellEnd"/>
      <w:r>
        <w:rPr>
          <w:rFonts w:ascii="Times New Roman" w:eastAsia="Times New Roman" w:hAnsi="Times New Roman" w:cs="Times New Roman"/>
          <w:snapToGrid w:val="0"/>
        </w:rPr>
        <w:t xml:space="preserve"> preparatais reikia gydyti atsargiai, kadangi gali padidėti kraujavimo rizika, paaiškinama </w:t>
      </w:r>
      <w:proofErr w:type="spellStart"/>
      <w:r>
        <w:rPr>
          <w:rFonts w:ascii="Times New Roman" w:eastAsia="Times New Roman" w:hAnsi="Times New Roman" w:cs="Times New Roman"/>
          <w:snapToGrid w:val="0"/>
        </w:rPr>
        <w:t>farmakodinamine</w:t>
      </w:r>
      <w:proofErr w:type="spellEnd"/>
      <w:r>
        <w:rPr>
          <w:rFonts w:ascii="Times New Roman" w:eastAsia="Times New Roman" w:hAnsi="Times New Roman" w:cs="Times New Roman"/>
          <w:snapToGrid w:val="0"/>
        </w:rPr>
        <w:t xml:space="preserve"> sąveika. Be to, pacientus gydant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ir kartu </w:t>
      </w:r>
      <w:proofErr w:type="spellStart"/>
      <w:r>
        <w:rPr>
          <w:rFonts w:ascii="Times New Roman" w:eastAsia="Times New Roman" w:hAnsi="Times New Roman" w:cs="Times New Roman"/>
          <w:snapToGrid w:val="0"/>
        </w:rPr>
        <w:t>varfarinu</w:t>
      </w:r>
      <w:proofErr w:type="spellEnd"/>
      <w:r>
        <w:rPr>
          <w:rFonts w:ascii="Times New Roman" w:eastAsia="Times New Roman" w:hAnsi="Times New Roman" w:cs="Times New Roman"/>
          <w:snapToGrid w:val="0"/>
        </w:rPr>
        <w:t xml:space="preserve">, buvo TNS padidėjimo atvejų. Tačiau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skiriant kartu su varfarinu sveikiems savanoriams klinikinio farmakologinio poveikio tyrimo metu, kai kraujyje nusistovi </w:t>
      </w:r>
      <w:proofErr w:type="spellStart"/>
      <w:r>
        <w:rPr>
          <w:rFonts w:ascii="Times New Roman" w:eastAsia="Times New Roman" w:hAnsi="Times New Roman" w:cs="Times New Roman"/>
          <w:snapToGrid w:val="0"/>
        </w:rPr>
        <w:t>pusiausvyrinė</w:t>
      </w:r>
      <w:proofErr w:type="spellEnd"/>
      <w:r>
        <w:rPr>
          <w:rFonts w:ascii="Times New Roman" w:eastAsia="Times New Roman" w:hAnsi="Times New Roman" w:cs="Times New Roman"/>
          <w:snapToGrid w:val="0"/>
        </w:rPr>
        <w:t xml:space="preserve"> koncentracija, kliniškai svarbių TNS pokyčių nuo normos, ar R- ar S- varfarino farmakokinetikos pokyčių nenustatyta.</w:t>
      </w:r>
    </w:p>
    <w:p w14:paraId="3A0B69B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2E4570B" w14:textId="77777777" w:rsidR="007D1CCA" w:rsidRPr="00A83D4D" w:rsidRDefault="00A06746">
      <w:pPr>
        <w:widowControl w:val="0"/>
        <w:tabs>
          <w:tab w:val="left" w:pos="567"/>
        </w:tabs>
        <w:spacing w:after="0" w:line="240" w:lineRule="auto"/>
        <w:rPr>
          <w:rFonts w:ascii="Times New Roman" w:eastAsia="Times New Roman" w:hAnsi="Times New Roman" w:cs="Times New Roman"/>
          <w:snapToGrid w:val="0"/>
          <w:lang w:val="pt-PT"/>
        </w:rPr>
      </w:pPr>
      <w:r>
        <w:rPr>
          <w:rFonts w:ascii="Times New Roman" w:eastAsia="Times New Roman" w:hAnsi="Times New Roman" w:cs="Times New Roman"/>
          <w:i/>
          <w:iCs/>
          <w:snapToGrid w:val="0"/>
        </w:rPr>
        <w:t xml:space="preserve">Kitų vaistinių preparatų įtaka </w:t>
      </w:r>
      <w:proofErr w:type="spellStart"/>
      <w:r>
        <w:rPr>
          <w:rFonts w:ascii="Times New Roman" w:eastAsia="Times New Roman" w:hAnsi="Times New Roman" w:cs="Times New Roman"/>
          <w:i/>
          <w:iCs/>
          <w:snapToGrid w:val="0"/>
        </w:rPr>
        <w:t>duloksetinui</w:t>
      </w:r>
      <w:proofErr w:type="spellEnd"/>
    </w:p>
    <w:p w14:paraId="6CEC2399"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i/>
          <w:iCs/>
          <w:snapToGrid w:val="0"/>
        </w:rPr>
        <w:t>Antacidiniai</w:t>
      </w:r>
      <w:proofErr w:type="spellEnd"/>
      <w:r>
        <w:rPr>
          <w:rFonts w:ascii="Times New Roman" w:eastAsia="Times New Roman" w:hAnsi="Times New Roman" w:cs="Times New Roman"/>
          <w:i/>
          <w:iCs/>
          <w:snapToGrid w:val="0"/>
        </w:rPr>
        <w:t xml:space="preserve"> vaistai ir H</w:t>
      </w:r>
      <w:r>
        <w:rPr>
          <w:rFonts w:ascii="Times New Roman" w:eastAsia="Times New Roman" w:hAnsi="Times New Roman" w:cs="Times New Roman"/>
          <w:i/>
          <w:iCs/>
          <w:snapToGrid w:val="0"/>
          <w:vertAlign w:val="subscript"/>
        </w:rPr>
        <w:t>2</w:t>
      </w:r>
      <w:r>
        <w:rPr>
          <w:rFonts w:ascii="Times New Roman" w:eastAsia="Times New Roman" w:hAnsi="Times New Roman" w:cs="Times New Roman"/>
          <w:i/>
          <w:iCs/>
          <w:snapToGrid w:val="0"/>
        </w:rPr>
        <w:t xml:space="preserve"> blokatoriai.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skyrimas kartu su </w:t>
      </w:r>
      <w:proofErr w:type="spellStart"/>
      <w:r>
        <w:rPr>
          <w:rFonts w:ascii="Times New Roman" w:eastAsia="Times New Roman" w:hAnsi="Times New Roman" w:cs="Times New Roman"/>
          <w:snapToGrid w:val="0"/>
        </w:rPr>
        <w:t>antacidiniais</w:t>
      </w:r>
      <w:proofErr w:type="spellEnd"/>
      <w:r>
        <w:rPr>
          <w:rFonts w:ascii="Times New Roman" w:eastAsia="Times New Roman" w:hAnsi="Times New Roman" w:cs="Times New Roman"/>
          <w:snapToGrid w:val="0"/>
        </w:rPr>
        <w:t xml:space="preserve"> preparatais, kurių</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sudėtyje yra aliuminio ir magnio bei su </w:t>
      </w:r>
      <w:proofErr w:type="spellStart"/>
      <w:r>
        <w:rPr>
          <w:rFonts w:ascii="Times New Roman" w:eastAsia="Times New Roman" w:hAnsi="Times New Roman" w:cs="Times New Roman"/>
          <w:snapToGrid w:val="0"/>
        </w:rPr>
        <w:t>famotidinu</w:t>
      </w:r>
      <w:proofErr w:type="spellEnd"/>
      <w:r>
        <w:rPr>
          <w:rFonts w:ascii="Times New Roman" w:eastAsia="Times New Roman" w:hAnsi="Times New Roman" w:cs="Times New Roman"/>
          <w:snapToGrid w:val="0"/>
        </w:rPr>
        <w:t xml:space="preserve"> neturėjo žymaus poveikio išgerto 40 mg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rezorbcijos</w:t>
      </w:r>
      <w:proofErr w:type="spellEnd"/>
      <w:r>
        <w:rPr>
          <w:rFonts w:ascii="Times New Roman" w:eastAsia="Times New Roman" w:hAnsi="Times New Roman" w:cs="Times New Roman"/>
          <w:snapToGrid w:val="0"/>
        </w:rPr>
        <w:t xml:space="preserve"> greičiui ir apimčiai.</w:t>
      </w:r>
    </w:p>
    <w:p w14:paraId="3A1EA649"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4DE022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 xml:space="preserve">CYP1A2 </w:t>
      </w:r>
      <w:proofErr w:type="spellStart"/>
      <w:r>
        <w:rPr>
          <w:rFonts w:ascii="Times New Roman" w:eastAsia="Times New Roman" w:hAnsi="Times New Roman" w:cs="Times New Roman"/>
          <w:i/>
          <w:iCs/>
          <w:snapToGrid w:val="0"/>
        </w:rPr>
        <w:t>induktoriai</w:t>
      </w:r>
      <w:proofErr w:type="spellEnd"/>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Populiacijos farmakokinetikos tyrimų analizė parodė, kad rūkalių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koncentracija kraujo plazmoje yra beveik 50 % mažesnė nei nerūkančių asmenų.</w:t>
      </w:r>
    </w:p>
    <w:p w14:paraId="14067961"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76B2979"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4.6</w:t>
      </w:r>
      <w:r>
        <w:rPr>
          <w:rFonts w:ascii="Times New Roman" w:eastAsia="Times New Roman" w:hAnsi="Times New Roman" w:cs="Times New Roman"/>
          <w:b/>
          <w:bCs/>
          <w:snapToGrid w:val="0"/>
          <w:lang w:eastAsia="x-none"/>
        </w:rPr>
        <w:tab/>
        <w:t>Vaisingumas, nėštumo ir žindymo laikotarpis</w:t>
      </w:r>
    </w:p>
    <w:p w14:paraId="4522D961"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4FA3095"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Vaisingumas</w:t>
      </w:r>
    </w:p>
    <w:p w14:paraId="6D26B5D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Su gyvūnais atlikti tyrimai parodė, kad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neveikė vyrų vaisingumo, o poveikis moterims pastebėtas tik vartojant dozes, kurios sukelia toksinį poveikį.</w:t>
      </w:r>
    </w:p>
    <w:p w14:paraId="011BFB8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98C9FCA"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Nėštumas</w:t>
      </w:r>
    </w:p>
    <w:p w14:paraId="12DAE200"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Su gyvūnais atlikti tyrimai parodė toksinį poveikį reprodukcijai esant mažesnei sisteminei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ekspozicijai (AUC) nei maksimali klinikinė (žr. 5.3 skyrių).</w:t>
      </w:r>
    </w:p>
    <w:p w14:paraId="721CE24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9213F1A" w14:textId="77777777" w:rsidR="007D1CCA" w:rsidRDefault="00A06746">
      <w:pPr>
        <w:widowControl w:val="0"/>
        <w:tabs>
          <w:tab w:val="left" w:pos="567"/>
        </w:tabs>
        <w:spacing w:after="0" w:line="240" w:lineRule="auto"/>
        <w:rPr>
          <w:rFonts w:ascii="Times New Roman" w:hAnsi="Times New Roman" w:cs="Times New Roman"/>
        </w:rPr>
      </w:pPr>
      <w:r>
        <w:rPr>
          <w:rFonts w:ascii="Times New Roman" w:hAnsi="Times New Roman" w:cs="Times New Roman"/>
        </w:rPr>
        <w:t>Du dideli stebėjimo tyrimai (vienas JAV, apimantis 2 500 </w:t>
      </w:r>
      <w:proofErr w:type="spellStart"/>
      <w:r>
        <w:rPr>
          <w:rFonts w:ascii="Times New Roman" w:hAnsi="Times New Roman" w:cs="Times New Roman"/>
        </w:rPr>
        <w:t>duloksetino</w:t>
      </w:r>
      <w:proofErr w:type="spellEnd"/>
      <w:r>
        <w:rPr>
          <w:rFonts w:ascii="Times New Roman" w:hAnsi="Times New Roman" w:cs="Times New Roman"/>
        </w:rPr>
        <w:t xml:space="preserve"> ekspozicijos per pirmąjį nėštumo trimestrą atvejų, ir vienas ES, apimantis 1 500 </w:t>
      </w:r>
      <w:proofErr w:type="spellStart"/>
      <w:r>
        <w:rPr>
          <w:rFonts w:ascii="Times New Roman" w:hAnsi="Times New Roman" w:cs="Times New Roman"/>
        </w:rPr>
        <w:t>duloksetino</w:t>
      </w:r>
      <w:proofErr w:type="spellEnd"/>
      <w:r>
        <w:rPr>
          <w:rFonts w:ascii="Times New Roman" w:hAnsi="Times New Roman" w:cs="Times New Roman"/>
        </w:rPr>
        <w:t xml:space="preserve"> ekspozicijos per pirmąjį nėštumo trimestrą atvejų) neparodė didžiųjų apsigimimų bendrosios rizikos padidėjimo. Specifinių apsigimimų, tokių kaip širdies apsigimimų, analizė, parodė neįtikimus rezultatus.</w:t>
      </w:r>
    </w:p>
    <w:p w14:paraId="6B7EBC5B" w14:textId="77777777" w:rsidR="007D1CCA" w:rsidRDefault="00A06746">
      <w:pPr>
        <w:widowControl w:val="0"/>
        <w:tabs>
          <w:tab w:val="left" w:pos="567"/>
        </w:tabs>
        <w:spacing w:after="0" w:line="240" w:lineRule="auto"/>
        <w:rPr>
          <w:rFonts w:ascii="Times New Roman" w:hAnsi="Times New Roman" w:cs="Times New Roman"/>
        </w:rPr>
      </w:pPr>
      <w:r>
        <w:rPr>
          <w:rFonts w:ascii="Times New Roman" w:hAnsi="Times New Roman" w:cs="Times New Roman"/>
        </w:rPr>
        <w:t xml:space="preserve">ES atlikto tyrimo duomenimis, </w:t>
      </w:r>
      <w:proofErr w:type="spellStart"/>
      <w:r>
        <w:rPr>
          <w:rFonts w:ascii="Times New Roman" w:hAnsi="Times New Roman" w:cs="Times New Roman"/>
        </w:rPr>
        <w:t>duloksetino</w:t>
      </w:r>
      <w:proofErr w:type="spellEnd"/>
      <w:r>
        <w:rPr>
          <w:rFonts w:ascii="Times New Roman" w:hAnsi="Times New Roman" w:cs="Times New Roman"/>
        </w:rPr>
        <w:t xml:space="preserve"> ekspozicija vėlyvuoju nėštumo laikotarpiu (bet kuriuo metu nuo 20 nėštumo savaitės iki gimdymo) buvo susijusi su priešlaikinio gimdymo rizikos padidėjimu (mažiau kaip 2 kartus – tai atitinka maždaug 6 papildomus priešlaikinius gimdymus 100 moterų, gydytų </w:t>
      </w:r>
      <w:proofErr w:type="spellStart"/>
      <w:r>
        <w:rPr>
          <w:rFonts w:ascii="Times New Roman" w:hAnsi="Times New Roman" w:cs="Times New Roman"/>
        </w:rPr>
        <w:t>duloksetinu</w:t>
      </w:r>
      <w:proofErr w:type="spellEnd"/>
      <w:r>
        <w:rPr>
          <w:rFonts w:ascii="Times New Roman" w:hAnsi="Times New Roman" w:cs="Times New Roman"/>
        </w:rPr>
        <w:t xml:space="preserve"> vėlyvuoju nėštumo laikotarpiu). Dauguma jų įvyko 35 ir 36 nėštumo savaitėmis. Tokio ryšio nepastebėta JAV atliktame tyrime.</w:t>
      </w:r>
    </w:p>
    <w:p w14:paraId="780CEF2F"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hAnsi="Times New Roman" w:cs="Times New Roman"/>
        </w:rPr>
        <w:t xml:space="preserve">Stebėjimo duomenys JAV parodė, kad per mėnesį iki gimdymo pavartojus </w:t>
      </w:r>
      <w:proofErr w:type="spellStart"/>
      <w:r>
        <w:rPr>
          <w:rFonts w:ascii="Times New Roman" w:hAnsi="Times New Roman" w:cs="Times New Roman"/>
        </w:rPr>
        <w:t>duloksetino</w:t>
      </w:r>
      <w:proofErr w:type="spellEnd"/>
      <w:r>
        <w:rPr>
          <w:rFonts w:ascii="Times New Roman" w:hAnsi="Times New Roman" w:cs="Times New Roman"/>
        </w:rPr>
        <w:t>, padidėjo kraujavimo po gimdymo rizika (mažiau kaip 2 kartus).</w:t>
      </w:r>
    </w:p>
    <w:p w14:paraId="2340CF4B"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85D3569"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Epidemiologiniai duomenys parodė, kad SSRI vartojimas nėštumo metu, ypač vėlyvuoju periodu, gali didinti išlikusios naujagimio plaučių hipertenzijos (angl. </w:t>
      </w:r>
      <w:proofErr w:type="spellStart"/>
      <w:r>
        <w:rPr>
          <w:rFonts w:ascii="Times New Roman" w:eastAsia="Times New Roman" w:hAnsi="Times New Roman" w:cs="Times New Roman"/>
          <w:snapToGrid w:val="0"/>
        </w:rPr>
        <w:t>persistent</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pulmonary</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hypertension</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in</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the</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newborn</w:t>
      </w:r>
      <w:proofErr w:type="spellEnd"/>
      <w:r>
        <w:rPr>
          <w:rFonts w:ascii="Times New Roman" w:eastAsia="Times New Roman" w:hAnsi="Times New Roman" w:cs="Times New Roman"/>
          <w:snapToGrid w:val="0"/>
        </w:rPr>
        <w:t xml:space="preserve"> – PPHN) riziką. Nors PPHN pasireiškimo ryšio su gydymu SNRI tyrimų neatlikta,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vartojimo metu galimos rizikos atmesti negalima dėl jo veikimo mechanizmo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reabsorbcijos slopinimo).</w:t>
      </w:r>
    </w:p>
    <w:p w14:paraId="7AD6A35B"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745CC54"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Prieš gimdymą moteriai vartojus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kaip ir kitokių </w:t>
      </w:r>
      <w:proofErr w:type="spellStart"/>
      <w:r>
        <w:rPr>
          <w:rFonts w:ascii="Times New Roman" w:eastAsia="Times New Roman" w:hAnsi="Times New Roman" w:cs="Times New Roman"/>
          <w:snapToGrid w:val="0"/>
        </w:rPr>
        <w:t>serotoninerginių</w:t>
      </w:r>
      <w:proofErr w:type="spellEnd"/>
      <w:r>
        <w:rPr>
          <w:rFonts w:ascii="Times New Roman" w:eastAsia="Times New Roman" w:hAnsi="Times New Roman" w:cs="Times New Roman"/>
          <w:snapToGrid w:val="0"/>
        </w:rPr>
        <w:t xml:space="preserve"> vaistinių preparatų, jos naujagimiui gali pasireikšti nutraukimo simptomų. Nutraukimo simptomai, susiję su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w:t>
      </w:r>
      <w:bookmarkStart w:id="6" w:name="page9"/>
      <w:bookmarkEnd w:id="6"/>
      <w:r>
        <w:rPr>
          <w:rFonts w:ascii="Times New Roman" w:eastAsia="Times New Roman" w:hAnsi="Times New Roman" w:cs="Times New Roman"/>
          <w:snapToGrid w:val="0"/>
        </w:rPr>
        <w:t xml:space="preserve">vartojimo nutraukimu, gali būti hipotonija, tremoras, nervingumas, maitinimosi pasunkėjimas, </w:t>
      </w:r>
      <w:r>
        <w:rPr>
          <w:rFonts w:ascii="Times New Roman" w:eastAsia="Times New Roman" w:hAnsi="Times New Roman" w:cs="Times New Roman"/>
          <w:snapToGrid w:val="0"/>
        </w:rPr>
        <w:lastRenderedPageBreak/>
        <w:t>kvėpavimo sutrikimas ir traukuliai. Daugumas tokių atvejų pasitaikė arba gimimo metu, arba per pirmąsias kelias dienas po gimimo.</w:t>
      </w:r>
    </w:p>
    <w:p w14:paraId="6BBC662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5A752B0"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Nėštumo metu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vartoti draudžiama, nebent jei galima nauda pateisina galimą riziką vaisiui. Moterims reikia patarti, kad jos pasakytų savo gydytojui, jei pastojo ar ketina pastoti gydymo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metu.</w:t>
      </w:r>
    </w:p>
    <w:p w14:paraId="6F1BFB15"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F7C49F8"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Žindymo laikotarpis</w:t>
      </w:r>
    </w:p>
    <w:p w14:paraId="7E2E73F3"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Remiantis 6 moterų, kurios pieno išsiskyrimo laikotarpiu kūdikio krūtimi nemaitino, tyrimų duomenimis, su motinos pienu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išsiskiria labai mažai. Apskaičiuota, į kūdikio organizmą per parą patenkanti dozė mg/kg kūno svorio, yra 0,14 % motinos pavartotos dozės (žr. 5.2 skyrių). Kadangi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saugumas kūdikiams nežinomas, žindymo laikotarpiu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vartoti nerekomenduojama.</w:t>
      </w:r>
    </w:p>
    <w:p w14:paraId="57232EB5"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BC3B249"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4.7</w:t>
      </w:r>
      <w:r>
        <w:rPr>
          <w:rFonts w:ascii="Times New Roman" w:eastAsia="Times New Roman" w:hAnsi="Times New Roman" w:cs="Times New Roman"/>
          <w:b/>
          <w:bCs/>
          <w:snapToGrid w:val="0"/>
          <w:lang w:eastAsia="x-none"/>
        </w:rPr>
        <w:tab/>
        <w:t>Poveikis gebėjimui vairuoti ir valdyti mechanizmus</w:t>
      </w:r>
    </w:p>
    <w:p w14:paraId="1D9BA73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76B876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Poveikio gebėjimui vairuoti ir valdyti mechanizmus tyrimų neatlikta.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vartojimas gali būti susijęs su </w:t>
      </w:r>
      <w:proofErr w:type="spellStart"/>
      <w:r>
        <w:rPr>
          <w:rFonts w:ascii="Times New Roman" w:eastAsia="Times New Roman" w:hAnsi="Times New Roman" w:cs="Times New Roman"/>
          <w:snapToGrid w:val="0"/>
        </w:rPr>
        <w:t>sedacija</w:t>
      </w:r>
      <w:proofErr w:type="spellEnd"/>
      <w:r>
        <w:rPr>
          <w:rFonts w:ascii="Times New Roman" w:eastAsia="Times New Roman" w:hAnsi="Times New Roman" w:cs="Times New Roman"/>
          <w:snapToGrid w:val="0"/>
        </w:rPr>
        <w:t xml:space="preserve"> ir galvos svaigimu. Pacientus reikia įspėti, kad atsiradus </w:t>
      </w:r>
      <w:proofErr w:type="spellStart"/>
      <w:r>
        <w:rPr>
          <w:rFonts w:ascii="Times New Roman" w:eastAsia="Times New Roman" w:hAnsi="Times New Roman" w:cs="Times New Roman"/>
          <w:snapToGrid w:val="0"/>
        </w:rPr>
        <w:t>sedacijai</w:t>
      </w:r>
      <w:proofErr w:type="spellEnd"/>
      <w:r>
        <w:rPr>
          <w:rFonts w:ascii="Times New Roman" w:eastAsia="Times New Roman" w:hAnsi="Times New Roman" w:cs="Times New Roman"/>
          <w:snapToGrid w:val="0"/>
        </w:rPr>
        <w:t xml:space="preserve"> arba galvos svaigimui, reikia vengti galimai pavojingo darbo, pvz., vairavimo ar mechanizmų valdymo.</w:t>
      </w:r>
    </w:p>
    <w:p w14:paraId="7337709B"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0E7EF02" w14:textId="77777777" w:rsidR="007D1CCA" w:rsidRDefault="00A06746">
      <w:pPr>
        <w:widowControl w:val="0"/>
        <w:tabs>
          <w:tab w:val="left" w:pos="567"/>
        </w:tabs>
        <w:spacing w:after="0" w:line="240" w:lineRule="auto"/>
        <w:outlineLvl w:val="0"/>
        <w:rPr>
          <w:rFonts w:ascii="Times New Roman" w:eastAsia="Times New Roman" w:hAnsi="Times New Roman" w:cs="Times New Roman"/>
          <w:snapToGrid w:val="0"/>
        </w:rPr>
      </w:pPr>
      <w:r>
        <w:rPr>
          <w:rFonts w:ascii="Times New Roman" w:eastAsia="Times New Roman" w:hAnsi="Times New Roman" w:cs="Times New Roman"/>
          <w:b/>
          <w:snapToGrid w:val="0"/>
        </w:rPr>
        <w:t>4.8</w:t>
      </w:r>
      <w:r>
        <w:rPr>
          <w:rFonts w:ascii="Times New Roman" w:eastAsia="Times New Roman" w:hAnsi="Times New Roman" w:cs="Times New Roman"/>
          <w:b/>
          <w:snapToGrid w:val="0"/>
        </w:rPr>
        <w:tab/>
        <w:t>Nepageidaujamas poveikis</w:t>
      </w:r>
    </w:p>
    <w:p w14:paraId="4CC8ED94" w14:textId="77777777" w:rsidR="007D1CCA" w:rsidRDefault="007D1CCA">
      <w:pPr>
        <w:widowControl w:val="0"/>
        <w:tabs>
          <w:tab w:val="left" w:pos="567"/>
        </w:tabs>
        <w:spacing w:after="0" w:line="240" w:lineRule="auto"/>
        <w:rPr>
          <w:rFonts w:ascii="Times New Roman" w:eastAsia="Times New Roman" w:hAnsi="Times New Roman" w:cs="Times New Roman"/>
          <w:snapToGrid w:val="0"/>
          <w:u w:val="single"/>
        </w:rPr>
      </w:pPr>
    </w:p>
    <w:p w14:paraId="534F160A"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a. Saugumo duomenų santrauka</w:t>
      </w:r>
    </w:p>
    <w:p w14:paraId="1C0D5E38"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vartojusiems pacientams dažniausiai pasireiškė šios nepageidaujamos reakcijos: pykinimas, galvos skausmas, burnos džiūvimas, </w:t>
      </w:r>
      <w:proofErr w:type="spellStart"/>
      <w:r>
        <w:rPr>
          <w:rFonts w:ascii="Times New Roman" w:eastAsia="Times New Roman" w:hAnsi="Times New Roman" w:cs="Times New Roman"/>
          <w:snapToGrid w:val="0"/>
        </w:rPr>
        <w:t>somnolencija</w:t>
      </w:r>
      <w:proofErr w:type="spellEnd"/>
      <w:r>
        <w:rPr>
          <w:rFonts w:ascii="Times New Roman" w:eastAsia="Times New Roman" w:hAnsi="Times New Roman" w:cs="Times New Roman"/>
          <w:snapToGrid w:val="0"/>
        </w:rPr>
        <w:t xml:space="preserve"> ir galvos svaigimas. Tačiau dauguma šių dažnų nepageidaujamų reakcijų buvo lengvos arba vidutinio sunkumo. Paprastai jos pasireikšdavo gydymo pradžioje ir dauguma turėjo polinkį į išnykimą net tęsiant gydymą</w:t>
      </w:r>
    </w:p>
    <w:p w14:paraId="47E442F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AEACA0A"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b. Nepageidaujamų reakcijų santrauka lentelėje</w:t>
      </w:r>
    </w:p>
    <w:p w14:paraId="3C55AB37"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1-ojoje lentelėje išvardytos nepageidaujamos reakcijos, apie kurias buvo pranešta spontaninių pranešimų metu bei kurios buvo pastebėtos placebu kontroliuojamų klinikinių tyrimų metu.</w:t>
      </w:r>
    </w:p>
    <w:p w14:paraId="3D961EB1"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324519B"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1 lentelė. Nepageidaujamos reakcijos</w:t>
      </w:r>
    </w:p>
    <w:p w14:paraId="635B70F6" w14:textId="624A85AC"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Dažnio apibūdinimas: labai dažnas (≥ 1/10), dažnas (nuo ≥ 1/100 iki &lt; 1/10), nedažnas (nuo ≥ 1/1000 iki &lt; 1/100), retas (nuo ≥ 1/10 000 iki &lt; 1/1000), labai retas (&lt; 1/10000)</w:t>
      </w:r>
      <w:r>
        <w:t xml:space="preserve"> </w:t>
      </w:r>
      <w:r>
        <w:rPr>
          <w:rFonts w:ascii="Times New Roman" w:eastAsia="Times New Roman" w:hAnsi="Times New Roman" w:cs="Times New Roman"/>
          <w:snapToGrid w:val="0"/>
        </w:rPr>
        <w:t>ir nežinomas (</w:t>
      </w:r>
      <w:bookmarkStart w:id="7" w:name="_Hlk167958916"/>
      <w:r>
        <w:rPr>
          <w:rFonts w:ascii="Times New Roman" w:eastAsia="Times New Roman" w:hAnsi="Times New Roman" w:cs="Times New Roman"/>
          <w:snapToGrid w:val="0"/>
        </w:rPr>
        <w:t>negali būti apskaičiuotas pagal turimus duomenis</w:t>
      </w:r>
      <w:bookmarkEnd w:id="7"/>
      <w:r>
        <w:rPr>
          <w:rFonts w:ascii="Times New Roman" w:eastAsia="Times New Roman" w:hAnsi="Times New Roman" w:cs="Times New Roman"/>
          <w:snapToGrid w:val="0"/>
        </w:rPr>
        <w:t>).</w:t>
      </w:r>
    </w:p>
    <w:p w14:paraId="46097C69"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4F6A953"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Kiekvienoje dažnio grupėje nepageidaujamas poveikis pateikiamas mažėjančio sunkumo tvarka.</w:t>
      </w:r>
    </w:p>
    <w:p w14:paraId="35CAC58C"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1134"/>
        <w:gridCol w:w="1560"/>
        <w:gridCol w:w="1701"/>
        <w:gridCol w:w="1701"/>
        <w:gridCol w:w="1835"/>
      </w:tblGrid>
      <w:tr w:rsidR="007D1CCA" w14:paraId="03B15351" w14:textId="77777777" w:rsidTr="00A83D4D">
        <w:tc>
          <w:tcPr>
            <w:tcW w:w="1129" w:type="dxa"/>
            <w:tcBorders>
              <w:top w:val="single" w:sz="4" w:space="0" w:color="auto"/>
              <w:left w:val="single" w:sz="4" w:space="0" w:color="auto"/>
              <w:bottom w:val="single" w:sz="4" w:space="0" w:color="auto"/>
              <w:right w:val="single" w:sz="4" w:space="0" w:color="auto"/>
            </w:tcBorders>
            <w:vAlign w:val="bottom"/>
            <w:hideMark/>
          </w:tcPr>
          <w:p w14:paraId="3F095105" w14:textId="77777777" w:rsidR="007D1CCA" w:rsidRDefault="00A06746">
            <w:pPr>
              <w:widowControl w:val="0"/>
              <w:tabs>
                <w:tab w:val="left" w:pos="567"/>
              </w:tabs>
              <w:autoSpaceDE w:val="0"/>
              <w:autoSpaceDN w:val="0"/>
              <w:adjustRightInd w:val="0"/>
              <w:spacing w:after="0" w:line="240" w:lineRule="auto"/>
              <w:ind w:left="120"/>
              <w:rPr>
                <w:rFonts w:ascii="Times New Roman" w:eastAsia="Times New Roman" w:hAnsi="Times New Roman" w:cs="Times New Roman"/>
                <w:snapToGrid w:val="0"/>
              </w:rPr>
            </w:pPr>
            <w:r>
              <w:rPr>
                <w:rFonts w:ascii="Times New Roman" w:eastAsia="Times New Roman" w:hAnsi="Times New Roman" w:cs="Times New Roman"/>
                <w:b/>
                <w:bCs/>
                <w:snapToGrid w:val="0"/>
              </w:rPr>
              <w:t>Labai dažni</w:t>
            </w:r>
          </w:p>
        </w:tc>
        <w:tc>
          <w:tcPr>
            <w:tcW w:w="1134" w:type="dxa"/>
            <w:tcBorders>
              <w:top w:val="single" w:sz="4" w:space="0" w:color="auto"/>
              <w:left w:val="single" w:sz="4" w:space="0" w:color="auto"/>
              <w:bottom w:val="single" w:sz="4" w:space="0" w:color="auto"/>
              <w:right w:val="single" w:sz="4" w:space="0" w:color="auto"/>
            </w:tcBorders>
            <w:vAlign w:val="bottom"/>
            <w:hideMark/>
          </w:tcPr>
          <w:p w14:paraId="6375F964" w14:textId="5FF71284" w:rsidR="007D1CCA" w:rsidRDefault="00A06746">
            <w:pPr>
              <w:widowControl w:val="0"/>
              <w:tabs>
                <w:tab w:val="left" w:pos="567"/>
              </w:tabs>
              <w:autoSpaceDE w:val="0"/>
              <w:autoSpaceDN w:val="0"/>
              <w:adjustRightInd w:val="0"/>
              <w:spacing w:after="0" w:line="240" w:lineRule="auto"/>
              <w:ind w:left="80"/>
              <w:rPr>
                <w:rFonts w:ascii="Times New Roman" w:eastAsia="Times New Roman" w:hAnsi="Times New Roman" w:cs="Times New Roman"/>
                <w:snapToGrid w:val="0"/>
              </w:rPr>
            </w:pPr>
            <w:r>
              <w:rPr>
                <w:rFonts w:ascii="Times New Roman" w:eastAsia="Times New Roman" w:hAnsi="Times New Roman" w:cs="Times New Roman"/>
                <w:b/>
                <w:bCs/>
                <w:snapToGrid w:val="0"/>
              </w:rPr>
              <w:t>Dažnas</w:t>
            </w:r>
          </w:p>
        </w:tc>
        <w:tc>
          <w:tcPr>
            <w:tcW w:w="1560" w:type="dxa"/>
            <w:tcBorders>
              <w:top w:val="single" w:sz="4" w:space="0" w:color="auto"/>
              <w:left w:val="single" w:sz="4" w:space="0" w:color="auto"/>
              <w:bottom w:val="single" w:sz="4" w:space="0" w:color="auto"/>
              <w:right w:val="single" w:sz="4" w:space="0" w:color="auto"/>
            </w:tcBorders>
            <w:vAlign w:val="bottom"/>
            <w:hideMark/>
          </w:tcPr>
          <w:p w14:paraId="3FED6398" w14:textId="248E3589" w:rsidR="007D1CCA" w:rsidRDefault="00A06746">
            <w:pPr>
              <w:widowControl w:val="0"/>
              <w:tabs>
                <w:tab w:val="left" w:pos="567"/>
              </w:tabs>
              <w:autoSpaceDE w:val="0"/>
              <w:autoSpaceDN w:val="0"/>
              <w:adjustRightInd w:val="0"/>
              <w:spacing w:after="0" w:line="240" w:lineRule="auto"/>
              <w:ind w:left="100"/>
              <w:rPr>
                <w:rFonts w:ascii="Times New Roman" w:eastAsia="Times New Roman" w:hAnsi="Times New Roman" w:cs="Times New Roman"/>
                <w:snapToGrid w:val="0"/>
              </w:rPr>
            </w:pPr>
            <w:r>
              <w:rPr>
                <w:rFonts w:ascii="Times New Roman" w:eastAsia="Times New Roman" w:hAnsi="Times New Roman" w:cs="Times New Roman"/>
                <w:b/>
                <w:bCs/>
                <w:snapToGrid w:val="0"/>
              </w:rPr>
              <w:t>Nedažnas</w:t>
            </w:r>
          </w:p>
        </w:tc>
        <w:tc>
          <w:tcPr>
            <w:tcW w:w="1701" w:type="dxa"/>
            <w:tcBorders>
              <w:top w:val="single" w:sz="4" w:space="0" w:color="auto"/>
              <w:left w:val="single" w:sz="4" w:space="0" w:color="auto"/>
              <w:bottom w:val="single" w:sz="4" w:space="0" w:color="auto"/>
              <w:right w:val="single" w:sz="4" w:space="0" w:color="auto"/>
            </w:tcBorders>
            <w:vAlign w:val="bottom"/>
            <w:hideMark/>
          </w:tcPr>
          <w:p w14:paraId="11129823" w14:textId="7EA88B9A" w:rsidR="007D1CCA" w:rsidRDefault="00A06746">
            <w:pPr>
              <w:widowControl w:val="0"/>
              <w:tabs>
                <w:tab w:val="left" w:pos="567"/>
              </w:tabs>
              <w:autoSpaceDE w:val="0"/>
              <w:autoSpaceDN w:val="0"/>
              <w:adjustRightInd w:val="0"/>
              <w:spacing w:after="0" w:line="240" w:lineRule="auto"/>
              <w:ind w:left="100"/>
              <w:rPr>
                <w:rFonts w:ascii="Times New Roman" w:eastAsia="Times New Roman" w:hAnsi="Times New Roman" w:cs="Times New Roman"/>
                <w:snapToGrid w:val="0"/>
              </w:rPr>
            </w:pPr>
            <w:r>
              <w:rPr>
                <w:rFonts w:ascii="Times New Roman" w:eastAsia="Times New Roman" w:hAnsi="Times New Roman" w:cs="Times New Roman"/>
                <w:b/>
                <w:bCs/>
                <w:snapToGrid w:val="0"/>
              </w:rPr>
              <w:t>Retas</w:t>
            </w:r>
          </w:p>
        </w:tc>
        <w:tc>
          <w:tcPr>
            <w:tcW w:w="1701" w:type="dxa"/>
            <w:tcBorders>
              <w:top w:val="single" w:sz="4" w:space="0" w:color="auto"/>
              <w:left w:val="single" w:sz="4" w:space="0" w:color="auto"/>
              <w:bottom w:val="single" w:sz="4" w:space="0" w:color="auto"/>
              <w:right w:val="single" w:sz="4" w:space="0" w:color="auto"/>
            </w:tcBorders>
            <w:vAlign w:val="bottom"/>
            <w:hideMark/>
          </w:tcPr>
          <w:p w14:paraId="116328FF" w14:textId="2300940D" w:rsidR="007D1CCA" w:rsidRDefault="00A06746">
            <w:pPr>
              <w:widowControl w:val="0"/>
              <w:tabs>
                <w:tab w:val="left" w:pos="567"/>
              </w:tabs>
              <w:autoSpaceDE w:val="0"/>
              <w:autoSpaceDN w:val="0"/>
              <w:adjustRightInd w:val="0"/>
              <w:spacing w:after="0" w:line="240" w:lineRule="auto"/>
              <w:ind w:left="100"/>
              <w:rPr>
                <w:rFonts w:ascii="Times New Roman" w:eastAsia="Times New Roman" w:hAnsi="Times New Roman" w:cs="Times New Roman"/>
                <w:snapToGrid w:val="0"/>
              </w:rPr>
            </w:pPr>
            <w:r>
              <w:rPr>
                <w:rFonts w:ascii="Times New Roman" w:eastAsia="Times New Roman" w:hAnsi="Times New Roman" w:cs="Times New Roman"/>
                <w:b/>
                <w:bCs/>
                <w:snapToGrid w:val="0"/>
              </w:rPr>
              <w:t>Labai retas</w:t>
            </w:r>
          </w:p>
        </w:tc>
        <w:tc>
          <w:tcPr>
            <w:tcW w:w="1835" w:type="dxa"/>
            <w:tcBorders>
              <w:top w:val="single" w:sz="4" w:space="0" w:color="auto"/>
              <w:left w:val="single" w:sz="4" w:space="0" w:color="auto"/>
              <w:bottom w:val="single" w:sz="4" w:space="0" w:color="auto"/>
              <w:right w:val="single" w:sz="4" w:space="0" w:color="auto"/>
            </w:tcBorders>
          </w:tcPr>
          <w:p w14:paraId="24286D8B" w14:textId="77777777" w:rsidR="007D1CCA" w:rsidRDefault="007D1CCA">
            <w:pPr>
              <w:widowControl w:val="0"/>
              <w:tabs>
                <w:tab w:val="left" w:pos="567"/>
              </w:tabs>
              <w:autoSpaceDE w:val="0"/>
              <w:autoSpaceDN w:val="0"/>
              <w:adjustRightInd w:val="0"/>
              <w:spacing w:after="0" w:line="240" w:lineRule="auto"/>
              <w:ind w:left="100"/>
              <w:rPr>
                <w:rFonts w:ascii="Times New Roman" w:eastAsia="Times New Roman" w:hAnsi="Times New Roman" w:cs="Times New Roman"/>
                <w:b/>
                <w:bCs/>
                <w:snapToGrid w:val="0"/>
              </w:rPr>
            </w:pPr>
          </w:p>
          <w:p w14:paraId="3DFF3C19" w14:textId="77777777" w:rsidR="007D1CCA" w:rsidRDefault="00A06746">
            <w:pPr>
              <w:widowControl w:val="0"/>
              <w:tabs>
                <w:tab w:val="left" w:pos="567"/>
              </w:tabs>
              <w:autoSpaceDE w:val="0"/>
              <w:autoSpaceDN w:val="0"/>
              <w:adjustRightInd w:val="0"/>
              <w:spacing w:after="0" w:line="240" w:lineRule="auto"/>
              <w:ind w:left="100"/>
              <w:rPr>
                <w:rFonts w:ascii="Times New Roman" w:eastAsia="Times New Roman" w:hAnsi="Times New Roman" w:cs="Times New Roman"/>
                <w:b/>
                <w:bCs/>
                <w:snapToGrid w:val="0"/>
              </w:rPr>
            </w:pPr>
            <w:r>
              <w:rPr>
                <w:rFonts w:ascii="Times New Roman" w:eastAsia="Times New Roman" w:hAnsi="Times New Roman" w:cs="Times New Roman"/>
                <w:b/>
                <w:bCs/>
                <w:snapToGrid w:val="0"/>
              </w:rPr>
              <w:t>Dažnis nežinomas</w:t>
            </w:r>
          </w:p>
        </w:tc>
      </w:tr>
      <w:tr w:rsidR="007D1CCA" w14:paraId="36F2F48F"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44D601CC"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i/>
                <w:iCs/>
                <w:snapToGrid w:val="0"/>
              </w:rPr>
              <w:t xml:space="preserve">Infekcijos ir </w:t>
            </w:r>
            <w:proofErr w:type="spellStart"/>
            <w:r>
              <w:rPr>
                <w:rFonts w:ascii="Times New Roman" w:eastAsia="Times New Roman" w:hAnsi="Times New Roman" w:cs="Times New Roman"/>
                <w:i/>
                <w:iCs/>
                <w:snapToGrid w:val="0"/>
              </w:rPr>
              <w:t>infestacijos</w:t>
            </w:r>
            <w:proofErr w:type="spellEnd"/>
          </w:p>
        </w:tc>
        <w:tc>
          <w:tcPr>
            <w:tcW w:w="1835" w:type="dxa"/>
            <w:tcBorders>
              <w:top w:val="single" w:sz="4" w:space="0" w:color="auto"/>
              <w:left w:val="single" w:sz="4" w:space="0" w:color="auto"/>
              <w:bottom w:val="single" w:sz="4" w:space="0" w:color="auto"/>
              <w:right w:val="single" w:sz="4" w:space="0" w:color="auto"/>
            </w:tcBorders>
          </w:tcPr>
          <w:p w14:paraId="610FD1DD"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iCs/>
                <w:snapToGrid w:val="0"/>
              </w:rPr>
            </w:pPr>
          </w:p>
        </w:tc>
      </w:tr>
      <w:tr w:rsidR="007D1CCA" w14:paraId="672EFF30" w14:textId="77777777" w:rsidTr="00A83D4D">
        <w:tc>
          <w:tcPr>
            <w:tcW w:w="1129" w:type="dxa"/>
            <w:tcBorders>
              <w:top w:val="single" w:sz="4" w:space="0" w:color="auto"/>
              <w:left w:val="single" w:sz="4" w:space="0" w:color="auto"/>
              <w:bottom w:val="single" w:sz="4" w:space="0" w:color="auto"/>
              <w:right w:val="single" w:sz="4" w:space="0" w:color="auto"/>
            </w:tcBorders>
          </w:tcPr>
          <w:p w14:paraId="219CF3A8"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134" w:type="dxa"/>
            <w:tcBorders>
              <w:top w:val="single" w:sz="4" w:space="0" w:color="auto"/>
              <w:left w:val="single" w:sz="4" w:space="0" w:color="auto"/>
              <w:bottom w:val="single" w:sz="4" w:space="0" w:color="auto"/>
              <w:right w:val="single" w:sz="4" w:space="0" w:color="auto"/>
            </w:tcBorders>
          </w:tcPr>
          <w:p w14:paraId="1D3C487A"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560" w:type="dxa"/>
            <w:tcBorders>
              <w:top w:val="single" w:sz="4" w:space="0" w:color="auto"/>
              <w:left w:val="single" w:sz="4" w:space="0" w:color="auto"/>
              <w:bottom w:val="single" w:sz="4" w:space="0" w:color="auto"/>
              <w:right w:val="single" w:sz="4" w:space="0" w:color="auto"/>
            </w:tcBorders>
            <w:hideMark/>
          </w:tcPr>
          <w:p w14:paraId="2CB53EFF"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Laringitas</w:t>
            </w:r>
          </w:p>
        </w:tc>
        <w:tc>
          <w:tcPr>
            <w:tcW w:w="1701" w:type="dxa"/>
            <w:tcBorders>
              <w:top w:val="single" w:sz="4" w:space="0" w:color="auto"/>
              <w:left w:val="single" w:sz="4" w:space="0" w:color="auto"/>
              <w:bottom w:val="single" w:sz="4" w:space="0" w:color="auto"/>
              <w:right w:val="single" w:sz="4" w:space="0" w:color="auto"/>
            </w:tcBorders>
          </w:tcPr>
          <w:p w14:paraId="403E8BD6"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701" w:type="dxa"/>
            <w:tcBorders>
              <w:top w:val="single" w:sz="4" w:space="0" w:color="auto"/>
              <w:left w:val="single" w:sz="4" w:space="0" w:color="auto"/>
              <w:bottom w:val="single" w:sz="4" w:space="0" w:color="auto"/>
              <w:right w:val="single" w:sz="4" w:space="0" w:color="auto"/>
            </w:tcBorders>
          </w:tcPr>
          <w:p w14:paraId="3A876A5B"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835" w:type="dxa"/>
            <w:tcBorders>
              <w:top w:val="single" w:sz="4" w:space="0" w:color="auto"/>
              <w:left w:val="single" w:sz="4" w:space="0" w:color="auto"/>
              <w:bottom w:val="single" w:sz="4" w:space="0" w:color="auto"/>
              <w:right w:val="single" w:sz="4" w:space="0" w:color="auto"/>
            </w:tcBorders>
          </w:tcPr>
          <w:p w14:paraId="78080830"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r w:rsidR="007D1CCA" w14:paraId="489F1802"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1100C80E"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i/>
                <w:iCs/>
                <w:snapToGrid w:val="0"/>
              </w:rPr>
              <w:t>Imuninės sistemos sutrikimai</w:t>
            </w:r>
          </w:p>
        </w:tc>
        <w:tc>
          <w:tcPr>
            <w:tcW w:w="1835" w:type="dxa"/>
            <w:tcBorders>
              <w:top w:val="single" w:sz="4" w:space="0" w:color="auto"/>
              <w:left w:val="single" w:sz="4" w:space="0" w:color="auto"/>
              <w:bottom w:val="single" w:sz="4" w:space="0" w:color="auto"/>
              <w:right w:val="single" w:sz="4" w:space="0" w:color="auto"/>
            </w:tcBorders>
          </w:tcPr>
          <w:p w14:paraId="66077EFA"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iCs/>
                <w:snapToGrid w:val="0"/>
              </w:rPr>
            </w:pPr>
          </w:p>
        </w:tc>
      </w:tr>
      <w:tr w:rsidR="007D1CCA" w14:paraId="637FC512" w14:textId="77777777" w:rsidTr="00A83D4D">
        <w:tc>
          <w:tcPr>
            <w:tcW w:w="1129" w:type="dxa"/>
            <w:tcBorders>
              <w:top w:val="single" w:sz="4" w:space="0" w:color="auto"/>
              <w:left w:val="single" w:sz="4" w:space="0" w:color="auto"/>
              <w:bottom w:val="single" w:sz="4" w:space="0" w:color="auto"/>
              <w:right w:val="single" w:sz="4" w:space="0" w:color="auto"/>
            </w:tcBorders>
          </w:tcPr>
          <w:p w14:paraId="1A68E0BE"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134" w:type="dxa"/>
            <w:tcBorders>
              <w:top w:val="single" w:sz="4" w:space="0" w:color="auto"/>
              <w:left w:val="single" w:sz="4" w:space="0" w:color="auto"/>
              <w:bottom w:val="single" w:sz="4" w:space="0" w:color="auto"/>
              <w:right w:val="single" w:sz="4" w:space="0" w:color="auto"/>
            </w:tcBorders>
          </w:tcPr>
          <w:p w14:paraId="44828E99"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560" w:type="dxa"/>
            <w:tcBorders>
              <w:top w:val="single" w:sz="4" w:space="0" w:color="auto"/>
              <w:left w:val="single" w:sz="4" w:space="0" w:color="auto"/>
              <w:bottom w:val="single" w:sz="4" w:space="0" w:color="auto"/>
              <w:right w:val="single" w:sz="4" w:space="0" w:color="auto"/>
            </w:tcBorders>
          </w:tcPr>
          <w:p w14:paraId="5FA5588D"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701" w:type="dxa"/>
            <w:tcBorders>
              <w:top w:val="single" w:sz="4" w:space="0" w:color="auto"/>
              <w:left w:val="single" w:sz="4" w:space="0" w:color="auto"/>
              <w:bottom w:val="single" w:sz="4" w:space="0" w:color="auto"/>
              <w:right w:val="single" w:sz="4" w:space="0" w:color="auto"/>
            </w:tcBorders>
            <w:hideMark/>
          </w:tcPr>
          <w:p w14:paraId="6542F24F"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Anafilaksinė reakcija</w:t>
            </w:r>
          </w:p>
          <w:p w14:paraId="5456BFC7"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Padidėjusio jautrumo sutrikimas</w:t>
            </w:r>
          </w:p>
        </w:tc>
        <w:tc>
          <w:tcPr>
            <w:tcW w:w="1701" w:type="dxa"/>
            <w:tcBorders>
              <w:top w:val="single" w:sz="4" w:space="0" w:color="auto"/>
              <w:left w:val="single" w:sz="4" w:space="0" w:color="auto"/>
              <w:bottom w:val="single" w:sz="4" w:space="0" w:color="auto"/>
              <w:right w:val="single" w:sz="4" w:space="0" w:color="auto"/>
            </w:tcBorders>
          </w:tcPr>
          <w:p w14:paraId="1F081188"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835" w:type="dxa"/>
            <w:tcBorders>
              <w:top w:val="single" w:sz="4" w:space="0" w:color="auto"/>
              <w:left w:val="single" w:sz="4" w:space="0" w:color="auto"/>
              <w:bottom w:val="single" w:sz="4" w:space="0" w:color="auto"/>
              <w:right w:val="single" w:sz="4" w:space="0" w:color="auto"/>
            </w:tcBorders>
          </w:tcPr>
          <w:p w14:paraId="139558E3"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r w:rsidR="007D1CCA" w14:paraId="7AD34C7C"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37B81DC1"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Pr>
                <w:rFonts w:ascii="Times New Roman" w:eastAsia="Times New Roman" w:hAnsi="Times New Roman" w:cs="Times New Roman"/>
                <w:i/>
                <w:snapToGrid w:val="0"/>
              </w:rPr>
              <w:t>Endokrininės sistemos sutrikimai</w:t>
            </w:r>
          </w:p>
        </w:tc>
        <w:tc>
          <w:tcPr>
            <w:tcW w:w="1835" w:type="dxa"/>
            <w:tcBorders>
              <w:top w:val="single" w:sz="4" w:space="0" w:color="auto"/>
              <w:left w:val="single" w:sz="4" w:space="0" w:color="auto"/>
              <w:bottom w:val="single" w:sz="4" w:space="0" w:color="auto"/>
              <w:right w:val="single" w:sz="4" w:space="0" w:color="auto"/>
            </w:tcBorders>
          </w:tcPr>
          <w:p w14:paraId="2D5A4344"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p>
        </w:tc>
      </w:tr>
      <w:tr w:rsidR="007D1CCA" w14:paraId="15128667" w14:textId="77777777" w:rsidTr="00A83D4D">
        <w:tc>
          <w:tcPr>
            <w:tcW w:w="1129" w:type="dxa"/>
            <w:tcBorders>
              <w:top w:val="single" w:sz="4" w:space="0" w:color="auto"/>
              <w:left w:val="single" w:sz="4" w:space="0" w:color="auto"/>
              <w:bottom w:val="single" w:sz="4" w:space="0" w:color="auto"/>
              <w:right w:val="single" w:sz="4" w:space="0" w:color="auto"/>
            </w:tcBorders>
          </w:tcPr>
          <w:p w14:paraId="172A2783"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134" w:type="dxa"/>
            <w:tcBorders>
              <w:top w:val="single" w:sz="4" w:space="0" w:color="auto"/>
              <w:left w:val="single" w:sz="4" w:space="0" w:color="auto"/>
              <w:bottom w:val="single" w:sz="4" w:space="0" w:color="auto"/>
              <w:right w:val="single" w:sz="4" w:space="0" w:color="auto"/>
            </w:tcBorders>
          </w:tcPr>
          <w:p w14:paraId="473A86CF"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560" w:type="dxa"/>
            <w:tcBorders>
              <w:top w:val="single" w:sz="4" w:space="0" w:color="auto"/>
              <w:left w:val="single" w:sz="4" w:space="0" w:color="auto"/>
              <w:bottom w:val="single" w:sz="4" w:space="0" w:color="auto"/>
              <w:right w:val="single" w:sz="4" w:space="0" w:color="auto"/>
            </w:tcBorders>
          </w:tcPr>
          <w:p w14:paraId="2B529236"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701" w:type="dxa"/>
            <w:tcBorders>
              <w:top w:val="single" w:sz="4" w:space="0" w:color="auto"/>
              <w:left w:val="single" w:sz="4" w:space="0" w:color="auto"/>
              <w:bottom w:val="single" w:sz="4" w:space="0" w:color="auto"/>
              <w:right w:val="single" w:sz="4" w:space="0" w:color="auto"/>
            </w:tcBorders>
            <w:hideMark/>
          </w:tcPr>
          <w:p w14:paraId="19BFE162"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Hipotirozė</w:t>
            </w:r>
            <w:proofErr w:type="spellEnd"/>
          </w:p>
        </w:tc>
        <w:tc>
          <w:tcPr>
            <w:tcW w:w="1701" w:type="dxa"/>
            <w:tcBorders>
              <w:top w:val="single" w:sz="4" w:space="0" w:color="auto"/>
              <w:left w:val="single" w:sz="4" w:space="0" w:color="auto"/>
              <w:bottom w:val="single" w:sz="4" w:space="0" w:color="auto"/>
              <w:right w:val="single" w:sz="4" w:space="0" w:color="auto"/>
            </w:tcBorders>
          </w:tcPr>
          <w:p w14:paraId="7136362E"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835" w:type="dxa"/>
            <w:tcBorders>
              <w:top w:val="single" w:sz="4" w:space="0" w:color="auto"/>
              <w:left w:val="single" w:sz="4" w:space="0" w:color="auto"/>
              <w:bottom w:val="single" w:sz="4" w:space="0" w:color="auto"/>
              <w:right w:val="single" w:sz="4" w:space="0" w:color="auto"/>
            </w:tcBorders>
          </w:tcPr>
          <w:p w14:paraId="47C96AC9"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r w:rsidR="007D1CCA" w14:paraId="3EC1C120"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02BAC7AE"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Pr>
                <w:rFonts w:ascii="Times New Roman" w:eastAsia="Times New Roman" w:hAnsi="Times New Roman" w:cs="Times New Roman"/>
                <w:i/>
                <w:snapToGrid w:val="0"/>
              </w:rPr>
              <w:t>Metabolizmo ir mitybos sutrikimai</w:t>
            </w:r>
          </w:p>
        </w:tc>
        <w:tc>
          <w:tcPr>
            <w:tcW w:w="1835" w:type="dxa"/>
            <w:tcBorders>
              <w:top w:val="single" w:sz="4" w:space="0" w:color="auto"/>
              <w:left w:val="single" w:sz="4" w:space="0" w:color="auto"/>
              <w:bottom w:val="single" w:sz="4" w:space="0" w:color="auto"/>
              <w:right w:val="single" w:sz="4" w:space="0" w:color="auto"/>
            </w:tcBorders>
          </w:tcPr>
          <w:p w14:paraId="528B22C5"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p>
        </w:tc>
      </w:tr>
      <w:tr w:rsidR="007D1CCA" w14:paraId="2B1A756F" w14:textId="77777777" w:rsidTr="00A83D4D">
        <w:tc>
          <w:tcPr>
            <w:tcW w:w="1129" w:type="dxa"/>
            <w:tcBorders>
              <w:top w:val="single" w:sz="4" w:space="0" w:color="auto"/>
              <w:left w:val="single" w:sz="4" w:space="0" w:color="auto"/>
              <w:bottom w:val="single" w:sz="4" w:space="0" w:color="auto"/>
              <w:right w:val="single" w:sz="4" w:space="0" w:color="auto"/>
            </w:tcBorders>
          </w:tcPr>
          <w:p w14:paraId="2A1AC623"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134" w:type="dxa"/>
            <w:tcBorders>
              <w:top w:val="single" w:sz="4" w:space="0" w:color="auto"/>
              <w:left w:val="single" w:sz="4" w:space="0" w:color="auto"/>
              <w:bottom w:val="single" w:sz="4" w:space="0" w:color="auto"/>
              <w:right w:val="single" w:sz="4" w:space="0" w:color="auto"/>
            </w:tcBorders>
            <w:hideMark/>
          </w:tcPr>
          <w:p w14:paraId="602FFA90"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Apetito sumažėjimas</w:t>
            </w:r>
          </w:p>
        </w:tc>
        <w:tc>
          <w:tcPr>
            <w:tcW w:w="1560" w:type="dxa"/>
            <w:tcBorders>
              <w:top w:val="single" w:sz="4" w:space="0" w:color="auto"/>
              <w:left w:val="single" w:sz="4" w:space="0" w:color="auto"/>
              <w:bottom w:val="single" w:sz="4" w:space="0" w:color="auto"/>
              <w:right w:val="single" w:sz="4" w:space="0" w:color="auto"/>
            </w:tcBorders>
            <w:hideMark/>
          </w:tcPr>
          <w:p w14:paraId="2BAC5BF4"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 xml:space="preserve">Hiperglikemija (pastebėta daugiausiai cukriniu </w:t>
            </w:r>
            <w:r>
              <w:rPr>
                <w:rFonts w:ascii="Times New Roman" w:eastAsia="Times New Roman" w:hAnsi="Times New Roman" w:cs="Times New Roman"/>
                <w:snapToGrid w:val="0"/>
              </w:rPr>
              <w:lastRenderedPageBreak/>
              <w:t>diabetu sergantiems pacientams)</w:t>
            </w:r>
          </w:p>
        </w:tc>
        <w:tc>
          <w:tcPr>
            <w:tcW w:w="1701" w:type="dxa"/>
            <w:tcBorders>
              <w:top w:val="single" w:sz="4" w:space="0" w:color="auto"/>
              <w:left w:val="single" w:sz="4" w:space="0" w:color="auto"/>
              <w:bottom w:val="single" w:sz="4" w:space="0" w:color="auto"/>
              <w:right w:val="single" w:sz="4" w:space="0" w:color="auto"/>
            </w:tcBorders>
            <w:hideMark/>
          </w:tcPr>
          <w:p w14:paraId="0E5059DD"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lastRenderedPageBreak/>
              <w:t>Dehidracija</w:t>
            </w:r>
            <w:proofErr w:type="spellEnd"/>
          </w:p>
          <w:p w14:paraId="3B942BEE"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Hiponatremija</w:t>
            </w:r>
            <w:proofErr w:type="spellEnd"/>
          </w:p>
          <w:p w14:paraId="3E662F97"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vertAlign w:val="superscript"/>
              </w:rPr>
            </w:pPr>
            <w:r>
              <w:rPr>
                <w:rFonts w:ascii="Times New Roman" w:eastAsia="Times New Roman" w:hAnsi="Times New Roman" w:cs="Times New Roman"/>
                <w:snapToGrid w:val="0"/>
              </w:rPr>
              <w:t>ADHSSS</w:t>
            </w:r>
            <w:r>
              <w:rPr>
                <w:rFonts w:ascii="Times New Roman" w:eastAsia="Times New Roman" w:hAnsi="Times New Roman" w:cs="Times New Roman"/>
                <w:snapToGrid w:val="0"/>
                <w:vertAlign w:val="superscript"/>
              </w:rPr>
              <w:t>6</w:t>
            </w:r>
          </w:p>
        </w:tc>
        <w:tc>
          <w:tcPr>
            <w:tcW w:w="1701" w:type="dxa"/>
            <w:tcBorders>
              <w:top w:val="single" w:sz="4" w:space="0" w:color="auto"/>
              <w:left w:val="single" w:sz="4" w:space="0" w:color="auto"/>
              <w:bottom w:val="single" w:sz="4" w:space="0" w:color="auto"/>
              <w:right w:val="single" w:sz="4" w:space="0" w:color="auto"/>
            </w:tcBorders>
          </w:tcPr>
          <w:p w14:paraId="713C7D6F"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835" w:type="dxa"/>
            <w:tcBorders>
              <w:top w:val="single" w:sz="4" w:space="0" w:color="auto"/>
              <w:left w:val="single" w:sz="4" w:space="0" w:color="auto"/>
              <w:bottom w:val="single" w:sz="4" w:space="0" w:color="auto"/>
              <w:right w:val="single" w:sz="4" w:space="0" w:color="auto"/>
            </w:tcBorders>
          </w:tcPr>
          <w:p w14:paraId="38A4F367"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r w:rsidR="007D1CCA" w14:paraId="5013744C"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3117F3F3"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Pr>
                <w:rFonts w:ascii="Times New Roman" w:eastAsia="Times New Roman" w:hAnsi="Times New Roman" w:cs="Times New Roman"/>
                <w:i/>
                <w:snapToGrid w:val="0"/>
              </w:rPr>
              <w:t>Psichikos sutrikimai</w:t>
            </w:r>
          </w:p>
        </w:tc>
        <w:tc>
          <w:tcPr>
            <w:tcW w:w="1835" w:type="dxa"/>
            <w:tcBorders>
              <w:top w:val="single" w:sz="4" w:space="0" w:color="auto"/>
              <w:left w:val="single" w:sz="4" w:space="0" w:color="auto"/>
              <w:bottom w:val="single" w:sz="4" w:space="0" w:color="auto"/>
              <w:right w:val="single" w:sz="4" w:space="0" w:color="auto"/>
            </w:tcBorders>
          </w:tcPr>
          <w:p w14:paraId="7EF675D5"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p>
        </w:tc>
      </w:tr>
      <w:tr w:rsidR="007D1CCA" w14:paraId="724F6FD6" w14:textId="77777777" w:rsidTr="00A83D4D">
        <w:tc>
          <w:tcPr>
            <w:tcW w:w="1129" w:type="dxa"/>
            <w:tcBorders>
              <w:top w:val="single" w:sz="4" w:space="0" w:color="auto"/>
              <w:left w:val="single" w:sz="4" w:space="0" w:color="auto"/>
              <w:bottom w:val="single" w:sz="4" w:space="0" w:color="auto"/>
              <w:right w:val="single" w:sz="4" w:space="0" w:color="auto"/>
            </w:tcBorders>
          </w:tcPr>
          <w:p w14:paraId="156174A2"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134" w:type="dxa"/>
            <w:tcBorders>
              <w:top w:val="single" w:sz="4" w:space="0" w:color="auto"/>
              <w:left w:val="single" w:sz="4" w:space="0" w:color="auto"/>
              <w:bottom w:val="single" w:sz="4" w:space="0" w:color="auto"/>
              <w:right w:val="single" w:sz="4" w:space="0" w:color="auto"/>
            </w:tcBorders>
            <w:hideMark/>
          </w:tcPr>
          <w:p w14:paraId="56C42957"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Nemiga</w:t>
            </w:r>
          </w:p>
          <w:p w14:paraId="3E72DB2D"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Ažitacija</w:t>
            </w:r>
            <w:proofErr w:type="spellEnd"/>
          </w:p>
          <w:p w14:paraId="574F2EC1"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Lytinio potraukio sumažėjimas</w:t>
            </w:r>
          </w:p>
          <w:p w14:paraId="13C1810D"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Nerimas</w:t>
            </w:r>
          </w:p>
          <w:p w14:paraId="01808886"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Orgazmo sutrikimai</w:t>
            </w:r>
          </w:p>
          <w:p w14:paraId="3B022405"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Nenormalūs sapnai</w:t>
            </w:r>
          </w:p>
        </w:tc>
        <w:tc>
          <w:tcPr>
            <w:tcW w:w="1560" w:type="dxa"/>
            <w:tcBorders>
              <w:top w:val="single" w:sz="4" w:space="0" w:color="auto"/>
              <w:left w:val="single" w:sz="4" w:space="0" w:color="auto"/>
              <w:bottom w:val="single" w:sz="4" w:space="0" w:color="auto"/>
              <w:right w:val="single" w:sz="4" w:space="0" w:color="auto"/>
            </w:tcBorders>
          </w:tcPr>
          <w:p w14:paraId="5C2C9527"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vertAlign w:val="superscript"/>
              </w:rPr>
            </w:pPr>
            <w:r>
              <w:rPr>
                <w:rFonts w:ascii="Times New Roman" w:eastAsia="Times New Roman" w:hAnsi="Times New Roman" w:cs="Times New Roman"/>
                <w:snapToGrid w:val="0"/>
              </w:rPr>
              <w:t xml:space="preserve">Mintys apie savižudybę </w:t>
            </w:r>
            <w:r>
              <w:rPr>
                <w:rFonts w:ascii="Times New Roman" w:eastAsia="Times New Roman" w:hAnsi="Times New Roman" w:cs="Times New Roman"/>
                <w:snapToGrid w:val="0"/>
                <w:vertAlign w:val="superscript"/>
              </w:rPr>
              <w:t>5, 7</w:t>
            </w:r>
          </w:p>
          <w:p w14:paraId="3562ED75"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Miego sutrikimai</w:t>
            </w:r>
          </w:p>
          <w:p w14:paraId="2F3C77BF"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Dantų griežimas</w:t>
            </w:r>
          </w:p>
          <w:p w14:paraId="3DCAB6D9"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Dezorientacija</w:t>
            </w:r>
          </w:p>
          <w:p w14:paraId="24D58238"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Apatija</w:t>
            </w:r>
          </w:p>
          <w:p w14:paraId="2DF15A96"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701" w:type="dxa"/>
            <w:tcBorders>
              <w:top w:val="single" w:sz="4" w:space="0" w:color="auto"/>
              <w:left w:val="single" w:sz="4" w:space="0" w:color="auto"/>
              <w:bottom w:val="single" w:sz="4" w:space="0" w:color="auto"/>
              <w:right w:val="single" w:sz="4" w:space="0" w:color="auto"/>
            </w:tcBorders>
          </w:tcPr>
          <w:p w14:paraId="1F2D07D5"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vertAlign w:val="superscript"/>
              </w:rPr>
            </w:pPr>
            <w:r>
              <w:rPr>
                <w:rFonts w:ascii="Times New Roman" w:eastAsia="Times New Roman" w:hAnsi="Times New Roman" w:cs="Times New Roman"/>
                <w:snapToGrid w:val="0"/>
              </w:rPr>
              <w:t>Savižudiškas elgesys</w:t>
            </w:r>
            <w:r>
              <w:rPr>
                <w:rFonts w:ascii="Times New Roman" w:eastAsia="Times New Roman" w:hAnsi="Times New Roman" w:cs="Times New Roman"/>
                <w:snapToGrid w:val="0"/>
                <w:vertAlign w:val="superscript"/>
              </w:rPr>
              <w:t>5, 7</w:t>
            </w:r>
          </w:p>
          <w:p w14:paraId="1D9239F7"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Manija</w:t>
            </w:r>
          </w:p>
          <w:p w14:paraId="0DC68C6E"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Haliucinacijos</w:t>
            </w:r>
          </w:p>
          <w:p w14:paraId="15060752"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Agresija ir pyktis</w:t>
            </w:r>
            <w:r>
              <w:rPr>
                <w:rFonts w:ascii="Times New Roman" w:eastAsia="Times New Roman" w:hAnsi="Times New Roman" w:cs="Times New Roman"/>
                <w:snapToGrid w:val="0"/>
                <w:vertAlign w:val="superscript"/>
              </w:rPr>
              <w:t>4</w:t>
            </w:r>
          </w:p>
          <w:p w14:paraId="23538079"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701" w:type="dxa"/>
            <w:tcBorders>
              <w:top w:val="single" w:sz="4" w:space="0" w:color="auto"/>
              <w:left w:val="single" w:sz="4" w:space="0" w:color="auto"/>
              <w:bottom w:val="single" w:sz="4" w:space="0" w:color="auto"/>
              <w:right w:val="single" w:sz="4" w:space="0" w:color="auto"/>
            </w:tcBorders>
          </w:tcPr>
          <w:p w14:paraId="557477D3"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835" w:type="dxa"/>
            <w:tcBorders>
              <w:top w:val="single" w:sz="4" w:space="0" w:color="auto"/>
              <w:left w:val="single" w:sz="4" w:space="0" w:color="auto"/>
              <w:bottom w:val="single" w:sz="4" w:space="0" w:color="auto"/>
              <w:right w:val="single" w:sz="4" w:space="0" w:color="auto"/>
            </w:tcBorders>
          </w:tcPr>
          <w:p w14:paraId="7025B9A2"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r w:rsidR="007D1CCA" w14:paraId="789B66C4"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6C826BD6"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Pr>
                <w:rFonts w:ascii="Times New Roman" w:eastAsia="Times New Roman" w:hAnsi="Times New Roman" w:cs="Times New Roman"/>
                <w:i/>
                <w:snapToGrid w:val="0"/>
              </w:rPr>
              <w:t>Nervų sistemos sutrikimai</w:t>
            </w:r>
          </w:p>
        </w:tc>
        <w:tc>
          <w:tcPr>
            <w:tcW w:w="1835" w:type="dxa"/>
            <w:tcBorders>
              <w:top w:val="single" w:sz="4" w:space="0" w:color="auto"/>
              <w:left w:val="single" w:sz="4" w:space="0" w:color="auto"/>
              <w:bottom w:val="single" w:sz="4" w:space="0" w:color="auto"/>
              <w:right w:val="single" w:sz="4" w:space="0" w:color="auto"/>
            </w:tcBorders>
          </w:tcPr>
          <w:p w14:paraId="626FDDC3"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p>
        </w:tc>
      </w:tr>
      <w:tr w:rsidR="007D1CCA" w14:paraId="0077E193" w14:textId="77777777" w:rsidTr="00A83D4D">
        <w:tc>
          <w:tcPr>
            <w:tcW w:w="1129" w:type="dxa"/>
            <w:tcBorders>
              <w:top w:val="single" w:sz="4" w:space="0" w:color="auto"/>
              <w:left w:val="single" w:sz="4" w:space="0" w:color="auto"/>
              <w:bottom w:val="single" w:sz="4" w:space="0" w:color="auto"/>
              <w:right w:val="single" w:sz="4" w:space="0" w:color="auto"/>
            </w:tcBorders>
            <w:hideMark/>
          </w:tcPr>
          <w:p w14:paraId="7CC260BD"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Galvos skausmas</w:t>
            </w:r>
          </w:p>
          <w:p w14:paraId="48063675"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Somnolencija</w:t>
            </w:r>
            <w:proofErr w:type="spellEnd"/>
          </w:p>
        </w:tc>
        <w:tc>
          <w:tcPr>
            <w:tcW w:w="1134" w:type="dxa"/>
            <w:tcBorders>
              <w:top w:val="single" w:sz="4" w:space="0" w:color="auto"/>
              <w:left w:val="single" w:sz="4" w:space="0" w:color="auto"/>
              <w:bottom w:val="single" w:sz="4" w:space="0" w:color="auto"/>
              <w:right w:val="single" w:sz="4" w:space="0" w:color="auto"/>
            </w:tcBorders>
            <w:hideMark/>
          </w:tcPr>
          <w:p w14:paraId="316413D3"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Svaigulys</w:t>
            </w:r>
          </w:p>
          <w:p w14:paraId="67596004"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Letargija</w:t>
            </w:r>
          </w:p>
          <w:p w14:paraId="6AC5558A"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Tremoras</w:t>
            </w:r>
          </w:p>
          <w:p w14:paraId="2F6F720A"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Parestezija</w:t>
            </w:r>
            <w:proofErr w:type="spellEnd"/>
          </w:p>
        </w:tc>
        <w:tc>
          <w:tcPr>
            <w:tcW w:w="1560" w:type="dxa"/>
            <w:tcBorders>
              <w:top w:val="single" w:sz="4" w:space="0" w:color="auto"/>
              <w:left w:val="single" w:sz="4" w:space="0" w:color="auto"/>
              <w:bottom w:val="single" w:sz="4" w:space="0" w:color="auto"/>
              <w:right w:val="single" w:sz="4" w:space="0" w:color="auto"/>
            </w:tcBorders>
            <w:hideMark/>
          </w:tcPr>
          <w:p w14:paraId="6176BA7B"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Mioklonusas</w:t>
            </w:r>
            <w:proofErr w:type="spellEnd"/>
          </w:p>
          <w:p w14:paraId="22DCDA26"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Akatizija</w:t>
            </w:r>
            <w:r>
              <w:rPr>
                <w:rFonts w:ascii="Times New Roman" w:eastAsia="Times New Roman" w:hAnsi="Times New Roman" w:cs="Times New Roman"/>
                <w:snapToGrid w:val="0"/>
                <w:vertAlign w:val="superscript"/>
              </w:rPr>
              <w:t>7</w:t>
            </w:r>
          </w:p>
          <w:p w14:paraId="0DA9B900"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Nervingumas</w:t>
            </w:r>
          </w:p>
          <w:p w14:paraId="432AFCA2"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Dėmesio sutrikimas</w:t>
            </w:r>
          </w:p>
          <w:p w14:paraId="632A9F34"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Disgeuzija</w:t>
            </w:r>
            <w:proofErr w:type="spellEnd"/>
          </w:p>
          <w:p w14:paraId="752A6B40"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Diskinezija</w:t>
            </w:r>
            <w:proofErr w:type="spellEnd"/>
          </w:p>
          <w:p w14:paraId="77615C86"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Neramių kojų sindromas</w:t>
            </w:r>
          </w:p>
          <w:p w14:paraId="6D277EA2"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Bloga miego kokybė</w:t>
            </w:r>
          </w:p>
        </w:tc>
        <w:tc>
          <w:tcPr>
            <w:tcW w:w="1701" w:type="dxa"/>
            <w:tcBorders>
              <w:top w:val="single" w:sz="4" w:space="0" w:color="auto"/>
              <w:left w:val="single" w:sz="4" w:space="0" w:color="auto"/>
              <w:bottom w:val="single" w:sz="4" w:space="0" w:color="auto"/>
              <w:right w:val="single" w:sz="4" w:space="0" w:color="auto"/>
            </w:tcBorders>
          </w:tcPr>
          <w:p w14:paraId="1F31F3BB"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Serotonininis</w:t>
            </w:r>
            <w:proofErr w:type="spellEnd"/>
            <w:r>
              <w:rPr>
                <w:rFonts w:ascii="Times New Roman" w:eastAsia="Times New Roman" w:hAnsi="Times New Roman" w:cs="Times New Roman"/>
                <w:snapToGrid w:val="0"/>
              </w:rPr>
              <w:t xml:space="preserve"> sindromas</w:t>
            </w:r>
            <w:r>
              <w:rPr>
                <w:rFonts w:ascii="Times New Roman" w:eastAsia="Times New Roman" w:hAnsi="Times New Roman" w:cs="Times New Roman"/>
                <w:snapToGrid w:val="0"/>
                <w:vertAlign w:val="superscript"/>
              </w:rPr>
              <w:t>6</w:t>
            </w:r>
          </w:p>
          <w:p w14:paraId="5A600F8B"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Konvulsijos</w:t>
            </w:r>
          </w:p>
          <w:p w14:paraId="324133B2"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Psichomotorinis</w:t>
            </w:r>
            <w:proofErr w:type="spellEnd"/>
            <w:r>
              <w:rPr>
                <w:rFonts w:ascii="Times New Roman" w:eastAsia="Times New Roman" w:hAnsi="Times New Roman" w:cs="Times New Roman"/>
                <w:snapToGrid w:val="0"/>
              </w:rPr>
              <w:t xml:space="preserve"> neramumas</w:t>
            </w:r>
            <w:r>
              <w:rPr>
                <w:rFonts w:ascii="Times New Roman" w:eastAsia="Times New Roman" w:hAnsi="Times New Roman" w:cs="Times New Roman"/>
                <w:snapToGrid w:val="0"/>
                <w:vertAlign w:val="superscript"/>
              </w:rPr>
              <w:t>6</w:t>
            </w:r>
          </w:p>
          <w:p w14:paraId="0A68F23C"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vertAlign w:val="superscript"/>
              </w:rPr>
            </w:pPr>
            <w:proofErr w:type="spellStart"/>
            <w:r>
              <w:rPr>
                <w:rFonts w:ascii="Times New Roman" w:eastAsia="Times New Roman" w:hAnsi="Times New Roman" w:cs="Times New Roman"/>
                <w:snapToGrid w:val="0"/>
              </w:rPr>
              <w:t>Ekstrapiramidiniai</w:t>
            </w:r>
            <w:proofErr w:type="spellEnd"/>
            <w:r>
              <w:rPr>
                <w:rFonts w:ascii="Times New Roman" w:eastAsia="Times New Roman" w:hAnsi="Times New Roman" w:cs="Times New Roman"/>
                <w:snapToGrid w:val="0"/>
              </w:rPr>
              <w:t xml:space="preserve"> simptomai</w:t>
            </w:r>
            <w:r>
              <w:rPr>
                <w:rFonts w:ascii="Times New Roman" w:eastAsia="Times New Roman" w:hAnsi="Times New Roman" w:cs="Times New Roman"/>
                <w:snapToGrid w:val="0"/>
                <w:vertAlign w:val="superscript"/>
              </w:rPr>
              <w:t>6</w:t>
            </w:r>
          </w:p>
          <w:p w14:paraId="77218E9B"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701" w:type="dxa"/>
            <w:tcBorders>
              <w:top w:val="single" w:sz="4" w:space="0" w:color="auto"/>
              <w:left w:val="single" w:sz="4" w:space="0" w:color="auto"/>
              <w:bottom w:val="single" w:sz="4" w:space="0" w:color="auto"/>
              <w:right w:val="single" w:sz="4" w:space="0" w:color="auto"/>
            </w:tcBorders>
          </w:tcPr>
          <w:p w14:paraId="5D68D3F5"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835" w:type="dxa"/>
            <w:tcBorders>
              <w:top w:val="single" w:sz="4" w:space="0" w:color="auto"/>
              <w:left w:val="single" w:sz="4" w:space="0" w:color="auto"/>
              <w:bottom w:val="single" w:sz="4" w:space="0" w:color="auto"/>
              <w:right w:val="single" w:sz="4" w:space="0" w:color="auto"/>
            </w:tcBorders>
          </w:tcPr>
          <w:p w14:paraId="19983D64"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r w:rsidR="007D1CCA" w14:paraId="55901AD9"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12157961"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Pr>
                <w:rFonts w:ascii="Times New Roman" w:eastAsia="Times New Roman" w:hAnsi="Times New Roman" w:cs="Times New Roman"/>
                <w:i/>
                <w:snapToGrid w:val="0"/>
              </w:rPr>
              <w:t>Akių sutrikimai</w:t>
            </w:r>
          </w:p>
        </w:tc>
        <w:tc>
          <w:tcPr>
            <w:tcW w:w="1835" w:type="dxa"/>
            <w:tcBorders>
              <w:top w:val="single" w:sz="4" w:space="0" w:color="auto"/>
              <w:left w:val="single" w:sz="4" w:space="0" w:color="auto"/>
              <w:bottom w:val="single" w:sz="4" w:space="0" w:color="auto"/>
              <w:right w:val="single" w:sz="4" w:space="0" w:color="auto"/>
            </w:tcBorders>
          </w:tcPr>
          <w:p w14:paraId="5CDE41D3"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p>
        </w:tc>
      </w:tr>
      <w:tr w:rsidR="007D1CCA" w14:paraId="3E129DAC" w14:textId="77777777" w:rsidTr="00A83D4D">
        <w:tc>
          <w:tcPr>
            <w:tcW w:w="1129" w:type="dxa"/>
            <w:tcBorders>
              <w:top w:val="single" w:sz="4" w:space="0" w:color="auto"/>
              <w:left w:val="single" w:sz="4" w:space="0" w:color="auto"/>
              <w:bottom w:val="single" w:sz="4" w:space="0" w:color="auto"/>
              <w:right w:val="single" w:sz="4" w:space="0" w:color="auto"/>
            </w:tcBorders>
          </w:tcPr>
          <w:p w14:paraId="1462DB3D"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134" w:type="dxa"/>
            <w:tcBorders>
              <w:top w:val="single" w:sz="4" w:space="0" w:color="auto"/>
              <w:left w:val="single" w:sz="4" w:space="0" w:color="auto"/>
              <w:bottom w:val="single" w:sz="4" w:space="0" w:color="auto"/>
              <w:right w:val="single" w:sz="4" w:space="0" w:color="auto"/>
            </w:tcBorders>
            <w:hideMark/>
          </w:tcPr>
          <w:p w14:paraId="2F8175EC"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Neryškus matymas</w:t>
            </w:r>
          </w:p>
        </w:tc>
        <w:tc>
          <w:tcPr>
            <w:tcW w:w="1560" w:type="dxa"/>
            <w:tcBorders>
              <w:top w:val="single" w:sz="4" w:space="0" w:color="auto"/>
              <w:left w:val="single" w:sz="4" w:space="0" w:color="auto"/>
              <w:bottom w:val="single" w:sz="4" w:space="0" w:color="auto"/>
              <w:right w:val="single" w:sz="4" w:space="0" w:color="auto"/>
            </w:tcBorders>
            <w:hideMark/>
          </w:tcPr>
          <w:p w14:paraId="1495B282"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Midriazė</w:t>
            </w:r>
            <w:proofErr w:type="spellEnd"/>
          </w:p>
          <w:p w14:paraId="4DEDDB8D"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Regos sutrikimas</w:t>
            </w:r>
          </w:p>
        </w:tc>
        <w:tc>
          <w:tcPr>
            <w:tcW w:w="1701" w:type="dxa"/>
            <w:tcBorders>
              <w:top w:val="single" w:sz="4" w:space="0" w:color="auto"/>
              <w:left w:val="single" w:sz="4" w:space="0" w:color="auto"/>
              <w:bottom w:val="single" w:sz="4" w:space="0" w:color="auto"/>
              <w:right w:val="single" w:sz="4" w:space="0" w:color="auto"/>
            </w:tcBorders>
            <w:hideMark/>
          </w:tcPr>
          <w:p w14:paraId="390C7E26"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Glaukoma</w:t>
            </w:r>
          </w:p>
        </w:tc>
        <w:tc>
          <w:tcPr>
            <w:tcW w:w="1701" w:type="dxa"/>
            <w:tcBorders>
              <w:top w:val="single" w:sz="4" w:space="0" w:color="auto"/>
              <w:left w:val="single" w:sz="4" w:space="0" w:color="auto"/>
              <w:bottom w:val="single" w:sz="4" w:space="0" w:color="auto"/>
              <w:right w:val="single" w:sz="4" w:space="0" w:color="auto"/>
            </w:tcBorders>
          </w:tcPr>
          <w:p w14:paraId="2F504E0C"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835" w:type="dxa"/>
            <w:tcBorders>
              <w:top w:val="single" w:sz="4" w:space="0" w:color="auto"/>
              <w:left w:val="single" w:sz="4" w:space="0" w:color="auto"/>
              <w:bottom w:val="single" w:sz="4" w:space="0" w:color="auto"/>
              <w:right w:val="single" w:sz="4" w:space="0" w:color="auto"/>
            </w:tcBorders>
          </w:tcPr>
          <w:p w14:paraId="36CEFED2"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r w:rsidR="007D1CCA" w14:paraId="76A62B52"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6B37B216"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Pr>
                <w:rFonts w:ascii="Times New Roman" w:eastAsia="Times New Roman" w:hAnsi="Times New Roman" w:cs="Times New Roman"/>
                <w:i/>
                <w:snapToGrid w:val="0"/>
              </w:rPr>
              <w:t>Ausų ir labirintų sutrikimai</w:t>
            </w:r>
          </w:p>
        </w:tc>
        <w:tc>
          <w:tcPr>
            <w:tcW w:w="1835" w:type="dxa"/>
            <w:tcBorders>
              <w:top w:val="single" w:sz="4" w:space="0" w:color="auto"/>
              <w:left w:val="single" w:sz="4" w:space="0" w:color="auto"/>
              <w:bottom w:val="single" w:sz="4" w:space="0" w:color="auto"/>
              <w:right w:val="single" w:sz="4" w:space="0" w:color="auto"/>
            </w:tcBorders>
          </w:tcPr>
          <w:p w14:paraId="52B7F7B1"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p>
        </w:tc>
      </w:tr>
      <w:tr w:rsidR="007D1CCA" w14:paraId="03779AB5" w14:textId="77777777" w:rsidTr="00A83D4D">
        <w:tc>
          <w:tcPr>
            <w:tcW w:w="1129" w:type="dxa"/>
            <w:tcBorders>
              <w:top w:val="single" w:sz="4" w:space="0" w:color="auto"/>
              <w:left w:val="single" w:sz="4" w:space="0" w:color="auto"/>
              <w:bottom w:val="single" w:sz="4" w:space="0" w:color="auto"/>
              <w:right w:val="single" w:sz="4" w:space="0" w:color="auto"/>
            </w:tcBorders>
          </w:tcPr>
          <w:p w14:paraId="5FD8E9D0"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134" w:type="dxa"/>
            <w:tcBorders>
              <w:top w:val="single" w:sz="4" w:space="0" w:color="auto"/>
              <w:left w:val="single" w:sz="4" w:space="0" w:color="auto"/>
              <w:bottom w:val="single" w:sz="4" w:space="0" w:color="auto"/>
              <w:right w:val="single" w:sz="4" w:space="0" w:color="auto"/>
            </w:tcBorders>
            <w:hideMark/>
          </w:tcPr>
          <w:p w14:paraId="1F8EC8AD"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Ūžesys (</w:t>
            </w:r>
            <w:proofErr w:type="spellStart"/>
            <w:r>
              <w:rPr>
                <w:rFonts w:ascii="Times New Roman" w:eastAsia="Times New Roman" w:hAnsi="Times New Roman" w:cs="Times New Roman"/>
                <w:i/>
                <w:snapToGrid w:val="0"/>
              </w:rPr>
              <w:t>tinnitus</w:t>
            </w:r>
            <w:proofErr w:type="spellEnd"/>
            <w:r>
              <w:rPr>
                <w:rFonts w:ascii="Times New Roman" w:eastAsia="Times New Roman" w:hAnsi="Times New Roman" w:cs="Times New Roman"/>
                <w:snapToGrid w:val="0"/>
              </w:rPr>
              <w:t>)</w:t>
            </w:r>
            <w:r>
              <w:rPr>
                <w:rFonts w:ascii="Times New Roman" w:eastAsia="Times New Roman" w:hAnsi="Times New Roman" w:cs="Times New Roman"/>
                <w:snapToGrid w:val="0"/>
                <w:vertAlign w:val="superscript"/>
              </w:rPr>
              <w:t>1</w:t>
            </w:r>
          </w:p>
        </w:tc>
        <w:tc>
          <w:tcPr>
            <w:tcW w:w="1560" w:type="dxa"/>
            <w:tcBorders>
              <w:top w:val="single" w:sz="4" w:space="0" w:color="auto"/>
              <w:left w:val="single" w:sz="4" w:space="0" w:color="auto"/>
              <w:bottom w:val="single" w:sz="4" w:space="0" w:color="auto"/>
              <w:right w:val="single" w:sz="4" w:space="0" w:color="auto"/>
            </w:tcBorders>
            <w:hideMark/>
          </w:tcPr>
          <w:p w14:paraId="43B54ED8"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Galvos sukimasis (</w:t>
            </w:r>
            <w:proofErr w:type="spellStart"/>
            <w:r>
              <w:rPr>
                <w:rFonts w:ascii="Times New Roman" w:eastAsia="Times New Roman" w:hAnsi="Times New Roman" w:cs="Times New Roman"/>
                <w:i/>
                <w:snapToGrid w:val="0"/>
              </w:rPr>
              <w:t>vertigo</w:t>
            </w:r>
            <w:proofErr w:type="spellEnd"/>
            <w:r>
              <w:rPr>
                <w:rFonts w:ascii="Times New Roman" w:eastAsia="Times New Roman" w:hAnsi="Times New Roman" w:cs="Times New Roman"/>
                <w:snapToGrid w:val="0"/>
              </w:rPr>
              <w:t>)</w:t>
            </w:r>
          </w:p>
          <w:p w14:paraId="1D9E7E93"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Ausies skausmas</w:t>
            </w:r>
          </w:p>
        </w:tc>
        <w:tc>
          <w:tcPr>
            <w:tcW w:w="1701" w:type="dxa"/>
            <w:tcBorders>
              <w:top w:val="single" w:sz="4" w:space="0" w:color="auto"/>
              <w:left w:val="single" w:sz="4" w:space="0" w:color="auto"/>
              <w:bottom w:val="single" w:sz="4" w:space="0" w:color="auto"/>
              <w:right w:val="single" w:sz="4" w:space="0" w:color="auto"/>
            </w:tcBorders>
          </w:tcPr>
          <w:p w14:paraId="646A9987"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701" w:type="dxa"/>
            <w:tcBorders>
              <w:top w:val="single" w:sz="4" w:space="0" w:color="auto"/>
              <w:left w:val="single" w:sz="4" w:space="0" w:color="auto"/>
              <w:bottom w:val="single" w:sz="4" w:space="0" w:color="auto"/>
              <w:right w:val="single" w:sz="4" w:space="0" w:color="auto"/>
            </w:tcBorders>
          </w:tcPr>
          <w:p w14:paraId="6890BEDC"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835" w:type="dxa"/>
            <w:tcBorders>
              <w:top w:val="single" w:sz="4" w:space="0" w:color="auto"/>
              <w:left w:val="single" w:sz="4" w:space="0" w:color="auto"/>
              <w:bottom w:val="single" w:sz="4" w:space="0" w:color="auto"/>
              <w:right w:val="single" w:sz="4" w:space="0" w:color="auto"/>
            </w:tcBorders>
          </w:tcPr>
          <w:p w14:paraId="13F6F091"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r w:rsidR="007D1CCA" w14:paraId="71806108"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1E76D5CB"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Pr>
                <w:rFonts w:ascii="Times New Roman" w:eastAsia="Times New Roman" w:hAnsi="Times New Roman" w:cs="Times New Roman"/>
                <w:i/>
                <w:snapToGrid w:val="0"/>
              </w:rPr>
              <w:t>Širdies sutrikimai</w:t>
            </w:r>
          </w:p>
        </w:tc>
        <w:tc>
          <w:tcPr>
            <w:tcW w:w="1835" w:type="dxa"/>
            <w:tcBorders>
              <w:top w:val="single" w:sz="4" w:space="0" w:color="auto"/>
              <w:left w:val="single" w:sz="4" w:space="0" w:color="auto"/>
              <w:bottom w:val="single" w:sz="4" w:space="0" w:color="auto"/>
              <w:right w:val="single" w:sz="4" w:space="0" w:color="auto"/>
            </w:tcBorders>
          </w:tcPr>
          <w:p w14:paraId="4FF47D86"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p>
        </w:tc>
      </w:tr>
      <w:tr w:rsidR="007D1CCA" w14:paraId="3301C78C" w14:textId="77777777" w:rsidTr="00A83D4D">
        <w:tc>
          <w:tcPr>
            <w:tcW w:w="1129" w:type="dxa"/>
            <w:tcBorders>
              <w:top w:val="single" w:sz="4" w:space="0" w:color="auto"/>
              <w:left w:val="single" w:sz="4" w:space="0" w:color="auto"/>
              <w:bottom w:val="single" w:sz="4" w:space="0" w:color="auto"/>
              <w:right w:val="single" w:sz="4" w:space="0" w:color="auto"/>
            </w:tcBorders>
          </w:tcPr>
          <w:p w14:paraId="65176A90"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134" w:type="dxa"/>
            <w:tcBorders>
              <w:top w:val="single" w:sz="4" w:space="0" w:color="auto"/>
              <w:left w:val="single" w:sz="4" w:space="0" w:color="auto"/>
              <w:bottom w:val="single" w:sz="4" w:space="0" w:color="auto"/>
              <w:right w:val="single" w:sz="4" w:space="0" w:color="auto"/>
            </w:tcBorders>
            <w:hideMark/>
          </w:tcPr>
          <w:p w14:paraId="4E5FFD7D"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Palpitacijos</w:t>
            </w:r>
            <w:proofErr w:type="spellEnd"/>
          </w:p>
        </w:tc>
        <w:tc>
          <w:tcPr>
            <w:tcW w:w="1560" w:type="dxa"/>
            <w:tcBorders>
              <w:top w:val="single" w:sz="4" w:space="0" w:color="auto"/>
              <w:left w:val="single" w:sz="4" w:space="0" w:color="auto"/>
              <w:bottom w:val="single" w:sz="4" w:space="0" w:color="auto"/>
              <w:right w:val="single" w:sz="4" w:space="0" w:color="auto"/>
            </w:tcBorders>
            <w:hideMark/>
          </w:tcPr>
          <w:p w14:paraId="538C82D2"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Tachikardija</w:t>
            </w:r>
          </w:p>
          <w:p w14:paraId="50838708"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Supraventrikulinė</w:t>
            </w:r>
            <w:proofErr w:type="spellEnd"/>
            <w:r>
              <w:rPr>
                <w:rFonts w:ascii="Times New Roman" w:eastAsia="Times New Roman" w:hAnsi="Times New Roman" w:cs="Times New Roman"/>
                <w:snapToGrid w:val="0"/>
              </w:rPr>
              <w:t xml:space="preserve"> aritmija, daugiausiai prieširdžių virpėjimas</w:t>
            </w:r>
          </w:p>
        </w:tc>
        <w:tc>
          <w:tcPr>
            <w:tcW w:w="1701" w:type="dxa"/>
            <w:tcBorders>
              <w:top w:val="single" w:sz="4" w:space="0" w:color="auto"/>
              <w:left w:val="single" w:sz="4" w:space="0" w:color="auto"/>
              <w:bottom w:val="single" w:sz="4" w:space="0" w:color="auto"/>
              <w:right w:val="single" w:sz="4" w:space="0" w:color="auto"/>
            </w:tcBorders>
          </w:tcPr>
          <w:p w14:paraId="60E02874"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701" w:type="dxa"/>
            <w:tcBorders>
              <w:top w:val="single" w:sz="4" w:space="0" w:color="auto"/>
              <w:left w:val="single" w:sz="4" w:space="0" w:color="auto"/>
              <w:bottom w:val="single" w:sz="4" w:space="0" w:color="auto"/>
              <w:right w:val="single" w:sz="4" w:space="0" w:color="auto"/>
            </w:tcBorders>
          </w:tcPr>
          <w:p w14:paraId="127CCF39"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835" w:type="dxa"/>
            <w:tcBorders>
              <w:top w:val="single" w:sz="4" w:space="0" w:color="auto"/>
              <w:left w:val="single" w:sz="4" w:space="0" w:color="auto"/>
              <w:bottom w:val="single" w:sz="4" w:space="0" w:color="auto"/>
              <w:right w:val="single" w:sz="4" w:space="0" w:color="auto"/>
            </w:tcBorders>
          </w:tcPr>
          <w:p w14:paraId="59267275" w14:textId="683C68FF"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Stres</w:t>
            </w:r>
            <w:r w:rsidR="00AD0169">
              <w:rPr>
                <w:rFonts w:ascii="Times New Roman" w:eastAsia="Times New Roman" w:hAnsi="Times New Roman" w:cs="Times New Roman"/>
                <w:snapToGrid w:val="0"/>
              </w:rPr>
              <w:t>o</w:t>
            </w:r>
            <w:r>
              <w:rPr>
                <w:rFonts w:ascii="Times New Roman" w:eastAsia="Times New Roman" w:hAnsi="Times New Roman" w:cs="Times New Roman"/>
                <w:snapToGrid w:val="0"/>
              </w:rPr>
              <w:t xml:space="preserve"> </w:t>
            </w:r>
            <w:r w:rsidR="00AD0169">
              <w:rPr>
                <w:rFonts w:ascii="Times New Roman" w:eastAsia="Times New Roman" w:hAnsi="Times New Roman" w:cs="Times New Roman"/>
                <w:snapToGrid w:val="0"/>
              </w:rPr>
              <w:t xml:space="preserve">sukelta </w:t>
            </w:r>
            <w:r>
              <w:rPr>
                <w:rFonts w:ascii="Times New Roman" w:eastAsia="Times New Roman" w:hAnsi="Times New Roman" w:cs="Times New Roman"/>
                <w:snapToGrid w:val="0"/>
              </w:rPr>
              <w:t>kardiomiopatija (</w:t>
            </w:r>
            <w:proofErr w:type="spellStart"/>
            <w:r>
              <w:rPr>
                <w:rFonts w:ascii="Times New Roman" w:eastAsia="Times New Roman" w:hAnsi="Times New Roman" w:cs="Times New Roman"/>
                <w:snapToGrid w:val="0"/>
              </w:rPr>
              <w:t>Takotsubo</w:t>
            </w:r>
            <w:proofErr w:type="spellEnd"/>
            <w:r>
              <w:rPr>
                <w:rFonts w:ascii="Times New Roman" w:eastAsia="Times New Roman" w:hAnsi="Times New Roman" w:cs="Times New Roman"/>
                <w:snapToGrid w:val="0"/>
              </w:rPr>
              <w:t xml:space="preserve"> kardiomiopatija)</w:t>
            </w:r>
          </w:p>
        </w:tc>
      </w:tr>
      <w:tr w:rsidR="007D1CCA" w14:paraId="764EEC57"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665125EA"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Pr>
                <w:rFonts w:ascii="Times New Roman" w:eastAsia="Times New Roman" w:hAnsi="Times New Roman" w:cs="Times New Roman"/>
                <w:i/>
                <w:snapToGrid w:val="0"/>
              </w:rPr>
              <w:t>Kraujagyslių sutrikimai</w:t>
            </w:r>
          </w:p>
        </w:tc>
        <w:tc>
          <w:tcPr>
            <w:tcW w:w="1835" w:type="dxa"/>
            <w:tcBorders>
              <w:top w:val="single" w:sz="4" w:space="0" w:color="auto"/>
              <w:left w:val="single" w:sz="4" w:space="0" w:color="auto"/>
              <w:bottom w:val="single" w:sz="4" w:space="0" w:color="auto"/>
              <w:right w:val="single" w:sz="4" w:space="0" w:color="auto"/>
            </w:tcBorders>
          </w:tcPr>
          <w:p w14:paraId="52287CF7"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p>
        </w:tc>
      </w:tr>
      <w:tr w:rsidR="007D1CCA" w14:paraId="290518BE" w14:textId="77777777" w:rsidTr="00A83D4D">
        <w:tc>
          <w:tcPr>
            <w:tcW w:w="1129" w:type="dxa"/>
            <w:tcBorders>
              <w:top w:val="single" w:sz="4" w:space="0" w:color="auto"/>
              <w:left w:val="single" w:sz="4" w:space="0" w:color="auto"/>
              <w:bottom w:val="single" w:sz="4" w:space="0" w:color="auto"/>
              <w:right w:val="single" w:sz="4" w:space="0" w:color="auto"/>
            </w:tcBorders>
          </w:tcPr>
          <w:p w14:paraId="4CCDB2ED"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134" w:type="dxa"/>
            <w:tcBorders>
              <w:top w:val="single" w:sz="4" w:space="0" w:color="auto"/>
              <w:left w:val="single" w:sz="4" w:space="0" w:color="auto"/>
              <w:bottom w:val="single" w:sz="4" w:space="0" w:color="auto"/>
              <w:right w:val="single" w:sz="4" w:space="0" w:color="auto"/>
            </w:tcBorders>
            <w:hideMark/>
          </w:tcPr>
          <w:p w14:paraId="0A56088A"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Kraujospūdžio padidėjimas</w:t>
            </w:r>
            <w:r>
              <w:rPr>
                <w:rFonts w:ascii="Times New Roman" w:eastAsia="Times New Roman" w:hAnsi="Times New Roman" w:cs="Times New Roman"/>
                <w:snapToGrid w:val="0"/>
                <w:vertAlign w:val="superscript"/>
              </w:rPr>
              <w:t>3</w:t>
            </w:r>
          </w:p>
          <w:p w14:paraId="219252D4"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Veido ir kaklo paraudimas su karščio pojūčiu</w:t>
            </w:r>
          </w:p>
        </w:tc>
        <w:tc>
          <w:tcPr>
            <w:tcW w:w="1560" w:type="dxa"/>
            <w:tcBorders>
              <w:top w:val="single" w:sz="4" w:space="0" w:color="auto"/>
              <w:left w:val="single" w:sz="4" w:space="0" w:color="auto"/>
              <w:bottom w:val="single" w:sz="4" w:space="0" w:color="auto"/>
              <w:right w:val="single" w:sz="4" w:space="0" w:color="auto"/>
            </w:tcBorders>
            <w:hideMark/>
          </w:tcPr>
          <w:p w14:paraId="05804771"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Sinkopė</w:t>
            </w:r>
            <w:r>
              <w:rPr>
                <w:rFonts w:ascii="Times New Roman" w:eastAsia="Times New Roman" w:hAnsi="Times New Roman" w:cs="Times New Roman"/>
                <w:snapToGrid w:val="0"/>
                <w:vertAlign w:val="superscript"/>
              </w:rPr>
              <w:t>2</w:t>
            </w:r>
          </w:p>
          <w:p w14:paraId="254164E9"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Hipertenzija</w:t>
            </w:r>
            <w:r>
              <w:rPr>
                <w:rFonts w:ascii="Times New Roman" w:eastAsia="Times New Roman" w:hAnsi="Times New Roman" w:cs="Times New Roman"/>
                <w:snapToGrid w:val="0"/>
                <w:vertAlign w:val="superscript"/>
              </w:rPr>
              <w:t>3, 7</w:t>
            </w:r>
          </w:p>
          <w:p w14:paraId="58C91496"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Ortostatinė</w:t>
            </w:r>
            <w:proofErr w:type="spellEnd"/>
            <w:r>
              <w:rPr>
                <w:rFonts w:ascii="Times New Roman" w:eastAsia="Times New Roman" w:hAnsi="Times New Roman" w:cs="Times New Roman"/>
                <w:snapToGrid w:val="0"/>
              </w:rPr>
              <w:t xml:space="preserve"> hipotenzija</w:t>
            </w:r>
            <w:r>
              <w:rPr>
                <w:rFonts w:ascii="Times New Roman" w:eastAsia="Times New Roman" w:hAnsi="Times New Roman" w:cs="Times New Roman"/>
                <w:snapToGrid w:val="0"/>
                <w:vertAlign w:val="superscript"/>
              </w:rPr>
              <w:t>2</w:t>
            </w:r>
          </w:p>
          <w:p w14:paraId="3527A572"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Šaltos galūnės</w:t>
            </w:r>
          </w:p>
        </w:tc>
        <w:tc>
          <w:tcPr>
            <w:tcW w:w="1701" w:type="dxa"/>
            <w:tcBorders>
              <w:top w:val="single" w:sz="4" w:space="0" w:color="auto"/>
              <w:left w:val="single" w:sz="4" w:space="0" w:color="auto"/>
              <w:bottom w:val="single" w:sz="4" w:space="0" w:color="auto"/>
              <w:right w:val="single" w:sz="4" w:space="0" w:color="auto"/>
            </w:tcBorders>
            <w:hideMark/>
          </w:tcPr>
          <w:p w14:paraId="4D02CFEB"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vertAlign w:val="superscript"/>
              </w:rPr>
            </w:pPr>
            <w:proofErr w:type="spellStart"/>
            <w:r>
              <w:rPr>
                <w:rFonts w:ascii="Times New Roman" w:eastAsia="Times New Roman" w:hAnsi="Times New Roman" w:cs="Times New Roman"/>
                <w:snapToGrid w:val="0"/>
              </w:rPr>
              <w:t>Hipertenzinė</w:t>
            </w:r>
            <w:proofErr w:type="spellEnd"/>
            <w:r>
              <w:rPr>
                <w:rFonts w:ascii="Times New Roman" w:eastAsia="Times New Roman" w:hAnsi="Times New Roman" w:cs="Times New Roman"/>
                <w:snapToGrid w:val="0"/>
              </w:rPr>
              <w:t xml:space="preserve"> krizė</w:t>
            </w:r>
            <w:r>
              <w:rPr>
                <w:rFonts w:ascii="Times New Roman" w:eastAsia="Times New Roman" w:hAnsi="Times New Roman" w:cs="Times New Roman"/>
                <w:snapToGrid w:val="0"/>
                <w:vertAlign w:val="superscript"/>
              </w:rPr>
              <w:t>3,6</w:t>
            </w:r>
          </w:p>
        </w:tc>
        <w:tc>
          <w:tcPr>
            <w:tcW w:w="1701" w:type="dxa"/>
            <w:tcBorders>
              <w:top w:val="single" w:sz="4" w:space="0" w:color="auto"/>
              <w:left w:val="single" w:sz="4" w:space="0" w:color="auto"/>
              <w:bottom w:val="single" w:sz="4" w:space="0" w:color="auto"/>
              <w:right w:val="single" w:sz="4" w:space="0" w:color="auto"/>
            </w:tcBorders>
          </w:tcPr>
          <w:p w14:paraId="7FEF4B79"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835" w:type="dxa"/>
            <w:tcBorders>
              <w:top w:val="single" w:sz="4" w:space="0" w:color="auto"/>
              <w:left w:val="single" w:sz="4" w:space="0" w:color="auto"/>
              <w:bottom w:val="single" w:sz="4" w:space="0" w:color="auto"/>
              <w:right w:val="single" w:sz="4" w:space="0" w:color="auto"/>
            </w:tcBorders>
          </w:tcPr>
          <w:p w14:paraId="1A2F70BF"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r w:rsidR="007D1CCA" w14:paraId="08B56D21"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43930432"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Pr>
                <w:rFonts w:ascii="Times New Roman" w:eastAsia="Times New Roman" w:hAnsi="Times New Roman" w:cs="Times New Roman"/>
                <w:i/>
                <w:snapToGrid w:val="0"/>
              </w:rPr>
              <w:t>Kvėpavimo sistemos, krūtinės ląstos ir tarpuplaučio sutrikimai</w:t>
            </w:r>
          </w:p>
        </w:tc>
        <w:tc>
          <w:tcPr>
            <w:tcW w:w="1835" w:type="dxa"/>
            <w:tcBorders>
              <w:top w:val="single" w:sz="4" w:space="0" w:color="auto"/>
              <w:left w:val="single" w:sz="4" w:space="0" w:color="auto"/>
              <w:bottom w:val="single" w:sz="4" w:space="0" w:color="auto"/>
              <w:right w:val="single" w:sz="4" w:space="0" w:color="auto"/>
            </w:tcBorders>
          </w:tcPr>
          <w:p w14:paraId="7A14BD77"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p>
        </w:tc>
      </w:tr>
      <w:tr w:rsidR="007D1CCA" w14:paraId="51A5A646" w14:textId="77777777" w:rsidTr="00A83D4D">
        <w:tc>
          <w:tcPr>
            <w:tcW w:w="1129" w:type="dxa"/>
            <w:tcBorders>
              <w:top w:val="single" w:sz="4" w:space="0" w:color="auto"/>
              <w:left w:val="single" w:sz="4" w:space="0" w:color="auto"/>
              <w:bottom w:val="single" w:sz="4" w:space="0" w:color="auto"/>
              <w:right w:val="single" w:sz="4" w:space="0" w:color="auto"/>
            </w:tcBorders>
          </w:tcPr>
          <w:p w14:paraId="332837DF"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134" w:type="dxa"/>
            <w:tcBorders>
              <w:top w:val="single" w:sz="4" w:space="0" w:color="auto"/>
              <w:left w:val="single" w:sz="4" w:space="0" w:color="auto"/>
              <w:bottom w:val="single" w:sz="4" w:space="0" w:color="auto"/>
              <w:right w:val="single" w:sz="4" w:space="0" w:color="auto"/>
            </w:tcBorders>
            <w:hideMark/>
          </w:tcPr>
          <w:p w14:paraId="28F43849"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Žiovulys</w:t>
            </w:r>
          </w:p>
        </w:tc>
        <w:tc>
          <w:tcPr>
            <w:tcW w:w="1560" w:type="dxa"/>
            <w:tcBorders>
              <w:top w:val="single" w:sz="4" w:space="0" w:color="auto"/>
              <w:left w:val="single" w:sz="4" w:space="0" w:color="auto"/>
              <w:bottom w:val="single" w:sz="4" w:space="0" w:color="auto"/>
              <w:right w:val="single" w:sz="4" w:space="0" w:color="auto"/>
            </w:tcBorders>
            <w:hideMark/>
          </w:tcPr>
          <w:p w14:paraId="3C200CEE"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Gerklės veržimas</w:t>
            </w:r>
          </w:p>
          <w:p w14:paraId="349CDA15"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Epistaksė</w:t>
            </w:r>
            <w:proofErr w:type="spellEnd"/>
          </w:p>
        </w:tc>
        <w:tc>
          <w:tcPr>
            <w:tcW w:w="1701" w:type="dxa"/>
            <w:tcBorders>
              <w:top w:val="single" w:sz="4" w:space="0" w:color="auto"/>
              <w:left w:val="single" w:sz="4" w:space="0" w:color="auto"/>
              <w:bottom w:val="single" w:sz="4" w:space="0" w:color="auto"/>
              <w:right w:val="single" w:sz="4" w:space="0" w:color="auto"/>
            </w:tcBorders>
          </w:tcPr>
          <w:p w14:paraId="00672662"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Intersticinė</w:t>
            </w:r>
            <w:proofErr w:type="spellEnd"/>
            <w:r>
              <w:rPr>
                <w:rFonts w:ascii="Times New Roman" w:eastAsia="Times New Roman" w:hAnsi="Times New Roman" w:cs="Times New Roman"/>
                <w:snapToGrid w:val="0"/>
              </w:rPr>
              <w:t xml:space="preserve"> plaučių liga</w:t>
            </w:r>
            <w:r>
              <w:rPr>
                <w:rFonts w:ascii="Times New Roman" w:eastAsia="Times New Roman" w:hAnsi="Times New Roman" w:cs="Times New Roman"/>
                <w:snapToGrid w:val="0"/>
                <w:vertAlign w:val="superscript"/>
              </w:rPr>
              <w:t>10</w:t>
            </w:r>
          </w:p>
          <w:p w14:paraId="10382D69"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Eozinofilinė</w:t>
            </w:r>
            <w:proofErr w:type="spellEnd"/>
            <w:r>
              <w:rPr>
                <w:rFonts w:ascii="Times New Roman" w:eastAsia="Times New Roman" w:hAnsi="Times New Roman" w:cs="Times New Roman"/>
                <w:snapToGrid w:val="0"/>
              </w:rPr>
              <w:t xml:space="preserve"> pneumonija</w:t>
            </w:r>
            <w:r>
              <w:rPr>
                <w:rFonts w:ascii="Times New Roman" w:eastAsia="Times New Roman" w:hAnsi="Times New Roman" w:cs="Times New Roman"/>
                <w:snapToGrid w:val="0"/>
                <w:vertAlign w:val="superscript"/>
              </w:rPr>
              <w:t>6</w:t>
            </w:r>
          </w:p>
        </w:tc>
        <w:tc>
          <w:tcPr>
            <w:tcW w:w="1701" w:type="dxa"/>
            <w:tcBorders>
              <w:top w:val="single" w:sz="4" w:space="0" w:color="auto"/>
              <w:left w:val="single" w:sz="4" w:space="0" w:color="auto"/>
              <w:bottom w:val="single" w:sz="4" w:space="0" w:color="auto"/>
              <w:right w:val="single" w:sz="4" w:space="0" w:color="auto"/>
            </w:tcBorders>
          </w:tcPr>
          <w:p w14:paraId="5632C446"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835" w:type="dxa"/>
            <w:tcBorders>
              <w:top w:val="single" w:sz="4" w:space="0" w:color="auto"/>
              <w:left w:val="single" w:sz="4" w:space="0" w:color="auto"/>
              <w:bottom w:val="single" w:sz="4" w:space="0" w:color="auto"/>
              <w:right w:val="single" w:sz="4" w:space="0" w:color="auto"/>
            </w:tcBorders>
          </w:tcPr>
          <w:p w14:paraId="74A0A34D"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r w:rsidR="007D1CCA" w14:paraId="2167B0B0"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5AE8BB72"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Pr>
                <w:rFonts w:ascii="Times New Roman" w:eastAsia="Times New Roman" w:hAnsi="Times New Roman" w:cs="Times New Roman"/>
                <w:i/>
                <w:snapToGrid w:val="0"/>
              </w:rPr>
              <w:t>Virškinimo trakto sutrikimai</w:t>
            </w:r>
          </w:p>
        </w:tc>
        <w:tc>
          <w:tcPr>
            <w:tcW w:w="1835" w:type="dxa"/>
            <w:tcBorders>
              <w:top w:val="single" w:sz="4" w:space="0" w:color="auto"/>
              <w:left w:val="single" w:sz="4" w:space="0" w:color="auto"/>
              <w:bottom w:val="single" w:sz="4" w:space="0" w:color="auto"/>
              <w:right w:val="single" w:sz="4" w:space="0" w:color="auto"/>
            </w:tcBorders>
          </w:tcPr>
          <w:p w14:paraId="2D6BF376"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p>
        </w:tc>
      </w:tr>
      <w:tr w:rsidR="007D1CCA" w14:paraId="34F5FEF0" w14:textId="77777777" w:rsidTr="00A83D4D">
        <w:tc>
          <w:tcPr>
            <w:tcW w:w="1129" w:type="dxa"/>
            <w:tcBorders>
              <w:top w:val="single" w:sz="4" w:space="0" w:color="auto"/>
              <w:left w:val="single" w:sz="4" w:space="0" w:color="auto"/>
              <w:bottom w:val="single" w:sz="4" w:space="0" w:color="auto"/>
              <w:right w:val="single" w:sz="4" w:space="0" w:color="auto"/>
            </w:tcBorders>
            <w:hideMark/>
          </w:tcPr>
          <w:p w14:paraId="21F219F8"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Pykinimas</w:t>
            </w:r>
          </w:p>
          <w:p w14:paraId="5FDB0440"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Burnos džiūvimas</w:t>
            </w:r>
          </w:p>
        </w:tc>
        <w:tc>
          <w:tcPr>
            <w:tcW w:w="1134" w:type="dxa"/>
            <w:tcBorders>
              <w:top w:val="single" w:sz="4" w:space="0" w:color="auto"/>
              <w:left w:val="single" w:sz="4" w:space="0" w:color="auto"/>
              <w:bottom w:val="single" w:sz="4" w:space="0" w:color="auto"/>
              <w:right w:val="single" w:sz="4" w:space="0" w:color="auto"/>
            </w:tcBorders>
            <w:hideMark/>
          </w:tcPr>
          <w:p w14:paraId="703EFE30"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Vidurių užkietėjimas</w:t>
            </w:r>
          </w:p>
          <w:p w14:paraId="3BAA69B4"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Viduriavimas</w:t>
            </w:r>
          </w:p>
          <w:p w14:paraId="13A5F862"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Pilvo skausmas</w:t>
            </w:r>
          </w:p>
          <w:p w14:paraId="613680D8"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Vėmimas</w:t>
            </w:r>
          </w:p>
          <w:p w14:paraId="02F9D5FC"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Dispepsija</w:t>
            </w:r>
          </w:p>
          <w:p w14:paraId="4592CD28"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Vidurių pūtimas</w:t>
            </w:r>
          </w:p>
        </w:tc>
        <w:tc>
          <w:tcPr>
            <w:tcW w:w="1560" w:type="dxa"/>
            <w:tcBorders>
              <w:top w:val="single" w:sz="4" w:space="0" w:color="auto"/>
              <w:left w:val="single" w:sz="4" w:space="0" w:color="auto"/>
              <w:bottom w:val="single" w:sz="4" w:space="0" w:color="auto"/>
              <w:right w:val="single" w:sz="4" w:space="0" w:color="auto"/>
            </w:tcBorders>
            <w:hideMark/>
          </w:tcPr>
          <w:p w14:paraId="2BD5629C"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Kraujavimas iš virškinimo trakto</w:t>
            </w:r>
            <w:r>
              <w:rPr>
                <w:rFonts w:ascii="Times New Roman" w:eastAsia="Times New Roman" w:hAnsi="Times New Roman" w:cs="Times New Roman"/>
                <w:snapToGrid w:val="0"/>
                <w:vertAlign w:val="superscript"/>
              </w:rPr>
              <w:t>7</w:t>
            </w:r>
          </w:p>
          <w:p w14:paraId="3434B471"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Gastroenteritas</w:t>
            </w:r>
            <w:proofErr w:type="spellEnd"/>
          </w:p>
          <w:p w14:paraId="64FB2E9C"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Raugulys</w:t>
            </w:r>
          </w:p>
          <w:p w14:paraId="13381587"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Gastritas</w:t>
            </w:r>
          </w:p>
          <w:p w14:paraId="699EA35F"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Disfagija</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05EE70B9"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Stomatitas</w:t>
            </w:r>
          </w:p>
          <w:p w14:paraId="27670A54"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Hematochezija</w:t>
            </w:r>
            <w:proofErr w:type="spellEnd"/>
          </w:p>
          <w:p w14:paraId="3703F6EF"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Blogas burnos kvapas</w:t>
            </w:r>
          </w:p>
          <w:p w14:paraId="2E24EE11"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Calibri" w:hAnsi="Times New Roman" w:cs="Times New Roman"/>
              </w:rPr>
              <w:t>Mikroskopinis kolitas</w:t>
            </w:r>
            <w:r>
              <w:rPr>
                <w:rFonts w:ascii="Times New Roman" w:eastAsia="Calibri" w:hAnsi="Times New Roman" w:cs="Times New Roman"/>
                <w:vertAlign w:val="superscript"/>
              </w:rPr>
              <w:t>9</w:t>
            </w:r>
          </w:p>
        </w:tc>
        <w:tc>
          <w:tcPr>
            <w:tcW w:w="1701" w:type="dxa"/>
            <w:tcBorders>
              <w:top w:val="single" w:sz="4" w:space="0" w:color="auto"/>
              <w:left w:val="single" w:sz="4" w:space="0" w:color="auto"/>
              <w:bottom w:val="single" w:sz="4" w:space="0" w:color="auto"/>
              <w:right w:val="single" w:sz="4" w:space="0" w:color="auto"/>
            </w:tcBorders>
          </w:tcPr>
          <w:p w14:paraId="59CDC157"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835" w:type="dxa"/>
            <w:tcBorders>
              <w:top w:val="single" w:sz="4" w:space="0" w:color="auto"/>
              <w:left w:val="single" w:sz="4" w:space="0" w:color="auto"/>
              <w:bottom w:val="single" w:sz="4" w:space="0" w:color="auto"/>
              <w:right w:val="single" w:sz="4" w:space="0" w:color="auto"/>
            </w:tcBorders>
          </w:tcPr>
          <w:p w14:paraId="457F052A"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r w:rsidR="007D1CCA" w14:paraId="0F068A05"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5C421F7E"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Pr>
                <w:rFonts w:ascii="Times New Roman" w:eastAsia="Times New Roman" w:hAnsi="Times New Roman" w:cs="Times New Roman"/>
                <w:i/>
                <w:snapToGrid w:val="0"/>
              </w:rPr>
              <w:t>Kepenų, tulžies pūslės ir latakų sutrikimai</w:t>
            </w:r>
          </w:p>
        </w:tc>
        <w:tc>
          <w:tcPr>
            <w:tcW w:w="1835" w:type="dxa"/>
            <w:tcBorders>
              <w:top w:val="single" w:sz="4" w:space="0" w:color="auto"/>
              <w:left w:val="single" w:sz="4" w:space="0" w:color="auto"/>
              <w:bottom w:val="single" w:sz="4" w:space="0" w:color="auto"/>
              <w:right w:val="single" w:sz="4" w:space="0" w:color="auto"/>
            </w:tcBorders>
          </w:tcPr>
          <w:p w14:paraId="6FBF0A99"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p>
        </w:tc>
      </w:tr>
      <w:tr w:rsidR="007D1CCA" w14:paraId="1F101F2F" w14:textId="77777777" w:rsidTr="00A83D4D">
        <w:tc>
          <w:tcPr>
            <w:tcW w:w="1129" w:type="dxa"/>
            <w:tcBorders>
              <w:top w:val="single" w:sz="4" w:space="0" w:color="auto"/>
              <w:left w:val="single" w:sz="4" w:space="0" w:color="auto"/>
              <w:bottom w:val="single" w:sz="4" w:space="0" w:color="auto"/>
              <w:right w:val="single" w:sz="4" w:space="0" w:color="auto"/>
            </w:tcBorders>
          </w:tcPr>
          <w:p w14:paraId="08E98DCE"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134" w:type="dxa"/>
            <w:tcBorders>
              <w:top w:val="single" w:sz="4" w:space="0" w:color="auto"/>
              <w:left w:val="single" w:sz="4" w:space="0" w:color="auto"/>
              <w:bottom w:val="single" w:sz="4" w:space="0" w:color="auto"/>
              <w:right w:val="single" w:sz="4" w:space="0" w:color="auto"/>
            </w:tcBorders>
          </w:tcPr>
          <w:p w14:paraId="02F1BCDB"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560" w:type="dxa"/>
            <w:tcBorders>
              <w:top w:val="single" w:sz="4" w:space="0" w:color="auto"/>
              <w:left w:val="single" w:sz="4" w:space="0" w:color="auto"/>
              <w:bottom w:val="single" w:sz="4" w:space="0" w:color="auto"/>
              <w:right w:val="single" w:sz="4" w:space="0" w:color="auto"/>
            </w:tcBorders>
            <w:hideMark/>
          </w:tcPr>
          <w:p w14:paraId="0EE6C6B3"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Hepatitas</w:t>
            </w:r>
            <w:r>
              <w:rPr>
                <w:rFonts w:ascii="Times New Roman" w:eastAsia="Times New Roman" w:hAnsi="Times New Roman" w:cs="Times New Roman"/>
                <w:snapToGrid w:val="0"/>
                <w:vertAlign w:val="superscript"/>
              </w:rPr>
              <w:t>3</w:t>
            </w:r>
          </w:p>
          <w:p w14:paraId="466169CA"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Kepenų fermentų (ALT, AST, šarminės fosfatazės) aktyvumo kraujyje padidėjimas</w:t>
            </w:r>
          </w:p>
          <w:p w14:paraId="22245409"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Ūminė kepenų pažaida</w:t>
            </w:r>
          </w:p>
        </w:tc>
        <w:tc>
          <w:tcPr>
            <w:tcW w:w="1701" w:type="dxa"/>
            <w:tcBorders>
              <w:top w:val="single" w:sz="4" w:space="0" w:color="auto"/>
              <w:left w:val="single" w:sz="4" w:space="0" w:color="auto"/>
              <w:bottom w:val="single" w:sz="4" w:space="0" w:color="auto"/>
              <w:right w:val="single" w:sz="4" w:space="0" w:color="auto"/>
            </w:tcBorders>
            <w:hideMark/>
          </w:tcPr>
          <w:p w14:paraId="66B89517"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vertAlign w:val="superscript"/>
              </w:rPr>
            </w:pPr>
            <w:r>
              <w:rPr>
                <w:rFonts w:ascii="Times New Roman" w:eastAsia="Times New Roman" w:hAnsi="Times New Roman" w:cs="Times New Roman"/>
                <w:snapToGrid w:val="0"/>
              </w:rPr>
              <w:t>Kepenų nepakankamumas</w:t>
            </w:r>
            <w:r>
              <w:rPr>
                <w:rFonts w:ascii="Times New Roman" w:eastAsia="Times New Roman" w:hAnsi="Times New Roman" w:cs="Times New Roman"/>
                <w:snapToGrid w:val="0"/>
                <w:vertAlign w:val="superscript"/>
              </w:rPr>
              <w:t>6</w:t>
            </w:r>
          </w:p>
          <w:p w14:paraId="523C798F"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vertAlign w:val="superscript"/>
              </w:rPr>
            </w:pPr>
            <w:r>
              <w:rPr>
                <w:rFonts w:ascii="Times New Roman" w:eastAsia="Times New Roman" w:hAnsi="Times New Roman" w:cs="Times New Roman"/>
                <w:snapToGrid w:val="0"/>
              </w:rPr>
              <w:t>Gelta</w:t>
            </w:r>
            <w:r>
              <w:rPr>
                <w:rFonts w:ascii="Times New Roman" w:eastAsia="Times New Roman" w:hAnsi="Times New Roman" w:cs="Times New Roman"/>
                <w:snapToGrid w:val="0"/>
                <w:vertAlign w:val="superscript"/>
              </w:rPr>
              <w:t>6</w:t>
            </w:r>
          </w:p>
        </w:tc>
        <w:tc>
          <w:tcPr>
            <w:tcW w:w="1701" w:type="dxa"/>
            <w:tcBorders>
              <w:top w:val="single" w:sz="4" w:space="0" w:color="auto"/>
              <w:left w:val="single" w:sz="4" w:space="0" w:color="auto"/>
              <w:bottom w:val="single" w:sz="4" w:space="0" w:color="auto"/>
              <w:right w:val="single" w:sz="4" w:space="0" w:color="auto"/>
            </w:tcBorders>
          </w:tcPr>
          <w:p w14:paraId="7510337F"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835" w:type="dxa"/>
            <w:tcBorders>
              <w:top w:val="single" w:sz="4" w:space="0" w:color="auto"/>
              <w:left w:val="single" w:sz="4" w:space="0" w:color="auto"/>
              <w:bottom w:val="single" w:sz="4" w:space="0" w:color="auto"/>
              <w:right w:val="single" w:sz="4" w:space="0" w:color="auto"/>
            </w:tcBorders>
          </w:tcPr>
          <w:p w14:paraId="09947318"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r w:rsidR="007D1CCA" w14:paraId="3A64CC05"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48892225"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Pr>
                <w:rFonts w:ascii="Times New Roman" w:eastAsia="Times New Roman" w:hAnsi="Times New Roman" w:cs="Times New Roman"/>
                <w:i/>
                <w:snapToGrid w:val="0"/>
              </w:rPr>
              <w:t>Odos ir poodinio audinio sutrikimai</w:t>
            </w:r>
          </w:p>
        </w:tc>
        <w:tc>
          <w:tcPr>
            <w:tcW w:w="1835" w:type="dxa"/>
            <w:tcBorders>
              <w:top w:val="single" w:sz="4" w:space="0" w:color="auto"/>
              <w:left w:val="single" w:sz="4" w:space="0" w:color="auto"/>
              <w:bottom w:val="single" w:sz="4" w:space="0" w:color="auto"/>
              <w:right w:val="single" w:sz="4" w:space="0" w:color="auto"/>
            </w:tcBorders>
          </w:tcPr>
          <w:p w14:paraId="4FEFB7A3"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p>
        </w:tc>
      </w:tr>
      <w:tr w:rsidR="007D1CCA" w14:paraId="7754725C" w14:textId="77777777" w:rsidTr="00A83D4D">
        <w:tc>
          <w:tcPr>
            <w:tcW w:w="1129" w:type="dxa"/>
            <w:tcBorders>
              <w:top w:val="single" w:sz="4" w:space="0" w:color="auto"/>
              <w:left w:val="single" w:sz="4" w:space="0" w:color="auto"/>
              <w:bottom w:val="single" w:sz="4" w:space="0" w:color="auto"/>
              <w:right w:val="single" w:sz="4" w:space="0" w:color="auto"/>
            </w:tcBorders>
          </w:tcPr>
          <w:p w14:paraId="47F3B38F"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134" w:type="dxa"/>
            <w:tcBorders>
              <w:top w:val="single" w:sz="4" w:space="0" w:color="auto"/>
              <w:left w:val="single" w:sz="4" w:space="0" w:color="auto"/>
              <w:bottom w:val="single" w:sz="4" w:space="0" w:color="auto"/>
              <w:right w:val="single" w:sz="4" w:space="0" w:color="auto"/>
            </w:tcBorders>
            <w:hideMark/>
          </w:tcPr>
          <w:p w14:paraId="6B3C4352"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Padidėjęs prakaitavimas</w:t>
            </w:r>
          </w:p>
          <w:p w14:paraId="01EFA0D8"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Išbėrimas</w:t>
            </w:r>
          </w:p>
        </w:tc>
        <w:tc>
          <w:tcPr>
            <w:tcW w:w="1560" w:type="dxa"/>
            <w:tcBorders>
              <w:top w:val="single" w:sz="4" w:space="0" w:color="auto"/>
              <w:left w:val="single" w:sz="4" w:space="0" w:color="auto"/>
              <w:bottom w:val="single" w:sz="4" w:space="0" w:color="auto"/>
              <w:right w:val="single" w:sz="4" w:space="0" w:color="auto"/>
            </w:tcBorders>
            <w:hideMark/>
          </w:tcPr>
          <w:p w14:paraId="60FA4247"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Prakaitavimas naktį</w:t>
            </w:r>
          </w:p>
          <w:p w14:paraId="7BCD8664"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Dilgėlinė</w:t>
            </w:r>
          </w:p>
          <w:p w14:paraId="16A9B10D"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Kontaktinis dermatitas</w:t>
            </w:r>
          </w:p>
          <w:p w14:paraId="06FA09FB"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Šaltas prakaitas</w:t>
            </w:r>
          </w:p>
          <w:p w14:paraId="415D95E2"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Padidėjusio jautrumo šviesai reakcijos</w:t>
            </w:r>
          </w:p>
          <w:p w14:paraId="3E4BE5AE"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Polinkio į kraujosruvas padidėjimas</w:t>
            </w:r>
          </w:p>
        </w:tc>
        <w:tc>
          <w:tcPr>
            <w:tcW w:w="1701" w:type="dxa"/>
            <w:tcBorders>
              <w:top w:val="single" w:sz="4" w:space="0" w:color="auto"/>
              <w:left w:val="single" w:sz="4" w:space="0" w:color="auto"/>
              <w:bottom w:val="single" w:sz="4" w:space="0" w:color="auto"/>
              <w:right w:val="single" w:sz="4" w:space="0" w:color="auto"/>
            </w:tcBorders>
            <w:hideMark/>
          </w:tcPr>
          <w:p w14:paraId="00B7113E"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Stivenso</w:t>
            </w:r>
            <w:proofErr w:type="spellEnd"/>
            <w:r>
              <w:rPr>
                <w:rFonts w:ascii="Times New Roman" w:eastAsia="Times New Roman" w:hAnsi="Times New Roman" w:cs="Times New Roman"/>
                <w:snapToGrid w:val="0"/>
              </w:rPr>
              <w:t xml:space="preserve"> ir Džonsono (</w:t>
            </w:r>
            <w:proofErr w:type="spellStart"/>
            <w:r>
              <w:rPr>
                <w:rFonts w:ascii="Times New Roman" w:eastAsia="Times New Roman" w:hAnsi="Times New Roman" w:cs="Times New Roman"/>
                <w:i/>
                <w:snapToGrid w:val="0"/>
              </w:rPr>
              <w:t>Stevens-Johnson</w:t>
            </w:r>
            <w:proofErr w:type="spellEnd"/>
            <w:r>
              <w:rPr>
                <w:rFonts w:ascii="Times New Roman" w:eastAsia="Times New Roman" w:hAnsi="Times New Roman" w:cs="Times New Roman"/>
                <w:snapToGrid w:val="0"/>
              </w:rPr>
              <w:t>) sindromas</w:t>
            </w:r>
            <w:r>
              <w:rPr>
                <w:rFonts w:ascii="Times New Roman" w:eastAsia="Times New Roman" w:hAnsi="Times New Roman" w:cs="Times New Roman"/>
                <w:snapToGrid w:val="0"/>
                <w:vertAlign w:val="superscript"/>
              </w:rPr>
              <w:t>6</w:t>
            </w:r>
          </w:p>
          <w:p w14:paraId="0A1D2083"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Angioneurozinė</w:t>
            </w:r>
            <w:proofErr w:type="spellEnd"/>
            <w:r>
              <w:rPr>
                <w:rFonts w:ascii="Times New Roman" w:eastAsia="Times New Roman" w:hAnsi="Times New Roman" w:cs="Times New Roman"/>
                <w:snapToGrid w:val="0"/>
              </w:rPr>
              <w:t xml:space="preserve"> edema</w:t>
            </w:r>
            <w:r>
              <w:rPr>
                <w:rFonts w:ascii="Times New Roman" w:eastAsia="Times New Roman" w:hAnsi="Times New Roman" w:cs="Times New Roman"/>
                <w:snapToGrid w:val="0"/>
                <w:vertAlign w:val="superscript"/>
              </w:rPr>
              <w:t>6</w:t>
            </w:r>
          </w:p>
        </w:tc>
        <w:tc>
          <w:tcPr>
            <w:tcW w:w="1701" w:type="dxa"/>
            <w:tcBorders>
              <w:top w:val="single" w:sz="4" w:space="0" w:color="auto"/>
              <w:left w:val="single" w:sz="4" w:space="0" w:color="auto"/>
              <w:bottom w:val="single" w:sz="4" w:space="0" w:color="auto"/>
              <w:right w:val="single" w:sz="4" w:space="0" w:color="auto"/>
            </w:tcBorders>
            <w:hideMark/>
          </w:tcPr>
          <w:p w14:paraId="1A7502C8"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 xml:space="preserve">Odos </w:t>
            </w:r>
            <w:proofErr w:type="spellStart"/>
            <w:r>
              <w:rPr>
                <w:rFonts w:ascii="Times New Roman" w:eastAsia="Times New Roman" w:hAnsi="Times New Roman" w:cs="Times New Roman"/>
                <w:snapToGrid w:val="0"/>
              </w:rPr>
              <w:t>vaskulitas</w:t>
            </w:r>
            <w:proofErr w:type="spellEnd"/>
          </w:p>
        </w:tc>
        <w:tc>
          <w:tcPr>
            <w:tcW w:w="1835" w:type="dxa"/>
            <w:tcBorders>
              <w:top w:val="single" w:sz="4" w:space="0" w:color="auto"/>
              <w:left w:val="single" w:sz="4" w:space="0" w:color="auto"/>
              <w:bottom w:val="single" w:sz="4" w:space="0" w:color="auto"/>
              <w:right w:val="single" w:sz="4" w:space="0" w:color="auto"/>
            </w:tcBorders>
          </w:tcPr>
          <w:p w14:paraId="15F872AF"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r w:rsidR="007D1CCA" w14:paraId="5CB898A4"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7DB42040"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Pr>
                <w:rFonts w:ascii="Times New Roman" w:eastAsia="Times New Roman" w:hAnsi="Times New Roman" w:cs="Times New Roman"/>
                <w:i/>
                <w:snapToGrid w:val="0"/>
              </w:rPr>
              <w:t>Skeleto, raumenų ir jungiamojo audinio sutrikimai</w:t>
            </w:r>
          </w:p>
        </w:tc>
        <w:tc>
          <w:tcPr>
            <w:tcW w:w="1835" w:type="dxa"/>
            <w:tcBorders>
              <w:top w:val="single" w:sz="4" w:space="0" w:color="auto"/>
              <w:left w:val="single" w:sz="4" w:space="0" w:color="auto"/>
              <w:bottom w:val="single" w:sz="4" w:space="0" w:color="auto"/>
              <w:right w:val="single" w:sz="4" w:space="0" w:color="auto"/>
            </w:tcBorders>
          </w:tcPr>
          <w:p w14:paraId="02464458"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p>
        </w:tc>
      </w:tr>
      <w:tr w:rsidR="007D1CCA" w14:paraId="491B1E57" w14:textId="77777777" w:rsidTr="00A83D4D">
        <w:tc>
          <w:tcPr>
            <w:tcW w:w="1129" w:type="dxa"/>
            <w:tcBorders>
              <w:top w:val="single" w:sz="4" w:space="0" w:color="auto"/>
              <w:left w:val="single" w:sz="4" w:space="0" w:color="auto"/>
              <w:bottom w:val="single" w:sz="4" w:space="0" w:color="auto"/>
              <w:right w:val="single" w:sz="4" w:space="0" w:color="auto"/>
            </w:tcBorders>
          </w:tcPr>
          <w:p w14:paraId="30C4C005"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134" w:type="dxa"/>
            <w:tcBorders>
              <w:top w:val="single" w:sz="4" w:space="0" w:color="auto"/>
              <w:left w:val="single" w:sz="4" w:space="0" w:color="auto"/>
              <w:bottom w:val="single" w:sz="4" w:space="0" w:color="auto"/>
              <w:right w:val="single" w:sz="4" w:space="0" w:color="auto"/>
            </w:tcBorders>
            <w:hideMark/>
          </w:tcPr>
          <w:p w14:paraId="070754A4"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Kaulų ir raumenų skausmas</w:t>
            </w:r>
          </w:p>
          <w:p w14:paraId="3F46BC5E"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Raumenų spazmas</w:t>
            </w:r>
          </w:p>
        </w:tc>
        <w:tc>
          <w:tcPr>
            <w:tcW w:w="1560" w:type="dxa"/>
            <w:tcBorders>
              <w:top w:val="single" w:sz="4" w:space="0" w:color="auto"/>
              <w:left w:val="single" w:sz="4" w:space="0" w:color="auto"/>
              <w:bottom w:val="single" w:sz="4" w:space="0" w:color="auto"/>
              <w:right w:val="single" w:sz="4" w:space="0" w:color="auto"/>
            </w:tcBorders>
            <w:hideMark/>
          </w:tcPr>
          <w:p w14:paraId="17B5431C"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Raumenų įtempimas</w:t>
            </w:r>
          </w:p>
          <w:p w14:paraId="1FDC3E4C"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Raumenų trūkčiojimas</w:t>
            </w:r>
          </w:p>
        </w:tc>
        <w:tc>
          <w:tcPr>
            <w:tcW w:w="1701" w:type="dxa"/>
            <w:tcBorders>
              <w:top w:val="single" w:sz="4" w:space="0" w:color="auto"/>
              <w:left w:val="single" w:sz="4" w:space="0" w:color="auto"/>
              <w:bottom w:val="single" w:sz="4" w:space="0" w:color="auto"/>
              <w:right w:val="single" w:sz="4" w:space="0" w:color="auto"/>
            </w:tcBorders>
            <w:hideMark/>
          </w:tcPr>
          <w:p w14:paraId="5F4EBB21"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Trizmas</w:t>
            </w:r>
            <w:proofErr w:type="spellEnd"/>
          </w:p>
        </w:tc>
        <w:tc>
          <w:tcPr>
            <w:tcW w:w="1701" w:type="dxa"/>
            <w:tcBorders>
              <w:top w:val="single" w:sz="4" w:space="0" w:color="auto"/>
              <w:left w:val="single" w:sz="4" w:space="0" w:color="auto"/>
              <w:bottom w:val="single" w:sz="4" w:space="0" w:color="auto"/>
              <w:right w:val="single" w:sz="4" w:space="0" w:color="auto"/>
            </w:tcBorders>
          </w:tcPr>
          <w:p w14:paraId="6A6DD2CD"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835" w:type="dxa"/>
            <w:tcBorders>
              <w:top w:val="single" w:sz="4" w:space="0" w:color="auto"/>
              <w:left w:val="single" w:sz="4" w:space="0" w:color="auto"/>
              <w:bottom w:val="single" w:sz="4" w:space="0" w:color="auto"/>
              <w:right w:val="single" w:sz="4" w:space="0" w:color="auto"/>
            </w:tcBorders>
          </w:tcPr>
          <w:p w14:paraId="123CFF4E"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r w:rsidR="007D1CCA" w14:paraId="4A113D55"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3067C2A1"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Pr>
                <w:rFonts w:ascii="Times New Roman" w:eastAsia="Times New Roman" w:hAnsi="Times New Roman" w:cs="Times New Roman"/>
                <w:i/>
                <w:snapToGrid w:val="0"/>
              </w:rPr>
              <w:t>Inkstų ir šlapimo takų sutrikimai</w:t>
            </w:r>
          </w:p>
        </w:tc>
        <w:tc>
          <w:tcPr>
            <w:tcW w:w="1835" w:type="dxa"/>
            <w:tcBorders>
              <w:top w:val="single" w:sz="4" w:space="0" w:color="auto"/>
              <w:left w:val="single" w:sz="4" w:space="0" w:color="auto"/>
              <w:bottom w:val="single" w:sz="4" w:space="0" w:color="auto"/>
              <w:right w:val="single" w:sz="4" w:space="0" w:color="auto"/>
            </w:tcBorders>
          </w:tcPr>
          <w:p w14:paraId="17A257DB"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p>
        </w:tc>
      </w:tr>
      <w:tr w:rsidR="007D1CCA" w14:paraId="755AD001" w14:textId="77777777" w:rsidTr="00A83D4D">
        <w:tc>
          <w:tcPr>
            <w:tcW w:w="1129" w:type="dxa"/>
            <w:tcBorders>
              <w:top w:val="single" w:sz="4" w:space="0" w:color="auto"/>
              <w:left w:val="single" w:sz="4" w:space="0" w:color="auto"/>
              <w:bottom w:val="single" w:sz="4" w:space="0" w:color="auto"/>
              <w:right w:val="single" w:sz="4" w:space="0" w:color="auto"/>
            </w:tcBorders>
          </w:tcPr>
          <w:p w14:paraId="126AB861"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134" w:type="dxa"/>
            <w:tcBorders>
              <w:top w:val="single" w:sz="4" w:space="0" w:color="auto"/>
              <w:left w:val="single" w:sz="4" w:space="0" w:color="auto"/>
              <w:bottom w:val="single" w:sz="4" w:space="0" w:color="auto"/>
              <w:right w:val="single" w:sz="4" w:space="0" w:color="auto"/>
            </w:tcBorders>
            <w:hideMark/>
          </w:tcPr>
          <w:p w14:paraId="23301431"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Dizurija</w:t>
            </w:r>
            <w:proofErr w:type="spellEnd"/>
          </w:p>
          <w:p w14:paraId="06836310"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Dažnas šlapinimasis</w:t>
            </w:r>
          </w:p>
        </w:tc>
        <w:tc>
          <w:tcPr>
            <w:tcW w:w="1560" w:type="dxa"/>
            <w:tcBorders>
              <w:top w:val="single" w:sz="4" w:space="0" w:color="auto"/>
              <w:left w:val="single" w:sz="4" w:space="0" w:color="auto"/>
              <w:bottom w:val="single" w:sz="4" w:space="0" w:color="auto"/>
              <w:right w:val="single" w:sz="4" w:space="0" w:color="auto"/>
            </w:tcBorders>
            <w:hideMark/>
          </w:tcPr>
          <w:p w14:paraId="797C0652"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Šlapimo susilaikymas</w:t>
            </w:r>
          </w:p>
          <w:p w14:paraId="260B69C2"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Užsilaikymas pradedant šlapintis</w:t>
            </w:r>
          </w:p>
          <w:p w14:paraId="1EE4F598"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Nikturija</w:t>
            </w:r>
            <w:proofErr w:type="spellEnd"/>
          </w:p>
          <w:p w14:paraId="50AE91F3"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lastRenderedPageBreak/>
              <w:t>Poliurija</w:t>
            </w:r>
            <w:proofErr w:type="spellEnd"/>
          </w:p>
          <w:p w14:paraId="5421E6ED"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Šlapinimosi srovės sumažėjimas</w:t>
            </w:r>
          </w:p>
        </w:tc>
        <w:tc>
          <w:tcPr>
            <w:tcW w:w="1701" w:type="dxa"/>
            <w:tcBorders>
              <w:top w:val="single" w:sz="4" w:space="0" w:color="auto"/>
              <w:left w:val="single" w:sz="4" w:space="0" w:color="auto"/>
              <w:bottom w:val="single" w:sz="4" w:space="0" w:color="auto"/>
              <w:right w:val="single" w:sz="4" w:space="0" w:color="auto"/>
            </w:tcBorders>
            <w:hideMark/>
          </w:tcPr>
          <w:p w14:paraId="33A4EF29"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lastRenderedPageBreak/>
              <w:t>Nenormalus šlapimo kvapas</w:t>
            </w:r>
          </w:p>
        </w:tc>
        <w:tc>
          <w:tcPr>
            <w:tcW w:w="1701" w:type="dxa"/>
            <w:tcBorders>
              <w:top w:val="single" w:sz="4" w:space="0" w:color="auto"/>
              <w:left w:val="single" w:sz="4" w:space="0" w:color="auto"/>
              <w:bottom w:val="single" w:sz="4" w:space="0" w:color="auto"/>
              <w:right w:val="single" w:sz="4" w:space="0" w:color="auto"/>
            </w:tcBorders>
          </w:tcPr>
          <w:p w14:paraId="5977C24C"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835" w:type="dxa"/>
            <w:tcBorders>
              <w:top w:val="single" w:sz="4" w:space="0" w:color="auto"/>
              <w:left w:val="single" w:sz="4" w:space="0" w:color="auto"/>
              <w:bottom w:val="single" w:sz="4" w:space="0" w:color="auto"/>
              <w:right w:val="single" w:sz="4" w:space="0" w:color="auto"/>
            </w:tcBorders>
          </w:tcPr>
          <w:p w14:paraId="6265C59C"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r w:rsidR="007D1CCA" w14:paraId="36D31911"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37EAAA81"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Pr>
                <w:rFonts w:ascii="Times New Roman" w:eastAsia="Times New Roman" w:hAnsi="Times New Roman" w:cs="Times New Roman"/>
                <w:i/>
                <w:snapToGrid w:val="0"/>
              </w:rPr>
              <w:t>Lytinės sistemos ir krūties sutrikimai</w:t>
            </w:r>
          </w:p>
        </w:tc>
        <w:tc>
          <w:tcPr>
            <w:tcW w:w="1835" w:type="dxa"/>
            <w:tcBorders>
              <w:top w:val="single" w:sz="4" w:space="0" w:color="auto"/>
              <w:left w:val="single" w:sz="4" w:space="0" w:color="auto"/>
              <w:bottom w:val="single" w:sz="4" w:space="0" w:color="auto"/>
              <w:right w:val="single" w:sz="4" w:space="0" w:color="auto"/>
            </w:tcBorders>
          </w:tcPr>
          <w:p w14:paraId="409BDF52"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p>
        </w:tc>
      </w:tr>
      <w:tr w:rsidR="007D1CCA" w14:paraId="6E312CE0" w14:textId="77777777" w:rsidTr="00A83D4D">
        <w:tc>
          <w:tcPr>
            <w:tcW w:w="1129" w:type="dxa"/>
            <w:tcBorders>
              <w:top w:val="single" w:sz="4" w:space="0" w:color="auto"/>
              <w:left w:val="single" w:sz="4" w:space="0" w:color="auto"/>
              <w:bottom w:val="single" w:sz="4" w:space="0" w:color="auto"/>
              <w:right w:val="single" w:sz="4" w:space="0" w:color="auto"/>
            </w:tcBorders>
          </w:tcPr>
          <w:p w14:paraId="5B757791"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134" w:type="dxa"/>
            <w:tcBorders>
              <w:top w:val="single" w:sz="4" w:space="0" w:color="auto"/>
              <w:left w:val="single" w:sz="4" w:space="0" w:color="auto"/>
              <w:bottom w:val="single" w:sz="4" w:space="0" w:color="auto"/>
              <w:right w:val="single" w:sz="4" w:space="0" w:color="auto"/>
            </w:tcBorders>
            <w:hideMark/>
          </w:tcPr>
          <w:p w14:paraId="4478E013"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Erekcijos sutrikimas</w:t>
            </w:r>
          </w:p>
          <w:p w14:paraId="6C39100B"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Ejakuliacijos sutrikimas</w:t>
            </w:r>
          </w:p>
          <w:p w14:paraId="64295959"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Uždelsta ejakuliacija</w:t>
            </w:r>
          </w:p>
        </w:tc>
        <w:tc>
          <w:tcPr>
            <w:tcW w:w="1560" w:type="dxa"/>
            <w:tcBorders>
              <w:top w:val="single" w:sz="4" w:space="0" w:color="auto"/>
              <w:left w:val="single" w:sz="4" w:space="0" w:color="auto"/>
              <w:bottom w:val="single" w:sz="4" w:space="0" w:color="auto"/>
              <w:right w:val="single" w:sz="4" w:space="0" w:color="auto"/>
            </w:tcBorders>
            <w:hideMark/>
          </w:tcPr>
          <w:p w14:paraId="2155A624"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Kraujavimas iš moters lytinių organų</w:t>
            </w:r>
          </w:p>
          <w:p w14:paraId="6DD381C0"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Mėnesinių sutrikimas</w:t>
            </w:r>
          </w:p>
          <w:p w14:paraId="6625984F"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Seksualinės funkcijos sutrikimas</w:t>
            </w:r>
          </w:p>
          <w:p w14:paraId="4B510EC0"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Sėklidžių skausmas</w:t>
            </w:r>
          </w:p>
        </w:tc>
        <w:tc>
          <w:tcPr>
            <w:tcW w:w="1701" w:type="dxa"/>
            <w:tcBorders>
              <w:top w:val="single" w:sz="4" w:space="0" w:color="auto"/>
              <w:left w:val="single" w:sz="4" w:space="0" w:color="auto"/>
              <w:bottom w:val="single" w:sz="4" w:space="0" w:color="auto"/>
              <w:right w:val="single" w:sz="4" w:space="0" w:color="auto"/>
            </w:tcBorders>
            <w:hideMark/>
          </w:tcPr>
          <w:p w14:paraId="7FAFC5D8"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Menopauzės simptomai</w:t>
            </w:r>
          </w:p>
          <w:p w14:paraId="1545F777"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Galaktorėja</w:t>
            </w:r>
            <w:proofErr w:type="spellEnd"/>
          </w:p>
          <w:p w14:paraId="38335DC8"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Hiperprolaktinemija</w:t>
            </w:r>
            <w:proofErr w:type="spellEnd"/>
          </w:p>
          <w:p w14:paraId="25A19B6C"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Kraujavimas po gimdymo</w:t>
            </w:r>
            <w:r>
              <w:rPr>
                <w:rFonts w:ascii="Times New Roman" w:eastAsia="Times New Roman" w:hAnsi="Times New Roman" w:cs="Times New Roman"/>
                <w:snapToGrid w:val="0"/>
                <w:vertAlign w:val="superscript"/>
              </w:rPr>
              <w:t>6</w:t>
            </w:r>
          </w:p>
        </w:tc>
        <w:tc>
          <w:tcPr>
            <w:tcW w:w="1701" w:type="dxa"/>
            <w:tcBorders>
              <w:top w:val="single" w:sz="4" w:space="0" w:color="auto"/>
              <w:left w:val="single" w:sz="4" w:space="0" w:color="auto"/>
              <w:bottom w:val="single" w:sz="4" w:space="0" w:color="auto"/>
              <w:right w:val="single" w:sz="4" w:space="0" w:color="auto"/>
            </w:tcBorders>
          </w:tcPr>
          <w:p w14:paraId="43D448F0"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835" w:type="dxa"/>
            <w:tcBorders>
              <w:top w:val="single" w:sz="4" w:space="0" w:color="auto"/>
              <w:left w:val="single" w:sz="4" w:space="0" w:color="auto"/>
              <w:bottom w:val="single" w:sz="4" w:space="0" w:color="auto"/>
              <w:right w:val="single" w:sz="4" w:space="0" w:color="auto"/>
            </w:tcBorders>
          </w:tcPr>
          <w:p w14:paraId="41FEFCB3"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r w:rsidR="007D1CCA" w14:paraId="28DE6750"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6F938303"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Pr>
                <w:rFonts w:ascii="Times New Roman" w:eastAsia="Times New Roman" w:hAnsi="Times New Roman" w:cs="Times New Roman"/>
                <w:i/>
                <w:snapToGrid w:val="0"/>
              </w:rPr>
              <w:t>Bendrieji sutrikimai ir vartojimo vietos pažeidimai</w:t>
            </w:r>
          </w:p>
        </w:tc>
        <w:tc>
          <w:tcPr>
            <w:tcW w:w="1835" w:type="dxa"/>
            <w:tcBorders>
              <w:top w:val="single" w:sz="4" w:space="0" w:color="auto"/>
              <w:left w:val="single" w:sz="4" w:space="0" w:color="auto"/>
              <w:bottom w:val="single" w:sz="4" w:space="0" w:color="auto"/>
              <w:right w:val="single" w:sz="4" w:space="0" w:color="auto"/>
            </w:tcBorders>
          </w:tcPr>
          <w:p w14:paraId="0915EAD3"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p>
        </w:tc>
      </w:tr>
      <w:tr w:rsidR="007D1CCA" w14:paraId="0B5D2243" w14:textId="77777777" w:rsidTr="00A83D4D">
        <w:tc>
          <w:tcPr>
            <w:tcW w:w="1129" w:type="dxa"/>
            <w:tcBorders>
              <w:top w:val="single" w:sz="4" w:space="0" w:color="auto"/>
              <w:left w:val="single" w:sz="4" w:space="0" w:color="auto"/>
              <w:bottom w:val="single" w:sz="4" w:space="0" w:color="auto"/>
              <w:right w:val="single" w:sz="4" w:space="0" w:color="auto"/>
            </w:tcBorders>
          </w:tcPr>
          <w:p w14:paraId="772E268D"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134" w:type="dxa"/>
            <w:tcBorders>
              <w:top w:val="single" w:sz="4" w:space="0" w:color="auto"/>
              <w:left w:val="single" w:sz="4" w:space="0" w:color="auto"/>
              <w:bottom w:val="single" w:sz="4" w:space="0" w:color="auto"/>
              <w:right w:val="single" w:sz="4" w:space="0" w:color="auto"/>
            </w:tcBorders>
            <w:hideMark/>
          </w:tcPr>
          <w:p w14:paraId="4089DBCB"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Griuvimas</w:t>
            </w:r>
            <w:r>
              <w:rPr>
                <w:rFonts w:ascii="Times New Roman" w:eastAsia="Times New Roman" w:hAnsi="Times New Roman" w:cs="Times New Roman"/>
                <w:snapToGrid w:val="0"/>
                <w:vertAlign w:val="superscript"/>
              </w:rPr>
              <w:t>8</w:t>
            </w:r>
          </w:p>
          <w:p w14:paraId="03C1DC3B"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Nuovargis</w:t>
            </w:r>
          </w:p>
        </w:tc>
        <w:tc>
          <w:tcPr>
            <w:tcW w:w="1560" w:type="dxa"/>
            <w:tcBorders>
              <w:top w:val="single" w:sz="4" w:space="0" w:color="auto"/>
              <w:left w:val="single" w:sz="4" w:space="0" w:color="auto"/>
              <w:bottom w:val="single" w:sz="4" w:space="0" w:color="auto"/>
              <w:right w:val="single" w:sz="4" w:space="0" w:color="auto"/>
            </w:tcBorders>
            <w:hideMark/>
          </w:tcPr>
          <w:p w14:paraId="3F2A82F9"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Krūtinės skausmas</w:t>
            </w:r>
            <w:r>
              <w:rPr>
                <w:rFonts w:ascii="Times New Roman" w:eastAsia="Times New Roman" w:hAnsi="Times New Roman" w:cs="Times New Roman"/>
                <w:snapToGrid w:val="0"/>
                <w:vertAlign w:val="superscript"/>
              </w:rPr>
              <w:t>7</w:t>
            </w:r>
          </w:p>
          <w:p w14:paraId="5CEF657E"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Nenormali savijauta</w:t>
            </w:r>
          </w:p>
          <w:p w14:paraId="67158736"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Šalčio pojūtis</w:t>
            </w:r>
          </w:p>
          <w:p w14:paraId="3FF106CC"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Troškulys</w:t>
            </w:r>
          </w:p>
          <w:p w14:paraId="1C9E9455"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Šalčio krėtimas</w:t>
            </w:r>
          </w:p>
          <w:p w14:paraId="0AAD3AA7"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Negalavimas</w:t>
            </w:r>
          </w:p>
          <w:p w14:paraId="32AFCDDE"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Karščio pojūtis</w:t>
            </w:r>
          </w:p>
          <w:p w14:paraId="1D799624"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Eisenos sutrikimas</w:t>
            </w:r>
          </w:p>
        </w:tc>
        <w:tc>
          <w:tcPr>
            <w:tcW w:w="1701" w:type="dxa"/>
            <w:tcBorders>
              <w:top w:val="single" w:sz="4" w:space="0" w:color="auto"/>
              <w:left w:val="single" w:sz="4" w:space="0" w:color="auto"/>
              <w:bottom w:val="single" w:sz="4" w:space="0" w:color="auto"/>
              <w:right w:val="single" w:sz="4" w:space="0" w:color="auto"/>
            </w:tcBorders>
          </w:tcPr>
          <w:p w14:paraId="5C81AA69"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701" w:type="dxa"/>
            <w:tcBorders>
              <w:top w:val="single" w:sz="4" w:space="0" w:color="auto"/>
              <w:left w:val="single" w:sz="4" w:space="0" w:color="auto"/>
              <w:bottom w:val="single" w:sz="4" w:space="0" w:color="auto"/>
              <w:right w:val="single" w:sz="4" w:space="0" w:color="auto"/>
            </w:tcBorders>
          </w:tcPr>
          <w:p w14:paraId="757354FC"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835" w:type="dxa"/>
            <w:tcBorders>
              <w:top w:val="single" w:sz="4" w:space="0" w:color="auto"/>
              <w:left w:val="single" w:sz="4" w:space="0" w:color="auto"/>
              <w:bottom w:val="single" w:sz="4" w:space="0" w:color="auto"/>
              <w:right w:val="single" w:sz="4" w:space="0" w:color="auto"/>
            </w:tcBorders>
          </w:tcPr>
          <w:p w14:paraId="64903564"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r w:rsidR="007D1CCA" w14:paraId="4DA7A573" w14:textId="77777777">
        <w:tc>
          <w:tcPr>
            <w:tcW w:w="7225" w:type="dxa"/>
            <w:gridSpan w:val="5"/>
            <w:tcBorders>
              <w:top w:val="single" w:sz="4" w:space="0" w:color="auto"/>
              <w:left w:val="single" w:sz="4" w:space="0" w:color="auto"/>
              <w:bottom w:val="single" w:sz="4" w:space="0" w:color="auto"/>
              <w:right w:val="single" w:sz="4" w:space="0" w:color="auto"/>
            </w:tcBorders>
            <w:hideMark/>
          </w:tcPr>
          <w:p w14:paraId="0EF80B28"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Pr>
                <w:rFonts w:ascii="Times New Roman" w:eastAsia="Times New Roman" w:hAnsi="Times New Roman" w:cs="Times New Roman"/>
                <w:i/>
                <w:snapToGrid w:val="0"/>
              </w:rPr>
              <w:t>Tyrimai</w:t>
            </w:r>
          </w:p>
        </w:tc>
        <w:tc>
          <w:tcPr>
            <w:tcW w:w="1835" w:type="dxa"/>
            <w:tcBorders>
              <w:top w:val="single" w:sz="4" w:space="0" w:color="auto"/>
              <w:left w:val="single" w:sz="4" w:space="0" w:color="auto"/>
              <w:bottom w:val="single" w:sz="4" w:space="0" w:color="auto"/>
              <w:right w:val="single" w:sz="4" w:space="0" w:color="auto"/>
            </w:tcBorders>
          </w:tcPr>
          <w:p w14:paraId="5CD0B474"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p>
        </w:tc>
      </w:tr>
      <w:tr w:rsidR="007D1CCA" w14:paraId="75379CB8" w14:textId="77777777" w:rsidTr="00A83D4D">
        <w:tc>
          <w:tcPr>
            <w:tcW w:w="1129" w:type="dxa"/>
            <w:tcBorders>
              <w:top w:val="single" w:sz="4" w:space="0" w:color="auto"/>
              <w:left w:val="single" w:sz="4" w:space="0" w:color="auto"/>
              <w:bottom w:val="single" w:sz="4" w:space="0" w:color="auto"/>
              <w:right w:val="single" w:sz="4" w:space="0" w:color="auto"/>
            </w:tcBorders>
          </w:tcPr>
          <w:p w14:paraId="3383086A"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134" w:type="dxa"/>
            <w:tcBorders>
              <w:top w:val="single" w:sz="4" w:space="0" w:color="auto"/>
              <w:left w:val="single" w:sz="4" w:space="0" w:color="auto"/>
              <w:bottom w:val="single" w:sz="4" w:space="0" w:color="auto"/>
              <w:right w:val="single" w:sz="4" w:space="0" w:color="auto"/>
            </w:tcBorders>
            <w:hideMark/>
          </w:tcPr>
          <w:p w14:paraId="44E6A9F7"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Kūno svorio sumažėjimas</w:t>
            </w:r>
          </w:p>
        </w:tc>
        <w:tc>
          <w:tcPr>
            <w:tcW w:w="1560" w:type="dxa"/>
            <w:tcBorders>
              <w:top w:val="single" w:sz="4" w:space="0" w:color="auto"/>
              <w:left w:val="single" w:sz="4" w:space="0" w:color="auto"/>
              <w:bottom w:val="single" w:sz="4" w:space="0" w:color="auto"/>
              <w:right w:val="single" w:sz="4" w:space="0" w:color="auto"/>
            </w:tcBorders>
            <w:hideMark/>
          </w:tcPr>
          <w:p w14:paraId="6013524E"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Kūno svorio padidėjimas</w:t>
            </w:r>
          </w:p>
          <w:p w14:paraId="6049518D"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kreatinfosfokinazės</w:t>
            </w:r>
            <w:proofErr w:type="spellEnd"/>
            <w:r>
              <w:rPr>
                <w:rFonts w:ascii="Times New Roman" w:eastAsia="Times New Roman" w:hAnsi="Times New Roman" w:cs="Times New Roman"/>
                <w:snapToGrid w:val="0"/>
              </w:rPr>
              <w:t xml:space="preserve"> kiekio kraujyje padidėjimas</w:t>
            </w:r>
          </w:p>
          <w:p w14:paraId="77CA788B"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Kalio kiekio kraujyje padidėjimas</w:t>
            </w:r>
          </w:p>
        </w:tc>
        <w:tc>
          <w:tcPr>
            <w:tcW w:w="1701" w:type="dxa"/>
            <w:tcBorders>
              <w:top w:val="single" w:sz="4" w:space="0" w:color="auto"/>
              <w:left w:val="single" w:sz="4" w:space="0" w:color="auto"/>
              <w:bottom w:val="single" w:sz="4" w:space="0" w:color="auto"/>
              <w:right w:val="single" w:sz="4" w:space="0" w:color="auto"/>
            </w:tcBorders>
            <w:hideMark/>
          </w:tcPr>
          <w:p w14:paraId="2D7F6309"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Cholesterolio koncentracijos kraujyje padidėjimas</w:t>
            </w:r>
          </w:p>
        </w:tc>
        <w:tc>
          <w:tcPr>
            <w:tcW w:w="1701" w:type="dxa"/>
            <w:tcBorders>
              <w:top w:val="single" w:sz="4" w:space="0" w:color="auto"/>
              <w:left w:val="single" w:sz="4" w:space="0" w:color="auto"/>
              <w:bottom w:val="single" w:sz="4" w:space="0" w:color="auto"/>
              <w:right w:val="single" w:sz="4" w:space="0" w:color="auto"/>
            </w:tcBorders>
          </w:tcPr>
          <w:p w14:paraId="0B071189"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c>
          <w:tcPr>
            <w:tcW w:w="1835" w:type="dxa"/>
            <w:tcBorders>
              <w:top w:val="single" w:sz="4" w:space="0" w:color="auto"/>
              <w:left w:val="single" w:sz="4" w:space="0" w:color="auto"/>
              <w:bottom w:val="single" w:sz="4" w:space="0" w:color="auto"/>
              <w:right w:val="single" w:sz="4" w:space="0" w:color="auto"/>
            </w:tcBorders>
          </w:tcPr>
          <w:p w14:paraId="29387044"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bl>
    <w:p w14:paraId="71842BA3"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vertAlign w:val="superscript"/>
        </w:rPr>
      </w:pPr>
    </w:p>
    <w:p w14:paraId="768B0286"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vertAlign w:val="superscript"/>
        </w:rPr>
        <w:t>1</w:t>
      </w:r>
      <w:r>
        <w:rPr>
          <w:rFonts w:ascii="Times New Roman" w:eastAsia="Times New Roman" w:hAnsi="Times New Roman" w:cs="Times New Roman"/>
          <w:snapToGrid w:val="0"/>
        </w:rPr>
        <w:t xml:space="preserve"> Traukulių ir ūžesio atvejų buvo ir nutraukus gydymą.</w:t>
      </w:r>
    </w:p>
    <w:p w14:paraId="4DECC7B0"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vertAlign w:val="superscript"/>
        </w:rPr>
        <w:t>2</w:t>
      </w:r>
      <w:r>
        <w:rPr>
          <w:rFonts w:ascii="Times New Roman" w:eastAsia="Times New Roman" w:hAnsi="Times New Roman" w:cs="Times New Roman"/>
          <w:snapToGrid w:val="0"/>
        </w:rPr>
        <w:t xml:space="preserve"> Buvo </w:t>
      </w:r>
      <w:proofErr w:type="spellStart"/>
      <w:r>
        <w:rPr>
          <w:rFonts w:ascii="Times New Roman" w:eastAsia="Times New Roman" w:hAnsi="Times New Roman" w:cs="Times New Roman"/>
          <w:snapToGrid w:val="0"/>
        </w:rPr>
        <w:t>ortostatinės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hipotenzijos</w:t>
      </w:r>
      <w:proofErr w:type="spellEnd"/>
      <w:r>
        <w:rPr>
          <w:rFonts w:ascii="Times New Roman" w:eastAsia="Times New Roman" w:hAnsi="Times New Roman" w:cs="Times New Roman"/>
          <w:snapToGrid w:val="0"/>
        </w:rPr>
        <w:t xml:space="preserve"> ir sinkopės atvejų, ypač gydymo pradžioje.</w:t>
      </w:r>
    </w:p>
    <w:p w14:paraId="0FB59244"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vertAlign w:val="superscript"/>
        </w:rPr>
        <w:t>3</w:t>
      </w:r>
      <w:r>
        <w:rPr>
          <w:rFonts w:ascii="Times New Roman" w:eastAsia="Times New Roman" w:hAnsi="Times New Roman" w:cs="Times New Roman"/>
          <w:snapToGrid w:val="0"/>
        </w:rPr>
        <w:t xml:space="preserve"> Žr. 4.4 skyrių.</w:t>
      </w:r>
    </w:p>
    <w:p w14:paraId="43B900B0"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vertAlign w:val="superscript"/>
        </w:rPr>
        <w:t>4</w:t>
      </w:r>
      <w:r>
        <w:rPr>
          <w:rFonts w:ascii="Times New Roman" w:eastAsia="Times New Roman" w:hAnsi="Times New Roman" w:cs="Times New Roman"/>
          <w:snapToGrid w:val="0"/>
        </w:rPr>
        <w:t xml:space="preserve"> Buvo agresijos ir pykčio atvejų, ypač ankstyvuoju gydymo laikotarpiu arba gydymą nutraukus.</w:t>
      </w:r>
    </w:p>
    <w:p w14:paraId="2B5C2C71"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vertAlign w:val="superscript"/>
        </w:rPr>
        <w:t>5</w:t>
      </w:r>
      <w:r>
        <w:rPr>
          <w:rFonts w:ascii="Times New Roman" w:eastAsia="Times New Roman" w:hAnsi="Times New Roman" w:cs="Times New Roman"/>
          <w:snapToGrid w:val="0"/>
        </w:rPr>
        <w:t xml:space="preserve"> Gydymo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metu arba greitai po gydymo nutraukimo buvo minčių apie savižudybę ir savižudiško elgesio atvejų (žr. 4.4 skyrių).</w:t>
      </w:r>
    </w:p>
    <w:p w14:paraId="0A21AFFD"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vertAlign w:val="superscript"/>
        </w:rPr>
        <w:t>6</w:t>
      </w:r>
      <w:r>
        <w:rPr>
          <w:rFonts w:ascii="Times New Roman" w:eastAsia="Times New Roman" w:hAnsi="Times New Roman" w:cs="Times New Roman"/>
          <w:snapToGrid w:val="0"/>
        </w:rPr>
        <w:t xml:space="preserve"> Dažnis nustatytas pagal stebėjimo po vaistinio preparato patekimo į rinką nepageidaujamų reakcijų duomenis. Šių nepageidaujamų reakcijų nebuvo pastebėta placebu kontroliuojamųjų tyrimų metu.</w:t>
      </w:r>
    </w:p>
    <w:p w14:paraId="49693495"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vertAlign w:val="superscript"/>
        </w:rPr>
        <w:t>7</w:t>
      </w:r>
      <w:r>
        <w:rPr>
          <w:rFonts w:ascii="Times New Roman" w:eastAsia="Times New Roman" w:hAnsi="Times New Roman" w:cs="Times New Roman"/>
          <w:snapToGrid w:val="0"/>
        </w:rPr>
        <w:t xml:space="preserve"> Statistiškai reikšmingai nesiskyrė nuo placebo.</w:t>
      </w:r>
    </w:p>
    <w:p w14:paraId="64131064"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vertAlign w:val="superscript"/>
        </w:rPr>
        <w:t>8</w:t>
      </w:r>
      <w:r>
        <w:rPr>
          <w:rFonts w:ascii="Times New Roman" w:eastAsia="Times New Roman" w:hAnsi="Times New Roman" w:cs="Times New Roman"/>
          <w:snapToGrid w:val="0"/>
        </w:rPr>
        <w:t xml:space="preserve"> Senyviems (≥ 65 metų) pacientams griuvimo dažnis buvo didesnis.</w:t>
      </w:r>
    </w:p>
    <w:p w14:paraId="4A68CB7B" w14:textId="77777777" w:rsidR="007D1CCA" w:rsidRDefault="00A06746">
      <w:pPr>
        <w:tabs>
          <w:tab w:val="left" w:pos="567"/>
        </w:tabs>
        <w:spacing w:after="0" w:line="240" w:lineRule="auto"/>
        <w:ind w:left="567" w:hanging="567"/>
        <w:rPr>
          <w:rFonts w:ascii="Times New Roman" w:eastAsia="Calibri" w:hAnsi="Times New Roman" w:cs="Times New Roman"/>
        </w:rPr>
      </w:pPr>
      <w:r>
        <w:rPr>
          <w:rFonts w:ascii="Times New Roman" w:eastAsia="Calibri" w:hAnsi="Times New Roman" w:cs="Times New Roman"/>
          <w:vertAlign w:val="superscript"/>
        </w:rPr>
        <w:t>9</w:t>
      </w:r>
      <w:r>
        <w:rPr>
          <w:rFonts w:ascii="Times New Roman" w:eastAsia="Calibri" w:hAnsi="Times New Roman" w:cs="Times New Roman"/>
        </w:rPr>
        <w:t xml:space="preserve"> Dažnis nustatytas remiantis visų klinikinių tyrimų duomenimis.</w:t>
      </w:r>
    </w:p>
    <w:p w14:paraId="315310E4" w14:textId="77777777" w:rsidR="007D1CCA" w:rsidRDefault="00A06746">
      <w:pPr>
        <w:widowControl w:val="0"/>
        <w:tabs>
          <w:tab w:val="left" w:pos="142"/>
          <w:tab w:val="left" w:pos="567"/>
        </w:tabs>
        <w:autoSpaceDE w:val="0"/>
        <w:autoSpaceDN w:val="0"/>
        <w:adjustRightInd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vertAlign w:val="superscript"/>
        </w:rPr>
        <w:t>10</w:t>
      </w:r>
      <w:r>
        <w:rPr>
          <w:rFonts w:ascii="Times New Roman" w:eastAsia="Times New Roman" w:hAnsi="Times New Roman" w:cs="Times New Roman"/>
          <w:snapToGrid w:val="0"/>
        </w:rPr>
        <w:t xml:space="preserve"> Remiantis placebu kontroliuotų klinikinių tyrimų duomenims apytikriai apskaičiuotas dažnis.</w:t>
      </w:r>
    </w:p>
    <w:p w14:paraId="5ABBC12F"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p w14:paraId="6FEF176A"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c. Tam tikrų nepageidaujamų reakcijų aprašymas</w:t>
      </w:r>
    </w:p>
    <w:p w14:paraId="42623A90"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vartojimo nutraukimas, ypač staigus, dažnai lemia nutraukimo simptomų atsiradimą. Dažniausiai pasireiškiančios reakcijos yra galvos svaigimas, jutimų sutrikimas (įskaitant </w:t>
      </w:r>
      <w:proofErr w:type="spellStart"/>
      <w:r>
        <w:rPr>
          <w:rFonts w:ascii="Times New Roman" w:eastAsia="Times New Roman" w:hAnsi="Times New Roman" w:cs="Times New Roman"/>
          <w:snapToGrid w:val="0"/>
        </w:rPr>
        <w:t>paresteziją</w:t>
      </w:r>
      <w:proofErr w:type="spellEnd"/>
      <w:r>
        <w:rPr>
          <w:rFonts w:ascii="Times New Roman" w:eastAsia="Times New Roman" w:hAnsi="Times New Roman" w:cs="Times New Roman"/>
          <w:snapToGrid w:val="0"/>
        </w:rPr>
        <w:t xml:space="preserve">, į elektros šoko poveikį panašų pojūtį, ypač galvoje), miego sutrikimas (įskaitant nemigą ir intensyvius sapnus), nuovargis, </w:t>
      </w:r>
      <w:proofErr w:type="spellStart"/>
      <w:r>
        <w:rPr>
          <w:rFonts w:ascii="Times New Roman" w:eastAsia="Times New Roman" w:hAnsi="Times New Roman" w:cs="Times New Roman"/>
          <w:snapToGrid w:val="0"/>
        </w:rPr>
        <w:t>somnolencija</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ažitacija</w:t>
      </w:r>
      <w:proofErr w:type="spellEnd"/>
      <w:r>
        <w:rPr>
          <w:rFonts w:ascii="Times New Roman" w:eastAsia="Times New Roman" w:hAnsi="Times New Roman" w:cs="Times New Roman"/>
          <w:snapToGrid w:val="0"/>
        </w:rPr>
        <w:t xml:space="preserve"> ar nerimas, pykinimas ir (ar) vėmimas, </w:t>
      </w:r>
      <w:proofErr w:type="spellStart"/>
      <w:r>
        <w:rPr>
          <w:rFonts w:ascii="Times New Roman" w:eastAsia="Times New Roman" w:hAnsi="Times New Roman" w:cs="Times New Roman"/>
          <w:snapToGrid w:val="0"/>
        </w:rPr>
        <w:t>tremoras</w:t>
      </w:r>
      <w:proofErr w:type="spellEnd"/>
      <w:r>
        <w:rPr>
          <w:rFonts w:ascii="Times New Roman" w:eastAsia="Times New Roman" w:hAnsi="Times New Roman" w:cs="Times New Roman"/>
          <w:snapToGrid w:val="0"/>
        </w:rPr>
        <w:t xml:space="preserve">, galvos </w:t>
      </w:r>
      <w:r>
        <w:rPr>
          <w:rFonts w:ascii="Times New Roman" w:eastAsia="Times New Roman" w:hAnsi="Times New Roman" w:cs="Times New Roman"/>
          <w:snapToGrid w:val="0"/>
        </w:rPr>
        <w:lastRenderedPageBreak/>
        <w:t xml:space="preserve">skausmas, </w:t>
      </w:r>
      <w:proofErr w:type="spellStart"/>
      <w:r>
        <w:rPr>
          <w:rFonts w:ascii="Times New Roman" w:eastAsia="Times New Roman" w:hAnsi="Times New Roman" w:cs="Times New Roman"/>
          <w:snapToGrid w:val="0"/>
        </w:rPr>
        <w:t>mialgija</w:t>
      </w:r>
      <w:proofErr w:type="spellEnd"/>
      <w:r>
        <w:rPr>
          <w:rFonts w:ascii="Times New Roman" w:eastAsia="Times New Roman" w:hAnsi="Times New Roman" w:cs="Times New Roman"/>
          <w:snapToGrid w:val="0"/>
        </w:rPr>
        <w:t>, dirglumas, viduriavimas, per stiprus prakaitavimas ir galvos sukimasis.</w:t>
      </w:r>
    </w:p>
    <w:p w14:paraId="4D6D864C"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DC5DF3B"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Su SSRI ar SNRI vartojimu susiję minėti reiškiniai paprastai būna lengvi arba vidutinio sunkumo ir laikini, tačiau kai kuriems pacientams jie gali būti sunkūs ir (arba) ilgalaikiai. Dėl to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vartojimą patariama nutraukti palaipsniui mažinant dozę (žr. 4.2 ir 4.4 skyrius).</w:t>
      </w:r>
    </w:p>
    <w:p w14:paraId="2B11E188"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805E510"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Trijų klinikinių tyrimų ūminės 12 savaičių fazės metu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gydomiems pacientams, besiskundžiantiems diabetinės neuropatijos skausmu, nedaug, tačiau statistiškai reikšmingai, padidėjo gliukozės kiekis kraujyje nevalgius. HbA1c kiekis nekito nei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gydomų, nei </w:t>
      </w:r>
      <w:proofErr w:type="spellStart"/>
      <w:r>
        <w:rPr>
          <w:rFonts w:ascii="Times New Roman" w:eastAsia="Times New Roman" w:hAnsi="Times New Roman" w:cs="Times New Roman"/>
          <w:snapToGrid w:val="0"/>
        </w:rPr>
        <w:t>placebo</w:t>
      </w:r>
      <w:proofErr w:type="spellEnd"/>
      <w:r>
        <w:rPr>
          <w:rFonts w:ascii="Times New Roman" w:eastAsia="Times New Roman" w:hAnsi="Times New Roman" w:cs="Times New Roman"/>
          <w:snapToGrid w:val="0"/>
        </w:rPr>
        <w:t xml:space="preserve"> vartojusių tiriamųjų organizme. Šio tyrimo tęstinės gydymo fazės, trukusios ne ilgiau kaip 52 savaites, metu HbA1c kiekis padidėjo ir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ir įprastiniu būdu gydomiems tiriamiesiems, tačiau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vartojusiems pacientams vidutinis padidėjimas buvo 0,3 % didesnis. Be to,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gydomų tiriamųjų kraujyje šiek tiek padidėjo gliukozės kiekis nevalgius ir bendro cholesterolio kiekis.</w:t>
      </w:r>
    </w:p>
    <w:p w14:paraId="45317BAA"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6621555"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gydomų pacientų QT intervalas, apskaičiuotas atsižvelgiant į širdies ritmą, nesiskyrė nuo placebą vartojusių pacientų šio intervalo. Nebuvo jokių klinikai reikšmingų QT, PR, QRS bei </w:t>
      </w:r>
      <w:proofErr w:type="spellStart"/>
      <w:r>
        <w:rPr>
          <w:rFonts w:ascii="Times New Roman" w:eastAsia="Times New Roman" w:hAnsi="Times New Roman" w:cs="Times New Roman"/>
          <w:snapToGrid w:val="0"/>
        </w:rPr>
        <w:t>QTcB</w:t>
      </w:r>
      <w:proofErr w:type="spellEnd"/>
      <w:r>
        <w:rPr>
          <w:rFonts w:ascii="Times New Roman" w:eastAsia="Times New Roman" w:hAnsi="Times New Roman" w:cs="Times New Roman"/>
          <w:snapToGrid w:val="0"/>
        </w:rPr>
        <w:t xml:space="preserve"> intervalų skirtumų tarp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ir </w:t>
      </w:r>
      <w:proofErr w:type="spellStart"/>
      <w:r>
        <w:rPr>
          <w:rFonts w:ascii="Times New Roman" w:eastAsia="Times New Roman" w:hAnsi="Times New Roman" w:cs="Times New Roman"/>
          <w:snapToGrid w:val="0"/>
        </w:rPr>
        <w:t>placebu</w:t>
      </w:r>
      <w:proofErr w:type="spellEnd"/>
      <w:r>
        <w:rPr>
          <w:rFonts w:ascii="Times New Roman" w:eastAsia="Times New Roman" w:hAnsi="Times New Roman" w:cs="Times New Roman"/>
          <w:snapToGrid w:val="0"/>
        </w:rPr>
        <w:t xml:space="preserve"> gydytų pacientų.</w:t>
      </w:r>
    </w:p>
    <w:p w14:paraId="4BD918EC"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29DF4AB"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d. Vaikų populiacija</w:t>
      </w:r>
    </w:p>
    <w:p w14:paraId="60C02347"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Klinikinių tyrimų metu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buvo gydyti iš viso 509 vaikų populiacijos pacientai nuo 7 iki 17 metų, kuriems buvo diagnozuotas didžiosios depresijos sutrikimas, ir 241 vaikų populiacijos pacientas nuo 7 iki 17 metų, kuriam buvo diagnozuotas </w:t>
      </w:r>
      <w:proofErr w:type="spellStart"/>
      <w:r>
        <w:rPr>
          <w:rFonts w:ascii="Times New Roman" w:eastAsia="Times New Roman" w:hAnsi="Times New Roman" w:cs="Times New Roman"/>
          <w:snapToGrid w:val="0"/>
        </w:rPr>
        <w:t>generalizuoto</w:t>
      </w:r>
      <w:proofErr w:type="spellEnd"/>
      <w:r>
        <w:rPr>
          <w:rFonts w:ascii="Times New Roman" w:eastAsia="Times New Roman" w:hAnsi="Times New Roman" w:cs="Times New Roman"/>
          <w:snapToGrid w:val="0"/>
        </w:rPr>
        <w:t xml:space="preserve"> nerimo sutrikimas. Apskritai, vaikams ir paaugliams pasireiškusių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sukeltų nepageidaujamų reakcijų pobūdis buvo panašus į nustatytąjį suaugusiesiems.</w:t>
      </w:r>
    </w:p>
    <w:p w14:paraId="46164EDB"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0DC0F42"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Iš viso 467 vaikų populiacijos pacientams, kuriems klinikinių tyrimų metu iš pradžių atsitiktinės atrankos būdu buvo paskirtas vartoti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buvo nustatytas 0,1 kg vidutinis kūno masės sumažėjimas 10-ąją savaitę, palyginus su vidutiniu 0,9 kg padidėjimu 353 placebą vartojusiems pacientams. Vėliau, atsižvelgiant į panašių pagal amžių ir lytį asmenų populiacijos duomenis, per nuo keturių iki šešių mėnesių trukmės tęstinio tyrimo laikotarpį vidutiniškai buvo stebėtos pacientų kūno masės atsistatymo iki numatytosios jų pradinės kūno masės </w:t>
      </w:r>
      <w:proofErr w:type="spellStart"/>
      <w:r>
        <w:rPr>
          <w:rFonts w:ascii="Times New Roman" w:eastAsia="Times New Roman" w:hAnsi="Times New Roman" w:cs="Times New Roman"/>
          <w:snapToGrid w:val="0"/>
        </w:rPr>
        <w:t>procentilės</w:t>
      </w:r>
      <w:proofErr w:type="spellEnd"/>
      <w:r>
        <w:rPr>
          <w:rFonts w:ascii="Times New Roman" w:eastAsia="Times New Roman" w:hAnsi="Times New Roman" w:cs="Times New Roman"/>
          <w:snapToGrid w:val="0"/>
        </w:rPr>
        <w:t xml:space="preserve"> tendencijos.</w:t>
      </w:r>
    </w:p>
    <w:p w14:paraId="75423FCC"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99679BC"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Iki 9 mėnesių trukusių tyrimų duomenimis, vaikų populiacijos pacientams bendrai buvo stebėtas vidutinis 1 % ūgio </w:t>
      </w:r>
      <w:proofErr w:type="spellStart"/>
      <w:r>
        <w:rPr>
          <w:rFonts w:ascii="Times New Roman" w:eastAsia="Times New Roman" w:hAnsi="Times New Roman" w:cs="Times New Roman"/>
          <w:snapToGrid w:val="0"/>
        </w:rPr>
        <w:t>procentilės</w:t>
      </w:r>
      <w:proofErr w:type="spellEnd"/>
      <w:r>
        <w:rPr>
          <w:rFonts w:ascii="Times New Roman" w:eastAsia="Times New Roman" w:hAnsi="Times New Roman" w:cs="Times New Roman"/>
          <w:snapToGrid w:val="0"/>
        </w:rPr>
        <w:t xml:space="preserve"> sumažėjimas (2 % sumažėjimas vaikams [7-11 metų] ir 0,3 % padidėjimas paaugliams [12-17 metų]) (žr. 4.4 skyrių).</w:t>
      </w:r>
    </w:p>
    <w:p w14:paraId="6CC8E840" w14:textId="77777777" w:rsidR="007D1CCA" w:rsidRDefault="007D1CCA">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p w14:paraId="7282DFF9" w14:textId="77777777" w:rsidR="007D1CCA" w:rsidRDefault="00A06746">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Pranešimas apie įtariamas nepageidaujamas reakcijas</w:t>
      </w:r>
    </w:p>
    <w:p w14:paraId="21D7560F" w14:textId="0A0E2A4D" w:rsidR="007D1CCA" w:rsidRDefault="00AD0169">
      <w:pPr>
        <w:widowControl w:val="0"/>
        <w:tabs>
          <w:tab w:val="left" w:pos="567"/>
        </w:tabs>
        <w:spacing w:after="0" w:line="240" w:lineRule="auto"/>
        <w:rPr>
          <w:rFonts w:ascii="Times New Roman" w:eastAsia="Times New Roman" w:hAnsi="Times New Roman" w:cs="Times New Roman"/>
          <w:snapToGrid w:val="0"/>
        </w:rPr>
      </w:pPr>
      <w:r w:rsidRPr="00AD0169">
        <w:rPr>
          <w:rFonts w:ascii="Times New Roman" w:eastAsia="Times New Roman" w:hAnsi="Times New Roman" w:cs="Times New Roman"/>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AD0169">
        <w:rPr>
          <w:rFonts w:ascii="Times New Roman" w:eastAsia="Times New Roman" w:hAnsi="Times New Roman" w:cs="Times New Roman"/>
          <w:color w:val="0000EE"/>
          <w:u w:val="single"/>
          <w:lang w:eastAsia="lt-LT"/>
        </w:rPr>
        <w:t>https://vvkt.lrv.lt/lt/</w:t>
      </w:r>
      <w:r w:rsidRPr="00AD0169">
        <w:rPr>
          <w:rFonts w:ascii="Times New Roman" w:eastAsia="Times New Roman" w:hAnsi="Times New Roman" w:cs="Times New Roman"/>
          <w:lang w:eastAsia="lt-LT"/>
        </w:rPr>
        <w:t xml:space="preserve"> nurodytais būdais</w:t>
      </w:r>
      <w:r w:rsidR="00A06746">
        <w:rPr>
          <w:rFonts w:ascii="Times New Roman" w:eastAsia="Calibri" w:hAnsi="Times New Roman" w:cs="Times New Roman"/>
          <w:noProof/>
        </w:rPr>
        <w:t>.</w:t>
      </w:r>
    </w:p>
    <w:p w14:paraId="5D0D4800"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1901DEF"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4.9</w:t>
      </w:r>
      <w:r>
        <w:rPr>
          <w:rFonts w:ascii="Times New Roman" w:eastAsia="Times New Roman" w:hAnsi="Times New Roman" w:cs="Times New Roman"/>
          <w:b/>
          <w:bCs/>
          <w:snapToGrid w:val="0"/>
          <w:lang w:eastAsia="x-none"/>
        </w:rPr>
        <w:tab/>
        <w:t>Perdozavimas</w:t>
      </w:r>
    </w:p>
    <w:p w14:paraId="70D95647"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CCFD6A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Perdozavimo atvejų buvo pacientams, išgėrusiems 5 400 mg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(vieno arba kartu su kitais vaistiniais preparatais) dozę. Keli pacientai mirė, daugiausiai perdozavę kelis medikamentus, tačiau mirties atvejų buvo ir pacientams, išgėrusiems vien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maždaug 1 000 mg jo dozę. Perdozavimo (tiek vien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tiek jo kartu su kitais vaistiniais preparatais) požymiai ir simptomai yra </w:t>
      </w:r>
      <w:proofErr w:type="spellStart"/>
      <w:r>
        <w:rPr>
          <w:rFonts w:ascii="Times New Roman" w:eastAsia="Times New Roman" w:hAnsi="Times New Roman" w:cs="Times New Roman"/>
          <w:snapToGrid w:val="0"/>
        </w:rPr>
        <w:t>somnolencija</w:t>
      </w:r>
      <w:proofErr w:type="spellEnd"/>
      <w:r>
        <w:rPr>
          <w:rFonts w:ascii="Times New Roman" w:eastAsia="Times New Roman" w:hAnsi="Times New Roman" w:cs="Times New Roman"/>
          <w:snapToGrid w:val="0"/>
        </w:rPr>
        <w:t xml:space="preserve">, koma, </w:t>
      </w:r>
      <w:proofErr w:type="spellStart"/>
      <w:r>
        <w:rPr>
          <w:rFonts w:ascii="Times New Roman" w:eastAsia="Times New Roman" w:hAnsi="Times New Roman" w:cs="Times New Roman"/>
          <w:snapToGrid w:val="0"/>
        </w:rPr>
        <w:t>serotoninerginis</w:t>
      </w:r>
      <w:proofErr w:type="spellEnd"/>
      <w:r>
        <w:rPr>
          <w:rFonts w:ascii="Times New Roman" w:eastAsia="Times New Roman" w:hAnsi="Times New Roman" w:cs="Times New Roman"/>
          <w:snapToGrid w:val="0"/>
        </w:rPr>
        <w:t xml:space="preserve"> sindromas, traukuliai, vėmimas ir tachikardija.</w:t>
      </w:r>
    </w:p>
    <w:p w14:paraId="2C6BB8D7"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B9ECB99"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Specifinis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priešnuodis nežinomas. tačiau pasireiškus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sindromui, specifinis gydymas (pvz., </w:t>
      </w:r>
      <w:proofErr w:type="spellStart"/>
      <w:r>
        <w:rPr>
          <w:rFonts w:ascii="Times New Roman" w:eastAsia="Times New Roman" w:hAnsi="Times New Roman" w:cs="Times New Roman"/>
          <w:snapToGrid w:val="0"/>
        </w:rPr>
        <w:t>ciproheptadinu</w:t>
      </w:r>
      <w:proofErr w:type="spellEnd"/>
      <w:r>
        <w:rPr>
          <w:rFonts w:ascii="Times New Roman" w:eastAsia="Times New Roman" w:hAnsi="Times New Roman" w:cs="Times New Roman"/>
          <w:snapToGrid w:val="0"/>
        </w:rPr>
        <w:t xml:space="preserve"> ir (arba) temperatūros reguliavimu) galimas. Reikia užtikrinti kvėpavimo takų praeinamumą. Rekomenduojama pastoviai tikrinti širdies veiklą ir gyvybines funkcijas kartu taikant atitinkamą simptominį ir palaikomąjį gydymą. Skrandžio plovimas gali būti naudingas, jeigu jis atliekamas netrukus po vaisto išgėrimo arba tuo atveju, jeigu pacientui pasireiškia simptomai. Gali padėti aktyvinta anglis, nes ji sumažina absorbciją.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pasiskirstymo tūris </w:t>
      </w:r>
      <w:r>
        <w:rPr>
          <w:rFonts w:ascii="Times New Roman" w:eastAsia="Times New Roman" w:hAnsi="Times New Roman" w:cs="Times New Roman"/>
          <w:snapToGrid w:val="0"/>
        </w:rPr>
        <w:lastRenderedPageBreak/>
        <w:t xml:space="preserve">yra didelis, todėl mažai tikėtina, kad būtų naudinga forsuota diurezė, </w:t>
      </w:r>
      <w:proofErr w:type="spellStart"/>
      <w:r>
        <w:rPr>
          <w:rFonts w:ascii="Times New Roman" w:eastAsia="Times New Roman" w:hAnsi="Times New Roman" w:cs="Times New Roman"/>
          <w:snapToGrid w:val="0"/>
        </w:rPr>
        <w:t>hemoperfuzija</w:t>
      </w:r>
      <w:proofErr w:type="spellEnd"/>
      <w:r>
        <w:rPr>
          <w:rFonts w:ascii="Times New Roman" w:eastAsia="Times New Roman" w:hAnsi="Times New Roman" w:cs="Times New Roman"/>
          <w:snapToGrid w:val="0"/>
        </w:rPr>
        <w:t xml:space="preserve"> ir pakeičiamoji </w:t>
      </w:r>
      <w:proofErr w:type="spellStart"/>
      <w:r>
        <w:rPr>
          <w:rFonts w:ascii="Times New Roman" w:eastAsia="Times New Roman" w:hAnsi="Times New Roman" w:cs="Times New Roman"/>
          <w:snapToGrid w:val="0"/>
        </w:rPr>
        <w:t>perfuzija</w:t>
      </w:r>
      <w:proofErr w:type="spellEnd"/>
      <w:r>
        <w:rPr>
          <w:rFonts w:ascii="Times New Roman" w:eastAsia="Times New Roman" w:hAnsi="Times New Roman" w:cs="Times New Roman"/>
          <w:snapToGrid w:val="0"/>
        </w:rPr>
        <w:t>.</w:t>
      </w:r>
    </w:p>
    <w:p w14:paraId="55F58EF6"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87A602A"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9C7FB35" w14:textId="77777777" w:rsidR="007D1CCA" w:rsidRDefault="00A06746">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5.</w:t>
      </w:r>
      <w:r>
        <w:rPr>
          <w:rFonts w:ascii="Times New Roman" w:eastAsia="Times New Roman" w:hAnsi="Times New Roman" w:cs="Times New Roman"/>
          <w:b/>
          <w:bCs/>
          <w:snapToGrid w:val="0"/>
          <w:lang w:eastAsia="x-none"/>
        </w:rPr>
        <w:tab/>
        <w:t>FARMAKOLOGINĖS SAVYBĖS</w:t>
      </w:r>
    </w:p>
    <w:p w14:paraId="27FCF2D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DFC68F0"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5.1</w:t>
      </w:r>
      <w:r>
        <w:rPr>
          <w:rFonts w:ascii="Times New Roman" w:eastAsia="Times New Roman" w:hAnsi="Times New Roman" w:cs="Times New Roman"/>
          <w:b/>
          <w:bCs/>
          <w:snapToGrid w:val="0"/>
          <w:lang w:eastAsia="x-none"/>
        </w:rPr>
        <w:tab/>
      </w:r>
      <w:proofErr w:type="spellStart"/>
      <w:r>
        <w:rPr>
          <w:rFonts w:ascii="Times New Roman" w:eastAsia="Times New Roman" w:hAnsi="Times New Roman" w:cs="Times New Roman"/>
          <w:b/>
          <w:bCs/>
          <w:snapToGrid w:val="0"/>
          <w:lang w:eastAsia="x-none"/>
        </w:rPr>
        <w:t>Farmakodinaminės</w:t>
      </w:r>
      <w:proofErr w:type="spellEnd"/>
      <w:r>
        <w:rPr>
          <w:rFonts w:ascii="Times New Roman" w:eastAsia="Times New Roman" w:hAnsi="Times New Roman" w:cs="Times New Roman"/>
          <w:b/>
          <w:bCs/>
          <w:snapToGrid w:val="0"/>
          <w:lang w:eastAsia="x-none"/>
        </w:rPr>
        <w:t xml:space="preserve"> savybės</w:t>
      </w:r>
    </w:p>
    <w:p w14:paraId="47528253" w14:textId="77777777" w:rsidR="007D1CCA" w:rsidRDefault="007D1CCA">
      <w:pPr>
        <w:widowControl w:val="0"/>
        <w:tabs>
          <w:tab w:val="left" w:pos="567"/>
        </w:tabs>
        <w:autoSpaceDE w:val="0"/>
        <w:autoSpaceDN w:val="0"/>
        <w:adjustRightInd w:val="0"/>
        <w:spacing w:after="0" w:line="240" w:lineRule="auto"/>
        <w:ind w:left="2"/>
        <w:rPr>
          <w:rFonts w:ascii="Times New Roman" w:eastAsia="Times New Roman" w:hAnsi="Times New Roman" w:cs="Times New Roman"/>
          <w:snapToGrid w:val="0"/>
        </w:rPr>
      </w:pPr>
    </w:p>
    <w:p w14:paraId="435E7A67"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Farmakoterapinė</w:t>
      </w:r>
      <w:proofErr w:type="spellEnd"/>
      <w:r>
        <w:rPr>
          <w:rFonts w:ascii="Times New Roman" w:eastAsia="Times New Roman" w:hAnsi="Times New Roman" w:cs="Times New Roman"/>
          <w:snapToGrid w:val="0"/>
        </w:rPr>
        <w:t xml:space="preserve"> grupė – kiti antidepresantai, ATC kodas – N06AX21.</w:t>
      </w:r>
    </w:p>
    <w:p w14:paraId="1A8A8980"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FC9C34C"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iCs/>
          <w:snapToGrid w:val="0"/>
          <w:u w:val="single"/>
        </w:rPr>
        <w:t>Veikimo mechanizmas</w:t>
      </w:r>
    </w:p>
    <w:p w14:paraId="0A56259C"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yra jungtinis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(5-HT) ir </w:t>
      </w:r>
      <w:proofErr w:type="spellStart"/>
      <w:r>
        <w:rPr>
          <w:rFonts w:ascii="Times New Roman" w:eastAsia="Times New Roman" w:hAnsi="Times New Roman" w:cs="Times New Roman"/>
          <w:snapToGrid w:val="0"/>
        </w:rPr>
        <w:t>noradrenalino</w:t>
      </w:r>
      <w:proofErr w:type="spellEnd"/>
      <w:r>
        <w:rPr>
          <w:rFonts w:ascii="Times New Roman" w:eastAsia="Times New Roman" w:hAnsi="Times New Roman" w:cs="Times New Roman"/>
          <w:snapToGrid w:val="0"/>
        </w:rPr>
        <w:t xml:space="preserve"> (NA) reabsorbcijos inhibitorius. Jis silpnai slopina dopamino reabsorbciją ir neturi stipraus </w:t>
      </w:r>
      <w:proofErr w:type="spellStart"/>
      <w:r>
        <w:rPr>
          <w:rFonts w:ascii="Times New Roman" w:eastAsia="Times New Roman" w:hAnsi="Times New Roman" w:cs="Times New Roman"/>
          <w:snapToGrid w:val="0"/>
        </w:rPr>
        <w:t>afiniteto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histaminerginiams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dopaminerginiams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cholinerginiams</w:t>
      </w:r>
      <w:proofErr w:type="spellEnd"/>
      <w:r>
        <w:rPr>
          <w:rFonts w:ascii="Times New Roman" w:eastAsia="Times New Roman" w:hAnsi="Times New Roman" w:cs="Times New Roman"/>
          <w:snapToGrid w:val="0"/>
        </w:rPr>
        <w:t xml:space="preserve"> ir </w:t>
      </w:r>
      <w:proofErr w:type="spellStart"/>
      <w:r>
        <w:rPr>
          <w:rFonts w:ascii="Times New Roman" w:eastAsia="Times New Roman" w:hAnsi="Times New Roman" w:cs="Times New Roman"/>
          <w:snapToGrid w:val="0"/>
        </w:rPr>
        <w:t>adrenerginiams</w:t>
      </w:r>
      <w:proofErr w:type="spellEnd"/>
      <w:r>
        <w:rPr>
          <w:rFonts w:ascii="Times New Roman" w:eastAsia="Times New Roman" w:hAnsi="Times New Roman" w:cs="Times New Roman"/>
          <w:snapToGrid w:val="0"/>
        </w:rPr>
        <w:t xml:space="preserve"> receptoriams.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priklausomai nuo dozės padidina </w:t>
      </w:r>
      <w:proofErr w:type="spellStart"/>
      <w:r>
        <w:rPr>
          <w:rFonts w:ascii="Times New Roman" w:eastAsia="Times New Roman" w:hAnsi="Times New Roman" w:cs="Times New Roman"/>
          <w:snapToGrid w:val="0"/>
        </w:rPr>
        <w:t>ekstraląstelinio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ir </w:t>
      </w:r>
      <w:proofErr w:type="spellStart"/>
      <w:r>
        <w:rPr>
          <w:rFonts w:ascii="Times New Roman" w:eastAsia="Times New Roman" w:hAnsi="Times New Roman" w:cs="Times New Roman"/>
          <w:snapToGrid w:val="0"/>
        </w:rPr>
        <w:t>noradrenalino</w:t>
      </w:r>
      <w:proofErr w:type="spellEnd"/>
      <w:r>
        <w:rPr>
          <w:rFonts w:ascii="Times New Roman" w:eastAsia="Times New Roman" w:hAnsi="Times New Roman" w:cs="Times New Roman"/>
          <w:snapToGrid w:val="0"/>
        </w:rPr>
        <w:t xml:space="preserve"> kiekį įvairiose gyvūnų smegenų srityse.</w:t>
      </w:r>
    </w:p>
    <w:p w14:paraId="25ED93D6"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64D3B21"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proofErr w:type="spellStart"/>
      <w:r>
        <w:rPr>
          <w:rFonts w:ascii="Times New Roman" w:eastAsia="Times New Roman" w:hAnsi="Times New Roman" w:cs="Times New Roman"/>
          <w:iCs/>
          <w:snapToGrid w:val="0"/>
          <w:u w:val="single"/>
        </w:rPr>
        <w:t>Farmakodinaminis</w:t>
      </w:r>
      <w:proofErr w:type="spellEnd"/>
      <w:r>
        <w:rPr>
          <w:rFonts w:ascii="Times New Roman" w:eastAsia="Times New Roman" w:hAnsi="Times New Roman" w:cs="Times New Roman"/>
          <w:iCs/>
          <w:snapToGrid w:val="0"/>
          <w:u w:val="single"/>
        </w:rPr>
        <w:t xml:space="preserve"> poveikis</w:t>
      </w:r>
    </w:p>
    <w:p w14:paraId="7BE23847"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Keliuose </w:t>
      </w:r>
      <w:proofErr w:type="spellStart"/>
      <w:r>
        <w:rPr>
          <w:rFonts w:ascii="Times New Roman" w:eastAsia="Times New Roman" w:hAnsi="Times New Roman" w:cs="Times New Roman"/>
          <w:snapToGrid w:val="0"/>
        </w:rPr>
        <w:t>ikiklinikiniuose</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neuropatinio</w:t>
      </w:r>
      <w:proofErr w:type="spellEnd"/>
      <w:r>
        <w:rPr>
          <w:rFonts w:ascii="Times New Roman" w:eastAsia="Times New Roman" w:hAnsi="Times New Roman" w:cs="Times New Roman"/>
          <w:snapToGrid w:val="0"/>
        </w:rPr>
        <w:t xml:space="preserve"> ir uždegiminio skausmo modeliuose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normalizavo skausmo jutimo slenkstį, o nuolatinio skausmo modelyje susilpnino reakciją į skausmą. Manoma, kad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slopina skausmą sustiprindamas nusileidžiančiųjų skausmo slopinimo grandžių veikimą centrinėje nervų sistemoje.</w:t>
      </w:r>
    </w:p>
    <w:p w14:paraId="3095ED16"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2B5310C"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iCs/>
          <w:snapToGrid w:val="0"/>
          <w:u w:val="single"/>
        </w:rPr>
        <w:t>Klinikinis efektyvumas ir saugumas</w:t>
      </w:r>
    </w:p>
    <w:p w14:paraId="7C275AD8"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 xml:space="preserve">Didžiosios depresijos sutrikimas.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buvo tirtas klinikinės programos metu, apimančios</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3 158 pacientus (1 285 pacientų metų ekspozicija), atitinkantį didžiosios depresijos pagal DSM-IV kriterijus. Rekomenduojamos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60 mg vieną kartą per parą dozės veiksmingumas buvo patvirtintas trijų iš trijų atsitiktinių imčių, dvigubai aklų, placebu kontroliuojamų, fiksuotos dozės ūmių klinikinių tyrimų metu su suaugusiais ambulatoriškai gydomais didžiąja depresija sergančiais pacientais. Bendrai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60–120 mg per parą dozės veiksmingumas buvo patvirtintas penkių iš septynių atsitiktinių imčių, dvigubai aklų, placebu kontroliuojamų, fiksuotos dozės ūmių klinikinių tyrimų metu su suaugusiais ambulatoriškai gydomais didžiąja depresija sergančiais pacientais.</w:t>
      </w:r>
    </w:p>
    <w:p w14:paraId="0CD5073C"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3834F74"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Galutiniai 17 dalių Hamiltono depresijos vertinimo skalės (HAM-D) rezultatai (įskaitant tiek emocinius, tiek somatinius depresijos simptomus) parodė, kad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yra statistiškai pranašesnis už placebą. Terapinio atsako ir remisijų dažnis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grupėje taip pat buvo statistiškai žymiai aukštesnis nei placebo. Tik nedidelė dalyvavusių pagrindiniame klinikiniame tyrime pacientų dalis sirgo sunkia depresija (bazinis HAM - D &gt; 25).</w:t>
      </w:r>
    </w:p>
    <w:p w14:paraId="3F8BF9FF"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80271D7"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Atkryčio prevencijos klinikinių tyrimų metu pacientai, kuriems 12 savaičių ūmus gydymas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60 mg vieną kartą per parą buvo veiksmingas, toliau buvo gydomi 6 mėnesius atsitiktinių imčių būdu skiriant arba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60 mg vieną kartą per parą arba placebo.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60 mg vieną kartą per parą buvo statistiškai žymiai pranašesnis už placebą (p = 0,004) pirminių depresijos atkryčio vertinimų metu, vertinant laiką iki atkryčio. Atkryčio dažnis per 6 dvigubai aklo stebėjimo mėnesius buvo 17 % ir 29 % atitinkamai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ir </w:t>
      </w:r>
      <w:proofErr w:type="spellStart"/>
      <w:r>
        <w:rPr>
          <w:rFonts w:ascii="Times New Roman" w:eastAsia="Times New Roman" w:hAnsi="Times New Roman" w:cs="Times New Roman"/>
          <w:snapToGrid w:val="0"/>
        </w:rPr>
        <w:t>placebo</w:t>
      </w:r>
      <w:proofErr w:type="spellEnd"/>
      <w:r>
        <w:rPr>
          <w:rFonts w:ascii="Times New Roman" w:eastAsia="Times New Roman" w:hAnsi="Times New Roman" w:cs="Times New Roman"/>
          <w:snapToGrid w:val="0"/>
        </w:rPr>
        <w:t xml:space="preserve"> grupėje.</w:t>
      </w:r>
    </w:p>
    <w:p w14:paraId="10D64CE1"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8500C50"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52 savaičių placebu kontroliuojamo dvigubai aklo gydymo metu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gydytiems pacientams, kuriems didžiosios depresijos sutrikimas pasikartojo, laikotarpis be simptomų buvo reikšmingai ilgesnis, negu atsitiktinių imčių būdu atrinktiems pacientams, kurie buvo gydyti placebu (p &lt;0,001). Visiems pacientams gydymas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anksčiau buvo veiksmingas − atviru būdu atliekamo gydymo (28-34savaičių) 60-120 mg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paros doze metu. 52 savaičių placebu kontroliuojamo dvigubai aklo gydymo fazės metu depresijos simptomai atsinaujino 14,4 % pacientų, gydomų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ir 33,1 % pacientų, gydomų placebu (p &lt; 0,001).</w:t>
      </w:r>
    </w:p>
    <w:p w14:paraId="01F511D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1BAF2A0"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60 mg vieną kartą per parą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veiksmingumas depresija sergantiems senyviems pacientams (≥ 65 metų) buvo specifiškai ištirtas klinikinio tyrimo metu. Tyrimas parodė statistiškai reikšmingą skirtumą mažinant HAMD17 rezultatus tarp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ir </w:t>
      </w:r>
      <w:proofErr w:type="spellStart"/>
      <w:r>
        <w:rPr>
          <w:rFonts w:ascii="Times New Roman" w:eastAsia="Times New Roman" w:hAnsi="Times New Roman" w:cs="Times New Roman"/>
          <w:snapToGrid w:val="0"/>
        </w:rPr>
        <w:t>placebu</w:t>
      </w:r>
      <w:proofErr w:type="spellEnd"/>
      <w:r>
        <w:rPr>
          <w:rFonts w:ascii="Times New Roman" w:eastAsia="Times New Roman" w:hAnsi="Times New Roman" w:cs="Times New Roman"/>
          <w:snapToGrid w:val="0"/>
        </w:rPr>
        <w:t xml:space="preserve"> gydytų pacientų. 60 mg vieną kartą per parą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buvo toleruojama senyvų pacientų panašiai kaip jaunesnių suaugusiųjų. Tačiau </w:t>
      </w:r>
      <w:r>
        <w:rPr>
          <w:rFonts w:ascii="Times New Roman" w:eastAsia="Times New Roman" w:hAnsi="Times New Roman" w:cs="Times New Roman"/>
          <w:snapToGrid w:val="0"/>
        </w:rPr>
        <w:lastRenderedPageBreak/>
        <w:t xml:space="preserve">senyvų pacientų gydymo maksimaliomis (120 mg per parą)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dozėmis patirtis ribota, todėl gydant šios populiacijos grupės pacientus reikia paisyti atsargumo priemonių.</w:t>
      </w:r>
    </w:p>
    <w:p w14:paraId="6BFAA576"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9AA9FB3"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i/>
          <w:iCs/>
          <w:snapToGrid w:val="0"/>
        </w:rPr>
        <w:t>Generalizuoto</w:t>
      </w:r>
      <w:proofErr w:type="spellEnd"/>
      <w:r>
        <w:rPr>
          <w:rFonts w:ascii="Times New Roman" w:eastAsia="Times New Roman" w:hAnsi="Times New Roman" w:cs="Times New Roman"/>
          <w:i/>
          <w:iCs/>
          <w:snapToGrid w:val="0"/>
        </w:rPr>
        <w:t xml:space="preserve"> nerimo sutrikimas. </w:t>
      </w:r>
      <w:r>
        <w:rPr>
          <w:rFonts w:ascii="Times New Roman" w:eastAsia="Times New Roman" w:hAnsi="Times New Roman" w:cs="Times New Roman"/>
          <w:snapToGrid w:val="0"/>
        </w:rPr>
        <w:t>Penkių iš penkių atliktų tyrimų, įskaitant keturis atsitiktinių imčių</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dvigubai aklus placebu kontroliuojamus ūminės fazės tyrimus ir recidyvo profilaktikos tyrimą su suaugusiais pacientais, sergančiais </w:t>
      </w:r>
      <w:proofErr w:type="spellStart"/>
      <w:r>
        <w:rPr>
          <w:rFonts w:ascii="Times New Roman" w:eastAsia="Times New Roman" w:hAnsi="Times New Roman" w:cs="Times New Roman"/>
          <w:snapToGrid w:val="0"/>
        </w:rPr>
        <w:t>generalizuoto</w:t>
      </w:r>
      <w:proofErr w:type="spellEnd"/>
      <w:r>
        <w:rPr>
          <w:rFonts w:ascii="Times New Roman" w:eastAsia="Times New Roman" w:hAnsi="Times New Roman" w:cs="Times New Roman"/>
          <w:snapToGrid w:val="0"/>
        </w:rPr>
        <w:t xml:space="preserve"> nerimo sutrikimu, metu gydymas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buvo statistiškai reikšmingai pranašesnis už gydymą placebu.</w:t>
      </w:r>
    </w:p>
    <w:p w14:paraId="71BD4501"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Gydymas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buvo statistiškai reikšmingai pranašesnis už gydymą placebu, atsižvelgiant į bendrus Hamiltono depresijos vertinimo skalės (angl. HAM-A) balus ir </w:t>
      </w:r>
      <w:proofErr w:type="spellStart"/>
      <w:r>
        <w:rPr>
          <w:rFonts w:ascii="Times New Roman" w:eastAsia="Times New Roman" w:hAnsi="Times New Roman" w:cs="Times New Roman"/>
          <w:snapToGrid w:val="0"/>
        </w:rPr>
        <w:t>Sheeham</w:t>
      </w:r>
      <w:proofErr w:type="spellEnd"/>
      <w:r>
        <w:rPr>
          <w:rFonts w:ascii="Times New Roman" w:eastAsia="Times New Roman" w:hAnsi="Times New Roman" w:cs="Times New Roman"/>
          <w:snapToGrid w:val="0"/>
        </w:rPr>
        <w:t xml:space="preserve"> neįgalumo vertinimo skalės (angl., SDS) funkcijos sutrikimo balus. Atsako ir remisijos dažnis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gydytiems pacientams irgi buvo didesnis, negu vartojusiems placebo. Atsižvelgiant į HAM-A balų pagerėjimą,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veiksmingumas buvo lygintinas su </w:t>
      </w:r>
      <w:proofErr w:type="spellStart"/>
      <w:r>
        <w:rPr>
          <w:rFonts w:ascii="Times New Roman" w:eastAsia="Times New Roman" w:hAnsi="Times New Roman" w:cs="Times New Roman"/>
          <w:snapToGrid w:val="0"/>
        </w:rPr>
        <w:t>venlafaksino</w:t>
      </w:r>
      <w:proofErr w:type="spellEnd"/>
      <w:r>
        <w:rPr>
          <w:rFonts w:ascii="Times New Roman" w:eastAsia="Times New Roman" w:hAnsi="Times New Roman" w:cs="Times New Roman"/>
          <w:snapToGrid w:val="0"/>
        </w:rPr>
        <w:t>.</w:t>
      </w:r>
    </w:p>
    <w:p w14:paraId="050D334C"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675AED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Pacientai, kurie recidyvo profilaktikos tyrimo, atlikto atviru būdų, metu reagavo į 6 mėn. ūminės fazės gydymą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atsitiktinių imčių būdu buvo suskirstyti į grupes tolesnius 6 mėn. vartoti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arba </w:t>
      </w:r>
      <w:proofErr w:type="spellStart"/>
      <w:r>
        <w:rPr>
          <w:rFonts w:ascii="Times New Roman" w:eastAsia="Times New Roman" w:hAnsi="Times New Roman" w:cs="Times New Roman"/>
          <w:snapToGrid w:val="0"/>
        </w:rPr>
        <w:t>placebo</w:t>
      </w:r>
      <w:proofErr w:type="spellEnd"/>
      <w:r>
        <w:rPr>
          <w:rFonts w:ascii="Times New Roman" w:eastAsia="Times New Roman" w:hAnsi="Times New Roman" w:cs="Times New Roman"/>
          <w:snapToGrid w:val="0"/>
        </w:rPr>
        <w:t xml:space="preserve">. Recidyvo profilaktikai, atsižvelgiant į laiką iki recidyvo, gydymas kartą per parą geriama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60-120 mg doze buvo statistikai reikšmingai pranašesnis už gydymą placebu (p &lt; 0,001). 6 mėn. sekimo dvigubai aklu būdu laikotarpiu recidyvo dažnis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vartojusiems pacientams buvo 14 %, vartojusiems placebo – 42 %.</w:t>
      </w:r>
    </w:p>
    <w:p w14:paraId="4BC266B2"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BEA91A7"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30-120 mg dozių (lanksčių dozių), vartojamų vieną kartą per parą senyviems pacientams (&gt; 65 metų), veiksmingumas gydant </w:t>
      </w:r>
      <w:proofErr w:type="spellStart"/>
      <w:r>
        <w:rPr>
          <w:rFonts w:ascii="Times New Roman" w:eastAsia="Times New Roman" w:hAnsi="Times New Roman" w:cs="Times New Roman"/>
          <w:snapToGrid w:val="0"/>
        </w:rPr>
        <w:t>generalizuoto</w:t>
      </w:r>
      <w:proofErr w:type="spellEnd"/>
      <w:r>
        <w:rPr>
          <w:rFonts w:ascii="Times New Roman" w:eastAsia="Times New Roman" w:hAnsi="Times New Roman" w:cs="Times New Roman"/>
          <w:snapToGrid w:val="0"/>
        </w:rPr>
        <w:t xml:space="preserve"> nerimo sutrikimą buvo įvertintas atlikus tyrimą, kuris parodė statistiškai reikšmingą HAM-A bendrojo balo pagerėjimą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gydytiems pacientams, palyginus su placebą vartojusiais pacientais.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30-120 mg dozių, vartojamų vieną kartą per parą gydant senyvus pacientus, kuriems yra diagnozuotas </w:t>
      </w:r>
      <w:proofErr w:type="spellStart"/>
      <w:r>
        <w:rPr>
          <w:rFonts w:ascii="Times New Roman" w:eastAsia="Times New Roman" w:hAnsi="Times New Roman" w:cs="Times New Roman"/>
          <w:snapToGrid w:val="0"/>
        </w:rPr>
        <w:t>generalizuoto</w:t>
      </w:r>
      <w:proofErr w:type="spellEnd"/>
      <w:r>
        <w:rPr>
          <w:rFonts w:ascii="Times New Roman" w:eastAsia="Times New Roman" w:hAnsi="Times New Roman" w:cs="Times New Roman"/>
          <w:snapToGrid w:val="0"/>
        </w:rPr>
        <w:t xml:space="preserve"> nerimo sutrikimas, veiksmingumas ir saugumas buvo panašus į jaunesnių suaugusių pacientų tyrimų duomenis. Vis dėlto yra mažai duomenų apie senyvus pacientus, kurie vartojo didžiausią dozę (120 mg per parą), ir todėl šia doze gydyti senyvų žmonių populiacijos pacientus rekomenduojama atsargiai.</w:t>
      </w:r>
    </w:p>
    <w:p w14:paraId="70E2AF72"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371AB50"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 xml:space="preserve">Diabetinės periferinės neuropatijos sukeltas skausmas.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veiksmingumas gydant skausmą</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dėl diabetinės neuropatijos buvo patvirtintas dvejų atsitiktinių imčių, 12 savaičių trukmės, dvigubai aklų, placebu kontroliuojamų, fiksuotos dozės klinikinių tyrimų metu su suaugusiais (nuo 22 iki 88 metų) pacientais, kuriems skausmas dėl diabetinės neuropatijos truko mažiausiai 6 mėnesius. Pacientai, atitikę didžiosios depresijos diagnozės kriterijus, šiuose tyrimuose nedalyvavo. Pagrindinis poveikio vertinimo kriterijus buvo 24 valandų vidutinio skausmo savaitinis dydis, apskaičiuojamas iš dienoraščio, kuriame pacientai kasdien pažymėdavo skausmo stiprumą pagal 11 dalių </w:t>
      </w:r>
      <w:proofErr w:type="spellStart"/>
      <w:r>
        <w:rPr>
          <w:rFonts w:ascii="Times New Roman" w:eastAsia="Times New Roman" w:hAnsi="Times New Roman" w:cs="Times New Roman"/>
          <w:snapToGrid w:val="0"/>
        </w:rPr>
        <w:t>Likert</w:t>
      </w:r>
      <w:proofErr w:type="spellEnd"/>
      <w:r>
        <w:rPr>
          <w:rFonts w:ascii="Times New Roman" w:eastAsia="Times New Roman" w:hAnsi="Times New Roman" w:cs="Times New Roman"/>
          <w:snapToGrid w:val="0"/>
        </w:rPr>
        <w:t xml:space="preserve"> skalę.</w:t>
      </w:r>
    </w:p>
    <w:p w14:paraId="7AC6027C"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95A5AD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Abiejų klinikinių tyrimų metu 60 mg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vieną kartą per parą ir 60 mg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du kartus per parą dozė ženkliai sumažino skausmą lyginant su placebu. Kai kuriems pacientams poveikis atsirado pirmąją gydymo savaitę. Vidutinio pagerėjimo skirtumas tarp dviejų aktyvaus gydymo grupių buvo nežymus. Skausmo sumažėjimas mažiausiai 30 % buvo užfiksuotas maždaug 65 %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gydytų pacientų, lyginant su 40 % vartojusių placebo. Skausmo sumažėjimas mažiausiai 50 % buvo užfiksuotas atitinkamai 50 % ir 26 %. Klinikinio atsako dydis (50 % ar didesnis skausmo sumažėjimas) buvo analizuojamas atsižvelgiant į tai, ar pacientas gydymo metu buvo mieguistas. Nepatyrusių mieguistumo grupėje klinikinis atsakas buvo 47 %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gydytiems pacientams ir 27 % vartojusiems placebo. Patyrusių mieguistumą grupėje klinikinis atsakas buvo 60 %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gydytiems pacientams ir 30 % vartojusiems placebo. Pacientams, kuriems per 60 gydymo dienų skausmo sumažėjimas nepasiekė 30 %, mažai tikėtina, kad tolimesnis gydymas sumažins skausmą iki šio lygio.</w:t>
      </w:r>
    </w:p>
    <w:p w14:paraId="3A5CA807"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FA6E2EC"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Atviru būdu atliekamo ilgalaikio tyrimo metu pacientams, reagavusiems į ūminį 8 savaičių trukmės gydymą kartą per parą vartojama 60 mg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doze, skausmo mažinimas, atsižvelgiant į trumpos skausmo vertinimo lentelės (angl., BPI) vidutinio 24 valandų skausmo stiprumo įverčio pokytį, buvo palaikomas ir tolesnio 6 mėn. trukmės gydymo metu.</w:t>
      </w:r>
    </w:p>
    <w:p w14:paraId="105C2B10"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AECC88C"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iCs/>
          <w:snapToGrid w:val="0"/>
          <w:u w:val="single"/>
        </w:rPr>
        <w:t>Vaikų populiacija</w:t>
      </w:r>
    </w:p>
    <w:p w14:paraId="28D6847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lastRenderedPageBreak/>
        <w:t>Duloksetino</w:t>
      </w:r>
      <w:proofErr w:type="spellEnd"/>
      <w:r>
        <w:rPr>
          <w:rFonts w:ascii="Times New Roman" w:eastAsia="Times New Roman" w:hAnsi="Times New Roman" w:cs="Times New Roman"/>
          <w:snapToGrid w:val="0"/>
        </w:rPr>
        <w:t xml:space="preserve"> tyrimų su jaunesniais kaip 7 metų pacientais neatlikta. Buvo atlikti du atsitiktinių imčių dvigubai koduoti lygiagrečių grupių klinikiniai tyrimai, kuriuose dalyvavo 800 vaikų populiacijos 7-17 metų pacientų, kuriems buvo diagnozuotas DDS (žr. 4.2 skyrių). Šie du tyrimai apėmė 10 savaičių trukmės placebu ir veikliuoju vaistiniu preparatu (</w:t>
      </w:r>
      <w:proofErr w:type="spellStart"/>
      <w:r>
        <w:rPr>
          <w:rFonts w:ascii="Times New Roman" w:eastAsia="Times New Roman" w:hAnsi="Times New Roman" w:cs="Times New Roman"/>
          <w:snapToGrid w:val="0"/>
        </w:rPr>
        <w:t>fluoksetinu</w:t>
      </w:r>
      <w:proofErr w:type="spellEnd"/>
      <w:r>
        <w:rPr>
          <w:rFonts w:ascii="Times New Roman" w:eastAsia="Times New Roman" w:hAnsi="Times New Roman" w:cs="Times New Roman"/>
          <w:snapToGrid w:val="0"/>
        </w:rPr>
        <w:t xml:space="preserve">) kontroliuojamąją ūminės būklės gydymo fazę, po kurios buvo šešių mėnesių trukmės veikliuoju preparatu kontroliuojamojo tęstinio gydymo fazė. Atsižvelgiant į bendrųjų balų pagal peržiūrėtą vaikų depresijos įvertinimo skalę (angl., </w:t>
      </w:r>
      <w:proofErr w:type="spellStart"/>
      <w:r>
        <w:rPr>
          <w:rFonts w:ascii="Times New Roman" w:eastAsia="Times New Roman" w:hAnsi="Times New Roman" w:cs="Times New Roman"/>
          <w:i/>
          <w:iCs/>
          <w:snapToGrid w:val="0"/>
        </w:rPr>
        <w:t>the</w:t>
      </w:r>
      <w:proofErr w:type="spellEnd"/>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i/>
          <w:iCs/>
          <w:snapToGrid w:val="0"/>
        </w:rPr>
        <w:t>Children‘s</w:t>
      </w:r>
      <w:proofErr w:type="spellEnd"/>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i/>
          <w:iCs/>
          <w:snapToGrid w:val="0"/>
        </w:rPr>
        <w:t>Depression</w:t>
      </w:r>
      <w:proofErr w:type="spellEnd"/>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i/>
          <w:iCs/>
          <w:snapToGrid w:val="0"/>
        </w:rPr>
        <w:t>Rating</w:t>
      </w:r>
      <w:proofErr w:type="spellEnd"/>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i/>
          <w:iCs/>
          <w:snapToGrid w:val="0"/>
        </w:rPr>
        <w:t>Scale-revised</w:t>
      </w:r>
      <w:proofErr w:type="spellEnd"/>
      <w:r>
        <w:rPr>
          <w:rFonts w:ascii="Times New Roman" w:eastAsia="Times New Roman" w:hAnsi="Times New Roman" w:cs="Times New Roman"/>
          <w:i/>
          <w:iCs/>
          <w:snapToGrid w:val="0"/>
        </w:rPr>
        <w:t xml:space="preserve"> [CDRS-R]</w:t>
      </w:r>
      <w:r>
        <w:rPr>
          <w:rFonts w:ascii="Times New Roman" w:eastAsia="Times New Roman" w:hAnsi="Times New Roman" w:cs="Times New Roman"/>
          <w:snapToGrid w:val="0"/>
        </w:rPr>
        <w:t xml:space="preserve">) pokytį nuo pradinių reikšmių, nei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(30-120 mg), nei kontrolinėje, kurioje buvo vartotas veiklusis palyginamasis vaistinis preparatas (20-40 mg </w:t>
      </w:r>
      <w:proofErr w:type="spellStart"/>
      <w:r>
        <w:rPr>
          <w:rFonts w:ascii="Times New Roman" w:eastAsia="Times New Roman" w:hAnsi="Times New Roman" w:cs="Times New Roman"/>
          <w:snapToGrid w:val="0"/>
        </w:rPr>
        <w:t>fluoksetino</w:t>
      </w:r>
      <w:proofErr w:type="spellEnd"/>
      <w:r>
        <w:rPr>
          <w:rFonts w:ascii="Times New Roman" w:eastAsia="Times New Roman" w:hAnsi="Times New Roman" w:cs="Times New Roman"/>
          <w:snapToGrid w:val="0"/>
        </w:rPr>
        <w:t xml:space="preserve"> dozė), grupėje pokyčiai vertinamosios baigties metu statistiškai reikšmingai nesiskyrė nuo placebo. Vaistinio preparato vartojimą dėl nepageidaujamų reiškinių, daugiausia dėl pykinimo, dažniau nutraukė pacientai, vartoję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nei gydyti </w:t>
      </w:r>
      <w:proofErr w:type="spellStart"/>
      <w:r>
        <w:rPr>
          <w:rFonts w:ascii="Times New Roman" w:eastAsia="Times New Roman" w:hAnsi="Times New Roman" w:cs="Times New Roman"/>
          <w:snapToGrid w:val="0"/>
        </w:rPr>
        <w:t>fluoksetinu</w:t>
      </w:r>
      <w:proofErr w:type="spellEnd"/>
      <w:r>
        <w:rPr>
          <w:rFonts w:ascii="Times New Roman" w:eastAsia="Times New Roman" w:hAnsi="Times New Roman" w:cs="Times New Roman"/>
          <w:snapToGrid w:val="0"/>
        </w:rPr>
        <w:t>. 10 savaičių trukmės ūminės būklės gydymo laikotarpiu buvo gauta pranešimų apie su savižudybe siejamo elgesio atvejus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grupėje – 0 iš 333 [0 %], </w:t>
      </w:r>
      <w:proofErr w:type="spellStart"/>
      <w:r>
        <w:rPr>
          <w:rFonts w:ascii="Times New Roman" w:eastAsia="Times New Roman" w:hAnsi="Times New Roman" w:cs="Times New Roman"/>
          <w:snapToGrid w:val="0"/>
        </w:rPr>
        <w:t>fluoksetino</w:t>
      </w:r>
      <w:proofErr w:type="spellEnd"/>
      <w:r>
        <w:rPr>
          <w:rFonts w:ascii="Times New Roman" w:eastAsia="Times New Roman" w:hAnsi="Times New Roman" w:cs="Times New Roman"/>
          <w:snapToGrid w:val="0"/>
        </w:rPr>
        <w:t xml:space="preserve"> grupėje – 2 iš 225 [0,9 %] ir placebo grupėje 1 iš 220 [0,5 %]). Per visą 36 savaičių trukmės tyrimo laikotarpį 6 iš 333 pacientų, kuriems iš pradžių atsitiktiniu būdu buvo paskirtas gydymas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ir 3 iš 225 pacientų, kuriems iš pradžių atsitiktiniu būdu buvo paskirtas gydymas </w:t>
      </w:r>
      <w:proofErr w:type="spellStart"/>
      <w:r>
        <w:rPr>
          <w:rFonts w:ascii="Times New Roman" w:eastAsia="Times New Roman" w:hAnsi="Times New Roman" w:cs="Times New Roman"/>
          <w:snapToGrid w:val="0"/>
        </w:rPr>
        <w:t>fluoksetinu</w:t>
      </w:r>
      <w:proofErr w:type="spellEnd"/>
      <w:r>
        <w:rPr>
          <w:rFonts w:ascii="Times New Roman" w:eastAsia="Times New Roman" w:hAnsi="Times New Roman" w:cs="Times New Roman"/>
          <w:snapToGrid w:val="0"/>
        </w:rPr>
        <w:t xml:space="preserve">, pasireiškė su savižudybe siejamas elgesys (dažnį koregavus pagal ekspoziciją, buvo nustatyta 0,039 atvejo paciento metams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grupėje ir 0,026 atvejo paciento metams </w:t>
      </w:r>
      <w:proofErr w:type="spellStart"/>
      <w:r>
        <w:rPr>
          <w:rFonts w:ascii="Times New Roman" w:eastAsia="Times New Roman" w:hAnsi="Times New Roman" w:cs="Times New Roman"/>
          <w:snapToGrid w:val="0"/>
        </w:rPr>
        <w:t>fluoksetino</w:t>
      </w:r>
      <w:proofErr w:type="spellEnd"/>
      <w:r>
        <w:rPr>
          <w:rFonts w:ascii="Times New Roman" w:eastAsia="Times New Roman" w:hAnsi="Times New Roman" w:cs="Times New Roman"/>
          <w:snapToGrid w:val="0"/>
        </w:rPr>
        <w:t xml:space="preserve"> grupėje). Be to, vienam pacientui, kuriam vietoje </w:t>
      </w:r>
      <w:proofErr w:type="spellStart"/>
      <w:r>
        <w:rPr>
          <w:rFonts w:ascii="Times New Roman" w:eastAsia="Times New Roman" w:hAnsi="Times New Roman" w:cs="Times New Roman"/>
          <w:snapToGrid w:val="0"/>
        </w:rPr>
        <w:t>placebo</w:t>
      </w:r>
      <w:proofErr w:type="spellEnd"/>
      <w:r>
        <w:rPr>
          <w:rFonts w:ascii="Times New Roman" w:eastAsia="Times New Roman" w:hAnsi="Times New Roman" w:cs="Times New Roman"/>
          <w:snapToGrid w:val="0"/>
        </w:rPr>
        <w:t xml:space="preserve"> buvo paskirtas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pasireiškė su savižudybe siejamas elgesys vartojant </w:t>
      </w:r>
      <w:proofErr w:type="spellStart"/>
      <w:r>
        <w:rPr>
          <w:rFonts w:ascii="Times New Roman" w:eastAsia="Times New Roman" w:hAnsi="Times New Roman" w:cs="Times New Roman"/>
          <w:snapToGrid w:val="0"/>
        </w:rPr>
        <w:t>duloksetiną</w:t>
      </w:r>
      <w:proofErr w:type="spellEnd"/>
      <w:r>
        <w:rPr>
          <w:rFonts w:ascii="Times New Roman" w:eastAsia="Times New Roman" w:hAnsi="Times New Roman" w:cs="Times New Roman"/>
          <w:snapToGrid w:val="0"/>
        </w:rPr>
        <w:t>.</w:t>
      </w:r>
    </w:p>
    <w:p w14:paraId="48A5A340"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574A10C"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Atsitiktinių imčių dvigubai koduotame placebu kontroliuojamame tyrime dalyvavo 272 nuo 7 iki 17 metų pacientai, kuriems pasireiškė </w:t>
      </w:r>
      <w:proofErr w:type="spellStart"/>
      <w:r>
        <w:rPr>
          <w:rFonts w:ascii="Times New Roman" w:eastAsia="Times New Roman" w:hAnsi="Times New Roman" w:cs="Times New Roman"/>
          <w:snapToGrid w:val="0"/>
        </w:rPr>
        <w:t>generalizuoto</w:t>
      </w:r>
      <w:proofErr w:type="spellEnd"/>
      <w:r>
        <w:rPr>
          <w:rFonts w:ascii="Times New Roman" w:eastAsia="Times New Roman" w:hAnsi="Times New Roman" w:cs="Times New Roman"/>
          <w:snapToGrid w:val="0"/>
        </w:rPr>
        <w:t xml:space="preserve"> nerimo sutrikimas. Šiame tyrime buvo 10 savaičių placebu kontroliuojama ūminės būklės gydymo fazė, po kurios buvo 18 savaičių trukmės tęstinio gydymo fazė. Šiame tyrime buvo naudojamas lanksčių dozių planas, kad dozę nuo 30 mg vieną kartą per parą būtų galima lėtai padidinti iki didesnių dozių (didžiausia dozė 120 mg vieną kartą per parą). Gydant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buvo pasiektas statistiškai reikšmingai didesnis GNS simptomų palengvėjimas, atsižvelgiant į GNS sunkumo balą pagal vaikų populiacijos pacientų nerimo vertinimo skalę (angl., </w:t>
      </w:r>
      <w:proofErr w:type="spellStart"/>
      <w:r>
        <w:rPr>
          <w:rFonts w:ascii="Times New Roman" w:eastAsia="Times New Roman" w:hAnsi="Times New Roman" w:cs="Times New Roman"/>
          <w:i/>
          <w:iCs/>
          <w:snapToGrid w:val="0"/>
        </w:rPr>
        <w:t>the</w:t>
      </w:r>
      <w:proofErr w:type="spellEnd"/>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i/>
          <w:iCs/>
          <w:snapToGrid w:val="0"/>
        </w:rPr>
        <w:t>paediatric</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i/>
          <w:iCs/>
          <w:snapToGrid w:val="0"/>
        </w:rPr>
        <w:t>anxiety</w:t>
      </w:r>
      <w:proofErr w:type="spellEnd"/>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i/>
          <w:iCs/>
          <w:snapToGrid w:val="0"/>
        </w:rPr>
        <w:t>rating</w:t>
      </w:r>
      <w:proofErr w:type="spellEnd"/>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i/>
          <w:iCs/>
          <w:snapToGrid w:val="0"/>
        </w:rPr>
        <w:t>scale</w:t>
      </w:r>
      <w:proofErr w:type="spellEnd"/>
      <w:r>
        <w:rPr>
          <w:rFonts w:ascii="Times New Roman" w:eastAsia="Times New Roman" w:hAnsi="Times New Roman" w:cs="Times New Roman"/>
          <w:i/>
          <w:iCs/>
          <w:snapToGrid w:val="0"/>
        </w:rPr>
        <w:t xml:space="preserve"> [PARS]</w:t>
      </w:r>
      <w:r>
        <w:rPr>
          <w:rFonts w:ascii="Times New Roman" w:eastAsia="Times New Roman" w:hAnsi="Times New Roman" w:cs="Times New Roman"/>
          <w:snapToGrid w:val="0"/>
        </w:rPr>
        <w:t>) po 10 gydymo</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savaičių</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(vidutinis 2,7 balų</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skirtumas [95 % PI 1,3-4,0],</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lyginant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ir </w:t>
      </w:r>
      <w:proofErr w:type="spellStart"/>
      <w:r>
        <w:rPr>
          <w:rFonts w:ascii="Times New Roman" w:eastAsia="Times New Roman" w:hAnsi="Times New Roman" w:cs="Times New Roman"/>
          <w:snapToGrid w:val="0"/>
        </w:rPr>
        <w:t>placebo</w:t>
      </w:r>
      <w:proofErr w:type="spellEnd"/>
      <w:r>
        <w:rPr>
          <w:rFonts w:ascii="Times New Roman" w:eastAsia="Times New Roman" w:hAnsi="Times New Roman" w:cs="Times New Roman"/>
          <w:snapToGrid w:val="0"/>
        </w:rPr>
        <w:t xml:space="preserve"> vartojusiųjų grupes). Šio poveikio išlikimas nebuvo įvertintas. Statistiškai reikšmingų tiriamųjų vaistinių preparatų vartojimo nutraukimo dėl nepageidaujamų reiškinių pasireiškimo skirtumų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ir </w:t>
      </w:r>
      <w:proofErr w:type="spellStart"/>
      <w:r>
        <w:rPr>
          <w:rFonts w:ascii="Times New Roman" w:eastAsia="Times New Roman" w:hAnsi="Times New Roman" w:cs="Times New Roman"/>
          <w:snapToGrid w:val="0"/>
        </w:rPr>
        <w:t>placebo</w:t>
      </w:r>
      <w:proofErr w:type="spellEnd"/>
      <w:r>
        <w:rPr>
          <w:rFonts w:ascii="Times New Roman" w:eastAsia="Times New Roman" w:hAnsi="Times New Roman" w:cs="Times New Roman"/>
          <w:snapToGrid w:val="0"/>
        </w:rPr>
        <w:t xml:space="preserve"> vartojusiųjų grupėse per 10 savaičių ūminės būklės gydymo fazę nebuvo. Dviem pacientams, kurie vietoje </w:t>
      </w:r>
      <w:proofErr w:type="spellStart"/>
      <w:r>
        <w:rPr>
          <w:rFonts w:ascii="Times New Roman" w:eastAsia="Times New Roman" w:hAnsi="Times New Roman" w:cs="Times New Roman"/>
          <w:snapToGrid w:val="0"/>
        </w:rPr>
        <w:t>placebo</w:t>
      </w:r>
      <w:proofErr w:type="spellEnd"/>
      <w:r>
        <w:rPr>
          <w:rFonts w:ascii="Times New Roman" w:eastAsia="Times New Roman" w:hAnsi="Times New Roman" w:cs="Times New Roman"/>
          <w:snapToGrid w:val="0"/>
        </w:rPr>
        <w:t xml:space="preserve"> pradėjo vartoti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po ūminės būklės gydymo fazės, pasireiškė savižudiškas elgesys, vartojant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tęstinio gydymo fazės metu. Bendrojo naudos ir rizikos santykio įvertinimo šioje amžiaus grupėje išvada nepateikta (taip pat žr. 4.2 ir 4.8 skyrius).</w:t>
      </w:r>
    </w:p>
    <w:p w14:paraId="3653182F"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CD3A036" w14:textId="77777777" w:rsidR="007D1CCA" w:rsidRDefault="00A06746">
      <w:pPr>
        <w:widowControl w:val="0"/>
        <w:tabs>
          <w:tab w:val="left" w:pos="567"/>
        </w:tabs>
        <w:rPr>
          <w:rFonts w:ascii="Times New Roman" w:eastAsia="Times New Roman" w:hAnsi="Times New Roman" w:cs="Times New Roman"/>
          <w:snapToGrid w:val="0"/>
        </w:rPr>
      </w:pPr>
      <w:r>
        <w:rPr>
          <w:rFonts w:ascii="Times New Roman" w:eastAsia="Times New Roman" w:hAnsi="Times New Roman" w:cs="Times New Roman"/>
          <w:snapToGrid w:val="0"/>
        </w:rPr>
        <w:t xml:space="preserve">Buvo atliktas atskiras tyrimas, kuriame dalyvavo vaikai, sergantys jaunatviniu pirminiu </w:t>
      </w:r>
      <w:proofErr w:type="spellStart"/>
      <w:r>
        <w:rPr>
          <w:rFonts w:ascii="Times New Roman" w:eastAsia="Times New Roman" w:hAnsi="Times New Roman" w:cs="Times New Roman"/>
          <w:snapToGrid w:val="0"/>
        </w:rPr>
        <w:t>fibromialgijos</w:t>
      </w:r>
      <w:proofErr w:type="spellEnd"/>
      <w:r>
        <w:rPr>
          <w:rFonts w:ascii="Times New Roman" w:eastAsia="Times New Roman" w:hAnsi="Times New Roman" w:cs="Times New Roman"/>
          <w:snapToGrid w:val="0"/>
        </w:rPr>
        <w:t xml:space="preserve"> sindromu (JPFS), ir tyrimo duomenimis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gydytos grupės rezultatai nesiskyrė nuo placebo grupės analizuojant pagrindinę veiksmingumo vertinamąją baigtį. Todėl veiksmingumo įrodymų šioje vaikų populiacijos grupėje nėra. Be to, buvo atliktas atsitiktinių imčių, dvigubai koduotas, placebu kontroliuojamas, lygiagrečių grupių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tyrimas, kuriame dalyvavo 184 paaugliai nuo 13 iki 18 metų (vidutinis amžius 15,53 metų) sergantys JPFS. Šį tyrimą sudarė 13 savaičių trukmės dvigubai koduotas laikotarpis, kai pacientai buvo atsitiktinai suskirstyti į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30 mg/60 mg per parą ar placebo vartojimo grupes. Nebuvo nustatyta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veiksmingumo mažinant skausmą, vertinant pagal pagrindinę vertinamąją baigtį, t. y., pagal Trumposios skausmo vertinimo skalės (angl. </w:t>
      </w:r>
      <w:proofErr w:type="spellStart"/>
      <w:r>
        <w:rPr>
          <w:rFonts w:ascii="Times New Roman" w:eastAsia="Times New Roman" w:hAnsi="Times New Roman" w:cs="Times New Roman"/>
          <w:snapToGrid w:val="0"/>
        </w:rPr>
        <w:t>Brief</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Pain</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Inventory</w:t>
      </w:r>
      <w:proofErr w:type="spellEnd"/>
      <w:r>
        <w:rPr>
          <w:rFonts w:ascii="Times New Roman" w:eastAsia="Times New Roman" w:hAnsi="Times New Roman" w:cs="Times New Roman"/>
          <w:snapToGrid w:val="0"/>
        </w:rPr>
        <w:t xml:space="preserve"> – BPI) vidutinį skausmo įverčio balą: BPI skalės vidutinio skausmo įverčio balo mažiausiųjų kvadratų (angl. </w:t>
      </w:r>
      <w:proofErr w:type="spellStart"/>
      <w:r>
        <w:rPr>
          <w:rFonts w:ascii="Times New Roman" w:eastAsia="Times New Roman" w:hAnsi="Times New Roman" w:cs="Times New Roman"/>
          <w:snapToGrid w:val="0"/>
        </w:rPr>
        <w:t>least</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squares</w:t>
      </w:r>
      <w:proofErr w:type="spellEnd"/>
      <w:r>
        <w:rPr>
          <w:rFonts w:ascii="Times New Roman" w:eastAsia="Times New Roman" w:hAnsi="Times New Roman" w:cs="Times New Roman"/>
          <w:snapToGrid w:val="0"/>
        </w:rPr>
        <w:t xml:space="preserve"> – LS) vidutinis pokytis nuo pradinių reikšmių iki 13-osios savaitės buvo -0,97 placebo grupėje, palyginti su -1,62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30 mg/60 mg vartojusiųjų grupėje (p = 0,052). Šio tyrimo metu gauti saugumo rezultatai atitiko žinomas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saugumo savybes.</w:t>
      </w:r>
    </w:p>
    <w:p w14:paraId="4DB608F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B83B5CA"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Europos vaistų agentūra atleido nuo įsipareigojimo pateikti didžiosios depresijos sutrikimo, diabetinės neuropatijos sukelto skausmo ar </w:t>
      </w:r>
      <w:proofErr w:type="spellStart"/>
      <w:r>
        <w:rPr>
          <w:rFonts w:ascii="Times New Roman" w:eastAsia="Times New Roman" w:hAnsi="Times New Roman" w:cs="Times New Roman"/>
          <w:snapToGrid w:val="0"/>
        </w:rPr>
        <w:t>generalizuoto</w:t>
      </w:r>
      <w:proofErr w:type="spellEnd"/>
      <w:r>
        <w:rPr>
          <w:rFonts w:ascii="Times New Roman" w:eastAsia="Times New Roman" w:hAnsi="Times New Roman" w:cs="Times New Roman"/>
          <w:snapToGrid w:val="0"/>
        </w:rPr>
        <w:t xml:space="preserve"> nerimo sutrikimo gydymo </w:t>
      </w:r>
      <w:proofErr w:type="spellStart"/>
      <w:r>
        <w:rPr>
          <w:rFonts w:ascii="Times New Roman" w:eastAsia="Times New Roman" w:hAnsi="Times New Roman" w:cs="Times New Roman"/>
          <w:snapToGrid w:val="0"/>
        </w:rPr>
        <w:t>duloksetinu</w:t>
      </w:r>
      <w:proofErr w:type="spellEnd"/>
      <w:r>
        <w:rPr>
          <w:rFonts w:ascii="Times New Roman" w:eastAsia="Times New Roman" w:hAnsi="Times New Roman" w:cs="Times New Roman"/>
          <w:snapToGrid w:val="0"/>
        </w:rPr>
        <w:t xml:space="preserve"> tyrimų su visais vaikų populiacijos pogrupiais duomenis (vartojimo vaikams informacija pateikiama 4.2 skyriuje).</w:t>
      </w:r>
    </w:p>
    <w:p w14:paraId="66E1E517"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31E93FA"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5.2</w:t>
      </w:r>
      <w:r>
        <w:rPr>
          <w:rFonts w:ascii="Times New Roman" w:eastAsia="Times New Roman" w:hAnsi="Times New Roman" w:cs="Times New Roman"/>
          <w:b/>
          <w:bCs/>
          <w:snapToGrid w:val="0"/>
          <w:lang w:eastAsia="x-none"/>
        </w:rPr>
        <w:tab/>
      </w:r>
      <w:proofErr w:type="spellStart"/>
      <w:r>
        <w:rPr>
          <w:rFonts w:ascii="Times New Roman" w:eastAsia="Times New Roman" w:hAnsi="Times New Roman" w:cs="Times New Roman"/>
          <w:b/>
          <w:bCs/>
          <w:snapToGrid w:val="0"/>
          <w:lang w:eastAsia="x-none"/>
        </w:rPr>
        <w:t>Farmakokinetinės</w:t>
      </w:r>
      <w:proofErr w:type="spellEnd"/>
      <w:r>
        <w:rPr>
          <w:rFonts w:ascii="Times New Roman" w:eastAsia="Times New Roman" w:hAnsi="Times New Roman" w:cs="Times New Roman"/>
          <w:b/>
          <w:bCs/>
          <w:snapToGrid w:val="0"/>
          <w:lang w:eastAsia="x-none"/>
        </w:rPr>
        <w:t xml:space="preserve"> savybės</w:t>
      </w:r>
    </w:p>
    <w:p w14:paraId="471F9185" w14:textId="77777777" w:rsidR="007D1CCA" w:rsidRDefault="007D1CCA">
      <w:pPr>
        <w:widowControl w:val="0"/>
        <w:spacing w:after="0" w:line="240" w:lineRule="auto"/>
        <w:rPr>
          <w:rFonts w:ascii="Times New Roman" w:eastAsia="Times New Roman" w:hAnsi="Times New Roman" w:cs="Times New Roman"/>
          <w:snapToGrid w:val="0"/>
        </w:rPr>
      </w:pPr>
    </w:p>
    <w:p w14:paraId="211E81E6"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vartojamas kaip atskiras </w:t>
      </w:r>
      <w:proofErr w:type="spellStart"/>
      <w:r>
        <w:rPr>
          <w:rFonts w:ascii="Times New Roman" w:eastAsia="Times New Roman" w:hAnsi="Times New Roman" w:cs="Times New Roman"/>
          <w:snapToGrid w:val="0"/>
        </w:rPr>
        <w:t>enantiomeras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smarkiai </w:t>
      </w:r>
      <w:proofErr w:type="spellStart"/>
      <w:r>
        <w:rPr>
          <w:rFonts w:ascii="Times New Roman" w:eastAsia="Times New Roman" w:hAnsi="Times New Roman" w:cs="Times New Roman"/>
          <w:snapToGrid w:val="0"/>
        </w:rPr>
        <w:t>metabolizuojamas</w:t>
      </w:r>
      <w:proofErr w:type="spellEnd"/>
      <w:r>
        <w:rPr>
          <w:rFonts w:ascii="Times New Roman" w:eastAsia="Times New Roman" w:hAnsi="Times New Roman" w:cs="Times New Roman"/>
          <w:snapToGrid w:val="0"/>
        </w:rPr>
        <w:t xml:space="preserve"> oksiduojančių fermentų (CYP1A2 ir </w:t>
      </w:r>
      <w:proofErr w:type="spellStart"/>
      <w:r>
        <w:rPr>
          <w:rFonts w:ascii="Times New Roman" w:eastAsia="Times New Roman" w:hAnsi="Times New Roman" w:cs="Times New Roman"/>
          <w:snapToGrid w:val="0"/>
        </w:rPr>
        <w:t>polimorfinio</w:t>
      </w:r>
      <w:proofErr w:type="spellEnd"/>
      <w:r>
        <w:rPr>
          <w:rFonts w:ascii="Times New Roman" w:eastAsia="Times New Roman" w:hAnsi="Times New Roman" w:cs="Times New Roman"/>
          <w:snapToGrid w:val="0"/>
        </w:rPr>
        <w:t xml:space="preserve"> CYP2D6), vėliau </w:t>
      </w:r>
      <w:proofErr w:type="spellStart"/>
      <w:r>
        <w:rPr>
          <w:rFonts w:ascii="Times New Roman" w:eastAsia="Times New Roman" w:hAnsi="Times New Roman" w:cs="Times New Roman"/>
          <w:snapToGrid w:val="0"/>
        </w:rPr>
        <w:t>konjuguojamas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farmakokinetikai</w:t>
      </w:r>
      <w:proofErr w:type="spellEnd"/>
      <w:r>
        <w:rPr>
          <w:rFonts w:ascii="Times New Roman" w:eastAsia="Times New Roman" w:hAnsi="Times New Roman" w:cs="Times New Roman"/>
          <w:snapToGrid w:val="0"/>
        </w:rPr>
        <w:t xml:space="preserve"> būdingas labai didelis kintamumas tarp tiriamųjų (bendrai 50-60 %), iš dalies dėl lyties, amžiaus, rūkymo ir CYP2D6 aktyvumo būklės.</w:t>
      </w:r>
    </w:p>
    <w:p w14:paraId="2A6A1239"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249DAFD"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Cs/>
          <w:snapToGrid w:val="0"/>
          <w:u w:val="single"/>
        </w:rPr>
        <w:t>Absorbcija.</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Išgertas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yra gerai rezorbuojamas, preparato išgėrus</w:t>
      </w:r>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i/>
          <w:iCs/>
          <w:snapToGrid w:val="0"/>
        </w:rPr>
        <w:t>C</w:t>
      </w:r>
      <w:r>
        <w:rPr>
          <w:rFonts w:ascii="Times New Roman" w:eastAsia="Times New Roman" w:hAnsi="Times New Roman" w:cs="Times New Roman"/>
          <w:i/>
          <w:iCs/>
          <w:snapToGrid w:val="0"/>
          <w:vertAlign w:val="subscript"/>
        </w:rPr>
        <w:t>max</w:t>
      </w:r>
      <w:proofErr w:type="spellEnd"/>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susidaro po 6 valandų.</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Absoliutus geriamojo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biologinis pasisavinimas svyruoja nuo 32 % iki 80 % (vidurkis 50 %). Dėl maisto vartojimo pailgėja (nuo 6 iki 10 valandų) laikas, per kurį susidaro didžiausia koncentracija ir nedaug sumažėja </w:t>
      </w:r>
      <w:proofErr w:type="spellStart"/>
      <w:r>
        <w:rPr>
          <w:rFonts w:ascii="Times New Roman" w:eastAsia="Times New Roman" w:hAnsi="Times New Roman" w:cs="Times New Roman"/>
          <w:snapToGrid w:val="0"/>
        </w:rPr>
        <w:t>rezorbcijos</w:t>
      </w:r>
      <w:proofErr w:type="spellEnd"/>
      <w:r>
        <w:rPr>
          <w:rFonts w:ascii="Times New Roman" w:eastAsia="Times New Roman" w:hAnsi="Times New Roman" w:cs="Times New Roman"/>
          <w:snapToGrid w:val="0"/>
        </w:rPr>
        <w:t xml:space="preserve"> apimtis (maždaug 11 %). Šie pokyčiai neturi jokios klinikinės reikšmės.</w:t>
      </w:r>
    </w:p>
    <w:p w14:paraId="2663044A"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Cs/>
          <w:snapToGrid w:val="0"/>
        </w:rPr>
        <w:t>Pasiskirstymas.</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Maždaug 96 %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susijungia su žmogaus plazmos baltymais.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jungiasi tiek su </w:t>
      </w:r>
      <w:proofErr w:type="spellStart"/>
      <w:r>
        <w:rPr>
          <w:rFonts w:ascii="Times New Roman" w:eastAsia="Times New Roman" w:hAnsi="Times New Roman" w:cs="Times New Roman"/>
          <w:snapToGrid w:val="0"/>
        </w:rPr>
        <w:t>albuminu</w:t>
      </w:r>
      <w:proofErr w:type="spellEnd"/>
      <w:r>
        <w:rPr>
          <w:rFonts w:ascii="Times New Roman" w:eastAsia="Times New Roman" w:hAnsi="Times New Roman" w:cs="Times New Roman"/>
          <w:snapToGrid w:val="0"/>
        </w:rPr>
        <w:t>, tiek su rūgščiuoju α-1 </w:t>
      </w:r>
      <w:proofErr w:type="spellStart"/>
      <w:r>
        <w:rPr>
          <w:rFonts w:ascii="Times New Roman" w:eastAsia="Times New Roman" w:hAnsi="Times New Roman" w:cs="Times New Roman"/>
          <w:snapToGrid w:val="0"/>
        </w:rPr>
        <w:t>glikoproteinu</w:t>
      </w:r>
      <w:proofErr w:type="spellEnd"/>
      <w:r>
        <w:rPr>
          <w:rFonts w:ascii="Times New Roman" w:eastAsia="Times New Roman" w:hAnsi="Times New Roman" w:cs="Times New Roman"/>
          <w:snapToGrid w:val="0"/>
        </w:rPr>
        <w:t>. Inkstų ar kepenų funkcijos sutrikimas neįtakoja jungimosi su baltymais.</w:t>
      </w:r>
    </w:p>
    <w:p w14:paraId="3FA83F55"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4927F6A"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iCs/>
          <w:snapToGrid w:val="0"/>
          <w:u w:val="single"/>
        </w:rPr>
        <w:t>Biotransformacija</w:t>
      </w:r>
      <w:proofErr w:type="spellEnd"/>
      <w:r>
        <w:rPr>
          <w:rFonts w:ascii="Times New Roman" w:eastAsia="Times New Roman" w:hAnsi="Times New Roman" w:cs="Times New Roman"/>
          <w:snapToGrid w:val="0"/>
          <w:u w:val="single"/>
        </w:rPr>
        <w:t xml:space="preserve">.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smarkiai </w:t>
      </w:r>
      <w:proofErr w:type="spellStart"/>
      <w:r>
        <w:rPr>
          <w:rFonts w:ascii="Times New Roman" w:eastAsia="Times New Roman" w:hAnsi="Times New Roman" w:cs="Times New Roman"/>
          <w:snapToGrid w:val="0"/>
        </w:rPr>
        <w:t>metabolizuojamas</w:t>
      </w:r>
      <w:proofErr w:type="spellEnd"/>
      <w:r>
        <w:rPr>
          <w:rFonts w:ascii="Times New Roman" w:eastAsia="Times New Roman" w:hAnsi="Times New Roman" w:cs="Times New Roman"/>
          <w:snapToGrid w:val="0"/>
        </w:rPr>
        <w:t>, o metabolitai pašalinami daugiausia su</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šlapimu. Abu </w:t>
      </w:r>
      <w:proofErr w:type="spellStart"/>
      <w:r>
        <w:rPr>
          <w:rFonts w:ascii="Times New Roman" w:eastAsia="Times New Roman" w:hAnsi="Times New Roman" w:cs="Times New Roman"/>
          <w:snapToGrid w:val="0"/>
        </w:rPr>
        <w:t>citochromai</w:t>
      </w:r>
      <w:proofErr w:type="spellEnd"/>
      <w:r>
        <w:rPr>
          <w:rFonts w:ascii="Times New Roman" w:eastAsia="Times New Roman" w:hAnsi="Times New Roman" w:cs="Times New Roman"/>
          <w:snapToGrid w:val="0"/>
        </w:rPr>
        <w:t xml:space="preserve"> P450-2D6 ir 1A2 katalizuoja dviejų pagrindinių metabolitų – 4-hidroksiduloksetino </w:t>
      </w:r>
      <w:proofErr w:type="spellStart"/>
      <w:r>
        <w:rPr>
          <w:rFonts w:ascii="Times New Roman" w:eastAsia="Times New Roman" w:hAnsi="Times New Roman" w:cs="Times New Roman"/>
          <w:snapToGrid w:val="0"/>
        </w:rPr>
        <w:t>gliukuronido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konjugato</w:t>
      </w:r>
      <w:proofErr w:type="spellEnd"/>
      <w:r>
        <w:rPr>
          <w:rFonts w:ascii="Times New Roman" w:eastAsia="Times New Roman" w:hAnsi="Times New Roman" w:cs="Times New Roman"/>
          <w:snapToGrid w:val="0"/>
        </w:rPr>
        <w:t xml:space="preserve"> ir 5-hidroksi, 6-metoksiduloksetino sulfato </w:t>
      </w:r>
      <w:proofErr w:type="spellStart"/>
      <w:r>
        <w:rPr>
          <w:rFonts w:ascii="Times New Roman" w:eastAsia="Times New Roman" w:hAnsi="Times New Roman" w:cs="Times New Roman"/>
          <w:snapToGrid w:val="0"/>
        </w:rPr>
        <w:t>konjugato</w:t>
      </w:r>
      <w:proofErr w:type="spellEnd"/>
      <w:r>
        <w:rPr>
          <w:rFonts w:ascii="Times New Roman" w:eastAsia="Times New Roman" w:hAnsi="Times New Roman" w:cs="Times New Roman"/>
          <w:snapToGrid w:val="0"/>
        </w:rPr>
        <w:t xml:space="preserve"> – susidarymą. Remiantis </w:t>
      </w:r>
      <w:proofErr w:type="spellStart"/>
      <w:r>
        <w:rPr>
          <w:rFonts w:ascii="Times New Roman" w:eastAsia="Times New Roman" w:hAnsi="Times New Roman" w:cs="Times New Roman"/>
          <w:i/>
          <w:iCs/>
          <w:snapToGrid w:val="0"/>
        </w:rPr>
        <w:t>in</w:t>
      </w:r>
      <w:proofErr w:type="spellEnd"/>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i/>
          <w:iCs/>
          <w:snapToGrid w:val="0"/>
        </w:rPr>
        <w:t>vitro</w:t>
      </w:r>
      <w:proofErr w:type="spellEnd"/>
      <w:r>
        <w:rPr>
          <w:rFonts w:ascii="Times New Roman" w:eastAsia="Times New Roman" w:hAnsi="Times New Roman" w:cs="Times New Roman"/>
          <w:snapToGrid w:val="0"/>
        </w:rPr>
        <w:t xml:space="preserve"> tyrimais, cirkuliuojantys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metabolitai yra farmakologiškai neveiklūs.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farmakokinetika</w:t>
      </w:r>
      <w:proofErr w:type="spellEnd"/>
      <w:r>
        <w:rPr>
          <w:rFonts w:ascii="Times New Roman" w:eastAsia="Times New Roman" w:hAnsi="Times New Roman" w:cs="Times New Roman"/>
          <w:snapToGrid w:val="0"/>
        </w:rPr>
        <w:t xml:space="preserve"> pacientams, kurių CYP2D6 aktyvumas sumažėjęs, nebuvo specialiai tirta. Ribotas duomenų kiekis leidžia manyti, kad šių pacientų kraujo plazmoje susidaro didesnė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koncentracija.</w:t>
      </w:r>
    </w:p>
    <w:p w14:paraId="732ECFAF"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5E26608"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Cs/>
          <w:snapToGrid w:val="0"/>
          <w:u w:val="single"/>
        </w:rPr>
        <w:t>Eliminacija</w:t>
      </w:r>
      <w:r>
        <w:rPr>
          <w:rFonts w:ascii="Times New Roman" w:eastAsia="Times New Roman" w:hAnsi="Times New Roman" w:cs="Times New Roman"/>
          <w:snapToGrid w:val="0"/>
          <w:u w:val="single"/>
        </w:rPr>
        <w:t xml:space="preserve">. </w:t>
      </w:r>
      <w:r>
        <w:rPr>
          <w:rFonts w:ascii="Times New Roman" w:eastAsia="Times New Roman" w:hAnsi="Times New Roman" w:cs="Times New Roman"/>
          <w:snapToGrid w:val="0"/>
        </w:rPr>
        <w:t xml:space="preserve">Išgerto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pusinės eliminacijos laikas svyruoja nuo 8 iki 17 valandų (vidurkis 12 valandų). Suleidus į veną,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plazmos klirensas svyruoja nuo 22 l/val. iki 46 l/val. (vidurkis 36 l/val.). Išgėrus vaisto,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plazmos klirensas yra 33-261 l/val. (vidurkis 101 l/val.).</w:t>
      </w:r>
    </w:p>
    <w:p w14:paraId="39712BAE" w14:textId="77777777" w:rsidR="007D1CCA" w:rsidRDefault="007D1CCA">
      <w:pPr>
        <w:widowControl w:val="0"/>
        <w:tabs>
          <w:tab w:val="left" w:pos="567"/>
        </w:tabs>
        <w:spacing w:after="0" w:line="240" w:lineRule="auto"/>
        <w:rPr>
          <w:rFonts w:ascii="Times New Roman" w:eastAsia="Times New Roman" w:hAnsi="Times New Roman" w:cs="Times New Roman"/>
          <w:i/>
          <w:iCs/>
          <w:snapToGrid w:val="0"/>
        </w:rPr>
      </w:pPr>
    </w:p>
    <w:p w14:paraId="45A585D5" w14:textId="77777777" w:rsidR="007D1CCA" w:rsidRDefault="00A06746">
      <w:pPr>
        <w:widowControl w:val="0"/>
        <w:tabs>
          <w:tab w:val="left" w:pos="567"/>
        </w:tabs>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iCs/>
          <w:snapToGrid w:val="0"/>
          <w:u w:val="single"/>
        </w:rPr>
        <w:t>Specialių grupių pacientai</w:t>
      </w:r>
    </w:p>
    <w:p w14:paraId="7A0C0B20"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 xml:space="preserve">Lytis. </w:t>
      </w:r>
      <w:r>
        <w:rPr>
          <w:rFonts w:ascii="Times New Roman" w:eastAsia="Times New Roman" w:hAnsi="Times New Roman" w:cs="Times New Roman"/>
          <w:snapToGrid w:val="0"/>
        </w:rPr>
        <w:t>Nustatyta, kad</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vyrų ir moterų organizme farmakokinetika skiriasi: moterų kraujo plazmoje klirensas</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yra maždaug 50 % mažesnis). Remiantis daliniu klirenso sutapimu, dėl nuo lyties priklausomų farmakokinetikos skirtumų nėra pagrindo rekomenduoti moterims mažinti dozę.</w:t>
      </w:r>
    </w:p>
    <w:p w14:paraId="3B13C728"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0CC1F2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 xml:space="preserve">Amžius. </w:t>
      </w:r>
      <w:r>
        <w:rPr>
          <w:rFonts w:ascii="Times New Roman" w:eastAsia="Times New Roman" w:hAnsi="Times New Roman" w:cs="Times New Roman"/>
          <w:snapToGrid w:val="0"/>
        </w:rPr>
        <w:t>Buvo nustatyta skirtumų tarp jaunesnių ir vyresnio amžiaus (≥</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65 metų) moterų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snapToGrid w:val="0"/>
        </w:rPr>
        <w:t>farmakokinetikos</w:t>
      </w:r>
      <w:proofErr w:type="spellEnd"/>
      <w:r>
        <w:rPr>
          <w:rFonts w:ascii="Times New Roman" w:eastAsia="Times New Roman" w:hAnsi="Times New Roman" w:cs="Times New Roman"/>
          <w:snapToGrid w:val="0"/>
        </w:rPr>
        <w:t xml:space="preserve"> (vyresniųjų moterų </w:t>
      </w:r>
      <w:r>
        <w:rPr>
          <w:rFonts w:ascii="Times New Roman" w:eastAsia="Times New Roman" w:hAnsi="Times New Roman" w:cs="Times New Roman"/>
          <w:i/>
          <w:iCs/>
          <w:snapToGrid w:val="0"/>
        </w:rPr>
        <w:t>AUC</w:t>
      </w:r>
      <w:r>
        <w:rPr>
          <w:rFonts w:ascii="Times New Roman" w:eastAsia="Times New Roman" w:hAnsi="Times New Roman" w:cs="Times New Roman"/>
          <w:snapToGrid w:val="0"/>
        </w:rPr>
        <w:t xml:space="preserve"> yra maždaug 25 % didesnis, o pusinės eliminacijos laikas – maždaug 25 % ilgesnis), tačiau šie pokyčiai nėra tokie dideli, kad reikėtų koreguoti dozę. Bendrai, gydant senyvus pacientus, rekomenduojama paisyti atsargumo priemonių (žr. 4.2 ir 4.4 skyrius).</w:t>
      </w:r>
    </w:p>
    <w:p w14:paraId="31D4CC6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BB34B96"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Inkstų funkcijos sutrikimas</w:t>
      </w:r>
      <w:r>
        <w:rPr>
          <w:rFonts w:ascii="Times New Roman" w:eastAsia="Times New Roman" w:hAnsi="Times New Roman" w:cs="Times New Roman"/>
          <w:snapToGrid w:val="0"/>
        </w:rPr>
        <w:t xml:space="preserve">. Pacientų, kurie serga paskutinės stadijos inkstų liga (PSIL) ir yra </w:t>
      </w:r>
      <w:proofErr w:type="spellStart"/>
      <w:r>
        <w:rPr>
          <w:rFonts w:ascii="Times New Roman" w:eastAsia="Times New Roman" w:hAnsi="Times New Roman" w:cs="Times New Roman"/>
          <w:snapToGrid w:val="0"/>
        </w:rPr>
        <w:t>dializuojami</w:t>
      </w:r>
      <w:proofErr w:type="spellEnd"/>
      <w:r>
        <w:rPr>
          <w:rFonts w:ascii="Times New Roman" w:eastAsia="Times New Roman" w:hAnsi="Times New Roman" w:cs="Times New Roman"/>
          <w:snapToGrid w:val="0"/>
        </w:rPr>
        <w:t>,</w:t>
      </w:r>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i/>
          <w:iCs/>
          <w:snapToGrid w:val="0"/>
        </w:rPr>
        <w:t>C</w:t>
      </w:r>
      <w:r>
        <w:rPr>
          <w:rFonts w:ascii="Times New Roman" w:eastAsia="Times New Roman" w:hAnsi="Times New Roman" w:cs="Times New Roman"/>
          <w:i/>
          <w:iCs/>
          <w:snapToGrid w:val="0"/>
          <w:vertAlign w:val="subscript"/>
        </w:rPr>
        <w:t>max</w:t>
      </w:r>
      <w:proofErr w:type="spellEnd"/>
      <w:r>
        <w:rPr>
          <w:rFonts w:ascii="Times New Roman" w:eastAsia="Times New Roman" w:hAnsi="Times New Roman" w:cs="Times New Roman"/>
          <w:snapToGrid w:val="0"/>
        </w:rPr>
        <w:t xml:space="preserve"> ir </w:t>
      </w:r>
      <w:r>
        <w:rPr>
          <w:rFonts w:ascii="Times New Roman" w:eastAsia="Times New Roman" w:hAnsi="Times New Roman" w:cs="Times New Roman"/>
          <w:i/>
          <w:iCs/>
          <w:snapToGrid w:val="0"/>
        </w:rPr>
        <w:t>AUC</w:t>
      </w:r>
      <w:r>
        <w:rPr>
          <w:rFonts w:ascii="Times New Roman" w:eastAsia="Times New Roman" w:hAnsi="Times New Roman" w:cs="Times New Roman"/>
          <w:snapToGrid w:val="0"/>
        </w:rPr>
        <w:t xml:space="preserve"> buvo 2 kartus didesni lyginant su sveikų asmenų atitinkamais duomenimis.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farmakokinetikos</w:t>
      </w:r>
      <w:proofErr w:type="spellEnd"/>
      <w:r>
        <w:rPr>
          <w:rFonts w:ascii="Times New Roman" w:eastAsia="Times New Roman" w:hAnsi="Times New Roman" w:cs="Times New Roman"/>
          <w:snapToGrid w:val="0"/>
        </w:rPr>
        <w:t xml:space="preserve"> duomenų pacientams, kuriems yra lengvas arba vidutinis inkstų sutrikimas, yra nepakankamai.</w:t>
      </w:r>
    </w:p>
    <w:p w14:paraId="3867A49A"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B2287B3"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 xml:space="preserve">Kepenų funkcijos sutrikimas. </w:t>
      </w:r>
      <w:r>
        <w:rPr>
          <w:rFonts w:ascii="Times New Roman" w:eastAsia="Times New Roman" w:hAnsi="Times New Roman" w:cs="Times New Roman"/>
          <w:snapToGrid w:val="0"/>
        </w:rPr>
        <w:t xml:space="preserve">Dėl vidutinio sunkumo kepenų ligos (B klasė pagal </w:t>
      </w:r>
      <w:proofErr w:type="spellStart"/>
      <w:r>
        <w:rPr>
          <w:rFonts w:ascii="Times New Roman" w:eastAsia="Times New Roman" w:hAnsi="Times New Roman" w:cs="Times New Roman"/>
          <w:snapToGrid w:val="0"/>
        </w:rPr>
        <w:t>Child-Pugh</w:t>
      </w:r>
      <w:proofErr w:type="spellEnd"/>
      <w:r>
        <w:rPr>
          <w:rFonts w:ascii="Times New Roman" w:eastAsia="Times New Roman" w:hAnsi="Times New Roman" w:cs="Times New Roman"/>
          <w:snapToGrid w:val="0"/>
        </w:rPr>
        <w:t>) pakito</w:t>
      </w:r>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farmakokinetika</w:t>
      </w:r>
      <w:proofErr w:type="spellEnd"/>
      <w:r>
        <w:rPr>
          <w:rFonts w:ascii="Times New Roman" w:eastAsia="Times New Roman" w:hAnsi="Times New Roman" w:cs="Times New Roman"/>
          <w:snapToGrid w:val="0"/>
        </w:rPr>
        <w:t xml:space="preserve">. Pacientų, sergančių vidutinio sunkumo kepenų liga, tariamasis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plazmos klirensas buvo 79 % mažesnis, tariamasis galutinis pusinės eliminacijos laikas – 2,3 karto ilgesnis, o </w:t>
      </w:r>
      <w:r>
        <w:rPr>
          <w:rFonts w:ascii="Times New Roman" w:eastAsia="Times New Roman" w:hAnsi="Times New Roman" w:cs="Times New Roman"/>
          <w:i/>
          <w:iCs/>
          <w:snapToGrid w:val="0"/>
        </w:rPr>
        <w:t>AUC</w:t>
      </w:r>
      <w:r>
        <w:rPr>
          <w:rFonts w:ascii="Times New Roman" w:eastAsia="Times New Roman" w:hAnsi="Times New Roman" w:cs="Times New Roman"/>
          <w:snapToGrid w:val="0"/>
        </w:rPr>
        <w:t xml:space="preserve"> – 3,7 karto didesnis negu sveikų asmenų.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ir jo metabolitų farmakokinetika lengvu arba vidutiniu kepenų nepakankamumu sergantiems pacientams nebuvo tirta.</w:t>
      </w:r>
    </w:p>
    <w:p w14:paraId="76BCE379"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76F8621"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 xml:space="preserve">Žindančios motinos.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farmakokinetika</w:t>
      </w:r>
      <w:proofErr w:type="spellEnd"/>
      <w:r>
        <w:rPr>
          <w:rFonts w:ascii="Times New Roman" w:eastAsia="Times New Roman" w:hAnsi="Times New Roman" w:cs="Times New Roman"/>
          <w:snapToGrid w:val="0"/>
        </w:rPr>
        <w:t xml:space="preserve"> tirta</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6 žindyvių, kurioms po gydymo buvo praėję ne</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mažiau kaip 12 savaičių, organizme. Nustatyta, kad į moters pieną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patenka. Moters piene jo koncentracija tuo metu, kai apykaita </w:t>
      </w:r>
      <w:proofErr w:type="spellStart"/>
      <w:r>
        <w:rPr>
          <w:rFonts w:ascii="Times New Roman" w:eastAsia="Times New Roman" w:hAnsi="Times New Roman" w:cs="Times New Roman"/>
          <w:snapToGrid w:val="0"/>
        </w:rPr>
        <w:t>pusiausvyrinė</w:t>
      </w:r>
      <w:proofErr w:type="spellEnd"/>
      <w:r>
        <w:rPr>
          <w:rFonts w:ascii="Times New Roman" w:eastAsia="Times New Roman" w:hAnsi="Times New Roman" w:cs="Times New Roman"/>
          <w:snapToGrid w:val="0"/>
        </w:rPr>
        <w:t xml:space="preserve">, būna ketvirtadalis tos koncentracijos, kokia yra jos kraujo plazmoje. Moters, vartojančios 40 mg dozę 2 kartus per parą, piene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kiekis būna maždaug 7 </w:t>
      </w:r>
      <w:proofErr w:type="spellStart"/>
      <w:r>
        <w:rPr>
          <w:rFonts w:ascii="Times New Roman" w:eastAsia="Times New Roman" w:hAnsi="Times New Roman" w:cs="Times New Roman"/>
          <w:snapToGrid w:val="0"/>
        </w:rPr>
        <w:t>mikrogramai</w:t>
      </w:r>
      <w:proofErr w:type="spellEnd"/>
      <w:r>
        <w:rPr>
          <w:rFonts w:ascii="Times New Roman" w:eastAsia="Times New Roman" w:hAnsi="Times New Roman" w:cs="Times New Roman"/>
          <w:snapToGrid w:val="0"/>
        </w:rPr>
        <w:t xml:space="preserve">/parą. Žindymas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farmakokinetikai</w:t>
      </w:r>
      <w:proofErr w:type="spellEnd"/>
      <w:r>
        <w:rPr>
          <w:rFonts w:ascii="Times New Roman" w:eastAsia="Times New Roman" w:hAnsi="Times New Roman" w:cs="Times New Roman"/>
          <w:snapToGrid w:val="0"/>
        </w:rPr>
        <w:t xml:space="preserve"> įtakos nedaro.</w:t>
      </w:r>
    </w:p>
    <w:p w14:paraId="1C796C7E"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943E2B4"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 xml:space="preserve">Vaikų populiacija.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farmakokinetikos</w:t>
      </w:r>
      <w:proofErr w:type="spellEnd"/>
      <w:r>
        <w:rPr>
          <w:rFonts w:ascii="Times New Roman" w:eastAsia="Times New Roman" w:hAnsi="Times New Roman" w:cs="Times New Roman"/>
          <w:snapToGrid w:val="0"/>
        </w:rPr>
        <w:t xml:space="preserve"> savybės vaikų populiacijos pacientų nuo 7 iki 17 metų,</w:t>
      </w:r>
      <w:r>
        <w:rPr>
          <w:rFonts w:ascii="Times New Roman" w:eastAsia="Times New Roman" w:hAnsi="Times New Roman" w:cs="Times New Roman"/>
          <w:i/>
          <w:iCs/>
          <w:snapToGrid w:val="0"/>
        </w:rPr>
        <w:t xml:space="preserve"> </w:t>
      </w:r>
      <w:r>
        <w:rPr>
          <w:rFonts w:ascii="Times New Roman" w:eastAsia="Times New Roman" w:hAnsi="Times New Roman" w:cs="Times New Roman"/>
          <w:snapToGrid w:val="0"/>
        </w:rPr>
        <w:t xml:space="preserve">kuriems buvo diagnozuotas didžiosios depresijos sutrikimas, organizmuose po 20-120 mg </w:t>
      </w:r>
      <w:r>
        <w:rPr>
          <w:rFonts w:ascii="Times New Roman" w:eastAsia="Times New Roman" w:hAnsi="Times New Roman" w:cs="Times New Roman"/>
          <w:snapToGrid w:val="0"/>
        </w:rPr>
        <w:lastRenderedPageBreak/>
        <w:t xml:space="preserve">dozės vieną kartą per parą pavartojimo per burną buvo nustatytos naudojant populiacijos modeliavimo analizę, pagrįstą 3 tyrimų duomenimis. Pagal modelį numatytos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pusiausvyros apykaitos koncentracijos vaikų populiacijos pacientų plazmoje daugiausia buvo suaugusiems pacientams išmatuotų koncentracijų ribose.</w:t>
      </w:r>
    </w:p>
    <w:p w14:paraId="3C5D17CA"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A6678B9"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5.3</w:t>
      </w:r>
      <w:r>
        <w:rPr>
          <w:rFonts w:ascii="Times New Roman" w:eastAsia="Times New Roman" w:hAnsi="Times New Roman" w:cs="Times New Roman"/>
          <w:b/>
          <w:bCs/>
          <w:snapToGrid w:val="0"/>
          <w:lang w:eastAsia="x-none"/>
        </w:rPr>
        <w:tab/>
      </w:r>
      <w:proofErr w:type="spellStart"/>
      <w:r>
        <w:rPr>
          <w:rFonts w:ascii="Times New Roman" w:eastAsia="Times New Roman" w:hAnsi="Times New Roman" w:cs="Times New Roman"/>
          <w:b/>
          <w:bCs/>
          <w:snapToGrid w:val="0"/>
          <w:lang w:eastAsia="x-none"/>
        </w:rPr>
        <w:t>Ikiklinikinių</w:t>
      </w:r>
      <w:proofErr w:type="spellEnd"/>
      <w:r>
        <w:rPr>
          <w:rFonts w:ascii="Times New Roman" w:eastAsia="Times New Roman" w:hAnsi="Times New Roman" w:cs="Times New Roman"/>
          <w:b/>
          <w:bCs/>
          <w:snapToGrid w:val="0"/>
          <w:lang w:eastAsia="x-none"/>
        </w:rPr>
        <w:t xml:space="preserve"> saugumo tyrimų duomenys</w:t>
      </w:r>
    </w:p>
    <w:p w14:paraId="283230F8" w14:textId="77777777" w:rsidR="007D1CCA" w:rsidRDefault="007D1CCA">
      <w:pPr>
        <w:widowControl w:val="0"/>
        <w:spacing w:after="0" w:line="240" w:lineRule="auto"/>
        <w:rPr>
          <w:rFonts w:ascii="Times New Roman" w:eastAsia="Times New Roman" w:hAnsi="Times New Roman" w:cs="Times New Roman"/>
          <w:snapToGrid w:val="0"/>
        </w:rPr>
      </w:pPr>
    </w:p>
    <w:p w14:paraId="288D52D1"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Atlikus įprastinius tyrimus </w:t>
      </w:r>
      <w:proofErr w:type="spellStart"/>
      <w:r>
        <w:rPr>
          <w:rFonts w:ascii="Times New Roman" w:eastAsia="Times New Roman" w:hAnsi="Times New Roman" w:cs="Times New Roman"/>
          <w:snapToGrid w:val="0"/>
        </w:rPr>
        <w:t>genotoksinio</w:t>
      </w:r>
      <w:proofErr w:type="spellEnd"/>
      <w:r>
        <w:rPr>
          <w:rFonts w:ascii="Times New Roman" w:eastAsia="Times New Roman" w:hAnsi="Times New Roman" w:cs="Times New Roman"/>
          <w:snapToGrid w:val="0"/>
        </w:rPr>
        <w:t xml:space="preserve"> poveikio nenustatyta, preparatas nebuvo </w:t>
      </w:r>
      <w:proofErr w:type="spellStart"/>
      <w:r>
        <w:rPr>
          <w:rFonts w:ascii="Times New Roman" w:eastAsia="Times New Roman" w:hAnsi="Times New Roman" w:cs="Times New Roman"/>
          <w:snapToGrid w:val="0"/>
        </w:rPr>
        <w:t>kancerogeniškas</w:t>
      </w:r>
      <w:proofErr w:type="spellEnd"/>
      <w:r>
        <w:rPr>
          <w:rFonts w:ascii="Times New Roman" w:eastAsia="Times New Roman" w:hAnsi="Times New Roman" w:cs="Times New Roman"/>
          <w:snapToGrid w:val="0"/>
        </w:rPr>
        <w:t xml:space="preserve"> žiurkėms. Žiurkių </w:t>
      </w:r>
      <w:proofErr w:type="spellStart"/>
      <w:r>
        <w:rPr>
          <w:rFonts w:ascii="Times New Roman" w:eastAsia="Times New Roman" w:hAnsi="Times New Roman" w:cs="Times New Roman"/>
          <w:snapToGrid w:val="0"/>
        </w:rPr>
        <w:t>kancerogeniškumo</w:t>
      </w:r>
      <w:proofErr w:type="spellEnd"/>
      <w:r>
        <w:rPr>
          <w:rFonts w:ascii="Times New Roman" w:eastAsia="Times New Roman" w:hAnsi="Times New Roman" w:cs="Times New Roman"/>
          <w:snapToGrid w:val="0"/>
        </w:rPr>
        <w:t xml:space="preserve"> tyrimo metu buvo aptikta </w:t>
      </w:r>
      <w:proofErr w:type="spellStart"/>
      <w:r>
        <w:rPr>
          <w:rFonts w:ascii="Times New Roman" w:eastAsia="Times New Roman" w:hAnsi="Times New Roman" w:cs="Times New Roman"/>
          <w:snapToGrid w:val="0"/>
        </w:rPr>
        <w:t>daugiabranduolių</w:t>
      </w:r>
      <w:proofErr w:type="spellEnd"/>
      <w:r>
        <w:rPr>
          <w:rFonts w:ascii="Times New Roman" w:eastAsia="Times New Roman" w:hAnsi="Times New Roman" w:cs="Times New Roman"/>
          <w:snapToGrid w:val="0"/>
        </w:rPr>
        <w:t xml:space="preserve"> kepenų ląstelių, kitų </w:t>
      </w:r>
      <w:proofErr w:type="spellStart"/>
      <w:r>
        <w:rPr>
          <w:rFonts w:ascii="Times New Roman" w:eastAsia="Times New Roman" w:hAnsi="Times New Roman" w:cs="Times New Roman"/>
          <w:snapToGrid w:val="0"/>
        </w:rPr>
        <w:t>histopatologinių</w:t>
      </w:r>
      <w:proofErr w:type="spellEnd"/>
      <w:r>
        <w:rPr>
          <w:rFonts w:ascii="Times New Roman" w:eastAsia="Times New Roman" w:hAnsi="Times New Roman" w:cs="Times New Roman"/>
          <w:snapToGrid w:val="0"/>
        </w:rPr>
        <w:t xml:space="preserve"> pokyčių nenustatyta. Šio reiškinio atsiradimo mechanizmas ir klinikinė reikšmė nėra žinoma. Pelėms patelėms, kurioms 2 metus buvo duodamos didelės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dozės (144 mg/kg per parą), padidėjo kepenų ląstelių adenomų ir karcinomų atvejų skaičius, tačiau manoma, kad tai yra antrinė pasekmė dėl kepenų </w:t>
      </w:r>
      <w:proofErr w:type="spellStart"/>
      <w:r>
        <w:rPr>
          <w:rFonts w:ascii="Times New Roman" w:eastAsia="Times New Roman" w:hAnsi="Times New Roman" w:cs="Times New Roman"/>
          <w:snapToGrid w:val="0"/>
        </w:rPr>
        <w:t>mikrosominių</w:t>
      </w:r>
      <w:proofErr w:type="spellEnd"/>
      <w:r>
        <w:rPr>
          <w:rFonts w:ascii="Times New Roman" w:eastAsia="Times New Roman" w:hAnsi="Times New Roman" w:cs="Times New Roman"/>
          <w:snapToGrid w:val="0"/>
        </w:rPr>
        <w:t xml:space="preserve"> fermentų sužadinimo. Ar šių pelių tyrimų duomenys reikšmingi žmonėms, nežinoma. Žiurkių patelės, kurioms prieš poravimąsi, poravimosi ir ankstyvo nėštumo metu buvo skiriama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(45 mg/kg/per parą), mažiau suvartodavo maisto, jų svoris buvo mažesnis, pasireiškė rujos ciklo sutrikimai, sumažėjo gimstančių gyvų jauniklių skaičius ir palikuonių išgyvenamumo rodikliai, sulėtėjo palikuonių augimas, esant sisteminės ekspozicijos (</w:t>
      </w:r>
      <w:r>
        <w:rPr>
          <w:rFonts w:ascii="Times New Roman" w:eastAsia="Times New Roman" w:hAnsi="Times New Roman" w:cs="Times New Roman"/>
          <w:i/>
          <w:iCs/>
          <w:snapToGrid w:val="0"/>
        </w:rPr>
        <w:t>AUC</w:t>
      </w:r>
      <w:r>
        <w:rPr>
          <w:rFonts w:ascii="Times New Roman" w:eastAsia="Times New Roman" w:hAnsi="Times New Roman" w:cs="Times New Roman"/>
          <w:snapToGrid w:val="0"/>
        </w:rPr>
        <w:t xml:space="preserve">) dydžiui, atitinkančiam maksimalią klinikinę ekspoziciją. </w:t>
      </w:r>
      <w:proofErr w:type="spellStart"/>
      <w:r>
        <w:rPr>
          <w:rFonts w:ascii="Times New Roman" w:eastAsia="Times New Roman" w:hAnsi="Times New Roman" w:cs="Times New Roman"/>
          <w:snapToGrid w:val="0"/>
        </w:rPr>
        <w:t>Embriotoksiškumo</w:t>
      </w:r>
      <w:proofErr w:type="spellEnd"/>
      <w:r>
        <w:rPr>
          <w:rFonts w:ascii="Times New Roman" w:eastAsia="Times New Roman" w:hAnsi="Times New Roman" w:cs="Times New Roman"/>
          <w:snapToGrid w:val="0"/>
        </w:rPr>
        <w:t xml:space="preserve"> tyrimo su triušiais metu, esant mažesnei nei maksimali klinikinė sisteminei ekspozicijai (</w:t>
      </w:r>
      <w:r>
        <w:rPr>
          <w:rFonts w:ascii="Times New Roman" w:eastAsia="Times New Roman" w:hAnsi="Times New Roman" w:cs="Times New Roman"/>
          <w:i/>
          <w:iCs/>
          <w:snapToGrid w:val="0"/>
        </w:rPr>
        <w:t>AUC</w:t>
      </w:r>
      <w:r>
        <w:rPr>
          <w:rFonts w:ascii="Times New Roman" w:eastAsia="Times New Roman" w:hAnsi="Times New Roman" w:cs="Times New Roman"/>
          <w:snapToGrid w:val="0"/>
        </w:rPr>
        <w:t xml:space="preserve">), buvo nustatytas didesnis širdies ir kraujagyslių bei skeleto apsigimimų dažnis. Kito tyrimo metu, tiriant didesnių kitos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druskos dozių skyrimą, nebuvo nustatyta jokių apsigimimų. </w:t>
      </w:r>
      <w:proofErr w:type="spellStart"/>
      <w:r>
        <w:rPr>
          <w:rFonts w:ascii="Times New Roman" w:eastAsia="Times New Roman" w:hAnsi="Times New Roman" w:cs="Times New Roman"/>
          <w:snapToGrid w:val="0"/>
        </w:rPr>
        <w:t>Prenatalinio</w:t>
      </w:r>
      <w:proofErr w:type="spellEnd"/>
      <w:r>
        <w:rPr>
          <w:rFonts w:ascii="Times New Roman" w:eastAsia="Times New Roman" w:hAnsi="Times New Roman" w:cs="Times New Roman"/>
          <w:snapToGrid w:val="0"/>
        </w:rPr>
        <w:t xml:space="preserve"> ir </w:t>
      </w:r>
      <w:proofErr w:type="spellStart"/>
      <w:r>
        <w:rPr>
          <w:rFonts w:ascii="Times New Roman" w:eastAsia="Times New Roman" w:hAnsi="Times New Roman" w:cs="Times New Roman"/>
          <w:snapToGrid w:val="0"/>
        </w:rPr>
        <w:t>postnatalinio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toksiškumo</w:t>
      </w:r>
      <w:proofErr w:type="spellEnd"/>
      <w:r>
        <w:rPr>
          <w:rFonts w:ascii="Times New Roman" w:eastAsia="Times New Roman" w:hAnsi="Times New Roman" w:cs="Times New Roman"/>
          <w:snapToGrid w:val="0"/>
        </w:rPr>
        <w:t xml:space="preserve"> klinikinio tyrimo su žiurkėmis metu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palikuoniams sukėlė nepageidaujamų elgesio reiškinių, esant mažesnėms nei maksimali klinikinė sisteminėms ekspozicijoms (</w:t>
      </w:r>
      <w:r>
        <w:rPr>
          <w:rFonts w:ascii="Times New Roman" w:eastAsia="Times New Roman" w:hAnsi="Times New Roman" w:cs="Times New Roman"/>
          <w:i/>
          <w:iCs/>
          <w:snapToGrid w:val="0"/>
        </w:rPr>
        <w:t>AUC</w:t>
      </w:r>
      <w:r>
        <w:rPr>
          <w:rFonts w:ascii="Times New Roman" w:eastAsia="Times New Roman" w:hAnsi="Times New Roman" w:cs="Times New Roman"/>
          <w:snapToGrid w:val="0"/>
        </w:rPr>
        <w:t>).</w:t>
      </w:r>
    </w:p>
    <w:p w14:paraId="50AEE2A8"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03A32DA"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Tyrimai su žiurkių jaunikliais parodė trumpalaikį poveikį nervų sistemai ir elgsenai, o taip pat reikšmingą kūno masės sumažėjimą ir mažesnį maisto suvartojimą, kepenų fermentų sužadinimą bei kepenų ląstelių </w:t>
      </w:r>
      <w:proofErr w:type="spellStart"/>
      <w:r>
        <w:rPr>
          <w:rFonts w:ascii="Times New Roman" w:eastAsia="Times New Roman" w:hAnsi="Times New Roman" w:cs="Times New Roman"/>
          <w:snapToGrid w:val="0"/>
        </w:rPr>
        <w:t>vakuolizaciją</w:t>
      </w:r>
      <w:proofErr w:type="spellEnd"/>
      <w:r>
        <w:rPr>
          <w:rFonts w:ascii="Times New Roman" w:eastAsia="Times New Roman" w:hAnsi="Times New Roman" w:cs="Times New Roman"/>
          <w:snapToGrid w:val="0"/>
        </w:rPr>
        <w:t xml:space="preserve"> vartojant 45 mg/kg kūno svorio per parą dozes. Bendrasis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toksinio poveikio žiurkių jaunikliams pobūdis buvo panašus į nustatytąjį suaugusioms žiurkėms. Buvo nustatyta, kad nepageidaujamo poveikio nesukeliančios koncentracijos susidaro vartojant 20 mg/kg kūno svorio dozę per parą.</w:t>
      </w:r>
    </w:p>
    <w:p w14:paraId="33BDBDA5" w14:textId="77777777" w:rsidR="007D1CCA" w:rsidRDefault="007D1CCA">
      <w:pPr>
        <w:widowControl w:val="0"/>
        <w:spacing w:after="0" w:line="240" w:lineRule="auto"/>
        <w:rPr>
          <w:rFonts w:ascii="Times New Roman" w:eastAsia="Times New Roman" w:hAnsi="Times New Roman" w:cs="Times New Roman"/>
          <w:snapToGrid w:val="0"/>
        </w:rPr>
      </w:pPr>
    </w:p>
    <w:p w14:paraId="112144BA" w14:textId="77777777" w:rsidR="007D1CCA" w:rsidRDefault="007D1CCA">
      <w:pPr>
        <w:widowControl w:val="0"/>
        <w:spacing w:after="0" w:line="240" w:lineRule="auto"/>
        <w:rPr>
          <w:rFonts w:ascii="Times New Roman" w:eastAsia="Times New Roman" w:hAnsi="Times New Roman" w:cs="Times New Roman"/>
          <w:snapToGrid w:val="0"/>
        </w:rPr>
      </w:pPr>
    </w:p>
    <w:p w14:paraId="4456489F" w14:textId="77777777" w:rsidR="007D1CCA" w:rsidRDefault="00A06746">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6.</w:t>
      </w:r>
      <w:r>
        <w:rPr>
          <w:rFonts w:ascii="Times New Roman" w:eastAsia="Times New Roman" w:hAnsi="Times New Roman" w:cs="Times New Roman"/>
          <w:b/>
          <w:bCs/>
          <w:snapToGrid w:val="0"/>
          <w:lang w:eastAsia="x-none"/>
        </w:rPr>
        <w:tab/>
        <w:t>FARMACINĖ INFORMACIJA</w:t>
      </w:r>
    </w:p>
    <w:p w14:paraId="3D2CC651" w14:textId="77777777" w:rsidR="007D1CCA" w:rsidRDefault="007D1CCA">
      <w:pPr>
        <w:widowControl w:val="0"/>
        <w:spacing w:after="0" w:line="240" w:lineRule="auto"/>
        <w:rPr>
          <w:rFonts w:ascii="Times New Roman" w:eastAsia="Times New Roman" w:hAnsi="Times New Roman" w:cs="Times New Roman"/>
          <w:snapToGrid w:val="0"/>
        </w:rPr>
      </w:pPr>
    </w:p>
    <w:p w14:paraId="79C0E0FF"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6.1</w:t>
      </w:r>
      <w:r>
        <w:rPr>
          <w:rFonts w:ascii="Times New Roman" w:eastAsia="Times New Roman" w:hAnsi="Times New Roman" w:cs="Times New Roman"/>
          <w:b/>
          <w:bCs/>
          <w:snapToGrid w:val="0"/>
          <w:lang w:eastAsia="x-none"/>
        </w:rPr>
        <w:tab/>
        <w:t>Pagalbinių medžiagų sąrašas</w:t>
      </w:r>
    </w:p>
    <w:p w14:paraId="77849317" w14:textId="77777777" w:rsidR="007D1CCA" w:rsidRDefault="007D1CCA">
      <w:pPr>
        <w:widowControl w:val="0"/>
        <w:spacing w:after="0" w:line="240" w:lineRule="auto"/>
        <w:rPr>
          <w:rFonts w:ascii="Times New Roman" w:eastAsia="Times New Roman" w:hAnsi="Times New Roman" w:cs="Times New Roman"/>
          <w:snapToGrid w:val="0"/>
        </w:rPr>
      </w:pPr>
    </w:p>
    <w:p w14:paraId="340BCE52" w14:textId="77777777" w:rsidR="007D1CCA" w:rsidRDefault="00A06746">
      <w:pPr>
        <w:widowControl w:val="0"/>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Kapsulės turinys</w:t>
      </w:r>
    </w:p>
    <w:p w14:paraId="43F6E818"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Cukriniai branduoliai (sacharozė, kukurūzų krakmolas)</w:t>
      </w:r>
    </w:p>
    <w:p w14:paraId="7232C56B" w14:textId="77777777" w:rsidR="007D1CCA" w:rsidRDefault="00A06746">
      <w:pPr>
        <w:widowControl w:val="0"/>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Hipromeliozė</w:t>
      </w:r>
      <w:proofErr w:type="spellEnd"/>
      <w:r>
        <w:rPr>
          <w:rFonts w:ascii="Times New Roman" w:eastAsia="Times New Roman" w:hAnsi="Times New Roman" w:cs="Times New Roman"/>
          <w:snapToGrid w:val="0"/>
        </w:rPr>
        <w:t xml:space="preserve"> 6 </w:t>
      </w:r>
      <w:proofErr w:type="spellStart"/>
      <w:r>
        <w:rPr>
          <w:rFonts w:ascii="Times New Roman" w:eastAsia="Times New Roman" w:hAnsi="Times New Roman" w:cs="Times New Roman"/>
          <w:snapToGrid w:val="0"/>
        </w:rPr>
        <w:t>cP</w:t>
      </w:r>
      <w:proofErr w:type="spellEnd"/>
    </w:p>
    <w:p w14:paraId="20CC9EDF"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Sacharozė</w:t>
      </w:r>
    </w:p>
    <w:p w14:paraId="64F7945F" w14:textId="77777777" w:rsidR="007D1CCA" w:rsidRDefault="00A06746">
      <w:pPr>
        <w:widowControl w:val="0"/>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Hipromeliozės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ftalatas</w:t>
      </w:r>
      <w:proofErr w:type="spellEnd"/>
    </w:p>
    <w:p w14:paraId="0903E5AB"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Talkas</w:t>
      </w:r>
    </w:p>
    <w:p w14:paraId="758E8CD6" w14:textId="77777777" w:rsidR="007D1CCA" w:rsidRDefault="00A06746">
      <w:pPr>
        <w:widowControl w:val="0"/>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Trietilo</w:t>
      </w:r>
      <w:proofErr w:type="spellEnd"/>
      <w:r>
        <w:rPr>
          <w:rFonts w:ascii="Times New Roman" w:eastAsia="Times New Roman" w:hAnsi="Times New Roman" w:cs="Times New Roman"/>
          <w:snapToGrid w:val="0"/>
        </w:rPr>
        <w:t xml:space="preserve"> citratas</w:t>
      </w:r>
    </w:p>
    <w:p w14:paraId="78BDE506" w14:textId="77777777" w:rsidR="007D1CCA" w:rsidRDefault="007D1CCA">
      <w:pPr>
        <w:widowControl w:val="0"/>
        <w:spacing w:after="0" w:line="240" w:lineRule="auto"/>
        <w:rPr>
          <w:rFonts w:ascii="Times New Roman" w:eastAsia="Times New Roman" w:hAnsi="Times New Roman" w:cs="Times New Roman"/>
          <w:snapToGrid w:val="0"/>
        </w:rPr>
      </w:pPr>
    </w:p>
    <w:p w14:paraId="28081DFA" w14:textId="77777777" w:rsidR="007D1CCA" w:rsidRDefault="00A06746">
      <w:pPr>
        <w:widowControl w:val="0"/>
        <w:spacing w:after="0" w:line="240" w:lineRule="auto"/>
        <w:rPr>
          <w:rFonts w:ascii="Times New Roman" w:eastAsia="Times New Roman" w:hAnsi="Times New Roman" w:cs="Times New Roman"/>
          <w:snapToGrid w:val="0"/>
          <w:u w:val="single"/>
        </w:rPr>
      </w:pPr>
      <w:r>
        <w:rPr>
          <w:rFonts w:ascii="Times New Roman" w:eastAsia="Times New Roman" w:hAnsi="Times New Roman" w:cs="Times New Roman"/>
          <w:snapToGrid w:val="0"/>
          <w:u w:val="single"/>
        </w:rPr>
        <w:t>Kapsulės apvalkalas</w:t>
      </w:r>
    </w:p>
    <w:p w14:paraId="5A72D0F7"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Želatina</w:t>
      </w:r>
    </w:p>
    <w:p w14:paraId="01C78913"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Titano dioksidas (E171)</w:t>
      </w:r>
    </w:p>
    <w:p w14:paraId="5EE23C3F" w14:textId="77777777" w:rsidR="007D1CCA" w:rsidRDefault="00A06746">
      <w:pPr>
        <w:widowControl w:val="0"/>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Indigotinas</w:t>
      </w:r>
      <w:proofErr w:type="spellEnd"/>
      <w:r>
        <w:rPr>
          <w:rFonts w:ascii="Times New Roman" w:eastAsia="Times New Roman" w:hAnsi="Times New Roman" w:cs="Times New Roman"/>
          <w:snapToGrid w:val="0"/>
        </w:rPr>
        <w:t xml:space="preserve"> (E132)</w:t>
      </w:r>
    </w:p>
    <w:p w14:paraId="282E2C62"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Geltonasis geležies oksidas (E172) – tik 60 mg kapsulėse</w:t>
      </w:r>
    </w:p>
    <w:p w14:paraId="0E6980E0"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Dažai (</w:t>
      </w:r>
      <w:proofErr w:type="spellStart"/>
      <w:r>
        <w:rPr>
          <w:rFonts w:ascii="Times New Roman" w:eastAsia="Times New Roman" w:hAnsi="Times New Roman" w:cs="Times New Roman"/>
          <w:snapToGrid w:val="0"/>
        </w:rPr>
        <w:t>šelakas</w:t>
      </w:r>
      <w:proofErr w:type="spellEnd"/>
      <w:r>
        <w:rPr>
          <w:rFonts w:ascii="Times New Roman" w:eastAsia="Times New Roman" w:hAnsi="Times New Roman" w:cs="Times New Roman"/>
          <w:snapToGrid w:val="0"/>
        </w:rPr>
        <w:t>, juodasis geležies oksidas (E172))</w:t>
      </w:r>
    </w:p>
    <w:p w14:paraId="0081B99E" w14:textId="77777777" w:rsidR="007D1CCA" w:rsidRDefault="007D1CCA">
      <w:pPr>
        <w:widowControl w:val="0"/>
        <w:spacing w:after="0" w:line="240" w:lineRule="auto"/>
        <w:rPr>
          <w:rFonts w:ascii="Times New Roman" w:eastAsia="Times New Roman" w:hAnsi="Times New Roman" w:cs="Times New Roman"/>
          <w:snapToGrid w:val="0"/>
        </w:rPr>
      </w:pPr>
    </w:p>
    <w:p w14:paraId="0BBA8445"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6.2</w:t>
      </w:r>
      <w:r>
        <w:rPr>
          <w:rFonts w:ascii="Times New Roman" w:eastAsia="Times New Roman" w:hAnsi="Times New Roman" w:cs="Times New Roman"/>
          <w:b/>
          <w:bCs/>
          <w:snapToGrid w:val="0"/>
          <w:lang w:eastAsia="x-none"/>
        </w:rPr>
        <w:tab/>
        <w:t>Nesuderinamumas</w:t>
      </w:r>
    </w:p>
    <w:p w14:paraId="0D710271" w14:textId="77777777" w:rsidR="007D1CCA" w:rsidRDefault="007D1CCA">
      <w:pPr>
        <w:widowControl w:val="0"/>
        <w:spacing w:after="0" w:line="240" w:lineRule="auto"/>
        <w:rPr>
          <w:rFonts w:ascii="Times New Roman" w:eastAsia="Times New Roman" w:hAnsi="Times New Roman" w:cs="Times New Roman"/>
          <w:snapToGrid w:val="0"/>
        </w:rPr>
      </w:pPr>
    </w:p>
    <w:p w14:paraId="437770F2"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Duomenys nebūtini.</w:t>
      </w:r>
    </w:p>
    <w:p w14:paraId="5834C579" w14:textId="77777777" w:rsidR="007D1CCA" w:rsidRDefault="007D1CCA">
      <w:pPr>
        <w:widowControl w:val="0"/>
        <w:spacing w:after="0" w:line="240" w:lineRule="auto"/>
        <w:rPr>
          <w:rFonts w:ascii="Times New Roman" w:eastAsia="Times New Roman" w:hAnsi="Times New Roman" w:cs="Times New Roman"/>
          <w:snapToGrid w:val="0"/>
        </w:rPr>
      </w:pPr>
    </w:p>
    <w:p w14:paraId="7B88951C"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6.3</w:t>
      </w:r>
      <w:r>
        <w:rPr>
          <w:rFonts w:ascii="Times New Roman" w:eastAsia="Times New Roman" w:hAnsi="Times New Roman" w:cs="Times New Roman"/>
          <w:b/>
          <w:bCs/>
          <w:snapToGrid w:val="0"/>
          <w:lang w:eastAsia="x-none"/>
        </w:rPr>
        <w:tab/>
        <w:t>Tinkamumo laikas</w:t>
      </w:r>
    </w:p>
    <w:p w14:paraId="41CD516D" w14:textId="77777777" w:rsidR="007D1CCA" w:rsidRDefault="007D1CCA">
      <w:pPr>
        <w:widowControl w:val="0"/>
        <w:spacing w:after="0" w:line="240" w:lineRule="auto"/>
        <w:rPr>
          <w:rFonts w:ascii="Times New Roman" w:eastAsia="Times New Roman" w:hAnsi="Times New Roman" w:cs="Times New Roman"/>
          <w:snapToGrid w:val="0"/>
        </w:rPr>
      </w:pPr>
    </w:p>
    <w:p w14:paraId="7CB99EFB"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lastRenderedPageBreak/>
        <w:t>2 metai</w:t>
      </w:r>
    </w:p>
    <w:p w14:paraId="781501F6" w14:textId="77777777" w:rsidR="007D1CCA" w:rsidRDefault="007D1CCA">
      <w:pPr>
        <w:widowControl w:val="0"/>
        <w:spacing w:after="0" w:line="240" w:lineRule="auto"/>
        <w:rPr>
          <w:rFonts w:ascii="Times New Roman" w:eastAsia="Times New Roman" w:hAnsi="Times New Roman" w:cs="Times New Roman"/>
          <w:snapToGrid w:val="0"/>
        </w:rPr>
      </w:pPr>
    </w:p>
    <w:p w14:paraId="58F92118"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6.4</w:t>
      </w:r>
      <w:r>
        <w:rPr>
          <w:rFonts w:ascii="Times New Roman" w:eastAsia="Times New Roman" w:hAnsi="Times New Roman" w:cs="Times New Roman"/>
          <w:b/>
          <w:bCs/>
          <w:snapToGrid w:val="0"/>
          <w:lang w:eastAsia="x-none"/>
        </w:rPr>
        <w:tab/>
        <w:t>Specialios laikymo sąlygos</w:t>
      </w:r>
    </w:p>
    <w:p w14:paraId="687770C1" w14:textId="77777777" w:rsidR="007D1CCA" w:rsidRDefault="007D1CCA">
      <w:pPr>
        <w:widowControl w:val="0"/>
        <w:spacing w:after="0" w:line="240" w:lineRule="auto"/>
        <w:rPr>
          <w:rFonts w:ascii="Times New Roman" w:eastAsia="Times New Roman" w:hAnsi="Times New Roman" w:cs="Times New Roman"/>
          <w:snapToGrid w:val="0"/>
        </w:rPr>
      </w:pPr>
    </w:p>
    <w:p w14:paraId="492D908D"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color w:val="0D0D0D"/>
        </w:rPr>
        <w:t>Laikyti ne aukštesnėje kaip 25 </w:t>
      </w:r>
      <w:r>
        <w:rPr>
          <w:rFonts w:ascii="Times New Roman" w:eastAsia="Times New Roman" w:hAnsi="Times New Roman" w:cs="Times New Roman"/>
          <w:snapToGrid w:val="0"/>
        </w:rPr>
        <w:t>°C temperatūroje.</w:t>
      </w:r>
    </w:p>
    <w:p w14:paraId="740F5566" w14:textId="77777777" w:rsidR="007D1CCA" w:rsidRDefault="00A06746">
      <w:pPr>
        <w:widowControl w:val="0"/>
        <w:spacing w:after="0" w:line="240" w:lineRule="auto"/>
        <w:rPr>
          <w:rFonts w:ascii="Times New Roman" w:eastAsia="Times New Roman" w:hAnsi="Times New Roman" w:cs="Times New Roman"/>
          <w:snapToGrid w:val="0"/>
          <w:color w:val="0D0D0D"/>
        </w:rPr>
      </w:pPr>
      <w:r>
        <w:rPr>
          <w:rFonts w:ascii="Times New Roman" w:eastAsia="Times New Roman" w:hAnsi="Times New Roman" w:cs="Times New Roman"/>
          <w:snapToGrid w:val="0"/>
        </w:rPr>
        <w:t>Laikyti gamintojo pakuotėje, kad vaistinis preparatas būtų apsaugotas nuo drėgmės.</w:t>
      </w:r>
    </w:p>
    <w:p w14:paraId="0B4C24A4" w14:textId="77777777" w:rsidR="007D1CCA" w:rsidRDefault="007D1CCA">
      <w:pPr>
        <w:widowControl w:val="0"/>
        <w:spacing w:after="0" w:line="240" w:lineRule="auto"/>
        <w:rPr>
          <w:rFonts w:ascii="Times New Roman" w:eastAsia="Times New Roman" w:hAnsi="Times New Roman" w:cs="Times New Roman"/>
          <w:snapToGrid w:val="0"/>
        </w:rPr>
      </w:pPr>
    </w:p>
    <w:p w14:paraId="0326615A"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6.5</w:t>
      </w:r>
      <w:r>
        <w:rPr>
          <w:rFonts w:ascii="Times New Roman" w:eastAsia="Times New Roman" w:hAnsi="Times New Roman" w:cs="Times New Roman"/>
          <w:b/>
          <w:bCs/>
          <w:snapToGrid w:val="0"/>
          <w:lang w:eastAsia="x-none"/>
        </w:rPr>
        <w:tab/>
      </w:r>
      <w:proofErr w:type="spellStart"/>
      <w:r>
        <w:rPr>
          <w:rFonts w:ascii="Times New Roman" w:eastAsia="Times New Roman" w:hAnsi="Times New Roman" w:cs="Times New Roman"/>
          <w:b/>
          <w:bCs/>
          <w:snapToGrid w:val="0"/>
          <w:lang w:eastAsia="x-none"/>
        </w:rPr>
        <w:t>Talpyklės</w:t>
      </w:r>
      <w:proofErr w:type="spellEnd"/>
      <w:r>
        <w:rPr>
          <w:rFonts w:ascii="Times New Roman" w:eastAsia="Times New Roman" w:hAnsi="Times New Roman" w:cs="Times New Roman"/>
          <w:b/>
          <w:bCs/>
          <w:snapToGrid w:val="0"/>
          <w:lang w:eastAsia="x-none"/>
        </w:rPr>
        <w:t xml:space="preserve"> pobūdis ir jos turinys</w:t>
      </w:r>
    </w:p>
    <w:p w14:paraId="72716EE4" w14:textId="77777777" w:rsidR="007D1CCA" w:rsidRDefault="007D1CCA">
      <w:pPr>
        <w:widowControl w:val="0"/>
        <w:spacing w:after="0" w:line="240" w:lineRule="auto"/>
        <w:rPr>
          <w:rFonts w:ascii="Times New Roman" w:eastAsia="Times New Roman" w:hAnsi="Times New Roman" w:cs="Times New Roman"/>
          <w:snapToGrid w:val="0"/>
        </w:rPr>
      </w:pPr>
    </w:p>
    <w:p w14:paraId="04B81FB0"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Lizdinės plokštelės (OPA/Al/[DTPE/</w:t>
      </w:r>
      <w:proofErr w:type="spellStart"/>
      <w:r>
        <w:rPr>
          <w:rFonts w:ascii="Times New Roman" w:eastAsia="Times New Roman" w:hAnsi="Times New Roman" w:cs="Times New Roman"/>
          <w:snapToGrid w:val="0"/>
        </w:rPr>
        <w:t>PE+CaO</w:t>
      </w:r>
      <w:proofErr w:type="spellEnd"/>
      <w:r>
        <w:rPr>
          <w:rFonts w:ascii="Times New Roman" w:eastAsia="Times New Roman" w:hAnsi="Times New Roman" w:cs="Times New Roman"/>
          <w:snapToGrid w:val="0"/>
        </w:rPr>
        <w:t>/DTPE DES] folijos – Al/PE folijos): 7, 10, 14, 28, 30, 56, 60, 90 ir 100 skrandyje neirių kietųjų kapsulių dėžutėje.</w:t>
      </w:r>
    </w:p>
    <w:p w14:paraId="26A45AE9" w14:textId="77777777" w:rsidR="007D1CCA" w:rsidRDefault="007D1CCA">
      <w:pPr>
        <w:widowControl w:val="0"/>
        <w:spacing w:after="0" w:line="240" w:lineRule="auto"/>
        <w:rPr>
          <w:rFonts w:ascii="Times New Roman" w:eastAsia="Times New Roman" w:hAnsi="Times New Roman" w:cs="Times New Roman"/>
          <w:snapToGrid w:val="0"/>
        </w:rPr>
      </w:pPr>
    </w:p>
    <w:p w14:paraId="0A406A6C"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Gali būti tiekiamos ne visų dydžių pakuotės.</w:t>
      </w:r>
    </w:p>
    <w:p w14:paraId="643F798A" w14:textId="77777777" w:rsidR="007D1CCA" w:rsidRDefault="007D1CCA">
      <w:pPr>
        <w:widowControl w:val="0"/>
        <w:spacing w:after="0" w:line="240" w:lineRule="auto"/>
        <w:rPr>
          <w:rFonts w:ascii="Times New Roman" w:eastAsia="Times New Roman" w:hAnsi="Times New Roman" w:cs="Times New Roman"/>
          <w:snapToGrid w:val="0"/>
        </w:rPr>
      </w:pPr>
    </w:p>
    <w:p w14:paraId="722687D5"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bookmarkStart w:id="8" w:name="OLE_LINK1"/>
      <w:r>
        <w:rPr>
          <w:rFonts w:ascii="Times New Roman" w:eastAsia="Times New Roman" w:hAnsi="Times New Roman" w:cs="Times New Roman"/>
          <w:b/>
          <w:bCs/>
          <w:snapToGrid w:val="0"/>
          <w:lang w:eastAsia="x-none"/>
        </w:rPr>
        <w:t>6.6</w:t>
      </w:r>
      <w:r>
        <w:rPr>
          <w:rFonts w:ascii="Times New Roman" w:eastAsia="Times New Roman" w:hAnsi="Times New Roman" w:cs="Times New Roman"/>
          <w:b/>
          <w:bCs/>
          <w:snapToGrid w:val="0"/>
          <w:lang w:eastAsia="x-none"/>
        </w:rPr>
        <w:tab/>
        <w:t>Specialūs reikalavimai atliekoms tvarkyti</w:t>
      </w:r>
    </w:p>
    <w:bookmarkEnd w:id="8"/>
    <w:p w14:paraId="4B35FB60" w14:textId="77777777" w:rsidR="007D1CCA" w:rsidRDefault="007D1CCA">
      <w:pPr>
        <w:widowControl w:val="0"/>
        <w:spacing w:after="0" w:line="240" w:lineRule="auto"/>
        <w:rPr>
          <w:rFonts w:ascii="Times New Roman" w:eastAsia="Times New Roman" w:hAnsi="Times New Roman" w:cs="Times New Roman"/>
          <w:snapToGrid w:val="0"/>
        </w:rPr>
      </w:pPr>
    </w:p>
    <w:p w14:paraId="70F97B99"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Specialių reikalavimų nėra.</w:t>
      </w:r>
    </w:p>
    <w:p w14:paraId="2E0781BD"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Nesuvartotą vaistinį preparatą ar atliekas reikia tvarkyti laikantis vietinių reikalavimų.</w:t>
      </w:r>
    </w:p>
    <w:p w14:paraId="7108EB86" w14:textId="77777777" w:rsidR="007D1CCA" w:rsidRDefault="007D1CCA">
      <w:pPr>
        <w:widowControl w:val="0"/>
        <w:spacing w:after="0" w:line="240" w:lineRule="auto"/>
        <w:rPr>
          <w:rFonts w:ascii="Times New Roman" w:eastAsia="Times New Roman" w:hAnsi="Times New Roman" w:cs="Times New Roman"/>
          <w:snapToGrid w:val="0"/>
        </w:rPr>
      </w:pPr>
    </w:p>
    <w:p w14:paraId="7E4078E6" w14:textId="77777777" w:rsidR="007D1CCA" w:rsidRDefault="007D1CCA">
      <w:pPr>
        <w:widowControl w:val="0"/>
        <w:spacing w:after="0" w:line="240" w:lineRule="auto"/>
        <w:rPr>
          <w:rFonts w:ascii="Times New Roman" w:eastAsia="Times New Roman" w:hAnsi="Times New Roman" w:cs="Times New Roman"/>
          <w:snapToGrid w:val="0"/>
        </w:rPr>
      </w:pPr>
    </w:p>
    <w:p w14:paraId="0A6B0E43" w14:textId="77777777" w:rsidR="007D1CCA" w:rsidRDefault="00A06746">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7.</w:t>
      </w:r>
      <w:r>
        <w:rPr>
          <w:rFonts w:ascii="Times New Roman" w:eastAsia="Times New Roman" w:hAnsi="Times New Roman" w:cs="Times New Roman"/>
          <w:b/>
          <w:bCs/>
          <w:snapToGrid w:val="0"/>
          <w:lang w:eastAsia="x-none"/>
        </w:rPr>
        <w:tab/>
        <w:t>REGISTRUOTOJAS</w:t>
      </w:r>
    </w:p>
    <w:p w14:paraId="480ED9CF" w14:textId="77777777" w:rsidR="007D1CCA" w:rsidRDefault="007D1CCA">
      <w:pPr>
        <w:widowControl w:val="0"/>
        <w:spacing w:after="0" w:line="240" w:lineRule="auto"/>
        <w:rPr>
          <w:rFonts w:ascii="Times New Roman" w:eastAsia="Times New Roman" w:hAnsi="Times New Roman" w:cs="Times New Roman"/>
          <w:snapToGrid w:val="0"/>
        </w:rPr>
      </w:pPr>
    </w:p>
    <w:p w14:paraId="7CC6C040"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KRKA, d. d., Novo mesto</w:t>
      </w:r>
    </w:p>
    <w:p w14:paraId="6FCA4039" w14:textId="77777777" w:rsidR="007D1CCA" w:rsidRDefault="00A06746">
      <w:pPr>
        <w:widowControl w:val="0"/>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Šmarješka</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cesta</w:t>
      </w:r>
      <w:proofErr w:type="spellEnd"/>
      <w:r>
        <w:rPr>
          <w:rFonts w:ascii="Times New Roman" w:eastAsia="Times New Roman" w:hAnsi="Times New Roman" w:cs="Times New Roman"/>
          <w:snapToGrid w:val="0"/>
        </w:rPr>
        <w:t xml:space="preserve"> 6</w:t>
      </w:r>
    </w:p>
    <w:p w14:paraId="3D0EB6FB"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8501 Novo mesto</w:t>
      </w:r>
    </w:p>
    <w:p w14:paraId="788E80CA"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Slovėnija</w:t>
      </w:r>
    </w:p>
    <w:p w14:paraId="0DEFBBC6" w14:textId="77777777" w:rsidR="007D1CCA" w:rsidRDefault="007D1CCA">
      <w:pPr>
        <w:widowControl w:val="0"/>
        <w:spacing w:after="0" w:line="240" w:lineRule="auto"/>
        <w:rPr>
          <w:rFonts w:ascii="Times New Roman" w:eastAsia="Times New Roman" w:hAnsi="Times New Roman" w:cs="Times New Roman"/>
          <w:snapToGrid w:val="0"/>
        </w:rPr>
      </w:pPr>
    </w:p>
    <w:p w14:paraId="41034E1B" w14:textId="77777777" w:rsidR="007D1CCA" w:rsidRDefault="007D1CCA">
      <w:pPr>
        <w:widowControl w:val="0"/>
        <w:spacing w:after="0" w:line="240" w:lineRule="auto"/>
        <w:rPr>
          <w:rFonts w:ascii="Times New Roman" w:eastAsia="Times New Roman" w:hAnsi="Times New Roman" w:cs="Times New Roman"/>
          <w:snapToGrid w:val="0"/>
        </w:rPr>
      </w:pPr>
    </w:p>
    <w:p w14:paraId="36D83DF9" w14:textId="77777777" w:rsidR="007D1CCA" w:rsidRDefault="00A06746">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8.</w:t>
      </w:r>
      <w:r>
        <w:rPr>
          <w:rFonts w:ascii="Times New Roman" w:eastAsia="Times New Roman" w:hAnsi="Times New Roman" w:cs="Times New Roman"/>
          <w:b/>
          <w:bCs/>
          <w:snapToGrid w:val="0"/>
          <w:lang w:eastAsia="x-none"/>
        </w:rPr>
        <w:tab/>
        <w:t>REGISTRACIJOS PAŽYMĖJIMO NUMERIS (-IAI)</w:t>
      </w:r>
    </w:p>
    <w:p w14:paraId="20CE3CF8" w14:textId="77777777" w:rsidR="007D1CCA" w:rsidRDefault="007D1CCA">
      <w:pPr>
        <w:widowControl w:val="0"/>
        <w:spacing w:after="0" w:line="240" w:lineRule="auto"/>
        <w:rPr>
          <w:rFonts w:ascii="Times New Roman" w:eastAsia="Times New Roman" w:hAnsi="Times New Roman" w:cs="Times New Roman"/>
          <w:snapToGrid w:val="0"/>
        </w:rPr>
      </w:pPr>
    </w:p>
    <w:tbl>
      <w:tblPr>
        <w:tblStyle w:val="Lentelstinkleli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5"/>
      </w:tblGrid>
      <w:tr w:rsidR="007D1CCA" w14:paraId="25061192" w14:textId="77777777">
        <w:tc>
          <w:tcPr>
            <w:tcW w:w="4643" w:type="dxa"/>
            <w:hideMark/>
          </w:tcPr>
          <w:p w14:paraId="2305C2D3" w14:textId="77777777" w:rsidR="007D1CCA" w:rsidRPr="00A83D4D" w:rsidRDefault="00A06746">
            <w:pPr>
              <w:widowControl w:val="0"/>
              <w:rPr>
                <w:rFonts w:eastAsia="Calibri"/>
                <w:snapToGrid w:val="0"/>
                <w:sz w:val="22"/>
                <w:szCs w:val="22"/>
                <w:u w:val="single"/>
                <w:lang w:val="pt-PT" w:eastAsia="lt-LT"/>
              </w:rPr>
            </w:pPr>
            <w:r w:rsidRPr="00A83D4D">
              <w:rPr>
                <w:rFonts w:eastAsia="Calibri"/>
                <w:snapToGrid w:val="0"/>
                <w:u w:val="single"/>
                <w:lang w:val="pt-PT" w:eastAsia="lt-LT"/>
              </w:rPr>
              <w:t>30 mg</w:t>
            </w:r>
          </w:p>
          <w:p w14:paraId="2F0FCC21" w14:textId="77777777" w:rsidR="007D1CCA" w:rsidRPr="00A83D4D" w:rsidRDefault="00A06746">
            <w:pPr>
              <w:rPr>
                <w:rFonts w:eastAsia="Calibri"/>
                <w:bCs/>
                <w:sz w:val="22"/>
                <w:szCs w:val="22"/>
                <w:lang w:val="pt-PT" w:eastAsia="lt-LT"/>
              </w:rPr>
            </w:pPr>
            <w:r w:rsidRPr="00A83D4D">
              <w:rPr>
                <w:rFonts w:eastAsia="Calibri"/>
                <w:bCs/>
                <w:lang w:val="pt-PT" w:eastAsia="lt-LT"/>
              </w:rPr>
              <w:t>LT/1/15/3722/001 – N7</w:t>
            </w:r>
          </w:p>
          <w:p w14:paraId="0C16DFAA" w14:textId="77777777" w:rsidR="007D1CCA" w:rsidRPr="00A83D4D" w:rsidRDefault="00A06746">
            <w:pPr>
              <w:rPr>
                <w:rFonts w:eastAsia="Calibri"/>
                <w:bCs/>
                <w:sz w:val="22"/>
                <w:szCs w:val="22"/>
                <w:lang w:val="pt-PT" w:eastAsia="lt-LT"/>
              </w:rPr>
            </w:pPr>
            <w:r w:rsidRPr="00A83D4D">
              <w:rPr>
                <w:rFonts w:eastAsia="Calibri"/>
                <w:bCs/>
                <w:lang w:val="pt-PT" w:eastAsia="lt-LT"/>
              </w:rPr>
              <w:t>LT/1/15/3722/002 – N10</w:t>
            </w:r>
          </w:p>
          <w:p w14:paraId="648F2FC8" w14:textId="77777777" w:rsidR="007D1CCA" w:rsidRPr="00A83D4D" w:rsidRDefault="00A06746">
            <w:pPr>
              <w:rPr>
                <w:rFonts w:eastAsia="Calibri"/>
                <w:bCs/>
                <w:sz w:val="22"/>
                <w:szCs w:val="22"/>
                <w:lang w:val="pt-PT" w:eastAsia="lt-LT"/>
              </w:rPr>
            </w:pPr>
            <w:r w:rsidRPr="00A83D4D">
              <w:rPr>
                <w:rFonts w:eastAsia="Calibri"/>
                <w:bCs/>
                <w:lang w:val="pt-PT" w:eastAsia="lt-LT"/>
              </w:rPr>
              <w:t>LT/1/15/3722/003 – N14</w:t>
            </w:r>
          </w:p>
          <w:p w14:paraId="6429003E" w14:textId="77777777" w:rsidR="007D1CCA" w:rsidRPr="00A83D4D" w:rsidRDefault="00A06746">
            <w:pPr>
              <w:rPr>
                <w:rFonts w:eastAsia="Calibri"/>
                <w:bCs/>
                <w:sz w:val="22"/>
                <w:szCs w:val="22"/>
                <w:lang w:val="pt-PT" w:eastAsia="lt-LT"/>
              </w:rPr>
            </w:pPr>
            <w:r w:rsidRPr="00A83D4D">
              <w:rPr>
                <w:rFonts w:eastAsia="Calibri"/>
                <w:bCs/>
                <w:lang w:val="pt-PT" w:eastAsia="lt-LT"/>
              </w:rPr>
              <w:t>LT/1/15/3722/004 – N28</w:t>
            </w:r>
          </w:p>
          <w:p w14:paraId="13FB3CA4" w14:textId="77777777" w:rsidR="007D1CCA" w:rsidRPr="00A83D4D" w:rsidRDefault="00A06746">
            <w:pPr>
              <w:rPr>
                <w:rFonts w:eastAsia="Calibri"/>
                <w:bCs/>
                <w:sz w:val="22"/>
                <w:szCs w:val="22"/>
                <w:lang w:val="pt-PT" w:eastAsia="lt-LT"/>
              </w:rPr>
            </w:pPr>
            <w:r w:rsidRPr="00A83D4D">
              <w:rPr>
                <w:rFonts w:eastAsia="Calibri"/>
                <w:bCs/>
                <w:lang w:val="pt-PT" w:eastAsia="lt-LT"/>
              </w:rPr>
              <w:t>LT/1/15/3722/005 – N30</w:t>
            </w:r>
          </w:p>
          <w:p w14:paraId="28522B8F" w14:textId="77777777" w:rsidR="007D1CCA" w:rsidRPr="00A83D4D" w:rsidRDefault="00A06746">
            <w:pPr>
              <w:rPr>
                <w:rFonts w:eastAsia="Calibri"/>
                <w:bCs/>
                <w:sz w:val="22"/>
                <w:szCs w:val="22"/>
                <w:lang w:val="pt-PT" w:eastAsia="lt-LT"/>
              </w:rPr>
            </w:pPr>
            <w:r w:rsidRPr="00A83D4D">
              <w:rPr>
                <w:rFonts w:eastAsia="Calibri"/>
                <w:bCs/>
                <w:lang w:val="pt-PT" w:eastAsia="lt-LT"/>
              </w:rPr>
              <w:t>LT/1/15/3722/006 – N56</w:t>
            </w:r>
          </w:p>
          <w:p w14:paraId="735DC777" w14:textId="77777777" w:rsidR="007D1CCA" w:rsidRPr="00A83D4D" w:rsidRDefault="00A06746">
            <w:pPr>
              <w:rPr>
                <w:rFonts w:eastAsia="Calibri"/>
                <w:bCs/>
                <w:sz w:val="22"/>
                <w:szCs w:val="22"/>
                <w:lang w:val="pt-PT" w:eastAsia="lt-LT"/>
              </w:rPr>
            </w:pPr>
            <w:r w:rsidRPr="00A83D4D">
              <w:rPr>
                <w:rFonts w:eastAsia="Calibri"/>
                <w:bCs/>
                <w:lang w:val="pt-PT" w:eastAsia="lt-LT"/>
              </w:rPr>
              <w:t>LT/1/15/3722/007 – N60</w:t>
            </w:r>
          </w:p>
          <w:p w14:paraId="6FBA1B1C" w14:textId="77777777" w:rsidR="007D1CCA" w:rsidRDefault="00A06746">
            <w:pPr>
              <w:rPr>
                <w:rFonts w:eastAsia="Calibri"/>
                <w:bCs/>
                <w:sz w:val="22"/>
                <w:szCs w:val="22"/>
                <w:lang w:eastAsia="lt-LT"/>
              </w:rPr>
            </w:pPr>
            <w:r>
              <w:rPr>
                <w:rFonts w:eastAsia="Calibri"/>
                <w:bCs/>
                <w:sz w:val="22"/>
                <w:szCs w:val="22"/>
                <w:lang w:eastAsia="lt-LT"/>
              </w:rPr>
              <w:t>LT/1/15/3722/008 – N90</w:t>
            </w:r>
          </w:p>
          <w:p w14:paraId="51AEFD2D" w14:textId="77777777" w:rsidR="007D1CCA" w:rsidRDefault="00A06746">
            <w:pPr>
              <w:rPr>
                <w:rFonts w:eastAsia="Calibri"/>
                <w:snapToGrid w:val="0"/>
                <w:sz w:val="22"/>
                <w:szCs w:val="22"/>
                <w:lang w:eastAsia="lt-LT"/>
              </w:rPr>
            </w:pPr>
            <w:r>
              <w:rPr>
                <w:rFonts w:eastAsia="Calibri"/>
                <w:bCs/>
                <w:sz w:val="22"/>
                <w:szCs w:val="22"/>
                <w:lang w:eastAsia="lt-LT"/>
              </w:rPr>
              <w:t>LT/1/15/3722/009 – N100</w:t>
            </w:r>
          </w:p>
        </w:tc>
        <w:tc>
          <w:tcPr>
            <w:tcW w:w="4644" w:type="dxa"/>
            <w:hideMark/>
          </w:tcPr>
          <w:p w14:paraId="413398DD" w14:textId="77777777" w:rsidR="007D1CCA" w:rsidRPr="00A83D4D" w:rsidRDefault="00A06746">
            <w:pPr>
              <w:widowControl w:val="0"/>
              <w:rPr>
                <w:rFonts w:eastAsia="Calibri"/>
                <w:snapToGrid w:val="0"/>
                <w:sz w:val="22"/>
                <w:szCs w:val="22"/>
                <w:u w:val="single"/>
                <w:lang w:val="pt-PT" w:eastAsia="lt-LT"/>
              </w:rPr>
            </w:pPr>
            <w:r w:rsidRPr="00A83D4D">
              <w:rPr>
                <w:rFonts w:eastAsia="Calibri"/>
                <w:snapToGrid w:val="0"/>
                <w:u w:val="single"/>
                <w:lang w:val="pt-PT" w:eastAsia="lt-LT"/>
              </w:rPr>
              <w:t>60 mg</w:t>
            </w:r>
          </w:p>
          <w:p w14:paraId="737C373D" w14:textId="77777777" w:rsidR="007D1CCA" w:rsidRDefault="00A06746">
            <w:pPr>
              <w:rPr>
                <w:bCs/>
                <w:sz w:val="22"/>
                <w:lang w:val="lt-LT"/>
              </w:rPr>
            </w:pPr>
            <w:r>
              <w:rPr>
                <w:bCs/>
                <w:sz w:val="22"/>
                <w:lang w:val="lt-LT"/>
              </w:rPr>
              <w:t>LT/1/15/3722/010 – N7</w:t>
            </w:r>
          </w:p>
          <w:p w14:paraId="7F602102" w14:textId="77777777" w:rsidR="007D1CCA" w:rsidRDefault="00A06746">
            <w:pPr>
              <w:rPr>
                <w:bCs/>
                <w:sz w:val="22"/>
                <w:lang w:val="lt-LT"/>
              </w:rPr>
            </w:pPr>
            <w:r>
              <w:rPr>
                <w:bCs/>
                <w:sz w:val="22"/>
                <w:lang w:val="lt-LT"/>
              </w:rPr>
              <w:t>LT/1/15/3722/011 – N10</w:t>
            </w:r>
          </w:p>
          <w:p w14:paraId="25DF41B0" w14:textId="77777777" w:rsidR="007D1CCA" w:rsidRDefault="00A06746">
            <w:pPr>
              <w:rPr>
                <w:bCs/>
                <w:sz w:val="22"/>
                <w:lang w:val="lt-LT"/>
              </w:rPr>
            </w:pPr>
            <w:r>
              <w:rPr>
                <w:bCs/>
                <w:sz w:val="22"/>
                <w:lang w:val="lt-LT"/>
              </w:rPr>
              <w:t>LT/1/15/3722/012 – N14</w:t>
            </w:r>
          </w:p>
          <w:p w14:paraId="00E7CF70" w14:textId="77777777" w:rsidR="007D1CCA" w:rsidRDefault="00A06746">
            <w:pPr>
              <w:rPr>
                <w:bCs/>
                <w:sz w:val="22"/>
                <w:lang w:val="lt-LT"/>
              </w:rPr>
            </w:pPr>
            <w:r>
              <w:rPr>
                <w:bCs/>
                <w:sz w:val="22"/>
                <w:lang w:val="lt-LT"/>
              </w:rPr>
              <w:t>LT/1/15/3722/013 – N28</w:t>
            </w:r>
          </w:p>
          <w:p w14:paraId="580DAEA3" w14:textId="77777777" w:rsidR="007D1CCA" w:rsidRDefault="00A06746">
            <w:pPr>
              <w:rPr>
                <w:bCs/>
                <w:sz w:val="22"/>
                <w:lang w:val="lt-LT"/>
              </w:rPr>
            </w:pPr>
            <w:r>
              <w:rPr>
                <w:bCs/>
                <w:sz w:val="22"/>
                <w:lang w:val="lt-LT"/>
              </w:rPr>
              <w:t>LT/1/15/3722/014 – N30</w:t>
            </w:r>
          </w:p>
          <w:p w14:paraId="1FF190D7" w14:textId="77777777" w:rsidR="007D1CCA" w:rsidRDefault="00A06746">
            <w:pPr>
              <w:rPr>
                <w:bCs/>
                <w:sz w:val="22"/>
                <w:lang w:val="lt-LT"/>
              </w:rPr>
            </w:pPr>
            <w:r>
              <w:rPr>
                <w:bCs/>
                <w:sz w:val="22"/>
                <w:lang w:val="lt-LT"/>
              </w:rPr>
              <w:t>LT/1/15/3722/015 – N56</w:t>
            </w:r>
          </w:p>
          <w:p w14:paraId="114E3D15" w14:textId="77777777" w:rsidR="007D1CCA" w:rsidRDefault="00A06746">
            <w:pPr>
              <w:rPr>
                <w:bCs/>
                <w:sz w:val="22"/>
                <w:lang w:val="lt-LT"/>
              </w:rPr>
            </w:pPr>
            <w:r>
              <w:rPr>
                <w:bCs/>
                <w:sz w:val="22"/>
                <w:lang w:val="lt-LT"/>
              </w:rPr>
              <w:t>LT/1/15/3722/016 – N60</w:t>
            </w:r>
          </w:p>
          <w:p w14:paraId="018A1238" w14:textId="77777777" w:rsidR="007D1CCA" w:rsidRDefault="00A06746">
            <w:pPr>
              <w:rPr>
                <w:bCs/>
                <w:sz w:val="22"/>
                <w:lang w:val="lt-LT"/>
              </w:rPr>
            </w:pPr>
            <w:r>
              <w:rPr>
                <w:bCs/>
                <w:sz w:val="22"/>
                <w:lang w:val="lt-LT"/>
              </w:rPr>
              <w:t>LT/1/15/3722/017 – N90</w:t>
            </w:r>
          </w:p>
          <w:p w14:paraId="28E99BAD" w14:textId="77777777" w:rsidR="007D1CCA" w:rsidRDefault="00A06746">
            <w:pPr>
              <w:widowControl w:val="0"/>
              <w:rPr>
                <w:rFonts w:eastAsia="Calibri"/>
                <w:snapToGrid w:val="0"/>
                <w:sz w:val="22"/>
                <w:szCs w:val="22"/>
                <w:lang w:eastAsia="lt-LT"/>
              </w:rPr>
            </w:pPr>
            <w:r>
              <w:rPr>
                <w:bCs/>
                <w:sz w:val="22"/>
                <w:lang w:val="lt-LT"/>
              </w:rPr>
              <w:t>LT/1/15/3722/018 – N100</w:t>
            </w:r>
          </w:p>
        </w:tc>
      </w:tr>
    </w:tbl>
    <w:p w14:paraId="74DCC539" w14:textId="77777777" w:rsidR="007D1CCA" w:rsidRDefault="007D1CCA">
      <w:pPr>
        <w:widowControl w:val="0"/>
        <w:spacing w:after="0" w:line="240" w:lineRule="auto"/>
        <w:rPr>
          <w:rFonts w:ascii="Times New Roman" w:eastAsia="Times New Roman" w:hAnsi="Times New Roman" w:cs="Times New Roman"/>
          <w:snapToGrid w:val="0"/>
        </w:rPr>
      </w:pPr>
    </w:p>
    <w:p w14:paraId="54870039" w14:textId="77777777" w:rsidR="007D1CCA" w:rsidRDefault="007D1CCA">
      <w:pPr>
        <w:widowControl w:val="0"/>
        <w:spacing w:after="0" w:line="240" w:lineRule="auto"/>
        <w:rPr>
          <w:rFonts w:ascii="Times New Roman" w:eastAsia="Times New Roman" w:hAnsi="Times New Roman" w:cs="Times New Roman"/>
          <w:snapToGrid w:val="0"/>
        </w:rPr>
      </w:pPr>
    </w:p>
    <w:p w14:paraId="5A206B23" w14:textId="77777777" w:rsidR="007D1CCA" w:rsidRDefault="00A06746">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9.</w:t>
      </w:r>
      <w:r>
        <w:rPr>
          <w:rFonts w:ascii="Times New Roman" w:eastAsia="Times New Roman" w:hAnsi="Times New Roman" w:cs="Times New Roman"/>
          <w:b/>
          <w:bCs/>
          <w:snapToGrid w:val="0"/>
          <w:lang w:eastAsia="x-none"/>
        </w:rPr>
        <w:tab/>
        <w:t>REGISTRAVIMO / PERREGISTRAVIMO DATA</w:t>
      </w:r>
    </w:p>
    <w:p w14:paraId="28BB1527" w14:textId="77777777" w:rsidR="007D1CCA" w:rsidRDefault="007D1CCA">
      <w:pPr>
        <w:widowControl w:val="0"/>
        <w:spacing w:after="0" w:line="240" w:lineRule="auto"/>
        <w:rPr>
          <w:rFonts w:ascii="Times New Roman" w:eastAsia="Times New Roman" w:hAnsi="Times New Roman" w:cs="Times New Roman"/>
          <w:snapToGrid w:val="0"/>
        </w:rPr>
      </w:pPr>
    </w:p>
    <w:p w14:paraId="2C27412D" w14:textId="77777777" w:rsidR="007D1CCA" w:rsidRDefault="00A06746">
      <w:pPr>
        <w:spacing w:after="0" w:line="240" w:lineRule="auto"/>
        <w:rPr>
          <w:rFonts w:ascii="Times New Roman" w:eastAsia="Times New Roman" w:hAnsi="Times New Roman" w:cs="Times New Roman"/>
          <w:noProof/>
          <w:snapToGrid w:val="0"/>
        </w:rPr>
      </w:pPr>
      <w:r>
        <w:rPr>
          <w:rFonts w:ascii="Times New Roman" w:eastAsia="Times New Roman" w:hAnsi="Times New Roman" w:cs="Times New Roman"/>
          <w:noProof/>
          <w:snapToGrid w:val="0"/>
        </w:rPr>
        <w:t>Registravimo data 2015 m. gegužės 13 d.</w:t>
      </w:r>
    </w:p>
    <w:p w14:paraId="78FC242D" w14:textId="77777777" w:rsidR="007D1CCA" w:rsidRDefault="00A06746">
      <w:pPr>
        <w:spacing w:after="0" w:line="240" w:lineRule="auto"/>
        <w:rPr>
          <w:rFonts w:ascii="Times New Roman" w:eastAsia="Times New Roman" w:hAnsi="Times New Roman" w:cs="Times New Roman"/>
          <w:snapToGrid w:val="0"/>
        </w:rPr>
      </w:pPr>
      <w:r>
        <w:rPr>
          <w:rFonts w:ascii="Times New Roman" w:eastAsia="Times New Roman" w:hAnsi="Times New Roman" w:cs="Times New Roman"/>
          <w:noProof/>
          <w:snapToGrid w:val="0"/>
        </w:rPr>
        <w:t>Paskutinio perregistravimo data 2020 m. vasario 27 d.</w:t>
      </w:r>
    </w:p>
    <w:p w14:paraId="7C04C177" w14:textId="77777777" w:rsidR="007D1CCA" w:rsidRDefault="007D1CCA">
      <w:pPr>
        <w:widowControl w:val="0"/>
        <w:spacing w:after="0" w:line="240" w:lineRule="auto"/>
        <w:rPr>
          <w:rFonts w:ascii="Times New Roman" w:eastAsia="Times New Roman" w:hAnsi="Times New Roman" w:cs="Times New Roman"/>
          <w:snapToGrid w:val="0"/>
        </w:rPr>
      </w:pPr>
    </w:p>
    <w:p w14:paraId="5D7EDA74" w14:textId="77777777" w:rsidR="007D1CCA" w:rsidRDefault="007D1CCA">
      <w:pPr>
        <w:widowControl w:val="0"/>
        <w:spacing w:after="0" w:line="240" w:lineRule="auto"/>
        <w:rPr>
          <w:rFonts w:ascii="Times New Roman" w:eastAsia="Times New Roman" w:hAnsi="Times New Roman" w:cs="Times New Roman"/>
          <w:snapToGrid w:val="0"/>
        </w:rPr>
      </w:pPr>
    </w:p>
    <w:p w14:paraId="668F8774" w14:textId="77777777" w:rsidR="007D1CCA" w:rsidRDefault="00A06746">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10.</w:t>
      </w:r>
      <w:r>
        <w:rPr>
          <w:rFonts w:ascii="Times New Roman" w:eastAsia="Times New Roman" w:hAnsi="Times New Roman" w:cs="Times New Roman"/>
          <w:b/>
          <w:bCs/>
          <w:snapToGrid w:val="0"/>
          <w:lang w:eastAsia="x-none"/>
        </w:rPr>
        <w:tab/>
        <w:t>TEKSTO PERŽIŪROS DATA</w:t>
      </w:r>
    </w:p>
    <w:p w14:paraId="2B4C5BE3" w14:textId="77777777" w:rsidR="007D1CCA" w:rsidRDefault="007D1CCA">
      <w:pPr>
        <w:widowControl w:val="0"/>
        <w:spacing w:after="0" w:line="240" w:lineRule="auto"/>
        <w:rPr>
          <w:rFonts w:ascii="Times New Roman" w:eastAsia="Times New Roman" w:hAnsi="Times New Roman" w:cs="Times New Roman"/>
          <w:snapToGrid w:val="0"/>
        </w:rPr>
      </w:pPr>
    </w:p>
    <w:p w14:paraId="3021FE72" w14:textId="3D7CC08B" w:rsidR="007D1CCA" w:rsidRDefault="003079AF">
      <w:pPr>
        <w:widowControl w:val="0"/>
        <w:tabs>
          <w:tab w:val="left" w:pos="5954"/>
          <w:tab w:val="left" w:pos="6237"/>
          <w:tab w:val="left" w:pos="6663"/>
          <w:tab w:val="left" w:pos="6946"/>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2024 m. rugsėjo 10 d.</w:t>
      </w:r>
    </w:p>
    <w:p w14:paraId="2F5EFE90" w14:textId="77777777" w:rsidR="00884DF3" w:rsidRDefault="00884DF3">
      <w:pPr>
        <w:widowControl w:val="0"/>
        <w:tabs>
          <w:tab w:val="left" w:pos="5954"/>
          <w:tab w:val="left" w:pos="6237"/>
          <w:tab w:val="left" w:pos="6663"/>
          <w:tab w:val="left" w:pos="6946"/>
        </w:tabs>
        <w:spacing w:after="0" w:line="240" w:lineRule="auto"/>
        <w:rPr>
          <w:rFonts w:ascii="Times New Roman" w:eastAsia="SimSun" w:hAnsi="Times New Roman" w:cs="Times New Roman"/>
        </w:rPr>
      </w:pPr>
    </w:p>
    <w:p w14:paraId="232B1F14" w14:textId="75F365B7" w:rsidR="007D1CCA" w:rsidRDefault="00A06746">
      <w:pPr>
        <w:widowControl w:val="0"/>
        <w:tabs>
          <w:tab w:val="left" w:pos="5954"/>
          <w:tab w:val="left" w:pos="6237"/>
          <w:tab w:val="left" w:pos="6663"/>
          <w:tab w:val="left" w:pos="6946"/>
        </w:tabs>
        <w:spacing w:after="0" w:line="240" w:lineRule="auto"/>
        <w:rPr>
          <w:rFonts w:ascii="Times New Roman" w:eastAsia="SimSun" w:hAnsi="Times New Roman" w:cs="Times New Roman"/>
        </w:rPr>
      </w:pPr>
      <w:r>
        <w:rPr>
          <w:rFonts w:ascii="Times New Roman" w:eastAsia="SimSun" w:hAnsi="Times New Roman" w:cs="Times New Roman"/>
        </w:rPr>
        <w:t>Išsami informacija apie šį vaistinį preparatą pateikiama Valstybinės vaistų kontrolės tarnybos prie Lietuvos Respublikos sveikatos apsaugos ministerijos tinklalapyje</w:t>
      </w:r>
      <w:r>
        <w:rPr>
          <w:rFonts w:ascii="Times New Roman" w:eastAsia="SimSun" w:hAnsi="Times New Roman" w:cs="Times New Roman"/>
          <w:i/>
        </w:rPr>
        <w:t xml:space="preserve"> </w:t>
      </w:r>
      <w:hyperlink r:id="rId8" w:history="1">
        <w:r w:rsidR="00D46CD2" w:rsidRPr="00D46CD2">
          <w:rPr>
            <w:rStyle w:val="Hipersaitas"/>
            <w:rFonts w:asciiTheme="minorHAnsi" w:hAnsiTheme="minorHAnsi" w:cstheme="minorBidi"/>
            <w:sz w:val="22"/>
            <w:szCs w:val="22"/>
            <w:lang w:val="lt-LT"/>
          </w:rPr>
          <w:t>https://vvkt.lrv.lt/lt/</w:t>
        </w:r>
      </w:hyperlink>
      <w:r w:rsidR="00D46CD2">
        <w:t>.</w:t>
      </w:r>
    </w:p>
    <w:p w14:paraId="4853F691" w14:textId="77777777" w:rsidR="007D1CCA" w:rsidRDefault="00A06746">
      <w:pPr>
        <w:widowControl w:val="0"/>
        <w:tabs>
          <w:tab w:val="left" w:pos="5954"/>
          <w:tab w:val="left" w:pos="6237"/>
          <w:tab w:val="left" w:pos="6663"/>
          <w:tab w:val="left" w:pos="6946"/>
        </w:tabs>
        <w:spacing w:after="0" w:line="240" w:lineRule="auto"/>
        <w:jc w:val="center"/>
        <w:rPr>
          <w:rFonts w:ascii="Times New Roman" w:eastAsia="SimSun" w:hAnsi="Times New Roman" w:cs="Times New Roman"/>
        </w:rPr>
      </w:pPr>
      <w:r>
        <w:rPr>
          <w:rFonts w:ascii="Times New Roman" w:eastAsia="SimSun" w:hAnsi="Times New Roman" w:cs="Times New Roman"/>
        </w:rPr>
        <w:br w:type="page"/>
      </w:r>
    </w:p>
    <w:p w14:paraId="5826EA46" w14:textId="77777777" w:rsidR="007D1CCA" w:rsidRDefault="007D1CCA">
      <w:pPr>
        <w:widowControl w:val="0"/>
        <w:tabs>
          <w:tab w:val="left" w:pos="5954"/>
          <w:tab w:val="left" w:pos="6237"/>
          <w:tab w:val="left" w:pos="6663"/>
          <w:tab w:val="left" w:pos="6946"/>
        </w:tabs>
        <w:spacing w:after="0" w:line="240" w:lineRule="auto"/>
        <w:jc w:val="center"/>
        <w:rPr>
          <w:rFonts w:ascii="Times New Roman" w:eastAsia="SimSun" w:hAnsi="Times New Roman" w:cs="Times New Roman"/>
        </w:rPr>
      </w:pPr>
    </w:p>
    <w:p w14:paraId="67F651D9" w14:textId="77777777" w:rsidR="007D1CCA" w:rsidRDefault="007D1CCA">
      <w:pPr>
        <w:widowControl w:val="0"/>
        <w:tabs>
          <w:tab w:val="left" w:pos="5954"/>
          <w:tab w:val="left" w:pos="6237"/>
          <w:tab w:val="left" w:pos="6663"/>
          <w:tab w:val="left" w:pos="6946"/>
        </w:tabs>
        <w:spacing w:after="0" w:line="240" w:lineRule="auto"/>
        <w:jc w:val="center"/>
        <w:rPr>
          <w:rFonts w:ascii="Times New Roman" w:eastAsia="SimSun" w:hAnsi="Times New Roman" w:cs="Times New Roman"/>
        </w:rPr>
      </w:pPr>
    </w:p>
    <w:p w14:paraId="6FAEEA8A" w14:textId="77777777" w:rsidR="007D1CCA" w:rsidRDefault="007D1CCA">
      <w:pPr>
        <w:widowControl w:val="0"/>
        <w:tabs>
          <w:tab w:val="left" w:pos="5954"/>
          <w:tab w:val="left" w:pos="6237"/>
          <w:tab w:val="left" w:pos="6663"/>
          <w:tab w:val="left" w:pos="6946"/>
        </w:tabs>
        <w:spacing w:after="0" w:line="240" w:lineRule="auto"/>
        <w:jc w:val="center"/>
        <w:rPr>
          <w:rFonts w:ascii="Times New Roman" w:eastAsia="SimSun" w:hAnsi="Times New Roman" w:cs="Times New Roman"/>
        </w:rPr>
      </w:pPr>
    </w:p>
    <w:p w14:paraId="2468A1E0" w14:textId="77777777" w:rsidR="007D1CCA" w:rsidRDefault="007D1CCA">
      <w:pPr>
        <w:widowControl w:val="0"/>
        <w:tabs>
          <w:tab w:val="left" w:pos="5954"/>
          <w:tab w:val="left" w:pos="6237"/>
          <w:tab w:val="left" w:pos="6663"/>
          <w:tab w:val="left" w:pos="6946"/>
        </w:tabs>
        <w:spacing w:after="0" w:line="240" w:lineRule="auto"/>
        <w:jc w:val="center"/>
        <w:rPr>
          <w:rFonts w:ascii="Times New Roman" w:eastAsia="SimSun" w:hAnsi="Times New Roman" w:cs="Times New Roman"/>
        </w:rPr>
      </w:pPr>
    </w:p>
    <w:p w14:paraId="5D16DE06" w14:textId="77777777" w:rsidR="007D1CCA" w:rsidRDefault="007D1CCA">
      <w:pPr>
        <w:widowControl w:val="0"/>
        <w:tabs>
          <w:tab w:val="left" w:pos="5954"/>
          <w:tab w:val="left" w:pos="6237"/>
          <w:tab w:val="left" w:pos="6663"/>
          <w:tab w:val="left" w:pos="6946"/>
        </w:tabs>
        <w:spacing w:after="0" w:line="240" w:lineRule="auto"/>
        <w:jc w:val="center"/>
        <w:rPr>
          <w:rFonts w:ascii="Times New Roman" w:eastAsia="SimSun" w:hAnsi="Times New Roman" w:cs="Times New Roman"/>
        </w:rPr>
      </w:pPr>
    </w:p>
    <w:p w14:paraId="5150693D" w14:textId="77777777" w:rsidR="007D1CCA" w:rsidRDefault="007D1CCA">
      <w:pPr>
        <w:widowControl w:val="0"/>
        <w:tabs>
          <w:tab w:val="left" w:pos="5954"/>
          <w:tab w:val="left" w:pos="6237"/>
          <w:tab w:val="left" w:pos="6663"/>
          <w:tab w:val="left" w:pos="6946"/>
        </w:tabs>
        <w:spacing w:after="0" w:line="240" w:lineRule="auto"/>
        <w:jc w:val="center"/>
        <w:rPr>
          <w:rFonts w:ascii="Times New Roman" w:eastAsia="SimSun" w:hAnsi="Times New Roman" w:cs="Times New Roman"/>
        </w:rPr>
      </w:pPr>
    </w:p>
    <w:p w14:paraId="14E239EE" w14:textId="77777777" w:rsidR="007D1CCA" w:rsidRDefault="007D1CCA">
      <w:pPr>
        <w:widowControl w:val="0"/>
        <w:tabs>
          <w:tab w:val="left" w:pos="5954"/>
          <w:tab w:val="left" w:pos="6237"/>
          <w:tab w:val="left" w:pos="6663"/>
          <w:tab w:val="left" w:pos="6946"/>
        </w:tabs>
        <w:spacing w:after="0" w:line="240" w:lineRule="auto"/>
        <w:jc w:val="center"/>
        <w:rPr>
          <w:rFonts w:ascii="Times New Roman" w:eastAsia="SimSun" w:hAnsi="Times New Roman" w:cs="Times New Roman"/>
        </w:rPr>
      </w:pPr>
    </w:p>
    <w:p w14:paraId="45D52119" w14:textId="77777777" w:rsidR="007D1CCA" w:rsidRDefault="007D1CCA">
      <w:pPr>
        <w:widowControl w:val="0"/>
        <w:tabs>
          <w:tab w:val="left" w:pos="5954"/>
          <w:tab w:val="left" w:pos="6237"/>
          <w:tab w:val="left" w:pos="6663"/>
          <w:tab w:val="left" w:pos="6946"/>
        </w:tabs>
        <w:spacing w:after="0" w:line="240" w:lineRule="auto"/>
        <w:jc w:val="center"/>
        <w:rPr>
          <w:rFonts w:ascii="Times New Roman" w:eastAsia="SimSun" w:hAnsi="Times New Roman" w:cs="Times New Roman"/>
        </w:rPr>
      </w:pPr>
    </w:p>
    <w:p w14:paraId="1C639A6B" w14:textId="77777777" w:rsidR="007D1CCA" w:rsidRDefault="007D1CCA">
      <w:pPr>
        <w:widowControl w:val="0"/>
        <w:tabs>
          <w:tab w:val="left" w:pos="5954"/>
          <w:tab w:val="left" w:pos="6237"/>
          <w:tab w:val="left" w:pos="6663"/>
          <w:tab w:val="left" w:pos="6946"/>
        </w:tabs>
        <w:spacing w:after="0" w:line="240" w:lineRule="auto"/>
        <w:jc w:val="center"/>
        <w:rPr>
          <w:rFonts w:ascii="Times New Roman" w:eastAsia="SimSun" w:hAnsi="Times New Roman" w:cs="Times New Roman"/>
        </w:rPr>
      </w:pPr>
    </w:p>
    <w:p w14:paraId="3427C8A6" w14:textId="77777777" w:rsidR="007D1CCA" w:rsidRDefault="007D1CCA">
      <w:pPr>
        <w:widowControl w:val="0"/>
        <w:tabs>
          <w:tab w:val="left" w:pos="5954"/>
          <w:tab w:val="left" w:pos="6237"/>
          <w:tab w:val="left" w:pos="6663"/>
          <w:tab w:val="left" w:pos="6946"/>
        </w:tabs>
        <w:spacing w:after="0" w:line="240" w:lineRule="auto"/>
        <w:jc w:val="center"/>
        <w:rPr>
          <w:rFonts w:ascii="Times New Roman" w:eastAsia="SimSun" w:hAnsi="Times New Roman" w:cs="Times New Roman"/>
        </w:rPr>
      </w:pPr>
    </w:p>
    <w:p w14:paraId="7549509C" w14:textId="77777777" w:rsidR="007D1CCA" w:rsidRDefault="007D1CCA">
      <w:pPr>
        <w:widowControl w:val="0"/>
        <w:tabs>
          <w:tab w:val="left" w:pos="5954"/>
          <w:tab w:val="left" w:pos="6237"/>
          <w:tab w:val="left" w:pos="6663"/>
          <w:tab w:val="left" w:pos="6946"/>
        </w:tabs>
        <w:spacing w:after="0" w:line="240" w:lineRule="auto"/>
        <w:jc w:val="center"/>
        <w:rPr>
          <w:rFonts w:ascii="Times New Roman" w:eastAsia="SimSun" w:hAnsi="Times New Roman" w:cs="Times New Roman"/>
        </w:rPr>
      </w:pPr>
    </w:p>
    <w:p w14:paraId="18A65561" w14:textId="77777777" w:rsidR="007D1CCA" w:rsidRDefault="007D1CCA">
      <w:pPr>
        <w:widowControl w:val="0"/>
        <w:tabs>
          <w:tab w:val="left" w:pos="5954"/>
          <w:tab w:val="left" w:pos="6237"/>
          <w:tab w:val="left" w:pos="6663"/>
          <w:tab w:val="left" w:pos="6946"/>
        </w:tabs>
        <w:spacing w:after="0" w:line="240" w:lineRule="auto"/>
        <w:jc w:val="center"/>
        <w:rPr>
          <w:rFonts w:ascii="Times New Roman" w:eastAsia="SimSun" w:hAnsi="Times New Roman" w:cs="Times New Roman"/>
        </w:rPr>
      </w:pPr>
    </w:p>
    <w:p w14:paraId="40262282" w14:textId="77777777" w:rsidR="007D1CCA" w:rsidRDefault="007D1CCA">
      <w:pPr>
        <w:widowControl w:val="0"/>
        <w:tabs>
          <w:tab w:val="left" w:pos="5954"/>
          <w:tab w:val="left" w:pos="6237"/>
          <w:tab w:val="left" w:pos="6663"/>
          <w:tab w:val="left" w:pos="6946"/>
        </w:tabs>
        <w:spacing w:after="0" w:line="240" w:lineRule="auto"/>
        <w:jc w:val="center"/>
        <w:rPr>
          <w:rFonts w:ascii="Times New Roman" w:eastAsia="SimSun" w:hAnsi="Times New Roman" w:cs="Times New Roman"/>
        </w:rPr>
      </w:pPr>
    </w:p>
    <w:p w14:paraId="1206BEE1" w14:textId="77777777" w:rsidR="007D1CCA" w:rsidRDefault="007D1CCA">
      <w:pPr>
        <w:widowControl w:val="0"/>
        <w:tabs>
          <w:tab w:val="left" w:pos="5954"/>
          <w:tab w:val="left" w:pos="6237"/>
          <w:tab w:val="left" w:pos="6663"/>
          <w:tab w:val="left" w:pos="6946"/>
        </w:tabs>
        <w:spacing w:after="0" w:line="240" w:lineRule="auto"/>
        <w:jc w:val="center"/>
        <w:rPr>
          <w:rFonts w:ascii="Times New Roman" w:eastAsia="SimSun" w:hAnsi="Times New Roman" w:cs="Times New Roman"/>
        </w:rPr>
      </w:pPr>
    </w:p>
    <w:p w14:paraId="27D57590"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430BD527"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37FD09B7"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016A9570"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70F3A900"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4EA7517F"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03EE5B1E"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6A2A498A"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73542373" w14:textId="77777777" w:rsidR="007D1CCA" w:rsidRDefault="007D1CCA">
      <w:pPr>
        <w:widowControl w:val="0"/>
        <w:tabs>
          <w:tab w:val="left" w:pos="567"/>
        </w:tabs>
        <w:spacing w:after="0" w:line="240" w:lineRule="auto"/>
        <w:jc w:val="center"/>
        <w:rPr>
          <w:rFonts w:ascii="Times New Roman" w:eastAsia="Times New Roman" w:hAnsi="Times New Roman" w:cs="Times New Roman"/>
          <w:b/>
          <w:snapToGrid w:val="0"/>
        </w:rPr>
      </w:pPr>
    </w:p>
    <w:p w14:paraId="7DE0D754" w14:textId="77777777" w:rsidR="007D1CCA" w:rsidRDefault="00A06746">
      <w:pPr>
        <w:widowControl w:val="0"/>
        <w:tabs>
          <w:tab w:val="left" w:pos="567"/>
        </w:tabs>
        <w:spacing w:after="0" w:line="240" w:lineRule="auto"/>
        <w:jc w:val="center"/>
        <w:rPr>
          <w:rFonts w:ascii="Times New Roman" w:eastAsia="Times New Roman" w:hAnsi="Times New Roman" w:cs="Times New Roman"/>
          <w:b/>
          <w:snapToGrid w:val="0"/>
        </w:rPr>
      </w:pPr>
      <w:r>
        <w:rPr>
          <w:rFonts w:ascii="Times New Roman" w:eastAsia="Times New Roman" w:hAnsi="Times New Roman" w:cs="Times New Roman"/>
          <w:b/>
          <w:snapToGrid w:val="0"/>
        </w:rPr>
        <w:t>II PRIEDAS</w:t>
      </w:r>
    </w:p>
    <w:p w14:paraId="35B1A8BA" w14:textId="77777777" w:rsidR="007D1CCA" w:rsidRDefault="007D1CCA">
      <w:pPr>
        <w:widowControl w:val="0"/>
        <w:tabs>
          <w:tab w:val="left" w:pos="567"/>
        </w:tabs>
        <w:spacing w:after="0" w:line="240" w:lineRule="auto"/>
        <w:ind w:left="1701" w:right="1416" w:hanging="567"/>
        <w:jc w:val="center"/>
        <w:rPr>
          <w:rFonts w:ascii="Times New Roman" w:eastAsia="Times New Roman" w:hAnsi="Times New Roman" w:cs="Times New Roman"/>
          <w:snapToGrid w:val="0"/>
        </w:rPr>
      </w:pPr>
    </w:p>
    <w:p w14:paraId="7BA2C11B" w14:textId="77777777" w:rsidR="007D1CCA" w:rsidRDefault="00A06746">
      <w:pPr>
        <w:widowControl w:val="0"/>
        <w:tabs>
          <w:tab w:val="left" w:pos="567"/>
        </w:tabs>
        <w:spacing w:after="0" w:line="240" w:lineRule="auto"/>
        <w:jc w:val="center"/>
        <w:rPr>
          <w:rFonts w:ascii="Times New Roman" w:eastAsia="Times New Roman" w:hAnsi="Times New Roman" w:cs="Times New Roman"/>
          <w:i/>
          <w:snapToGrid w:val="0"/>
        </w:rPr>
      </w:pPr>
      <w:r>
        <w:rPr>
          <w:rFonts w:ascii="Times New Roman" w:eastAsia="Times New Roman" w:hAnsi="Times New Roman" w:cs="Times New Roman"/>
          <w:b/>
          <w:snapToGrid w:val="0"/>
        </w:rPr>
        <w:t>REGISTRACIJOS SĄLYGOS</w:t>
      </w:r>
    </w:p>
    <w:p w14:paraId="2DD72B56"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32A645E7" w14:textId="77777777" w:rsidR="007D1CCA" w:rsidRDefault="00A06746">
      <w:pPr>
        <w:widowControl w:val="0"/>
        <w:tabs>
          <w:tab w:val="left" w:pos="1701"/>
        </w:tabs>
        <w:spacing w:after="0" w:line="240" w:lineRule="auto"/>
        <w:ind w:left="1701" w:right="567" w:hanging="567"/>
        <w:rPr>
          <w:rFonts w:ascii="Times New Roman" w:eastAsia="Times New Roman" w:hAnsi="Times New Roman" w:cs="Times New Roman"/>
          <w:b/>
          <w:snapToGrid w:val="0"/>
        </w:rPr>
      </w:pPr>
      <w:r>
        <w:rPr>
          <w:rFonts w:ascii="Times New Roman" w:eastAsia="Times New Roman" w:hAnsi="Times New Roman" w:cs="Times New Roman"/>
          <w:b/>
          <w:snapToGrid w:val="0"/>
        </w:rPr>
        <w:t>A.</w:t>
      </w:r>
      <w:r>
        <w:rPr>
          <w:rFonts w:ascii="Times New Roman" w:eastAsia="Times New Roman" w:hAnsi="Times New Roman" w:cs="Times New Roman"/>
          <w:b/>
          <w:snapToGrid w:val="0"/>
        </w:rPr>
        <w:tab/>
        <w:t>GAMINTOJAS (-AI), ATSAKINGAS (-I) UŽ SERIJŲ IŠLEIDIMĄ</w:t>
      </w:r>
    </w:p>
    <w:p w14:paraId="2FD48995" w14:textId="77777777" w:rsidR="007D1CCA" w:rsidRDefault="007D1CCA">
      <w:pPr>
        <w:widowControl w:val="0"/>
        <w:tabs>
          <w:tab w:val="left" w:pos="1701"/>
        </w:tabs>
        <w:spacing w:after="0" w:line="240" w:lineRule="auto"/>
        <w:ind w:left="567" w:right="567" w:hanging="567"/>
        <w:jc w:val="center"/>
        <w:rPr>
          <w:rFonts w:ascii="Times New Roman" w:eastAsia="Times New Roman" w:hAnsi="Times New Roman" w:cs="Times New Roman"/>
          <w:snapToGrid w:val="0"/>
        </w:rPr>
      </w:pPr>
    </w:p>
    <w:p w14:paraId="07AEEABB" w14:textId="77777777" w:rsidR="007D1CCA" w:rsidRDefault="00A06746">
      <w:pPr>
        <w:widowControl w:val="0"/>
        <w:tabs>
          <w:tab w:val="left" w:pos="1701"/>
        </w:tabs>
        <w:spacing w:after="0" w:line="240" w:lineRule="auto"/>
        <w:ind w:left="1701" w:right="567" w:hanging="567"/>
        <w:rPr>
          <w:rFonts w:ascii="Times New Roman" w:eastAsia="Times New Roman" w:hAnsi="Times New Roman" w:cs="Times New Roman"/>
          <w:b/>
          <w:snapToGrid w:val="0"/>
        </w:rPr>
      </w:pPr>
      <w:r>
        <w:rPr>
          <w:rFonts w:ascii="Times New Roman" w:eastAsia="Times New Roman" w:hAnsi="Times New Roman" w:cs="Times New Roman"/>
          <w:b/>
          <w:snapToGrid w:val="0"/>
        </w:rPr>
        <w:t>B.</w:t>
      </w:r>
      <w:r>
        <w:rPr>
          <w:rFonts w:ascii="Times New Roman" w:eastAsia="Times New Roman" w:hAnsi="Times New Roman" w:cs="Times New Roman"/>
          <w:b/>
          <w:snapToGrid w:val="0"/>
        </w:rPr>
        <w:tab/>
        <w:t>TIEKIMO IR VARTOJIMO SĄLYGOS AR APRIBOJIMAI</w:t>
      </w:r>
    </w:p>
    <w:p w14:paraId="5C6FB3FD" w14:textId="77777777" w:rsidR="007D1CCA" w:rsidRDefault="007D1CCA">
      <w:pPr>
        <w:widowControl w:val="0"/>
        <w:tabs>
          <w:tab w:val="left" w:pos="1701"/>
        </w:tabs>
        <w:spacing w:after="0" w:line="240" w:lineRule="auto"/>
        <w:ind w:left="567" w:right="567" w:hanging="567"/>
        <w:rPr>
          <w:rFonts w:ascii="Times New Roman" w:eastAsia="Times New Roman" w:hAnsi="Times New Roman" w:cs="Times New Roman"/>
          <w:snapToGrid w:val="0"/>
        </w:rPr>
      </w:pPr>
    </w:p>
    <w:p w14:paraId="4458E99F" w14:textId="77777777" w:rsidR="007D1CCA" w:rsidRDefault="007D1CCA">
      <w:pPr>
        <w:widowControl w:val="0"/>
        <w:tabs>
          <w:tab w:val="left" w:pos="567"/>
        </w:tabs>
        <w:spacing w:after="0" w:line="240" w:lineRule="auto"/>
        <w:ind w:left="567" w:hanging="567"/>
        <w:rPr>
          <w:rFonts w:ascii="Times New Roman" w:eastAsia="Times New Roman" w:hAnsi="Times New Roman" w:cs="Times New Roman"/>
          <w:snapToGrid w:val="0"/>
        </w:rPr>
      </w:pPr>
    </w:p>
    <w:p w14:paraId="22074424" w14:textId="77777777" w:rsidR="007D1CCA" w:rsidRDefault="007D1CCA">
      <w:pPr>
        <w:widowControl w:val="0"/>
        <w:tabs>
          <w:tab w:val="left" w:pos="567"/>
        </w:tabs>
        <w:spacing w:after="0" w:line="240" w:lineRule="auto"/>
        <w:ind w:right="-1"/>
        <w:rPr>
          <w:rFonts w:ascii="Times New Roman" w:eastAsia="Times New Roman" w:hAnsi="Times New Roman" w:cs="Times New Roman"/>
          <w:snapToGrid w:val="0"/>
        </w:rPr>
      </w:pPr>
    </w:p>
    <w:p w14:paraId="0BCDE895" w14:textId="77777777" w:rsidR="007D1CCA" w:rsidRDefault="00A06746">
      <w:pPr>
        <w:widowControl w:val="0"/>
        <w:tabs>
          <w:tab w:val="left" w:pos="567"/>
        </w:tabs>
        <w:spacing w:after="0" w:line="240" w:lineRule="auto"/>
        <w:ind w:left="567" w:hanging="567"/>
        <w:rPr>
          <w:rFonts w:ascii="Times New Roman" w:eastAsia="Times New Roman" w:hAnsi="Times New Roman" w:cs="Times New Roman"/>
          <w:b/>
          <w:snapToGrid w:val="0"/>
        </w:rPr>
      </w:pPr>
      <w:r>
        <w:rPr>
          <w:rFonts w:ascii="Times New Roman" w:eastAsia="Times New Roman" w:hAnsi="Times New Roman" w:cs="Times New Roman"/>
          <w:snapToGrid w:val="0"/>
        </w:rPr>
        <w:br w:type="page"/>
      </w:r>
      <w:r>
        <w:rPr>
          <w:rFonts w:ascii="Times New Roman" w:eastAsia="Times New Roman" w:hAnsi="Times New Roman" w:cs="Times New Roman"/>
          <w:b/>
          <w:snapToGrid w:val="0"/>
        </w:rPr>
        <w:lastRenderedPageBreak/>
        <w:t>A.</w:t>
      </w:r>
      <w:r>
        <w:rPr>
          <w:rFonts w:ascii="Times New Roman" w:eastAsia="Times New Roman" w:hAnsi="Times New Roman" w:cs="Times New Roman"/>
          <w:b/>
          <w:snapToGrid w:val="0"/>
        </w:rPr>
        <w:tab/>
        <w:t>GAMINTOJAS (-AI), ATSAKINGAS (-I) UŽ SERIJŲ IŠLEIDIMĄ</w:t>
      </w:r>
    </w:p>
    <w:p w14:paraId="756044E3"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93FB17A" w14:textId="77777777" w:rsidR="007D1CCA" w:rsidRDefault="00A06746">
      <w:pPr>
        <w:widowControl w:val="0"/>
        <w:tabs>
          <w:tab w:val="left" w:pos="567"/>
        </w:tabs>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u w:val="single"/>
        </w:rPr>
        <w:t>Gamintojo (-ų), atsakingo (-ų) už serijų išleidimą, pavadinimas (-ai) ir adresas (-ai)</w:t>
      </w:r>
    </w:p>
    <w:p w14:paraId="6B885648"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862F480"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KRKA, d. d., Novo mesto</w:t>
      </w:r>
    </w:p>
    <w:p w14:paraId="374AC584" w14:textId="77777777" w:rsidR="007D1CCA" w:rsidRDefault="00A06746">
      <w:pPr>
        <w:widowControl w:val="0"/>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Šmarješka</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cesta</w:t>
      </w:r>
      <w:proofErr w:type="spellEnd"/>
      <w:r>
        <w:rPr>
          <w:rFonts w:ascii="Times New Roman" w:eastAsia="Times New Roman" w:hAnsi="Times New Roman" w:cs="Times New Roman"/>
          <w:snapToGrid w:val="0"/>
        </w:rPr>
        <w:t xml:space="preserve"> 6</w:t>
      </w:r>
    </w:p>
    <w:p w14:paraId="4A882BD3"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8501 Novo mesto</w:t>
      </w:r>
    </w:p>
    <w:p w14:paraId="65061371"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Slovėnija</w:t>
      </w:r>
    </w:p>
    <w:p w14:paraId="3524D56E"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11CAEB5" w14:textId="77777777" w:rsidR="007D1CCA" w:rsidRDefault="00A06746">
      <w:pPr>
        <w:widowControl w:val="0"/>
        <w:tabs>
          <w:tab w:val="left" w:pos="567"/>
        </w:tabs>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arba</w:t>
      </w:r>
    </w:p>
    <w:p w14:paraId="2467361D" w14:textId="77777777" w:rsidR="007D1CCA" w:rsidRDefault="007D1CCA">
      <w:pPr>
        <w:widowControl w:val="0"/>
        <w:tabs>
          <w:tab w:val="left" w:pos="567"/>
        </w:tabs>
        <w:spacing w:after="0" w:line="240" w:lineRule="auto"/>
        <w:jc w:val="both"/>
        <w:rPr>
          <w:rFonts w:ascii="Times New Roman" w:eastAsia="Times New Roman" w:hAnsi="Times New Roman" w:cs="Times New Roman"/>
          <w:snapToGrid w:val="0"/>
        </w:rPr>
      </w:pPr>
    </w:p>
    <w:p w14:paraId="2693C0A4" w14:textId="77777777" w:rsidR="007D1CCA" w:rsidRDefault="00A06746">
      <w:pPr>
        <w:spacing w:after="0" w:line="240" w:lineRule="auto"/>
        <w:rPr>
          <w:rFonts w:ascii="Times New Roman" w:eastAsia="TimesNewRoman" w:hAnsi="Times New Roman" w:cs="Times New Roman"/>
          <w:lang w:eastAsia="sk-SK"/>
        </w:rPr>
      </w:pPr>
      <w:r>
        <w:rPr>
          <w:rFonts w:ascii="Times New Roman" w:eastAsia="TimesNewRoman" w:hAnsi="Times New Roman" w:cs="Times New Roman"/>
          <w:lang w:eastAsia="sk-SK"/>
        </w:rPr>
        <w:t>TAD Pharma GmbH</w:t>
      </w:r>
    </w:p>
    <w:p w14:paraId="0D521FB5" w14:textId="77777777" w:rsidR="007D1CCA" w:rsidRDefault="00A06746">
      <w:pPr>
        <w:spacing w:after="0" w:line="240" w:lineRule="auto"/>
        <w:rPr>
          <w:rFonts w:ascii="Times New Roman" w:eastAsia="TimesNewRoman" w:hAnsi="Times New Roman" w:cs="Times New Roman"/>
          <w:lang w:eastAsia="sk-SK"/>
        </w:rPr>
      </w:pPr>
      <w:proofErr w:type="spellStart"/>
      <w:r>
        <w:rPr>
          <w:rFonts w:ascii="Times New Roman" w:eastAsia="TimesNewRoman" w:hAnsi="Times New Roman" w:cs="Times New Roman"/>
          <w:lang w:eastAsia="sk-SK"/>
        </w:rPr>
        <w:t>Heinz-Lohmann-Straße</w:t>
      </w:r>
      <w:proofErr w:type="spellEnd"/>
      <w:r>
        <w:rPr>
          <w:rFonts w:ascii="Times New Roman" w:eastAsia="TimesNewRoman" w:hAnsi="Times New Roman" w:cs="Times New Roman"/>
          <w:lang w:eastAsia="sk-SK"/>
        </w:rPr>
        <w:t xml:space="preserve"> 5</w:t>
      </w:r>
    </w:p>
    <w:p w14:paraId="22972B36" w14:textId="77777777" w:rsidR="007D1CCA" w:rsidRDefault="00A06746">
      <w:pPr>
        <w:widowControl w:val="0"/>
        <w:tabs>
          <w:tab w:val="left" w:pos="567"/>
        </w:tabs>
        <w:spacing w:after="0" w:line="240" w:lineRule="auto"/>
        <w:jc w:val="both"/>
        <w:rPr>
          <w:rFonts w:ascii="Times New Roman" w:eastAsia="TimesNewRoman" w:hAnsi="Times New Roman" w:cs="Times New Roman"/>
          <w:lang w:eastAsia="sk-SK"/>
        </w:rPr>
      </w:pPr>
      <w:r>
        <w:rPr>
          <w:rFonts w:ascii="Times New Roman" w:eastAsia="TimesNewRoman" w:hAnsi="Times New Roman" w:cs="Times New Roman"/>
          <w:lang w:eastAsia="sk-SK"/>
        </w:rPr>
        <w:t xml:space="preserve">27472 </w:t>
      </w:r>
      <w:proofErr w:type="spellStart"/>
      <w:r>
        <w:rPr>
          <w:rFonts w:ascii="Times New Roman" w:eastAsia="TimesNewRoman" w:hAnsi="Times New Roman" w:cs="Times New Roman"/>
          <w:lang w:eastAsia="sk-SK"/>
        </w:rPr>
        <w:t>Cuxhaven</w:t>
      </w:r>
      <w:proofErr w:type="spellEnd"/>
    </w:p>
    <w:p w14:paraId="1C6182E6" w14:textId="77777777" w:rsidR="007D1CCA" w:rsidRDefault="00A06746">
      <w:pPr>
        <w:widowControl w:val="0"/>
        <w:tabs>
          <w:tab w:val="left" w:pos="567"/>
        </w:tabs>
        <w:spacing w:after="0" w:line="240" w:lineRule="auto"/>
        <w:jc w:val="both"/>
        <w:rPr>
          <w:rFonts w:ascii="Times New Roman" w:eastAsia="TimesNewRoman" w:hAnsi="Times New Roman" w:cs="Times New Roman"/>
          <w:lang w:eastAsia="sk-SK"/>
        </w:rPr>
      </w:pPr>
      <w:r>
        <w:rPr>
          <w:rFonts w:ascii="Times New Roman" w:eastAsia="TimesNewRoman" w:hAnsi="Times New Roman" w:cs="Times New Roman"/>
          <w:lang w:eastAsia="sk-SK"/>
        </w:rPr>
        <w:t>Vokietija</w:t>
      </w:r>
    </w:p>
    <w:p w14:paraId="63E76195" w14:textId="77777777" w:rsidR="007D1CCA" w:rsidRDefault="007D1CCA">
      <w:pPr>
        <w:widowControl w:val="0"/>
        <w:tabs>
          <w:tab w:val="left" w:pos="567"/>
        </w:tabs>
        <w:spacing w:after="0" w:line="240" w:lineRule="auto"/>
        <w:jc w:val="both"/>
        <w:rPr>
          <w:rFonts w:ascii="Times New Roman" w:eastAsia="Times New Roman" w:hAnsi="Times New Roman" w:cs="Times New Roman"/>
          <w:snapToGrid w:val="0"/>
        </w:rPr>
      </w:pPr>
    </w:p>
    <w:p w14:paraId="3E977B87" w14:textId="77777777" w:rsidR="007D1CCA" w:rsidRDefault="00A06746">
      <w:pPr>
        <w:widowControl w:val="0"/>
        <w:tabs>
          <w:tab w:val="left" w:pos="567"/>
        </w:tabs>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Su pakuote pateikiamame lapelyje nurodomas gamintojo, atsakingo už konkrečios serijos išleidimą, pavadinimas ir adresas.</w:t>
      </w:r>
    </w:p>
    <w:p w14:paraId="546AC12F"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E820B6E"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DFD4F40" w14:textId="77777777" w:rsidR="007D1CCA" w:rsidRDefault="00A06746">
      <w:pPr>
        <w:widowControl w:val="0"/>
        <w:tabs>
          <w:tab w:val="left" w:pos="567"/>
        </w:tabs>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b/>
          <w:snapToGrid w:val="0"/>
        </w:rPr>
        <w:t>B.</w:t>
      </w:r>
      <w:r>
        <w:rPr>
          <w:rFonts w:ascii="Times New Roman" w:eastAsia="Times New Roman" w:hAnsi="Times New Roman" w:cs="Times New Roman"/>
          <w:b/>
          <w:snapToGrid w:val="0"/>
        </w:rPr>
        <w:tab/>
        <w:t>TIEKIMO IR VARTOJIMO SĄLYGOS AR APRIBOJIMAI</w:t>
      </w:r>
    </w:p>
    <w:p w14:paraId="79D657B6"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EEFDEEC"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Receptinis vaistinis preparatas.</w:t>
      </w:r>
    </w:p>
    <w:p w14:paraId="4347DCA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6E9A3A1" w14:textId="77777777" w:rsidR="007D1CCA" w:rsidRDefault="00A06746">
      <w:pPr>
        <w:widowControl w:val="0"/>
        <w:tabs>
          <w:tab w:val="left" w:pos="567"/>
        </w:tabs>
        <w:spacing w:after="0" w:line="240" w:lineRule="auto"/>
        <w:jc w:val="center"/>
        <w:rPr>
          <w:rFonts w:ascii="Times New Roman" w:eastAsia="Times New Roman" w:hAnsi="Times New Roman" w:cs="Times New Roman"/>
          <w:snapToGrid w:val="0"/>
        </w:rPr>
      </w:pPr>
      <w:r>
        <w:rPr>
          <w:rFonts w:ascii="Times New Roman" w:eastAsia="Times New Roman" w:hAnsi="Times New Roman" w:cs="Times New Roman"/>
          <w:snapToGrid w:val="0"/>
        </w:rPr>
        <w:br w:type="page"/>
      </w:r>
    </w:p>
    <w:p w14:paraId="3C37159B" w14:textId="77777777" w:rsidR="007D1CCA" w:rsidRDefault="007D1CCA">
      <w:pPr>
        <w:widowControl w:val="0"/>
        <w:tabs>
          <w:tab w:val="left" w:pos="567"/>
        </w:tabs>
        <w:spacing w:after="0" w:line="240" w:lineRule="auto"/>
        <w:ind w:right="566"/>
        <w:jc w:val="center"/>
        <w:rPr>
          <w:rFonts w:ascii="Times New Roman" w:eastAsia="Times New Roman" w:hAnsi="Times New Roman" w:cs="Times New Roman"/>
          <w:snapToGrid w:val="0"/>
        </w:rPr>
      </w:pPr>
    </w:p>
    <w:p w14:paraId="2844A50A"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6C7C4047"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75BAE737"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1E4519E6"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5BFF5C34"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6E8113F3"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68E7420B"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0ADD8813"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6FB9FFD7"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4D98CB1F"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79B55361"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3C4C9864"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617EFA62"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5F587B6F"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60843880"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4B7864E9"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64C41363"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b/>
          <w:snapToGrid w:val="0"/>
        </w:rPr>
      </w:pPr>
    </w:p>
    <w:p w14:paraId="5128A783"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b/>
          <w:snapToGrid w:val="0"/>
        </w:rPr>
      </w:pPr>
    </w:p>
    <w:p w14:paraId="1FAF31AC"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b/>
          <w:snapToGrid w:val="0"/>
        </w:rPr>
      </w:pPr>
    </w:p>
    <w:p w14:paraId="1F11483C"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b/>
          <w:snapToGrid w:val="0"/>
        </w:rPr>
      </w:pPr>
    </w:p>
    <w:p w14:paraId="750CFAD6"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b/>
          <w:snapToGrid w:val="0"/>
        </w:rPr>
      </w:pPr>
    </w:p>
    <w:p w14:paraId="0DFFEA2B" w14:textId="77777777" w:rsidR="007D1CCA" w:rsidRDefault="007D1CCA">
      <w:pPr>
        <w:widowControl w:val="0"/>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2DC72201" w14:textId="77777777" w:rsidR="007D1CCA" w:rsidRDefault="00A06746">
      <w:pPr>
        <w:widowControl w:val="0"/>
        <w:tabs>
          <w:tab w:val="left" w:pos="567"/>
        </w:tabs>
        <w:spacing w:after="0" w:line="240" w:lineRule="auto"/>
        <w:jc w:val="center"/>
        <w:outlineLvl w:val="1"/>
        <w:rPr>
          <w:rFonts w:ascii="Times New Roman" w:eastAsia="Times New Roman" w:hAnsi="Times New Roman" w:cs="Times New Roman"/>
          <w:b/>
          <w:snapToGrid w:val="0"/>
          <w:lang w:eastAsia="x-none"/>
        </w:rPr>
      </w:pPr>
      <w:r>
        <w:rPr>
          <w:rFonts w:ascii="Times New Roman" w:eastAsia="Times New Roman" w:hAnsi="Times New Roman" w:cs="Times New Roman"/>
          <w:b/>
          <w:bCs/>
          <w:iCs/>
          <w:snapToGrid w:val="0"/>
          <w:lang w:eastAsia="x-none"/>
        </w:rPr>
        <w:t>III PRIEDAS</w:t>
      </w:r>
    </w:p>
    <w:p w14:paraId="4B70448C"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2D0293F0" w14:textId="77777777" w:rsidR="007D1CCA" w:rsidRDefault="00A06746">
      <w:pPr>
        <w:widowControl w:val="0"/>
        <w:tabs>
          <w:tab w:val="left" w:pos="567"/>
        </w:tabs>
        <w:spacing w:after="0" w:line="240" w:lineRule="auto"/>
        <w:jc w:val="center"/>
        <w:outlineLvl w:val="1"/>
        <w:rPr>
          <w:rFonts w:ascii="Times New Roman" w:eastAsia="Times New Roman" w:hAnsi="Times New Roman" w:cs="Times New Roman"/>
          <w:b/>
          <w:snapToGrid w:val="0"/>
          <w:lang w:eastAsia="x-none"/>
        </w:rPr>
      </w:pPr>
      <w:r>
        <w:rPr>
          <w:rFonts w:ascii="Times New Roman" w:eastAsia="Times New Roman" w:hAnsi="Times New Roman" w:cs="Times New Roman"/>
          <w:b/>
          <w:bCs/>
          <w:iCs/>
          <w:snapToGrid w:val="0"/>
          <w:lang w:eastAsia="x-none"/>
        </w:rPr>
        <w:t>ŽENKLINIMAS IR PAKUOTĖS LAPELIS</w:t>
      </w:r>
    </w:p>
    <w:p w14:paraId="56F2394D" w14:textId="77777777" w:rsidR="007D1CCA" w:rsidRDefault="00A06746">
      <w:pPr>
        <w:widowControl w:val="0"/>
        <w:tabs>
          <w:tab w:val="left" w:pos="567"/>
        </w:tabs>
        <w:spacing w:after="0" w:line="240" w:lineRule="auto"/>
        <w:jc w:val="center"/>
        <w:rPr>
          <w:rFonts w:ascii="Times New Roman" w:eastAsia="Times New Roman" w:hAnsi="Times New Roman" w:cs="Times New Roman"/>
          <w:snapToGrid w:val="0"/>
        </w:rPr>
      </w:pPr>
      <w:r>
        <w:rPr>
          <w:rFonts w:ascii="Times New Roman" w:eastAsia="Times New Roman" w:hAnsi="Times New Roman" w:cs="Times New Roman"/>
          <w:snapToGrid w:val="0"/>
        </w:rPr>
        <w:br w:type="page"/>
      </w:r>
    </w:p>
    <w:p w14:paraId="258D1405"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3045BD83"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7E841F2E"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2DAD2AB0"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674B68E4"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5303F38E"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59A36AAC"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6D402B63"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51CD6C2D"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50BBD3E3"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50BC87A0"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6BABEEFF"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3DFC9FBA"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1F887C69"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521999D1"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3B2EC051"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0B94B1A8"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62701F6B"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02723E37"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73C97E7F"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1406C906"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635AB189" w14:textId="77777777" w:rsidR="007D1CCA" w:rsidRDefault="007D1CCA">
      <w:pPr>
        <w:widowControl w:val="0"/>
        <w:tabs>
          <w:tab w:val="left" w:pos="567"/>
        </w:tabs>
        <w:spacing w:after="0" w:line="240" w:lineRule="auto"/>
        <w:jc w:val="center"/>
        <w:rPr>
          <w:rFonts w:ascii="Times New Roman" w:eastAsia="Times New Roman" w:hAnsi="Times New Roman" w:cs="Times New Roman"/>
          <w:snapToGrid w:val="0"/>
        </w:rPr>
      </w:pPr>
    </w:p>
    <w:p w14:paraId="2959C41D" w14:textId="77777777" w:rsidR="007D1CCA" w:rsidRDefault="007D1CCA">
      <w:pPr>
        <w:widowControl w:val="0"/>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73C56339" w14:textId="77777777" w:rsidR="007D1CCA" w:rsidRDefault="00A06746">
      <w:pPr>
        <w:widowControl w:val="0"/>
        <w:tabs>
          <w:tab w:val="left" w:pos="567"/>
        </w:tabs>
        <w:spacing w:after="0" w:line="240" w:lineRule="auto"/>
        <w:jc w:val="center"/>
        <w:outlineLvl w:val="1"/>
        <w:rPr>
          <w:rFonts w:ascii="Times New Roman" w:eastAsia="Times New Roman" w:hAnsi="Times New Roman" w:cs="Times New Roman"/>
          <w:b/>
          <w:snapToGrid w:val="0"/>
          <w:lang w:eastAsia="x-none"/>
        </w:rPr>
      </w:pPr>
      <w:r>
        <w:rPr>
          <w:rFonts w:ascii="Times New Roman" w:eastAsia="Times New Roman" w:hAnsi="Times New Roman" w:cs="Times New Roman"/>
          <w:b/>
          <w:bCs/>
          <w:iCs/>
          <w:snapToGrid w:val="0"/>
          <w:lang w:eastAsia="x-none"/>
        </w:rPr>
        <w:t>A. ŽENKLINIMAS</w:t>
      </w:r>
    </w:p>
    <w:p w14:paraId="767C87FA" w14:textId="77777777" w:rsidR="007D1CCA" w:rsidRDefault="00A06746">
      <w:pPr>
        <w:widowControl w:val="0"/>
        <w:tabs>
          <w:tab w:val="left" w:pos="567"/>
        </w:tabs>
        <w:spacing w:after="0" w:line="240" w:lineRule="auto"/>
        <w:jc w:val="center"/>
        <w:rPr>
          <w:rFonts w:ascii="Times New Roman" w:eastAsia="Times New Roman" w:hAnsi="Times New Roman" w:cs="Times New Roman"/>
          <w:snapToGrid w:val="0"/>
        </w:rPr>
      </w:pPr>
      <w:r>
        <w:rPr>
          <w:rFonts w:ascii="Times New Roman" w:eastAsia="Times New Roman" w:hAnsi="Times New Roman" w:cs="Times New Roman"/>
          <w:snapToGrid w:val="0"/>
        </w:rPr>
        <w:br w:type="page"/>
      </w:r>
    </w:p>
    <w:p w14:paraId="22796ED8"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rPr>
      </w:pPr>
      <w:r>
        <w:rPr>
          <w:rFonts w:ascii="Times New Roman" w:eastAsia="Times New Roman" w:hAnsi="Times New Roman" w:cs="Times New Roman"/>
          <w:b/>
          <w:snapToGrid w:val="0"/>
        </w:rPr>
        <w:lastRenderedPageBreak/>
        <w:t>INFORMACIJA ANT IŠORINĖS PAKUOTĖS</w:t>
      </w:r>
    </w:p>
    <w:p w14:paraId="279E1309" w14:textId="77777777" w:rsidR="007D1CCA" w:rsidRDefault="007D1CCA">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rPr>
      </w:pPr>
    </w:p>
    <w:p w14:paraId="764D0D71"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rPr>
      </w:pPr>
      <w:r>
        <w:rPr>
          <w:rFonts w:ascii="Times New Roman" w:eastAsia="Times New Roman" w:hAnsi="Times New Roman" w:cs="Times New Roman"/>
          <w:b/>
          <w:snapToGrid w:val="0"/>
        </w:rPr>
        <w:t>LIZDINIŲ PLOKŠTELIŲ DĖŽUTĖ</w:t>
      </w:r>
    </w:p>
    <w:p w14:paraId="0509ABB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F0CD169"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9CA8BC1"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Pr>
          <w:rFonts w:ascii="Times New Roman" w:eastAsia="Times New Roman" w:hAnsi="Times New Roman" w:cs="Times New Roman"/>
          <w:b/>
          <w:snapToGrid w:val="0"/>
        </w:rPr>
        <w:t>1.</w:t>
      </w:r>
      <w:r>
        <w:rPr>
          <w:rFonts w:ascii="Times New Roman" w:eastAsia="Times New Roman" w:hAnsi="Times New Roman" w:cs="Times New Roman"/>
          <w:b/>
          <w:snapToGrid w:val="0"/>
        </w:rPr>
        <w:tab/>
      </w:r>
      <w:r>
        <w:rPr>
          <w:rFonts w:ascii="Times New Roman" w:eastAsia="Times New Roman" w:hAnsi="Times New Roman" w:cs="Times New Roman"/>
          <w:b/>
          <w:caps/>
          <w:snapToGrid w:val="0"/>
        </w:rPr>
        <w:t>VAISTINIO</w:t>
      </w:r>
      <w:r>
        <w:rPr>
          <w:rFonts w:ascii="Times New Roman" w:eastAsia="Times New Roman" w:hAnsi="Times New Roman" w:cs="Times New Roman"/>
          <w:b/>
          <w:snapToGrid w:val="0"/>
        </w:rPr>
        <w:t xml:space="preserve"> PREPARATO PAVADINIMAS</w:t>
      </w:r>
    </w:p>
    <w:p w14:paraId="3A602017"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4BBD5F2"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30 mg skrandyje neirios kietosios kapsulės</w:t>
      </w:r>
    </w:p>
    <w:p w14:paraId="050B5240"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highlight w:val="lightGray"/>
        </w:rPr>
        <w:t>Dulsevia</w:t>
      </w:r>
      <w:proofErr w:type="spellEnd"/>
      <w:r>
        <w:rPr>
          <w:rFonts w:ascii="Times New Roman" w:eastAsia="Times New Roman" w:hAnsi="Times New Roman" w:cs="Times New Roman"/>
          <w:snapToGrid w:val="0"/>
          <w:highlight w:val="lightGray"/>
        </w:rPr>
        <w:t xml:space="preserve"> 60 mg skrandyje neirios kietosios kapsulės</w:t>
      </w:r>
    </w:p>
    <w:p w14:paraId="1E5F109B"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00CDC5B"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duloksetinas</w:t>
      </w:r>
      <w:proofErr w:type="spellEnd"/>
    </w:p>
    <w:p w14:paraId="486E64E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E22B815"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4FCCB42"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rPr>
      </w:pPr>
      <w:r>
        <w:rPr>
          <w:rFonts w:ascii="Times New Roman" w:eastAsia="Times New Roman" w:hAnsi="Times New Roman" w:cs="Times New Roman"/>
          <w:b/>
          <w:snapToGrid w:val="0"/>
        </w:rPr>
        <w:t>2.</w:t>
      </w:r>
      <w:r>
        <w:rPr>
          <w:rFonts w:ascii="Times New Roman" w:eastAsia="Times New Roman" w:hAnsi="Times New Roman" w:cs="Times New Roman"/>
          <w:b/>
          <w:snapToGrid w:val="0"/>
        </w:rPr>
        <w:tab/>
        <w:t>VEIKLIOJI (-IOS) MEDŽIAGA (-OS) IR JOS (-Ų) KIEKIS (-IAI)</w:t>
      </w:r>
    </w:p>
    <w:p w14:paraId="110E5D59"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F1FE5E9"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Kiekvienoje skrandyje neirioje kietojoje kapsulėje yra 30 mg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hidrochlorido pavidalu).</w:t>
      </w:r>
    </w:p>
    <w:p w14:paraId="35C41FE5"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highlight w:val="lightGray"/>
        </w:rPr>
        <w:t xml:space="preserve">Kiekvienoje skrandyje neirioje kietojoje kapsulėje yra 60 mg </w:t>
      </w:r>
      <w:proofErr w:type="spellStart"/>
      <w:r>
        <w:rPr>
          <w:rFonts w:ascii="Times New Roman" w:eastAsia="Times New Roman" w:hAnsi="Times New Roman" w:cs="Times New Roman"/>
          <w:snapToGrid w:val="0"/>
          <w:highlight w:val="lightGray"/>
        </w:rPr>
        <w:t>duloksetino</w:t>
      </w:r>
      <w:proofErr w:type="spellEnd"/>
      <w:r>
        <w:rPr>
          <w:rFonts w:ascii="Times New Roman" w:eastAsia="Times New Roman" w:hAnsi="Times New Roman" w:cs="Times New Roman"/>
          <w:snapToGrid w:val="0"/>
          <w:highlight w:val="lightGray"/>
        </w:rPr>
        <w:t xml:space="preserve"> (</w:t>
      </w:r>
      <w:proofErr w:type="spellStart"/>
      <w:r>
        <w:rPr>
          <w:rFonts w:ascii="Times New Roman" w:eastAsia="Times New Roman" w:hAnsi="Times New Roman" w:cs="Times New Roman"/>
          <w:snapToGrid w:val="0"/>
          <w:highlight w:val="lightGray"/>
        </w:rPr>
        <w:t>duloksetino</w:t>
      </w:r>
      <w:proofErr w:type="spellEnd"/>
      <w:r>
        <w:rPr>
          <w:rFonts w:ascii="Times New Roman" w:eastAsia="Times New Roman" w:hAnsi="Times New Roman" w:cs="Times New Roman"/>
          <w:snapToGrid w:val="0"/>
          <w:highlight w:val="lightGray"/>
        </w:rPr>
        <w:t xml:space="preserve"> hidrochlorido pavidalu).</w:t>
      </w:r>
    </w:p>
    <w:p w14:paraId="40085E98"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C21D539"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8FDA3AD"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Pr>
          <w:rFonts w:ascii="Times New Roman" w:eastAsia="Times New Roman" w:hAnsi="Times New Roman" w:cs="Times New Roman"/>
          <w:b/>
          <w:snapToGrid w:val="0"/>
        </w:rPr>
        <w:t>3.</w:t>
      </w:r>
      <w:r>
        <w:rPr>
          <w:rFonts w:ascii="Times New Roman" w:eastAsia="Times New Roman" w:hAnsi="Times New Roman" w:cs="Times New Roman"/>
          <w:b/>
          <w:snapToGrid w:val="0"/>
        </w:rPr>
        <w:tab/>
        <w:t>PAGALBINIŲ MEDŽIAGŲ SĄRAŠAS</w:t>
      </w:r>
    </w:p>
    <w:p w14:paraId="157D17F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B0E0D36"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Sudėtyje taip pat yra sacharozės.</w:t>
      </w:r>
    </w:p>
    <w:p w14:paraId="651DDBAF"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Daugiau informacijos pateikta pakuotės lapelyje.</w:t>
      </w:r>
    </w:p>
    <w:p w14:paraId="4581A735"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9F885E8"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E35CD1A"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Pr>
          <w:rFonts w:ascii="Times New Roman" w:eastAsia="Times New Roman" w:hAnsi="Times New Roman" w:cs="Times New Roman"/>
          <w:b/>
          <w:snapToGrid w:val="0"/>
        </w:rPr>
        <w:t>4.</w:t>
      </w:r>
      <w:r>
        <w:rPr>
          <w:rFonts w:ascii="Times New Roman" w:eastAsia="Times New Roman" w:hAnsi="Times New Roman" w:cs="Times New Roman"/>
          <w:b/>
          <w:snapToGrid w:val="0"/>
        </w:rPr>
        <w:tab/>
        <w:t>FARMACINĖ FORMA IR KIEKIS PAKUOTĖJE</w:t>
      </w:r>
    </w:p>
    <w:p w14:paraId="210A44A6"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1F864DB"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highlight w:val="lightGray"/>
        </w:rPr>
        <w:t>Skrandyje neiri kietoji kapsulė</w:t>
      </w:r>
    </w:p>
    <w:p w14:paraId="5141E326"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7B40E7B"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7 skrandyje neirios kietosios kapsulės</w:t>
      </w:r>
    </w:p>
    <w:p w14:paraId="019C712F" w14:textId="77777777" w:rsidR="007D1CCA" w:rsidRDefault="00A06746">
      <w:pPr>
        <w:widowControl w:val="0"/>
        <w:tabs>
          <w:tab w:val="left" w:pos="567"/>
        </w:tabs>
        <w:spacing w:after="0" w:line="240" w:lineRule="auto"/>
        <w:rPr>
          <w:rFonts w:ascii="Times New Roman" w:eastAsia="Times New Roman" w:hAnsi="Times New Roman" w:cs="Times New Roman"/>
          <w:snapToGrid w:val="0"/>
          <w:highlight w:val="lightGray"/>
        </w:rPr>
      </w:pPr>
      <w:r>
        <w:rPr>
          <w:rFonts w:ascii="Times New Roman" w:eastAsia="Times New Roman" w:hAnsi="Times New Roman" w:cs="Times New Roman"/>
          <w:snapToGrid w:val="0"/>
          <w:highlight w:val="lightGray"/>
        </w:rPr>
        <w:t>10 skrandyje neirių kietųjų kapsulių</w:t>
      </w:r>
    </w:p>
    <w:p w14:paraId="69AECC26" w14:textId="77777777" w:rsidR="007D1CCA" w:rsidRDefault="00A06746">
      <w:pPr>
        <w:widowControl w:val="0"/>
        <w:tabs>
          <w:tab w:val="left" w:pos="567"/>
        </w:tabs>
        <w:spacing w:after="0" w:line="240" w:lineRule="auto"/>
        <w:rPr>
          <w:rFonts w:ascii="Times New Roman" w:eastAsia="Times New Roman" w:hAnsi="Times New Roman" w:cs="Times New Roman"/>
          <w:snapToGrid w:val="0"/>
          <w:highlight w:val="lightGray"/>
        </w:rPr>
      </w:pPr>
      <w:r>
        <w:rPr>
          <w:rFonts w:ascii="Times New Roman" w:eastAsia="Times New Roman" w:hAnsi="Times New Roman" w:cs="Times New Roman"/>
          <w:snapToGrid w:val="0"/>
          <w:highlight w:val="lightGray"/>
        </w:rPr>
        <w:t>14 skrandyje neirių kietųjų kapsulių</w:t>
      </w:r>
    </w:p>
    <w:p w14:paraId="71DAB0DC" w14:textId="77777777" w:rsidR="007D1CCA" w:rsidRDefault="00A06746">
      <w:pPr>
        <w:widowControl w:val="0"/>
        <w:tabs>
          <w:tab w:val="left" w:pos="567"/>
        </w:tabs>
        <w:spacing w:after="0" w:line="240" w:lineRule="auto"/>
        <w:rPr>
          <w:rFonts w:ascii="Times New Roman" w:eastAsia="Times New Roman" w:hAnsi="Times New Roman" w:cs="Times New Roman"/>
          <w:snapToGrid w:val="0"/>
          <w:highlight w:val="lightGray"/>
        </w:rPr>
      </w:pPr>
      <w:r>
        <w:rPr>
          <w:rFonts w:ascii="Times New Roman" w:eastAsia="Times New Roman" w:hAnsi="Times New Roman" w:cs="Times New Roman"/>
          <w:snapToGrid w:val="0"/>
          <w:highlight w:val="lightGray"/>
        </w:rPr>
        <w:t>28 skrandyje neirios kietosios kapsulės</w:t>
      </w:r>
    </w:p>
    <w:p w14:paraId="6DBFD22B" w14:textId="77777777" w:rsidR="007D1CCA" w:rsidRDefault="00A06746">
      <w:pPr>
        <w:widowControl w:val="0"/>
        <w:tabs>
          <w:tab w:val="left" w:pos="567"/>
        </w:tabs>
        <w:spacing w:after="0" w:line="240" w:lineRule="auto"/>
        <w:rPr>
          <w:rFonts w:ascii="Times New Roman" w:eastAsia="Times New Roman" w:hAnsi="Times New Roman" w:cs="Times New Roman"/>
          <w:snapToGrid w:val="0"/>
          <w:highlight w:val="lightGray"/>
        </w:rPr>
      </w:pPr>
      <w:r>
        <w:rPr>
          <w:rFonts w:ascii="Times New Roman" w:eastAsia="Times New Roman" w:hAnsi="Times New Roman" w:cs="Times New Roman"/>
          <w:snapToGrid w:val="0"/>
          <w:highlight w:val="lightGray"/>
        </w:rPr>
        <w:t>30 skrandyje neirių kietųjų kapsulių</w:t>
      </w:r>
    </w:p>
    <w:p w14:paraId="72EEAB56"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highlight w:val="lightGray"/>
        </w:rPr>
        <w:t>56 skrandyje neirios kietosios kapsulės</w:t>
      </w:r>
    </w:p>
    <w:p w14:paraId="492FFBDA" w14:textId="77777777" w:rsidR="007D1CCA" w:rsidRDefault="00A06746">
      <w:pPr>
        <w:widowControl w:val="0"/>
        <w:tabs>
          <w:tab w:val="left" w:pos="567"/>
        </w:tabs>
        <w:spacing w:after="0" w:line="240" w:lineRule="auto"/>
        <w:rPr>
          <w:rFonts w:ascii="Times New Roman" w:eastAsia="Times New Roman" w:hAnsi="Times New Roman" w:cs="Times New Roman"/>
          <w:snapToGrid w:val="0"/>
          <w:highlight w:val="lightGray"/>
        </w:rPr>
      </w:pPr>
      <w:r>
        <w:rPr>
          <w:rFonts w:ascii="Times New Roman" w:eastAsia="Times New Roman" w:hAnsi="Times New Roman" w:cs="Times New Roman"/>
          <w:snapToGrid w:val="0"/>
          <w:highlight w:val="lightGray"/>
        </w:rPr>
        <w:t>60 skrandyje neirių kietųjų kapsulių</w:t>
      </w:r>
    </w:p>
    <w:p w14:paraId="50DDAC8A" w14:textId="77777777" w:rsidR="007D1CCA" w:rsidRDefault="00A06746">
      <w:pPr>
        <w:widowControl w:val="0"/>
        <w:tabs>
          <w:tab w:val="left" w:pos="567"/>
        </w:tabs>
        <w:spacing w:after="0" w:line="240" w:lineRule="auto"/>
        <w:rPr>
          <w:rFonts w:ascii="Times New Roman" w:eastAsia="Times New Roman" w:hAnsi="Times New Roman" w:cs="Times New Roman"/>
          <w:snapToGrid w:val="0"/>
          <w:highlight w:val="lightGray"/>
        </w:rPr>
      </w:pPr>
      <w:r>
        <w:rPr>
          <w:rFonts w:ascii="Times New Roman" w:eastAsia="Times New Roman" w:hAnsi="Times New Roman" w:cs="Times New Roman"/>
          <w:snapToGrid w:val="0"/>
          <w:highlight w:val="lightGray"/>
        </w:rPr>
        <w:t>90 skrandyje neirių kietųjų kapsulių</w:t>
      </w:r>
    </w:p>
    <w:p w14:paraId="63311BDF"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highlight w:val="lightGray"/>
        </w:rPr>
        <w:t>100 skrandyje neirių kietųjų kapsulių</w:t>
      </w:r>
    </w:p>
    <w:p w14:paraId="6E072FDF"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4C47380"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F8FC826"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Pr>
          <w:rFonts w:ascii="Times New Roman" w:eastAsia="Times New Roman" w:hAnsi="Times New Roman" w:cs="Times New Roman"/>
          <w:b/>
          <w:snapToGrid w:val="0"/>
        </w:rPr>
        <w:t>5.</w:t>
      </w:r>
      <w:r>
        <w:rPr>
          <w:rFonts w:ascii="Times New Roman" w:eastAsia="Times New Roman" w:hAnsi="Times New Roman" w:cs="Times New Roman"/>
          <w:b/>
          <w:snapToGrid w:val="0"/>
        </w:rPr>
        <w:tab/>
        <w:t>VARTOJIMO METODAS IR BŪDAS (-AI)</w:t>
      </w:r>
    </w:p>
    <w:p w14:paraId="69FE1AB1"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452DDA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Vartoti per burną</w:t>
      </w:r>
    </w:p>
    <w:p w14:paraId="0A0F2CD6"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Prieš vartojimą perskaitykite pakuotės lapelį.</w:t>
      </w:r>
    </w:p>
    <w:p w14:paraId="0337D24E"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F8BB588"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DBFE8EA"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Pr>
          <w:rFonts w:ascii="Times New Roman" w:eastAsia="Times New Roman" w:hAnsi="Times New Roman" w:cs="Times New Roman"/>
          <w:b/>
          <w:snapToGrid w:val="0"/>
        </w:rPr>
        <w:t>6.</w:t>
      </w:r>
      <w:r>
        <w:rPr>
          <w:rFonts w:ascii="Times New Roman" w:eastAsia="Times New Roman" w:hAnsi="Times New Roman" w:cs="Times New Roman"/>
          <w:b/>
          <w:snapToGrid w:val="0"/>
        </w:rPr>
        <w:tab/>
        <w:t>SPECIALUS ĮSPĖJIMAS, KAD VAISTINĮ PREPARATĄ BŪTINA LAIKYTI VAIKAMS NEPASTEBIMOJE IR NEPASIEKIAMOJE VIETOJE</w:t>
      </w:r>
    </w:p>
    <w:p w14:paraId="465746E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D48DDEC"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Laikyti vaikams nepastebimoje ir nepasiekiamoje vietoje.</w:t>
      </w:r>
    </w:p>
    <w:p w14:paraId="0F7668D3"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CA02212"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647E7F4"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Pr>
          <w:rFonts w:ascii="Times New Roman" w:eastAsia="Times New Roman" w:hAnsi="Times New Roman" w:cs="Times New Roman"/>
          <w:b/>
          <w:snapToGrid w:val="0"/>
        </w:rPr>
        <w:t>7.</w:t>
      </w:r>
      <w:r>
        <w:rPr>
          <w:rFonts w:ascii="Times New Roman" w:eastAsia="Times New Roman" w:hAnsi="Times New Roman" w:cs="Times New Roman"/>
          <w:b/>
          <w:snapToGrid w:val="0"/>
        </w:rPr>
        <w:tab/>
        <w:t>KITAS (-I) SPECIALUS (-ŪS) ĮSPĖJIMAS (-AI) (JEI REIKIA)</w:t>
      </w:r>
    </w:p>
    <w:p w14:paraId="7F9A4631"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C83BBB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4C617E7"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Pr>
          <w:rFonts w:ascii="Times New Roman" w:eastAsia="Times New Roman" w:hAnsi="Times New Roman" w:cs="Times New Roman"/>
          <w:b/>
          <w:snapToGrid w:val="0"/>
        </w:rPr>
        <w:t>8.</w:t>
      </w:r>
      <w:r>
        <w:rPr>
          <w:rFonts w:ascii="Times New Roman" w:eastAsia="Times New Roman" w:hAnsi="Times New Roman" w:cs="Times New Roman"/>
          <w:b/>
          <w:snapToGrid w:val="0"/>
        </w:rPr>
        <w:tab/>
        <w:t>TINKAMUMO LAIKAS</w:t>
      </w:r>
    </w:p>
    <w:p w14:paraId="7E8FD560"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EF9C99F"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EXP (mm/MMMM)</w:t>
      </w:r>
    </w:p>
    <w:p w14:paraId="7FB8BB70"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CFBC06E"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11228D6"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Pr>
          <w:rFonts w:ascii="Times New Roman" w:eastAsia="Times New Roman" w:hAnsi="Times New Roman" w:cs="Times New Roman"/>
          <w:b/>
          <w:snapToGrid w:val="0"/>
        </w:rPr>
        <w:t>9.</w:t>
      </w:r>
      <w:r>
        <w:rPr>
          <w:rFonts w:ascii="Times New Roman" w:eastAsia="Times New Roman" w:hAnsi="Times New Roman" w:cs="Times New Roman"/>
          <w:b/>
          <w:snapToGrid w:val="0"/>
        </w:rPr>
        <w:tab/>
        <w:t>SPECIALIOS LAIKYMO SĄLYGOS</w:t>
      </w:r>
    </w:p>
    <w:p w14:paraId="00B54A60"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5F2F3EE"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color w:val="0D0D0D"/>
        </w:rPr>
        <w:t>Laikyti ne aukštesnėje kaip 25 </w:t>
      </w:r>
      <w:r>
        <w:rPr>
          <w:rFonts w:ascii="Times New Roman" w:eastAsia="Times New Roman" w:hAnsi="Times New Roman" w:cs="Times New Roman"/>
          <w:snapToGrid w:val="0"/>
        </w:rPr>
        <w:t>°C temperatūroje.</w:t>
      </w:r>
    </w:p>
    <w:p w14:paraId="1484CE00" w14:textId="77777777" w:rsidR="007D1CCA" w:rsidRDefault="00A06746">
      <w:pPr>
        <w:widowControl w:val="0"/>
        <w:spacing w:after="0" w:line="240" w:lineRule="auto"/>
        <w:rPr>
          <w:rFonts w:ascii="Times New Roman" w:eastAsia="Times New Roman" w:hAnsi="Times New Roman" w:cs="Times New Roman"/>
          <w:snapToGrid w:val="0"/>
          <w:color w:val="0D0D0D"/>
        </w:rPr>
      </w:pPr>
      <w:r>
        <w:rPr>
          <w:rFonts w:ascii="Times New Roman" w:eastAsia="Times New Roman" w:hAnsi="Times New Roman" w:cs="Times New Roman"/>
          <w:snapToGrid w:val="0"/>
        </w:rPr>
        <w:t>Laikyti gamintojo pakuotėje, kad vaistas būtų apsaugotas nuo drėgmės.</w:t>
      </w:r>
    </w:p>
    <w:p w14:paraId="45DFA17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F41B59C"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6E0ECAE"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Pr>
          <w:rFonts w:ascii="Times New Roman" w:eastAsia="Times New Roman" w:hAnsi="Times New Roman" w:cs="Times New Roman"/>
          <w:b/>
          <w:snapToGrid w:val="0"/>
        </w:rPr>
        <w:t>10.</w:t>
      </w:r>
      <w:r>
        <w:rPr>
          <w:rFonts w:ascii="Times New Roman" w:eastAsia="Times New Roman" w:hAnsi="Times New Roman" w:cs="Times New Roman"/>
          <w:b/>
          <w:snapToGrid w:val="0"/>
        </w:rPr>
        <w:tab/>
        <w:t>SPECIALIOS ATSARGUMO PRIEMONĖS DĖL NESUVARTOTO VAISTINIO PREPARATO AR JO ATLIEKŲ TVARKYMO (JEI REIKIA)</w:t>
      </w:r>
    </w:p>
    <w:p w14:paraId="7DE47BD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170D761"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1037517"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Pr>
          <w:rFonts w:ascii="Times New Roman" w:eastAsia="Times New Roman" w:hAnsi="Times New Roman" w:cs="Times New Roman"/>
          <w:b/>
          <w:snapToGrid w:val="0"/>
        </w:rPr>
        <w:t>11.</w:t>
      </w:r>
      <w:r>
        <w:rPr>
          <w:rFonts w:ascii="Times New Roman" w:eastAsia="Times New Roman" w:hAnsi="Times New Roman" w:cs="Times New Roman"/>
          <w:b/>
          <w:snapToGrid w:val="0"/>
        </w:rPr>
        <w:tab/>
      </w:r>
      <w:r>
        <w:rPr>
          <w:rFonts w:ascii="Times New Roman" w:eastAsia="Times New Roman" w:hAnsi="Times New Roman" w:cs="Times New Roman"/>
          <w:b/>
          <w:caps/>
          <w:snapToGrid w:val="0"/>
        </w:rPr>
        <w:t>rEGISTRUOtojo PAVADINIMAS IR ADRESAS</w:t>
      </w:r>
    </w:p>
    <w:p w14:paraId="1CAFA676"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991ABB3"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KRKA, d. d., Novo mesto</w:t>
      </w:r>
    </w:p>
    <w:p w14:paraId="0474B9AA" w14:textId="77777777" w:rsidR="007D1CCA" w:rsidRDefault="00A06746">
      <w:pPr>
        <w:widowControl w:val="0"/>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Šmarješka</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cesta</w:t>
      </w:r>
      <w:proofErr w:type="spellEnd"/>
      <w:r>
        <w:rPr>
          <w:rFonts w:ascii="Times New Roman" w:eastAsia="Times New Roman" w:hAnsi="Times New Roman" w:cs="Times New Roman"/>
          <w:snapToGrid w:val="0"/>
        </w:rPr>
        <w:t xml:space="preserve"> 6</w:t>
      </w:r>
    </w:p>
    <w:p w14:paraId="0D0354C0"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8501 Novo mesto</w:t>
      </w:r>
    </w:p>
    <w:p w14:paraId="53D700BF"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Slovėnija</w:t>
      </w:r>
    </w:p>
    <w:p w14:paraId="7A4485A9"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1C8A246"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9063743"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Pr>
          <w:rFonts w:ascii="Times New Roman" w:eastAsia="Times New Roman" w:hAnsi="Times New Roman" w:cs="Times New Roman"/>
          <w:b/>
          <w:snapToGrid w:val="0"/>
        </w:rPr>
        <w:t>12.</w:t>
      </w:r>
      <w:r>
        <w:rPr>
          <w:rFonts w:ascii="Times New Roman" w:eastAsia="Times New Roman" w:hAnsi="Times New Roman" w:cs="Times New Roman"/>
          <w:b/>
          <w:snapToGrid w:val="0"/>
        </w:rPr>
        <w:tab/>
        <w:t>REGISTRACIJOS PAŽYMĖJIMO NUMERIS (-IAI)</w:t>
      </w:r>
    </w:p>
    <w:p w14:paraId="7E82EB6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F8D4473"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30 mg</w:t>
      </w:r>
    </w:p>
    <w:p w14:paraId="6987E9FC"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rPr>
        <w:t xml:space="preserve">LT/1/15/3722/001 </w:t>
      </w:r>
      <w:r>
        <w:rPr>
          <w:rFonts w:ascii="Times New Roman" w:eastAsia="Times New Roman" w:hAnsi="Times New Roman" w:cs="Times New Roman"/>
          <w:snapToGrid w:val="0"/>
          <w:shd w:val="clear" w:color="auto" w:fill="D9D9D9" w:themeFill="background1" w:themeFillShade="D9"/>
        </w:rPr>
        <w:t>– N7</w:t>
      </w:r>
    </w:p>
    <w:p w14:paraId="1E284C47"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LT/1/15/3722/002 – N10</w:t>
      </w:r>
    </w:p>
    <w:p w14:paraId="0B031092"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LT/1/15/3722/003 – N14</w:t>
      </w:r>
    </w:p>
    <w:p w14:paraId="0F9F5D2D"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LT/1/15/3722/004 – N28</w:t>
      </w:r>
    </w:p>
    <w:p w14:paraId="6FC63A4C"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LT/1/15/3722/005 – N30</w:t>
      </w:r>
    </w:p>
    <w:p w14:paraId="22B7633B"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LT/1/15/3722/006 – N56</w:t>
      </w:r>
    </w:p>
    <w:p w14:paraId="70669E61"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LT/1/15/3722/007 – N60</w:t>
      </w:r>
    </w:p>
    <w:p w14:paraId="2BD6E82D"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LT/1/15/3722/008 – N90</w:t>
      </w:r>
    </w:p>
    <w:p w14:paraId="6E95C06A"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LT/1/15/3722/009 – N100</w:t>
      </w:r>
    </w:p>
    <w:p w14:paraId="020399F3"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60 mg</w:t>
      </w:r>
    </w:p>
    <w:p w14:paraId="5F35A112"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LT/1/15/3722/010 – N7</w:t>
      </w:r>
    </w:p>
    <w:p w14:paraId="2771064F"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LT/1/15/3722/011 – N10</w:t>
      </w:r>
    </w:p>
    <w:p w14:paraId="360BDC37"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LT/1/15/3722/012 – N14</w:t>
      </w:r>
    </w:p>
    <w:p w14:paraId="000C09D1"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LT/1/15/3722/013 – N28</w:t>
      </w:r>
    </w:p>
    <w:p w14:paraId="68E1569D"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LT/1/15/3722/014 – N30</w:t>
      </w:r>
    </w:p>
    <w:p w14:paraId="27C4AE03"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LT/1/15/3722/015 – N56</w:t>
      </w:r>
    </w:p>
    <w:p w14:paraId="3F547C8F"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LT/1/15/3722/016 – N60</w:t>
      </w:r>
    </w:p>
    <w:p w14:paraId="273B6121"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LT/1/15/3722/017 – N90</w:t>
      </w:r>
    </w:p>
    <w:p w14:paraId="2C09E709" w14:textId="77777777" w:rsidR="007D1CCA" w:rsidRDefault="00A06746">
      <w:pPr>
        <w:spacing w:after="0" w:line="240" w:lineRule="auto"/>
        <w:rPr>
          <w:rFonts w:ascii="Times New Roman" w:eastAsia="Times New Roman" w:hAnsi="Times New Roman" w:cs="Times New Roman"/>
          <w:snapToGrid w:val="0"/>
          <w:shd w:val="clear" w:color="auto" w:fill="D9D9D9" w:themeFill="background1" w:themeFillShade="D9"/>
        </w:rPr>
      </w:pPr>
      <w:r>
        <w:rPr>
          <w:rFonts w:ascii="Times New Roman" w:eastAsia="Times New Roman" w:hAnsi="Times New Roman" w:cs="Times New Roman"/>
          <w:snapToGrid w:val="0"/>
          <w:shd w:val="clear" w:color="auto" w:fill="D9D9D9" w:themeFill="background1" w:themeFillShade="D9"/>
        </w:rPr>
        <w:t>LT/1/15/3722/018 – N100</w:t>
      </w:r>
    </w:p>
    <w:p w14:paraId="12F1190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65972A3"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08FBC4A"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Pr>
          <w:rFonts w:ascii="Times New Roman" w:eastAsia="Times New Roman" w:hAnsi="Times New Roman" w:cs="Times New Roman"/>
          <w:b/>
          <w:snapToGrid w:val="0"/>
        </w:rPr>
        <w:t>13.</w:t>
      </w:r>
      <w:r>
        <w:rPr>
          <w:rFonts w:ascii="Times New Roman" w:eastAsia="Times New Roman" w:hAnsi="Times New Roman" w:cs="Times New Roman"/>
          <w:b/>
          <w:snapToGrid w:val="0"/>
        </w:rPr>
        <w:tab/>
        <w:t>SERIJOS NUMERIS</w:t>
      </w:r>
    </w:p>
    <w:p w14:paraId="5537645C"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911F277"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Lot</w:t>
      </w:r>
    </w:p>
    <w:p w14:paraId="508F9F4A"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0DEAE7A"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9D85AEE"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Pr>
          <w:rFonts w:ascii="Times New Roman" w:eastAsia="Times New Roman" w:hAnsi="Times New Roman" w:cs="Times New Roman"/>
          <w:b/>
          <w:snapToGrid w:val="0"/>
        </w:rPr>
        <w:t>14.</w:t>
      </w:r>
      <w:r>
        <w:rPr>
          <w:rFonts w:ascii="Times New Roman" w:eastAsia="Times New Roman" w:hAnsi="Times New Roman" w:cs="Times New Roman"/>
          <w:b/>
          <w:snapToGrid w:val="0"/>
        </w:rPr>
        <w:tab/>
        <w:t>PARDAVIMO (IŠDAVIMO) TVARKA</w:t>
      </w:r>
    </w:p>
    <w:p w14:paraId="2C2549C8"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D8C5805"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Receptinis vaistas</w:t>
      </w:r>
    </w:p>
    <w:p w14:paraId="7C1993E6"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C4BE7D2"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7095A81" w14:textId="77777777" w:rsidR="007D1CCA" w:rsidRDefault="00A06746">
      <w:pPr>
        <w:widowControl w:val="0"/>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Pr>
          <w:rFonts w:ascii="Times New Roman" w:eastAsia="Times New Roman" w:hAnsi="Times New Roman" w:cs="Times New Roman"/>
          <w:b/>
          <w:snapToGrid w:val="0"/>
        </w:rPr>
        <w:t>15.</w:t>
      </w:r>
      <w:r>
        <w:rPr>
          <w:rFonts w:ascii="Times New Roman" w:eastAsia="Times New Roman" w:hAnsi="Times New Roman" w:cs="Times New Roman"/>
          <w:b/>
          <w:snapToGrid w:val="0"/>
        </w:rPr>
        <w:tab/>
        <w:t>VARTOJIMO INSTRUKCIJA</w:t>
      </w:r>
    </w:p>
    <w:p w14:paraId="0CE1BA0B"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AAAEDCB"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A716E9F" w14:textId="77777777" w:rsidR="007D1CCA" w:rsidRDefault="00A06746">
      <w:pPr>
        <w:widowControl w:val="0"/>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color w:val="008000"/>
        </w:rPr>
      </w:pPr>
      <w:r>
        <w:rPr>
          <w:rFonts w:ascii="Times New Roman" w:eastAsia="Times New Roman" w:hAnsi="Times New Roman" w:cs="Times New Roman"/>
          <w:b/>
          <w:snapToGrid w:val="0"/>
        </w:rPr>
        <w:t>16.</w:t>
      </w:r>
      <w:r>
        <w:rPr>
          <w:rFonts w:ascii="Times New Roman" w:eastAsia="Times New Roman" w:hAnsi="Times New Roman" w:cs="Times New Roman"/>
          <w:b/>
          <w:snapToGrid w:val="0"/>
        </w:rPr>
        <w:tab/>
        <w:t>INFORMACIJA BRAILIO RAŠTU</w:t>
      </w:r>
    </w:p>
    <w:p w14:paraId="0CAD967E"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A73133F"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30 mg</w:t>
      </w:r>
    </w:p>
    <w:p w14:paraId="2BB64FEC"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highlight w:val="lightGray"/>
        </w:rPr>
        <w:t>Dulsevia</w:t>
      </w:r>
      <w:proofErr w:type="spellEnd"/>
      <w:r>
        <w:rPr>
          <w:rFonts w:ascii="Times New Roman" w:eastAsia="Times New Roman" w:hAnsi="Times New Roman" w:cs="Times New Roman"/>
          <w:snapToGrid w:val="0"/>
          <w:highlight w:val="lightGray"/>
        </w:rPr>
        <w:t xml:space="preserve"> 60 mg</w:t>
      </w:r>
    </w:p>
    <w:p w14:paraId="0C24EA47"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F3C5B97" w14:textId="77777777" w:rsidR="007D1CCA" w:rsidRDefault="007D1CCA">
      <w:pPr>
        <w:widowControl w:val="0"/>
        <w:spacing w:after="0" w:line="240" w:lineRule="auto"/>
        <w:rPr>
          <w:rFonts w:ascii="Times New Roman" w:eastAsia="Times New Roman" w:hAnsi="Times New Roman" w:cs="Times New Roman"/>
          <w:lang w:val="sl-SI" w:eastAsia="sl-SI"/>
        </w:rPr>
      </w:pPr>
    </w:p>
    <w:p w14:paraId="499299BB" w14:textId="77777777" w:rsidR="007D1CCA" w:rsidRPr="00A83D4D" w:rsidRDefault="00A06746">
      <w:pPr>
        <w:pBdr>
          <w:top w:val="single" w:sz="4" w:space="1" w:color="auto"/>
          <w:left w:val="single" w:sz="4" w:space="4" w:color="auto"/>
          <w:bottom w:val="single" w:sz="4" w:space="0" w:color="auto"/>
          <w:right w:val="single" w:sz="4" w:space="4" w:color="auto"/>
        </w:pBdr>
        <w:tabs>
          <w:tab w:val="left" w:pos="567"/>
        </w:tabs>
        <w:spacing w:after="0" w:line="240" w:lineRule="auto"/>
        <w:ind w:left="539" w:hanging="539"/>
        <w:rPr>
          <w:rFonts w:ascii="Times New Roman" w:eastAsia="Times New Roman" w:hAnsi="Times New Roman" w:cs="Times New Roman"/>
          <w:i/>
          <w:noProof/>
          <w:szCs w:val="20"/>
        </w:rPr>
      </w:pPr>
      <w:r w:rsidRPr="00A83D4D">
        <w:rPr>
          <w:rFonts w:ascii="Times New Roman" w:eastAsia="Times New Roman" w:hAnsi="Times New Roman" w:cs="Times New Roman"/>
          <w:b/>
          <w:noProof/>
          <w:szCs w:val="20"/>
        </w:rPr>
        <w:t>17.</w:t>
      </w:r>
      <w:r w:rsidRPr="00A83D4D">
        <w:rPr>
          <w:rFonts w:ascii="Times New Roman" w:eastAsia="Times New Roman" w:hAnsi="Times New Roman" w:cs="Times New Roman"/>
          <w:b/>
          <w:noProof/>
          <w:szCs w:val="20"/>
        </w:rPr>
        <w:tab/>
        <w:t>UNIKALUS IDENTIFIKATORIUS – 2D BRŪKŠNINIS KODAS</w:t>
      </w:r>
    </w:p>
    <w:p w14:paraId="182067BD" w14:textId="77777777" w:rsidR="007D1CCA" w:rsidRDefault="007D1CCA">
      <w:pPr>
        <w:widowControl w:val="0"/>
        <w:spacing w:after="0" w:line="240" w:lineRule="auto"/>
        <w:ind w:left="539" w:hanging="539"/>
        <w:rPr>
          <w:rFonts w:ascii="Times New Roman" w:eastAsia="Calibri" w:hAnsi="Times New Roman" w:cs="Times New Roman"/>
        </w:rPr>
      </w:pPr>
    </w:p>
    <w:p w14:paraId="2E38781B" w14:textId="77777777" w:rsidR="007D1CCA" w:rsidRDefault="00A06746">
      <w:pPr>
        <w:widowControl w:val="0"/>
        <w:spacing w:after="0" w:line="240" w:lineRule="auto"/>
        <w:ind w:left="539" w:hanging="539"/>
        <w:rPr>
          <w:rFonts w:ascii="Times New Roman" w:eastAsia="Calibri" w:hAnsi="Times New Roman" w:cs="Times New Roman"/>
          <w:highlight w:val="lightGray"/>
        </w:rPr>
      </w:pPr>
      <w:r>
        <w:rPr>
          <w:rFonts w:ascii="Times New Roman" w:eastAsia="Calibri" w:hAnsi="Times New Roman" w:cs="Times New Roman"/>
          <w:highlight w:val="lightGray"/>
        </w:rPr>
        <w:t>2D brūkšninis kodas su nurodytu unikaliu identifikatoriumi.</w:t>
      </w:r>
    </w:p>
    <w:p w14:paraId="4764715C" w14:textId="77777777" w:rsidR="007D1CCA" w:rsidRDefault="007D1CCA">
      <w:pPr>
        <w:widowControl w:val="0"/>
        <w:tabs>
          <w:tab w:val="left" w:pos="567"/>
        </w:tabs>
        <w:spacing w:after="0" w:line="240" w:lineRule="auto"/>
        <w:ind w:left="539" w:hanging="539"/>
        <w:rPr>
          <w:rFonts w:ascii="Times New Roman" w:eastAsia="Times New Roman" w:hAnsi="Times New Roman" w:cs="Times New Roman"/>
          <w:snapToGrid w:val="0"/>
          <w:lang w:eastAsia="zh-CN"/>
        </w:rPr>
      </w:pPr>
    </w:p>
    <w:p w14:paraId="735DB02F" w14:textId="77777777" w:rsidR="007D1CCA" w:rsidRDefault="007D1CCA">
      <w:pPr>
        <w:widowControl w:val="0"/>
        <w:tabs>
          <w:tab w:val="left" w:pos="567"/>
        </w:tabs>
        <w:spacing w:after="0" w:line="240" w:lineRule="auto"/>
        <w:ind w:left="539" w:hanging="539"/>
        <w:rPr>
          <w:rFonts w:ascii="Times New Roman" w:eastAsia="Times New Roman" w:hAnsi="Times New Roman" w:cs="Times New Roman"/>
          <w:snapToGrid w:val="0"/>
          <w:lang w:eastAsia="zh-CN"/>
        </w:rPr>
      </w:pPr>
    </w:p>
    <w:p w14:paraId="6C3CEC23" w14:textId="77777777" w:rsidR="007D1CCA" w:rsidRDefault="00A06746">
      <w:pPr>
        <w:pBdr>
          <w:top w:val="single" w:sz="4" w:space="1" w:color="auto"/>
          <w:left w:val="single" w:sz="4" w:space="4" w:color="auto"/>
          <w:bottom w:val="single" w:sz="4" w:space="0" w:color="auto"/>
          <w:right w:val="single" w:sz="4" w:space="4" w:color="auto"/>
        </w:pBdr>
        <w:tabs>
          <w:tab w:val="left" w:pos="567"/>
        </w:tabs>
        <w:spacing w:after="0" w:line="240" w:lineRule="auto"/>
        <w:ind w:left="539" w:hanging="539"/>
        <w:rPr>
          <w:rFonts w:ascii="Times New Roman" w:eastAsia="Times New Roman" w:hAnsi="Times New Roman" w:cs="Times New Roman"/>
          <w:i/>
          <w:noProof/>
          <w:szCs w:val="20"/>
          <w:lang w:val="en-GB"/>
        </w:rPr>
      </w:pPr>
      <w:r>
        <w:rPr>
          <w:rFonts w:ascii="Times New Roman" w:eastAsia="Times New Roman" w:hAnsi="Times New Roman" w:cs="Times New Roman"/>
          <w:b/>
          <w:noProof/>
          <w:szCs w:val="20"/>
          <w:lang w:val="en-GB"/>
        </w:rPr>
        <w:t>18.</w:t>
      </w:r>
      <w:r>
        <w:rPr>
          <w:rFonts w:ascii="Times New Roman" w:eastAsia="Times New Roman" w:hAnsi="Times New Roman" w:cs="Times New Roman"/>
          <w:b/>
          <w:noProof/>
          <w:szCs w:val="20"/>
          <w:lang w:val="en-GB"/>
        </w:rPr>
        <w:tab/>
        <w:t xml:space="preserve">UNIKALUS IDENTIFIKATORIUS – </w:t>
      </w:r>
      <w:r>
        <w:rPr>
          <w:rFonts w:ascii="Times New Roman" w:eastAsia="Times New Roman" w:hAnsi="Times New Roman" w:cs="Times New Roman"/>
          <w:b/>
          <w:noProof/>
          <w:szCs w:val="20"/>
          <w:lang w:val="en-US"/>
        </w:rPr>
        <w:t>ŽMONĖMS SUPRANTAMI DUOMENYS</w:t>
      </w:r>
    </w:p>
    <w:p w14:paraId="783BFEA9" w14:textId="77777777" w:rsidR="007D1CCA" w:rsidRDefault="007D1CCA">
      <w:pPr>
        <w:widowControl w:val="0"/>
        <w:spacing w:after="0" w:line="240" w:lineRule="auto"/>
        <w:ind w:left="539" w:hanging="539"/>
        <w:rPr>
          <w:rFonts w:ascii="Times New Roman" w:eastAsia="Calibri" w:hAnsi="Times New Roman" w:cs="Times New Roman"/>
        </w:rPr>
      </w:pPr>
    </w:p>
    <w:p w14:paraId="30A594A7" w14:textId="77777777" w:rsidR="007D1CCA" w:rsidRDefault="00A06746">
      <w:pPr>
        <w:widowControl w:val="0"/>
        <w:spacing w:after="0" w:line="240" w:lineRule="auto"/>
        <w:ind w:left="539" w:hanging="539"/>
        <w:rPr>
          <w:rFonts w:ascii="Times New Roman" w:eastAsia="Calibri" w:hAnsi="Times New Roman" w:cs="Times New Roman"/>
        </w:rPr>
      </w:pPr>
      <w:r>
        <w:rPr>
          <w:rFonts w:ascii="Times New Roman" w:eastAsia="Calibri" w:hAnsi="Times New Roman" w:cs="Times New Roman"/>
        </w:rPr>
        <w:t>PC</w:t>
      </w:r>
    </w:p>
    <w:p w14:paraId="5B449CDD" w14:textId="77777777" w:rsidR="007D1CCA" w:rsidRDefault="00A06746">
      <w:pPr>
        <w:widowControl w:val="0"/>
        <w:spacing w:after="0" w:line="240" w:lineRule="auto"/>
        <w:ind w:left="539" w:hanging="539"/>
        <w:rPr>
          <w:rFonts w:ascii="Times New Roman" w:eastAsia="Calibri" w:hAnsi="Times New Roman" w:cs="Times New Roman"/>
        </w:rPr>
      </w:pPr>
      <w:r>
        <w:rPr>
          <w:rFonts w:ascii="Times New Roman" w:eastAsia="Calibri" w:hAnsi="Times New Roman" w:cs="Times New Roman"/>
        </w:rPr>
        <w:t>SN</w:t>
      </w:r>
    </w:p>
    <w:p w14:paraId="7242AE16" w14:textId="77777777" w:rsidR="007D1CCA" w:rsidRDefault="00A06746">
      <w:pPr>
        <w:widowControl w:val="0"/>
        <w:spacing w:after="0" w:line="240" w:lineRule="auto"/>
        <w:ind w:left="539" w:hanging="539"/>
        <w:rPr>
          <w:rFonts w:ascii="Times New Roman" w:eastAsia="Calibri" w:hAnsi="Times New Roman" w:cs="Times New Roman"/>
        </w:rPr>
      </w:pPr>
      <w:r>
        <w:rPr>
          <w:rFonts w:ascii="Times New Roman" w:eastAsia="Calibri" w:hAnsi="Times New Roman" w:cs="Times New Roman"/>
          <w:highlight w:val="lightGray"/>
        </w:rPr>
        <w:t>NN</w:t>
      </w:r>
    </w:p>
    <w:p w14:paraId="031D801A"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DC80D89"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br w:type="page"/>
      </w:r>
    </w:p>
    <w:p w14:paraId="1EBBFB12"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0"/>
        </w:tabs>
        <w:spacing w:after="0" w:line="240" w:lineRule="auto"/>
        <w:rPr>
          <w:rFonts w:ascii="Times New Roman" w:eastAsia="Times New Roman" w:hAnsi="Times New Roman" w:cs="Times New Roman"/>
          <w:b/>
          <w:snapToGrid w:val="0"/>
        </w:rPr>
      </w:pPr>
      <w:r>
        <w:rPr>
          <w:rFonts w:ascii="Times New Roman" w:eastAsia="Times New Roman" w:hAnsi="Times New Roman" w:cs="Times New Roman"/>
          <w:b/>
          <w:snapToGrid w:val="0"/>
        </w:rPr>
        <w:lastRenderedPageBreak/>
        <w:t>MINIMALI INFORMACIJA ANT LIZDINIŲ PLOKŠTELIŲ ARBA DVISLUOKSNIŲ JUOSTELIŲ</w:t>
      </w:r>
    </w:p>
    <w:p w14:paraId="2C9B91CB" w14:textId="77777777" w:rsidR="007D1CCA" w:rsidRDefault="007D1CCA">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rPr>
      </w:pPr>
    </w:p>
    <w:p w14:paraId="6734F1AF"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rPr>
      </w:pPr>
      <w:r>
        <w:rPr>
          <w:rFonts w:ascii="Times New Roman" w:eastAsia="Times New Roman" w:hAnsi="Times New Roman" w:cs="Times New Roman"/>
          <w:b/>
          <w:snapToGrid w:val="0"/>
        </w:rPr>
        <w:t>LIZDINĖ PLOKŠTELĖ</w:t>
      </w:r>
    </w:p>
    <w:p w14:paraId="7528B7B7"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61CCBF6"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9C9662D"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Pr>
          <w:rFonts w:ascii="Times New Roman" w:eastAsia="Times New Roman" w:hAnsi="Times New Roman" w:cs="Times New Roman"/>
          <w:b/>
          <w:snapToGrid w:val="0"/>
        </w:rPr>
        <w:t>1.</w:t>
      </w:r>
      <w:r>
        <w:rPr>
          <w:rFonts w:ascii="Times New Roman" w:eastAsia="Times New Roman" w:hAnsi="Times New Roman" w:cs="Times New Roman"/>
          <w:b/>
          <w:snapToGrid w:val="0"/>
        </w:rPr>
        <w:tab/>
      </w:r>
      <w:r>
        <w:rPr>
          <w:rFonts w:ascii="Times New Roman" w:eastAsia="Times New Roman" w:hAnsi="Times New Roman" w:cs="Times New Roman"/>
          <w:b/>
          <w:caps/>
          <w:snapToGrid w:val="0"/>
        </w:rPr>
        <w:t>VAISTINIO</w:t>
      </w:r>
      <w:r>
        <w:rPr>
          <w:rFonts w:ascii="Times New Roman" w:eastAsia="Times New Roman" w:hAnsi="Times New Roman" w:cs="Times New Roman"/>
          <w:b/>
          <w:snapToGrid w:val="0"/>
        </w:rPr>
        <w:t xml:space="preserve"> PREPARATO PAVADINIMAS</w:t>
      </w:r>
    </w:p>
    <w:p w14:paraId="0E617C9B"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CF5F8E2"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30 mg skrandyje neirios kietosios kapsulės</w:t>
      </w:r>
    </w:p>
    <w:p w14:paraId="1359E73F"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highlight w:val="lightGray"/>
        </w:rPr>
        <w:t>Dulsevia</w:t>
      </w:r>
      <w:proofErr w:type="spellEnd"/>
      <w:r>
        <w:rPr>
          <w:rFonts w:ascii="Times New Roman" w:eastAsia="Times New Roman" w:hAnsi="Times New Roman" w:cs="Times New Roman"/>
          <w:snapToGrid w:val="0"/>
          <w:highlight w:val="lightGray"/>
        </w:rPr>
        <w:t xml:space="preserve"> 60 mg skrandyje neirios kietosios kapsulės</w:t>
      </w:r>
    </w:p>
    <w:p w14:paraId="7B091A00"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7376218"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duloksetinas</w:t>
      </w:r>
      <w:proofErr w:type="spellEnd"/>
    </w:p>
    <w:p w14:paraId="12BB025F"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B56AD36"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73FBB06"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Pr>
          <w:rFonts w:ascii="Times New Roman" w:eastAsia="Times New Roman" w:hAnsi="Times New Roman" w:cs="Times New Roman"/>
          <w:b/>
          <w:snapToGrid w:val="0"/>
        </w:rPr>
        <w:t>2.</w:t>
      </w:r>
      <w:r>
        <w:rPr>
          <w:rFonts w:ascii="Times New Roman" w:eastAsia="Times New Roman" w:hAnsi="Times New Roman" w:cs="Times New Roman"/>
          <w:b/>
          <w:snapToGrid w:val="0"/>
        </w:rPr>
        <w:tab/>
      </w:r>
      <w:r>
        <w:rPr>
          <w:rFonts w:ascii="Times New Roman" w:eastAsia="Times New Roman" w:hAnsi="Times New Roman" w:cs="Times New Roman"/>
          <w:b/>
          <w:caps/>
          <w:snapToGrid w:val="0"/>
        </w:rPr>
        <w:t>rEGISTRUOtojo pavadinimas</w:t>
      </w:r>
    </w:p>
    <w:p w14:paraId="22F696D2"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904AE42"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KRKA</w:t>
      </w:r>
    </w:p>
    <w:p w14:paraId="739E0E1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1905D35"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A5478AB" w14:textId="77777777" w:rsidR="007D1CCA" w:rsidRDefault="00A06746">
      <w:pPr>
        <w:widowControl w:val="0"/>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Pr>
          <w:rFonts w:ascii="Times New Roman" w:eastAsia="Times New Roman" w:hAnsi="Times New Roman" w:cs="Times New Roman"/>
          <w:b/>
          <w:snapToGrid w:val="0"/>
        </w:rPr>
        <w:t>3.</w:t>
      </w:r>
      <w:r>
        <w:rPr>
          <w:rFonts w:ascii="Times New Roman" w:eastAsia="Times New Roman" w:hAnsi="Times New Roman" w:cs="Times New Roman"/>
          <w:b/>
          <w:snapToGrid w:val="0"/>
        </w:rPr>
        <w:tab/>
        <w:t>TINKAMUMO LAIKAS</w:t>
      </w:r>
    </w:p>
    <w:p w14:paraId="45A61DB9"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0CF27BD"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EXP (mm/MMMM)</w:t>
      </w:r>
    </w:p>
    <w:p w14:paraId="763435DA"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C02F53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887078B"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Pr>
          <w:rFonts w:ascii="Times New Roman" w:eastAsia="Times New Roman" w:hAnsi="Times New Roman" w:cs="Times New Roman"/>
          <w:b/>
          <w:snapToGrid w:val="0"/>
        </w:rPr>
        <w:t>4.</w:t>
      </w:r>
      <w:r>
        <w:rPr>
          <w:rFonts w:ascii="Times New Roman" w:eastAsia="Times New Roman" w:hAnsi="Times New Roman" w:cs="Times New Roman"/>
          <w:b/>
          <w:snapToGrid w:val="0"/>
        </w:rPr>
        <w:tab/>
        <w:t>SERIJOS NUMERIS</w:t>
      </w:r>
    </w:p>
    <w:p w14:paraId="5F3925E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E70EB69"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Lot</w:t>
      </w:r>
    </w:p>
    <w:p w14:paraId="3D03EDB7"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AC365C3"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523D358" w14:textId="77777777" w:rsidR="007D1CCA" w:rsidRDefault="00A0674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Pr>
          <w:rFonts w:ascii="Times New Roman" w:eastAsia="Times New Roman" w:hAnsi="Times New Roman" w:cs="Times New Roman"/>
          <w:b/>
          <w:snapToGrid w:val="0"/>
        </w:rPr>
        <w:t>5.</w:t>
      </w:r>
      <w:r>
        <w:rPr>
          <w:rFonts w:ascii="Times New Roman" w:eastAsia="Times New Roman" w:hAnsi="Times New Roman" w:cs="Times New Roman"/>
          <w:b/>
          <w:snapToGrid w:val="0"/>
        </w:rPr>
        <w:tab/>
        <w:t>KITA</w:t>
      </w:r>
    </w:p>
    <w:p w14:paraId="1A6F80DB"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2AF19A4" w14:textId="77777777" w:rsidR="007D1CCA" w:rsidRDefault="007D1CCA">
      <w:pPr>
        <w:widowControl w:val="0"/>
        <w:tabs>
          <w:tab w:val="left" w:pos="567"/>
        </w:tabs>
        <w:spacing w:after="0" w:line="240" w:lineRule="auto"/>
        <w:outlineLvl w:val="0"/>
        <w:rPr>
          <w:rFonts w:ascii="Times New Roman" w:eastAsia="Times New Roman" w:hAnsi="Times New Roman" w:cs="Times New Roman"/>
          <w:snapToGrid w:val="0"/>
        </w:rPr>
      </w:pPr>
    </w:p>
    <w:p w14:paraId="52777860" w14:textId="77777777" w:rsidR="007D1CCA" w:rsidRDefault="00A06746">
      <w:pPr>
        <w:widowControl w:val="0"/>
        <w:tabs>
          <w:tab w:val="left" w:pos="567"/>
        </w:tabs>
        <w:spacing w:after="0" w:line="240" w:lineRule="auto"/>
        <w:jc w:val="center"/>
        <w:outlineLvl w:val="0"/>
        <w:rPr>
          <w:rFonts w:ascii="Times New Roman" w:eastAsia="Times New Roman" w:hAnsi="Times New Roman" w:cs="Times New Roman"/>
          <w:snapToGrid w:val="0"/>
        </w:rPr>
      </w:pPr>
      <w:r>
        <w:rPr>
          <w:rFonts w:ascii="Times New Roman" w:eastAsia="Times New Roman" w:hAnsi="Times New Roman" w:cs="Times New Roman"/>
          <w:snapToGrid w:val="0"/>
        </w:rPr>
        <w:br w:type="page"/>
      </w:r>
    </w:p>
    <w:p w14:paraId="4C51E5DF"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7CEC8489"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18A56486"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1C0E19C3"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63FF0057"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48BCF3C7"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13E101E5"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3A12778C"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71810907"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7E444335"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1BD3373A"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10FA6000"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70418EC1"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1E0E6924"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29E45AA1"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38759015"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112534F2"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5B6CEE0C"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7CF51CCB"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625EA12A"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6359A731"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016FE1F7"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snapToGrid w:val="0"/>
        </w:rPr>
      </w:pPr>
    </w:p>
    <w:p w14:paraId="3C3C6812" w14:textId="77777777" w:rsidR="007D1CCA" w:rsidRDefault="007D1CCA">
      <w:pPr>
        <w:widowControl w:val="0"/>
        <w:tabs>
          <w:tab w:val="left" w:pos="567"/>
        </w:tabs>
        <w:spacing w:after="0" w:line="240" w:lineRule="auto"/>
        <w:jc w:val="center"/>
        <w:outlineLvl w:val="0"/>
        <w:rPr>
          <w:rFonts w:ascii="Times New Roman" w:eastAsia="Times New Roman" w:hAnsi="Times New Roman" w:cs="Times New Roman"/>
          <w:b/>
          <w:snapToGrid w:val="0"/>
        </w:rPr>
      </w:pPr>
    </w:p>
    <w:p w14:paraId="74713BE0" w14:textId="77777777" w:rsidR="007D1CCA" w:rsidRDefault="00A06746">
      <w:pPr>
        <w:widowControl w:val="0"/>
        <w:tabs>
          <w:tab w:val="left" w:pos="567"/>
        </w:tabs>
        <w:spacing w:after="0" w:line="240" w:lineRule="auto"/>
        <w:jc w:val="center"/>
        <w:outlineLvl w:val="0"/>
        <w:rPr>
          <w:rFonts w:ascii="Times New Roman" w:eastAsia="Times New Roman" w:hAnsi="Times New Roman" w:cs="Times New Roman"/>
          <w:b/>
          <w:snapToGrid w:val="0"/>
        </w:rPr>
      </w:pPr>
      <w:r>
        <w:rPr>
          <w:rFonts w:ascii="Times New Roman" w:eastAsia="Times New Roman" w:hAnsi="Times New Roman" w:cs="Times New Roman"/>
          <w:b/>
          <w:snapToGrid w:val="0"/>
        </w:rPr>
        <w:t>B. PAKUOTĖS LAPELIS</w:t>
      </w:r>
    </w:p>
    <w:p w14:paraId="3712F4AA" w14:textId="77777777" w:rsidR="007D1CCA" w:rsidRDefault="00A06746">
      <w:pPr>
        <w:widowControl w:val="0"/>
        <w:tabs>
          <w:tab w:val="left" w:pos="567"/>
        </w:tabs>
        <w:spacing w:after="0" w:line="240" w:lineRule="auto"/>
        <w:jc w:val="center"/>
        <w:outlineLvl w:val="1"/>
        <w:rPr>
          <w:rFonts w:ascii="Times New Roman" w:eastAsia="Times New Roman" w:hAnsi="Times New Roman" w:cs="Times New Roman"/>
          <w:b/>
          <w:snapToGrid w:val="0"/>
          <w:lang w:eastAsia="x-none"/>
        </w:rPr>
      </w:pPr>
      <w:r>
        <w:rPr>
          <w:rFonts w:ascii="Times New Roman" w:eastAsia="Times New Roman" w:hAnsi="Times New Roman" w:cs="Times New Roman"/>
          <w:b/>
          <w:bCs/>
          <w:iCs/>
          <w:snapToGrid w:val="0"/>
          <w:lang w:eastAsia="x-none"/>
        </w:rPr>
        <w:br w:type="page"/>
      </w:r>
      <w:r>
        <w:rPr>
          <w:rFonts w:ascii="Times New Roman" w:eastAsia="Times New Roman" w:hAnsi="Times New Roman" w:cs="Times New Roman"/>
          <w:b/>
          <w:bCs/>
          <w:iCs/>
          <w:snapToGrid w:val="0"/>
          <w:lang w:eastAsia="x-none"/>
        </w:rPr>
        <w:lastRenderedPageBreak/>
        <w:t>Pakuotės lapelis:</w:t>
      </w:r>
      <w:r>
        <w:rPr>
          <w:rFonts w:ascii="Times New Roman" w:eastAsia="Times New Roman" w:hAnsi="Times New Roman" w:cs="Times New Roman"/>
          <w:b/>
          <w:snapToGrid w:val="0"/>
          <w:lang w:eastAsia="x-none"/>
        </w:rPr>
        <w:t xml:space="preserve"> </w:t>
      </w:r>
      <w:r>
        <w:rPr>
          <w:rFonts w:ascii="Times New Roman" w:eastAsia="Times New Roman" w:hAnsi="Times New Roman" w:cs="Times New Roman"/>
          <w:b/>
          <w:bCs/>
          <w:iCs/>
          <w:snapToGrid w:val="0"/>
          <w:lang w:eastAsia="x-none"/>
        </w:rPr>
        <w:t>informacija pacientui</w:t>
      </w:r>
    </w:p>
    <w:p w14:paraId="6D40F3FF" w14:textId="77777777" w:rsidR="007D1CCA" w:rsidRDefault="007D1CCA">
      <w:pPr>
        <w:widowControl w:val="0"/>
        <w:numPr>
          <w:ilvl w:val="12"/>
          <w:numId w:val="0"/>
        </w:numPr>
        <w:shd w:val="clear" w:color="auto" w:fill="FFFFFF"/>
        <w:spacing w:after="0" w:line="240" w:lineRule="auto"/>
        <w:jc w:val="center"/>
        <w:rPr>
          <w:rFonts w:ascii="Times New Roman" w:eastAsia="Times New Roman" w:hAnsi="Times New Roman" w:cs="Times New Roman"/>
          <w:snapToGrid w:val="0"/>
        </w:rPr>
      </w:pPr>
    </w:p>
    <w:p w14:paraId="6FDD8075" w14:textId="77777777" w:rsidR="007D1CCA" w:rsidRDefault="00A06746">
      <w:pPr>
        <w:widowControl w:val="0"/>
        <w:tabs>
          <w:tab w:val="left" w:pos="567"/>
        </w:tabs>
        <w:spacing w:after="0" w:line="240" w:lineRule="auto"/>
        <w:jc w:val="center"/>
        <w:rPr>
          <w:rFonts w:ascii="Times New Roman" w:eastAsia="Times New Roman" w:hAnsi="Times New Roman" w:cs="Times New Roman"/>
          <w:b/>
          <w:snapToGrid w:val="0"/>
        </w:rPr>
      </w:pPr>
      <w:proofErr w:type="spellStart"/>
      <w:r>
        <w:rPr>
          <w:rFonts w:ascii="Times New Roman" w:eastAsia="Times New Roman" w:hAnsi="Times New Roman" w:cs="Times New Roman"/>
          <w:b/>
          <w:snapToGrid w:val="0"/>
        </w:rPr>
        <w:t>Dulsevia</w:t>
      </w:r>
      <w:proofErr w:type="spellEnd"/>
      <w:r>
        <w:rPr>
          <w:rFonts w:ascii="Times New Roman" w:eastAsia="Times New Roman" w:hAnsi="Times New Roman" w:cs="Times New Roman"/>
          <w:b/>
          <w:snapToGrid w:val="0"/>
        </w:rPr>
        <w:t xml:space="preserve"> 30 mg skrandyje neirios kietosios kapsulės</w:t>
      </w:r>
    </w:p>
    <w:p w14:paraId="1F960E67" w14:textId="77777777" w:rsidR="007D1CCA" w:rsidRDefault="00A06746">
      <w:pPr>
        <w:widowControl w:val="0"/>
        <w:tabs>
          <w:tab w:val="left" w:pos="567"/>
        </w:tabs>
        <w:spacing w:after="0" w:line="240" w:lineRule="auto"/>
        <w:jc w:val="center"/>
        <w:rPr>
          <w:rFonts w:ascii="Times New Roman" w:eastAsia="Times New Roman" w:hAnsi="Times New Roman" w:cs="Times New Roman"/>
          <w:b/>
          <w:snapToGrid w:val="0"/>
        </w:rPr>
      </w:pPr>
      <w:proofErr w:type="spellStart"/>
      <w:r>
        <w:rPr>
          <w:rFonts w:ascii="Times New Roman" w:eastAsia="Times New Roman" w:hAnsi="Times New Roman" w:cs="Times New Roman"/>
          <w:b/>
          <w:snapToGrid w:val="0"/>
        </w:rPr>
        <w:t>Dulsevia</w:t>
      </w:r>
      <w:proofErr w:type="spellEnd"/>
      <w:r>
        <w:rPr>
          <w:rFonts w:ascii="Times New Roman" w:eastAsia="Times New Roman" w:hAnsi="Times New Roman" w:cs="Times New Roman"/>
          <w:b/>
          <w:snapToGrid w:val="0"/>
        </w:rPr>
        <w:t xml:space="preserve"> 60 mg skrandyje neirios kietosios kapsulės</w:t>
      </w:r>
    </w:p>
    <w:p w14:paraId="5AB34FAC" w14:textId="77777777" w:rsidR="007D1CCA" w:rsidRDefault="00A06746">
      <w:pPr>
        <w:widowControl w:val="0"/>
        <w:numPr>
          <w:ilvl w:val="12"/>
          <w:numId w:val="0"/>
        </w:numPr>
        <w:spacing w:after="0" w:line="240" w:lineRule="auto"/>
        <w:jc w:val="center"/>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duloksetinas</w:t>
      </w:r>
      <w:proofErr w:type="spellEnd"/>
    </w:p>
    <w:p w14:paraId="2C04538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D060870"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snapToGrid w:val="0"/>
        </w:rPr>
        <w:t>Atidžiai perskaitykite visą šį lapelį, prieš pradėdami vartoti vaistą, nes jame pateikiama Jums svarbi informacija.</w:t>
      </w:r>
    </w:p>
    <w:p w14:paraId="2B7E7DB7" w14:textId="77777777" w:rsidR="007D1CCA" w:rsidRDefault="00A06746">
      <w:pPr>
        <w:widowControl w:val="0"/>
        <w:numPr>
          <w:ilvl w:val="0"/>
          <w:numId w:val="1"/>
        </w:numPr>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Neišmeskite šio lapelio, nes vėl gali prireikti jį perskaityti.</w:t>
      </w:r>
    </w:p>
    <w:p w14:paraId="2EA9A4D5" w14:textId="77777777" w:rsidR="007D1CCA" w:rsidRDefault="00A06746">
      <w:pPr>
        <w:widowControl w:val="0"/>
        <w:numPr>
          <w:ilvl w:val="0"/>
          <w:numId w:val="1"/>
        </w:numPr>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Jeigu kiltų daugiau klausimų, kreipkitės į gydytoją arba vaistininką.</w:t>
      </w:r>
    </w:p>
    <w:p w14:paraId="3D254091" w14:textId="77777777" w:rsidR="007D1CCA" w:rsidRDefault="00A06746">
      <w:pPr>
        <w:widowControl w:val="0"/>
        <w:numPr>
          <w:ilvl w:val="0"/>
          <w:numId w:val="1"/>
        </w:numPr>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Šis vaistas skirtas tik Jums, todėl kitiems žmonėms jo duoti negalima. Vaistas gali jiems pakenkti (net tiems, kurių ligos požymiai yra tokie patys kaip Jūsų).</w:t>
      </w:r>
    </w:p>
    <w:p w14:paraId="592AD590" w14:textId="77777777" w:rsidR="007D1CCA" w:rsidRDefault="00A06746">
      <w:pPr>
        <w:widowControl w:val="0"/>
        <w:numPr>
          <w:ilvl w:val="0"/>
          <w:numId w:val="1"/>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Jeigu pasireiškė šalutinis poveikis (net jeigu jis šiame lapelyje nenurodytas), kreipkitės į gydytoją, arba vaistininką. Žr. 4 skyrių.</w:t>
      </w:r>
    </w:p>
    <w:p w14:paraId="5B4FDBD0" w14:textId="77777777" w:rsidR="007D1CCA" w:rsidRDefault="007D1CCA">
      <w:pPr>
        <w:widowControl w:val="0"/>
        <w:spacing w:after="0" w:line="240" w:lineRule="auto"/>
        <w:ind w:right="-2"/>
        <w:rPr>
          <w:rFonts w:ascii="Times New Roman" w:eastAsia="Times New Roman" w:hAnsi="Times New Roman" w:cs="Times New Roman"/>
          <w:snapToGrid w:val="0"/>
        </w:rPr>
      </w:pPr>
    </w:p>
    <w:p w14:paraId="21B0A6FC"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Apie ką rašoma šiame lapelyje?</w:t>
      </w:r>
    </w:p>
    <w:p w14:paraId="1102E505"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3718B1A1" w14:textId="77777777" w:rsidR="007D1CCA" w:rsidRDefault="00A06746">
      <w:pPr>
        <w:widowControl w:val="0"/>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1.</w:t>
      </w:r>
      <w:r>
        <w:rPr>
          <w:rFonts w:ascii="Times New Roman" w:eastAsia="Times New Roman" w:hAnsi="Times New Roman" w:cs="Times New Roman"/>
          <w:snapToGrid w:val="0"/>
        </w:rPr>
        <w:tab/>
        <w:t xml:space="preserve">Kas yra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ir kam jis vartojamas</w:t>
      </w:r>
    </w:p>
    <w:p w14:paraId="49634BE6" w14:textId="77777777" w:rsidR="007D1CCA" w:rsidRDefault="00A06746">
      <w:pPr>
        <w:widowControl w:val="0"/>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2.</w:t>
      </w:r>
      <w:r>
        <w:rPr>
          <w:rFonts w:ascii="Times New Roman" w:eastAsia="Times New Roman" w:hAnsi="Times New Roman" w:cs="Times New Roman"/>
          <w:snapToGrid w:val="0"/>
        </w:rPr>
        <w:tab/>
        <w:t xml:space="preserve">Kas žinotina prieš vartojant </w:t>
      </w:r>
      <w:proofErr w:type="spellStart"/>
      <w:r>
        <w:rPr>
          <w:rFonts w:ascii="Times New Roman" w:eastAsia="Times New Roman" w:hAnsi="Times New Roman" w:cs="Times New Roman"/>
          <w:snapToGrid w:val="0"/>
        </w:rPr>
        <w:t>Dulsevia</w:t>
      </w:r>
      <w:proofErr w:type="spellEnd"/>
    </w:p>
    <w:p w14:paraId="01638B4D" w14:textId="77777777" w:rsidR="007D1CCA" w:rsidRDefault="00A06746">
      <w:pPr>
        <w:widowControl w:val="0"/>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3.</w:t>
      </w:r>
      <w:r>
        <w:rPr>
          <w:rFonts w:ascii="Times New Roman" w:eastAsia="Times New Roman" w:hAnsi="Times New Roman" w:cs="Times New Roman"/>
          <w:snapToGrid w:val="0"/>
        </w:rPr>
        <w:tab/>
        <w:t xml:space="preserve">Kaip vartoti </w:t>
      </w:r>
      <w:proofErr w:type="spellStart"/>
      <w:r>
        <w:rPr>
          <w:rFonts w:ascii="Times New Roman" w:eastAsia="Times New Roman" w:hAnsi="Times New Roman" w:cs="Times New Roman"/>
          <w:snapToGrid w:val="0"/>
        </w:rPr>
        <w:t>Dulsevia</w:t>
      </w:r>
      <w:proofErr w:type="spellEnd"/>
    </w:p>
    <w:p w14:paraId="62E3CD28" w14:textId="77777777" w:rsidR="007D1CCA" w:rsidRDefault="00A06746">
      <w:pPr>
        <w:widowControl w:val="0"/>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4.</w:t>
      </w:r>
      <w:r>
        <w:rPr>
          <w:rFonts w:ascii="Times New Roman" w:eastAsia="Times New Roman" w:hAnsi="Times New Roman" w:cs="Times New Roman"/>
          <w:snapToGrid w:val="0"/>
        </w:rPr>
        <w:tab/>
        <w:t>Galimas šalutinis poveikis</w:t>
      </w:r>
    </w:p>
    <w:p w14:paraId="58425C9C" w14:textId="77777777" w:rsidR="007D1CCA" w:rsidRDefault="00A06746">
      <w:pPr>
        <w:widowControl w:val="0"/>
        <w:tabs>
          <w:tab w:val="left" w:pos="709"/>
        </w:tabs>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5.</w:t>
      </w:r>
      <w:r>
        <w:rPr>
          <w:rFonts w:ascii="Times New Roman" w:eastAsia="Times New Roman" w:hAnsi="Times New Roman" w:cs="Times New Roman"/>
          <w:snapToGrid w:val="0"/>
        </w:rPr>
        <w:tab/>
        <w:t xml:space="preserve">Kaip laikyti </w:t>
      </w:r>
      <w:proofErr w:type="spellStart"/>
      <w:r>
        <w:rPr>
          <w:rFonts w:ascii="Times New Roman" w:eastAsia="Times New Roman" w:hAnsi="Times New Roman" w:cs="Times New Roman"/>
          <w:snapToGrid w:val="0"/>
        </w:rPr>
        <w:t>Dulsevia</w:t>
      </w:r>
      <w:proofErr w:type="spellEnd"/>
    </w:p>
    <w:p w14:paraId="04E7B341" w14:textId="77777777" w:rsidR="007D1CCA" w:rsidRDefault="00A06746">
      <w:pPr>
        <w:widowControl w:val="0"/>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6.</w:t>
      </w:r>
      <w:r>
        <w:rPr>
          <w:rFonts w:ascii="Times New Roman" w:eastAsia="Times New Roman" w:hAnsi="Times New Roman" w:cs="Times New Roman"/>
          <w:snapToGrid w:val="0"/>
        </w:rPr>
        <w:tab/>
        <w:t>Pakuotės turinys ir kita informacija</w:t>
      </w:r>
    </w:p>
    <w:p w14:paraId="47D46B47"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3B245225"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7B7016A0"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1.</w:t>
      </w:r>
      <w:r>
        <w:rPr>
          <w:rFonts w:ascii="Times New Roman" w:eastAsia="Times New Roman" w:hAnsi="Times New Roman" w:cs="Times New Roman"/>
          <w:b/>
          <w:bCs/>
          <w:snapToGrid w:val="0"/>
          <w:lang w:eastAsia="x-none"/>
        </w:rPr>
        <w:tab/>
        <w:t xml:space="preserve">Kas yra </w:t>
      </w:r>
      <w:proofErr w:type="spellStart"/>
      <w:r>
        <w:rPr>
          <w:rFonts w:ascii="Times New Roman" w:eastAsia="Times New Roman" w:hAnsi="Times New Roman" w:cs="Times New Roman"/>
          <w:b/>
          <w:bCs/>
          <w:snapToGrid w:val="0"/>
          <w:lang w:eastAsia="x-none"/>
        </w:rPr>
        <w:t>Dulsevia</w:t>
      </w:r>
      <w:proofErr w:type="spellEnd"/>
      <w:r>
        <w:rPr>
          <w:rFonts w:ascii="Times New Roman" w:eastAsia="Times New Roman" w:hAnsi="Times New Roman" w:cs="Times New Roman"/>
          <w:b/>
          <w:bCs/>
          <w:snapToGrid w:val="0"/>
          <w:lang w:eastAsia="x-none"/>
        </w:rPr>
        <w:t xml:space="preserve"> ir kam jis vartojamas</w:t>
      </w:r>
    </w:p>
    <w:p w14:paraId="1620F961"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0A0BBE75" w14:textId="77777777" w:rsidR="007D1CCA" w:rsidRDefault="00A06746">
      <w:pPr>
        <w:widowControl w:val="0"/>
        <w:tabs>
          <w:tab w:val="left" w:pos="567"/>
        </w:tabs>
        <w:overflowPunct w:val="0"/>
        <w:autoSpaceDE w:val="0"/>
        <w:autoSpaceDN w:val="0"/>
        <w:adjustRightInd w:val="0"/>
        <w:spacing w:after="0" w:line="240" w:lineRule="auto"/>
        <w:ind w:left="2" w:right="320"/>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sudėtyje yra veikliosios medžiagos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didina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ir </w:t>
      </w:r>
      <w:proofErr w:type="spellStart"/>
      <w:r>
        <w:rPr>
          <w:rFonts w:ascii="Times New Roman" w:eastAsia="Times New Roman" w:hAnsi="Times New Roman" w:cs="Times New Roman"/>
          <w:snapToGrid w:val="0"/>
        </w:rPr>
        <w:t>noradrenalino</w:t>
      </w:r>
      <w:proofErr w:type="spellEnd"/>
      <w:r>
        <w:rPr>
          <w:rFonts w:ascii="Times New Roman" w:eastAsia="Times New Roman" w:hAnsi="Times New Roman" w:cs="Times New Roman"/>
          <w:snapToGrid w:val="0"/>
        </w:rPr>
        <w:t xml:space="preserve"> kiekį nervų sistemoje.</w:t>
      </w:r>
    </w:p>
    <w:p w14:paraId="7F96352A" w14:textId="77777777" w:rsidR="007D1CCA" w:rsidRDefault="007D1CCA">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14:paraId="408281F8" w14:textId="77777777" w:rsidR="007D1CCA" w:rsidRDefault="00A06746">
      <w:pPr>
        <w:widowControl w:val="0"/>
        <w:tabs>
          <w:tab w:val="left" w:pos="567"/>
        </w:tabs>
        <w:autoSpaceDE w:val="0"/>
        <w:autoSpaceDN w:val="0"/>
        <w:adjustRightInd w:val="0"/>
        <w:spacing w:after="0" w:line="240" w:lineRule="auto"/>
        <w:ind w:left="2"/>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vartojamas šiems suaugusių žmonių sutrikimams gydyti:</w:t>
      </w:r>
    </w:p>
    <w:p w14:paraId="69C0EEB8" w14:textId="77777777" w:rsidR="007D1CCA" w:rsidRDefault="00A06746">
      <w:pPr>
        <w:widowControl w:val="0"/>
        <w:numPr>
          <w:ilvl w:val="0"/>
          <w:numId w:val="2"/>
        </w:numPr>
        <w:tabs>
          <w:tab w:val="num" w:pos="567"/>
        </w:tabs>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depresijai;</w:t>
      </w:r>
    </w:p>
    <w:p w14:paraId="2992EAB4" w14:textId="77777777" w:rsidR="007D1CCA" w:rsidRDefault="00A06746">
      <w:pPr>
        <w:widowControl w:val="0"/>
        <w:numPr>
          <w:ilvl w:val="0"/>
          <w:numId w:val="2"/>
        </w:numPr>
        <w:tabs>
          <w:tab w:val="num" w:pos="567"/>
        </w:tabs>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generalizuoto</w:t>
      </w:r>
      <w:proofErr w:type="spellEnd"/>
      <w:r>
        <w:rPr>
          <w:rFonts w:ascii="Times New Roman" w:eastAsia="Times New Roman" w:hAnsi="Times New Roman" w:cs="Times New Roman"/>
          <w:snapToGrid w:val="0"/>
        </w:rPr>
        <w:t xml:space="preserve"> nerimo sutrikimui (nuolatinis nerimo ar nervingumo pojūtis);</w:t>
      </w:r>
    </w:p>
    <w:p w14:paraId="0442B76A" w14:textId="77777777" w:rsidR="007D1CCA" w:rsidRDefault="00A06746">
      <w:pPr>
        <w:widowControl w:val="0"/>
        <w:numPr>
          <w:ilvl w:val="0"/>
          <w:numId w:val="2"/>
        </w:numPr>
        <w:tabs>
          <w:tab w:val="num" w:pos="567"/>
        </w:tabs>
        <w:overflowPunct w:val="0"/>
        <w:autoSpaceDE w:val="0"/>
        <w:autoSpaceDN w:val="0"/>
        <w:adjustRightInd w:val="0"/>
        <w:spacing w:after="0" w:line="240" w:lineRule="auto"/>
        <w:ind w:left="567" w:right="160" w:hanging="567"/>
        <w:rPr>
          <w:rFonts w:ascii="Times New Roman" w:eastAsia="Times New Roman" w:hAnsi="Times New Roman" w:cs="Times New Roman"/>
          <w:snapToGrid w:val="0"/>
        </w:rPr>
      </w:pPr>
      <w:r>
        <w:rPr>
          <w:rFonts w:ascii="Times New Roman" w:eastAsia="Times New Roman" w:hAnsi="Times New Roman" w:cs="Times New Roman"/>
          <w:snapToGrid w:val="0"/>
        </w:rPr>
        <w:t>skausmui dėl diabetinės neuropatijos gydyti (dažnai apibūdinamas kaip deginimas, dūrimas, dilginimas, diegimas arba gėlimas, arba lyg elektros smūgio jutimas. Pažeistame plote gali sutrikti jutimas, o tokie reiškiniai kaip prisilietimas, karštis, šaltis, ar spaudimas gali sukelti skausmą).</w:t>
      </w:r>
    </w:p>
    <w:p w14:paraId="0E82FD95" w14:textId="77777777" w:rsidR="007D1CCA" w:rsidRDefault="007D1CCA">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14:paraId="5246E6B7" w14:textId="77777777" w:rsidR="007D1CCA" w:rsidRDefault="00A06746">
      <w:pPr>
        <w:widowControl w:val="0"/>
        <w:tabs>
          <w:tab w:val="left" w:pos="567"/>
        </w:tabs>
        <w:overflowPunct w:val="0"/>
        <w:autoSpaceDE w:val="0"/>
        <w:autoSpaceDN w:val="0"/>
        <w:adjustRightInd w:val="0"/>
        <w:spacing w:after="0" w:line="240" w:lineRule="auto"/>
        <w:ind w:left="2" w:right="260"/>
        <w:rPr>
          <w:rFonts w:ascii="Times New Roman" w:eastAsia="Times New Roman" w:hAnsi="Times New Roman" w:cs="Times New Roman"/>
          <w:snapToGrid w:val="0"/>
        </w:rPr>
      </w:pPr>
      <w:r>
        <w:rPr>
          <w:rFonts w:ascii="Times New Roman" w:eastAsia="Times New Roman" w:hAnsi="Times New Roman" w:cs="Times New Roman"/>
          <w:snapToGrid w:val="0"/>
        </w:rPr>
        <w:t xml:space="preserve">Daugumai žmonių, kuriems pasireiškia depresija ar nerimas,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poveikis pradeda reikštis per dvi savaites nuo gydymo pradžios, bet gali prireikti vartoti vaistą 2-4 savaites, kol pradėsite geriau jaustis. Jeigu praėjus šiam laikotarpiui nepradėjote geriau jaustis, pasakykite savo gydytojui. Jūsų gydytojas gali ir toliau Jus gydyti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kai jaučiatės geriau, kad depresija ar nerimas neatsinaujintų.</w:t>
      </w:r>
    </w:p>
    <w:p w14:paraId="050DCD0E" w14:textId="77777777" w:rsidR="007D1CCA" w:rsidRDefault="007D1CCA">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14:paraId="7D804C01" w14:textId="77777777" w:rsidR="007D1CCA" w:rsidRDefault="00A06746">
      <w:pPr>
        <w:widowControl w:val="0"/>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Žmonėms, kuriems pasireiškia skausmas dėl diabetinės neuropatijos, gali tekti gydytis keletą savaičių, kol pradės geriau jaustis. Jeigu po 2 mėnesių nepradėjote geriau jaustis, apie tai pasakykite gydytojui.</w:t>
      </w:r>
    </w:p>
    <w:p w14:paraId="3DF0ABDD"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54FE0D88"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315A08DA" w14:textId="77777777" w:rsidR="007D1CCA" w:rsidRDefault="00A06746">
      <w:pPr>
        <w:widowControl w:val="0"/>
        <w:spacing w:after="0" w:line="240" w:lineRule="auto"/>
        <w:ind w:left="567" w:hanging="567"/>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2.</w:t>
      </w:r>
      <w:r>
        <w:rPr>
          <w:rFonts w:ascii="Times New Roman" w:eastAsia="Times New Roman" w:hAnsi="Times New Roman" w:cs="Times New Roman"/>
          <w:b/>
          <w:bCs/>
          <w:snapToGrid w:val="0"/>
          <w:lang w:eastAsia="x-none"/>
        </w:rPr>
        <w:tab/>
        <w:t xml:space="preserve">Kas žinotina prieš vartojant </w:t>
      </w:r>
      <w:proofErr w:type="spellStart"/>
      <w:r>
        <w:rPr>
          <w:rFonts w:ascii="Times New Roman" w:eastAsia="Times New Roman" w:hAnsi="Times New Roman" w:cs="Times New Roman"/>
          <w:b/>
          <w:bCs/>
          <w:snapToGrid w:val="0"/>
          <w:lang w:eastAsia="x-none"/>
        </w:rPr>
        <w:t>Dulsevia</w:t>
      </w:r>
      <w:proofErr w:type="spellEnd"/>
    </w:p>
    <w:p w14:paraId="661262FE"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6A6C9545"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proofErr w:type="spellStart"/>
      <w:r>
        <w:rPr>
          <w:rFonts w:ascii="Times New Roman" w:eastAsia="Times New Roman" w:hAnsi="Times New Roman" w:cs="Times New Roman"/>
          <w:b/>
          <w:bCs/>
          <w:snapToGrid w:val="0"/>
          <w:lang w:eastAsia="x-none"/>
        </w:rPr>
        <w:t>Dulsevia</w:t>
      </w:r>
      <w:proofErr w:type="spellEnd"/>
      <w:r>
        <w:rPr>
          <w:rFonts w:ascii="Times New Roman" w:eastAsia="Times New Roman" w:hAnsi="Times New Roman" w:cs="Times New Roman"/>
          <w:b/>
          <w:bCs/>
          <w:snapToGrid w:val="0"/>
          <w:lang w:eastAsia="x-none"/>
        </w:rPr>
        <w:t xml:space="preserve"> vartoti negalima, jeigu:</w:t>
      </w:r>
    </w:p>
    <w:p w14:paraId="62A76097" w14:textId="77777777" w:rsidR="007D1CCA" w:rsidRDefault="00A06746">
      <w:pPr>
        <w:widowControl w:val="0"/>
        <w:numPr>
          <w:ilvl w:val="0"/>
          <w:numId w:val="3"/>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jeigu yra alergija </w:t>
      </w:r>
      <w:proofErr w:type="spellStart"/>
      <w:r>
        <w:rPr>
          <w:rFonts w:ascii="Times New Roman" w:eastAsia="Times New Roman" w:hAnsi="Times New Roman" w:cs="Times New Roman"/>
          <w:snapToGrid w:val="0"/>
        </w:rPr>
        <w:t>duloksetinui</w:t>
      </w:r>
      <w:proofErr w:type="spellEnd"/>
      <w:r>
        <w:rPr>
          <w:rFonts w:ascii="Times New Roman" w:eastAsia="Times New Roman" w:hAnsi="Times New Roman" w:cs="Times New Roman"/>
          <w:snapToGrid w:val="0"/>
        </w:rPr>
        <w:t xml:space="preserve"> arba bet kuriai pagalbinei šio vaisto medžiagai (jos išvardytos 6 skyriuje);</w:t>
      </w:r>
    </w:p>
    <w:p w14:paraId="4A31699B" w14:textId="77777777" w:rsidR="007D1CCA" w:rsidRDefault="00A06746">
      <w:pPr>
        <w:widowControl w:val="0"/>
        <w:numPr>
          <w:ilvl w:val="0"/>
          <w:numId w:val="3"/>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sergate kepenų liga;</w:t>
      </w:r>
    </w:p>
    <w:p w14:paraId="64AD3699" w14:textId="77777777" w:rsidR="007D1CCA" w:rsidRDefault="00A06746">
      <w:pPr>
        <w:widowControl w:val="0"/>
        <w:numPr>
          <w:ilvl w:val="0"/>
          <w:numId w:val="3"/>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sergate sunkia inkstų liga;</w:t>
      </w:r>
    </w:p>
    <w:p w14:paraId="64147CDF" w14:textId="77777777" w:rsidR="007D1CCA" w:rsidRDefault="00A06746">
      <w:pPr>
        <w:widowControl w:val="0"/>
        <w:numPr>
          <w:ilvl w:val="0"/>
          <w:numId w:val="3"/>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vartojate arba vartojote per paskutiniąsias 14 dienų kitus medikamentus, kurie vadinasi </w:t>
      </w:r>
      <w:proofErr w:type="spellStart"/>
      <w:r>
        <w:rPr>
          <w:rFonts w:ascii="Times New Roman" w:eastAsia="Times New Roman" w:hAnsi="Times New Roman" w:cs="Times New Roman"/>
          <w:snapToGrid w:val="0"/>
        </w:rPr>
        <w:lastRenderedPageBreak/>
        <w:t>monoaminooksidazės</w:t>
      </w:r>
      <w:proofErr w:type="spellEnd"/>
      <w:r>
        <w:rPr>
          <w:rFonts w:ascii="Times New Roman" w:eastAsia="Times New Roman" w:hAnsi="Times New Roman" w:cs="Times New Roman"/>
          <w:snapToGrid w:val="0"/>
        </w:rPr>
        <w:t xml:space="preserve"> inhibitoriai (MAOI) (žr. „Kiti vaistai ir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w:t>
      </w:r>
    </w:p>
    <w:p w14:paraId="0107696E" w14:textId="77777777" w:rsidR="007D1CCA" w:rsidRDefault="00A06746">
      <w:pPr>
        <w:widowControl w:val="0"/>
        <w:numPr>
          <w:ilvl w:val="0"/>
          <w:numId w:val="3"/>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vartojate </w:t>
      </w:r>
      <w:proofErr w:type="spellStart"/>
      <w:r>
        <w:rPr>
          <w:rFonts w:ascii="Times New Roman" w:eastAsia="Times New Roman" w:hAnsi="Times New Roman" w:cs="Times New Roman"/>
          <w:snapToGrid w:val="0"/>
        </w:rPr>
        <w:t>fluvoksamino</w:t>
      </w:r>
      <w:proofErr w:type="spellEnd"/>
      <w:r>
        <w:rPr>
          <w:rFonts w:ascii="Times New Roman" w:eastAsia="Times New Roman" w:hAnsi="Times New Roman" w:cs="Times New Roman"/>
          <w:snapToGrid w:val="0"/>
        </w:rPr>
        <w:t xml:space="preserve">, kuriuo paprastai gydoma depresija, </w:t>
      </w:r>
      <w:proofErr w:type="spellStart"/>
      <w:r>
        <w:rPr>
          <w:rFonts w:ascii="Times New Roman" w:eastAsia="Times New Roman" w:hAnsi="Times New Roman" w:cs="Times New Roman"/>
          <w:snapToGrid w:val="0"/>
        </w:rPr>
        <w:t>ciprofloksacino</w:t>
      </w:r>
      <w:proofErr w:type="spellEnd"/>
      <w:r>
        <w:rPr>
          <w:rFonts w:ascii="Times New Roman" w:eastAsia="Times New Roman" w:hAnsi="Times New Roman" w:cs="Times New Roman"/>
          <w:snapToGrid w:val="0"/>
        </w:rPr>
        <w:t xml:space="preserve"> ar </w:t>
      </w:r>
      <w:proofErr w:type="spellStart"/>
      <w:r>
        <w:rPr>
          <w:rFonts w:ascii="Times New Roman" w:eastAsia="Times New Roman" w:hAnsi="Times New Roman" w:cs="Times New Roman"/>
          <w:snapToGrid w:val="0"/>
        </w:rPr>
        <w:t>enoksacino</w:t>
      </w:r>
      <w:proofErr w:type="spellEnd"/>
      <w:r>
        <w:rPr>
          <w:rFonts w:ascii="Times New Roman" w:eastAsia="Times New Roman" w:hAnsi="Times New Roman" w:cs="Times New Roman"/>
          <w:snapToGrid w:val="0"/>
        </w:rPr>
        <w:t>, kuriais gydomos kai kurios infekcinės ligos;</w:t>
      </w:r>
    </w:p>
    <w:p w14:paraId="14646274" w14:textId="77777777" w:rsidR="007D1CCA" w:rsidRDefault="00A06746">
      <w:pPr>
        <w:widowControl w:val="0"/>
        <w:numPr>
          <w:ilvl w:val="0"/>
          <w:numId w:val="3"/>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vartojate kitų vaistų, kuriuose yra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(žr. „Kiti vaistai ir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w:t>
      </w:r>
    </w:p>
    <w:p w14:paraId="6A21A62D"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7F0EDD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Pasitarkite su Jus gydančiu gydytoju, jeigu sergate didelio kraujospūdžio liga. Jūsų gydytojas pasakys, ar turite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w:t>
      </w:r>
    </w:p>
    <w:p w14:paraId="60E233D0"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60EAAE6B"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Įspėjimai ir atsargumo priemonės</w:t>
      </w:r>
    </w:p>
    <w:p w14:paraId="26322261" w14:textId="77777777" w:rsidR="007D1CCA" w:rsidRDefault="00A06746">
      <w:pPr>
        <w:widowControl w:val="0"/>
        <w:tabs>
          <w:tab w:val="left" w:pos="567"/>
        </w:tabs>
        <w:autoSpaceDE w:val="0"/>
        <w:autoSpaceDN w:val="0"/>
        <w:adjustRightInd w:val="0"/>
        <w:spacing w:after="0" w:line="240" w:lineRule="auto"/>
        <w:ind w:left="2"/>
        <w:rPr>
          <w:rFonts w:ascii="Times New Roman" w:eastAsia="Times New Roman" w:hAnsi="Times New Roman" w:cs="Times New Roman"/>
          <w:snapToGrid w:val="0"/>
        </w:rPr>
      </w:pPr>
      <w:r>
        <w:rPr>
          <w:rFonts w:ascii="Times New Roman" w:eastAsia="Times New Roman" w:hAnsi="Times New Roman" w:cs="Times New Roman"/>
          <w:snapToGrid w:val="0"/>
        </w:rPr>
        <w:t xml:space="preserve">Toliau pateikiamos priežastys, dėl kurių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gali Jums netikti. Prieš pradėdami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pasitarkite su savo gydytoju, jei:</w:t>
      </w:r>
    </w:p>
    <w:p w14:paraId="6C5D9F1B" w14:textId="77777777" w:rsidR="007D1CCA" w:rsidRDefault="00A06746">
      <w:pPr>
        <w:widowControl w:val="0"/>
        <w:numPr>
          <w:ilvl w:val="0"/>
          <w:numId w:val="4"/>
        </w:numPr>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 xml:space="preserve">vartojate kitų vaistų depresijai gydyti, </w:t>
      </w:r>
      <w:proofErr w:type="spellStart"/>
      <w:r>
        <w:rPr>
          <w:rFonts w:ascii="Times New Roman" w:eastAsia="Times New Roman" w:hAnsi="Times New Roman" w:cs="Times New Roman"/>
          <w:snapToGrid w:val="0"/>
        </w:rPr>
        <w:t>triptanų</w:t>
      </w:r>
      <w:proofErr w:type="spellEnd"/>
      <w:r>
        <w:rPr>
          <w:rFonts w:ascii="Times New Roman" w:eastAsia="Times New Roman" w:hAnsi="Times New Roman" w:cs="Times New Roman"/>
          <w:snapToGrid w:val="0"/>
        </w:rPr>
        <w:t xml:space="preserve">, vaistų nuo psichozių, </w:t>
      </w:r>
      <w:proofErr w:type="spellStart"/>
      <w:r>
        <w:rPr>
          <w:rFonts w:ascii="Times New Roman" w:eastAsia="Times New Roman" w:hAnsi="Times New Roman" w:cs="Times New Roman"/>
          <w:snapToGrid w:val="0"/>
        </w:rPr>
        <w:t>buprenorfino</w:t>
      </w:r>
      <w:proofErr w:type="spellEnd"/>
      <w:r>
        <w:rPr>
          <w:rFonts w:ascii="Times New Roman" w:eastAsia="Times New Roman" w:hAnsi="Times New Roman" w:cs="Times New Roman"/>
          <w:snapToGrid w:val="0"/>
        </w:rPr>
        <w:t xml:space="preserve">. Šių vaistų vartojimas kartu su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gali sukelti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sindromą, t. y. gyvybei pavojų kelti galinčią būklę (žr. „Kiti vaistai ir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ir „Galimas šalutinis poveikis“);</w:t>
      </w:r>
    </w:p>
    <w:p w14:paraId="5EADADAB" w14:textId="77777777" w:rsidR="007D1CCA" w:rsidRDefault="00A06746">
      <w:pPr>
        <w:widowControl w:val="0"/>
        <w:numPr>
          <w:ilvl w:val="0"/>
          <w:numId w:val="4"/>
        </w:numPr>
        <w:tabs>
          <w:tab w:val="left" w:pos="567"/>
        </w:tabs>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vartojate augalinių preparatų, kuriuose yra paprastųjų jonažolių (</w:t>
      </w:r>
      <w:proofErr w:type="spellStart"/>
      <w:r>
        <w:rPr>
          <w:rFonts w:ascii="Times New Roman" w:eastAsia="Times New Roman" w:hAnsi="Times New Roman" w:cs="Times New Roman"/>
          <w:i/>
          <w:iCs/>
          <w:snapToGrid w:val="0"/>
        </w:rPr>
        <w:t>Hypericum</w:t>
      </w:r>
      <w:proofErr w:type="spellEnd"/>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i/>
          <w:iCs/>
          <w:snapToGrid w:val="0"/>
        </w:rPr>
        <w:t>perforatum</w:t>
      </w:r>
      <w:proofErr w:type="spellEnd"/>
      <w:r>
        <w:rPr>
          <w:rFonts w:ascii="Times New Roman" w:eastAsia="Times New Roman" w:hAnsi="Times New Roman" w:cs="Times New Roman"/>
          <w:snapToGrid w:val="0"/>
        </w:rPr>
        <w:t>);</w:t>
      </w:r>
    </w:p>
    <w:p w14:paraId="47EC5176" w14:textId="77777777" w:rsidR="007D1CCA" w:rsidRDefault="00A06746">
      <w:pPr>
        <w:widowControl w:val="0"/>
        <w:numPr>
          <w:ilvl w:val="0"/>
          <w:numId w:val="4"/>
        </w:numPr>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sergate inkstų liga;</w:t>
      </w:r>
    </w:p>
    <w:p w14:paraId="4FFDFBA0" w14:textId="77777777" w:rsidR="007D1CCA" w:rsidRDefault="00A06746">
      <w:pPr>
        <w:widowControl w:val="0"/>
        <w:numPr>
          <w:ilvl w:val="0"/>
          <w:numId w:val="4"/>
        </w:numPr>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yra buvę traukulių priepuolių;</w:t>
      </w:r>
    </w:p>
    <w:p w14:paraId="5DAB0835" w14:textId="77777777" w:rsidR="007D1CCA" w:rsidRDefault="00A06746">
      <w:pPr>
        <w:widowControl w:val="0"/>
        <w:numPr>
          <w:ilvl w:val="0"/>
          <w:numId w:val="4"/>
        </w:numPr>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sirgote manija;</w:t>
      </w:r>
    </w:p>
    <w:p w14:paraId="0566C65A" w14:textId="77777777" w:rsidR="007D1CCA" w:rsidRDefault="00A06746">
      <w:pPr>
        <w:widowControl w:val="0"/>
        <w:numPr>
          <w:ilvl w:val="0"/>
          <w:numId w:val="4"/>
        </w:numPr>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 xml:space="preserve">sergate </w:t>
      </w:r>
      <w:proofErr w:type="spellStart"/>
      <w:r>
        <w:rPr>
          <w:rFonts w:ascii="Times New Roman" w:eastAsia="Times New Roman" w:hAnsi="Times New Roman" w:cs="Times New Roman"/>
          <w:snapToGrid w:val="0"/>
        </w:rPr>
        <w:t>bipoliniu</w:t>
      </w:r>
      <w:proofErr w:type="spellEnd"/>
      <w:r>
        <w:rPr>
          <w:rFonts w:ascii="Times New Roman" w:eastAsia="Times New Roman" w:hAnsi="Times New Roman" w:cs="Times New Roman"/>
          <w:snapToGrid w:val="0"/>
        </w:rPr>
        <w:t xml:space="preserve"> sutrikimu;</w:t>
      </w:r>
    </w:p>
    <w:p w14:paraId="52D43027" w14:textId="77777777" w:rsidR="007D1CCA" w:rsidRDefault="00A06746">
      <w:pPr>
        <w:widowControl w:val="0"/>
        <w:numPr>
          <w:ilvl w:val="0"/>
          <w:numId w:val="4"/>
        </w:numPr>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sergate akių liga, pvz., tam tikros rūšies glaukoma (yra padidėjęs akispūdis);</w:t>
      </w:r>
    </w:p>
    <w:p w14:paraId="3148309F" w14:textId="77777777" w:rsidR="007D1CCA" w:rsidRDefault="00A06746">
      <w:pPr>
        <w:widowControl w:val="0"/>
        <w:numPr>
          <w:ilvl w:val="0"/>
          <w:numId w:val="4"/>
        </w:numPr>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ankščiau yra buvęs kraujavimo sutrikimas (polinkis į kraujosruvas, t. y. mėlynes) ypač tuomet, jeigu esate nėščia (žr. „Nėštumas ir žindymo laikotarpis“);</w:t>
      </w:r>
    </w:p>
    <w:p w14:paraId="397DFF2E" w14:textId="77777777" w:rsidR="007D1CCA" w:rsidRDefault="00A06746">
      <w:pPr>
        <w:widowControl w:val="0"/>
        <w:numPr>
          <w:ilvl w:val="0"/>
          <w:numId w:val="4"/>
        </w:numPr>
        <w:overflowPunct w:val="0"/>
        <w:autoSpaceDE w:val="0"/>
        <w:autoSpaceDN w:val="0"/>
        <w:adjustRightInd w:val="0"/>
        <w:spacing w:after="0" w:line="240" w:lineRule="auto"/>
        <w:ind w:left="567" w:right="360"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yra mažos natrio koncentracijos kraujyje atsiradimo rizika (pvz., vartojant diuretikus, ypač jeigu esate senyvas žmogus);</w:t>
      </w:r>
    </w:p>
    <w:p w14:paraId="31B36320" w14:textId="77777777" w:rsidR="007D1CCA" w:rsidRDefault="00A06746">
      <w:pPr>
        <w:widowControl w:val="0"/>
        <w:numPr>
          <w:ilvl w:val="0"/>
          <w:numId w:val="4"/>
        </w:numPr>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vartojate kitokių vaistų, galinčių pažeisti kepenis;</w:t>
      </w:r>
    </w:p>
    <w:p w14:paraId="49EE8D2E" w14:textId="77777777" w:rsidR="007D1CCA" w:rsidRDefault="00A06746">
      <w:pPr>
        <w:widowControl w:val="0"/>
        <w:numPr>
          <w:ilvl w:val="0"/>
          <w:numId w:val="4"/>
        </w:numPr>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 xml:space="preserve">vartojate kitokių vaistų, kuriuose yra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(žr. „Kiti vaistai ir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w:t>
      </w:r>
    </w:p>
    <w:p w14:paraId="5FAAED48" w14:textId="77777777" w:rsidR="007D1CCA" w:rsidRDefault="007D1CCA">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14:paraId="3B5DDF9D" w14:textId="159219CA" w:rsidR="007D1CCA" w:rsidRDefault="00A06746">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Taip pat tur</w:t>
      </w:r>
      <w:r w:rsidR="000A03AA">
        <w:rPr>
          <w:rFonts w:ascii="Times New Roman" w:eastAsia="Times New Roman" w:hAnsi="Times New Roman" w:cs="Times New Roman"/>
          <w:snapToGrid w:val="0"/>
        </w:rPr>
        <w:t>ite</w:t>
      </w:r>
      <w:r>
        <w:rPr>
          <w:rFonts w:ascii="Times New Roman" w:eastAsia="Times New Roman" w:hAnsi="Times New Roman" w:cs="Times New Roman"/>
          <w:snapToGrid w:val="0"/>
        </w:rPr>
        <w:t xml:space="preserve"> kreiptis į gydytoją:</w:t>
      </w:r>
    </w:p>
    <w:p w14:paraId="1B585890" w14:textId="77777777" w:rsidR="007D1CCA" w:rsidRDefault="007D1CCA">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14:paraId="274A4D94" w14:textId="77777777" w:rsidR="007D1CCA" w:rsidRDefault="00A06746">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Jei atsiranda neramumo, haliucinacijų, koordinacijos praradimo, greito širdies plakimo, padidėjusios kūno temperatūros, greitų kraujospūdžio pokyčių, pernelyg aktyvių refleksų, viduriavimo, komos, pykinimo, vėmimo požymių ir simptomų, nes galbūt sergate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sindromu.</w:t>
      </w:r>
    </w:p>
    <w:p w14:paraId="688EE242" w14:textId="4FBE6BD5" w:rsidR="007D1CCA" w:rsidRDefault="00A06746">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Sunkiausi</w:t>
      </w:r>
      <w:r w:rsidR="000A03AA">
        <w:rPr>
          <w:rFonts w:ascii="Times New Roman" w:eastAsia="Times New Roman" w:hAnsi="Times New Roman" w:cs="Times New Roman"/>
          <w:snapToGrid w:val="0"/>
        </w:rPr>
        <w:t>os</w:t>
      </w:r>
      <w:r>
        <w:rPr>
          <w:rFonts w:ascii="Times New Roman" w:eastAsia="Times New Roman" w:hAnsi="Times New Roman" w:cs="Times New Roman"/>
          <w:snapToGrid w:val="0"/>
        </w:rPr>
        <w:t xml:space="preserve"> </w:t>
      </w:r>
      <w:r w:rsidR="000A03AA">
        <w:rPr>
          <w:rFonts w:ascii="Times New Roman" w:eastAsia="Times New Roman" w:hAnsi="Times New Roman" w:cs="Times New Roman"/>
          <w:snapToGrid w:val="0"/>
        </w:rPr>
        <w:t xml:space="preserve">formos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sindromas gali būti panašus į piktybinį </w:t>
      </w:r>
      <w:proofErr w:type="spellStart"/>
      <w:r>
        <w:rPr>
          <w:rFonts w:ascii="Times New Roman" w:eastAsia="Times New Roman" w:hAnsi="Times New Roman" w:cs="Times New Roman"/>
          <w:snapToGrid w:val="0"/>
        </w:rPr>
        <w:t>neurolepsinį</w:t>
      </w:r>
      <w:proofErr w:type="spellEnd"/>
      <w:r>
        <w:rPr>
          <w:rFonts w:ascii="Times New Roman" w:eastAsia="Times New Roman" w:hAnsi="Times New Roman" w:cs="Times New Roman"/>
          <w:snapToGrid w:val="0"/>
        </w:rPr>
        <w:t xml:space="preserve"> sindromą (PNS). PNS požymiai ir simptomai gali būti karščiavimo, greito širdies plakimo, prakaitavimo, stipraus raumenų sustingimo, sumišimo, raumen</w:t>
      </w:r>
      <w:r w:rsidR="000A03AA">
        <w:rPr>
          <w:rFonts w:ascii="Times New Roman" w:eastAsia="Times New Roman" w:hAnsi="Times New Roman" w:cs="Times New Roman"/>
          <w:snapToGrid w:val="0"/>
        </w:rPr>
        <w:t>yse</w:t>
      </w:r>
      <w:r>
        <w:rPr>
          <w:rFonts w:ascii="Times New Roman" w:eastAsia="Times New Roman" w:hAnsi="Times New Roman" w:cs="Times New Roman"/>
          <w:snapToGrid w:val="0"/>
        </w:rPr>
        <w:t xml:space="preserve"> </w:t>
      </w:r>
      <w:r w:rsidR="000A03AA">
        <w:rPr>
          <w:rFonts w:ascii="Times New Roman" w:eastAsia="Times New Roman" w:hAnsi="Times New Roman" w:cs="Times New Roman"/>
          <w:snapToGrid w:val="0"/>
        </w:rPr>
        <w:t xml:space="preserve">gaminamų </w:t>
      </w:r>
      <w:r>
        <w:rPr>
          <w:rFonts w:ascii="Times New Roman" w:eastAsia="Times New Roman" w:hAnsi="Times New Roman" w:cs="Times New Roman"/>
          <w:snapToGrid w:val="0"/>
        </w:rPr>
        <w:t xml:space="preserve">fermentų </w:t>
      </w:r>
      <w:r w:rsidR="000A03AA">
        <w:rPr>
          <w:rFonts w:ascii="Times New Roman" w:eastAsia="Times New Roman" w:hAnsi="Times New Roman" w:cs="Times New Roman"/>
          <w:snapToGrid w:val="0"/>
        </w:rPr>
        <w:t xml:space="preserve">aktyvumo </w:t>
      </w:r>
      <w:r>
        <w:rPr>
          <w:rFonts w:ascii="Times New Roman" w:eastAsia="Times New Roman" w:hAnsi="Times New Roman" w:cs="Times New Roman"/>
          <w:snapToGrid w:val="0"/>
        </w:rPr>
        <w:t>padidėjimo (nustatoma atlikus kraujo tyrimą) derinys.</w:t>
      </w:r>
    </w:p>
    <w:p w14:paraId="4C8AE05B" w14:textId="77777777" w:rsidR="007D1CCA" w:rsidRDefault="007D1CCA">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14:paraId="06CDEFDC" w14:textId="77777777" w:rsidR="007D1CCA" w:rsidRDefault="00A06746">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Tokie vaistai kaip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(vadinamieji SSRI / SNRI) gali sukelti lytinės funkcijos sutrikimo simptomus (žr. 4 skyrių). Kai kuriais atvejais nutraukus gydymą šie simptomai išliko.</w:t>
      </w:r>
    </w:p>
    <w:p w14:paraId="25777482" w14:textId="77777777" w:rsidR="007D1CCA" w:rsidRDefault="007D1CCA">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14:paraId="72BD71CB"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gali sukelti neramumo pojūtį ir negalėjimą ramiai sėdėti ar stovėti. Jeigu toks poveikis pasireiškia, reikia pasakyti gydytojui.</w:t>
      </w:r>
    </w:p>
    <w:p w14:paraId="68C37F6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EFB08E7"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bCs/>
          <w:i/>
          <w:iCs/>
          <w:snapToGrid w:val="0"/>
        </w:rPr>
        <w:t>Mintys apie savižudybę ir depresijos arba nerimo sutrikimo pasunkėjimas</w:t>
      </w:r>
    </w:p>
    <w:p w14:paraId="6F915D22"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Jeigu sergate depresija ar nerimo sutrikimu, gali atsirasti minčių apie kenkimą sau arba savižudybę. Jos gali suaktyvėti pirmą kartą pradėjus gydytis antidepresantais, kadangi jų poveikis pasireiškia tik po tam tikro laiko, paprastai po maždaug dviejų savaičių, tačiau kartais net vėliau.</w:t>
      </w:r>
    </w:p>
    <w:p w14:paraId="36AECBAD"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Tokios mintys labiau tikėtinos, jeigu:</w:t>
      </w:r>
    </w:p>
    <w:p w14:paraId="6AC87C18" w14:textId="77777777" w:rsidR="007D1CCA" w:rsidRDefault="00A06746">
      <w:pPr>
        <w:widowControl w:val="0"/>
        <w:numPr>
          <w:ilvl w:val="0"/>
          <w:numId w:val="5"/>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anksčiau galvojote apie kenkimą sau arba savižudybę;</w:t>
      </w:r>
    </w:p>
    <w:p w14:paraId="284D932A" w14:textId="77777777" w:rsidR="007D1CCA" w:rsidRDefault="00A06746">
      <w:pPr>
        <w:widowControl w:val="0"/>
        <w:numPr>
          <w:ilvl w:val="0"/>
          <w:numId w:val="5"/>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esate jaunas suaugęs asmuo. Klinikinių tyrimų informacija rodo, kad antidepresantais gydomiems psichikos sutrikimų turintiems jaunesniems negu 25 metų suaugusiems žmonėms padidėja savižudiško elgesio rizika.</w:t>
      </w:r>
    </w:p>
    <w:p w14:paraId="43138235"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E76FDD3"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bCs/>
          <w:snapToGrid w:val="0"/>
        </w:rPr>
        <w:t>Jeigu bet kuriuo laiku atsiranda minčių apie kenkimą sau arba savižudybę, tuoj pat susisiekite su savo gydytoju arba vykite į ligoninę.</w:t>
      </w:r>
    </w:p>
    <w:p w14:paraId="15F467F0"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C442552"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lastRenderedPageBreak/>
        <w:t>Apie depresiją arba nerimo sutrikimą gali būti naudinga pasakyti giminaičiui arba artimam draugui ir paprašyti, kad jis perskaitytų šį pakuotės lapelį. Galite jų paprašyti, kad pasakytų, jeigu jiems atrodo, kad sunkėja Jūsų depresija arba nerimo sutrikimas arba pakito elgesys.</w:t>
      </w:r>
    </w:p>
    <w:p w14:paraId="3D58B167"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0E9A8481"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i/>
          <w:snapToGrid w:val="0"/>
          <w:lang w:eastAsia="x-none"/>
        </w:rPr>
      </w:pPr>
      <w:r>
        <w:rPr>
          <w:rFonts w:ascii="Times New Roman" w:eastAsia="Times New Roman" w:hAnsi="Times New Roman" w:cs="Times New Roman"/>
          <w:b/>
          <w:bCs/>
          <w:i/>
          <w:snapToGrid w:val="0"/>
          <w:lang w:eastAsia="x-none"/>
        </w:rPr>
        <w:t>Vaikams ir jaunesniems kaip 18 metų paaugliams</w:t>
      </w:r>
    </w:p>
    <w:p w14:paraId="58D9F24C"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paprastai nėra skiriamas vaikams ir jaunesniems nei 18 metų paaugliams. Taip pat turėtumėte žinoti, kad jaunesniems nei 18 metų pacientams, vartojantiems šios klasės medikamentus, padidėja šalutinio poveikio, pvz., bandymo nusižudyti, galvojimo apie savižudybę ir priešiškumo (daugiausia agresijos, opozicinio neklusnumo ir pykčio) apraiškų tikimybė. Nepaisant to, gydytojas gali skirti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jaunesniems nei 18 metų pacientams, jei, jo manymu, tai yra jiems tinkamiausias gydymas. Jeigu gydytojas skyrė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jaunesniam nei 18 metų pacientui ir Jūs pageidaujate tai išsamiau aptarti, dar kartą kreipkitės į gydytoją. Būtinai pasakykite gydytojui, jei jaunesniems nei 18 metų pacientams, vartojantiems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pasireiškė ar pasunkėjo bent vienas iš pirmiau išvardytų simptomų. Taip pat šiuo metu dar nėra pateikta ilgalaikio saugumo duomenų apie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poveikį šios amžiaus grupės pacientų augimui, brendimui ir jų pažinimo bei elgsenos vystymuisi.</w:t>
      </w:r>
    </w:p>
    <w:p w14:paraId="3C31389C" w14:textId="77777777" w:rsidR="007D1CCA" w:rsidRDefault="007D1CCA">
      <w:pPr>
        <w:widowControl w:val="0"/>
        <w:tabs>
          <w:tab w:val="left" w:pos="567"/>
        </w:tabs>
        <w:spacing w:after="0" w:line="240" w:lineRule="auto"/>
        <w:rPr>
          <w:rFonts w:ascii="Times New Roman" w:eastAsia="Times New Roman" w:hAnsi="Times New Roman" w:cs="Times New Roman"/>
          <w:b/>
          <w:snapToGrid w:val="0"/>
        </w:rPr>
      </w:pPr>
    </w:p>
    <w:p w14:paraId="47557AD5"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 xml:space="preserve">Kiti vaistai ir </w:t>
      </w:r>
      <w:proofErr w:type="spellStart"/>
      <w:r>
        <w:rPr>
          <w:rFonts w:ascii="Times New Roman" w:eastAsia="Times New Roman" w:hAnsi="Times New Roman" w:cs="Times New Roman"/>
          <w:b/>
          <w:bCs/>
          <w:snapToGrid w:val="0"/>
          <w:lang w:eastAsia="x-none"/>
        </w:rPr>
        <w:t>Dulsevia</w:t>
      </w:r>
      <w:proofErr w:type="spellEnd"/>
    </w:p>
    <w:p w14:paraId="35562621"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Jeigu vartojate ar neseniai vartojote kitų vaistų arba dėl to nesate tikri, apie tai pasakykite gydytojui arba vaistininkui.</w:t>
      </w:r>
    </w:p>
    <w:p w14:paraId="45019748"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9157015"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  pagrindinė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sudedamoji dalis, įeina į kelių vaistų sudėtį, vartojamų skirtingoms ligoms gydyti:</w:t>
      </w:r>
    </w:p>
    <w:p w14:paraId="7679C80B" w14:textId="77777777" w:rsidR="007D1CCA" w:rsidRDefault="00A06746">
      <w:pPr>
        <w:widowControl w:val="0"/>
        <w:numPr>
          <w:ilvl w:val="0"/>
          <w:numId w:val="6"/>
        </w:numPr>
        <w:spacing w:after="20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skausmui dėl diabetinės neuropatijos, depresijai, nerimui ir šlapimo nelaikymui.</w:t>
      </w:r>
    </w:p>
    <w:p w14:paraId="38FC35D9"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EAA9661"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Negalima vartoti daugiau kaip vieno šių preparatų vienu metu. Paklauskite savo gydytojo, ar jau nevartojate kitų,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turinčių, vaistų.</w:t>
      </w:r>
    </w:p>
    <w:p w14:paraId="3157EB32"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4E69C7B"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Jūsų gydytojas nuspręs, ar galite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su kitais medikamentais. </w:t>
      </w:r>
      <w:r>
        <w:rPr>
          <w:rFonts w:ascii="Times New Roman" w:eastAsia="Times New Roman" w:hAnsi="Times New Roman" w:cs="Times New Roman"/>
          <w:b/>
          <w:bCs/>
          <w:snapToGrid w:val="0"/>
        </w:rPr>
        <w:t>Nepradėkite vartoti ir</w:t>
      </w:r>
      <w:r>
        <w:rPr>
          <w:rFonts w:ascii="Times New Roman" w:eastAsia="Times New Roman" w:hAnsi="Times New Roman" w:cs="Times New Roman"/>
          <w:snapToGrid w:val="0"/>
        </w:rPr>
        <w:t xml:space="preserve"> </w:t>
      </w:r>
      <w:r>
        <w:rPr>
          <w:rFonts w:ascii="Times New Roman" w:eastAsia="Times New Roman" w:hAnsi="Times New Roman" w:cs="Times New Roman"/>
          <w:b/>
          <w:bCs/>
          <w:snapToGrid w:val="0"/>
        </w:rPr>
        <w:t>nenutraukite vartojimo jokių vaistų, įskaitant įsigytus be recepto ir žolinius preparatus, prieš tai nepasitarę su gydytoju.</w:t>
      </w:r>
    </w:p>
    <w:p w14:paraId="6E0DE0D0"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5768C5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Praneškite savo gydytojui, jei vartojate bet kuriuos iš žemiau išvardytų vaistų:</w:t>
      </w:r>
    </w:p>
    <w:p w14:paraId="4FF3AEEA"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28A2CC2"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b/>
          <w:bCs/>
          <w:i/>
          <w:iCs/>
          <w:snapToGrid w:val="0"/>
        </w:rPr>
        <w:t>Monoaminooksidazės</w:t>
      </w:r>
      <w:proofErr w:type="spellEnd"/>
      <w:r>
        <w:rPr>
          <w:rFonts w:ascii="Times New Roman" w:eastAsia="Times New Roman" w:hAnsi="Times New Roman" w:cs="Times New Roman"/>
          <w:b/>
          <w:bCs/>
          <w:i/>
          <w:iCs/>
          <w:snapToGrid w:val="0"/>
        </w:rPr>
        <w:t xml:space="preserve"> inhibitoriai (MAOI). </w:t>
      </w:r>
      <w:r>
        <w:rPr>
          <w:rFonts w:ascii="Times New Roman" w:eastAsia="Times New Roman" w:hAnsi="Times New Roman" w:cs="Times New Roman"/>
          <w:snapToGrid w:val="0"/>
        </w:rPr>
        <w:t xml:space="preserve">Negalima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kartu su kitais</w:t>
      </w:r>
      <w:r>
        <w:rPr>
          <w:rFonts w:ascii="Times New Roman" w:eastAsia="Times New Roman" w:hAnsi="Times New Roman" w:cs="Times New Roman"/>
          <w:b/>
          <w:bCs/>
          <w:i/>
          <w:iCs/>
          <w:snapToGrid w:val="0"/>
        </w:rPr>
        <w:t xml:space="preserve"> </w:t>
      </w:r>
      <w:r>
        <w:rPr>
          <w:rFonts w:ascii="Times New Roman" w:eastAsia="Times New Roman" w:hAnsi="Times New Roman" w:cs="Times New Roman"/>
          <w:snapToGrid w:val="0"/>
        </w:rPr>
        <w:t xml:space="preserve">antidepresantais, vadinamais </w:t>
      </w:r>
      <w:proofErr w:type="spellStart"/>
      <w:r>
        <w:rPr>
          <w:rFonts w:ascii="Times New Roman" w:eastAsia="Times New Roman" w:hAnsi="Times New Roman" w:cs="Times New Roman"/>
          <w:snapToGrid w:val="0"/>
        </w:rPr>
        <w:t>monoaminooksidazės</w:t>
      </w:r>
      <w:proofErr w:type="spellEnd"/>
      <w:r>
        <w:rPr>
          <w:rFonts w:ascii="Times New Roman" w:eastAsia="Times New Roman" w:hAnsi="Times New Roman" w:cs="Times New Roman"/>
          <w:snapToGrid w:val="0"/>
        </w:rPr>
        <w:t xml:space="preserve"> inhibitoriais (MAOI), arba jeigu neseniai vartojote MAOI (nepraėjus 14 dienų po vartojimo). MAOI yra, pavyzdžiui: </w:t>
      </w:r>
      <w:proofErr w:type="spellStart"/>
      <w:r>
        <w:rPr>
          <w:rFonts w:ascii="Times New Roman" w:eastAsia="Times New Roman" w:hAnsi="Times New Roman" w:cs="Times New Roman"/>
          <w:snapToGrid w:val="0"/>
        </w:rPr>
        <w:t>moklobemidas</w:t>
      </w:r>
      <w:proofErr w:type="spellEnd"/>
      <w:r>
        <w:rPr>
          <w:rFonts w:ascii="Times New Roman" w:eastAsia="Times New Roman" w:hAnsi="Times New Roman" w:cs="Times New Roman"/>
          <w:snapToGrid w:val="0"/>
        </w:rPr>
        <w:t xml:space="preserve"> (antidepresantas) ir </w:t>
      </w:r>
      <w:proofErr w:type="spellStart"/>
      <w:r>
        <w:rPr>
          <w:rFonts w:ascii="Times New Roman" w:eastAsia="Times New Roman" w:hAnsi="Times New Roman" w:cs="Times New Roman"/>
          <w:snapToGrid w:val="0"/>
        </w:rPr>
        <w:t>linezolidas</w:t>
      </w:r>
      <w:proofErr w:type="spellEnd"/>
      <w:r>
        <w:rPr>
          <w:rFonts w:ascii="Times New Roman" w:eastAsia="Times New Roman" w:hAnsi="Times New Roman" w:cs="Times New Roman"/>
          <w:snapToGrid w:val="0"/>
        </w:rPr>
        <w:t xml:space="preserve"> (antibiotikas). MAOI vartojimas kartu su daugeliu receptinių vaistų, įskaitant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gali turėti sunkių ar net gyvybei pavojingų padarinių. Baigę vartoti MAOI, turite palaukti mažiausiai 14 dienų ir tik tuomet galite pradėti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Taip pat nustoję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turite palaukti mažiausiai 5 dienas, kol galėsite pradėti vartoti MAOI.</w:t>
      </w:r>
    </w:p>
    <w:p w14:paraId="19E401F2"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B2B50D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bCs/>
          <w:i/>
          <w:iCs/>
          <w:snapToGrid w:val="0"/>
        </w:rPr>
        <w:t>Mieguistumą sukeliantys vaistai</w:t>
      </w:r>
      <w:r>
        <w:rPr>
          <w:rFonts w:ascii="Times New Roman" w:eastAsia="Times New Roman" w:hAnsi="Times New Roman" w:cs="Times New Roman"/>
          <w:i/>
          <w:iCs/>
          <w:snapToGrid w:val="0"/>
        </w:rPr>
        <w:t>.</w:t>
      </w:r>
      <w:r>
        <w:rPr>
          <w:rFonts w:ascii="Times New Roman" w:eastAsia="Times New Roman" w:hAnsi="Times New Roman" w:cs="Times New Roman"/>
          <w:b/>
          <w:bCs/>
          <w:i/>
          <w:iCs/>
          <w:snapToGrid w:val="0"/>
        </w:rPr>
        <w:t xml:space="preserve"> </w:t>
      </w:r>
      <w:r>
        <w:rPr>
          <w:rFonts w:ascii="Times New Roman" w:eastAsia="Times New Roman" w:hAnsi="Times New Roman" w:cs="Times New Roman"/>
          <w:snapToGrid w:val="0"/>
        </w:rPr>
        <w:t>Tai gali būti Jūsų gydytojo paskirti vaistai, tokie kaip benzodiazepinai,</w:t>
      </w:r>
      <w:r>
        <w:rPr>
          <w:rFonts w:ascii="Times New Roman" w:eastAsia="Times New Roman" w:hAnsi="Times New Roman" w:cs="Times New Roman"/>
          <w:b/>
          <w:bCs/>
          <w:i/>
          <w:iCs/>
          <w:snapToGrid w:val="0"/>
        </w:rPr>
        <w:t xml:space="preserve"> </w:t>
      </w:r>
      <w:r>
        <w:rPr>
          <w:rFonts w:ascii="Times New Roman" w:eastAsia="Times New Roman" w:hAnsi="Times New Roman" w:cs="Times New Roman"/>
          <w:snapToGrid w:val="0"/>
        </w:rPr>
        <w:t xml:space="preserve">stiprūs skausmą malšinantys vaistai, </w:t>
      </w:r>
      <w:proofErr w:type="spellStart"/>
      <w:r>
        <w:rPr>
          <w:rFonts w:ascii="Times New Roman" w:eastAsia="Times New Roman" w:hAnsi="Times New Roman" w:cs="Times New Roman"/>
          <w:snapToGrid w:val="0"/>
        </w:rPr>
        <w:t>antipsichoziniai</w:t>
      </w:r>
      <w:proofErr w:type="spellEnd"/>
      <w:r>
        <w:rPr>
          <w:rFonts w:ascii="Times New Roman" w:eastAsia="Times New Roman" w:hAnsi="Times New Roman" w:cs="Times New Roman"/>
          <w:snapToGrid w:val="0"/>
        </w:rPr>
        <w:t xml:space="preserve"> vaistai, </w:t>
      </w:r>
      <w:proofErr w:type="spellStart"/>
      <w:r>
        <w:rPr>
          <w:rFonts w:ascii="Times New Roman" w:eastAsia="Times New Roman" w:hAnsi="Times New Roman" w:cs="Times New Roman"/>
          <w:snapToGrid w:val="0"/>
        </w:rPr>
        <w:t>fenobarbitalis</w:t>
      </w:r>
      <w:proofErr w:type="spellEnd"/>
      <w:r>
        <w:rPr>
          <w:rFonts w:ascii="Times New Roman" w:eastAsia="Times New Roman" w:hAnsi="Times New Roman" w:cs="Times New Roman"/>
          <w:snapToGrid w:val="0"/>
        </w:rPr>
        <w:t xml:space="preserve"> ir </w:t>
      </w:r>
      <w:proofErr w:type="spellStart"/>
      <w:r>
        <w:rPr>
          <w:rFonts w:ascii="Times New Roman" w:eastAsia="Times New Roman" w:hAnsi="Times New Roman" w:cs="Times New Roman"/>
          <w:snapToGrid w:val="0"/>
        </w:rPr>
        <w:t>antihistamininiai</w:t>
      </w:r>
      <w:proofErr w:type="spellEnd"/>
      <w:r>
        <w:rPr>
          <w:rFonts w:ascii="Times New Roman" w:eastAsia="Times New Roman" w:hAnsi="Times New Roman" w:cs="Times New Roman"/>
          <w:snapToGrid w:val="0"/>
        </w:rPr>
        <w:t xml:space="preserve"> vaistai.</w:t>
      </w:r>
    </w:p>
    <w:p w14:paraId="27CA3815"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3D63288"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bCs/>
          <w:i/>
          <w:iCs/>
          <w:snapToGrid w:val="0"/>
        </w:rPr>
        <w:t xml:space="preserve">Vaistai, didinantys </w:t>
      </w:r>
      <w:proofErr w:type="spellStart"/>
      <w:r>
        <w:rPr>
          <w:rFonts w:ascii="Times New Roman" w:eastAsia="Times New Roman" w:hAnsi="Times New Roman" w:cs="Times New Roman"/>
          <w:b/>
          <w:bCs/>
          <w:i/>
          <w:iCs/>
          <w:snapToGrid w:val="0"/>
        </w:rPr>
        <w:t>serotonino</w:t>
      </w:r>
      <w:proofErr w:type="spellEnd"/>
      <w:r>
        <w:rPr>
          <w:rFonts w:ascii="Times New Roman" w:eastAsia="Times New Roman" w:hAnsi="Times New Roman" w:cs="Times New Roman"/>
          <w:b/>
          <w:bCs/>
          <w:i/>
          <w:iCs/>
          <w:snapToGrid w:val="0"/>
        </w:rPr>
        <w:t xml:space="preserve"> kiekį. </w:t>
      </w:r>
      <w:r>
        <w:rPr>
          <w:rFonts w:ascii="Times New Roman" w:eastAsia="Times New Roman" w:hAnsi="Times New Roman" w:cs="Times New Roman"/>
          <w:snapToGrid w:val="0"/>
        </w:rPr>
        <w:t xml:space="preserve">Tai </w:t>
      </w:r>
      <w:proofErr w:type="spellStart"/>
      <w:r>
        <w:rPr>
          <w:rFonts w:ascii="Times New Roman" w:eastAsia="Times New Roman" w:hAnsi="Times New Roman" w:cs="Times New Roman"/>
          <w:snapToGrid w:val="0"/>
        </w:rPr>
        <w:t>triptanai</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buprenorfinas</w:t>
      </w:r>
      <w:proofErr w:type="spellEnd"/>
      <w:r>
        <w:rPr>
          <w:rFonts w:ascii="Times New Roman" w:eastAsia="Times New Roman" w:hAnsi="Times New Roman" w:cs="Times New Roman"/>
          <w:snapToGrid w:val="0"/>
        </w:rPr>
        <w:t xml:space="preserve"> (vaistas skausmui malšinti ar priklausomybei nuo </w:t>
      </w:r>
      <w:proofErr w:type="spellStart"/>
      <w:r>
        <w:rPr>
          <w:rFonts w:ascii="Times New Roman" w:eastAsia="Times New Roman" w:hAnsi="Times New Roman" w:cs="Times New Roman"/>
          <w:snapToGrid w:val="0"/>
        </w:rPr>
        <w:t>opioidų</w:t>
      </w:r>
      <w:proofErr w:type="spellEnd"/>
      <w:r>
        <w:rPr>
          <w:rFonts w:ascii="Times New Roman" w:eastAsia="Times New Roman" w:hAnsi="Times New Roman" w:cs="Times New Roman"/>
          <w:snapToGrid w:val="0"/>
        </w:rPr>
        <w:t xml:space="preserve"> gydyti), </w:t>
      </w:r>
      <w:proofErr w:type="spellStart"/>
      <w:r>
        <w:rPr>
          <w:rFonts w:ascii="Times New Roman" w:eastAsia="Times New Roman" w:hAnsi="Times New Roman" w:cs="Times New Roman"/>
          <w:snapToGrid w:val="0"/>
        </w:rPr>
        <w:t>tramadolis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triptofanas</w:t>
      </w:r>
      <w:proofErr w:type="spellEnd"/>
      <w:r>
        <w:rPr>
          <w:rFonts w:ascii="Times New Roman" w:eastAsia="Times New Roman" w:hAnsi="Times New Roman" w:cs="Times New Roman"/>
          <w:snapToGrid w:val="0"/>
        </w:rPr>
        <w:t xml:space="preserve">, SSRI (pvz.: </w:t>
      </w:r>
      <w:proofErr w:type="spellStart"/>
      <w:r>
        <w:rPr>
          <w:rFonts w:ascii="Times New Roman" w:eastAsia="Times New Roman" w:hAnsi="Times New Roman" w:cs="Times New Roman"/>
          <w:snapToGrid w:val="0"/>
        </w:rPr>
        <w:t>paroksetinas</w:t>
      </w:r>
      <w:proofErr w:type="spellEnd"/>
      <w:r>
        <w:rPr>
          <w:rFonts w:ascii="Times New Roman" w:eastAsia="Times New Roman" w:hAnsi="Times New Roman" w:cs="Times New Roman"/>
          <w:snapToGrid w:val="0"/>
        </w:rPr>
        <w:t xml:space="preserve"> arba</w:t>
      </w:r>
      <w:r>
        <w:rPr>
          <w:rFonts w:ascii="Times New Roman" w:eastAsia="Times New Roman" w:hAnsi="Times New Roman" w:cs="Times New Roman"/>
          <w:b/>
          <w:bCs/>
          <w:i/>
          <w:iCs/>
          <w:snapToGrid w:val="0"/>
        </w:rPr>
        <w:t xml:space="preserve"> </w:t>
      </w:r>
      <w:proofErr w:type="spellStart"/>
      <w:r>
        <w:rPr>
          <w:rFonts w:ascii="Times New Roman" w:eastAsia="Times New Roman" w:hAnsi="Times New Roman" w:cs="Times New Roman"/>
          <w:snapToGrid w:val="0"/>
        </w:rPr>
        <w:t>fluoksetinas</w:t>
      </w:r>
      <w:proofErr w:type="spellEnd"/>
      <w:r>
        <w:rPr>
          <w:rFonts w:ascii="Times New Roman" w:eastAsia="Times New Roman" w:hAnsi="Times New Roman" w:cs="Times New Roman"/>
          <w:snapToGrid w:val="0"/>
        </w:rPr>
        <w:t xml:space="preserve">), SNRI (pvz., </w:t>
      </w:r>
      <w:proofErr w:type="spellStart"/>
      <w:r>
        <w:rPr>
          <w:rFonts w:ascii="Times New Roman" w:eastAsia="Times New Roman" w:hAnsi="Times New Roman" w:cs="Times New Roman"/>
          <w:snapToGrid w:val="0"/>
        </w:rPr>
        <w:t>venlafaksinas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tricikliai</w:t>
      </w:r>
      <w:proofErr w:type="spellEnd"/>
      <w:r>
        <w:rPr>
          <w:rFonts w:ascii="Times New Roman" w:eastAsia="Times New Roman" w:hAnsi="Times New Roman" w:cs="Times New Roman"/>
          <w:snapToGrid w:val="0"/>
        </w:rPr>
        <w:t xml:space="preserve"> antidepresantai (pvz.: </w:t>
      </w:r>
      <w:proofErr w:type="spellStart"/>
      <w:r>
        <w:rPr>
          <w:rFonts w:ascii="Times New Roman" w:eastAsia="Times New Roman" w:hAnsi="Times New Roman" w:cs="Times New Roman"/>
          <w:snapToGrid w:val="0"/>
        </w:rPr>
        <w:t>klomipraminas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amitriptilinas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petidinas</w:t>
      </w:r>
      <w:proofErr w:type="spellEnd"/>
      <w:r>
        <w:rPr>
          <w:rFonts w:ascii="Times New Roman" w:eastAsia="Times New Roman" w:hAnsi="Times New Roman" w:cs="Times New Roman"/>
          <w:snapToGrid w:val="0"/>
        </w:rPr>
        <w:t xml:space="preserve">, jonažolių preparatai ir MAOI (pvz.: </w:t>
      </w:r>
      <w:proofErr w:type="spellStart"/>
      <w:r>
        <w:rPr>
          <w:rFonts w:ascii="Times New Roman" w:eastAsia="Times New Roman" w:hAnsi="Times New Roman" w:cs="Times New Roman"/>
          <w:snapToGrid w:val="0"/>
        </w:rPr>
        <w:t>moklobemidas</w:t>
      </w:r>
      <w:proofErr w:type="spellEnd"/>
      <w:r>
        <w:rPr>
          <w:rFonts w:ascii="Times New Roman" w:eastAsia="Times New Roman" w:hAnsi="Times New Roman" w:cs="Times New Roman"/>
          <w:snapToGrid w:val="0"/>
        </w:rPr>
        <w:t xml:space="preserve"> ir </w:t>
      </w:r>
      <w:proofErr w:type="spellStart"/>
      <w:r>
        <w:rPr>
          <w:rFonts w:ascii="Times New Roman" w:eastAsia="Times New Roman" w:hAnsi="Times New Roman" w:cs="Times New Roman"/>
          <w:snapToGrid w:val="0"/>
        </w:rPr>
        <w:t>linezolidas</w:t>
      </w:r>
      <w:proofErr w:type="spellEnd"/>
      <w:r>
        <w:rPr>
          <w:rFonts w:ascii="Times New Roman" w:eastAsia="Times New Roman" w:hAnsi="Times New Roman" w:cs="Times New Roman"/>
          <w:snapToGrid w:val="0"/>
        </w:rPr>
        <w:t xml:space="preserve">). Šių medikamentų vartojimas padidina šalutinio poveikio, tokio kaip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sindromas, tikimybę (žr. „Įspėjimai ir atsargumo priemonės“ ir „Galimas šalutinis poveikis“). Jeigu vartojant bet kurį iš šių medikamentų kartu su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atsiranda bet kokių neįprastų simptomų, reikia kreiptis į gydytoją.</w:t>
      </w:r>
    </w:p>
    <w:p w14:paraId="1B5D4807"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4A0E5F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bCs/>
          <w:i/>
          <w:iCs/>
          <w:snapToGrid w:val="0"/>
        </w:rPr>
        <w:t xml:space="preserve">Geriamieji antikoaguliantai arba </w:t>
      </w:r>
      <w:proofErr w:type="spellStart"/>
      <w:r>
        <w:rPr>
          <w:rFonts w:ascii="Times New Roman" w:eastAsia="Times New Roman" w:hAnsi="Times New Roman" w:cs="Times New Roman"/>
          <w:b/>
          <w:bCs/>
          <w:i/>
          <w:iCs/>
          <w:snapToGrid w:val="0"/>
        </w:rPr>
        <w:t>antitrombocitiniai</w:t>
      </w:r>
      <w:proofErr w:type="spellEnd"/>
      <w:r>
        <w:rPr>
          <w:rFonts w:ascii="Times New Roman" w:eastAsia="Times New Roman" w:hAnsi="Times New Roman" w:cs="Times New Roman"/>
          <w:b/>
          <w:bCs/>
          <w:i/>
          <w:iCs/>
          <w:snapToGrid w:val="0"/>
        </w:rPr>
        <w:t xml:space="preserve"> preparatai. </w:t>
      </w:r>
      <w:r>
        <w:rPr>
          <w:rFonts w:ascii="Times New Roman" w:eastAsia="Times New Roman" w:hAnsi="Times New Roman" w:cs="Times New Roman"/>
          <w:snapToGrid w:val="0"/>
        </w:rPr>
        <w:t>Tai vaistai, skystinantys kraują arba</w:t>
      </w:r>
      <w:r>
        <w:rPr>
          <w:rFonts w:ascii="Times New Roman" w:eastAsia="Times New Roman" w:hAnsi="Times New Roman" w:cs="Times New Roman"/>
          <w:b/>
          <w:bCs/>
          <w:i/>
          <w:iCs/>
          <w:snapToGrid w:val="0"/>
        </w:rPr>
        <w:t xml:space="preserve"> </w:t>
      </w:r>
      <w:r>
        <w:rPr>
          <w:rFonts w:ascii="Times New Roman" w:eastAsia="Times New Roman" w:hAnsi="Times New Roman" w:cs="Times New Roman"/>
          <w:snapToGrid w:val="0"/>
        </w:rPr>
        <w:t>apsaugantys nuo kraujo krešulių susidarymo. Šie medikamentai gali didinti kraujavimo riziką.</w:t>
      </w:r>
    </w:p>
    <w:p w14:paraId="0BA43CFC"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36C43EC1"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proofErr w:type="spellStart"/>
      <w:r>
        <w:rPr>
          <w:rFonts w:ascii="Times New Roman" w:eastAsia="Times New Roman" w:hAnsi="Times New Roman" w:cs="Times New Roman"/>
          <w:b/>
          <w:bCs/>
          <w:snapToGrid w:val="0"/>
          <w:lang w:eastAsia="x-none"/>
        </w:rPr>
        <w:lastRenderedPageBreak/>
        <w:t>Dulsevia</w:t>
      </w:r>
      <w:proofErr w:type="spellEnd"/>
      <w:r>
        <w:rPr>
          <w:rFonts w:ascii="Times New Roman" w:eastAsia="Times New Roman" w:hAnsi="Times New Roman" w:cs="Times New Roman"/>
          <w:b/>
          <w:bCs/>
          <w:snapToGrid w:val="0"/>
          <w:lang w:eastAsia="x-none"/>
        </w:rPr>
        <w:t xml:space="preserve"> vartojimas su maistu, gėrimais</w:t>
      </w:r>
      <w:r>
        <w:rPr>
          <w:rFonts w:ascii="Times New Roman" w:eastAsia="Times New Roman" w:hAnsi="Times New Roman" w:cs="Times New Roman"/>
          <w:b/>
          <w:snapToGrid w:val="0"/>
          <w:lang w:eastAsia="x-none"/>
        </w:rPr>
        <w:t xml:space="preserve"> </w:t>
      </w:r>
      <w:r>
        <w:rPr>
          <w:rFonts w:ascii="Times New Roman" w:eastAsia="Times New Roman" w:hAnsi="Times New Roman" w:cs="Times New Roman"/>
          <w:b/>
          <w:bCs/>
          <w:snapToGrid w:val="0"/>
          <w:lang w:eastAsia="x-none"/>
        </w:rPr>
        <w:t>ir alkoholiu</w:t>
      </w:r>
    </w:p>
    <w:p w14:paraId="21A8363A" w14:textId="77777777" w:rsidR="007D1CCA" w:rsidRDefault="00A06746">
      <w:pPr>
        <w:widowControl w:val="0"/>
        <w:numPr>
          <w:ilvl w:val="12"/>
          <w:numId w:val="0"/>
        </w:numPr>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galima vartoti tiek kartu su maistu, tiek ir be jo. Jums reikėtų elgtis ypač atsargiai, jeigu vartojate alkoholį gydymo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metu.</w:t>
      </w:r>
    </w:p>
    <w:p w14:paraId="4D3506D1" w14:textId="77777777" w:rsidR="007D1CCA" w:rsidRDefault="007D1CCA">
      <w:pPr>
        <w:widowControl w:val="0"/>
        <w:numPr>
          <w:ilvl w:val="12"/>
          <w:numId w:val="0"/>
        </w:numPr>
        <w:spacing w:after="0" w:line="240" w:lineRule="auto"/>
        <w:rPr>
          <w:rFonts w:ascii="Times New Roman" w:eastAsia="Times New Roman" w:hAnsi="Times New Roman" w:cs="Times New Roman"/>
          <w:snapToGrid w:val="0"/>
        </w:rPr>
      </w:pPr>
    </w:p>
    <w:p w14:paraId="06535F2A"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Nėštumas ir žindymo laikotarpis</w:t>
      </w:r>
    </w:p>
    <w:p w14:paraId="47767C90"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Jeigu esate nėščia, žindote kūdikį, manote, kad galbūt esate nėščia, arba planuojate pastoti, tai prieš vartodama šį vaistą, pasitarkite su gydytoju arba vaistininku.</w:t>
      </w:r>
    </w:p>
    <w:p w14:paraId="279583E5" w14:textId="77777777" w:rsidR="007D1CCA" w:rsidRDefault="00A06746">
      <w:pPr>
        <w:widowControl w:val="0"/>
        <w:numPr>
          <w:ilvl w:val="0"/>
          <w:numId w:val="7"/>
        </w:numPr>
        <w:spacing w:after="0" w:line="240" w:lineRule="auto"/>
        <w:ind w:left="357" w:hanging="357"/>
        <w:rPr>
          <w:rFonts w:ascii="Times New Roman" w:eastAsia="Times New Roman" w:hAnsi="Times New Roman" w:cs="Times New Roman"/>
          <w:snapToGrid w:val="0"/>
        </w:rPr>
      </w:pPr>
      <w:r>
        <w:rPr>
          <w:rFonts w:ascii="Times New Roman" w:eastAsia="Times New Roman" w:hAnsi="Times New Roman" w:cs="Times New Roman"/>
          <w:snapToGrid w:val="0"/>
        </w:rPr>
        <w:t xml:space="preserve">Pasakykite savo gydytojui, jeigu gydymo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metu tapote nėščia arba ketinate pastoti.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galite vartoti tik su gydytoju aptarę galimos naudos ir rizikos Jūsų negimusiam vaikui santykį.</w:t>
      </w:r>
    </w:p>
    <w:p w14:paraId="2DF1AB07"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B3B0648" w14:textId="77777777" w:rsidR="007D1CCA" w:rsidRPr="00A83D4D" w:rsidRDefault="00A06746">
      <w:pPr>
        <w:pStyle w:val="Sraopastraipa"/>
        <w:widowControl w:val="0"/>
        <w:numPr>
          <w:ilvl w:val="0"/>
          <w:numId w:val="14"/>
        </w:numPr>
        <w:spacing w:line="240" w:lineRule="auto"/>
        <w:ind w:left="360"/>
        <w:rPr>
          <w:snapToGrid w:val="0"/>
          <w:lang w:val="lt-LT"/>
        </w:rPr>
      </w:pPr>
      <w:r w:rsidRPr="00A83D4D">
        <w:rPr>
          <w:snapToGrid w:val="0"/>
          <w:lang w:val="lt-LT"/>
        </w:rPr>
        <w:t xml:space="preserve">Būkite tikri, kad Jūsų akušerė ir (arba) gydytojas žino, kad vartojate </w:t>
      </w:r>
      <w:proofErr w:type="spellStart"/>
      <w:r w:rsidRPr="00A83D4D">
        <w:rPr>
          <w:snapToGrid w:val="0"/>
          <w:lang w:val="lt-LT"/>
        </w:rPr>
        <w:t>Dulsevia</w:t>
      </w:r>
      <w:proofErr w:type="spellEnd"/>
      <w:r w:rsidRPr="00A83D4D">
        <w:rPr>
          <w:snapToGrid w:val="0"/>
          <w:lang w:val="lt-LT"/>
        </w:rPr>
        <w:t xml:space="preserve">. Panašūs vaistai (SSRI), vartojami nėštumo metu, kūdikiui gali didinti sunkios būklės, kuri vadinama išlikusia naujagimio </w:t>
      </w:r>
      <w:proofErr w:type="spellStart"/>
      <w:r w:rsidRPr="00A83D4D">
        <w:rPr>
          <w:snapToGrid w:val="0"/>
          <w:lang w:val="lt-LT"/>
        </w:rPr>
        <w:t>plautine</w:t>
      </w:r>
      <w:proofErr w:type="spellEnd"/>
      <w:r w:rsidRPr="00A83D4D">
        <w:rPr>
          <w:snapToGrid w:val="0"/>
          <w:lang w:val="lt-LT"/>
        </w:rPr>
        <w:t xml:space="preserve"> hipertenzija (angl., PPHN), pasireiškimo pavojų; dėl šios būklės kūdikis pradeda kvėpuoti dažniau ir pamelsvėja. Šių simptomų paprastai atsiranda per pirmąsias 24 valandas po gimimo. Jeigu tai atsitinka Jūsų kūdikiui, turite nedelsdami susisiekti su savo akušere ir (arba) gydytoju.</w:t>
      </w:r>
    </w:p>
    <w:p w14:paraId="126CD0B9" w14:textId="77777777" w:rsidR="007D1CCA" w:rsidRDefault="007D1CCA">
      <w:pPr>
        <w:widowControl w:val="0"/>
        <w:spacing w:after="0" w:line="240" w:lineRule="auto"/>
        <w:ind w:left="567" w:hanging="567"/>
        <w:rPr>
          <w:rFonts w:ascii="Times New Roman" w:eastAsia="Times New Roman" w:hAnsi="Times New Roman" w:cs="Times New Roman"/>
          <w:snapToGrid w:val="0"/>
        </w:rPr>
      </w:pPr>
    </w:p>
    <w:p w14:paraId="73901781" w14:textId="77777777" w:rsidR="007D1CCA" w:rsidRDefault="00A06746">
      <w:pPr>
        <w:pStyle w:val="Sraopastraipa"/>
        <w:widowControl w:val="0"/>
        <w:numPr>
          <w:ilvl w:val="0"/>
          <w:numId w:val="14"/>
        </w:numPr>
        <w:spacing w:line="240" w:lineRule="auto"/>
        <w:ind w:left="360"/>
        <w:rPr>
          <w:snapToGrid w:val="0"/>
          <w:lang w:val="lt-LT"/>
        </w:rPr>
      </w:pPr>
      <w:r>
        <w:rPr>
          <w:snapToGrid w:val="0"/>
          <w:lang w:val="lt-LT"/>
        </w:rPr>
        <w:t xml:space="preserve">Jeigu </w:t>
      </w:r>
      <w:proofErr w:type="spellStart"/>
      <w:r>
        <w:rPr>
          <w:snapToGrid w:val="0"/>
          <w:lang w:val="lt-LT"/>
        </w:rPr>
        <w:t>Dulsevia</w:t>
      </w:r>
      <w:proofErr w:type="spellEnd"/>
      <w:r>
        <w:rPr>
          <w:snapToGrid w:val="0"/>
          <w:lang w:val="lt-LT"/>
        </w:rPr>
        <w:t xml:space="preserve"> vartojote prieš baigiantis nėštumui, Jūsų gimusiam kūdikiui gali pasireikšti kai kurių simptomų. Jų paprastai atsiranda gimimo metu arba per kelias dienas po gimimo. Iš tokių simptomų gali būti raumenų suglebimas, drebėjimas, nervingumas, maitinimosi sutrikimas, kvėpavimo sutrikimas ir traukuliai. Jeigu Jūsų gimusiam kūdikiui pasireiškia kuris nors iš minėtų simptomų arba jeigu nerimaujate dėl jo sveikatos, susisiekite su savo gydytoju arba akušere, kurie galės Jums duoti patarimų.</w:t>
      </w:r>
    </w:p>
    <w:p w14:paraId="79E2A8F2" w14:textId="77777777" w:rsidR="007D1CCA" w:rsidRDefault="007D1CCA">
      <w:pPr>
        <w:pStyle w:val="Sraopastraipa"/>
        <w:rPr>
          <w:snapToGrid w:val="0"/>
          <w:lang w:val="lt-LT"/>
        </w:rPr>
      </w:pPr>
    </w:p>
    <w:p w14:paraId="07783A23" w14:textId="77777777" w:rsidR="007D1CCA" w:rsidRDefault="00A06746">
      <w:pPr>
        <w:pStyle w:val="Sraopastraipa"/>
        <w:widowControl w:val="0"/>
        <w:numPr>
          <w:ilvl w:val="0"/>
          <w:numId w:val="14"/>
        </w:numPr>
        <w:ind w:left="360"/>
        <w:rPr>
          <w:snapToGrid w:val="0"/>
          <w:lang w:val="lt-LT"/>
        </w:rPr>
      </w:pPr>
      <w:r>
        <w:rPr>
          <w:snapToGrid w:val="0"/>
          <w:lang w:val="lt-LT"/>
        </w:rPr>
        <w:t xml:space="preserve">Jeigu vartojate </w:t>
      </w:r>
      <w:proofErr w:type="spellStart"/>
      <w:r>
        <w:rPr>
          <w:snapToGrid w:val="0"/>
          <w:lang w:val="lt-LT"/>
        </w:rPr>
        <w:t>Dulsevia</w:t>
      </w:r>
      <w:proofErr w:type="spellEnd"/>
      <w:r>
        <w:rPr>
          <w:snapToGrid w:val="0"/>
          <w:lang w:val="lt-LT"/>
        </w:rPr>
        <w:t xml:space="preserve"> artėjant nėštumo pabaigai, padidėja pernelyg gausaus kraujavimo iš makšties netrukus po gimimo rizika, ypač tuomet, jeigu anksčiau Jums yra buvę kraujavimo sutrikimų. Gydytojas ar akušerė turėtų žinoti, kad vartojate </w:t>
      </w:r>
      <w:proofErr w:type="spellStart"/>
      <w:r>
        <w:rPr>
          <w:snapToGrid w:val="0"/>
          <w:lang w:val="lt-LT"/>
        </w:rPr>
        <w:t>duloksetiną</w:t>
      </w:r>
      <w:proofErr w:type="spellEnd"/>
      <w:r>
        <w:rPr>
          <w:snapToGrid w:val="0"/>
          <w:lang w:val="lt-LT"/>
        </w:rPr>
        <w:t>, kad galėtų Jums patarti.</w:t>
      </w:r>
    </w:p>
    <w:p w14:paraId="2A5B0BAF" w14:textId="77777777" w:rsidR="007D1CCA" w:rsidRDefault="007D1CCA">
      <w:pPr>
        <w:pStyle w:val="Sraopastraipa"/>
        <w:rPr>
          <w:snapToGrid w:val="0"/>
          <w:lang w:val="lt-LT"/>
        </w:rPr>
      </w:pPr>
    </w:p>
    <w:p w14:paraId="01DC108B" w14:textId="77777777" w:rsidR="007D1CCA" w:rsidRDefault="00A06746">
      <w:pPr>
        <w:pStyle w:val="Sraopastraipa"/>
        <w:widowControl w:val="0"/>
        <w:numPr>
          <w:ilvl w:val="0"/>
          <w:numId w:val="14"/>
        </w:numPr>
        <w:ind w:left="360"/>
        <w:rPr>
          <w:snapToGrid w:val="0"/>
          <w:lang w:val="lt-LT"/>
        </w:rPr>
      </w:pPr>
      <w:r>
        <w:rPr>
          <w:lang w:val="lt-LT"/>
        </w:rPr>
        <w:t xml:space="preserve">Turimi </w:t>
      </w:r>
      <w:proofErr w:type="spellStart"/>
      <w:r>
        <w:rPr>
          <w:lang w:val="lt-LT"/>
        </w:rPr>
        <w:t>Dulsevia</w:t>
      </w:r>
      <w:proofErr w:type="spellEnd"/>
      <w:r>
        <w:rPr>
          <w:lang w:val="lt-LT"/>
        </w:rPr>
        <w:t xml:space="preserve"> vartojimo per pirmuosius tris nėštumo mėnesius duomenys nerodo bendrosios apsigimimų rizikos naujagimiui padidėjimo. </w:t>
      </w:r>
      <w:proofErr w:type="spellStart"/>
      <w:r>
        <w:rPr>
          <w:lang w:val="lt-LT"/>
        </w:rPr>
        <w:t>Dulsevia</w:t>
      </w:r>
      <w:proofErr w:type="spellEnd"/>
      <w:r>
        <w:rPr>
          <w:lang w:val="lt-LT"/>
        </w:rPr>
        <w:t xml:space="preserve"> vartojant antroje nėštumo pusėje, gali padidėti rizika, kad kūdikis gims anksti (6 papildomi neišnešioti kūdikiai kiekvienam 100 moterų, vartojančių </w:t>
      </w:r>
      <w:proofErr w:type="spellStart"/>
      <w:r>
        <w:rPr>
          <w:lang w:val="lt-LT"/>
        </w:rPr>
        <w:t>Dulsevia</w:t>
      </w:r>
      <w:proofErr w:type="spellEnd"/>
      <w:r>
        <w:rPr>
          <w:lang w:val="lt-LT"/>
        </w:rPr>
        <w:t xml:space="preserve"> antroje nėštumo pusėje), dažniausiai tarp 35 ir 36 nėštumo savaičių.</w:t>
      </w:r>
    </w:p>
    <w:p w14:paraId="72736169" w14:textId="77777777" w:rsidR="007D1CCA" w:rsidRDefault="007D1CCA">
      <w:pPr>
        <w:widowControl w:val="0"/>
        <w:spacing w:after="0" w:line="240" w:lineRule="auto"/>
        <w:ind w:left="567" w:hanging="567"/>
        <w:rPr>
          <w:rFonts w:ascii="Times New Roman" w:eastAsia="Times New Roman" w:hAnsi="Times New Roman" w:cs="Times New Roman"/>
          <w:snapToGrid w:val="0"/>
        </w:rPr>
      </w:pPr>
    </w:p>
    <w:p w14:paraId="4F6CECD6" w14:textId="77777777" w:rsidR="007D1CCA" w:rsidRDefault="00A06746">
      <w:pPr>
        <w:widowControl w:val="0"/>
        <w:numPr>
          <w:ilvl w:val="0"/>
          <w:numId w:val="14"/>
        </w:numPr>
        <w:spacing w:after="0" w:line="240" w:lineRule="auto"/>
        <w:ind w:left="357" w:hanging="357"/>
        <w:rPr>
          <w:rFonts w:ascii="Times New Roman" w:eastAsia="Times New Roman" w:hAnsi="Times New Roman" w:cs="Times New Roman"/>
          <w:snapToGrid w:val="0"/>
        </w:rPr>
      </w:pPr>
      <w:r>
        <w:rPr>
          <w:rFonts w:ascii="Times New Roman" w:eastAsia="Times New Roman" w:hAnsi="Times New Roman" w:cs="Times New Roman"/>
          <w:snapToGrid w:val="0"/>
        </w:rPr>
        <w:t xml:space="preserve">Jeigu žindote kūdikį, pasakykite savo gydytojui. Žindymo metu nerekomenduojama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Pasitarkite su savo gydytoju ar vaistininku</w:t>
      </w:r>
    </w:p>
    <w:p w14:paraId="20C6A9AE" w14:textId="77777777" w:rsidR="007D1CCA" w:rsidRDefault="007D1CCA">
      <w:pPr>
        <w:widowControl w:val="0"/>
        <w:spacing w:after="0" w:line="240" w:lineRule="auto"/>
        <w:rPr>
          <w:rFonts w:ascii="Times New Roman" w:eastAsia="Times New Roman" w:hAnsi="Times New Roman" w:cs="Times New Roman"/>
          <w:snapToGrid w:val="0"/>
        </w:rPr>
      </w:pPr>
    </w:p>
    <w:p w14:paraId="00684D2F"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Vairavimas ir mechanizmų valdymas</w:t>
      </w:r>
    </w:p>
    <w:p w14:paraId="3C65B6CD"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gali sukelti mieguistumą ar apsvaigimą. Nevairuokite ir nevaldykite jokių mechanizmų, kol nežinote, kokį poveikį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Jums darys.</w:t>
      </w:r>
    </w:p>
    <w:p w14:paraId="2522AF31"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3EA7AF10"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proofErr w:type="spellStart"/>
      <w:r>
        <w:rPr>
          <w:rFonts w:ascii="Times New Roman" w:eastAsia="Times New Roman" w:hAnsi="Times New Roman" w:cs="Times New Roman"/>
          <w:b/>
          <w:bCs/>
          <w:snapToGrid w:val="0"/>
          <w:lang w:eastAsia="x-none"/>
        </w:rPr>
        <w:t>Dulsevia</w:t>
      </w:r>
      <w:proofErr w:type="spellEnd"/>
      <w:r>
        <w:rPr>
          <w:rFonts w:ascii="Times New Roman" w:eastAsia="Times New Roman" w:hAnsi="Times New Roman" w:cs="Times New Roman"/>
          <w:b/>
          <w:bCs/>
          <w:snapToGrid w:val="0"/>
          <w:lang w:eastAsia="x-none"/>
        </w:rPr>
        <w:t xml:space="preserve"> sudėtyje yra sacharozės</w:t>
      </w:r>
    </w:p>
    <w:p w14:paraId="41F3BE7F"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Jeigu gydytojas Jums yra sakęs, kad netoleruojate kokių nors angliavandenių, kreipkitės į jį prieš pradėdami vartoti šį vaistą.</w:t>
      </w:r>
    </w:p>
    <w:p w14:paraId="3EDFE521"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2E65F868"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18F78A52" w14:textId="77777777" w:rsidR="007D1CCA" w:rsidRDefault="00A06746">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3.</w:t>
      </w:r>
      <w:r>
        <w:rPr>
          <w:rFonts w:ascii="Times New Roman" w:eastAsia="Times New Roman" w:hAnsi="Times New Roman" w:cs="Times New Roman"/>
          <w:b/>
          <w:bCs/>
          <w:snapToGrid w:val="0"/>
          <w:lang w:eastAsia="x-none"/>
        </w:rPr>
        <w:tab/>
        <w:t xml:space="preserve">Kaip vartoti </w:t>
      </w:r>
      <w:proofErr w:type="spellStart"/>
      <w:r>
        <w:rPr>
          <w:rFonts w:ascii="Times New Roman" w:eastAsia="Times New Roman" w:hAnsi="Times New Roman" w:cs="Times New Roman"/>
          <w:b/>
          <w:bCs/>
          <w:snapToGrid w:val="0"/>
          <w:lang w:eastAsia="x-none"/>
        </w:rPr>
        <w:t>Dulsevia</w:t>
      </w:r>
      <w:proofErr w:type="spellEnd"/>
    </w:p>
    <w:p w14:paraId="6B822BC7"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7BD64FC6"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Visada vartokite šį vaistą tiksliai kaip nurodė gydytojas arba vaistininkas. Jeigu abejojate, kreipkitės į gydytoją arba vaistininką.</w:t>
      </w:r>
    </w:p>
    <w:p w14:paraId="67BF611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3FC29BD"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yra per burną vartojamas vaistas. Turite nuryti visą kapsulę užgerdami vandeniu.</w:t>
      </w:r>
    </w:p>
    <w:p w14:paraId="6BD9F998"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449366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Depresijai ar skausmui dėl diabetinės neuropatijos gydyti</w:t>
      </w:r>
    </w:p>
    <w:p w14:paraId="27B9D754"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Įprasta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dozė yra 60 mg vieną kartą per parą, tačiau Jūsų gydytojas paskirs Jums reikiamą dozę.</w:t>
      </w:r>
    </w:p>
    <w:p w14:paraId="1F86824A"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6412362"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i/>
          <w:iCs/>
          <w:snapToGrid w:val="0"/>
        </w:rPr>
        <w:lastRenderedPageBreak/>
        <w:t>Generalizuoto</w:t>
      </w:r>
      <w:proofErr w:type="spellEnd"/>
      <w:r>
        <w:rPr>
          <w:rFonts w:ascii="Times New Roman" w:eastAsia="Times New Roman" w:hAnsi="Times New Roman" w:cs="Times New Roman"/>
          <w:i/>
          <w:iCs/>
          <w:snapToGrid w:val="0"/>
        </w:rPr>
        <w:t xml:space="preserve"> nerimo sutrikimui gydyti</w:t>
      </w:r>
    </w:p>
    <w:p w14:paraId="0BF7198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Įprasta pradinė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dozė yra 30 mg kartą per parą. Po to daugumas pacientų gydomi kartą per parą vartojama 60 mg doze, tačiau Jums tinkamą dozę paskirs Jūsų gydytojas. Paros dozę Jums jis gali padidinti iki 120 mg, atsižvelgdamas į Jūsų reakciją į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w:t>
      </w:r>
    </w:p>
    <w:p w14:paraId="219C23D8"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E17E557"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Kad nepamirštumėte išgerti vaisto, geriau būtų gerti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kiekvieną dieną tuo pačiu metu.</w:t>
      </w:r>
    </w:p>
    <w:p w14:paraId="75C62C92"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EA8C184"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Pasiteiraukite savo gydytojo, kiek laiko turite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Nenustokite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ir nekeiskite vaisto dozės, prieš tai nepranešę gydytojui. Svarbu tinkamai gydyti sutrikimą, kuris Jums yra, kad pradėtumėte geriau jaustis. Negydoma Jūsų būklė gali nepraeiti ir sunkėti, o pasunkėjusią būklę sunkiau gydyti.</w:t>
      </w:r>
    </w:p>
    <w:p w14:paraId="3B14D51F"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2940DCE1"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 xml:space="preserve">Ką daryti pavartojus per didelę </w:t>
      </w:r>
      <w:proofErr w:type="spellStart"/>
      <w:r>
        <w:rPr>
          <w:rFonts w:ascii="Times New Roman" w:eastAsia="Times New Roman" w:hAnsi="Times New Roman" w:cs="Times New Roman"/>
          <w:b/>
          <w:bCs/>
          <w:snapToGrid w:val="0"/>
          <w:lang w:eastAsia="x-none"/>
        </w:rPr>
        <w:t>Dulsevia</w:t>
      </w:r>
      <w:proofErr w:type="spellEnd"/>
      <w:r>
        <w:rPr>
          <w:rFonts w:ascii="Times New Roman" w:eastAsia="Times New Roman" w:hAnsi="Times New Roman" w:cs="Times New Roman"/>
          <w:b/>
          <w:bCs/>
          <w:snapToGrid w:val="0"/>
          <w:lang w:eastAsia="x-none"/>
        </w:rPr>
        <w:t xml:space="preserve"> dozę?</w:t>
      </w:r>
    </w:p>
    <w:p w14:paraId="38667CA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Jeigu išgėrėte didesnę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dozę, negu paskyrė Jūsų gydytojas, nedelsdami kreipkitės į gydytoją arba vaistininką. Perdozavimo simptomai yra mieguistumas, koma,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sindromas (reta reakcija, dėl kurios pasireiškia didelės laimės pojūtis, mieguistumas, nerangumas, neramumas, girtumo pojūtis, karščiavimas, prakaitavimas ar raumenų sąstingis), traukuliai, vėmimas ir dažnas širdies plakimas.</w:t>
      </w:r>
    </w:p>
    <w:p w14:paraId="4EC9E9FD"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33227364"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 xml:space="preserve">Pamiršus pavartoti </w:t>
      </w:r>
      <w:proofErr w:type="spellStart"/>
      <w:r>
        <w:rPr>
          <w:rFonts w:ascii="Times New Roman" w:eastAsia="Times New Roman" w:hAnsi="Times New Roman" w:cs="Times New Roman"/>
          <w:b/>
          <w:bCs/>
          <w:snapToGrid w:val="0"/>
          <w:lang w:eastAsia="x-none"/>
        </w:rPr>
        <w:t>Dulsevia</w:t>
      </w:r>
      <w:proofErr w:type="spellEnd"/>
    </w:p>
    <w:p w14:paraId="4BB18D0F"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Jeigu pamiršote išgerti vaisto dozę, išgerkite ją kai tik prisiminsite. Tačiau jeigu jau atėjo laikas gerti sekančią dozę, nekreipkite dėmesio į praleistąją ir gerkite tik vieną dozę kaip įprasta. Negalima vartoti dvigubos dozės norint kompensuoti praleistą dozę. Negerkite didesnės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paros dozės, negu Jums paskyrė gydytojas.</w:t>
      </w:r>
    </w:p>
    <w:p w14:paraId="757D4818"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6243C424"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 xml:space="preserve">Nustojus vartoti </w:t>
      </w:r>
      <w:proofErr w:type="spellStart"/>
      <w:r>
        <w:rPr>
          <w:rFonts w:ascii="Times New Roman" w:eastAsia="Times New Roman" w:hAnsi="Times New Roman" w:cs="Times New Roman"/>
          <w:b/>
          <w:bCs/>
          <w:snapToGrid w:val="0"/>
          <w:lang w:eastAsia="x-none"/>
        </w:rPr>
        <w:t>Dulsevia</w:t>
      </w:r>
      <w:proofErr w:type="spellEnd"/>
    </w:p>
    <w:p w14:paraId="5CC889F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NENUSTOKITE gerti kapsulių, nepasitarę su gydytoju, net ir tuo atveju, jeigu jaučiatės geriau. Jeigu gydytojas nuspręs, kad Jums nebereikia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jis ar ji nurodys Jums mažinti vaisto dozę mažiausiai 2 savaičių laikotarpiu.</w:t>
      </w:r>
    </w:p>
    <w:p w14:paraId="1462CB37"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D1AACB6"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Kai kurie pacientai, kurie staiga nutraukė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vartojimą, patyrė šių simptomų:</w:t>
      </w:r>
    </w:p>
    <w:p w14:paraId="736090A4" w14:textId="77777777" w:rsidR="007D1CCA" w:rsidRDefault="00A06746">
      <w:pPr>
        <w:widowControl w:val="0"/>
        <w:numPr>
          <w:ilvl w:val="0"/>
          <w:numId w:val="9"/>
        </w:numPr>
        <w:spacing w:after="20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galvos svaigimą, dilgčiojimo ar dilgsėjimo pojūtį arba į elektros šoko poveikį panašų pojūtį (ypač galvoje), miego sutrikimų (vaizdingus sapnus, košmarus, negalėjimą miegoti), nuovargį, mieguistumą, nerimastingumą ar sujaudinimą, nerimą, šleikštulį (pykinimą arba vėmimą), drebulį (virpėjimą), galvos skausmą, raumenų skausmą, dirglumą, viduriavimą, smarkų prakaitavimą arba galvos sukimąsi.</w:t>
      </w:r>
    </w:p>
    <w:p w14:paraId="5A99CB3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9156BD2"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Šie simptomai paprastai būna nesunkūs ir praeina per kelias dienas, tačiau jeigu pasireiškia simptomai, kurie kelia Jums nerimą, pasakykite apie tai gydytojui.</w:t>
      </w:r>
    </w:p>
    <w:p w14:paraId="25D640A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277A95E4"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Jeigu kiltų daugiau klausimų dėl šio vaisto vartojimo, kreipkitės į gydytoją arba vaistininką.</w:t>
      </w:r>
    </w:p>
    <w:p w14:paraId="24D51C27"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1EA5D338"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5AA4D705" w14:textId="77777777" w:rsidR="007D1CCA" w:rsidRDefault="00A06746">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4.</w:t>
      </w:r>
      <w:r>
        <w:rPr>
          <w:rFonts w:ascii="Times New Roman" w:eastAsia="Times New Roman" w:hAnsi="Times New Roman" w:cs="Times New Roman"/>
          <w:b/>
          <w:bCs/>
          <w:snapToGrid w:val="0"/>
          <w:lang w:eastAsia="x-none"/>
        </w:rPr>
        <w:tab/>
        <w:t>Galimas šalutinis poveikis</w:t>
      </w:r>
    </w:p>
    <w:p w14:paraId="00D9C631" w14:textId="77777777" w:rsidR="007D1CCA" w:rsidRDefault="007D1CCA">
      <w:pPr>
        <w:widowControl w:val="0"/>
        <w:numPr>
          <w:ilvl w:val="12"/>
          <w:numId w:val="0"/>
        </w:numPr>
        <w:spacing w:after="0" w:line="240" w:lineRule="auto"/>
        <w:rPr>
          <w:rFonts w:ascii="Times New Roman" w:eastAsia="Times New Roman" w:hAnsi="Times New Roman" w:cs="Times New Roman"/>
          <w:snapToGrid w:val="0"/>
        </w:rPr>
      </w:pPr>
    </w:p>
    <w:p w14:paraId="3D950471"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Šis vaistas, kaip ir visi kiti, gali sukelti šalutinį poveikį, nors jis pasireiškia ne visiems žmonėms. Šis poveikis dažniausiai yra silpnas arba vidutinio stiprumo ir dažnai išnyksta per kelias savaites.</w:t>
      </w:r>
    </w:p>
    <w:p w14:paraId="18D83733"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39CA5DCB" w14:textId="507B3DEA"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bCs/>
          <w:snapToGrid w:val="0"/>
        </w:rPr>
        <w:t xml:space="preserve">Labai dažni šalutinio poveikio reiškiniai (gali pasireikšti </w:t>
      </w:r>
      <w:r>
        <w:rPr>
          <w:rFonts w:ascii="Times New Roman" w:eastAsia="Times New Roman" w:hAnsi="Times New Roman" w:cs="Times New Roman"/>
          <w:b/>
          <w:bCs/>
        </w:rPr>
        <w:t>ne rečiau</w:t>
      </w:r>
      <w:r>
        <w:rPr>
          <w:rFonts w:ascii="Times New Roman" w:eastAsia="Times New Roman" w:hAnsi="Times New Roman" w:cs="Times New Roman"/>
          <w:b/>
          <w:bCs/>
          <w:snapToGrid w:val="0"/>
        </w:rPr>
        <w:t xml:space="preserve"> kaip 1 iš 10 asmenų)</w:t>
      </w:r>
    </w:p>
    <w:p w14:paraId="237D0C6A"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galvos skausmas, mieguistumas;</w:t>
      </w:r>
    </w:p>
    <w:p w14:paraId="0F5205EB"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pykinimas (šleikštulys), burnos džiūvimas.</w:t>
      </w:r>
    </w:p>
    <w:p w14:paraId="58B9BFD1"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69009EA6" w14:textId="7BD1FF26"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bCs/>
          <w:snapToGrid w:val="0"/>
        </w:rPr>
        <w:t>Dažni šalutinio poveikio reiškiniai (gali pasireikšti rečiau kaip 1 iš 10 asmenų)</w:t>
      </w:r>
    </w:p>
    <w:p w14:paraId="57D32B75"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apetito praradimas;</w:t>
      </w:r>
    </w:p>
    <w:p w14:paraId="5B370995"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miego sutrikimas, sujaudinimas, lytinio potraukio sumažėjimas, nerimas, sunkumas pasiekti orgazmą ar jo nebuvimas, neįprasti sapnai;</w:t>
      </w:r>
    </w:p>
    <w:p w14:paraId="6977906A"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lastRenderedPageBreak/>
        <w:t xml:space="preserve">galvos svaigimas, nerangumas, drebulys, tirpulys, įskaitant odos tirpulį, </w:t>
      </w:r>
      <w:proofErr w:type="spellStart"/>
      <w:r>
        <w:rPr>
          <w:rFonts w:ascii="Times New Roman" w:eastAsia="Times New Roman" w:hAnsi="Times New Roman" w:cs="Times New Roman"/>
          <w:snapToGrid w:val="0"/>
        </w:rPr>
        <w:t>dygčiojimą</w:t>
      </w:r>
      <w:proofErr w:type="spellEnd"/>
      <w:r>
        <w:rPr>
          <w:rFonts w:ascii="Times New Roman" w:eastAsia="Times New Roman" w:hAnsi="Times New Roman" w:cs="Times New Roman"/>
          <w:snapToGrid w:val="0"/>
        </w:rPr>
        <w:t xml:space="preserve"> arba dilgčiojimą;</w:t>
      </w:r>
    </w:p>
    <w:p w14:paraId="2AEC12F1"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neryškus matymas;</w:t>
      </w:r>
    </w:p>
    <w:p w14:paraId="3D9F78A0"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spengimas ausyse (garsų ausyse girdėjimas, kai jų išorėje nėra);</w:t>
      </w:r>
    </w:p>
    <w:p w14:paraId="29E35A22"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širdies plakimo krūtinėje jutimas;</w:t>
      </w:r>
    </w:p>
    <w:p w14:paraId="1205932F"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kraujospūdžio padidėjimas, trumpalaikis veido ir kaklo paraudimas su karščio pojūčiu;</w:t>
      </w:r>
    </w:p>
    <w:p w14:paraId="7AEC3AD4"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žiovulio padažnėjimas;</w:t>
      </w:r>
    </w:p>
    <w:p w14:paraId="5399BF2A"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vidurių užkietėjimas, viduriavimas, skrandžio skausmas, vėmimas, rėmuo arba </w:t>
      </w:r>
      <w:proofErr w:type="spellStart"/>
      <w:r>
        <w:rPr>
          <w:rFonts w:ascii="Times New Roman" w:eastAsia="Times New Roman" w:hAnsi="Times New Roman" w:cs="Times New Roman"/>
          <w:snapToGrid w:val="0"/>
        </w:rPr>
        <w:t>nevirškinimas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meteorizmas</w:t>
      </w:r>
      <w:proofErr w:type="spellEnd"/>
      <w:r>
        <w:rPr>
          <w:rFonts w:ascii="Times New Roman" w:eastAsia="Times New Roman" w:hAnsi="Times New Roman" w:cs="Times New Roman"/>
          <w:snapToGrid w:val="0"/>
        </w:rPr>
        <w:t>;</w:t>
      </w:r>
    </w:p>
    <w:p w14:paraId="4C479AAE"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prakaitavimo padidėjimas, niežtintis išbėrimas;</w:t>
      </w:r>
    </w:p>
    <w:p w14:paraId="7205D8AE"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raumenų skausmas, raumenų spazmai;</w:t>
      </w:r>
    </w:p>
    <w:p w14:paraId="65567263"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skausmingas šlapinimasis, dažnas šlapinimasis;</w:t>
      </w:r>
    </w:p>
    <w:p w14:paraId="406F1E73"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erekcijos sutrikimas, ejakuliacijos pokytis;</w:t>
      </w:r>
    </w:p>
    <w:p w14:paraId="01EFFD7E"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griuvimas (dažniausiai senyvų žmonių), nuovargis;</w:t>
      </w:r>
    </w:p>
    <w:p w14:paraId="6EDC8AD6"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kūno masės sumažėjimas.</w:t>
      </w:r>
    </w:p>
    <w:p w14:paraId="1DC71933"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A1E81D4"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Vaikams ir jaunesniems kaip 18 metų paaugliams, sergantiems depresija ir gydytiems šiuo vaistu, šiek tiek sumažėjo kūno masė pirmą kartą pradėjus vartoti šį vaistą. Po 6 gydymo mėnesių kūno masė padidėjo tiek, kad vėl atitiko kitų vaikų ir paauglių kūno masę, atsižvelgiant į jų amžių ir lytį.</w:t>
      </w:r>
    </w:p>
    <w:p w14:paraId="7F67AD14"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4767DD43" w14:textId="5F53770D"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bCs/>
          <w:snapToGrid w:val="0"/>
        </w:rPr>
        <w:t>Nedažni šalutinio poveikio reiškiniai (gali pasireikšti rečiau kaip 1 iš 100 asmenų)</w:t>
      </w:r>
    </w:p>
    <w:p w14:paraId="76A03D10"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ryklės uždegimas, sukeliantis balso užkimimą;</w:t>
      </w:r>
    </w:p>
    <w:p w14:paraId="7C5373F6"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mintys apie savižudybę, sunkumas užmigti, dantų griežimas arba sukandimas, orientacijos sutrikimas, motyvacijos stoka;</w:t>
      </w:r>
    </w:p>
    <w:p w14:paraId="2894ACF7"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staigios nevalingos raumenų konvulsijos arba trūkčiojimas, neramumas arba negalėjimas ramiai sėdėti arba stovėti, nervingumas, dėmesio sukaupimo pasunkėjimas, skonio pojūčio pokytis, judesių kontroliavimo pasunkėjimas, pvz., koordinacijos stoka arba nevalingi raumenų judesiai, neramių kojų sindromas, bloga miego kokybė;</w:t>
      </w:r>
    </w:p>
    <w:p w14:paraId="6ABC384D"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išsiplėtę vyzdžiai (tamsus akių centras), regos sutrikimas;</w:t>
      </w:r>
    </w:p>
    <w:p w14:paraId="51C8C121"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galvos svaigimo arba sukimosi (</w:t>
      </w:r>
      <w:proofErr w:type="spellStart"/>
      <w:r>
        <w:rPr>
          <w:rFonts w:ascii="Times New Roman" w:eastAsia="Times New Roman" w:hAnsi="Times New Roman" w:cs="Times New Roman"/>
          <w:i/>
          <w:iCs/>
          <w:snapToGrid w:val="0"/>
        </w:rPr>
        <w:t>vertigo</w:t>
      </w:r>
      <w:proofErr w:type="spellEnd"/>
      <w:r>
        <w:rPr>
          <w:rFonts w:ascii="Times New Roman" w:eastAsia="Times New Roman" w:hAnsi="Times New Roman" w:cs="Times New Roman"/>
          <w:snapToGrid w:val="0"/>
        </w:rPr>
        <w:t>) pojūtis, ausų skausmas;</w:t>
      </w:r>
    </w:p>
    <w:p w14:paraId="1DA6030E"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dažnas arba (ir) nereguliarus širdies plakimas;</w:t>
      </w:r>
    </w:p>
    <w:p w14:paraId="04CFF16D"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alpulys, galvos svaigimas, apsvaigimas arba alpimas stojantis, šalti rankų ir (arba) kojų pirštai;</w:t>
      </w:r>
    </w:p>
    <w:p w14:paraId="386DA50F"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gerklės veržimas, kraujavimas iš nosies;</w:t>
      </w:r>
    </w:p>
    <w:p w14:paraId="61620EB5"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vėmimas krauju arba juodos deguto išvaizdos išmatos, skrandžio ir plonosios žarnos uždegimas, raugulys, rijimo pasunkėjimas;</w:t>
      </w:r>
    </w:p>
    <w:p w14:paraId="09DB22EE"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kepenų uždegimas, galintis sukelti pilvo skausmą ir odos bei akių baltymo pageltimą;</w:t>
      </w:r>
    </w:p>
    <w:p w14:paraId="36D7AA87"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naktinis prakaitavimas, dilgėlinė, šaltas prakaitas, padidėjęs jautrumas saulės šviesai, polinkio į kraujosruvas padidėjimas;</w:t>
      </w:r>
    </w:p>
    <w:p w14:paraId="0AB5BB03"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raumenų įtempimas, raumenų trūkčiojimas;</w:t>
      </w:r>
    </w:p>
    <w:p w14:paraId="78D41DE1"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šlapinimosi pasunkėjimas arba negalėjimas nusišlapinti, sunkumas pradėti šlapintis, poreikis šlapintis naktį, didesnio už normalų šlapimo kiekio išskyrimas, silpnesnė išskiriamo šlapimo srovė;</w:t>
      </w:r>
    </w:p>
    <w:p w14:paraId="7C8B3EFD"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nenormalus kraujavimas iš makšties, nenormalios mėnesinės (įskaitant gausias, skausmingas, nereguliarias ar pailgėjusias, neįprastai silpnas) arba jų nebuvimas, sėklidžių arba kapšelio skausmas;</w:t>
      </w:r>
    </w:p>
    <w:p w14:paraId="04FC72AA"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krūtinės skausmas, šalčio pojūtis, troškulys, virpulys, karščio pojūtis, nenormali eisena;</w:t>
      </w:r>
    </w:p>
    <w:p w14:paraId="63C795E2"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kūno masės padidėjimas;</w:t>
      </w:r>
    </w:p>
    <w:p w14:paraId="7ACDECCB" w14:textId="77777777" w:rsidR="007D1CCA" w:rsidRDefault="00A06746">
      <w:pPr>
        <w:widowControl w:val="0"/>
        <w:numPr>
          <w:ilvl w:val="0"/>
          <w:numId w:val="8"/>
        </w:numPr>
        <w:spacing w:after="0" w:line="240" w:lineRule="auto"/>
        <w:ind w:left="567" w:hanging="567"/>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gali sukelti Jums nežinomus poveikius, tokius kaip kepenų fermentų kraujyje padidėjimas, kalio kiekio kraujyje padidėjimas, </w:t>
      </w:r>
      <w:proofErr w:type="spellStart"/>
      <w:r>
        <w:rPr>
          <w:rFonts w:ascii="Times New Roman" w:eastAsia="Times New Roman" w:hAnsi="Times New Roman" w:cs="Times New Roman"/>
          <w:snapToGrid w:val="0"/>
        </w:rPr>
        <w:t>kreatinfosfokinazės</w:t>
      </w:r>
      <w:proofErr w:type="spellEnd"/>
      <w:r>
        <w:rPr>
          <w:rFonts w:ascii="Times New Roman" w:eastAsia="Times New Roman" w:hAnsi="Times New Roman" w:cs="Times New Roman"/>
          <w:snapToGrid w:val="0"/>
        </w:rPr>
        <w:t xml:space="preserve"> kiekio kraujyje padidėjimas, cukraus ar cholesterolio kiekio kraujyje padidėjimas.</w:t>
      </w:r>
    </w:p>
    <w:p w14:paraId="490224F3"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2506C32" w14:textId="3A8682B9"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bCs/>
          <w:snapToGrid w:val="0"/>
        </w:rPr>
        <w:t>Reti šalutinio poveikio reiškiniai (gali pasireikšti rečiau kaip 1 iš 1000 asmenų)</w:t>
      </w:r>
    </w:p>
    <w:p w14:paraId="1253A5EA" w14:textId="77777777" w:rsidR="007D1CCA" w:rsidRDefault="00A06746">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sunkios alerginės reakcijos, sukeliančios kvėpavimo pasunkėjimą arba galvos svaigimą, susijusį su liežuvio ar lūpų patinimu, alerginės reakcijos;</w:t>
      </w:r>
    </w:p>
    <w:p w14:paraId="2E10BD47" w14:textId="77777777" w:rsidR="007D1CCA" w:rsidRDefault="00A06746">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skydliaukės aktyvumo sumažėjimas, galintis sukelti nuovargį ir kūno svorio padidėjimą;</w:t>
      </w:r>
    </w:p>
    <w:p w14:paraId="533A1A45" w14:textId="77777777" w:rsidR="007D1CCA" w:rsidRDefault="00A06746">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organizmo skysčių netekimas, mažas natrio kiekis kraujyje (daugiausia senyviems pacientams; jo simptomai gali būti galvos svaigimas, silpnumas, sumišimas, mieguistumas arba didelis </w:t>
      </w:r>
      <w:r>
        <w:rPr>
          <w:rFonts w:ascii="Times New Roman" w:eastAsia="Times New Roman" w:hAnsi="Times New Roman" w:cs="Times New Roman"/>
          <w:snapToGrid w:val="0"/>
        </w:rPr>
        <w:lastRenderedPageBreak/>
        <w:t xml:space="preserve">nuovargis, pykinimas arba vėmimas, pavojingesni simptomai yra alpulys, traukuliai arba griuvimas), </w:t>
      </w:r>
      <w:proofErr w:type="spellStart"/>
      <w:r>
        <w:rPr>
          <w:rFonts w:ascii="Times New Roman" w:eastAsia="Times New Roman" w:hAnsi="Times New Roman" w:cs="Times New Roman"/>
          <w:snapToGrid w:val="0"/>
        </w:rPr>
        <w:t>antidiurezinio</w:t>
      </w:r>
      <w:proofErr w:type="spellEnd"/>
      <w:r>
        <w:rPr>
          <w:rFonts w:ascii="Times New Roman" w:eastAsia="Times New Roman" w:hAnsi="Times New Roman" w:cs="Times New Roman"/>
          <w:snapToGrid w:val="0"/>
        </w:rPr>
        <w:t xml:space="preserve"> hormono sutrikusios sekrecijos sindromas;</w:t>
      </w:r>
    </w:p>
    <w:p w14:paraId="770E9BDC" w14:textId="77777777" w:rsidR="007D1CCA" w:rsidRDefault="00A06746">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savižudiškas elgesys, manija (per didelis aktyvumas, minčių kaita, miego poreikio sumažėjimas), haliucinacijos, agresija ir pyktis;</w:t>
      </w:r>
    </w:p>
    <w:p w14:paraId="067E3C1D" w14:textId="77777777" w:rsidR="007D1CCA" w:rsidRDefault="00A06746">
      <w:pPr>
        <w:widowControl w:val="0"/>
        <w:numPr>
          <w:ilvl w:val="0"/>
          <w:numId w:val="10"/>
        </w:numPr>
        <w:spacing w:after="0" w:line="240" w:lineRule="auto"/>
        <w:ind w:left="567" w:hanging="567"/>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sindromas (reta reakcija, kurios galimi simptomai yra nevalingi ritmiški raumenų, įskaitant akių judesius kontroliuojančius judesius, susitraukimai, baimingas susijaudinimas (</w:t>
      </w:r>
      <w:proofErr w:type="spellStart"/>
      <w:r>
        <w:rPr>
          <w:rFonts w:ascii="Times New Roman" w:eastAsia="Times New Roman" w:hAnsi="Times New Roman" w:cs="Times New Roman"/>
          <w:snapToGrid w:val="0"/>
        </w:rPr>
        <w:t>ažitacija</w:t>
      </w:r>
      <w:proofErr w:type="spellEnd"/>
      <w:r>
        <w:rPr>
          <w:rFonts w:ascii="Times New Roman" w:eastAsia="Times New Roman" w:hAnsi="Times New Roman" w:cs="Times New Roman"/>
          <w:snapToGrid w:val="0"/>
        </w:rPr>
        <w:t>), haliucinacijos, koma, smarkus prakaitavimas, drebulys, refleksų sustiprėjimas, padidėjusi raumenų įtampa, didesnė kaip 38 °C kūno temperatūra, pykinimas, vėmimas, viduriavimas), traukuliai;</w:t>
      </w:r>
    </w:p>
    <w:p w14:paraId="33D4DB4F" w14:textId="77777777" w:rsidR="007D1CCA" w:rsidRDefault="00A06746">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akispūdžio padidėjimas (glaukoma);</w:t>
      </w:r>
    </w:p>
    <w:p w14:paraId="07EE3713" w14:textId="77777777" w:rsidR="007D1CCA" w:rsidRDefault="00A06746">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kosulys, švokštimas ir dusulys, kurie gali pasireikšti kartu su didele temperatūra;</w:t>
      </w:r>
    </w:p>
    <w:p w14:paraId="58C3916B" w14:textId="77777777" w:rsidR="007D1CCA" w:rsidRDefault="00A06746">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burnos uždegimas, šviesiai raudonas kraujas išmatose, blogas kvapas iš burnos,</w:t>
      </w:r>
      <w:r>
        <w:rPr>
          <w:rFonts w:ascii="Times New Roman" w:eastAsia="Calibri" w:hAnsi="Times New Roman" w:cs="Times New Roman"/>
          <w:color w:val="000000"/>
        </w:rPr>
        <w:t xml:space="preserve"> storosios žarnos uždegimas (sukeliantis viduriavimą)</w:t>
      </w:r>
      <w:r>
        <w:rPr>
          <w:rFonts w:ascii="Times New Roman" w:eastAsia="Times New Roman" w:hAnsi="Times New Roman" w:cs="Times New Roman"/>
          <w:snapToGrid w:val="0"/>
        </w:rPr>
        <w:t>;</w:t>
      </w:r>
    </w:p>
    <w:p w14:paraId="61AE9494" w14:textId="77777777" w:rsidR="007D1CCA" w:rsidRDefault="00A06746">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kepenų nepakankamumas, odos ar akių baltymo pageltimas (gelta);</w:t>
      </w:r>
    </w:p>
    <w:p w14:paraId="0186E263" w14:textId="77777777" w:rsidR="007D1CCA" w:rsidRDefault="00A06746">
      <w:pPr>
        <w:widowControl w:val="0"/>
        <w:numPr>
          <w:ilvl w:val="0"/>
          <w:numId w:val="10"/>
        </w:numPr>
        <w:spacing w:after="0" w:line="240" w:lineRule="auto"/>
        <w:ind w:left="567" w:hanging="567"/>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Stivenso</w:t>
      </w:r>
      <w:proofErr w:type="spellEnd"/>
      <w:r>
        <w:rPr>
          <w:rFonts w:ascii="Times New Roman" w:eastAsia="Times New Roman" w:hAnsi="Times New Roman" w:cs="Times New Roman"/>
          <w:snapToGrid w:val="0"/>
        </w:rPr>
        <w:t>-Džonsono (</w:t>
      </w:r>
      <w:proofErr w:type="spellStart"/>
      <w:r>
        <w:rPr>
          <w:rFonts w:ascii="Times New Roman" w:eastAsia="Times New Roman" w:hAnsi="Times New Roman" w:cs="Times New Roman"/>
          <w:i/>
          <w:snapToGrid w:val="0"/>
        </w:rPr>
        <w:t>Stevens-Johnson</w:t>
      </w:r>
      <w:proofErr w:type="spellEnd"/>
      <w:r>
        <w:rPr>
          <w:rFonts w:ascii="Times New Roman" w:eastAsia="Times New Roman" w:hAnsi="Times New Roman" w:cs="Times New Roman"/>
          <w:snapToGrid w:val="0"/>
        </w:rPr>
        <w:t>) sindromas (sunki liga, susijusi su odos, burnos, akių ir lytinių organų pūslėjimu), sunki alerginė reakcija, sukelianti veido ir ryklės patinimą (</w:t>
      </w:r>
      <w:proofErr w:type="spellStart"/>
      <w:r>
        <w:rPr>
          <w:rFonts w:ascii="Times New Roman" w:eastAsia="Times New Roman" w:hAnsi="Times New Roman" w:cs="Times New Roman"/>
          <w:snapToGrid w:val="0"/>
        </w:rPr>
        <w:t>angioneurozinė</w:t>
      </w:r>
      <w:proofErr w:type="spellEnd"/>
      <w:r>
        <w:rPr>
          <w:rFonts w:ascii="Times New Roman" w:eastAsia="Times New Roman" w:hAnsi="Times New Roman" w:cs="Times New Roman"/>
          <w:snapToGrid w:val="0"/>
        </w:rPr>
        <w:t xml:space="preserve"> edema);</w:t>
      </w:r>
    </w:p>
    <w:p w14:paraId="2EA7A3AB" w14:textId="77777777" w:rsidR="007D1CCA" w:rsidRDefault="00A06746">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žandikaulio raumenų susitraukimas;</w:t>
      </w:r>
    </w:p>
    <w:p w14:paraId="703E9755" w14:textId="77777777" w:rsidR="007D1CCA" w:rsidRDefault="00A06746">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nenormalus šlapimo kvapas;</w:t>
      </w:r>
    </w:p>
    <w:p w14:paraId="2C4096C6" w14:textId="77777777" w:rsidR="007D1CCA" w:rsidRDefault="00A06746">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menopauzės simptomai, nenormali pieno gamyba pieno liaukose moterims arba vyrams;</w:t>
      </w:r>
    </w:p>
    <w:p w14:paraId="44E4E19A" w14:textId="77777777" w:rsidR="007D1CCA" w:rsidRDefault="00A06746">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pernelyg gausus kraujavimas iš makšties netrukus po gimdymo (kraujavimas po gimdymo).</w:t>
      </w:r>
    </w:p>
    <w:p w14:paraId="1BAFA937" w14:textId="77777777" w:rsidR="007D1CCA" w:rsidRDefault="007D1CCA">
      <w:pPr>
        <w:widowControl w:val="0"/>
        <w:tabs>
          <w:tab w:val="left" w:pos="567"/>
        </w:tabs>
        <w:spacing w:after="0" w:line="240" w:lineRule="auto"/>
        <w:rPr>
          <w:rFonts w:ascii="Times New Roman" w:eastAsia="Times New Roman" w:hAnsi="Times New Roman" w:cs="Times New Roman"/>
          <w:b/>
          <w:snapToGrid w:val="0"/>
        </w:rPr>
      </w:pPr>
    </w:p>
    <w:p w14:paraId="3CFB5568" w14:textId="4DBB1A62" w:rsidR="007D1CCA" w:rsidRPr="00A83D4D" w:rsidRDefault="00A06746">
      <w:pPr>
        <w:widowControl w:val="0"/>
        <w:tabs>
          <w:tab w:val="left" w:pos="567"/>
        </w:tabs>
        <w:spacing w:after="0" w:line="240" w:lineRule="auto"/>
        <w:rPr>
          <w:rFonts w:ascii="Times New Roman" w:eastAsia="Times New Roman" w:hAnsi="Times New Roman" w:cs="Times New Roman"/>
          <w:b/>
          <w:snapToGrid w:val="0"/>
        </w:rPr>
      </w:pPr>
      <w:r w:rsidRPr="00A83D4D">
        <w:rPr>
          <w:rFonts w:ascii="Times New Roman" w:eastAsia="Times New Roman" w:hAnsi="Times New Roman" w:cs="Times New Roman"/>
          <w:b/>
          <w:snapToGrid w:val="0"/>
        </w:rPr>
        <w:t xml:space="preserve">Labai reti šalutinio poveikio reiškiniai (gali pasireikšti </w:t>
      </w:r>
      <w:r>
        <w:rPr>
          <w:rFonts w:ascii="Times New Roman" w:eastAsia="Times New Roman" w:hAnsi="Times New Roman" w:cs="Times New Roman"/>
          <w:b/>
          <w:bCs/>
          <w:snapToGrid w:val="0"/>
        </w:rPr>
        <w:t>rečiau</w:t>
      </w:r>
      <w:r w:rsidRPr="00A83D4D">
        <w:rPr>
          <w:rFonts w:ascii="Times New Roman" w:eastAsia="Times New Roman" w:hAnsi="Times New Roman" w:cs="Times New Roman"/>
          <w:b/>
          <w:snapToGrid w:val="0"/>
        </w:rPr>
        <w:t xml:space="preserve"> kaip 1 iš 10000 asmenų)</w:t>
      </w:r>
    </w:p>
    <w:p w14:paraId="110859FD" w14:textId="77777777" w:rsidR="007D1CCA" w:rsidRDefault="00A06746">
      <w:pPr>
        <w:widowControl w:val="0"/>
        <w:numPr>
          <w:ilvl w:val="0"/>
          <w:numId w:val="10"/>
        </w:numPr>
        <w:tabs>
          <w:tab w:val="left" w:pos="567"/>
        </w:tabs>
        <w:snapToGrid w:val="0"/>
        <w:spacing w:after="200" w:line="240" w:lineRule="auto"/>
        <w:ind w:left="567" w:hanging="567"/>
        <w:rPr>
          <w:rFonts w:ascii="Times New Roman" w:eastAsia="Times New Roman" w:hAnsi="Times New Roman" w:cs="Times New Roman"/>
          <w:szCs w:val="20"/>
        </w:rPr>
      </w:pPr>
      <w:r w:rsidRPr="00A83D4D">
        <w:rPr>
          <w:rFonts w:ascii="Times New Roman" w:eastAsia="Times New Roman" w:hAnsi="Times New Roman" w:cs="Times New Roman"/>
          <w:szCs w:val="20"/>
          <w:lang w:val="pt-PT"/>
        </w:rPr>
        <w:t>Odos kraujagyslių uždegimas (odos vaskulitas).</w:t>
      </w:r>
    </w:p>
    <w:p w14:paraId="08710546" w14:textId="77777777" w:rsidR="007D1CCA" w:rsidRDefault="00A06746">
      <w:pPr>
        <w:widowControl w:val="0"/>
        <w:tabs>
          <w:tab w:val="left" w:pos="567"/>
        </w:tabs>
        <w:snapToGrid w:val="0"/>
        <w:spacing w:after="0" w:line="240" w:lineRule="auto"/>
        <w:rPr>
          <w:rFonts w:ascii="Times New Roman" w:eastAsia="Times New Roman" w:hAnsi="Times New Roman" w:cs="Times New Roman"/>
          <w:b/>
          <w:szCs w:val="20"/>
        </w:rPr>
      </w:pPr>
      <w:r>
        <w:rPr>
          <w:rFonts w:ascii="Times New Roman" w:eastAsia="Times New Roman" w:hAnsi="Times New Roman" w:cs="Times New Roman"/>
          <w:b/>
          <w:szCs w:val="20"/>
        </w:rPr>
        <w:t>Dažnis nežinomas (negali būti apskaičiuotas pagal turimus duomenis)</w:t>
      </w:r>
    </w:p>
    <w:p w14:paraId="72E3F10B" w14:textId="1DEFFAEB" w:rsidR="007D1CCA" w:rsidRPr="00A83D4D" w:rsidRDefault="00A06746" w:rsidP="00A83D4D">
      <w:pPr>
        <w:widowControl w:val="0"/>
        <w:numPr>
          <w:ilvl w:val="0"/>
          <w:numId w:val="10"/>
        </w:numPr>
        <w:tabs>
          <w:tab w:val="left" w:pos="567"/>
        </w:tabs>
        <w:snapToGrid w:val="0"/>
        <w:spacing w:after="200" w:line="240" w:lineRule="auto"/>
        <w:ind w:left="567" w:hanging="567"/>
        <w:rPr>
          <w:rFonts w:ascii="Times New Roman" w:eastAsia="Times New Roman" w:hAnsi="Times New Roman" w:cs="Times New Roman"/>
          <w:szCs w:val="20"/>
        </w:rPr>
      </w:pPr>
      <w:r w:rsidRPr="00A83D4D">
        <w:rPr>
          <w:rFonts w:ascii="Times New Roman" w:eastAsia="Times New Roman" w:hAnsi="Times New Roman" w:cs="Times New Roman"/>
          <w:bCs/>
          <w:szCs w:val="20"/>
        </w:rPr>
        <w:t>būklės, vadinamos „stres</w:t>
      </w:r>
      <w:r w:rsidR="00A1210E">
        <w:rPr>
          <w:rFonts w:ascii="Times New Roman" w:eastAsia="Times New Roman" w:hAnsi="Times New Roman" w:cs="Times New Roman"/>
          <w:bCs/>
          <w:szCs w:val="20"/>
        </w:rPr>
        <w:t>o</w:t>
      </w:r>
      <w:r w:rsidRPr="00A83D4D">
        <w:rPr>
          <w:rFonts w:ascii="Times New Roman" w:eastAsia="Times New Roman" w:hAnsi="Times New Roman" w:cs="Times New Roman"/>
          <w:bCs/>
          <w:szCs w:val="20"/>
        </w:rPr>
        <w:t xml:space="preserve"> </w:t>
      </w:r>
      <w:r w:rsidR="00A1210E">
        <w:rPr>
          <w:rFonts w:ascii="Times New Roman" w:eastAsia="Times New Roman" w:hAnsi="Times New Roman" w:cs="Times New Roman"/>
          <w:bCs/>
          <w:szCs w:val="20"/>
        </w:rPr>
        <w:t xml:space="preserve">sukelta </w:t>
      </w:r>
      <w:r w:rsidRPr="00A83D4D">
        <w:rPr>
          <w:rFonts w:ascii="Times New Roman" w:eastAsia="Times New Roman" w:hAnsi="Times New Roman" w:cs="Times New Roman"/>
          <w:bCs/>
          <w:szCs w:val="20"/>
        </w:rPr>
        <w:t>kardiomiopatija“, požymiai ir simptomai, kurie gali būti krūtinės skausmas, dusulys, galvos svaigimas, alpimas, nereguliarus širdies plakimas.</w:t>
      </w:r>
    </w:p>
    <w:p w14:paraId="2DA3300E" w14:textId="77777777" w:rsidR="007D1CCA" w:rsidRDefault="007D1CCA" w:rsidP="00A83D4D">
      <w:pPr>
        <w:widowControl w:val="0"/>
        <w:tabs>
          <w:tab w:val="left" w:pos="567"/>
        </w:tabs>
        <w:snapToGrid w:val="0"/>
        <w:spacing w:after="0" w:line="240" w:lineRule="auto"/>
        <w:rPr>
          <w:rFonts w:ascii="Times New Roman" w:eastAsia="Times New Roman" w:hAnsi="Times New Roman" w:cs="Times New Roman"/>
          <w:b/>
          <w:szCs w:val="20"/>
        </w:rPr>
      </w:pPr>
    </w:p>
    <w:p w14:paraId="687742B4" w14:textId="77777777" w:rsidR="007D1CCA" w:rsidRDefault="00A06746">
      <w:pPr>
        <w:widowControl w:val="0"/>
        <w:tabs>
          <w:tab w:val="left" w:pos="567"/>
        </w:tabs>
        <w:spacing w:after="0" w:line="240" w:lineRule="auto"/>
        <w:rPr>
          <w:rFonts w:ascii="Times New Roman" w:eastAsia="Times New Roman" w:hAnsi="Times New Roman" w:cs="Times New Roman"/>
          <w:b/>
          <w:snapToGrid w:val="0"/>
        </w:rPr>
      </w:pPr>
      <w:r>
        <w:rPr>
          <w:rFonts w:ascii="Times New Roman" w:eastAsia="Times New Roman" w:hAnsi="Times New Roman" w:cs="Times New Roman"/>
          <w:b/>
          <w:snapToGrid w:val="0"/>
        </w:rPr>
        <w:t>Pranešimas apie šalutinį poveikį</w:t>
      </w:r>
    </w:p>
    <w:p w14:paraId="4246E761" w14:textId="7D9EAE79"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Jeigu pasireiškė šalutinis poveikis, įskaitant šiame lapelyje nenurodytą, pasakykite gydytojui arba vaistininkui. </w:t>
      </w:r>
      <w:r w:rsidR="00015AE3" w:rsidRPr="00015AE3">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00015AE3" w:rsidRPr="00015AE3">
        <w:rPr>
          <w:rFonts w:ascii="Times New Roman" w:eastAsia="Times New Roman" w:hAnsi="Times New Roman" w:cs="Times New Roman"/>
          <w:color w:val="0000EE"/>
          <w:u w:val="single"/>
          <w:lang w:eastAsia="lt-LT"/>
        </w:rPr>
        <w:t>https://vvkt.lrv.lt/lt/</w:t>
      </w:r>
      <w:r w:rsidR="00015AE3" w:rsidRPr="00015AE3">
        <w:rPr>
          <w:rFonts w:ascii="Times New Roman" w:eastAsia="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r>
        <w:rPr>
          <w:rFonts w:ascii="Times New Roman" w:eastAsia="Calibri" w:hAnsi="Times New Roman" w:cs="Times New Roman"/>
        </w:rPr>
        <w:t>.</w:t>
      </w:r>
    </w:p>
    <w:p w14:paraId="352754F9" w14:textId="77777777" w:rsidR="007D1CCA" w:rsidRDefault="007D1CCA">
      <w:pPr>
        <w:widowControl w:val="0"/>
        <w:tabs>
          <w:tab w:val="left" w:pos="567"/>
        </w:tabs>
        <w:spacing w:after="0" w:line="240" w:lineRule="auto"/>
        <w:ind w:right="-449"/>
        <w:rPr>
          <w:rFonts w:ascii="Times New Roman" w:eastAsia="Times New Roman" w:hAnsi="Times New Roman" w:cs="Times New Roman"/>
          <w:snapToGrid w:val="0"/>
        </w:rPr>
      </w:pPr>
    </w:p>
    <w:p w14:paraId="40F39B0A" w14:textId="77777777" w:rsidR="007D1CCA" w:rsidRDefault="007D1CCA">
      <w:pPr>
        <w:widowControl w:val="0"/>
        <w:tabs>
          <w:tab w:val="left" w:pos="567"/>
        </w:tabs>
        <w:spacing w:after="0" w:line="240" w:lineRule="auto"/>
        <w:ind w:right="-449"/>
        <w:rPr>
          <w:rFonts w:ascii="Times New Roman" w:eastAsia="Times New Roman" w:hAnsi="Times New Roman" w:cs="Times New Roman"/>
          <w:snapToGrid w:val="0"/>
        </w:rPr>
      </w:pPr>
    </w:p>
    <w:p w14:paraId="5C8FAC84" w14:textId="77777777" w:rsidR="007D1CCA" w:rsidRDefault="00A06746">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5.</w:t>
      </w:r>
      <w:r>
        <w:rPr>
          <w:rFonts w:ascii="Times New Roman" w:eastAsia="Times New Roman" w:hAnsi="Times New Roman" w:cs="Times New Roman"/>
          <w:b/>
          <w:bCs/>
          <w:snapToGrid w:val="0"/>
          <w:lang w:eastAsia="x-none"/>
        </w:rPr>
        <w:tab/>
        <w:t xml:space="preserve">Kaip laikyti </w:t>
      </w:r>
      <w:proofErr w:type="spellStart"/>
      <w:r>
        <w:rPr>
          <w:rFonts w:ascii="Times New Roman" w:eastAsia="Times New Roman" w:hAnsi="Times New Roman" w:cs="Times New Roman"/>
          <w:b/>
          <w:bCs/>
          <w:snapToGrid w:val="0"/>
          <w:lang w:eastAsia="x-none"/>
        </w:rPr>
        <w:t>Dulsevia</w:t>
      </w:r>
      <w:proofErr w:type="spellEnd"/>
    </w:p>
    <w:p w14:paraId="0EDA34A6"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64227EF9" w14:textId="77777777" w:rsidR="007D1CCA" w:rsidRDefault="00A06746">
      <w:pPr>
        <w:widowControl w:val="0"/>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Šį vaistą laikykite vaikams nepastebimoje ir nepasiekiamoje vietoje.</w:t>
      </w:r>
    </w:p>
    <w:p w14:paraId="1A6DF8EA"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07F2F66A" w14:textId="77777777" w:rsidR="007D1CCA" w:rsidRDefault="00A06746">
      <w:pPr>
        <w:widowControl w:val="0"/>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Ant pakuotės po „EXP“ nurodytam tinkamumo laikui pasibaigus, šio vaisto vartoti negalima. Vaistas tinkamas vartoti iki paskutinės nurodyto mėnesio dienos.</w:t>
      </w:r>
    </w:p>
    <w:p w14:paraId="0EE3E5FA"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57FA5467"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color w:val="0D0D0D"/>
        </w:rPr>
        <w:t>Laikyti ne aukštesnėje kaip 25 </w:t>
      </w:r>
      <w:r>
        <w:rPr>
          <w:rFonts w:ascii="Times New Roman" w:eastAsia="Times New Roman" w:hAnsi="Times New Roman" w:cs="Times New Roman"/>
          <w:snapToGrid w:val="0"/>
        </w:rPr>
        <w:t>°C temperatūroje.</w:t>
      </w:r>
    </w:p>
    <w:p w14:paraId="3984D02E" w14:textId="77777777" w:rsidR="007D1CCA" w:rsidRDefault="00A06746">
      <w:pPr>
        <w:widowControl w:val="0"/>
        <w:spacing w:after="0" w:line="240" w:lineRule="auto"/>
        <w:rPr>
          <w:rFonts w:ascii="Times New Roman" w:eastAsia="Times New Roman" w:hAnsi="Times New Roman" w:cs="Times New Roman"/>
          <w:snapToGrid w:val="0"/>
          <w:color w:val="0D0D0D"/>
        </w:rPr>
      </w:pPr>
      <w:r>
        <w:rPr>
          <w:rFonts w:ascii="Times New Roman" w:eastAsia="Times New Roman" w:hAnsi="Times New Roman" w:cs="Times New Roman"/>
          <w:snapToGrid w:val="0"/>
        </w:rPr>
        <w:t>Laikyti gamintojo pakuotėje, kad vaistas būtų apsaugotas nuo drėgmės.</w:t>
      </w:r>
    </w:p>
    <w:p w14:paraId="3733499B"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459B916E" w14:textId="77777777" w:rsidR="007D1CCA" w:rsidRDefault="00A06746">
      <w:pPr>
        <w:widowControl w:val="0"/>
        <w:numPr>
          <w:ilvl w:val="12"/>
          <w:numId w:val="0"/>
        </w:numPr>
        <w:spacing w:after="0" w:line="240" w:lineRule="auto"/>
        <w:ind w:right="-2"/>
        <w:rPr>
          <w:rFonts w:ascii="Times New Roman" w:eastAsia="Times New Roman" w:hAnsi="Times New Roman" w:cs="Times New Roman"/>
          <w:i/>
          <w:snapToGrid w:val="0"/>
        </w:rPr>
      </w:pPr>
      <w:r>
        <w:rPr>
          <w:rFonts w:ascii="Times New Roman" w:eastAsia="Times New Roman" w:hAnsi="Times New Roman" w:cs="Times New Roman"/>
          <w:snapToGrid w:val="0"/>
        </w:rPr>
        <w:t>Vaistų negalima išmesti į kanalizaciją arba su buitinėmis atliekomis. Kaip išmesti nereikalingus vaistus, klauskite vaistininko. Šios priemonės padės apsaugoti aplinką.</w:t>
      </w:r>
    </w:p>
    <w:p w14:paraId="7C2705CB"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00163EFA"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707AA49B" w14:textId="77777777" w:rsidR="007D1CCA" w:rsidRDefault="00A06746">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6.</w:t>
      </w:r>
      <w:r>
        <w:rPr>
          <w:rFonts w:ascii="Times New Roman" w:eastAsia="Times New Roman" w:hAnsi="Times New Roman" w:cs="Times New Roman"/>
          <w:bCs/>
          <w:snapToGrid w:val="0"/>
          <w:lang w:eastAsia="x-none"/>
        </w:rPr>
        <w:tab/>
      </w:r>
      <w:r>
        <w:rPr>
          <w:rFonts w:ascii="Times New Roman" w:eastAsia="Times New Roman" w:hAnsi="Times New Roman" w:cs="Times New Roman"/>
          <w:b/>
          <w:bCs/>
          <w:snapToGrid w:val="0"/>
          <w:lang w:eastAsia="x-none"/>
        </w:rPr>
        <w:t>Pakuotės turinys ir kita informacija</w:t>
      </w:r>
    </w:p>
    <w:p w14:paraId="2C09B976" w14:textId="77777777" w:rsidR="007D1CCA" w:rsidRDefault="007D1CCA">
      <w:pPr>
        <w:widowControl w:val="0"/>
        <w:numPr>
          <w:ilvl w:val="12"/>
          <w:numId w:val="0"/>
        </w:numPr>
        <w:spacing w:after="0" w:line="240" w:lineRule="auto"/>
        <w:rPr>
          <w:rFonts w:ascii="Times New Roman" w:eastAsia="Times New Roman" w:hAnsi="Times New Roman" w:cs="Times New Roman"/>
          <w:snapToGrid w:val="0"/>
        </w:rPr>
      </w:pPr>
    </w:p>
    <w:p w14:paraId="0C1C9B64"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proofErr w:type="spellStart"/>
      <w:r>
        <w:rPr>
          <w:rFonts w:ascii="Times New Roman" w:eastAsia="Times New Roman" w:hAnsi="Times New Roman" w:cs="Times New Roman"/>
          <w:b/>
          <w:bCs/>
          <w:snapToGrid w:val="0"/>
          <w:lang w:eastAsia="x-none"/>
        </w:rPr>
        <w:t>Dulsevia</w:t>
      </w:r>
      <w:proofErr w:type="spellEnd"/>
      <w:r>
        <w:rPr>
          <w:rFonts w:ascii="Times New Roman" w:eastAsia="Times New Roman" w:hAnsi="Times New Roman" w:cs="Times New Roman"/>
          <w:b/>
          <w:bCs/>
          <w:snapToGrid w:val="0"/>
          <w:lang w:eastAsia="x-none"/>
        </w:rPr>
        <w:t xml:space="preserve"> sudėtis</w:t>
      </w:r>
    </w:p>
    <w:p w14:paraId="408215A8" w14:textId="77777777" w:rsidR="007D1CCA" w:rsidRDefault="00A06746">
      <w:pPr>
        <w:widowControl w:val="0"/>
        <w:numPr>
          <w:ilvl w:val="0"/>
          <w:numId w:val="11"/>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Veiklioji medžiaga yra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Kiekvienoje skrandyje neirioje kietojoje kapsulėje yra </w:t>
      </w:r>
      <w:r>
        <w:rPr>
          <w:rFonts w:ascii="Times New Roman" w:eastAsia="Times New Roman" w:hAnsi="Times New Roman" w:cs="Times New Roman"/>
          <w:snapToGrid w:val="0"/>
        </w:rPr>
        <w:lastRenderedPageBreak/>
        <w:t xml:space="preserve">30 mg arba 60 mg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hidrochlorido pavidalu).</w:t>
      </w:r>
    </w:p>
    <w:p w14:paraId="5985AF10" w14:textId="77777777" w:rsidR="007D1CCA" w:rsidRDefault="00A06746">
      <w:pPr>
        <w:widowControl w:val="0"/>
        <w:numPr>
          <w:ilvl w:val="0"/>
          <w:numId w:val="11"/>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Pagalbinės medžiagos yra:</w:t>
      </w:r>
    </w:p>
    <w:p w14:paraId="7899DB44" w14:textId="77777777" w:rsidR="007D1CCA" w:rsidRDefault="00A06746">
      <w:pPr>
        <w:widowControl w:val="0"/>
        <w:numPr>
          <w:ilvl w:val="0"/>
          <w:numId w:val="11"/>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u w:val="single"/>
        </w:rPr>
        <w:t>kapsulės turinys</w:t>
      </w:r>
      <w:r>
        <w:rPr>
          <w:rFonts w:ascii="Times New Roman" w:eastAsia="Times New Roman" w:hAnsi="Times New Roman" w:cs="Times New Roman"/>
          <w:snapToGrid w:val="0"/>
        </w:rPr>
        <w:t xml:space="preserve">: cukriniai branduoliai (sacharozė, kukurūzų krakmolas), </w:t>
      </w:r>
      <w:proofErr w:type="spellStart"/>
      <w:r>
        <w:rPr>
          <w:rFonts w:ascii="Times New Roman" w:eastAsia="Times New Roman" w:hAnsi="Times New Roman" w:cs="Times New Roman"/>
          <w:snapToGrid w:val="0"/>
        </w:rPr>
        <w:t>hipromeliozė</w:t>
      </w:r>
      <w:proofErr w:type="spellEnd"/>
      <w:r>
        <w:rPr>
          <w:rFonts w:ascii="Times New Roman" w:eastAsia="Times New Roman" w:hAnsi="Times New Roman" w:cs="Times New Roman"/>
          <w:snapToGrid w:val="0"/>
        </w:rPr>
        <w:t xml:space="preserve"> 6 </w:t>
      </w:r>
      <w:proofErr w:type="spellStart"/>
      <w:r>
        <w:rPr>
          <w:rFonts w:ascii="Times New Roman" w:eastAsia="Times New Roman" w:hAnsi="Times New Roman" w:cs="Times New Roman"/>
          <w:snapToGrid w:val="0"/>
        </w:rPr>
        <w:t>cP</w:t>
      </w:r>
      <w:proofErr w:type="spellEnd"/>
      <w:r>
        <w:rPr>
          <w:rFonts w:ascii="Times New Roman" w:eastAsia="Times New Roman" w:hAnsi="Times New Roman" w:cs="Times New Roman"/>
          <w:snapToGrid w:val="0"/>
        </w:rPr>
        <w:t xml:space="preserve">, sacharozė, </w:t>
      </w:r>
      <w:proofErr w:type="spellStart"/>
      <w:r>
        <w:rPr>
          <w:rFonts w:ascii="Times New Roman" w:eastAsia="Times New Roman" w:hAnsi="Times New Roman" w:cs="Times New Roman"/>
          <w:snapToGrid w:val="0"/>
        </w:rPr>
        <w:t>hipromeliozės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ftalatas</w:t>
      </w:r>
      <w:proofErr w:type="spellEnd"/>
      <w:r>
        <w:rPr>
          <w:rFonts w:ascii="Times New Roman" w:eastAsia="Times New Roman" w:hAnsi="Times New Roman" w:cs="Times New Roman"/>
          <w:snapToGrid w:val="0"/>
        </w:rPr>
        <w:t xml:space="preserve">, talkas, </w:t>
      </w:r>
      <w:proofErr w:type="spellStart"/>
      <w:r>
        <w:rPr>
          <w:rFonts w:ascii="Times New Roman" w:eastAsia="Times New Roman" w:hAnsi="Times New Roman" w:cs="Times New Roman"/>
          <w:snapToGrid w:val="0"/>
        </w:rPr>
        <w:t>trietilo</w:t>
      </w:r>
      <w:proofErr w:type="spellEnd"/>
      <w:r>
        <w:rPr>
          <w:rFonts w:ascii="Times New Roman" w:eastAsia="Times New Roman" w:hAnsi="Times New Roman" w:cs="Times New Roman"/>
          <w:snapToGrid w:val="0"/>
        </w:rPr>
        <w:t xml:space="preserve"> citratas</w:t>
      </w:r>
    </w:p>
    <w:p w14:paraId="417DB378" w14:textId="77777777" w:rsidR="007D1CCA" w:rsidRDefault="00A06746">
      <w:pPr>
        <w:widowControl w:val="0"/>
        <w:numPr>
          <w:ilvl w:val="0"/>
          <w:numId w:val="11"/>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u w:val="single"/>
        </w:rPr>
        <w:t>kapsulės apvalkalas</w:t>
      </w:r>
      <w:r>
        <w:rPr>
          <w:rFonts w:ascii="Times New Roman" w:eastAsia="Times New Roman" w:hAnsi="Times New Roman" w:cs="Times New Roman"/>
          <w:snapToGrid w:val="0"/>
        </w:rPr>
        <w:t xml:space="preserve">: želatina, titano dioksidas (E171), </w:t>
      </w:r>
      <w:proofErr w:type="spellStart"/>
      <w:r>
        <w:rPr>
          <w:rFonts w:ascii="Times New Roman" w:eastAsia="Times New Roman" w:hAnsi="Times New Roman" w:cs="Times New Roman"/>
          <w:snapToGrid w:val="0"/>
        </w:rPr>
        <w:t>indigotinas</w:t>
      </w:r>
      <w:proofErr w:type="spellEnd"/>
      <w:r>
        <w:rPr>
          <w:rFonts w:ascii="Times New Roman" w:eastAsia="Times New Roman" w:hAnsi="Times New Roman" w:cs="Times New Roman"/>
          <w:snapToGrid w:val="0"/>
        </w:rPr>
        <w:t xml:space="preserve"> (E132), geltonasis geležies oksidas (E172) – tik 60 mg kapsulėse, dažai (</w:t>
      </w:r>
      <w:proofErr w:type="spellStart"/>
      <w:r>
        <w:rPr>
          <w:rFonts w:ascii="Times New Roman" w:eastAsia="Times New Roman" w:hAnsi="Times New Roman" w:cs="Times New Roman"/>
          <w:snapToGrid w:val="0"/>
        </w:rPr>
        <w:t>šelakas</w:t>
      </w:r>
      <w:proofErr w:type="spellEnd"/>
      <w:r>
        <w:rPr>
          <w:rFonts w:ascii="Times New Roman" w:eastAsia="Times New Roman" w:hAnsi="Times New Roman" w:cs="Times New Roman"/>
          <w:snapToGrid w:val="0"/>
        </w:rPr>
        <w:t>, juodasis geležies oksidas (E172))</w:t>
      </w:r>
    </w:p>
    <w:p w14:paraId="0E5ACE80" w14:textId="77777777" w:rsidR="007D1CCA" w:rsidRDefault="00A06746">
      <w:pPr>
        <w:spacing w:after="0" w:line="240" w:lineRule="auto"/>
        <w:ind w:left="567"/>
        <w:rPr>
          <w:rFonts w:ascii="Times New Roman" w:eastAsia="Times New Roman" w:hAnsi="Times New Roman" w:cs="Times New Roman"/>
          <w:lang w:eastAsia="sl-SI"/>
        </w:rPr>
      </w:pPr>
      <w:r>
        <w:rPr>
          <w:rFonts w:ascii="Times New Roman" w:eastAsia="Times New Roman" w:hAnsi="Times New Roman" w:cs="Times New Roman"/>
          <w:lang w:eastAsia="sl-SI"/>
        </w:rPr>
        <w:t>Žr. 2 skyrių „</w:t>
      </w:r>
      <w:proofErr w:type="spellStart"/>
      <w:r>
        <w:rPr>
          <w:rFonts w:ascii="Times New Roman" w:eastAsia="Times New Roman" w:hAnsi="Times New Roman" w:cs="Times New Roman"/>
          <w:lang w:eastAsia="sl-SI"/>
        </w:rPr>
        <w:t>Dulsevia</w:t>
      </w:r>
      <w:proofErr w:type="spellEnd"/>
      <w:r>
        <w:rPr>
          <w:rFonts w:ascii="Times New Roman" w:eastAsia="Times New Roman" w:hAnsi="Times New Roman" w:cs="Times New Roman"/>
          <w:lang w:eastAsia="sl-SI"/>
        </w:rPr>
        <w:t xml:space="preserve"> sudėtyje yra sacharozės“.</w:t>
      </w:r>
    </w:p>
    <w:p w14:paraId="4CB0B80D"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3291A35D"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proofErr w:type="spellStart"/>
      <w:r>
        <w:rPr>
          <w:rFonts w:ascii="Times New Roman" w:eastAsia="Times New Roman" w:hAnsi="Times New Roman" w:cs="Times New Roman"/>
          <w:b/>
          <w:bCs/>
          <w:snapToGrid w:val="0"/>
          <w:lang w:eastAsia="x-none"/>
        </w:rPr>
        <w:t>Dulsevia</w:t>
      </w:r>
      <w:proofErr w:type="spellEnd"/>
      <w:r>
        <w:rPr>
          <w:rFonts w:ascii="Times New Roman" w:eastAsia="Times New Roman" w:hAnsi="Times New Roman" w:cs="Times New Roman"/>
          <w:b/>
          <w:bCs/>
          <w:snapToGrid w:val="0"/>
          <w:lang w:eastAsia="x-none"/>
        </w:rPr>
        <w:t xml:space="preserve"> išvaizda ir kiekis pakuotėje</w:t>
      </w:r>
    </w:p>
    <w:p w14:paraId="1834FC0E" w14:textId="77777777" w:rsidR="007D1CCA" w:rsidRDefault="00A0674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u w:val="single"/>
        </w:rPr>
        <w:t>30 mg skrandyje neirios kietosios kapsulės:</w:t>
      </w:r>
      <w:r>
        <w:rPr>
          <w:rFonts w:ascii="Times New Roman" w:eastAsia="Times New Roman" w:hAnsi="Times New Roman" w:cs="Times New Roman"/>
          <w:snapToGrid w:val="0"/>
        </w:rPr>
        <w:t xml:space="preserve"> kietos „3“ dydžio (vidutinis ilgis 15,9 mm) želatinos kapsulės su baltomis arba balkšvomis granulėmis. Kapsulių korpusas yra baltas, kapsulių dangtelis tamsiai mėlynas. Ant kapsulių korpuso juodais dažais įspaustas skaičius „30“.</w:t>
      </w:r>
    </w:p>
    <w:p w14:paraId="43B673B0" w14:textId="77777777" w:rsidR="007D1CCA" w:rsidRDefault="00A06746">
      <w:pPr>
        <w:widowControl w:val="0"/>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u w:val="single"/>
        </w:rPr>
        <w:t>60 mg skrandyje neirios kietosios kapsulės:</w:t>
      </w:r>
      <w:r>
        <w:rPr>
          <w:rFonts w:ascii="Times New Roman" w:eastAsia="Times New Roman" w:hAnsi="Times New Roman" w:cs="Times New Roman"/>
          <w:snapToGrid w:val="0"/>
        </w:rPr>
        <w:t xml:space="preserve"> kietos „1“ dydžio (vidutinis ilgis 19,4 mm) želatinos kapsulės su baltomis arba balkšvomis granulėmis. Kapsulių korpusas yra geltonai žalias, kapsulių dangtelis tamsiai mėlynas. Ant kapsulių korpuso juodais dažais įspaustas skaičius „60“.</w:t>
      </w:r>
    </w:p>
    <w:p w14:paraId="4980EF2B"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7264225B" w14:textId="77777777" w:rsidR="007D1CCA" w:rsidRDefault="00A06746">
      <w:pPr>
        <w:widowControl w:val="0"/>
        <w:numPr>
          <w:ilvl w:val="12"/>
          <w:numId w:val="0"/>
        </w:numPr>
        <w:spacing w:after="0" w:line="240" w:lineRule="auto"/>
        <w:ind w:right="-2"/>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tiekiamas pakuotėse, kuriose yra 7, 10, 14, 28, 30, 56, 60, 90 ir 100 skrandyje neirių kietųjų kapsulių lizdinėse plokštelėse.</w:t>
      </w:r>
    </w:p>
    <w:p w14:paraId="0686DFD1" w14:textId="77777777" w:rsidR="007D1CCA" w:rsidRDefault="00A06746">
      <w:pPr>
        <w:widowControl w:val="0"/>
        <w:tabs>
          <w:tab w:val="left" w:pos="567"/>
        </w:tabs>
        <w:spacing w:after="0" w:line="240" w:lineRule="auto"/>
        <w:rPr>
          <w:rFonts w:ascii="Times New Roman" w:eastAsia="SimSun" w:hAnsi="Times New Roman" w:cs="Times New Roman"/>
          <w:snapToGrid w:val="0"/>
        </w:rPr>
      </w:pPr>
      <w:r>
        <w:rPr>
          <w:rFonts w:ascii="Times New Roman" w:eastAsia="SimSun" w:hAnsi="Times New Roman" w:cs="Times New Roman"/>
          <w:snapToGrid w:val="0"/>
        </w:rPr>
        <w:t>Gali būti tiekiamos ne visų dydžių pakuotės.</w:t>
      </w:r>
    </w:p>
    <w:p w14:paraId="7F4517FC"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18B60E31" w14:textId="77777777" w:rsidR="007D1CCA" w:rsidRDefault="00A0674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Registruotojas ir gamintojas</w:t>
      </w:r>
    </w:p>
    <w:p w14:paraId="1B4B3A28" w14:textId="77777777" w:rsidR="007D1CCA" w:rsidRDefault="007D1CCA">
      <w:pPr>
        <w:widowControl w:val="0"/>
        <w:numPr>
          <w:ilvl w:val="12"/>
          <w:numId w:val="0"/>
        </w:numPr>
        <w:spacing w:after="0" w:line="240" w:lineRule="auto"/>
        <w:ind w:right="-2"/>
        <w:rPr>
          <w:rFonts w:ascii="Times New Roman" w:eastAsia="Times New Roman" w:hAnsi="Times New Roman" w:cs="Times New Roman"/>
          <w:snapToGrid w:val="0"/>
        </w:rPr>
      </w:pPr>
    </w:p>
    <w:p w14:paraId="3002C788" w14:textId="77777777" w:rsidR="007D1CCA" w:rsidRDefault="00A06746">
      <w:pPr>
        <w:widowControl w:val="0"/>
        <w:spacing w:after="0" w:line="240" w:lineRule="auto"/>
        <w:rPr>
          <w:rFonts w:ascii="Times New Roman" w:eastAsia="Times New Roman" w:hAnsi="Times New Roman" w:cs="Times New Roman"/>
          <w:i/>
          <w:snapToGrid w:val="0"/>
        </w:rPr>
      </w:pPr>
      <w:r>
        <w:rPr>
          <w:rFonts w:ascii="Times New Roman" w:eastAsia="Times New Roman" w:hAnsi="Times New Roman" w:cs="Times New Roman"/>
          <w:i/>
          <w:snapToGrid w:val="0"/>
        </w:rPr>
        <w:t>Registruotojas</w:t>
      </w:r>
    </w:p>
    <w:p w14:paraId="75AD6C51"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KRKA, d. d., Novo mesto</w:t>
      </w:r>
    </w:p>
    <w:p w14:paraId="19215D4F" w14:textId="77777777" w:rsidR="007D1CCA" w:rsidRDefault="00A06746">
      <w:pPr>
        <w:widowControl w:val="0"/>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Šmarješka</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cesta</w:t>
      </w:r>
      <w:proofErr w:type="spellEnd"/>
      <w:r>
        <w:rPr>
          <w:rFonts w:ascii="Times New Roman" w:eastAsia="Times New Roman" w:hAnsi="Times New Roman" w:cs="Times New Roman"/>
          <w:snapToGrid w:val="0"/>
        </w:rPr>
        <w:t xml:space="preserve"> 6</w:t>
      </w:r>
    </w:p>
    <w:p w14:paraId="3005592C"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8501 Novo mesto</w:t>
      </w:r>
    </w:p>
    <w:p w14:paraId="583AACAC"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Slovėnija</w:t>
      </w:r>
    </w:p>
    <w:p w14:paraId="5DFF2B75" w14:textId="77777777" w:rsidR="007D1CCA" w:rsidRDefault="007D1CCA">
      <w:pPr>
        <w:widowControl w:val="0"/>
        <w:spacing w:after="0" w:line="240" w:lineRule="auto"/>
        <w:rPr>
          <w:rFonts w:ascii="Times New Roman" w:eastAsia="Times New Roman" w:hAnsi="Times New Roman" w:cs="Times New Roman"/>
          <w:snapToGrid w:val="0"/>
        </w:rPr>
      </w:pPr>
    </w:p>
    <w:p w14:paraId="213313B4" w14:textId="77777777" w:rsidR="007D1CCA" w:rsidRDefault="00A06746">
      <w:pPr>
        <w:widowControl w:val="0"/>
        <w:spacing w:after="0" w:line="240" w:lineRule="auto"/>
        <w:rPr>
          <w:rFonts w:ascii="Times New Roman" w:eastAsia="Times New Roman" w:hAnsi="Times New Roman" w:cs="Times New Roman"/>
          <w:i/>
          <w:snapToGrid w:val="0"/>
        </w:rPr>
      </w:pPr>
      <w:r>
        <w:rPr>
          <w:rFonts w:ascii="Times New Roman" w:eastAsia="Times New Roman" w:hAnsi="Times New Roman" w:cs="Times New Roman"/>
          <w:i/>
          <w:snapToGrid w:val="0"/>
        </w:rPr>
        <w:t>Gamintojas</w:t>
      </w:r>
    </w:p>
    <w:p w14:paraId="3F879EF5"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KRKA, d. d., Novo mesto</w:t>
      </w:r>
    </w:p>
    <w:p w14:paraId="50E9EA2E" w14:textId="77777777" w:rsidR="007D1CCA" w:rsidRDefault="00A06746">
      <w:pPr>
        <w:widowControl w:val="0"/>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Šmarješka</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cesta</w:t>
      </w:r>
      <w:proofErr w:type="spellEnd"/>
      <w:r>
        <w:rPr>
          <w:rFonts w:ascii="Times New Roman" w:eastAsia="Times New Roman" w:hAnsi="Times New Roman" w:cs="Times New Roman"/>
          <w:snapToGrid w:val="0"/>
        </w:rPr>
        <w:t xml:space="preserve"> 6</w:t>
      </w:r>
    </w:p>
    <w:p w14:paraId="38C9C3FF"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8501 Novo mesto</w:t>
      </w:r>
    </w:p>
    <w:p w14:paraId="2F70ECF2" w14:textId="77777777" w:rsidR="007D1CCA" w:rsidRDefault="00A0674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Slovėnija</w:t>
      </w:r>
    </w:p>
    <w:p w14:paraId="1A3EDB8E"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78798FAE" w14:textId="77777777" w:rsidR="007D1CCA" w:rsidRDefault="00A06746">
      <w:pPr>
        <w:widowControl w:val="0"/>
        <w:tabs>
          <w:tab w:val="left" w:pos="567"/>
        </w:tabs>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arba</w:t>
      </w:r>
    </w:p>
    <w:p w14:paraId="6A89EFC8" w14:textId="77777777" w:rsidR="007D1CCA" w:rsidRDefault="007D1CCA">
      <w:pPr>
        <w:widowControl w:val="0"/>
        <w:tabs>
          <w:tab w:val="left" w:pos="567"/>
        </w:tabs>
        <w:spacing w:after="0" w:line="240" w:lineRule="auto"/>
        <w:jc w:val="both"/>
        <w:rPr>
          <w:rFonts w:ascii="Times New Roman" w:eastAsia="Times New Roman" w:hAnsi="Times New Roman" w:cs="Times New Roman"/>
          <w:snapToGrid w:val="0"/>
        </w:rPr>
      </w:pPr>
    </w:p>
    <w:p w14:paraId="48C0C950" w14:textId="77777777" w:rsidR="007D1CCA" w:rsidRDefault="00A06746">
      <w:pPr>
        <w:spacing w:after="0" w:line="240" w:lineRule="auto"/>
        <w:rPr>
          <w:rFonts w:ascii="Times New Roman" w:eastAsia="TimesNewRoman" w:hAnsi="Times New Roman" w:cs="Times New Roman"/>
          <w:lang w:eastAsia="sk-SK"/>
        </w:rPr>
      </w:pPr>
      <w:r>
        <w:rPr>
          <w:rFonts w:ascii="Times New Roman" w:eastAsia="TimesNewRoman" w:hAnsi="Times New Roman" w:cs="Times New Roman"/>
          <w:lang w:eastAsia="sk-SK"/>
        </w:rPr>
        <w:t>TAD Pharma GmbH</w:t>
      </w:r>
    </w:p>
    <w:p w14:paraId="26F7CCFE" w14:textId="77777777" w:rsidR="007D1CCA" w:rsidRDefault="00A06746">
      <w:pPr>
        <w:spacing w:after="0" w:line="240" w:lineRule="auto"/>
        <w:rPr>
          <w:rFonts w:ascii="Times New Roman" w:eastAsia="TimesNewRoman" w:hAnsi="Times New Roman" w:cs="Times New Roman"/>
          <w:lang w:eastAsia="sk-SK"/>
        </w:rPr>
      </w:pPr>
      <w:proofErr w:type="spellStart"/>
      <w:r>
        <w:rPr>
          <w:rFonts w:ascii="Times New Roman" w:eastAsia="TimesNewRoman" w:hAnsi="Times New Roman" w:cs="Times New Roman"/>
          <w:lang w:eastAsia="sk-SK"/>
        </w:rPr>
        <w:t>Heinz-Lohmann-Straße</w:t>
      </w:r>
      <w:proofErr w:type="spellEnd"/>
      <w:r>
        <w:rPr>
          <w:rFonts w:ascii="Times New Roman" w:eastAsia="TimesNewRoman" w:hAnsi="Times New Roman" w:cs="Times New Roman"/>
          <w:lang w:eastAsia="sk-SK"/>
        </w:rPr>
        <w:t xml:space="preserve"> 5</w:t>
      </w:r>
    </w:p>
    <w:p w14:paraId="0B7FF854" w14:textId="77777777" w:rsidR="007D1CCA" w:rsidRDefault="00A06746">
      <w:pPr>
        <w:widowControl w:val="0"/>
        <w:tabs>
          <w:tab w:val="left" w:pos="567"/>
        </w:tabs>
        <w:spacing w:after="0" w:line="240" w:lineRule="auto"/>
        <w:jc w:val="both"/>
        <w:rPr>
          <w:rFonts w:ascii="Times New Roman" w:eastAsia="TimesNewRoman" w:hAnsi="Times New Roman" w:cs="Times New Roman"/>
          <w:lang w:eastAsia="sk-SK"/>
        </w:rPr>
      </w:pPr>
      <w:r>
        <w:rPr>
          <w:rFonts w:ascii="Times New Roman" w:eastAsia="TimesNewRoman" w:hAnsi="Times New Roman" w:cs="Times New Roman"/>
          <w:lang w:eastAsia="sk-SK"/>
        </w:rPr>
        <w:t xml:space="preserve">27472 </w:t>
      </w:r>
      <w:proofErr w:type="spellStart"/>
      <w:r>
        <w:rPr>
          <w:rFonts w:ascii="Times New Roman" w:eastAsia="TimesNewRoman" w:hAnsi="Times New Roman" w:cs="Times New Roman"/>
          <w:lang w:eastAsia="sk-SK"/>
        </w:rPr>
        <w:t>Cuxhaven</w:t>
      </w:r>
      <w:proofErr w:type="spellEnd"/>
    </w:p>
    <w:p w14:paraId="47667001" w14:textId="77777777" w:rsidR="007D1CCA" w:rsidRDefault="00A06746">
      <w:pPr>
        <w:widowControl w:val="0"/>
        <w:tabs>
          <w:tab w:val="left" w:pos="567"/>
        </w:tabs>
        <w:spacing w:after="0" w:line="240" w:lineRule="auto"/>
        <w:jc w:val="both"/>
        <w:rPr>
          <w:rFonts w:ascii="Times New Roman" w:eastAsia="TimesNewRoman" w:hAnsi="Times New Roman" w:cs="Times New Roman"/>
          <w:lang w:eastAsia="sk-SK"/>
        </w:rPr>
      </w:pPr>
      <w:r>
        <w:rPr>
          <w:rFonts w:ascii="Times New Roman" w:eastAsia="TimesNewRoman" w:hAnsi="Times New Roman" w:cs="Times New Roman"/>
          <w:lang w:eastAsia="sk-SK"/>
        </w:rPr>
        <w:t>Vokietija</w:t>
      </w:r>
    </w:p>
    <w:p w14:paraId="3FE3A6C3" w14:textId="77777777" w:rsidR="007D1CCA" w:rsidRDefault="007D1CCA">
      <w:pPr>
        <w:widowControl w:val="0"/>
        <w:spacing w:after="0" w:line="240" w:lineRule="auto"/>
        <w:rPr>
          <w:rFonts w:ascii="Times New Roman" w:eastAsia="Times New Roman" w:hAnsi="Times New Roman" w:cs="Times New Roman"/>
          <w:snapToGrid w:val="0"/>
        </w:rPr>
      </w:pPr>
    </w:p>
    <w:p w14:paraId="1B815CDC" w14:textId="77777777" w:rsidR="007D1CCA" w:rsidRDefault="00A06746">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Jeigu apie šį vaistą norite sužinoti daugiau, kreipkitės į vietinį registruotojo atstovą.</w:t>
      </w:r>
    </w:p>
    <w:p w14:paraId="4CD42B7A" w14:textId="77777777" w:rsidR="007D1CCA" w:rsidRDefault="007D1CCA">
      <w:pPr>
        <w:widowControl w:val="0"/>
        <w:tabs>
          <w:tab w:val="left" w:pos="567"/>
        </w:tabs>
        <w:spacing w:after="0" w:line="240" w:lineRule="auto"/>
        <w:rPr>
          <w:rFonts w:ascii="Times New Roman" w:eastAsia="Times New Roman" w:hAnsi="Times New Roman" w:cs="Times New Roman"/>
          <w:snapToGrid w:val="0"/>
        </w:rPr>
      </w:pPr>
    </w:p>
    <w:p w14:paraId="0294D312" w14:textId="77777777" w:rsidR="007D1CCA" w:rsidRDefault="00A06746">
      <w:pPr>
        <w:widowControl w:val="0"/>
        <w:tabs>
          <w:tab w:val="left" w:pos="567"/>
        </w:tabs>
        <w:spacing w:after="0" w:line="240" w:lineRule="auto"/>
        <w:rPr>
          <w:rFonts w:ascii="Times New Roman" w:eastAsia="Times New Roman" w:hAnsi="Times New Roman" w:cs="Times New Roman"/>
          <w:snapToGrid w:val="0"/>
          <w:lang w:eastAsia="lt-LT"/>
        </w:rPr>
      </w:pPr>
      <w:r>
        <w:rPr>
          <w:rFonts w:ascii="Times New Roman" w:eastAsia="Times New Roman" w:hAnsi="Times New Roman" w:cs="Times New Roman"/>
          <w:snapToGrid w:val="0"/>
          <w:lang w:eastAsia="lt-LT"/>
        </w:rPr>
        <w:t>UAB KRKA Lietuva</w:t>
      </w:r>
    </w:p>
    <w:p w14:paraId="227214A9" w14:textId="77777777" w:rsidR="007D1CCA" w:rsidRDefault="00A06746">
      <w:pPr>
        <w:widowControl w:val="0"/>
        <w:tabs>
          <w:tab w:val="left" w:pos="567"/>
        </w:tabs>
        <w:spacing w:after="0" w:line="240" w:lineRule="auto"/>
        <w:rPr>
          <w:rFonts w:ascii="Times New Roman" w:eastAsia="Times New Roman" w:hAnsi="Times New Roman" w:cs="Times New Roman"/>
          <w:snapToGrid w:val="0"/>
          <w:lang w:eastAsia="lt-LT"/>
        </w:rPr>
      </w:pPr>
      <w:r>
        <w:rPr>
          <w:rFonts w:ascii="Times New Roman" w:eastAsia="Times New Roman" w:hAnsi="Times New Roman" w:cs="Times New Roman"/>
          <w:snapToGrid w:val="0"/>
          <w:lang w:eastAsia="lt-LT"/>
        </w:rPr>
        <w:t>Senasis Ukmergės kelias 4,</w:t>
      </w:r>
    </w:p>
    <w:p w14:paraId="0D8F56F1" w14:textId="77777777" w:rsidR="007D1CCA" w:rsidRDefault="00A06746">
      <w:pPr>
        <w:widowControl w:val="0"/>
        <w:tabs>
          <w:tab w:val="left" w:pos="567"/>
        </w:tabs>
        <w:spacing w:after="0" w:line="240" w:lineRule="auto"/>
        <w:rPr>
          <w:rFonts w:ascii="Times New Roman" w:eastAsia="Times New Roman" w:hAnsi="Times New Roman" w:cs="Times New Roman"/>
          <w:snapToGrid w:val="0"/>
          <w:lang w:eastAsia="lt-LT"/>
        </w:rPr>
      </w:pPr>
      <w:proofErr w:type="spellStart"/>
      <w:r>
        <w:rPr>
          <w:rFonts w:ascii="Times New Roman" w:eastAsia="Times New Roman" w:hAnsi="Times New Roman" w:cs="Times New Roman"/>
          <w:snapToGrid w:val="0"/>
          <w:lang w:eastAsia="lt-LT"/>
        </w:rPr>
        <w:t>Užubalių</w:t>
      </w:r>
      <w:proofErr w:type="spellEnd"/>
      <w:r>
        <w:rPr>
          <w:rFonts w:ascii="Times New Roman" w:eastAsia="Times New Roman" w:hAnsi="Times New Roman" w:cs="Times New Roman"/>
          <w:snapToGrid w:val="0"/>
          <w:lang w:eastAsia="lt-LT"/>
        </w:rPr>
        <w:t xml:space="preserve"> km., Vilniaus r.</w:t>
      </w:r>
    </w:p>
    <w:p w14:paraId="4F0700DD" w14:textId="77777777" w:rsidR="007D1CCA" w:rsidRDefault="00A06746">
      <w:pPr>
        <w:widowControl w:val="0"/>
        <w:tabs>
          <w:tab w:val="left" w:pos="567"/>
        </w:tabs>
        <w:spacing w:after="0" w:line="240" w:lineRule="auto"/>
        <w:rPr>
          <w:rFonts w:ascii="Times New Roman" w:eastAsia="Times New Roman" w:hAnsi="Times New Roman" w:cs="Times New Roman"/>
          <w:snapToGrid w:val="0"/>
          <w:lang w:eastAsia="lt-LT"/>
        </w:rPr>
      </w:pPr>
      <w:r>
        <w:rPr>
          <w:rFonts w:ascii="Times New Roman" w:eastAsia="Times New Roman" w:hAnsi="Times New Roman" w:cs="Times New Roman"/>
          <w:snapToGrid w:val="0"/>
          <w:lang w:eastAsia="lt-LT"/>
        </w:rPr>
        <w:t>LT - 14013</w:t>
      </w:r>
    </w:p>
    <w:p w14:paraId="5AB909A8" w14:textId="77777777" w:rsidR="007D1CCA" w:rsidRDefault="00A06746">
      <w:pPr>
        <w:widowControl w:val="0"/>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lang w:eastAsia="lt-LT"/>
        </w:rPr>
        <w:t>Tel. + 370 5 236 27 40</w:t>
      </w:r>
    </w:p>
    <w:p w14:paraId="07B4570A" w14:textId="77777777" w:rsidR="007D1CCA" w:rsidRDefault="007D1CCA">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p>
    <w:p w14:paraId="2C7BC86A" w14:textId="4B984C65" w:rsidR="007D1CCA" w:rsidRDefault="00A06746">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b/>
          <w:snapToGrid w:val="0"/>
        </w:rPr>
        <w:t>Šis vaistas Europos ekonominės erdvės valstybėse narėse registruotas tokiais pavadinimais:</w:t>
      </w:r>
    </w:p>
    <w:p w14:paraId="23C463AD" w14:textId="77777777" w:rsidR="007D1CCA" w:rsidRDefault="007D1CCA">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2"/>
        <w:gridCol w:w="3827"/>
      </w:tblGrid>
      <w:tr w:rsidR="007D1CCA" w14:paraId="3B14E784" w14:textId="77777777">
        <w:tc>
          <w:tcPr>
            <w:tcW w:w="4962" w:type="dxa"/>
            <w:tcBorders>
              <w:top w:val="single" w:sz="4" w:space="0" w:color="auto"/>
              <w:left w:val="single" w:sz="4" w:space="0" w:color="auto"/>
              <w:bottom w:val="single" w:sz="4" w:space="0" w:color="auto"/>
              <w:right w:val="single" w:sz="4" w:space="0" w:color="auto"/>
            </w:tcBorders>
            <w:hideMark/>
          </w:tcPr>
          <w:p w14:paraId="40309D2B" w14:textId="77777777" w:rsidR="007D1CCA" w:rsidRDefault="00A06746">
            <w:pPr>
              <w:widowControl w:val="0"/>
              <w:tabs>
                <w:tab w:val="left" w:pos="567"/>
              </w:tabs>
              <w:spacing w:after="0" w:line="240" w:lineRule="auto"/>
              <w:ind w:left="567" w:hanging="567"/>
              <w:outlineLvl w:val="1"/>
              <w:rPr>
                <w:rFonts w:ascii="Times New Roman" w:eastAsia="Calibri" w:hAnsi="Times New Roman" w:cs="Times New Roman"/>
                <w:b/>
                <w:snapToGrid w:val="0"/>
              </w:rPr>
            </w:pPr>
            <w:r>
              <w:rPr>
                <w:rFonts w:ascii="Times New Roman" w:eastAsia="Times New Roman" w:hAnsi="Times New Roman" w:cs="Times New Roman"/>
                <w:b/>
                <w:snapToGrid w:val="0"/>
              </w:rPr>
              <w:t>Valstybės narės pavadinimas</w:t>
            </w:r>
          </w:p>
        </w:tc>
        <w:tc>
          <w:tcPr>
            <w:tcW w:w="3827" w:type="dxa"/>
            <w:tcBorders>
              <w:top w:val="single" w:sz="4" w:space="0" w:color="auto"/>
              <w:left w:val="single" w:sz="4" w:space="0" w:color="auto"/>
              <w:bottom w:val="single" w:sz="4" w:space="0" w:color="auto"/>
              <w:right w:val="single" w:sz="4" w:space="0" w:color="auto"/>
            </w:tcBorders>
            <w:hideMark/>
          </w:tcPr>
          <w:p w14:paraId="240A52BD" w14:textId="77777777" w:rsidR="007D1CCA" w:rsidRDefault="00A06746">
            <w:pPr>
              <w:widowControl w:val="0"/>
              <w:tabs>
                <w:tab w:val="left" w:pos="567"/>
              </w:tabs>
              <w:spacing w:after="0" w:line="240" w:lineRule="auto"/>
              <w:ind w:left="567" w:hanging="567"/>
              <w:outlineLvl w:val="1"/>
              <w:rPr>
                <w:rFonts w:ascii="Times New Roman" w:eastAsia="Calibri" w:hAnsi="Times New Roman" w:cs="Times New Roman"/>
                <w:b/>
                <w:snapToGrid w:val="0"/>
              </w:rPr>
            </w:pPr>
            <w:r>
              <w:rPr>
                <w:rFonts w:ascii="Times New Roman" w:eastAsia="Calibri" w:hAnsi="Times New Roman" w:cs="Times New Roman"/>
                <w:b/>
                <w:snapToGrid w:val="0"/>
              </w:rPr>
              <w:t>Vaisto pavadinimas</w:t>
            </w:r>
          </w:p>
        </w:tc>
      </w:tr>
      <w:tr w:rsidR="007D1CCA" w14:paraId="760B638B" w14:textId="77777777">
        <w:tc>
          <w:tcPr>
            <w:tcW w:w="4962" w:type="dxa"/>
            <w:tcBorders>
              <w:top w:val="single" w:sz="4" w:space="0" w:color="auto"/>
              <w:left w:val="single" w:sz="4" w:space="0" w:color="auto"/>
              <w:bottom w:val="single" w:sz="4" w:space="0" w:color="auto"/>
              <w:right w:val="single" w:sz="4" w:space="0" w:color="auto"/>
            </w:tcBorders>
            <w:hideMark/>
          </w:tcPr>
          <w:p w14:paraId="2C02780A" w14:textId="77777777" w:rsidR="007D1CCA" w:rsidRDefault="00A06746">
            <w:pPr>
              <w:widowControl w:val="0"/>
              <w:tabs>
                <w:tab w:val="left" w:pos="567"/>
              </w:tabs>
              <w:spacing w:after="0" w:line="240" w:lineRule="auto"/>
              <w:outlineLvl w:val="1"/>
              <w:rPr>
                <w:rFonts w:ascii="Times New Roman" w:eastAsia="Calibri" w:hAnsi="Times New Roman" w:cs="Times New Roman"/>
                <w:snapToGrid w:val="0"/>
                <w:highlight w:val="green"/>
              </w:rPr>
            </w:pPr>
            <w:r>
              <w:rPr>
                <w:rFonts w:ascii="Times New Roman" w:eastAsia="Times New Roman" w:hAnsi="Times New Roman" w:cs="Times New Roman"/>
                <w:snapToGrid w:val="0"/>
              </w:rPr>
              <w:t>Slovėnija, Bulgarija, Čekija, Slovakija, Estija, Kroatija, Latvija, Lenkija, Vengrija, Rumunija, Kipras, Graikija</w:t>
            </w:r>
          </w:p>
        </w:tc>
        <w:tc>
          <w:tcPr>
            <w:tcW w:w="3827" w:type="dxa"/>
            <w:tcBorders>
              <w:top w:val="single" w:sz="4" w:space="0" w:color="auto"/>
              <w:left w:val="single" w:sz="4" w:space="0" w:color="auto"/>
              <w:bottom w:val="single" w:sz="4" w:space="0" w:color="auto"/>
              <w:right w:val="single" w:sz="4" w:space="0" w:color="auto"/>
            </w:tcBorders>
            <w:hideMark/>
          </w:tcPr>
          <w:p w14:paraId="75C3DD3D" w14:textId="77777777" w:rsidR="007D1CCA" w:rsidRDefault="00A06746">
            <w:pPr>
              <w:widowControl w:val="0"/>
              <w:tabs>
                <w:tab w:val="left" w:pos="567"/>
              </w:tabs>
              <w:spacing w:after="0" w:line="240" w:lineRule="auto"/>
              <w:ind w:left="567" w:hanging="567"/>
              <w:outlineLvl w:val="1"/>
              <w:rPr>
                <w:rFonts w:ascii="Times New Roman" w:eastAsia="Calibri" w:hAnsi="Times New Roman" w:cs="Times New Roman"/>
                <w:snapToGrid w:val="0"/>
                <w:highlight w:val="green"/>
              </w:rPr>
            </w:pPr>
            <w:proofErr w:type="spellStart"/>
            <w:r>
              <w:rPr>
                <w:rFonts w:ascii="Times New Roman" w:eastAsia="Times New Roman" w:hAnsi="Times New Roman" w:cs="Times New Roman"/>
                <w:snapToGrid w:val="0"/>
              </w:rPr>
              <w:t>Dulsevia</w:t>
            </w:r>
            <w:proofErr w:type="spellEnd"/>
          </w:p>
        </w:tc>
      </w:tr>
    </w:tbl>
    <w:p w14:paraId="2DF6CB66" w14:textId="77777777" w:rsidR="007D1CCA" w:rsidRDefault="007D1CCA">
      <w:pPr>
        <w:widowControl w:val="0"/>
        <w:tabs>
          <w:tab w:val="left" w:pos="567"/>
        </w:tabs>
        <w:spacing w:after="0" w:line="240" w:lineRule="auto"/>
        <w:ind w:left="567" w:hanging="567"/>
        <w:rPr>
          <w:rFonts w:ascii="Times New Roman" w:eastAsia="Times New Roman" w:hAnsi="Times New Roman" w:cs="Times New Roman"/>
          <w:snapToGrid w:val="0"/>
        </w:rPr>
      </w:pPr>
    </w:p>
    <w:p w14:paraId="6FE5E44A" w14:textId="77777777" w:rsidR="007D1CCA" w:rsidRDefault="007D1CCA">
      <w:pPr>
        <w:widowControl w:val="0"/>
        <w:tabs>
          <w:tab w:val="left" w:pos="567"/>
        </w:tabs>
        <w:spacing w:after="0" w:line="240" w:lineRule="auto"/>
        <w:ind w:left="567" w:hanging="567"/>
        <w:rPr>
          <w:rFonts w:ascii="Times New Roman" w:eastAsia="Times New Roman" w:hAnsi="Times New Roman" w:cs="Times New Roman"/>
          <w:snapToGrid w:val="0"/>
        </w:rPr>
      </w:pPr>
    </w:p>
    <w:p w14:paraId="6173DBB9" w14:textId="2CB7A306" w:rsidR="007D1CCA" w:rsidRDefault="00A06746">
      <w:pPr>
        <w:widowControl w:val="0"/>
        <w:numPr>
          <w:ilvl w:val="12"/>
          <w:numId w:val="0"/>
        </w:numPr>
        <w:spacing w:after="0" w:line="240" w:lineRule="auto"/>
        <w:ind w:right="-2"/>
        <w:rPr>
          <w:rFonts w:ascii="Times New Roman" w:eastAsia="Times New Roman" w:hAnsi="Times New Roman" w:cs="Times New Roman"/>
          <w:b/>
          <w:snapToGrid w:val="0"/>
        </w:rPr>
      </w:pPr>
      <w:r>
        <w:rPr>
          <w:rFonts w:ascii="Times New Roman" w:eastAsia="Times New Roman" w:hAnsi="Times New Roman" w:cs="Times New Roman"/>
          <w:b/>
          <w:snapToGrid w:val="0"/>
        </w:rPr>
        <w:lastRenderedPageBreak/>
        <w:t xml:space="preserve">Šis pakuotės lapelis paskutinį kartą peržiūrėtas </w:t>
      </w:r>
      <w:r w:rsidR="003079AF">
        <w:rPr>
          <w:rFonts w:ascii="Times New Roman" w:eastAsia="Times New Roman" w:hAnsi="Times New Roman" w:cs="Times New Roman"/>
          <w:b/>
          <w:snapToGrid w:val="0"/>
        </w:rPr>
        <w:t>2024-09-10.</w:t>
      </w:r>
    </w:p>
    <w:p w14:paraId="34C13754" w14:textId="77777777" w:rsidR="007D1CCA" w:rsidRDefault="007D1CCA">
      <w:pPr>
        <w:widowControl w:val="0"/>
        <w:numPr>
          <w:ilvl w:val="12"/>
          <w:numId w:val="0"/>
        </w:numPr>
        <w:tabs>
          <w:tab w:val="left" w:pos="567"/>
        </w:tabs>
        <w:spacing w:after="0" w:line="240" w:lineRule="auto"/>
        <w:ind w:right="-2"/>
        <w:rPr>
          <w:rFonts w:ascii="Times New Roman" w:eastAsia="Times New Roman" w:hAnsi="Times New Roman" w:cs="Times New Roman"/>
          <w:i/>
          <w:snapToGrid w:val="0"/>
        </w:rPr>
      </w:pPr>
    </w:p>
    <w:p w14:paraId="7374534D" w14:textId="1BF5D8FA" w:rsidR="007D1CCA" w:rsidRDefault="00A06746">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
          <w:snapToGrid w:val="0"/>
        </w:rPr>
        <w:t xml:space="preserve"> </w:t>
      </w:r>
      <w:r w:rsidR="0076137F" w:rsidRPr="0076137F">
        <w:rPr>
          <w:rFonts w:ascii="Times New Roman" w:eastAsia="Times New Roman" w:hAnsi="Times New Roman" w:cs="Times New Roman"/>
          <w:color w:val="0000EE"/>
          <w:u w:val="single"/>
          <w:lang w:eastAsia="lt-LT"/>
        </w:rPr>
        <w:t>https://vvkt.lrv.lt/lt/</w:t>
      </w:r>
      <w:r>
        <w:rPr>
          <w:rFonts w:ascii="Times New Roman" w:eastAsia="Times New Roman" w:hAnsi="Times New Roman" w:cs="Times New Roman"/>
          <w:snapToGrid w:val="0"/>
        </w:rPr>
        <w:t>.</w:t>
      </w:r>
    </w:p>
    <w:p w14:paraId="50AC9D3E" w14:textId="77777777" w:rsidR="007D1CCA" w:rsidRDefault="007D1CCA">
      <w:pPr>
        <w:spacing w:after="0" w:line="240" w:lineRule="auto"/>
        <w:rPr>
          <w:rFonts w:ascii="Calibri" w:eastAsia="Calibri" w:hAnsi="Calibri" w:cs="Times New Roman"/>
        </w:rPr>
      </w:pPr>
    </w:p>
    <w:p w14:paraId="09193F80" w14:textId="77777777" w:rsidR="007D1CCA" w:rsidRDefault="007D1CCA"/>
    <w:sectPr w:rsidR="007D1CCA">
      <w:headerReference w:type="even" r:id="rId9"/>
      <w:headerReference w:type="default" r:id="rId10"/>
      <w:footerReference w:type="even" r:id="rId11"/>
      <w:footerReference w:type="default" r:id="rId12"/>
      <w:headerReference w:type="first" r:id="rId13"/>
      <w:footerReference w:type="first" r:id="rId14"/>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AA6A17" w14:textId="77777777" w:rsidR="00A06746" w:rsidRDefault="00A06746">
      <w:pPr>
        <w:spacing w:after="0" w:line="240" w:lineRule="auto"/>
      </w:pPr>
      <w:r>
        <w:separator/>
      </w:r>
    </w:p>
  </w:endnote>
  <w:endnote w:type="continuationSeparator" w:id="0">
    <w:p w14:paraId="027978C7" w14:textId="77777777" w:rsidR="00A06746" w:rsidRDefault="00A067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9C6525" w14:textId="77777777" w:rsidR="007D1CCA" w:rsidRDefault="007D1CCA">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EC59A0" w14:textId="77777777" w:rsidR="007D1CCA" w:rsidRDefault="007D1CCA">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81895D" w14:textId="77777777" w:rsidR="007D1CCA" w:rsidRDefault="007D1CC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F49B9B" w14:textId="77777777" w:rsidR="00A06746" w:rsidRDefault="00A06746">
      <w:pPr>
        <w:spacing w:after="0" w:line="240" w:lineRule="auto"/>
      </w:pPr>
      <w:r>
        <w:separator/>
      </w:r>
    </w:p>
  </w:footnote>
  <w:footnote w:type="continuationSeparator" w:id="0">
    <w:p w14:paraId="79FDC84B" w14:textId="77777777" w:rsidR="00A06746" w:rsidRDefault="00A067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1DF70E" w14:textId="77777777" w:rsidR="007D1CCA" w:rsidRDefault="007D1CC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F21334" w14:textId="77777777" w:rsidR="007D1CCA" w:rsidRDefault="007D1CCA">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8CED7F" w14:textId="77777777" w:rsidR="007D1CCA" w:rsidRDefault="007D1CC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A1D2B"/>
    <w:multiLevelType w:val="hybridMultilevel"/>
    <w:tmpl w:val="4BE275BE"/>
    <w:lvl w:ilvl="0" w:tplc="0427000F">
      <w:start w:val="1"/>
      <w:numFmt w:val="decimal"/>
      <w:lvlText w:val="%1."/>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6F062B4"/>
    <w:multiLevelType w:val="hybridMultilevel"/>
    <w:tmpl w:val="A882EF6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21441FD"/>
    <w:multiLevelType w:val="hybridMultilevel"/>
    <w:tmpl w:val="B600D19C"/>
    <w:lvl w:ilvl="0" w:tplc="BF06C694">
      <w:start w:val="1"/>
      <w:numFmt w:val="bullet"/>
      <w:lvlText w:val="-"/>
      <w:lvlJc w:val="left"/>
      <w:pPr>
        <w:tabs>
          <w:tab w:val="num" w:pos="720"/>
        </w:tabs>
        <w:ind w:left="720" w:hanging="360"/>
      </w:pPr>
      <w:rPr>
        <w:rFonts w:ascii="Times New Roman" w:hAnsi="Times New Roman" w:cs="Times New Roman" w:hint="default"/>
        <w:b w:val="0"/>
        <w:i w:val="0"/>
        <w:sz w:val="24"/>
        <w:szCs w:val="24"/>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3" w15:restartNumberingAfterBreak="0">
    <w:nsid w:val="12B846E6"/>
    <w:multiLevelType w:val="hybridMultilevel"/>
    <w:tmpl w:val="4E3496E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72358E4"/>
    <w:multiLevelType w:val="hybridMultilevel"/>
    <w:tmpl w:val="B990700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8257093"/>
    <w:multiLevelType w:val="hybridMultilevel"/>
    <w:tmpl w:val="0308C23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9251ACB"/>
    <w:multiLevelType w:val="hybridMultilevel"/>
    <w:tmpl w:val="14C2C40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30A97413"/>
    <w:multiLevelType w:val="hybridMultilevel"/>
    <w:tmpl w:val="BBFAD58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A6F6D6B"/>
    <w:multiLevelType w:val="hybridMultilevel"/>
    <w:tmpl w:val="DF92928A"/>
    <w:lvl w:ilvl="0" w:tplc="00000EA9">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3D077547"/>
    <w:multiLevelType w:val="hybridMultilevel"/>
    <w:tmpl w:val="EEA2564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3A4150C"/>
    <w:multiLevelType w:val="hybridMultilevel"/>
    <w:tmpl w:val="46B62CB2"/>
    <w:lvl w:ilvl="0" w:tplc="BF06C694">
      <w:start w:val="1"/>
      <w:numFmt w:val="bullet"/>
      <w:lvlText w:val="-"/>
      <w:lvlJc w:val="left"/>
      <w:pPr>
        <w:ind w:left="1287" w:hanging="360"/>
      </w:pPr>
      <w:rPr>
        <w:rFonts w:ascii="Times New Roman" w:hAnsi="Times New Roman" w:cs="Times New Roman" w:hint="default"/>
        <w:b w:val="0"/>
        <w:i w:val="0"/>
        <w:sz w:val="24"/>
        <w:szCs w:val="24"/>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1" w15:restartNumberingAfterBreak="0">
    <w:nsid w:val="5B0F160A"/>
    <w:multiLevelType w:val="hybridMultilevel"/>
    <w:tmpl w:val="54ACD86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65D739EE"/>
    <w:multiLevelType w:val="hybridMultilevel"/>
    <w:tmpl w:val="22F42C7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73CE6A3B"/>
    <w:multiLevelType w:val="hybridMultilevel"/>
    <w:tmpl w:val="388A89FA"/>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7AB67A2F"/>
    <w:multiLevelType w:val="hybridMultilevel"/>
    <w:tmpl w:val="512EA1B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13"/>
  </w:num>
  <w:num w:numId="4">
    <w:abstractNumId w:val="1"/>
  </w:num>
  <w:num w:numId="5">
    <w:abstractNumId w:val="14"/>
  </w:num>
  <w:num w:numId="6">
    <w:abstractNumId w:val="6"/>
  </w:num>
  <w:num w:numId="7">
    <w:abstractNumId w:val="7"/>
  </w:num>
  <w:num w:numId="8">
    <w:abstractNumId w:val="8"/>
  </w:num>
  <w:num w:numId="9">
    <w:abstractNumId w:val="3"/>
  </w:num>
  <w:num w:numId="10">
    <w:abstractNumId w:val="9"/>
  </w:num>
  <w:num w:numId="11">
    <w:abstractNumId w:val="12"/>
  </w:num>
  <w:num w:numId="12">
    <w:abstractNumId w:val="4"/>
  </w:num>
  <w:num w:numId="13">
    <w:abstractNumId w:val="0"/>
  </w:num>
  <w:num w:numId="14">
    <w:abstractNumId w:val="5"/>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CCA"/>
    <w:rsid w:val="00015AE3"/>
    <w:rsid w:val="000A03AA"/>
    <w:rsid w:val="00167701"/>
    <w:rsid w:val="003079AF"/>
    <w:rsid w:val="00421BA5"/>
    <w:rsid w:val="00617ACD"/>
    <w:rsid w:val="0076137F"/>
    <w:rsid w:val="007D1CCA"/>
    <w:rsid w:val="00884DF3"/>
    <w:rsid w:val="009C0259"/>
    <w:rsid w:val="00A06746"/>
    <w:rsid w:val="00A1210E"/>
    <w:rsid w:val="00A83D4D"/>
    <w:rsid w:val="00AD0169"/>
    <w:rsid w:val="00D46CD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D58E5"/>
  <w15:chartTrackingRefBased/>
  <w15:docId w15:val="{869D4339-BE45-4500-930C-63412FFE6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pPr>
      <w:keepNext/>
      <w:spacing w:before="240" w:after="60" w:line="240" w:lineRule="auto"/>
      <w:outlineLvl w:val="0"/>
    </w:pPr>
    <w:rPr>
      <w:rFonts w:ascii="Arial" w:eastAsia="Times New Roman" w:hAnsi="Arial" w:cs="Arial"/>
      <w:b/>
      <w:bCs/>
      <w:kern w:val="32"/>
      <w:sz w:val="32"/>
      <w:szCs w:val="32"/>
      <w:lang w:val="sl-SI" w:eastAsia="sl-SI"/>
    </w:rPr>
  </w:style>
  <w:style w:type="paragraph" w:styleId="Antrat2">
    <w:name w:val="heading 2"/>
    <w:basedOn w:val="prastasis"/>
    <w:next w:val="prastasis"/>
    <w:link w:val="Antrat2Diagrama"/>
    <w:uiPriority w:val="99"/>
    <w:semiHidden/>
    <w:unhideWhenUsed/>
    <w:qFormat/>
    <w:pPr>
      <w:keepNext/>
      <w:tabs>
        <w:tab w:val="left" w:pos="4300"/>
        <w:tab w:val="left" w:pos="5940"/>
        <w:tab w:val="left" w:pos="8180"/>
      </w:tabs>
      <w:spacing w:after="0" w:line="360" w:lineRule="atLeast"/>
      <w:outlineLvl w:val="1"/>
    </w:pPr>
    <w:rPr>
      <w:rFonts w:ascii="Times New Roman" w:eastAsia="Times New Roman" w:hAnsi="Times New Roman" w:cs="Times New Roman"/>
      <w:b/>
      <w:sz w:val="24"/>
      <w:szCs w:val="20"/>
      <w:u w:val="single"/>
      <w:lang w:val="en-US" w:eastAsia="sl-SI"/>
    </w:rPr>
  </w:style>
  <w:style w:type="paragraph" w:styleId="Antrat3">
    <w:name w:val="heading 3"/>
    <w:basedOn w:val="prastasis"/>
    <w:next w:val="prastasis"/>
    <w:link w:val="Antrat3Diagrama"/>
    <w:uiPriority w:val="99"/>
    <w:semiHidden/>
    <w:unhideWhenUsed/>
    <w:qFormat/>
    <w:pPr>
      <w:keepNext/>
      <w:tabs>
        <w:tab w:val="decimal" w:pos="6760"/>
      </w:tabs>
      <w:spacing w:after="0" w:line="480" w:lineRule="atLeast"/>
      <w:outlineLvl w:val="2"/>
    </w:pPr>
    <w:rPr>
      <w:rFonts w:ascii="Times New Roman" w:eastAsia="Times New Roman" w:hAnsi="Times New Roman" w:cs="Times New Roman"/>
      <w:b/>
      <w:sz w:val="24"/>
      <w:szCs w:val="20"/>
      <w:lang w:val="en-US" w:eastAsia="sl-SI"/>
    </w:rPr>
  </w:style>
  <w:style w:type="paragraph" w:styleId="Antrat4">
    <w:name w:val="heading 4"/>
    <w:basedOn w:val="prastasis"/>
    <w:next w:val="prastasis"/>
    <w:link w:val="Antrat4Diagrama"/>
    <w:uiPriority w:val="99"/>
    <w:semiHidden/>
    <w:unhideWhenUsed/>
    <w:qFormat/>
    <w:pPr>
      <w:keepNext/>
      <w:spacing w:before="240" w:after="60" w:line="240" w:lineRule="auto"/>
      <w:outlineLvl w:val="3"/>
    </w:pPr>
    <w:rPr>
      <w:rFonts w:ascii="Times New Roman" w:eastAsia="Times New Roman" w:hAnsi="Times New Roman" w:cs="Times New Roman"/>
      <w:b/>
      <w:bCs/>
      <w:sz w:val="28"/>
      <w:szCs w:val="28"/>
      <w:lang w:val="sl-SI" w:eastAsia="sl-SI"/>
    </w:rPr>
  </w:style>
  <w:style w:type="paragraph" w:styleId="Antrat5">
    <w:name w:val="heading 5"/>
    <w:basedOn w:val="prastasis"/>
    <w:next w:val="prastasis"/>
    <w:link w:val="Antrat5Diagrama"/>
    <w:uiPriority w:val="99"/>
    <w:semiHidden/>
    <w:unhideWhenUsed/>
    <w:qFormat/>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uiPriority w:val="99"/>
    <w:semiHidden/>
    <w:unhideWhenUsed/>
    <w:qFormat/>
    <w:pPr>
      <w:keepNext/>
      <w:keepLines/>
      <w:tabs>
        <w:tab w:val="right" w:pos="4536"/>
        <w:tab w:val="left" w:pos="5180"/>
        <w:tab w:val="left" w:pos="5380"/>
        <w:tab w:val="left" w:pos="8222"/>
      </w:tabs>
      <w:spacing w:after="0" w:line="240" w:lineRule="auto"/>
      <w:outlineLvl w:val="5"/>
    </w:pPr>
    <w:rPr>
      <w:rFonts w:ascii="Times New Roman" w:eastAsia="Times New Roman" w:hAnsi="Times New Roman" w:cs="Times New Roman"/>
      <w:b/>
      <w:sz w:val="24"/>
      <w:szCs w:val="20"/>
      <w:lang w:val="en-US" w:eastAsia="sl-SI"/>
    </w:rPr>
  </w:style>
  <w:style w:type="paragraph" w:styleId="Antrat7">
    <w:name w:val="heading 7"/>
    <w:basedOn w:val="prastasis"/>
    <w:next w:val="prastasis"/>
    <w:link w:val="Antrat7Diagrama"/>
    <w:uiPriority w:val="99"/>
    <w:semiHidden/>
    <w:unhideWhenUsed/>
    <w:qFormat/>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semiHidden/>
    <w:unhideWhenUsed/>
    <w:qFormat/>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semiHidden/>
    <w:unhideWhenUsed/>
    <w:qFormat/>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9"/>
    <w:semiHidden/>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uiPriority w:val="99"/>
    <w:semiHidden/>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uiPriority w:val="99"/>
    <w:semiHidden/>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uiPriority w:val="99"/>
    <w:semiHidden/>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semiHidden/>
    <w:rPr>
      <w:rFonts w:ascii="Times New Roman" w:eastAsia="Times New Roman" w:hAnsi="Times New Roman" w:cs="Times New Roman"/>
      <w:b/>
      <w:sz w:val="24"/>
      <w:szCs w:val="20"/>
      <w:lang w:val="en-US" w:eastAsia="sl-SI"/>
    </w:rPr>
  </w:style>
  <w:style w:type="character" w:customStyle="1" w:styleId="Antrat7Diagrama">
    <w:name w:val="Antraštė 7 Diagrama"/>
    <w:basedOn w:val="Numatytasispastraiposriftas"/>
    <w:link w:val="Antrat7"/>
    <w:uiPriority w:val="99"/>
    <w:semiHidden/>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rPr>
      <w:rFonts w:ascii="Times New Roman" w:eastAsia="SimSun" w:hAnsi="Times New Roman" w:cs="Times New Roman"/>
      <w:b/>
      <w:i/>
      <w:szCs w:val="20"/>
      <w:lang w:val="en-GB"/>
    </w:rPr>
  </w:style>
  <w:style w:type="numbering" w:customStyle="1" w:styleId="Sraonra1">
    <w:name w:val="Sąrašo nėra1"/>
    <w:next w:val="Sraonra"/>
    <w:uiPriority w:val="99"/>
    <w:semiHidden/>
    <w:unhideWhenUsed/>
  </w:style>
  <w:style w:type="numbering" w:customStyle="1" w:styleId="Sraonra11">
    <w:name w:val="Sąrašo nėra11"/>
    <w:next w:val="Sraonra"/>
    <w:uiPriority w:val="99"/>
    <w:semiHidden/>
    <w:unhideWhenUsed/>
  </w:style>
  <w:style w:type="character" w:styleId="Hipersaitas">
    <w:name w:val="Hyperlink"/>
    <w:uiPriority w:val="99"/>
    <w:unhideWhenUsed/>
    <w:rPr>
      <w:rFonts w:ascii="Times New Roman" w:hAnsi="Times New Roman" w:cs="Times New Roman" w:hint="default"/>
      <w:color w:val="auto"/>
      <w:sz w:val="24"/>
      <w:szCs w:val="24"/>
      <w:u w:val="single"/>
      <w:lang w:val="en-US"/>
    </w:rPr>
  </w:style>
  <w:style w:type="character" w:styleId="Perirtashipersaitas">
    <w:name w:val="FollowedHyperlink"/>
    <w:uiPriority w:val="99"/>
    <w:semiHidden/>
    <w:unhideWhenUsed/>
    <w:rPr>
      <w:color w:val="800080"/>
      <w:u w:val="single"/>
    </w:rPr>
  </w:style>
  <w:style w:type="character" w:styleId="Grietas">
    <w:name w:val="Strong"/>
    <w:uiPriority w:val="99"/>
    <w:qFormat/>
    <w:rPr>
      <w:rFonts w:ascii="Times New Roman" w:hAnsi="Times New Roman" w:cs="Times New Roman" w:hint="default"/>
      <w:b/>
      <w:bCs/>
    </w:rPr>
  </w:style>
  <w:style w:type="paragraph" w:styleId="Turinys1">
    <w:name w:val="toc 1"/>
    <w:basedOn w:val="prastasis"/>
    <w:next w:val="prastasis"/>
    <w:autoRedefine/>
    <w:semiHidden/>
    <w:unhideWhenUsed/>
    <w:pPr>
      <w:spacing w:before="120" w:after="0" w:line="240" w:lineRule="auto"/>
    </w:pPr>
    <w:rPr>
      <w:rFonts w:ascii="Times New Roman" w:eastAsia="Times New Roman" w:hAnsi="Times New Roman" w:cs="Times New Roman"/>
      <w:b/>
      <w:bCs/>
      <w:i/>
      <w:iCs/>
      <w:sz w:val="24"/>
      <w:szCs w:val="28"/>
      <w:lang w:val="sl-SI" w:eastAsia="sl-SI"/>
    </w:rPr>
  </w:style>
  <w:style w:type="paragraph" w:styleId="Komentarotekstas">
    <w:name w:val="annotation text"/>
    <w:basedOn w:val="prastasis"/>
    <w:link w:val="KomentarotekstasDiagrama"/>
    <w:uiPriority w:val="99"/>
    <w:semiHidden/>
    <w:unhideWhenUsed/>
    <w:pPr>
      <w:tabs>
        <w:tab w:val="left" w:pos="567"/>
      </w:tabs>
      <w:snapToGrid w:val="0"/>
      <w:spacing w:after="0" w:line="260" w:lineRule="exact"/>
    </w:pPr>
    <w:rPr>
      <w:rFonts w:ascii="Times New Roman" w:eastAsia="Times New Roman" w:hAnsi="Times New Roman" w:cs="Times New Roman"/>
      <w:sz w:val="20"/>
      <w:szCs w:val="20"/>
      <w:lang w:val="en-GB"/>
    </w:rPr>
  </w:style>
  <w:style w:type="character" w:customStyle="1" w:styleId="KomentarotekstasDiagrama">
    <w:name w:val="Komentaro tekstas Diagrama"/>
    <w:basedOn w:val="Numatytasispastraiposriftas"/>
    <w:link w:val="Komentarotekstas"/>
    <w:uiPriority w:val="99"/>
    <w:semiHidden/>
    <w:rPr>
      <w:rFonts w:ascii="Times New Roman" w:eastAsia="Times New Roman" w:hAnsi="Times New Roman" w:cs="Times New Roman"/>
      <w:sz w:val="20"/>
      <w:szCs w:val="20"/>
      <w:lang w:val="en-GB"/>
    </w:rPr>
  </w:style>
  <w:style w:type="paragraph" w:styleId="Antrats">
    <w:name w:val="header"/>
    <w:basedOn w:val="prastasis"/>
    <w:link w:val="AntratsDiagrama"/>
    <w:uiPriority w:val="99"/>
    <w:unhideWhenUsed/>
    <w:pPr>
      <w:tabs>
        <w:tab w:val="center" w:pos="4320"/>
        <w:tab w:val="right" w:pos="8640"/>
      </w:tabs>
      <w:spacing w:after="0" w:line="240" w:lineRule="auto"/>
    </w:pPr>
    <w:rPr>
      <w:rFonts w:ascii="Times New Roman" w:eastAsia="Times New Roman" w:hAnsi="Times New Roman" w:cs="Times New Roman"/>
      <w:sz w:val="24"/>
      <w:szCs w:val="20"/>
      <w:lang w:val="sl-SI" w:eastAsia="sl-SI"/>
    </w:rPr>
  </w:style>
  <w:style w:type="character" w:customStyle="1" w:styleId="AntratsDiagrama">
    <w:name w:val="Antraštės Diagrama"/>
    <w:basedOn w:val="Numatytasispastraiposriftas"/>
    <w:link w:val="Antrats"/>
    <w:uiPriority w:val="99"/>
    <w:rPr>
      <w:rFonts w:ascii="Times New Roman" w:eastAsia="Times New Roman" w:hAnsi="Times New Roman" w:cs="Times New Roman"/>
      <w:sz w:val="24"/>
      <w:szCs w:val="20"/>
      <w:lang w:val="sl-SI" w:eastAsia="sl-SI"/>
    </w:rPr>
  </w:style>
  <w:style w:type="paragraph" w:styleId="Porat">
    <w:name w:val="footer"/>
    <w:basedOn w:val="prastasis"/>
    <w:link w:val="PoratDiagrama"/>
    <w:uiPriority w:val="99"/>
    <w:unhideWhenUsed/>
    <w:pPr>
      <w:tabs>
        <w:tab w:val="center" w:pos="4320"/>
        <w:tab w:val="right" w:pos="8640"/>
      </w:tabs>
      <w:spacing w:after="0" w:line="240" w:lineRule="auto"/>
    </w:pPr>
    <w:rPr>
      <w:rFonts w:ascii="Times New Roman" w:eastAsia="Times New Roman" w:hAnsi="Times New Roman" w:cs="Times New Roman"/>
      <w:sz w:val="24"/>
      <w:szCs w:val="20"/>
      <w:lang w:val="sl-SI" w:eastAsia="sl-SI"/>
    </w:rPr>
  </w:style>
  <w:style w:type="character" w:customStyle="1" w:styleId="PoratDiagrama">
    <w:name w:val="Poraštė Diagrama"/>
    <w:basedOn w:val="Numatytasispastraiposriftas"/>
    <w:link w:val="Porat"/>
    <w:uiPriority w:val="99"/>
    <w:rPr>
      <w:rFonts w:ascii="Times New Roman" w:eastAsia="Times New Roman" w:hAnsi="Times New Roman" w:cs="Times New Roman"/>
      <w:sz w:val="24"/>
      <w:szCs w:val="20"/>
      <w:lang w:val="sl-SI" w:eastAsia="sl-SI"/>
    </w:rPr>
  </w:style>
  <w:style w:type="paragraph" w:styleId="Antrat">
    <w:name w:val="caption"/>
    <w:basedOn w:val="prastasis"/>
    <w:next w:val="prastasis"/>
    <w:semiHidden/>
    <w:unhideWhenUsed/>
    <w:qFormat/>
    <w:pPr>
      <w:spacing w:after="0" w:line="240" w:lineRule="auto"/>
      <w:jc w:val="both"/>
    </w:pPr>
    <w:rPr>
      <w:rFonts w:ascii="Times New Roman" w:eastAsia="Times New Roman" w:hAnsi="Times New Roman" w:cs="Times New Roman"/>
      <w:sz w:val="24"/>
      <w:szCs w:val="20"/>
      <w:lang w:val="en-GB" w:eastAsia="sl-SI"/>
    </w:rPr>
  </w:style>
  <w:style w:type="paragraph" w:styleId="Dokumentoinaostekstas">
    <w:name w:val="endnote text"/>
    <w:basedOn w:val="prastasis"/>
    <w:link w:val="DokumentoinaostekstasDiagrama"/>
    <w:uiPriority w:val="99"/>
    <w:semiHidden/>
    <w:unhideWhenUsed/>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uiPriority w:val="99"/>
    <w:semiHidden/>
    <w:rPr>
      <w:rFonts w:ascii="Times New Roman" w:eastAsia="SimSun" w:hAnsi="Times New Roman" w:cs="Times New Roman"/>
      <w:szCs w:val="20"/>
      <w:lang w:val="en-GB"/>
    </w:rPr>
  </w:style>
  <w:style w:type="paragraph" w:styleId="Pavadinimas">
    <w:name w:val="Title"/>
    <w:basedOn w:val="prastasis"/>
    <w:link w:val="PavadinimasDiagrama"/>
    <w:uiPriority w:val="99"/>
    <w:qFormat/>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Cs w:val="20"/>
      <w:lang w:val="en-GB"/>
    </w:rPr>
  </w:style>
  <w:style w:type="paragraph" w:styleId="Pagrindinistekstas">
    <w:name w:val="Body Text"/>
    <w:basedOn w:val="prastasis"/>
    <w:link w:val="PagrindinistekstasDiagrama"/>
    <w:uiPriority w:val="99"/>
    <w:semiHidden/>
    <w:unhideWhenUsed/>
    <w:pPr>
      <w:numPr>
        <w:ilvl w:val="12"/>
      </w:numPr>
      <w:tabs>
        <w:tab w:val="left" w:pos="8505"/>
      </w:tabs>
      <w:spacing w:after="0" w:line="240" w:lineRule="auto"/>
      <w:ind w:left="567" w:right="-2" w:hanging="567"/>
    </w:pPr>
    <w:rPr>
      <w:rFonts w:ascii="Times New Roman" w:eastAsia="Times New Roman" w:hAnsi="Times New Roman" w:cs="Times New Roman"/>
      <w:szCs w:val="20"/>
      <w:lang w:val="sl-SI" w:eastAsia="sl-SI"/>
    </w:rPr>
  </w:style>
  <w:style w:type="character" w:customStyle="1" w:styleId="PagrindinistekstasDiagrama">
    <w:name w:val="Pagrindinis tekstas Diagrama"/>
    <w:basedOn w:val="Numatytasispastraiposriftas"/>
    <w:link w:val="Pagrindinistekstas"/>
    <w:uiPriority w:val="99"/>
    <w:semiHidden/>
    <w:rPr>
      <w:rFonts w:ascii="Times New Roman" w:eastAsia="Times New Roman" w:hAnsi="Times New Roman" w:cs="Times New Roman"/>
      <w:szCs w:val="20"/>
      <w:lang w:val="sl-SI" w:eastAsia="sl-SI"/>
    </w:rPr>
  </w:style>
  <w:style w:type="paragraph" w:styleId="Pagrindiniotekstotrauka">
    <w:name w:val="Body Text Indent"/>
    <w:basedOn w:val="prastasis"/>
    <w:link w:val="PagrindiniotekstotraukaDiagrama"/>
    <w:uiPriority w:val="99"/>
    <w:semiHidden/>
    <w:unhideWhenUsed/>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semiHidden/>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semiHidden/>
    <w:unhideWhenUsed/>
    <w:pPr>
      <w:spacing w:after="120" w:line="480" w:lineRule="auto"/>
    </w:pPr>
    <w:rPr>
      <w:rFonts w:ascii="Times New Roman" w:eastAsia="Times New Roman" w:hAnsi="Times New Roman" w:cs="Times New Roman"/>
      <w:sz w:val="24"/>
      <w:szCs w:val="20"/>
      <w:lang w:val="sl-SI" w:eastAsia="sl-SI"/>
    </w:rPr>
  </w:style>
  <w:style w:type="character" w:customStyle="1" w:styleId="Pagrindinistekstas2Diagrama">
    <w:name w:val="Pagrindinis tekstas 2 Diagrama"/>
    <w:basedOn w:val="Numatytasispastraiposriftas"/>
    <w:link w:val="Pagrindinistekstas2"/>
    <w:uiPriority w:val="99"/>
    <w:semiHidden/>
    <w:rPr>
      <w:rFonts w:ascii="Times New Roman" w:eastAsia="Times New Roman" w:hAnsi="Times New Roman" w:cs="Times New Roman"/>
      <w:sz w:val="24"/>
      <w:szCs w:val="20"/>
      <w:lang w:val="sl-SI" w:eastAsia="sl-SI"/>
    </w:rPr>
  </w:style>
  <w:style w:type="paragraph" w:styleId="Pagrindinistekstas3">
    <w:name w:val="Body Text 3"/>
    <w:basedOn w:val="prastasis"/>
    <w:link w:val="Pagrindinistekstas3Diagrama"/>
    <w:uiPriority w:val="99"/>
    <w:semiHidden/>
    <w:unhideWhenUsed/>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semiHidden/>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semiHidden/>
    <w:unhideWhenUsed/>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semiHidden/>
    <w:rPr>
      <w:rFonts w:ascii="Times New Roman" w:eastAsia="SimSu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semiHidden/>
    <w:rPr>
      <w:rFonts w:ascii="Times New Roman" w:eastAsia="SimSun" w:hAnsi="Times New Roman" w:cs="Times New Roman"/>
      <w:szCs w:val="21"/>
      <w:lang w:val="en-GB"/>
    </w:rPr>
  </w:style>
  <w:style w:type="paragraph" w:styleId="Dokumentostruktra">
    <w:name w:val="Document Map"/>
    <w:basedOn w:val="prastasis"/>
    <w:link w:val="DokumentostruktraDiagrama"/>
    <w:uiPriority w:val="99"/>
    <w:semiHidden/>
    <w:unhideWhenUsed/>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semiHidden/>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semiHidden/>
    <w:unhideWhenUsed/>
    <w:pPr>
      <w:spacing w:after="0" w:line="240" w:lineRule="auto"/>
    </w:pPr>
    <w:rPr>
      <w:rFonts w:ascii="Courier New" w:eastAsia="Times New Roman" w:hAnsi="Courier New" w:cs="Times New Roman"/>
      <w:sz w:val="20"/>
      <w:szCs w:val="20"/>
      <w:lang w:val="en-GB" w:eastAsia="sl-SI"/>
    </w:rPr>
  </w:style>
  <w:style w:type="character" w:customStyle="1" w:styleId="PaprastasistekstasDiagrama">
    <w:name w:val="Paprastasis tekstas Diagrama"/>
    <w:basedOn w:val="Numatytasispastraiposriftas"/>
    <w:link w:val="Paprastasistekstas"/>
    <w:uiPriority w:val="99"/>
    <w:semiHidden/>
    <w:rPr>
      <w:rFonts w:ascii="Courier New" w:eastAsia="Times New Roman" w:hAnsi="Courier New" w:cs="Times New Roman"/>
      <w:sz w:val="20"/>
      <w:szCs w:val="20"/>
      <w:lang w:val="en-GB" w:eastAsia="sl-SI"/>
    </w:rPr>
  </w:style>
  <w:style w:type="paragraph" w:styleId="Komentarotema">
    <w:name w:val="annotation subject"/>
    <w:basedOn w:val="Komentarotekstas"/>
    <w:next w:val="Komentarotekstas"/>
    <w:link w:val="KomentarotemaDiagrama"/>
    <w:uiPriority w:val="99"/>
    <w:semiHidden/>
    <w:unhideWhenUsed/>
    <w:rPr>
      <w:b/>
      <w:bCs/>
    </w:rPr>
  </w:style>
  <w:style w:type="character" w:customStyle="1" w:styleId="KomentarotemaDiagrama">
    <w:name w:val="Komentaro tema Diagrama"/>
    <w:basedOn w:val="KomentarotekstasDiagrama"/>
    <w:link w:val="Komentarotema"/>
    <w:uiPriority w:val="99"/>
    <w:semiHidden/>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semiHidden/>
    <w:unhideWhenUsed/>
    <w:pPr>
      <w:tabs>
        <w:tab w:val="left" w:pos="567"/>
      </w:tabs>
      <w:snapToGrid w:val="0"/>
      <w:spacing w:after="0" w:line="240" w:lineRule="auto"/>
    </w:pPr>
    <w:rPr>
      <w:rFonts w:ascii="Tahoma" w:eastAsia="Times New Roman" w:hAnsi="Tahoma" w:cs="Times New Roman"/>
      <w:sz w:val="16"/>
      <w:szCs w:val="16"/>
      <w:lang w:val="en-GB" w:eastAsia="x-none"/>
    </w:rPr>
  </w:style>
  <w:style w:type="character" w:customStyle="1" w:styleId="DebesliotekstasDiagrama">
    <w:name w:val="Debesėlio tekstas Diagrama"/>
    <w:basedOn w:val="Numatytasispastraiposriftas"/>
    <w:link w:val="Debesliotekstas"/>
    <w:uiPriority w:val="99"/>
    <w:semiHidden/>
    <w:rPr>
      <w:rFonts w:ascii="Tahoma" w:eastAsia="Times New Roman" w:hAnsi="Tahoma" w:cs="Times New Roman"/>
      <w:sz w:val="16"/>
      <w:szCs w:val="16"/>
      <w:lang w:val="en-GB" w:eastAsia="x-none"/>
    </w:rPr>
  </w:style>
  <w:style w:type="paragraph" w:styleId="Betarp">
    <w:name w:val="No Spacing"/>
    <w:uiPriority w:val="1"/>
    <w:qFormat/>
    <w:pPr>
      <w:tabs>
        <w:tab w:val="left" w:pos="567"/>
      </w:tabs>
      <w:snapToGrid w:val="0"/>
      <w:spacing w:after="0" w:line="240" w:lineRule="auto"/>
    </w:pPr>
    <w:rPr>
      <w:rFonts w:ascii="Times New Roman" w:eastAsia="Times New Roman" w:hAnsi="Times New Roman" w:cs="Times New Roman"/>
      <w:szCs w:val="20"/>
      <w:lang w:val="en-GB"/>
    </w:rPr>
  </w:style>
  <w:style w:type="paragraph" w:styleId="Pataisymai">
    <w:name w:val="Revision"/>
    <w:uiPriority w:val="99"/>
    <w:semiHidden/>
    <w:pPr>
      <w:snapToGrid w:val="0"/>
      <w:spacing w:after="0" w:line="240" w:lineRule="auto"/>
    </w:pPr>
    <w:rPr>
      <w:rFonts w:ascii="Times New Roman" w:eastAsia="Times New Roman" w:hAnsi="Times New Roman" w:cs="Times New Roman"/>
      <w:szCs w:val="20"/>
      <w:lang w:val="en-GB"/>
    </w:rPr>
  </w:style>
  <w:style w:type="paragraph" w:styleId="Sraopastraipa">
    <w:name w:val="List Paragraph"/>
    <w:basedOn w:val="prastasis"/>
    <w:uiPriority w:val="34"/>
    <w:qFormat/>
    <w:pPr>
      <w:tabs>
        <w:tab w:val="left" w:pos="567"/>
      </w:tabs>
      <w:snapToGrid w:val="0"/>
      <w:spacing w:after="0" w:line="260" w:lineRule="exact"/>
      <w:ind w:left="720"/>
    </w:pPr>
    <w:rPr>
      <w:rFonts w:ascii="Times New Roman" w:eastAsia="Times New Roman" w:hAnsi="Times New Roman" w:cs="Times New Roman"/>
      <w:szCs w:val="20"/>
      <w:lang w:val="en-GB"/>
    </w:rPr>
  </w:style>
  <w:style w:type="paragraph" w:customStyle="1" w:styleId="Naslov1">
    <w:name w:val="Naslov1"/>
    <w:basedOn w:val="Antrat1"/>
    <w:pPr>
      <w:spacing w:before="0" w:after="0"/>
    </w:pPr>
    <w:rPr>
      <w:rFonts w:ascii="Times New Roman" w:hAnsi="Times New Roman" w:cs="Times New Roman"/>
      <w:bCs w:val="0"/>
      <w:kern w:val="0"/>
      <w:sz w:val="22"/>
      <w:szCs w:val="20"/>
      <w:u w:val="single"/>
    </w:rPr>
  </w:style>
  <w:style w:type="paragraph" w:customStyle="1" w:styleId="EMEAEnBodyText">
    <w:name w:val="EMEA En Body Text"/>
    <w:basedOn w:val="prastasis"/>
    <w:uiPriority w:val="99"/>
    <w:pPr>
      <w:spacing w:before="120" w:after="120" w:line="240" w:lineRule="auto"/>
      <w:jc w:val="both"/>
    </w:pPr>
    <w:rPr>
      <w:rFonts w:ascii="Times New Roman" w:eastAsia="Times New Roman" w:hAnsi="Times New Roman" w:cs="Times New Roman"/>
      <w:szCs w:val="20"/>
      <w:lang w:val="en-US"/>
    </w:rPr>
  </w:style>
  <w:style w:type="paragraph" w:customStyle="1" w:styleId="Default">
    <w:name w:val="Default"/>
    <w:pPr>
      <w:autoSpaceDE w:val="0"/>
      <w:autoSpaceDN w:val="0"/>
      <w:adjustRightInd w:val="0"/>
      <w:spacing w:after="0" w:line="240" w:lineRule="auto"/>
    </w:pPr>
    <w:rPr>
      <w:rFonts w:ascii="Times New Roman" w:eastAsia="Times New Roman" w:hAnsi="Times New Roman" w:cs="Times New Roman"/>
      <w:color w:val="000000"/>
      <w:sz w:val="24"/>
      <w:szCs w:val="24"/>
      <w:lang w:val="sl-SI" w:eastAsia="sl-SI"/>
    </w:rPr>
  </w:style>
  <w:style w:type="character" w:customStyle="1" w:styleId="BodytextAgencyChar">
    <w:name w:val="Body text (Agency) Char"/>
    <w:link w:val="BodytextAgency"/>
    <w:uiPriority w:val="99"/>
    <w:locked/>
    <w:rPr>
      <w:rFonts w:ascii="Verdana" w:eastAsia="Times New Roman" w:hAnsi="Verdana" w:cs="Times New Roman"/>
      <w:sz w:val="18"/>
      <w:szCs w:val="20"/>
      <w:lang w:val="en-GB" w:eastAsia="x-none"/>
    </w:rPr>
  </w:style>
  <w:style w:type="paragraph" w:customStyle="1" w:styleId="BodytextAgency">
    <w:name w:val="Body text (Agency)"/>
    <w:basedOn w:val="prastasis"/>
    <w:link w:val="BodytextAgencyChar"/>
    <w:uiPriority w:val="99"/>
    <w:pPr>
      <w:snapToGrid w:val="0"/>
      <w:spacing w:after="140" w:line="280" w:lineRule="atLeast"/>
    </w:pPr>
    <w:rPr>
      <w:rFonts w:ascii="Verdana" w:eastAsia="Times New Roman" w:hAnsi="Verdana" w:cs="Times New Roman"/>
      <w:sz w:val="18"/>
      <w:szCs w:val="20"/>
      <w:lang w:val="en-GB" w:eastAsia="x-none"/>
    </w:rPr>
  </w:style>
  <w:style w:type="character" w:customStyle="1" w:styleId="NormalAgencyChar">
    <w:name w:val="Normal (Agency) Char"/>
    <w:link w:val="NormalAgency"/>
    <w:uiPriority w:val="99"/>
    <w:locked/>
    <w:rPr>
      <w:rFonts w:ascii="Verdana" w:eastAsia="Times New Roman" w:hAnsi="Verdana" w:cs="Times New Roman"/>
      <w:sz w:val="18"/>
      <w:lang w:val="en-GB" w:eastAsia="lt-LT"/>
    </w:rPr>
  </w:style>
  <w:style w:type="paragraph" w:customStyle="1" w:styleId="NormalAgency">
    <w:name w:val="Normal (Agency)"/>
    <w:link w:val="NormalAgencyChar"/>
    <w:uiPriority w:val="99"/>
    <w:pPr>
      <w:snapToGrid w:val="0"/>
      <w:spacing w:after="0" w:line="240" w:lineRule="auto"/>
    </w:pPr>
    <w:rPr>
      <w:rFonts w:ascii="Verdana" w:eastAsia="Times New Roman" w:hAnsi="Verdana" w:cs="Times New Roman"/>
      <w:sz w:val="18"/>
      <w:lang w:val="en-GB" w:eastAsia="lt-LT"/>
    </w:rPr>
  </w:style>
  <w:style w:type="paragraph" w:customStyle="1" w:styleId="TabletextrowsAgency">
    <w:name w:val="Table text rows (Agency)"/>
    <w:basedOn w:val="prastasis"/>
    <w:uiPriority w:val="99"/>
    <w:pPr>
      <w:snapToGrid w:val="0"/>
      <w:spacing w:after="0" w:line="280" w:lineRule="exact"/>
    </w:pPr>
    <w:rPr>
      <w:rFonts w:ascii="Verdana" w:eastAsia="Times New Roman" w:hAnsi="Verdana" w:cs="Times New Roman"/>
      <w:sz w:val="18"/>
      <w:szCs w:val="20"/>
      <w:lang w:val="en-GB"/>
    </w:rPr>
  </w:style>
  <w:style w:type="paragraph" w:customStyle="1" w:styleId="AHeader1">
    <w:name w:val="AHeader 1"/>
    <w:basedOn w:val="prastasis"/>
    <w:uiPriority w:val="99"/>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customStyle="1" w:styleId="TableheadingrowsAgency">
    <w:name w:val="Table heading rows (Agency)"/>
    <w:basedOn w:val="BodytextAgency"/>
    <w:uiPriority w:val="99"/>
    <w:pPr>
      <w:keepNext/>
      <w:snapToGrid/>
    </w:pPr>
    <w:rPr>
      <w:rFonts w:eastAsia="SimSun" w:cs="Verdana"/>
      <w:b/>
      <w:szCs w:val="18"/>
      <w:lang w:eastAsia="en-GB"/>
    </w:rPr>
  </w:style>
  <w:style w:type="character" w:customStyle="1" w:styleId="BTEMEASMCAChar">
    <w:name w:val="BT EMEA_SMCA Char"/>
    <w:link w:val="BTEMEASMCA"/>
    <w:uiPriority w:val="99"/>
    <w:locked/>
    <w:rPr>
      <w:rFonts w:ascii="Times New Roman" w:eastAsia="SimSun" w:hAnsi="Times New Roman" w:cs="Times New Roman"/>
      <w:noProof/>
      <w:sz w:val="20"/>
      <w:szCs w:val="20"/>
      <w:lang w:val="x-none" w:eastAsia="x-none"/>
    </w:rPr>
  </w:style>
  <w:style w:type="paragraph" w:customStyle="1" w:styleId="BTEMEASMCA">
    <w:name w:val="BT EMEA_SMCA"/>
    <w:basedOn w:val="prastasis"/>
    <w:link w:val="BTEMEASMCAChar"/>
    <w:autoRedefine/>
    <w:uiPriority w:val="99"/>
    <w:pPr>
      <w:spacing w:after="0" w:line="240" w:lineRule="auto"/>
    </w:pPr>
    <w:rPr>
      <w:rFonts w:ascii="Times New Roman" w:eastAsia="SimSun" w:hAnsi="Times New Roman" w:cs="Times New Roman"/>
      <w:noProof/>
      <w:sz w:val="20"/>
      <w:szCs w:val="20"/>
      <w:lang w:val="x-none" w:eastAsia="x-none"/>
    </w:rPr>
  </w:style>
  <w:style w:type="character" w:styleId="Komentaronuoroda">
    <w:name w:val="annotation reference"/>
    <w:uiPriority w:val="99"/>
    <w:semiHidden/>
    <w:unhideWhenUsed/>
    <w:rPr>
      <w:sz w:val="16"/>
      <w:szCs w:val="16"/>
    </w:rPr>
  </w:style>
  <w:style w:type="character" w:customStyle="1" w:styleId="HeaderChar">
    <w:name w:val="Header Char"/>
    <w:basedOn w:val="Numatytasispastraiposriftas"/>
  </w:style>
  <w:style w:type="character" w:customStyle="1" w:styleId="tw4winError">
    <w:name w:val="tw4winError"/>
    <w:uiPriority w:val="99"/>
    <w:rPr>
      <w:rFonts w:ascii="Courier New" w:hAnsi="Courier New" w:cs="Courier New" w:hint="default"/>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cs="Courier New" w:hint="default"/>
      <w:noProof/>
      <w:color w:val="008000"/>
    </w:rPr>
  </w:style>
  <w:style w:type="character" w:customStyle="1" w:styleId="tw4winJump">
    <w:name w:val="tw4winJump"/>
    <w:uiPriority w:val="99"/>
    <w:rPr>
      <w:rFonts w:ascii="Courier New" w:hAnsi="Courier New" w:cs="Courier New" w:hint="default"/>
      <w:noProof/>
      <w:color w:val="008080"/>
    </w:rPr>
  </w:style>
  <w:style w:type="character" w:customStyle="1" w:styleId="tw4winExternal">
    <w:name w:val="tw4winExternal"/>
    <w:uiPriority w:val="99"/>
    <w:rPr>
      <w:rFonts w:ascii="Courier New" w:hAnsi="Courier New" w:cs="Courier New" w:hint="default"/>
      <w:noProof/>
      <w:color w:val="808080"/>
    </w:rPr>
  </w:style>
  <w:style w:type="character" w:customStyle="1" w:styleId="tw4winInternal">
    <w:name w:val="tw4winInternal"/>
    <w:uiPriority w:val="99"/>
    <w:rPr>
      <w:rFonts w:ascii="Courier New" w:hAnsi="Courier New" w:cs="Courier New" w:hint="default"/>
      <w:noProof/>
      <w:color w:val="FF0000"/>
    </w:rPr>
  </w:style>
  <w:style w:type="character" w:customStyle="1" w:styleId="DONOTTRANSLATE">
    <w:name w:val="DO_NOT_TRANSLATE"/>
    <w:uiPriority w:val="99"/>
    <w:rPr>
      <w:rFonts w:ascii="Courier New" w:hAnsi="Courier New" w:cs="Courier New" w:hint="default"/>
      <w:noProof/>
      <w:color w:val="800000"/>
    </w:rPr>
  </w:style>
  <w:style w:type="character" w:customStyle="1" w:styleId="tw4winMark">
    <w:name w:val="tw4winMark"/>
    <w:uiPriority w:val="99"/>
    <w:rPr>
      <w:rFonts w:ascii="Courier New" w:hAnsi="Courier New" w:cs="Courier New" w:hint="default"/>
      <w:vanish/>
      <w:webHidden w:val="0"/>
      <w:color w:val="800080"/>
      <w:sz w:val="24"/>
      <w:vertAlign w:val="subscript"/>
      <w:specVanish w:val="0"/>
    </w:rPr>
  </w:style>
  <w:style w:type="character" w:customStyle="1" w:styleId="CharChar12">
    <w:name w:val="Char Char12"/>
    <w:locked/>
    <w:rPr>
      <w:snapToGrid/>
      <w:lang w:val="en-GB" w:eastAsia="en-US" w:bidi="ar-SA"/>
    </w:rPr>
  </w:style>
  <w:style w:type="table" w:styleId="Lentelstinklelis">
    <w:name w:val="Table Grid"/>
    <w:basedOn w:val="prastojilentel"/>
    <w:pPr>
      <w:spacing w:after="0" w:line="240" w:lineRule="auto"/>
    </w:pPr>
    <w:rPr>
      <w:rFonts w:ascii="Times New Roman" w:eastAsia="Times New Roman" w:hAnsi="Times New Roman"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Agencyblack">
    <w:name w:val="Table grid (Agency) black"/>
    <w:uiPriority w:val="99"/>
    <w:semiHidden/>
    <w:pPr>
      <w:spacing w:after="0" w:line="240" w:lineRule="auto"/>
    </w:pPr>
    <w:rPr>
      <w:rFonts w:ascii="Verdana" w:eastAsia="SimSun" w:hAnsi="Verdana" w:cs="Times New Roman"/>
      <w:sz w:val="18"/>
      <w:szCs w:val="20"/>
      <w:lang w:val="en-US"/>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table" w:customStyle="1" w:styleId="Tabelamrea1">
    <w:name w:val="Tabela – mreža1"/>
    <w:basedOn w:val="prastojilentel"/>
    <w:uiPriority w:val="59"/>
    <w:pPr>
      <w:spacing w:after="0" w:line="240" w:lineRule="auto"/>
    </w:pPr>
    <w:rPr>
      <w:rFonts w:ascii="Calibri" w:eastAsia="Calibri" w:hAnsi="Calibri"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D7435E-73FD-490F-9C39-9BF463861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54738</Words>
  <Characters>31202</Characters>
  <Application>Microsoft Office Word</Application>
  <DocSecurity>4</DocSecurity>
  <Lines>260</Lines>
  <Paragraphs>171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85769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vr</dc:creator>
  <cp:keywords/>
  <dc:description/>
  <cp:lastModifiedBy>Albina Burkauskaitė</cp:lastModifiedBy>
  <cp:revision>2</cp:revision>
  <dcterms:created xsi:type="dcterms:W3CDTF">2024-09-26T13:23:00Z</dcterms:created>
  <dcterms:modified xsi:type="dcterms:W3CDTF">2024-09-26T13:23:00Z</dcterms:modified>
</cp:coreProperties>
</file>